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44"/>
        </w:rPr>
      </w:pPr>
    </w:p>
    <w:p>
      <w:pPr>
        <w:tabs>
          <w:tab w:pos="2008" w:val="left" w:leader="none"/>
        </w:tabs>
        <w:spacing w:before="1"/>
        <w:ind w:left="0" w:right="34" w:firstLine="0"/>
        <w:jc w:val="center"/>
        <w:rPr>
          <w:b/>
          <w:sz w:val="30"/>
        </w:rPr>
      </w:pPr>
      <w:r>
        <w:rPr>
          <w:rFonts w:ascii="Microsoft JhengHei" w:eastAsia="Microsoft JhengHei"/>
          <w:b/>
          <w:sz w:val="32"/>
        </w:rPr>
        <w:t>附件</w:t>
      </w:r>
      <w:r>
        <w:rPr>
          <w:rFonts w:ascii="Microsoft JhengHei" w:eastAsia="Microsoft JhengHei"/>
          <w:b/>
          <w:spacing w:val="-4"/>
          <w:sz w:val="32"/>
        </w:rPr>
        <w:t> </w:t>
      </w:r>
      <w:r>
        <w:rPr>
          <w:rFonts w:ascii="微软雅黑" w:eastAsia="微软雅黑"/>
          <w:b/>
          <w:spacing w:val="-10"/>
          <w:sz w:val="32"/>
        </w:rPr>
        <w:t>2</w:t>
      </w:r>
      <w:r>
        <w:rPr>
          <w:rFonts w:ascii="微软雅黑" w:eastAsia="微软雅黑"/>
          <w:b/>
          <w:sz w:val="32"/>
        </w:rPr>
        <w:tab/>
      </w:r>
      <w:r>
        <w:rPr>
          <w:b/>
          <w:w w:val="95"/>
          <w:sz w:val="30"/>
        </w:rPr>
        <w:t>英大人寿康佑倍护终身重大疾病保险</w:t>
      </w:r>
      <w:r>
        <w:rPr>
          <w:b/>
          <w:w w:val="95"/>
          <w:sz w:val="30"/>
        </w:rPr>
        <w:t>条</w:t>
      </w:r>
      <w:r>
        <w:rPr>
          <w:b/>
          <w:spacing w:val="-10"/>
          <w:w w:val="95"/>
          <w:sz w:val="30"/>
        </w:rPr>
        <w:t>款</w:t>
      </w:r>
    </w:p>
    <w:p>
      <w:pPr>
        <w:spacing w:before="149"/>
        <w:ind w:left="1807" w:right="32" w:firstLine="0"/>
        <w:jc w:val="center"/>
        <w:rPr>
          <w:b/>
          <w:sz w:val="30"/>
        </w:rPr>
      </w:pPr>
      <w:r>
        <w:rPr>
          <w:b/>
          <w:spacing w:val="-3"/>
          <w:w w:val="95"/>
          <w:sz w:val="30"/>
        </w:rPr>
        <w:t>阅读指引</w:t>
      </w:r>
    </w:p>
    <w:p>
      <w:pPr>
        <w:pStyle w:val="BodyText"/>
        <w:spacing w:before="147"/>
        <w:ind w:left="1807"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754" w:val="left" w:leader="none"/>
        </w:tabs>
        <w:spacing w:line="240" w:lineRule="auto" w:before="116" w:after="0"/>
        <w:ind w:left="753" w:right="0" w:hanging="551"/>
        <w:jc w:val="left"/>
        <w:rPr>
          <w:b/>
          <w:sz w:val="21"/>
        </w:rPr>
      </w:pPr>
      <w:r>
        <w:rPr>
          <w:b/>
          <w:spacing w:val="-2"/>
          <w:sz w:val="21"/>
        </w:rPr>
        <w:t>您拥有的重要权益</w:t>
      </w:r>
    </w:p>
    <w:p>
      <w:pPr>
        <w:spacing w:before="50"/>
        <w:ind w:left="0" w:right="99" w:firstLine="0"/>
        <w:jc w:val="center"/>
        <w:rPr>
          <w:sz w:val="18"/>
        </w:rPr>
      </w:pPr>
      <w:r>
        <w:rPr/>
        <w:br w:type="column"/>
      </w:r>
      <w:r>
        <w:rPr>
          <w:spacing w:val="-2"/>
          <w:sz w:val="18"/>
        </w:rPr>
        <w:t>英大人寿[2020]</w:t>
      </w:r>
      <w:r>
        <w:rPr>
          <w:spacing w:val="-9"/>
          <w:sz w:val="18"/>
        </w:rPr>
        <w:t>疾病保险 </w:t>
      </w:r>
      <w:r>
        <w:rPr>
          <w:spacing w:val="-2"/>
          <w:sz w:val="18"/>
        </w:rPr>
        <w:t>026</w:t>
      </w:r>
      <w:r>
        <w:rPr>
          <w:spacing w:val="-21"/>
          <w:sz w:val="18"/>
        </w:rPr>
        <w:t> 号</w:t>
      </w:r>
    </w:p>
    <w:p>
      <w:pPr>
        <w:pStyle w:val="BodyText"/>
        <w:spacing w:before="11"/>
        <w:rPr>
          <w:sz w:val="4"/>
        </w:rPr>
      </w:pPr>
    </w:p>
    <w:p>
      <w:pPr>
        <w:pStyle w:val="BodyText"/>
        <w:ind w:left="749"/>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spacing w:before="56"/>
        <w:ind w:left="387" w:right="419" w:firstLine="0"/>
        <w:jc w:val="center"/>
        <w:rPr>
          <w:sz w:val="18"/>
        </w:rPr>
      </w:pPr>
      <w:r>
        <w:rPr>
          <w:spacing w:val="-1"/>
          <w:sz w:val="18"/>
        </w:rPr>
        <w:t>请扫描以查询验证条款</w:t>
      </w:r>
    </w:p>
    <w:p>
      <w:pPr>
        <w:spacing w:after="0"/>
        <w:jc w:val="center"/>
        <w:rPr>
          <w:sz w:val="18"/>
        </w:rPr>
        <w:sectPr>
          <w:footerReference w:type="default" r:id="rId5"/>
          <w:type w:val="continuous"/>
          <w:pgSz w:w="11910" w:h="16840"/>
          <w:pgMar w:footer="857" w:header="0" w:top="320" w:bottom="1040" w:left="1100" w:right="260"/>
          <w:pgNumType w:start="1"/>
          <w:cols w:num="2" w:equalWidth="0">
            <w:col w:w="7873" w:space="40"/>
            <w:col w:w="2637"/>
          </w:cols>
        </w:sectPr>
      </w:pPr>
    </w:p>
    <w:p>
      <w:pPr>
        <w:pStyle w:val="ListParagraph"/>
        <w:numPr>
          <w:ilvl w:val="1"/>
          <w:numId w:val="1"/>
        </w:numPr>
        <w:tabs>
          <w:tab w:pos="1021" w:val="left" w:leader="none"/>
          <w:tab w:pos="1022" w:val="left" w:leader="none"/>
        </w:tabs>
        <w:spacing w:line="240" w:lineRule="auto" w:before="137" w:after="0"/>
        <w:ind w:left="1022" w:right="0" w:hanging="399"/>
        <w:jc w:val="left"/>
        <w:rPr>
          <w:sz w:val="21"/>
        </w:rPr>
      </w:pPr>
      <w:r>
        <w:rPr>
          <w:w w:val="99"/>
          <w:sz w:val="21"/>
        </w:rPr>
        <w:t>被</w:t>
      </w:r>
      <w:r>
        <w:rPr>
          <w:w w:val="99"/>
          <w:sz w:val="21"/>
        </w:rPr>
        <w:t>保</w:t>
      </w:r>
      <w:r>
        <w:rPr>
          <w:w w:val="99"/>
          <w:sz w:val="21"/>
        </w:rPr>
        <w:t>险</w:t>
      </w:r>
      <w:r>
        <w:rPr>
          <w:w w:val="99"/>
          <w:sz w:val="21"/>
        </w:rPr>
        <w:t>人可以享受本</w:t>
      </w:r>
      <w:r>
        <w:rPr>
          <w:w w:val="99"/>
          <w:sz w:val="21"/>
        </w:rPr>
        <w:t>合</w:t>
      </w:r>
      <w:r>
        <w:rPr>
          <w:w w:val="99"/>
          <w:sz w:val="21"/>
        </w:rPr>
        <w:t>同</w:t>
      </w:r>
      <w:r>
        <w:rPr>
          <w:w w:val="99"/>
          <w:sz w:val="21"/>
        </w:rPr>
        <w:t>提供的保障</w:t>
      </w:r>
      <w:r>
        <w:rPr>
          <w:spacing w:val="-4"/>
          <w:w w:val="112"/>
          <w:sz w:val="21"/>
        </w:rPr>
        <w:t>„„„„„„„„„„„„„„„„„„„„„„</w:t>
      </w:r>
      <w:r>
        <w:rPr>
          <w:spacing w:val="-1"/>
          <w:w w:val="11"/>
          <w:sz w:val="21"/>
        </w:rPr>
        <w:t>2.5</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99"/>
          <w:sz w:val="21"/>
        </w:rPr>
        <w:t>犹</w:t>
      </w:r>
      <w:r>
        <w:rPr>
          <w:w w:val="99"/>
          <w:sz w:val="21"/>
        </w:rPr>
        <w:t>豫</w:t>
      </w:r>
      <w:r>
        <w:rPr>
          <w:w w:val="99"/>
          <w:sz w:val="21"/>
        </w:rPr>
        <w:t>期</w:t>
      </w:r>
      <w:r>
        <w:rPr>
          <w:w w:val="99"/>
          <w:sz w:val="21"/>
        </w:rPr>
        <w:t>内您可以要求</w:t>
      </w:r>
      <w:r>
        <w:rPr>
          <w:w w:val="99"/>
          <w:sz w:val="21"/>
        </w:rPr>
        <w:t>退</w:t>
      </w:r>
      <w:r>
        <w:rPr>
          <w:w w:val="99"/>
          <w:sz w:val="21"/>
        </w:rPr>
        <w:t>还</w:t>
      </w:r>
      <w:r>
        <w:rPr>
          <w:w w:val="99"/>
          <w:sz w:val="21"/>
        </w:rPr>
        <w:t>扣除工本费外的全部</w:t>
      </w:r>
      <w:r>
        <w:rPr>
          <w:w w:val="99"/>
          <w:sz w:val="21"/>
        </w:rPr>
        <w:t>保</w:t>
      </w:r>
      <w:r>
        <w:rPr>
          <w:w w:val="99"/>
          <w:sz w:val="21"/>
        </w:rPr>
        <w:t>险</w:t>
      </w:r>
      <w:r>
        <w:rPr>
          <w:w w:val="99"/>
          <w:sz w:val="21"/>
        </w:rPr>
        <w:t>费</w:t>
      </w:r>
      <w:r>
        <w:rPr>
          <w:spacing w:val="-4"/>
          <w:w w:val="116"/>
          <w:sz w:val="21"/>
        </w:rPr>
        <w:t>„„„„„„„„„„„„„„„</w:t>
      </w:r>
      <w:r>
        <w:rPr>
          <w:spacing w:val="-1"/>
          <w:w w:val="15"/>
          <w:sz w:val="21"/>
        </w:rPr>
        <w:t>4.1</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104"/>
          <w:sz w:val="21"/>
        </w:rPr>
        <w:t>您</w:t>
      </w:r>
      <w:r>
        <w:rPr>
          <w:w w:val="104"/>
          <w:sz w:val="21"/>
        </w:rPr>
        <w:t>有</w:t>
      </w:r>
      <w:r>
        <w:rPr>
          <w:w w:val="104"/>
          <w:sz w:val="21"/>
        </w:rPr>
        <w:t>退</w:t>
      </w:r>
      <w:r>
        <w:rPr>
          <w:w w:val="104"/>
          <w:sz w:val="21"/>
        </w:rPr>
        <w:t>保的权利</w:t>
      </w:r>
      <w:r>
        <w:rPr>
          <w:spacing w:val="-4"/>
          <w:w w:val="48"/>
          <w:sz w:val="21"/>
        </w:rPr>
        <w:t>„</w:t>
      </w:r>
      <w:r>
        <w:rPr>
          <w:spacing w:val="-4"/>
          <w:w w:val="115"/>
          <w:sz w:val="21"/>
        </w:rPr>
        <w:t>„„„„„„„„„„„„„„„„„„„„„„„„„„„„„„</w:t>
      </w:r>
      <w:r>
        <w:rPr>
          <w:spacing w:val="-1"/>
          <w:w w:val="14"/>
          <w:sz w:val="21"/>
        </w:rPr>
        <w:t>4.4</w:t>
      </w:r>
    </w:p>
    <w:p>
      <w:pPr>
        <w:pStyle w:val="ListParagraph"/>
        <w:numPr>
          <w:ilvl w:val="0"/>
          <w:numId w:val="1"/>
        </w:numPr>
        <w:tabs>
          <w:tab w:pos="763" w:val="left" w:leader="none"/>
        </w:tabs>
        <w:spacing w:line="240" w:lineRule="auto" w:before="130" w:after="0"/>
        <w:ind w:left="762" w:right="0" w:hanging="560"/>
        <w:jc w:val="left"/>
        <w:rPr>
          <w:b/>
          <w:sz w:val="21"/>
        </w:rPr>
      </w:pPr>
      <w:r>
        <w:rPr>
          <w:b/>
          <w:spacing w:val="-3"/>
          <w:sz w:val="21"/>
        </w:rPr>
        <w:t>您应当特别注意的事项</w:t>
      </w:r>
    </w:p>
    <w:p>
      <w:pPr>
        <w:pStyle w:val="ListParagraph"/>
        <w:numPr>
          <w:ilvl w:val="1"/>
          <w:numId w:val="1"/>
        </w:numPr>
        <w:tabs>
          <w:tab w:pos="1021" w:val="left" w:leader="none"/>
          <w:tab w:pos="1022" w:val="left" w:leader="none"/>
        </w:tabs>
        <w:spacing w:line="240" w:lineRule="auto" w:before="137" w:after="0"/>
        <w:ind w:left="1022" w:right="0" w:hanging="399"/>
        <w:jc w:val="left"/>
        <w:rPr>
          <w:sz w:val="21"/>
        </w:rPr>
      </w:pPr>
      <w:r>
        <w:rPr>
          <w:spacing w:val="-2"/>
          <w:w w:val="110"/>
          <w:sz w:val="21"/>
        </w:rPr>
        <w:t>在</w:t>
      </w:r>
      <w:r>
        <w:rPr>
          <w:spacing w:val="-2"/>
          <w:w w:val="110"/>
          <w:sz w:val="21"/>
        </w:rPr>
        <w:t>某</w:t>
      </w:r>
      <w:r>
        <w:rPr>
          <w:spacing w:val="-2"/>
          <w:w w:val="110"/>
          <w:sz w:val="21"/>
        </w:rPr>
        <w:t>些</w:t>
      </w:r>
      <w:r>
        <w:rPr>
          <w:spacing w:val="-2"/>
          <w:w w:val="110"/>
          <w:sz w:val="21"/>
        </w:rPr>
        <w:t>情况下，我们</w:t>
      </w:r>
      <w:r>
        <w:rPr>
          <w:spacing w:val="-2"/>
          <w:w w:val="110"/>
          <w:sz w:val="21"/>
        </w:rPr>
        <w:t>不</w:t>
      </w:r>
      <w:r>
        <w:rPr>
          <w:spacing w:val="-2"/>
          <w:w w:val="110"/>
          <w:sz w:val="21"/>
        </w:rPr>
        <w:t>承</w:t>
      </w:r>
      <w:r>
        <w:rPr>
          <w:spacing w:val="-2"/>
          <w:w w:val="110"/>
          <w:sz w:val="21"/>
        </w:rPr>
        <w:t>担保险责任</w:t>
      </w:r>
      <w:r>
        <w:rPr>
          <w:spacing w:val="-4"/>
          <w:w w:val="180"/>
          <w:sz w:val="21"/>
        </w:rPr>
        <w:t>„„„„„„„„„„„„„„„„„„„ </w:t>
      </w:r>
      <w:r>
        <w:rPr>
          <w:spacing w:val="-2"/>
          <w:w w:val="110"/>
          <w:sz w:val="21"/>
        </w:rPr>
        <w:t>2.6、</w:t>
      </w:r>
      <w:r>
        <w:rPr>
          <w:spacing w:val="-5"/>
          <w:w w:val="110"/>
          <w:sz w:val="21"/>
        </w:rPr>
        <w:t>2.7</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99"/>
          <w:sz w:val="21"/>
        </w:rPr>
        <w:t>您</w:t>
      </w:r>
      <w:r>
        <w:rPr>
          <w:w w:val="99"/>
          <w:sz w:val="21"/>
        </w:rPr>
        <w:t>应</w:t>
      </w:r>
      <w:r>
        <w:rPr>
          <w:w w:val="99"/>
          <w:sz w:val="21"/>
        </w:rPr>
        <w:t>当</w:t>
      </w:r>
      <w:r>
        <w:rPr>
          <w:w w:val="99"/>
          <w:sz w:val="21"/>
        </w:rPr>
        <w:t>按约定交纳保</w:t>
      </w:r>
      <w:r>
        <w:rPr>
          <w:w w:val="99"/>
          <w:sz w:val="21"/>
        </w:rPr>
        <w:t>险</w:t>
      </w:r>
      <w:r>
        <w:rPr>
          <w:w w:val="99"/>
          <w:sz w:val="21"/>
        </w:rPr>
        <w:t>费</w:t>
      </w:r>
      <w:r>
        <w:rPr>
          <w:spacing w:val="-4"/>
          <w:w w:val="31"/>
          <w:sz w:val="21"/>
        </w:rPr>
        <w:t>„</w:t>
      </w:r>
      <w:r>
        <w:rPr>
          <w:spacing w:val="-4"/>
          <w:w w:val="112"/>
          <w:sz w:val="21"/>
        </w:rPr>
        <w:t>„„„„„„„„„„„„„„„„„„„„„„„„„„</w:t>
      </w:r>
      <w:r>
        <w:rPr>
          <w:spacing w:val="-1"/>
          <w:w w:val="11"/>
          <w:sz w:val="21"/>
        </w:rPr>
        <w:t>3.1</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99"/>
          <w:sz w:val="21"/>
        </w:rPr>
        <w:t>您</w:t>
      </w:r>
      <w:r>
        <w:rPr>
          <w:w w:val="99"/>
          <w:sz w:val="21"/>
        </w:rPr>
        <w:t>有</w:t>
      </w:r>
      <w:r>
        <w:rPr>
          <w:w w:val="99"/>
          <w:sz w:val="21"/>
        </w:rPr>
        <w:t>如</w:t>
      </w:r>
      <w:r>
        <w:rPr>
          <w:w w:val="99"/>
          <w:sz w:val="21"/>
        </w:rPr>
        <w:t>实告知的义务</w:t>
      </w:r>
      <w:r>
        <w:rPr>
          <w:spacing w:val="-4"/>
          <w:w w:val="109"/>
          <w:sz w:val="21"/>
        </w:rPr>
        <w:t>„„„„„„„„„„„„„„„„„„„„„„„„„„„„„</w:t>
      </w:r>
      <w:r>
        <w:rPr>
          <w:spacing w:val="-1"/>
          <w:w w:val="8"/>
          <w:sz w:val="21"/>
        </w:rPr>
        <w:t>3.3</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99"/>
          <w:sz w:val="21"/>
        </w:rPr>
        <w:t>退</w:t>
      </w:r>
      <w:r>
        <w:rPr>
          <w:w w:val="99"/>
          <w:sz w:val="21"/>
        </w:rPr>
        <w:t>保</w:t>
      </w:r>
      <w:r>
        <w:rPr>
          <w:w w:val="99"/>
          <w:sz w:val="21"/>
        </w:rPr>
        <w:t>会</w:t>
      </w:r>
      <w:r>
        <w:rPr>
          <w:w w:val="99"/>
          <w:sz w:val="21"/>
        </w:rPr>
        <w:t>给您造成一定</w:t>
      </w:r>
      <w:r>
        <w:rPr>
          <w:w w:val="99"/>
          <w:sz w:val="21"/>
        </w:rPr>
        <w:t>的</w:t>
      </w:r>
      <w:r>
        <w:rPr>
          <w:w w:val="99"/>
          <w:sz w:val="21"/>
        </w:rPr>
        <w:t>损</w:t>
      </w:r>
      <w:r>
        <w:rPr>
          <w:w w:val="99"/>
          <w:sz w:val="21"/>
        </w:rPr>
        <w:t>失，请您慎重决策</w:t>
      </w:r>
      <w:r>
        <w:rPr>
          <w:spacing w:val="-4"/>
          <w:w w:val="49"/>
          <w:sz w:val="21"/>
        </w:rPr>
        <w:t>„</w:t>
      </w:r>
      <w:r>
        <w:rPr>
          <w:spacing w:val="-4"/>
          <w:w w:val="116"/>
          <w:sz w:val="21"/>
        </w:rPr>
        <w:t>„„„„„„„„„„„„„„„„„„</w:t>
      </w:r>
      <w:r>
        <w:rPr>
          <w:spacing w:val="-1"/>
          <w:w w:val="15"/>
          <w:sz w:val="21"/>
        </w:rPr>
        <w:t>4.4</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99"/>
          <w:sz w:val="21"/>
        </w:rPr>
        <w:t>保</w:t>
      </w:r>
      <w:r>
        <w:rPr>
          <w:w w:val="99"/>
          <w:sz w:val="21"/>
        </w:rPr>
        <w:t>险</w:t>
      </w:r>
      <w:r>
        <w:rPr>
          <w:w w:val="99"/>
          <w:sz w:val="21"/>
        </w:rPr>
        <w:t>事</w:t>
      </w:r>
      <w:r>
        <w:rPr>
          <w:w w:val="99"/>
          <w:sz w:val="21"/>
        </w:rPr>
        <w:t>故发生后请您</w:t>
      </w:r>
      <w:r>
        <w:rPr>
          <w:w w:val="99"/>
          <w:sz w:val="21"/>
        </w:rPr>
        <w:t>及</w:t>
      </w:r>
      <w:r>
        <w:rPr>
          <w:w w:val="99"/>
          <w:sz w:val="21"/>
        </w:rPr>
        <w:t>时</w:t>
      </w:r>
      <w:r>
        <w:rPr>
          <w:w w:val="99"/>
          <w:sz w:val="21"/>
        </w:rPr>
        <w:t>通知我们</w:t>
      </w:r>
      <w:r>
        <w:rPr>
          <w:spacing w:val="-4"/>
          <w:w w:val="47"/>
          <w:sz w:val="21"/>
        </w:rPr>
        <w:t>„</w:t>
      </w:r>
      <w:r>
        <w:rPr>
          <w:spacing w:val="-4"/>
          <w:w w:val="114"/>
          <w:sz w:val="21"/>
        </w:rPr>
        <w:t>„„„„„„„„„„„„„„„„„„„„„„</w:t>
      </w:r>
      <w:r>
        <w:rPr>
          <w:spacing w:val="-1"/>
          <w:w w:val="13"/>
          <w:sz w:val="21"/>
        </w:rPr>
        <w:t>6.2</w:t>
      </w:r>
    </w:p>
    <w:p>
      <w:pPr>
        <w:pStyle w:val="ListParagraph"/>
        <w:numPr>
          <w:ilvl w:val="1"/>
          <w:numId w:val="1"/>
        </w:numPr>
        <w:tabs>
          <w:tab w:pos="1021" w:val="left" w:leader="none"/>
          <w:tab w:pos="1022" w:val="left" w:leader="none"/>
        </w:tabs>
        <w:spacing w:line="240" w:lineRule="auto" w:before="43" w:after="0"/>
        <w:ind w:left="1022" w:right="0" w:hanging="399"/>
        <w:jc w:val="left"/>
        <w:rPr>
          <w:sz w:val="21"/>
        </w:rPr>
      </w:pPr>
      <w:r>
        <w:rPr>
          <w:w w:val="99"/>
          <w:sz w:val="21"/>
        </w:rPr>
        <w:t>我</w:t>
      </w:r>
      <w:r>
        <w:rPr>
          <w:w w:val="99"/>
          <w:sz w:val="21"/>
        </w:rPr>
        <w:t>们</w:t>
      </w:r>
      <w:r>
        <w:rPr>
          <w:w w:val="99"/>
          <w:sz w:val="21"/>
        </w:rPr>
        <w:t>对</w:t>
      </w:r>
      <w:r>
        <w:rPr>
          <w:w w:val="99"/>
          <w:sz w:val="21"/>
        </w:rPr>
        <w:t>一些重要术语</w:t>
      </w:r>
      <w:r>
        <w:rPr>
          <w:w w:val="99"/>
          <w:sz w:val="21"/>
        </w:rPr>
        <w:t>进</w:t>
      </w:r>
      <w:r>
        <w:rPr>
          <w:w w:val="99"/>
          <w:sz w:val="21"/>
        </w:rPr>
        <w:t>行</w:t>
      </w:r>
      <w:r>
        <w:rPr>
          <w:w w:val="99"/>
          <w:sz w:val="21"/>
        </w:rPr>
        <w:t>了解释，并作了显著</w:t>
      </w:r>
      <w:r>
        <w:rPr>
          <w:w w:val="99"/>
          <w:sz w:val="21"/>
        </w:rPr>
        <w:t>标</w:t>
      </w:r>
      <w:r>
        <w:rPr>
          <w:w w:val="99"/>
          <w:sz w:val="21"/>
        </w:rPr>
        <w:t>识</w:t>
      </w:r>
      <w:r>
        <w:rPr>
          <w:w w:val="99"/>
          <w:sz w:val="21"/>
        </w:rPr>
        <w:t>，请您注意</w:t>
      </w:r>
      <w:r>
        <w:rPr>
          <w:spacing w:val="-4"/>
          <w:w w:val="108"/>
          <w:sz w:val="21"/>
        </w:rPr>
        <w:t>„„„„„„„„„„„</w:t>
      </w:r>
      <w:r>
        <w:rPr>
          <w:spacing w:val="-1"/>
          <w:w w:val="7"/>
          <w:sz w:val="21"/>
        </w:rPr>
        <w:t>8</w:t>
      </w:r>
    </w:p>
    <w:p>
      <w:pPr>
        <w:pStyle w:val="ListParagraph"/>
        <w:numPr>
          <w:ilvl w:val="0"/>
          <w:numId w:val="1"/>
        </w:numPr>
        <w:tabs>
          <w:tab w:pos="763" w:val="left" w:leader="none"/>
        </w:tabs>
        <w:spacing w:line="240" w:lineRule="auto" w:before="131" w:after="0"/>
        <w:ind w:left="762" w:right="0" w:hanging="560"/>
        <w:jc w:val="left"/>
        <w:rPr>
          <w:b/>
          <w:sz w:val="21"/>
        </w:rPr>
      </w:pPr>
      <w:r>
        <w:rPr>
          <w:b/>
          <w:spacing w:val="-3"/>
          <w:sz w:val="21"/>
        </w:rPr>
        <w:t>条款是保险合同的重要内容，为充分保障您的权益，请您仔细阅读本条款。</w:t>
      </w:r>
    </w:p>
    <w:p>
      <w:pPr>
        <w:pStyle w:val="ListParagraph"/>
        <w:numPr>
          <w:ilvl w:val="0"/>
          <w:numId w:val="1"/>
        </w:numPr>
        <w:tabs>
          <w:tab w:pos="763" w:val="left" w:leader="none"/>
        </w:tabs>
        <w:spacing w:line="240" w:lineRule="auto" w:before="112" w:after="0"/>
        <w:ind w:left="762" w:right="0" w:hanging="560"/>
        <w:jc w:val="left"/>
        <w:rPr>
          <w:b/>
          <w:sz w:val="21"/>
        </w:rPr>
      </w:pPr>
      <w:r>
        <w:rPr>
          <w:b/>
          <w:spacing w:val="-3"/>
          <w:sz w:val="21"/>
        </w:rPr>
        <w:t>条款目录</w:t>
      </w:r>
    </w:p>
    <w:p>
      <w:pPr>
        <w:pStyle w:val="BodyText"/>
        <w:rPr>
          <w:b/>
          <w:sz w:val="14"/>
        </w:rPr>
      </w:pPr>
    </w:p>
    <w:p>
      <w:pPr>
        <w:spacing w:after="0"/>
        <w:rPr>
          <w:sz w:val="14"/>
        </w:rPr>
        <w:sectPr>
          <w:type w:val="continuous"/>
          <w:pgSz w:w="11910" w:h="16840"/>
          <w:pgMar w:header="0" w:footer="857" w:top="320" w:bottom="1040" w:left="1100" w:right="260"/>
        </w:sectPr>
      </w:pPr>
    </w:p>
    <w:p>
      <w:pPr>
        <w:pStyle w:val="ListParagraph"/>
        <w:numPr>
          <w:ilvl w:val="0"/>
          <w:numId w:val="2"/>
        </w:numPr>
        <w:tabs>
          <w:tab w:pos="625" w:val="left" w:leader="none"/>
          <w:tab w:pos="627" w:val="left" w:leader="none"/>
        </w:tabs>
        <w:spacing w:line="240" w:lineRule="auto" w:before="72" w:after="0"/>
        <w:ind w:left="626" w:right="0" w:hanging="424"/>
        <w:jc w:val="left"/>
        <w:rPr>
          <w:b/>
          <w:sz w:val="21"/>
        </w:rPr>
      </w:pPr>
      <w:r>
        <w:rPr>
          <w:b/>
          <w:spacing w:val="-2"/>
          <w:sz w:val="21"/>
        </w:rPr>
        <w:t>您与我们的合同</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合同构成</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合同生效</w:t>
      </w:r>
    </w:p>
    <w:p>
      <w:pPr>
        <w:pStyle w:val="ListParagraph"/>
        <w:numPr>
          <w:ilvl w:val="0"/>
          <w:numId w:val="2"/>
        </w:numPr>
        <w:tabs>
          <w:tab w:pos="625" w:val="left" w:leader="none"/>
          <w:tab w:pos="627" w:val="left" w:leader="none"/>
        </w:tabs>
        <w:spacing w:line="240" w:lineRule="auto" w:before="43" w:after="0"/>
        <w:ind w:left="626" w:right="0" w:hanging="424"/>
        <w:jc w:val="left"/>
        <w:rPr>
          <w:b/>
          <w:sz w:val="21"/>
        </w:rPr>
      </w:pPr>
      <w:r>
        <w:rPr>
          <w:b/>
          <w:spacing w:val="-2"/>
          <w:sz w:val="21"/>
        </w:rPr>
        <w:t>您获得的保障</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基本保险金额</w:t>
      </w:r>
    </w:p>
    <w:p>
      <w:pPr>
        <w:pStyle w:val="ListParagraph"/>
        <w:numPr>
          <w:ilvl w:val="1"/>
          <w:numId w:val="2"/>
        </w:numPr>
        <w:tabs>
          <w:tab w:pos="941" w:val="left" w:leader="none"/>
        </w:tabs>
        <w:spacing w:line="240" w:lineRule="auto" w:before="43" w:after="0"/>
        <w:ind w:left="940" w:right="0" w:hanging="527"/>
        <w:jc w:val="left"/>
        <w:rPr>
          <w:sz w:val="21"/>
        </w:rPr>
      </w:pPr>
      <w:r>
        <w:rPr>
          <w:spacing w:val="-3"/>
          <w:sz w:val="21"/>
        </w:rPr>
        <w:t>未成年人身故保险金限制</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保险期间</w:t>
      </w:r>
    </w:p>
    <w:p>
      <w:pPr>
        <w:pStyle w:val="ListParagraph"/>
        <w:numPr>
          <w:ilvl w:val="1"/>
          <w:numId w:val="2"/>
        </w:numPr>
        <w:tabs>
          <w:tab w:pos="941" w:val="left" w:leader="none"/>
        </w:tabs>
        <w:spacing w:line="240" w:lineRule="auto" w:before="43" w:after="0"/>
        <w:ind w:left="940" w:right="0" w:hanging="527"/>
        <w:jc w:val="left"/>
        <w:rPr>
          <w:sz w:val="21"/>
        </w:rPr>
      </w:pPr>
      <w:r>
        <w:rPr>
          <w:spacing w:val="-5"/>
          <w:sz w:val="21"/>
        </w:rPr>
        <w:t>等待期</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保险责任</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责任免除</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其他免责条款</w:t>
      </w:r>
    </w:p>
    <w:p>
      <w:pPr>
        <w:pStyle w:val="ListParagraph"/>
        <w:numPr>
          <w:ilvl w:val="0"/>
          <w:numId w:val="2"/>
        </w:numPr>
        <w:tabs>
          <w:tab w:pos="625" w:val="left" w:leader="none"/>
          <w:tab w:pos="627" w:val="left" w:leader="none"/>
        </w:tabs>
        <w:spacing w:line="240" w:lineRule="auto" w:before="43" w:after="0"/>
        <w:ind w:left="626" w:right="0" w:hanging="424"/>
        <w:jc w:val="left"/>
        <w:rPr>
          <w:b/>
          <w:sz w:val="21"/>
        </w:rPr>
      </w:pPr>
      <w:r>
        <w:rPr>
          <w:b/>
          <w:spacing w:val="-3"/>
          <w:sz w:val="21"/>
        </w:rPr>
        <w:t>您的义务</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保险费的交纳</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宽限期间</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如实告知</w:t>
      </w:r>
    </w:p>
    <w:p>
      <w:pPr>
        <w:pStyle w:val="ListParagraph"/>
        <w:numPr>
          <w:ilvl w:val="1"/>
          <w:numId w:val="2"/>
        </w:numPr>
        <w:tabs>
          <w:tab w:pos="941" w:val="left" w:leader="none"/>
        </w:tabs>
        <w:spacing w:line="278" w:lineRule="auto" w:before="43" w:after="0"/>
        <w:ind w:left="938" w:right="0" w:hanging="524"/>
        <w:jc w:val="left"/>
        <w:rPr>
          <w:sz w:val="21"/>
        </w:rPr>
      </w:pPr>
      <w:r>
        <w:rPr>
          <w:spacing w:val="-6"/>
          <w:sz w:val="21"/>
        </w:rPr>
        <w:t>对“3.3”我们公司合同解</w:t>
      </w:r>
      <w:r>
        <w:rPr>
          <w:spacing w:val="-2"/>
          <w:sz w:val="21"/>
        </w:rPr>
        <w:t>除权的限制</w:t>
      </w:r>
    </w:p>
    <w:p>
      <w:pPr>
        <w:pStyle w:val="ListParagraph"/>
        <w:numPr>
          <w:ilvl w:val="0"/>
          <w:numId w:val="2"/>
        </w:numPr>
        <w:tabs>
          <w:tab w:pos="625" w:val="left" w:leader="none"/>
          <w:tab w:pos="627" w:val="left" w:leader="none"/>
        </w:tabs>
        <w:spacing w:line="269" w:lineRule="exact" w:before="0" w:after="0"/>
        <w:ind w:left="626" w:right="0" w:hanging="424"/>
        <w:jc w:val="left"/>
        <w:rPr>
          <w:b/>
          <w:sz w:val="21"/>
        </w:rPr>
      </w:pPr>
      <w:r>
        <w:rPr/>
        <w:pict>
          <v:shape style="position:absolute;margin-left:73.244003pt;margin-top:17.013744pt;width:239.3pt;height:57.2pt;mso-position-horizontal-relative:page;mso-position-vertical-relative:paragraph;z-index:15728640" type="#_x0000_t202" id="docshape4"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1"/>
                    <w:gridCol w:w="2341"/>
                    <w:gridCol w:w="975"/>
                    <w:gridCol w:w="996"/>
                  </w:tblGrid>
                  <w:tr>
                    <w:trPr>
                      <w:trHeight w:val="261" w:hRule="atLeast"/>
                    </w:trPr>
                    <w:tc>
                      <w:tcPr>
                        <w:tcW w:w="471" w:type="dxa"/>
                      </w:tcPr>
                      <w:p>
                        <w:pPr>
                          <w:pStyle w:val="TableParagraph"/>
                          <w:spacing w:line="241" w:lineRule="exact"/>
                          <w:ind w:left="39" w:right="91"/>
                          <w:jc w:val="center"/>
                          <w:rPr>
                            <w:sz w:val="21"/>
                          </w:rPr>
                        </w:pPr>
                        <w:r>
                          <w:rPr>
                            <w:spacing w:val="-5"/>
                            <w:sz w:val="21"/>
                          </w:rPr>
                          <w:t>4.1</w:t>
                        </w:r>
                      </w:p>
                    </w:tc>
                    <w:tc>
                      <w:tcPr>
                        <w:tcW w:w="2341" w:type="dxa"/>
                      </w:tcPr>
                      <w:p>
                        <w:pPr>
                          <w:pStyle w:val="TableParagraph"/>
                          <w:spacing w:line="241" w:lineRule="exact"/>
                          <w:ind w:left="104"/>
                          <w:rPr>
                            <w:sz w:val="21"/>
                          </w:rPr>
                        </w:pPr>
                        <w:r>
                          <w:rPr>
                            <w:spacing w:val="-5"/>
                            <w:sz w:val="21"/>
                          </w:rPr>
                          <w:t>犹豫期</w:t>
                        </w:r>
                      </w:p>
                    </w:tc>
                    <w:tc>
                      <w:tcPr>
                        <w:tcW w:w="975" w:type="dxa"/>
                      </w:tcPr>
                      <w:p>
                        <w:pPr>
                          <w:pStyle w:val="TableParagraph"/>
                          <w:spacing w:line="241" w:lineRule="exact"/>
                          <w:ind w:right="100"/>
                          <w:jc w:val="right"/>
                          <w:rPr>
                            <w:sz w:val="21"/>
                          </w:rPr>
                        </w:pPr>
                        <w:r>
                          <w:rPr>
                            <w:spacing w:val="-5"/>
                            <w:sz w:val="21"/>
                          </w:rPr>
                          <w:t>8.4</w:t>
                        </w:r>
                      </w:p>
                    </w:tc>
                    <w:tc>
                      <w:tcPr>
                        <w:tcW w:w="996" w:type="dxa"/>
                      </w:tcPr>
                      <w:p>
                        <w:pPr>
                          <w:pStyle w:val="TableParagraph"/>
                          <w:spacing w:line="241" w:lineRule="exact"/>
                          <w:ind w:right="45"/>
                          <w:jc w:val="right"/>
                          <w:rPr>
                            <w:sz w:val="21"/>
                          </w:rPr>
                        </w:pPr>
                        <w:r>
                          <w:rPr>
                            <w:spacing w:val="-4"/>
                            <w:sz w:val="21"/>
                          </w:rPr>
                          <w:t>意外伤害</w:t>
                        </w:r>
                      </w:p>
                    </w:tc>
                  </w:tr>
                  <w:tr>
                    <w:trPr>
                      <w:trHeight w:val="311" w:hRule="atLeast"/>
                    </w:trPr>
                    <w:tc>
                      <w:tcPr>
                        <w:tcW w:w="471" w:type="dxa"/>
                      </w:tcPr>
                      <w:p>
                        <w:pPr>
                          <w:pStyle w:val="TableParagraph"/>
                          <w:spacing w:before="22"/>
                          <w:ind w:left="39" w:right="91"/>
                          <w:jc w:val="center"/>
                          <w:rPr>
                            <w:sz w:val="21"/>
                          </w:rPr>
                        </w:pPr>
                        <w:r>
                          <w:rPr>
                            <w:spacing w:val="-5"/>
                            <w:sz w:val="21"/>
                          </w:rPr>
                          <w:t>4.2</w:t>
                        </w:r>
                      </w:p>
                    </w:tc>
                    <w:tc>
                      <w:tcPr>
                        <w:tcW w:w="2341" w:type="dxa"/>
                      </w:tcPr>
                      <w:p>
                        <w:pPr>
                          <w:pStyle w:val="TableParagraph"/>
                          <w:spacing w:before="22"/>
                          <w:ind w:left="104"/>
                          <w:rPr>
                            <w:sz w:val="21"/>
                          </w:rPr>
                        </w:pPr>
                        <w:r>
                          <w:rPr>
                            <w:spacing w:val="-4"/>
                            <w:sz w:val="21"/>
                          </w:rPr>
                          <w:t>基本保险金额变更</w:t>
                        </w:r>
                      </w:p>
                    </w:tc>
                    <w:tc>
                      <w:tcPr>
                        <w:tcW w:w="975" w:type="dxa"/>
                      </w:tcPr>
                      <w:p>
                        <w:pPr>
                          <w:pStyle w:val="TableParagraph"/>
                          <w:spacing w:before="22"/>
                          <w:ind w:right="100"/>
                          <w:jc w:val="right"/>
                          <w:rPr>
                            <w:sz w:val="21"/>
                          </w:rPr>
                        </w:pPr>
                        <w:r>
                          <w:rPr>
                            <w:spacing w:val="-5"/>
                            <w:sz w:val="21"/>
                          </w:rPr>
                          <w:t>8.5</w:t>
                        </w:r>
                      </w:p>
                    </w:tc>
                    <w:tc>
                      <w:tcPr>
                        <w:tcW w:w="996" w:type="dxa"/>
                      </w:tcPr>
                      <w:p>
                        <w:pPr>
                          <w:pStyle w:val="TableParagraph"/>
                          <w:spacing w:before="22"/>
                          <w:ind w:right="45"/>
                          <w:jc w:val="right"/>
                          <w:rPr>
                            <w:sz w:val="21"/>
                          </w:rPr>
                        </w:pPr>
                        <w:r>
                          <w:rPr>
                            <w:spacing w:val="-4"/>
                            <w:sz w:val="21"/>
                          </w:rPr>
                          <w:t>重度疾病</w:t>
                        </w:r>
                      </w:p>
                    </w:tc>
                  </w:tr>
                  <w:tr>
                    <w:trPr>
                      <w:trHeight w:val="311" w:hRule="atLeast"/>
                    </w:trPr>
                    <w:tc>
                      <w:tcPr>
                        <w:tcW w:w="471" w:type="dxa"/>
                      </w:tcPr>
                      <w:p>
                        <w:pPr>
                          <w:pStyle w:val="TableParagraph"/>
                          <w:spacing w:before="22"/>
                          <w:ind w:left="39" w:right="91"/>
                          <w:jc w:val="center"/>
                          <w:rPr>
                            <w:sz w:val="21"/>
                          </w:rPr>
                        </w:pPr>
                        <w:r>
                          <w:rPr>
                            <w:spacing w:val="-5"/>
                            <w:sz w:val="21"/>
                          </w:rPr>
                          <w:t>4.3</w:t>
                        </w:r>
                      </w:p>
                    </w:tc>
                    <w:tc>
                      <w:tcPr>
                        <w:tcW w:w="2341" w:type="dxa"/>
                      </w:tcPr>
                      <w:p>
                        <w:pPr>
                          <w:pStyle w:val="TableParagraph"/>
                          <w:spacing w:before="22"/>
                          <w:ind w:left="104"/>
                          <w:rPr>
                            <w:sz w:val="21"/>
                          </w:rPr>
                        </w:pPr>
                        <w:r>
                          <w:rPr>
                            <w:spacing w:val="-4"/>
                            <w:sz w:val="21"/>
                          </w:rPr>
                          <w:t>合同内容的变更</w:t>
                        </w:r>
                      </w:p>
                    </w:tc>
                    <w:tc>
                      <w:tcPr>
                        <w:tcW w:w="975" w:type="dxa"/>
                      </w:tcPr>
                      <w:p>
                        <w:pPr>
                          <w:pStyle w:val="TableParagraph"/>
                          <w:spacing w:before="22"/>
                          <w:ind w:right="100"/>
                          <w:jc w:val="right"/>
                          <w:rPr>
                            <w:sz w:val="21"/>
                          </w:rPr>
                        </w:pPr>
                        <w:r>
                          <w:rPr>
                            <w:spacing w:val="-5"/>
                            <w:sz w:val="21"/>
                          </w:rPr>
                          <w:t>8.6</w:t>
                        </w:r>
                      </w:p>
                    </w:tc>
                    <w:tc>
                      <w:tcPr>
                        <w:tcW w:w="996" w:type="dxa"/>
                      </w:tcPr>
                      <w:p>
                        <w:pPr>
                          <w:pStyle w:val="TableParagraph"/>
                          <w:spacing w:before="22"/>
                          <w:ind w:right="45"/>
                          <w:jc w:val="right"/>
                          <w:rPr>
                            <w:sz w:val="21"/>
                          </w:rPr>
                        </w:pPr>
                        <w:r>
                          <w:rPr>
                            <w:spacing w:val="-4"/>
                            <w:sz w:val="21"/>
                          </w:rPr>
                          <w:t>中度疾病</w:t>
                        </w:r>
                      </w:p>
                    </w:tc>
                  </w:tr>
                  <w:tr>
                    <w:trPr>
                      <w:trHeight w:val="261" w:hRule="atLeast"/>
                    </w:trPr>
                    <w:tc>
                      <w:tcPr>
                        <w:tcW w:w="471" w:type="dxa"/>
                      </w:tcPr>
                      <w:p>
                        <w:pPr>
                          <w:pStyle w:val="TableParagraph"/>
                          <w:spacing w:line="220" w:lineRule="exact" w:before="22"/>
                          <w:ind w:left="39" w:right="91"/>
                          <w:jc w:val="center"/>
                          <w:rPr>
                            <w:sz w:val="21"/>
                          </w:rPr>
                        </w:pPr>
                        <w:r>
                          <w:rPr>
                            <w:spacing w:val="-5"/>
                            <w:sz w:val="21"/>
                          </w:rPr>
                          <w:t>4.4</w:t>
                        </w:r>
                      </w:p>
                    </w:tc>
                    <w:tc>
                      <w:tcPr>
                        <w:tcW w:w="2341" w:type="dxa"/>
                      </w:tcPr>
                      <w:p>
                        <w:pPr>
                          <w:pStyle w:val="TableParagraph"/>
                          <w:spacing w:line="220" w:lineRule="exact" w:before="22"/>
                          <w:ind w:left="104"/>
                          <w:rPr>
                            <w:sz w:val="21"/>
                          </w:rPr>
                        </w:pPr>
                        <w:r>
                          <w:rPr>
                            <w:spacing w:val="-4"/>
                            <w:sz w:val="21"/>
                          </w:rPr>
                          <w:t>解除合同</w:t>
                        </w:r>
                      </w:p>
                    </w:tc>
                    <w:tc>
                      <w:tcPr>
                        <w:tcW w:w="975" w:type="dxa"/>
                      </w:tcPr>
                      <w:p>
                        <w:pPr>
                          <w:pStyle w:val="TableParagraph"/>
                          <w:spacing w:line="220" w:lineRule="exact" w:before="22"/>
                          <w:ind w:right="100"/>
                          <w:jc w:val="right"/>
                          <w:rPr>
                            <w:sz w:val="21"/>
                          </w:rPr>
                        </w:pPr>
                        <w:r>
                          <w:rPr>
                            <w:spacing w:val="-5"/>
                            <w:sz w:val="21"/>
                          </w:rPr>
                          <w:t>8.7</w:t>
                        </w:r>
                      </w:p>
                    </w:tc>
                    <w:tc>
                      <w:tcPr>
                        <w:tcW w:w="996" w:type="dxa"/>
                      </w:tcPr>
                      <w:p>
                        <w:pPr>
                          <w:pStyle w:val="TableParagraph"/>
                          <w:spacing w:line="220" w:lineRule="exact" w:before="22"/>
                          <w:ind w:right="45"/>
                          <w:jc w:val="right"/>
                          <w:rPr>
                            <w:sz w:val="21"/>
                          </w:rPr>
                        </w:pPr>
                        <w:r>
                          <w:rPr>
                            <w:spacing w:val="-4"/>
                            <w:sz w:val="21"/>
                          </w:rPr>
                          <w:t>轻度疾病</w:t>
                        </w:r>
                      </w:p>
                    </w:tc>
                  </w:tr>
                </w:tbl>
                <w:p>
                  <w:pPr>
                    <w:pStyle w:val="BodyText"/>
                  </w:pPr>
                </w:p>
              </w:txbxContent>
            </v:textbox>
            <w10:wrap type="none"/>
          </v:shape>
        </w:pict>
      </w:r>
      <w:r>
        <w:rPr>
          <w:b/>
          <w:spacing w:val="-3"/>
          <w:sz w:val="21"/>
        </w:rPr>
        <w:t>您对本合同拥有的权利</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0"/>
        </w:rPr>
      </w:pPr>
    </w:p>
    <w:p>
      <w:pPr>
        <w:pStyle w:val="ListParagraph"/>
        <w:numPr>
          <w:ilvl w:val="0"/>
          <w:numId w:val="2"/>
        </w:numPr>
        <w:tabs>
          <w:tab w:pos="625" w:val="left" w:leader="none"/>
          <w:tab w:pos="627" w:val="left" w:leader="none"/>
        </w:tabs>
        <w:spacing w:line="240" w:lineRule="auto" w:before="0" w:after="0"/>
        <w:ind w:left="626" w:right="0" w:hanging="424"/>
        <w:jc w:val="left"/>
        <w:rPr>
          <w:b/>
          <w:sz w:val="21"/>
        </w:rPr>
      </w:pPr>
      <w:r>
        <w:rPr>
          <w:b/>
          <w:spacing w:val="-3"/>
          <w:sz w:val="21"/>
        </w:rPr>
        <w:t>合同效力的中止及恢复</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效力中止</w:t>
      </w:r>
    </w:p>
    <w:p>
      <w:pPr>
        <w:pStyle w:val="ListParagraph"/>
        <w:numPr>
          <w:ilvl w:val="1"/>
          <w:numId w:val="2"/>
        </w:numPr>
        <w:tabs>
          <w:tab w:pos="941" w:val="left" w:leader="none"/>
        </w:tabs>
        <w:spacing w:line="240" w:lineRule="auto" w:before="43" w:after="0"/>
        <w:ind w:left="940" w:right="0" w:hanging="527"/>
        <w:jc w:val="left"/>
        <w:rPr>
          <w:sz w:val="21"/>
        </w:rPr>
      </w:pPr>
      <w:r>
        <w:rPr>
          <w:spacing w:val="-4"/>
          <w:sz w:val="21"/>
        </w:rPr>
        <w:t>效力恢复</w:t>
      </w:r>
    </w:p>
    <w:p>
      <w:pPr>
        <w:pStyle w:val="ListParagraph"/>
        <w:numPr>
          <w:ilvl w:val="0"/>
          <w:numId w:val="2"/>
        </w:numPr>
        <w:tabs>
          <w:tab w:pos="422" w:val="left" w:leader="none"/>
          <w:tab w:pos="423" w:val="left" w:leader="none"/>
        </w:tabs>
        <w:spacing w:line="240" w:lineRule="auto" w:before="72" w:after="0"/>
        <w:ind w:left="422" w:right="343" w:hanging="423"/>
        <w:jc w:val="right"/>
        <w:rPr>
          <w:b/>
          <w:sz w:val="21"/>
        </w:rPr>
      </w:pPr>
      <w:r>
        <w:rPr>
          <w:b/>
          <w:sz w:val="21"/>
        </w:rPr>
        <w:br w:type="column"/>
      </w:r>
      <w:r>
        <w:rPr>
          <w:b/>
          <w:spacing w:val="-2"/>
          <w:sz w:val="21"/>
        </w:rPr>
        <w:t>如何申请领取保险金</w:t>
      </w:r>
    </w:p>
    <w:p>
      <w:pPr>
        <w:pStyle w:val="ListParagraph"/>
        <w:numPr>
          <w:ilvl w:val="1"/>
          <w:numId w:val="2"/>
        </w:numPr>
        <w:tabs>
          <w:tab w:pos="526" w:val="left" w:leader="none"/>
        </w:tabs>
        <w:spacing w:line="240" w:lineRule="auto" w:before="43" w:after="0"/>
        <w:ind w:left="525" w:right="246" w:hanging="526"/>
        <w:jc w:val="right"/>
        <w:rPr>
          <w:sz w:val="21"/>
        </w:rPr>
      </w:pPr>
      <w:r>
        <w:rPr>
          <w:spacing w:val="-4"/>
          <w:sz w:val="21"/>
        </w:rPr>
        <w:t>受益人指定与变更</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保险事故通知</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保险金申请时效</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保险金申请</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保险金给付</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宣告死亡处理</w:t>
      </w:r>
    </w:p>
    <w:p>
      <w:pPr>
        <w:pStyle w:val="ListParagraph"/>
        <w:numPr>
          <w:ilvl w:val="0"/>
          <w:numId w:val="2"/>
        </w:numPr>
        <w:tabs>
          <w:tab w:pos="593" w:val="left" w:leader="none"/>
          <w:tab w:pos="595" w:val="left" w:leader="none"/>
        </w:tabs>
        <w:spacing w:line="240" w:lineRule="auto" w:before="43" w:after="0"/>
        <w:ind w:left="594" w:right="0" w:hanging="424"/>
        <w:jc w:val="left"/>
        <w:rPr>
          <w:b/>
          <w:sz w:val="21"/>
        </w:rPr>
      </w:pPr>
      <w:r>
        <w:rPr>
          <w:b/>
          <w:spacing w:val="-3"/>
          <w:sz w:val="21"/>
        </w:rPr>
        <w:t>您需要关注的其他事项</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投保年龄范围</w:t>
      </w:r>
    </w:p>
    <w:p>
      <w:pPr>
        <w:pStyle w:val="ListParagraph"/>
        <w:numPr>
          <w:ilvl w:val="1"/>
          <w:numId w:val="2"/>
        </w:numPr>
        <w:tabs>
          <w:tab w:pos="909" w:val="left" w:leader="none"/>
        </w:tabs>
        <w:spacing w:line="240" w:lineRule="auto" w:before="43" w:after="0"/>
        <w:ind w:left="908" w:right="0" w:hanging="527"/>
        <w:jc w:val="left"/>
        <w:rPr>
          <w:sz w:val="21"/>
        </w:rPr>
      </w:pPr>
      <w:r>
        <w:rPr>
          <w:spacing w:val="-3"/>
          <w:sz w:val="21"/>
        </w:rPr>
        <w:t>年龄计算及错误处理</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欠款扣除</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通讯地址变更</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司法鉴定</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争议处理</w:t>
      </w:r>
    </w:p>
    <w:p>
      <w:pPr>
        <w:pStyle w:val="ListParagraph"/>
        <w:numPr>
          <w:ilvl w:val="0"/>
          <w:numId w:val="2"/>
        </w:numPr>
        <w:tabs>
          <w:tab w:pos="593" w:val="left" w:leader="none"/>
          <w:tab w:pos="595" w:val="left" w:leader="none"/>
        </w:tabs>
        <w:spacing w:line="240" w:lineRule="auto" w:before="43" w:after="0"/>
        <w:ind w:left="594" w:right="0" w:hanging="424"/>
        <w:jc w:val="left"/>
        <w:rPr>
          <w:b/>
          <w:sz w:val="21"/>
        </w:rPr>
      </w:pPr>
      <w:r>
        <w:rPr>
          <w:b/>
          <w:spacing w:val="-3"/>
          <w:sz w:val="21"/>
        </w:rPr>
        <w:t>您需要了解的重要术语</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保险单周年日</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保险单年度</w:t>
      </w:r>
    </w:p>
    <w:p>
      <w:pPr>
        <w:pStyle w:val="ListParagraph"/>
        <w:numPr>
          <w:ilvl w:val="1"/>
          <w:numId w:val="2"/>
        </w:numPr>
        <w:tabs>
          <w:tab w:pos="909" w:val="left" w:leader="none"/>
        </w:tabs>
        <w:spacing w:line="240" w:lineRule="auto" w:before="43" w:after="0"/>
        <w:ind w:left="908" w:right="0" w:hanging="527"/>
        <w:jc w:val="left"/>
        <w:rPr>
          <w:sz w:val="21"/>
        </w:rPr>
      </w:pPr>
      <w:r>
        <w:rPr>
          <w:spacing w:val="-4"/>
          <w:sz w:val="21"/>
        </w:rPr>
        <w:t>保险费应付日</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p>
    <w:p>
      <w:pPr>
        <w:pStyle w:val="ListParagraph"/>
        <w:numPr>
          <w:ilvl w:val="1"/>
          <w:numId w:val="3"/>
        </w:numPr>
        <w:tabs>
          <w:tab w:pos="909" w:val="left" w:leader="none"/>
        </w:tabs>
        <w:spacing w:line="240" w:lineRule="auto" w:before="0" w:after="0"/>
        <w:ind w:left="908" w:right="0" w:hanging="527"/>
        <w:jc w:val="left"/>
        <w:rPr>
          <w:sz w:val="21"/>
        </w:rPr>
      </w:pPr>
      <w:r>
        <w:rPr>
          <w:spacing w:val="-4"/>
          <w:sz w:val="21"/>
        </w:rPr>
        <w:t>我们认可的医院</w:t>
      </w:r>
    </w:p>
    <w:p>
      <w:pPr>
        <w:pStyle w:val="ListParagraph"/>
        <w:numPr>
          <w:ilvl w:val="1"/>
          <w:numId w:val="3"/>
        </w:numPr>
        <w:tabs>
          <w:tab w:pos="909" w:val="left" w:leader="none"/>
        </w:tabs>
        <w:spacing w:line="240" w:lineRule="auto" w:before="43" w:after="0"/>
        <w:ind w:left="908" w:right="0" w:hanging="527"/>
        <w:jc w:val="left"/>
        <w:rPr>
          <w:sz w:val="21"/>
        </w:rPr>
      </w:pPr>
      <w:r>
        <w:rPr>
          <w:spacing w:val="-4"/>
          <w:sz w:val="21"/>
        </w:rPr>
        <w:t>初次发生</w:t>
      </w:r>
    </w:p>
    <w:p>
      <w:pPr>
        <w:pStyle w:val="ListParagraph"/>
        <w:numPr>
          <w:ilvl w:val="1"/>
          <w:numId w:val="3"/>
        </w:numPr>
        <w:tabs>
          <w:tab w:pos="909" w:val="left" w:leader="none"/>
        </w:tabs>
        <w:spacing w:line="240" w:lineRule="auto" w:before="43" w:after="0"/>
        <w:ind w:left="908" w:right="0" w:hanging="527"/>
        <w:jc w:val="left"/>
        <w:rPr>
          <w:sz w:val="21"/>
        </w:rPr>
      </w:pPr>
      <w:r>
        <w:rPr>
          <w:spacing w:val="-4"/>
          <w:sz w:val="21"/>
        </w:rPr>
        <w:t>现金价值</w:t>
      </w:r>
    </w:p>
    <w:p>
      <w:pPr>
        <w:pStyle w:val="ListParagraph"/>
        <w:numPr>
          <w:ilvl w:val="1"/>
          <w:numId w:val="3"/>
        </w:numPr>
        <w:tabs>
          <w:tab w:pos="835" w:val="left" w:leader="none"/>
        </w:tabs>
        <w:spacing w:line="240" w:lineRule="auto" w:before="72" w:after="0"/>
        <w:ind w:left="834" w:right="0" w:hanging="632"/>
        <w:jc w:val="left"/>
        <w:rPr>
          <w:sz w:val="21"/>
        </w:rPr>
      </w:pPr>
      <w:r>
        <w:rPr>
          <w:sz w:val="21"/>
        </w:rPr>
        <w:br w:type="column"/>
      </w:r>
      <w:r>
        <w:rPr>
          <w:spacing w:val="-5"/>
          <w:sz w:val="21"/>
        </w:rPr>
        <w:t>周岁</w:t>
      </w:r>
    </w:p>
    <w:p>
      <w:pPr>
        <w:pStyle w:val="ListParagraph"/>
        <w:numPr>
          <w:ilvl w:val="1"/>
          <w:numId w:val="3"/>
        </w:numPr>
        <w:tabs>
          <w:tab w:pos="835" w:val="left" w:leader="none"/>
        </w:tabs>
        <w:spacing w:line="240" w:lineRule="auto" w:before="43" w:after="0"/>
        <w:ind w:left="834" w:right="0" w:hanging="632"/>
        <w:jc w:val="left"/>
        <w:rPr>
          <w:sz w:val="21"/>
        </w:rPr>
      </w:pPr>
      <w:r>
        <w:rPr>
          <w:spacing w:val="-5"/>
          <w:sz w:val="21"/>
        </w:rPr>
        <w:t>毒品</w:t>
      </w:r>
    </w:p>
    <w:p>
      <w:pPr>
        <w:pStyle w:val="ListParagraph"/>
        <w:numPr>
          <w:ilvl w:val="1"/>
          <w:numId w:val="3"/>
        </w:numPr>
        <w:tabs>
          <w:tab w:pos="835" w:val="left" w:leader="none"/>
        </w:tabs>
        <w:spacing w:line="240" w:lineRule="auto" w:before="43" w:after="0"/>
        <w:ind w:left="834" w:right="0" w:hanging="632"/>
        <w:jc w:val="left"/>
        <w:rPr>
          <w:sz w:val="21"/>
        </w:rPr>
      </w:pPr>
      <w:r>
        <w:rPr>
          <w:spacing w:val="-4"/>
          <w:sz w:val="21"/>
        </w:rPr>
        <w:t>酒后驾驶</w:t>
      </w:r>
    </w:p>
    <w:p>
      <w:pPr>
        <w:pStyle w:val="ListParagraph"/>
        <w:numPr>
          <w:ilvl w:val="1"/>
          <w:numId w:val="3"/>
        </w:numPr>
        <w:tabs>
          <w:tab w:pos="835" w:val="left" w:leader="none"/>
        </w:tabs>
        <w:spacing w:line="240" w:lineRule="auto" w:before="43" w:after="0"/>
        <w:ind w:left="834" w:right="0" w:hanging="632"/>
        <w:jc w:val="left"/>
        <w:rPr>
          <w:sz w:val="21"/>
        </w:rPr>
      </w:pPr>
      <w:r>
        <w:rPr>
          <w:spacing w:val="-3"/>
          <w:sz w:val="21"/>
        </w:rPr>
        <w:t>无合法有效驾驶证驾驶</w:t>
      </w:r>
    </w:p>
    <w:p>
      <w:pPr>
        <w:pStyle w:val="ListParagraph"/>
        <w:numPr>
          <w:ilvl w:val="1"/>
          <w:numId w:val="3"/>
        </w:numPr>
        <w:tabs>
          <w:tab w:pos="835" w:val="left" w:leader="none"/>
        </w:tabs>
        <w:spacing w:line="240" w:lineRule="auto" w:before="43" w:after="0"/>
        <w:ind w:left="834" w:right="0" w:hanging="632"/>
        <w:jc w:val="left"/>
        <w:rPr>
          <w:sz w:val="21"/>
        </w:rPr>
      </w:pPr>
      <w:r>
        <w:rPr>
          <w:spacing w:val="-4"/>
          <w:sz w:val="21"/>
        </w:rPr>
        <w:t>无合法有效行驶证</w:t>
      </w:r>
    </w:p>
    <w:p>
      <w:pPr>
        <w:pStyle w:val="ListParagraph"/>
        <w:numPr>
          <w:ilvl w:val="1"/>
          <w:numId w:val="3"/>
        </w:numPr>
        <w:tabs>
          <w:tab w:pos="835" w:val="left" w:leader="none"/>
        </w:tabs>
        <w:spacing w:line="240" w:lineRule="auto" w:before="43" w:after="0"/>
        <w:ind w:left="834" w:right="0" w:hanging="632"/>
        <w:jc w:val="left"/>
        <w:rPr>
          <w:sz w:val="21"/>
        </w:rPr>
      </w:pPr>
      <w:r>
        <w:rPr>
          <w:spacing w:val="-3"/>
          <w:sz w:val="21"/>
        </w:rPr>
        <w:t>感染艾滋病病毒或患艾滋病</w:t>
      </w:r>
    </w:p>
    <w:p>
      <w:pPr>
        <w:pStyle w:val="ListParagraph"/>
        <w:numPr>
          <w:ilvl w:val="1"/>
          <w:numId w:val="3"/>
        </w:numPr>
        <w:tabs>
          <w:tab w:pos="835" w:val="left" w:leader="none"/>
        </w:tabs>
        <w:spacing w:line="240" w:lineRule="auto" w:before="43" w:after="0"/>
        <w:ind w:left="834" w:right="0" w:hanging="632"/>
        <w:jc w:val="left"/>
        <w:rPr>
          <w:sz w:val="21"/>
        </w:rPr>
      </w:pPr>
      <w:r>
        <w:rPr>
          <w:spacing w:val="-4"/>
          <w:sz w:val="21"/>
        </w:rPr>
        <w:t>遗传性疾病</w:t>
      </w:r>
    </w:p>
    <w:p>
      <w:pPr>
        <w:pStyle w:val="ListParagraph"/>
        <w:numPr>
          <w:ilvl w:val="1"/>
          <w:numId w:val="3"/>
        </w:numPr>
        <w:tabs>
          <w:tab w:pos="835" w:val="left" w:leader="none"/>
        </w:tabs>
        <w:spacing w:line="278" w:lineRule="auto" w:before="43" w:after="0"/>
        <w:ind w:left="832" w:right="1041" w:hanging="629"/>
        <w:jc w:val="left"/>
        <w:rPr>
          <w:sz w:val="21"/>
        </w:rPr>
      </w:pPr>
      <w:r>
        <w:rPr>
          <w:spacing w:val="-2"/>
          <w:sz w:val="21"/>
        </w:rPr>
        <w:t>先天性畸形、变形或染</w:t>
      </w:r>
      <w:r>
        <w:rPr>
          <w:spacing w:val="-4"/>
          <w:sz w:val="21"/>
        </w:rPr>
        <w:t>色体异常</w:t>
      </w:r>
    </w:p>
    <w:p>
      <w:pPr>
        <w:pStyle w:val="ListParagraph"/>
        <w:numPr>
          <w:ilvl w:val="1"/>
          <w:numId w:val="3"/>
        </w:numPr>
        <w:tabs>
          <w:tab w:pos="835" w:val="left" w:leader="none"/>
        </w:tabs>
        <w:spacing w:line="269" w:lineRule="exact" w:before="0" w:after="0"/>
        <w:ind w:left="834" w:right="0" w:hanging="632"/>
        <w:jc w:val="left"/>
        <w:rPr>
          <w:sz w:val="21"/>
        </w:rPr>
      </w:pPr>
      <w:r>
        <w:rPr>
          <w:spacing w:val="-4"/>
          <w:sz w:val="21"/>
        </w:rPr>
        <w:t>有效身份证件</w:t>
      </w:r>
    </w:p>
    <w:p>
      <w:pPr>
        <w:pStyle w:val="ListParagraph"/>
        <w:numPr>
          <w:ilvl w:val="1"/>
          <w:numId w:val="3"/>
        </w:numPr>
        <w:tabs>
          <w:tab w:pos="835" w:val="left" w:leader="none"/>
        </w:tabs>
        <w:spacing w:line="240" w:lineRule="auto" w:before="43" w:after="0"/>
        <w:ind w:left="834" w:right="0" w:hanging="632"/>
        <w:jc w:val="left"/>
        <w:rPr>
          <w:sz w:val="21"/>
        </w:rPr>
      </w:pPr>
      <w:r>
        <w:rPr>
          <w:spacing w:val="-4"/>
          <w:sz w:val="21"/>
        </w:rPr>
        <w:t>不可抗力</w:t>
      </w:r>
    </w:p>
    <w:p>
      <w:pPr>
        <w:pStyle w:val="ListParagraph"/>
        <w:numPr>
          <w:ilvl w:val="1"/>
          <w:numId w:val="3"/>
        </w:numPr>
        <w:tabs>
          <w:tab w:pos="835" w:val="left" w:leader="none"/>
        </w:tabs>
        <w:spacing w:line="240" w:lineRule="auto" w:before="43" w:after="0"/>
        <w:ind w:left="834" w:right="0" w:hanging="632"/>
        <w:jc w:val="left"/>
        <w:rPr>
          <w:sz w:val="21"/>
        </w:rPr>
      </w:pPr>
      <w:r>
        <w:rPr>
          <w:spacing w:val="-5"/>
          <w:sz w:val="21"/>
        </w:rPr>
        <w:t>利息</w:t>
      </w:r>
    </w:p>
    <w:p>
      <w:pPr>
        <w:pStyle w:val="ListParagraph"/>
        <w:numPr>
          <w:ilvl w:val="1"/>
          <w:numId w:val="3"/>
        </w:numPr>
        <w:tabs>
          <w:tab w:pos="835" w:val="left" w:leader="none"/>
        </w:tabs>
        <w:spacing w:line="240" w:lineRule="auto" w:before="43" w:after="0"/>
        <w:ind w:left="834" w:right="0" w:hanging="632"/>
        <w:jc w:val="left"/>
        <w:rPr>
          <w:sz w:val="21"/>
        </w:rPr>
      </w:pPr>
      <w:r>
        <w:rPr>
          <w:spacing w:val="-4"/>
          <w:sz w:val="21"/>
        </w:rPr>
        <w:t>专科医生</w:t>
      </w:r>
    </w:p>
    <w:p>
      <w:pPr>
        <w:pStyle w:val="ListParagraph"/>
        <w:numPr>
          <w:ilvl w:val="1"/>
          <w:numId w:val="3"/>
        </w:numPr>
        <w:tabs>
          <w:tab w:pos="835" w:val="left" w:leader="none"/>
        </w:tabs>
        <w:spacing w:line="240" w:lineRule="auto" w:before="51" w:after="0"/>
        <w:ind w:left="834" w:right="0" w:hanging="632"/>
        <w:jc w:val="left"/>
        <w:rPr>
          <w:sz w:val="21"/>
        </w:rPr>
      </w:pPr>
      <w:r>
        <w:rPr>
          <w:spacing w:val="-4"/>
          <w:sz w:val="21"/>
        </w:rPr>
        <w:t>组织病理学检查</w:t>
      </w:r>
    </w:p>
    <w:p>
      <w:pPr>
        <w:pStyle w:val="ListParagraph"/>
        <w:numPr>
          <w:ilvl w:val="1"/>
          <w:numId w:val="3"/>
        </w:numPr>
        <w:tabs>
          <w:tab w:pos="835" w:val="left" w:leader="none"/>
        </w:tabs>
        <w:spacing w:line="240" w:lineRule="auto" w:before="30" w:after="0"/>
        <w:ind w:left="834" w:right="0" w:hanging="632"/>
        <w:jc w:val="left"/>
        <w:rPr>
          <w:sz w:val="21"/>
        </w:rPr>
      </w:pPr>
      <w:r>
        <w:rPr>
          <w:spacing w:val="-2"/>
          <w:sz w:val="21"/>
        </w:rPr>
        <w:t>ICD-10</w:t>
      </w:r>
      <w:r>
        <w:rPr>
          <w:spacing w:val="-31"/>
          <w:sz w:val="21"/>
        </w:rPr>
        <w:t> 与 </w:t>
      </w:r>
      <w:r>
        <w:rPr>
          <w:spacing w:val="-2"/>
          <w:sz w:val="21"/>
        </w:rPr>
        <w:t>ICD-O-</w:t>
      </w:r>
      <w:r>
        <w:rPr>
          <w:spacing w:val="-10"/>
          <w:sz w:val="21"/>
        </w:rPr>
        <w:t>3</w:t>
      </w:r>
    </w:p>
    <w:p>
      <w:pPr>
        <w:pStyle w:val="ListParagraph"/>
        <w:numPr>
          <w:ilvl w:val="1"/>
          <w:numId w:val="3"/>
        </w:numPr>
        <w:tabs>
          <w:tab w:pos="835" w:val="left" w:leader="none"/>
        </w:tabs>
        <w:spacing w:line="240" w:lineRule="auto" w:before="31" w:after="0"/>
        <w:ind w:left="834" w:right="0" w:hanging="632"/>
        <w:jc w:val="left"/>
        <w:rPr>
          <w:sz w:val="21"/>
        </w:rPr>
      </w:pPr>
      <w:r>
        <w:rPr>
          <w:sz w:val="21"/>
        </w:rPr>
        <w:t>TNM</w:t>
      </w:r>
      <w:r>
        <w:rPr>
          <w:spacing w:val="-22"/>
          <w:sz w:val="21"/>
        </w:rPr>
        <w:t> 分期</w:t>
      </w:r>
    </w:p>
    <w:p>
      <w:pPr>
        <w:pStyle w:val="ListParagraph"/>
        <w:numPr>
          <w:ilvl w:val="1"/>
          <w:numId w:val="3"/>
        </w:numPr>
        <w:tabs>
          <w:tab w:pos="835" w:val="left" w:leader="none"/>
        </w:tabs>
        <w:spacing w:line="240" w:lineRule="auto" w:before="31" w:after="0"/>
        <w:ind w:left="834" w:right="0" w:hanging="632"/>
        <w:jc w:val="left"/>
        <w:rPr>
          <w:sz w:val="21"/>
        </w:rPr>
      </w:pPr>
      <w:r>
        <w:rPr>
          <w:spacing w:val="-5"/>
          <w:sz w:val="21"/>
        </w:rPr>
        <w:t>肢体</w:t>
      </w:r>
    </w:p>
    <w:p>
      <w:pPr>
        <w:pStyle w:val="ListParagraph"/>
        <w:numPr>
          <w:ilvl w:val="1"/>
          <w:numId w:val="3"/>
        </w:numPr>
        <w:tabs>
          <w:tab w:pos="835" w:val="left" w:leader="none"/>
        </w:tabs>
        <w:spacing w:line="240" w:lineRule="auto" w:before="31" w:after="0"/>
        <w:ind w:left="834" w:right="0" w:hanging="632"/>
        <w:jc w:val="left"/>
        <w:rPr>
          <w:sz w:val="21"/>
        </w:rPr>
      </w:pPr>
      <w:r>
        <w:rPr>
          <w:spacing w:val="-5"/>
          <w:sz w:val="21"/>
        </w:rPr>
        <w:t>肌力</w:t>
      </w:r>
    </w:p>
    <w:p>
      <w:pPr>
        <w:pStyle w:val="ListParagraph"/>
        <w:numPr>
          <w:ilvl w:val="1"/>
          <w:numId w:val="3"/>
        </w:numPr>
        <w:tabs>
          <w:tab w:pos="835" w:val="left" w:leader="none"/>
        </w:tabs>
        <w:spacing w:line="266" w:lineRule="auto" w:before="31" w:after="0"/>
        <w:ind w:left="832" w:right="830" w:hanging="629"/>
        <w:jc w:val="left"/>
        <w:rPr>
          <w:sz w:val="21"/>
        </w:rPr>
      </w:pPr>
      <w:r>
        <w:rPr>
          <w:spacing w:val="-2"/>
          <w:sz w:val="21"/>
        </w:rPr>
        <w:t>语言能力完全丧失，或严</w:t>
      </w:r>
      <w:r>
        <w:rPr>
          <w:spacing w:val="-2"/>
          <w:sz w:val="21"/>
        </w:rPr>
        <w:t>重咀嚼吞咽功能障碍</w:t>
      </w:r>
    </w:p>
    <w:p>
      <w:pPr>
        <w:pStyle w:val="ListParagraph"/>
        <w:numPr>
          <w:ilvl w:val="1"/>
          <w:numId w:val="3"/>
        </w:numPr>
        <w:tabs>
          <w:tab w:pos="835" w:val="left" w:leader="none"/>
        </w:tabs>
        <w:spacing w:line="240" w:lineRule="auto" w:before="3" w:after="0"/>
        <w:ind w:left="834" w:right="0" w:hanging="632"/>
        <w:jc w:val="left"/>
        <w:rPr>
          <w:sz w:val="21"/>
        </w:rPr>
      </w:pPr>
      <w:r>
        <w:rPr>
          <w:spacing w:val="-3"/>
          <w:sz w:val="21"/>
        </w:rPr>
        <w:t>六项基本日常生活活动</w:t>
      </w:r>
    </w:p>
    <w:p>
      <w:pPr>
        <w:pStyle w:val="ListParagraph"/>
        <w:numPr>
          <w:ilvl w:val="1"/>
          <w:numId w:val="3"/>
        </w:numPr>
        <w:tabs>
          <w:tab w:pos="835" w:val="left" w:leader="none"/>
        </w:tabs>
        <w:spacing w:line="240" w:lineRule="auto" w:before="31" w:after="0"/>
        <w:ind w:left="834" w:right="0" w:hanging="632"/>
        <w:jc w:val="left"/>
        <w:rPr>
          <w:sz w:val="21"/>
        </w:rPr>
      </w:pPr>
      <w:r>
        <w:rPr>
          <w:spacing w:val="-4"/>
          <w:sz w:val="21"/>
        </w:rPr>
        <w:t>永久不可逆</w:t>
      </w:r>
    </w:p>
    <w:p>
      <w:pPr>
        <w:pStyle w:val="ListParagraph"/>
        <w:numPr>
          <w:ilvl w:val="1"/>
          <w:numId w:val="3"/>
        </w:numPr>
        <w:tabs>
          <w:tab w:pos="835" w:val="left" w:leader="none"/>
        </w:tabs>
        <w:spacing w:line="266" w:lineRule="auto" w:before="31" w:after="0"/>
        <w:ind w:left="726" w:right="276" w:hanging="524"/>
        <w:jc w:val="left"/>
        <w:rPr>
          <w:sz w:val="21"/>
        </w:rPr>
      </w:pPr>
      <w:r>
        <w:rPr/>
        <w:tab/>
      </w:r>
      <w:r>
        <w:rPr>
          <w:spacing w:val="-2"/>
          <w:sz w:val="21"/>
        </w:rPr>
        <w:t>美国纽约心脏病学会（New</w:t>
      </w:r>
      <w:r>
        <w:rPr>
          <w:spacing w:val="40"/>
          <w:sz w:val="21"/>
        </w:rPr>
        <w:t> </w:t>
      </w:r>
      <w:r>
        <w:rPr>
          <w:spacing w:val="-4"/>
          <w:sz w:val="21"/>
        </w:rPr>
        <w:t>York</w:t>
      </w:r>
      <w:r>
        <w:rPr>
          <w:spacing w:val="-51"/>
          <w:sz w:val="21"/>
        </w:rPr>
        <w:t> </w:t>
      </w:r>
      <w:r>
        <w:rPr>
          <w:spacing w:val="-4"/>
          <w:sz w:val="21"/>
        </w:rPr>
        <w:t>Heart</w:t>
      </w:r>
      <w:r>
        <w:rPr>
          <w:spacing w:val="-53"/>
          <w:sz w:val="21"/>
        </w:rPr>
        <w:t> </w:t>
      </w:r>
      <w:r>
        <w:rPr>
          <w:spacing w:val="-4"/>
          <w:sz w:val="21"/>
        </w:rPr>
        <w:t>Association，NYHA）</w:t>
      </w:r>
      <w:r>
        <w:rPr>
          <w:spacing w:val="-2"/>
          <w:sz w:val="21"/>
        </w:rPr>
        <w:t>心功能状态分级</w:t>
      </w:r>
    </w:p>
    <w:p>
      <w:pPr>
        <w:spacing w:after="0" w:line="266" w:lineRule="auto"/>
        <w:jc w:val="left"/>
        <w:rPr>
          <w:sz w:val="21"/>
        </w:rPr>
        <w:sectPr>
          <w:type w:val="continuous"/>
          <w:pgSz w:w="11910" w:h="16840"/>
          <w:pgMar w:header="0" w:footer="857" w:top="320" w:bottom="1040" w:left="1100" w:right="260"/>
          <w:cols w:num="3" w:equalWidth="0">
            <w:col w:w="3310" w:space="40"/>
            <w:col w:w="2840" w:space="374"/>
            <w:col w:w="3986"/>
          </w:cols>
        </w:sectPr>
      </w:pPr>
    </w:p>
    <w:p>
      <w:pPr>
        <w:pStyle w:val="Title"/>
      </w:pPr>
      <w:r>
        <w:rPr>
          <w:w w:val="95"/>
        </w:rPr>
        <w:t>英</w:t>
      </w:r>
      <w:r>
        <w:rPr>
          <w:w w:val="95"/>
        </w:rPr>
        <w:t>大</w:t>
      </w:r>
      <w:r>
        <w:rPr>
          <w:w w:val="95"/>
        </w:rPr>
        <w:t>泰</w:t>
      </w:r>
      <w:r>
        <w:rPr>
          <w:w w:val="95"/>
        </w:rPr>
        <w:t>和</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spacing w:before="243"/>
        <w:ind w:left="912" w:right="1750" w:firstLine="0"/>
        <w:jc w:val="center"/>
        <w:rPr>
          <w:b/>
          <w:sz w:val="28"/>
        </w:rPr>
      </w:pPr>
      <w:r>
        <w:rPr>
          <w:b/>
          <w:w w:val="95"/>
          <w:sz w:val="28"/>
        </w:rPr>
        <w:t>英</w:t>
      </w:r>
      <w:r>
        <w:rPr>
          <w:b/>
          <w:w w:val="95"/>
          <w:sz w:val="28"/>
        </w:rPr>
        <w:t>大</w:t>
      </w:r>
      <w:r>
        <w:rPr>
          <w:b/>
          <w:w w:val="95"/>
          <w:sz w:val="28"/>
        </w:rPr>
        <w:t>人</w:t>
      </w:r>
      <w:r>
        <w:rPr>
          <w:b/>
          <w:w w:val="95"/>
          <w:sz w:val="28"/>
        </w:rPr>
        <w:t>寿</w:t>
      </w:r>
      <w:r>
        <w:rPr>
          <w:b/>
          <w:w w:val="95"/>
          <w:sz w:val="28"/>
        </w:rPr>
        <w:t>康</w:t>
      </w:r>
      <w:r>
        <w:rPr>
          <w:b/>
          <w:w w:val="95"/>
          <w:sz w:val="28"/>
        </w:rPr>
        <w:t>佑</w:t>
      </w:r>
      <w:r>
        <w:rPr>
          <w:b/>
          <w:w w:val="95"/>
          <w:sz w:val="28"/>
        </w:rPr>
        <w:t>倍</w:t>
      </w:r>
      <w:r>
        <w:rPr>
          <w:b/>
          <w:w w:val="95"/>
          <w:sz w:val="28"/>
        </w:rPr>
        <w:t>护</w:t>
      </w:r>
      <w:r>
        <w:rPr>
          <w:b/>
          <w:w w:val="95"/>
          <w:sz w:val="28"/>
        </w:rPr>
        <w:t>终</w:t>
      </w:r>
      <w:r>
        <w:rPr>
          <w:b/>
          <w:w w:val="95"/>
          <w:sz w:val="28"/>
        </w:rPr>
        <w:t>身</w:t>
      </w:r>
      <w:r>
        <w:rPr>
          <w:b/>
          <w:w w:val="95"/>
          <w:sz w:val="28"/>
        </w:rPr>
        <w:t>重</w:t>
      </w:r>
      <w:r>
        <w:rPr>
          <w:b/>
          <w:w w:val="95"/>
          <w:sz w:val="28"/>
        </w:rPr>
        <w:t>大</w:t>
      </w:r>
      <w:r>
        <w:rPr>
          <w:b/>
          <w:w w:val="95"/>
          <w:sz w:val="28"/>
        </w:rPr>
        <w:t>疾</w:t>
      </w:r>
      <w:r>
        <w:rPr>
          <w:b/>
          <w:w w:val="95"/>
          <w:sz w:val="28"/>
        </w:rPr>
        <w:t>病</w:t>
      </w:r>
      <w:r>
        <w:rPr>
          <w:b/>
          <w:w w:val="95"/>
          <w:sz w:val="28"/>
        </w:rPr>
        <w:t>保</w:t>
      </w:r>
      <w:r>
        <w:rPr>
          <w:b/>
          <w:w w:val="95"/>
          <w:sz w:val="28"/>
        </w:rPr>
        <w:t>险</w:t>
      </w:r>
      <w:r>
        <w:rPr>
          <w:b/>
          <w:w w:val="95"/>
          <w:sz w:val="28"/>
        </w:rPr>
        <w:t>条</w:t>
      </w:r>
      <w:r>
        <w:rPr>
          <w:b/>
          <w:spacing w:val="-10"/>
          <w:w w:val="95"/>
          <w:sz w:val="28"/>
        </w:rPr>
        <w:t>款</w:t>
      </w:r>
    </w:p>
    <w:p>
      <w:pPr>
        <w:pStyle w:val="BodyText"/>
        <w:rPr>
          <w:b/>
          <w:sz w:val="28"/>
        </w:rPr>
      </w:pPr>
    </w:p>
    <w:p>
      <w:pPr>
        <w:spacing w:before="199"/>
        <w:ind w:left="913" w:right="1750" w:firstLine="0"/>
        <w:jc w:val="center"/>
        <w:rPr>
          <w:b/>
          <w:sz w:val="21"/>
        </w:rPr>
      </w:pPr>
      <w:r>
        <w:rPr>
          <w:b/>
          <w:spacing w:val="-24"/>
          <w:sz w:val="21"/>
        </w:rPr>
        <w:t>在本条款中，“您”指投保人，“我们”、“我们公司”均指英大泰和人寿保险股份有限公司。</w:t>
      </w:r>
    </w:p>
    <w:p>
      <w:pPr>
        <w:pStyle w:val="BodyText"/>
        <w:spacing w:before="9"/>
        <w:rPr>
          <w:b/>
          <w:sz w:val="29"/>
        </w:rPr>
      </w:pPr>
    </w:p>
    <w:tbl>
      <w:tblPr>
        <w:tblW w:w="0" w:type="auto"/>
        <w:jc w:val="left"/>
        <w:tblInd w:w="1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4"/>
        <w:gridCol w:w="1858"/>
        <w:gridCol w:w="6651"/>
      </w:tblGrid>
      <w:tr>
        <w:trPr>
          <w:trHeight w:val="446" w:hRule="atLeast"/>
        </w:trPr>
        <w:tc>
          <w:tcPr>
            <w:tcW w:w="964" w:type="dxa"/>
            <w:shd w:val="clear" w:color="auto" w:fill="CCCCCC"/>
          </w:tcPr>
          <w:p>
            <w:pPr>
              <w:pStyle w:val="TableParagraph"/>
              <w:spacing w:before="43"/>
              <w:ind w:left="108"/>
              <w:rPr>
                <w:rFonts w:ascii="Wingdings" w:hAnsi="Wingdings"/>
                <w:sz w:val="32"/>
              </w:rPr>
            </w:pPr>
            <w:r>
              <w:rPr>
                <w:rFonts w:ascii="Wingdings" w:hAnsi="Wingdings"/>
                <w:w w:val="99"/>
                <w:sz w:val="32"/>
              </w:rPr>
              <w:t></w:t>
            </w:r>
          </w:p>
        </w:tc>
        <w:tc>
          <w:tcPr>
            <w:tcW w:w="1858" w:type="dxa"/>
            <w:shd w:val="clear" w:color="auto" w:fill="CCCCCC"/>
          </w:tcPr>
          <w:p>
            <w:pPr>
              <w:pStyle w:val="TableParagraph"/>
              <w:spacing w:before="87"/>
              <w:ind w:left="327"/>
              <w:rPr>
                <w:b/>
                <w:sz w:val="21"/>
              </w:rPr>
            </w:pPr>
            <w:r>
              <w:rPr>
                <w:b/>
                <w:spacing w:val="-2"/>
                <w:sz w:val="21"/>
              </w:rPr>
              <w:t>您与我们的合同</w:t>
            </w:r>
          </w:p>
        </w:tc>
        <w:tc>
          <w:tcPr>
            <w:tcW w:w="6651" w:type="dxa"/>
            <w:shd w:val="clear" w:color="auto" w:fill="CCCCCC"/>
          </w:tcPr>
          <w:p>
            <w:pPr>
              <w:pStyle w:val="TableParagraph"/>
              <w:rPr>
                <w:rFonts w:ascii="Times New Roman"/>
                <w:sz w:val="20"/>
              </w:rPr>
            </w:pPr>
          </w:p>
        </w:tc>
      </w:tr>
      <w:tr>
        <w:trPr>
          <w:trHeight w:val="1261" w:hRule="atLeast"/>
        </w:trPr>
        <w:tc>
          <w:tcPr>
            <w:tcW w:w="964" w:type="dxa"/>
          </w:tcPr>
          <w:p>
            <w:pPr>
              <w:pStyle w:val="TableParagraph"/>
              <w:spacing w:before="80"/>
              <w:ind w:left="108"/>
              <w:rPr>
                <w:sz w:val="21"/>
              </w:rPr>
            </w:pPr>
            <w:r>
              <w:rPr>
                <w:spacing w:val="-5"/>
                <w:sz w:val="21"/>
              </w:rPr>
              <w:t>1.1</w:t>
            </w:r>
          </w:p>
        </w:tc>
        <w:tc>
          <w:tcPr>
            <w:tcW w:w="1858" w:type="dxa"/>
          </w:tcPr>
          <w:p>
            <w:pPr>
              <w:pStyle w:val="TableParagraph"/>
              <w:spacing w:before="80"/>
              <w:ind w:left="327"/>
              <w:rPr>
                <w:sz w:val="21"/>
              </w:rPr>
            </w:pPr>
            <w:r>
              <w:rPr>
                <w:spacing w:val="-4"/>
                <w:sz w:val="21"/>
              </w:rPr>
              <w:t>合同构成</w:t>
            </w:r>
          </w:p>
        </w:tc>
        <w:tc>
          <w:tcPr>
            <w:tcW w:w="6651" w:type="dxa"/>
          </w:tcPr>
          <w:p>
            <w:pPr>
              <w:pStyle w:val="TableParagraph"/>
              <w:spacing w:line="297" w:lineRule="auto" w:before="80"/>
              <w:ind w:left="51" w:right="104"/>
              <w:jc w:val="both"/>
              <w:rPr>
                <w:sz w:val="21"/>
              </w:rPr>
            </w:pPr>
            <w:r>
              <w:rPr>
                <w:spacing w:val="-2"/>
                <w:sz w:val="21"/>
              </w:rPr>
              <w:t>英大人寿康佑倍护终身重大疾病保险合同（以下简称本合同）由保险单</w:t>
            </w:r>
            <w:r>
              <w:rPr>
                <w:spacing w:val="-2"/>
                <w:sz w:val="21"/>
              </w:rPr>
              <w:t>及其所附条款、声明、批注、批单，以及与本合同有关的投保单（含健</w:t>
            </w:r>
            <w:r>
              <w:rPr>
                <w:spacing w:val="-2"/>
                <w:sz w:val="21"/>
              </w:rPr>
              <w:t>康声明）和其他书面协议共同构成。</w:t>
            </w:r>
          </w:p>
        </w:tc>
      </w:tr>
      <w:tr>
        <w:trPr>
          <w:trHeight w:val="1926" w:hRule="atLeast"/>
        </w:trPr>
        <w:tc>
          <w:tcPr>
            <w:tcW w:w="964" w:type="dxa"/>
          </w:tcPr>
          <w:p>
            <w:pPr>
              <w:pStyle w:val="TableParagraph"/>
              <w:spacing w:before="1"/>
              <w:rPr>
                <w:b/>
                <w:sz w:val="19"/>
              </w:rPr>
            </w:pPr>
          </w:p>
          <w:p>
            <w:pPr>
              <w:pStyle w:val="TableParagraph"/>
              <w:ind w:left="108"/>
              <w:rPr>
                <w:sz w:val="21"/>
              </w:rPr>
            </w:pPr>
            <w:r>
              <w:rPr>
                <w:spacing w:val="-5"/>
                <w:sz w:val="21"/>
              </w:rPr>
              <w:t>1.2</w:t>
            </w:r>
          </w:p>
        </w:tc>
        <w:tc>
          <w:tcPr>
            <w:tcW w:w="1858" w:type="dxa"/>
          </w:tcPr>
          <w:p>
            <w:pPr>
              <w:pStyle w:val="TableParagraph"/>
              <w:spacing w:before="1"/>
              <w:rPr>
                <w:b/>
                <w:sz w:val="19"/>
              </w:rPr>
            </w:pPr>
          </w:p>
          <w:p>
            <w:pPr>
              <w:pStyle w:val="TableParagraph"/>
              <w:ind w:left="327"/>
              <w:rPr>
                <w:sz w:val="21"/>
              </w:rPr>
            </w:pPr>
            <w:r>
              <w:rPr>
                <w:spacing w:val="-4"/>
                <w:sz w:val="21"/>
              </w:rPr>
              <w:t>合同生效</w:t>
            </w:r>
          </w:p>
        </w:tc>
        <w:tc>
          <w:tcPr>
            <w:tcW w:w="6651" w:type="dxa"/>
          </w:tcPr>
          <w:p>
            <w:pPr>
              <w:pStyle w:val="TableParagraph"/>
              <w:spacing w:before="1"/>
              <w:rPr>
                <w:b/>
                <w:sz w:val="19"/>
              </w:rPr>
            </w:pPr>
          </w:p>
          <w:p>
            <w:pPr>
              <w:pStyle w:val="TableParagraph"/>
              <w:spacing w:line="297" w:lineRule="auto"/>
              <w:ind w:left="51" w:right="104"/>
              <w:jc w:val="both"/>
              <w:rPr>
                <w:sz w:val="21"/>
              </w:rPr>
            </w:pPr>
            <w:r>
              <w:rPr>
                <w:spacing w:val="-2"/>
                <w:sz w:val="21"/>
              </w:rPr>
              <w:t>本合同以我们同意承保、收取首期保险费并签发保险单为生效条件，生</w:t>
            </w:r>
            <w:r>
              <w:rPr>
                <w:spacing w:val="-10"/>
                <w:sz w:val="21"/>
              </w:rPr>
              <w:t>效日载明于保险单上。</w:t>
            </w:r>
            <w:r>
              <w:rPr>
                <w:color w:val="000000"/>
                <w:spacing w:val="-10"/>
                <w:sz w:val="21"/>
                <w:shd w:fill="BEBEBE" w:color="auto" w:val="clear"/>
              </w:rPr>
              <w:t>保险单周年日</w:t>
            </w:r>
            <w:r>
              <w:rPr>
                <w:color w:val="000000"/>
                <w:spacing w:val="-10"/>
                <w:sz w:val="21"/>
              </w:rPr>
              <w:t>（</w:t>
            </w:r>
            <w:r>
              <w:rPr>
                <w:color w:val="000000"/>
                <w:spacing w:val="-12"/>
                <w:sz w:val="21"/>
              </w:rPr>
              <w:t>见 </w:t>
            </w:r>
            <w:r>
              <w:rPr>
                <w:color w:val="000000"/>
                <w:spacing w:val="17"/>
                <w:sz w:val="21"/>
              </w:rPr>
              <w:t>8.</w:t>
            </w:r>
            <w:r>
              <w:rPr>
                <w:color w:val="000000"/>
                <w:spacing w:val="14"/>
                <w:sz w:val="21"/>
              </w:rPr>
              <w:t>1</w:t>
            </w:r>
            <w:r>
              <w:rPr>
                <w:color w:val="000000"/>
                <w:spacing w:val="-89"/>
                <w:sz w:val="21"/>
              </w:rPr>
              <w:t>）</w:t>
            </w:r>
            <w:r>
              <w:rPr>
                <w:color w:val="000000"/>
                <w:spacing w:val="-10"/>
                <w:sz w:val="21"/>
              </w:rPr>
              <w:t>、</w:t>
            </w:r>
            <w:r>
              <w:rPr>
                <w:color w:val="000000"/>
                <w:spacing w:val="-10"/>
                <w:sz w:val="21"/>
                <w:shd w:fill="BEBEBE" w:color="auto" w:val="clear"/>
              </w:rPr>
              <w:t>保险单年度</w:t>
            </w:r>
            <w:r>
              <w:rPr>
                <w:color w:val="000000"/>
                <w:spacing w:val="-10"/>
                <w:sz w:val="21"/>
              </w:rPr>
              <w:t>（</w:t>
            </w:r>
            <w:r>
              <w:rPr>
                <w:color w:val="000000"/>
                <w:spacing w:val="-12"/>
                <w:sz w:val="21"/>
              </w:rPr>
              <w:t>见 </w:t>
            </w:r>
            <w:r>
              <w:rPr>
                <w:color w:val="000000"/>
                <w:spacing w:val="14"/>
                <w:sz w:val="21"/>
              </w:rPr>
              <w:t>8</w:t>
            </w:r>
            <w:r>
              <w:rPr>
                <w:color w:val="000000"/>
                <w:spacing w:val="17"/>
                <w:sz w:val="21"/>
              </w:rPr>
              <w:t>.</w:t>
            </w:r>
            <w:r>
              <w:rPr>
                <w:color w:val="000000"/>
                <w:spacing w:val="16"/>
                <w:sz w:val="21"/>
              </w:rPr>
              <w:t>2</w:t>
            </w:r>
            <w:r>
              <w:rPr>
                <w:color w:val="000000"/>
                <w:spacing w:val="-89"/>
                <w:sz w:val="21"/>
              </w:rPr>
              <w:t>）</w:t>
            </w:r>
            <w:r>
              <w:rPr>
                <w:color w:val="000000"/>
                <w:spacing w:val="-106"/>
                <w:sz w:val="21"/>
              </w:rPr>
              <w:t>、</w:t>
            </w:r>
            <w:r>
              <w:rPr>
                <w:color w:val="000000"/>
                <w:sz w:val="21"/>
                <w:shd w:fill="BEBEBE" w:color="auto" w:val="clear"/>
              </w:rPr>
              <w:t>保险费应付日</w:t>
            </w:r>
            <w:r>
              <w:rPr>
                <w:color w:val="000000"/>
                <w:sz w:val="21"/>
              </w:rPr>
              <w:t>（</w:t>
            </w:r>
            <w:r>
              <w:rPr>
                <w:color w:val="000000"/>
                <w:spacing w:val="-21"/>
                <w:sz w:val="21"/>
              </w:rPr>
              <w:t>见 </w:t>
            </w:r>
            <w:r>
              <w:rPr>
                <w:color w:val="000000"/>
                <w:sz w:val="21"/>
              </w:rPr>
              <w:t>8.3）均依据生效日确定。</w:t>
            </w:r>
          </w:p>
          <w:p>
            <w:pPr>
              <w:pStyle w:val="TableParagraph"/>
              <w:spacing w:before="3"/>
              <w:ind w:left="51"/>
              <w:rPr>
                <w:sz w:val="21"/>
              </w:rPr>
            </w:pPr>
            <w:r>
              <w:rPr>
                <w:spacing w:val="-3"/>
                <w:sz w:val="21"/>
              </w:rPr>
              <w:t>我们自本合同生效日零时开始承担本合同约定的保险责任。</w:t>
            </w:r>
          </w:p>
        </w:tc>
      </w:tr>
      <w:tr>
        <w:trPr>
          <w:trHeight w:val="446" w:hRule="atLeast"/>
        </w:trPr>
        <w:tc>
          <w:tcPr>
            <w:tcW w:w="964" w:type="dxa"/>
            <w:shd w:val="clear" w:color="auto" w:fill="C0C0C0"/>
          </w:tcPr>
          <w:p>
            <w:pPr>
              <w:pStyle w:val="TableParagraph"/>
              <w:spacing w:before="43"/>
              <w:ind w:left="108"/>
              <w:rPr>
                <w:rFonts w:ascii="Wingdings" w:hAnsi="Wingdings"/>
                <w:sz w:val="32"/>
              </w:rPr>
            </w:pPr>
            <w:r>
              <w:rPr>
                <w:rFonts w:ascii="Wingdings" w:hAnsi="Wingdings"/>
                <w:w w:val="99"/>
                <w:sz w:val="32"/>
              </w:rPr>
              <w:t></w:t>
            </w:r>
          </w:p>
        </w:tc>
        <w:tc>
          <w:tcPr>
            <w:tcW w:w="1858" w:type="dxa"/>
            <w:shd w:val="clear" w:color="auto" w:fill="C0C0C0"/>
          </w:tcPr>
          <w:p>
            <w:pPr>
              <w:pStyle w:val="TableParagraph"/>
              <w:spacing w:before="87"/>
              <w:ind w:left="327"/>
              <w:rPr>
                <w:b/>
                <w:sz w:val="21"/>
              </w:rPr>
            </w:pPr>
            <w:r>
              <w:rPr>
                <w:b/>
                <w:spacing w:val="-2"/>
                <w:sz w:val="21"/>
              </w:rPr>
              <w:t>您获得的保障</w:t>
            </w:r>
          </w:p>
        </w:tc>
        <w:tc>
          <w:tcPr>
            <w:tcW w:w="6651" w:type="dxa"/>
            <w:shd w:val="clear" w:color="auto" w:fill="C0C0C0"/>
          </w:tcPr>
          <w:p>
            <w:pPr>
              <w:pStyle w:val="TableParagraph"/>
              <w:rPr>
                <w:rFonts w:ascii="Times New Roman"/>
                <w:sz w:val="20"/>
              </w:rPr>
            </w:pPr>
          </w:p>
        </w:tc>
      </w:tr>
      <w:tr>
        <w:trPr>
          <w:trHeight w:val="591" w:hRule="atLeast"/>
        </w:trPr>
        <w:tc>
          <w:tcPr>
            <w:tcW w:w="964" w:type="dxa"/>
          </w:tcPr>
          <w:p>
            <w:pPr>
              <w:pStyle w:val="TableParagraph"/>
              <w:spacing w:before="78"/>
              <w:ind w:left="108"/>
              <w:rPr>
                <w:sz w:val="21"/>
              </w:rPr>
            </w:pPr>
            <w:r>
              <w:rPr>
                <w:spacing w:val="-5"/>
                <w:sz w:val="21"/>
              </w:rPr>
              <w:t>2.1</w:t>
            </w:r>
          </w:p>
        </w:tc>
        <w:tc>
          <w:tcPr>
            <w:tcW w:w="1858" w:type="dxa"/>
          </w:tcPr>
          <w:p>
            <w:pPr>
              <w:pStyle w:val="TableParagraph"/>
              <w:spacing w:before="78"/>
              <w:ind w:left="327"/>
              <w:rPr>
                <w:sz w:val="21"/>
              </w:rPr>
            </w:pPr>
            <w:r>
              <w:rPr>
                <w:spacing w:val="-4"/>
                <w:sz w:val="21"/>
              </w:rPr>
              <w:t>基本保险金额</w:t>
            </w:r>
          </w:p>
        </w:tc>
        <w:tc>
          <w:tcPr>
            <w:tcW w:w="6651" w:type="dxa"/>
          </w:tcPr>
          <w:p>
            <w:pPr>
              <w:pStyle w:val="TableParagraph"/>
              <w:spacing w:before="78"/>
              <w:ind w:left="51"/>
              <w:rPr>
                <w:sz w:val="21"/>
              </w:rPr>
            </w:pPr>
            <w:r>
              <w:rPr>
                <w:spacing w:val="-3"/>
                <w:sz w:val="21"/>
              </w:rPr>
              <w:t>本合同的基本保险金额由您在投保时与我们约定，并在保险单上载明。</w:t>
            </w:r>
          </w:p>
        </w:tc>
      </w:tr>
      <w:tr>
        <w:trPr>
          <w:trHeight w:val="1425" w:hRule="atLeast"/>
        </w:trPr>
        <w:tc>
          <w:tcPr>
            <w:tcW w:w="964" w:type="dxa"/>
          </w:tcPr>
          <w:p>
            <w:pPr>
              <w:pStyle w:val="TableParagraph"/>
              <w:spacing w:before="1"/>
              <w:rPr>
                <w:b/>
                <w:sz w:val="19"/>
              </w:rPr>
            </w:pPr>
          </w:p>
          <w:p>
            <w:pPr>
              <w:pStyle w:val="TableParagraph"/>
              <w:spacing w:before="1"/>
              <w:ind w:left="108"/>
              <w:rPr>
                <w:sz w:val="21"/>
              </w:rPr>
            </w:pPr>
            <w:r>
              <w:rPr>
                <w:spacing w:val="-5"/>
                <w:sz w:val="21"/>
              </w:rPr>
              <w:t>2.2</w:t>
            </w:r>
          </w:p>
        </w:tc>
        <w:tc>
          <w:tcPr>
            <w:tcW w:w="1858" w:type="dxa"/>
          </w:tcPr>
          <w:p>
            <w:pPr>
              <w:pStyle w:val="TableParagraph"/>
              <w:spacing w:before="1"/>
              <w:rPr>
                <w:b/>
                <w:sz w:val="19"/>
              </w:rPr>
            </w:pPr>
          </w:p>
          <w:p>
            <w:pPr>
              <w:pStyle w:val="TableParagraph"/>
              <w:spacing w:line="297" w:lineRule="auto" w:before="1"/>
              <w:ind w:left="327" w:right="161"/>
              <w:rPr>
                <w:sz w:val="21"/>
              </w:rPr>
            </w:pPr>
            <w:r>
              <w:rPr>
                <w:spacing w:val="14"/>
                <w:sz w:val="21"/>
              </w:rPr>
              <w:t>未成年人身故</w:t>
            </w:r>
            <w:r>
              <w:rPr>
                <w:spacing w:val="-2"/>
                <w:sz w:val="21"/>
              </w:rPr>
              <w:t>保险金限制</w:t>
            </w:r>
          </w:p>
        </w:tc>
        <w:tc>
          <w:tcPr>
            <w:tcW w:w="6651" w:type="dxa"/>
          </w:tcPr>
          <w:p>
            <w:pPr>
              <w:pStyle w:val="TableParagraph"/>
              <w:spacing w:before="1"/>
              <w:rPr>
                <w:b/>
                <w:sz w:val="19"/>
              </w:rPr>
            </w:pPr>
          </w:p>
          <w:p>
            <w:pPr>
              <w:pStyle w:val="TableParagraph"/>
              <w:spacing w:line="297" w:lineRule="auto" w:before="1"/>
              <w:ind w:left="51" w:right="101"/>
              <w:jc w:val="both"/>
              <w:rPr>
                <w:sz w:val="21"/>
              </w:rPr>
            </w:pPr>
            <w:r>
              <w:rPr>
                <w:spacing w:val="-2"/>
                <w:sz w:val="21"/>
              </w:rPr>
              <w:t>为未成年子女投保的人身保险，因被保险人身故给付的保险金总和不得</w:t>
            </w:r>
            <w:r>
              <w:rPr>
                <w:spacing w:val="-2"/>
                <w:sz w:val="21"/>
              </w:rPr>
              <w:t>超过国务院保险监督管理机构规定的限额，身故给付的保险金额总和约</w:t>
            </w:r>
            <w:r>
              <w:rPr>
                <w:spacing w:val="-2"/>
                <w:sz w:val="21"/>
              </w:rPr>
              <w:t>定也不得超过前述限额。</w:t>
            </w:r>
          </w:p>
        </w:tc>
      </w:tr>
      <w:tr>
        <w:trPr>
          <w:trHeight w:val="758" w:hRule="atLeast"/>
        </w:trPr>
        <w:tc>
          <w:tcPr>
            <w:tcW w:w="964" w:type="dxa"/>
          </w:tcPr>
          <w:p>
            <w:pPr>
              <w:pStyle w:val="TableParagraph"/>
              <w:spacing w:before="1"/>
              <w:rPr>
                <w:b/>
                <w:sz w:val="19"/>
              </w:rPr>
            </w:pPr>
          </w:p>
          <w:p>
            <w:pPr>
              <w:pStyle w:val="TableParagraph"/>
              <w:ind w:left="108"/>
              <w:rPr>
                <w:sz w:val="21"/>
              </w:rPr>
            </w:pPr>
            <w:r>
              <w:rPr>
                <w:spacing w:val="-5"/>
                <w:sz w:val="21"/>
              </w:rPr>
              <w:t>2.3</w:t>
            </w:r>
          </w:p>
        </w:tc>
        <w:tc>
          <w:tcPr>
            <w:tcW w:w="1858" w:type="dxa"/>
          </w:tcPr>
          <w:p>
            <w:pPr>
              <w:pStyle w:val="TableParagraph"/>
              <w:spacing w:before="1"/>
              <w:rPr>
                <w:b/>
                <w:sz w:val="19"/>
              </w:rPr>
            </w:pPr>
          </w:p>
          <w:p>
            <w:pPr>
              <w:pStyle w:val="TableParagraph"/>
              <w:ind w:left="327"/>
              <w:rPr>
                <w:sz w:val="21"/>
              </w:rPr>
            </w:pPr>
            <w:r>
              <w:rPr>
                <w:spacing w:val="-4"/>
                <w:sz w:val="21"/>
              </w:rPr>
              <w:t>保险期间</w:t>
            </w:r>
          </w:p>
        </w:tc>
        <w:tc>
          <w:tcPr>
            <w:tcW w:w="6651" w:type="dxa"/>
          </w:tcPr>
          <w:p>
            <w:pPr>
              <w:pStyle w:val="TableParagraph"/>
              <w:spacing w:before="1"/>
              <w:rPr>
                <w:b/>
                <w:sz w:val="19"/>
              </w:rPr>
            </w:pPr>
          </w:p>
          <w:p>
            <w:pPr>
              <w:pStyle w:val="TableParagraph"/>
              <w:ind w:left="51"/>
              <w:rPr>
                <w:sz w:val="21"/>
              </w:rPr>
            </w:pPr>
            <w:r>
              <w:rPr>
                <w:spacing w:val="-3"/>
                <w:sz w:val="21"/>
              </w:rPr>
              <w:t>本合同的保险期间为被保险人终身，自本合同生效日零时开始。</w:t>
            </w:r>
          </w:p>
        </w:tc>
      </w:tr>
      <w:tr>
        <w:trPr>
          <w:trHeight w:val="881" w:hRule="atLeast"/>
        </w:trPr>
        <w:tc>
          <w:tcPr>
            <w:tcW w:w="964" w:type="dxa"/>
          </w:tcPr>
          <w:p>
            <w:pPr>
              <w:pStyle w:val="TableParagraph"/>
              <w:spacing w:before="1"/>
              <w:rPr>
                <w:b/>
                <w:sz w:val="19"/>
              </w:rPr>
            </w:pPr>
          </w:p>
          <w:p>
            <w:pPr>
              <w:pStyle w:val="TableParagraph"/>
              <w:ind w:left="108"/>
              <w:rPr>
                <w:sz w:val="21"/>
              </w:rPr>
            </w:pPr>
            <w:r>
              <w:rPr>
                <w:spacing w:val="-5"/>
                <w:sz w:val="21"/>
              </w:rPr>
              <w:t>2.4</w:t>
            </w:r>
          </w:p>
        </w:tc>
        <w:tc>
          <w:tcPr>
            <w:tcW w:w="1858" w:type="dxa"/>
          </w:tcPr>
          <w:p>
            <w:pPr>
              <w:pStyle w:val="TableParagraph"/>
              <w:spacing w:before="1"/>
              <w:rPr>
                <w:b/>
                <w:sz w:val="19"/>
              </w:rPr>
            </w:pPr>
          </w:p>
          <w:p>
            <w:pPr>
              <w:pStyle w:val="TableParagraph"/>
              <w:ind w:left="327"/>
              <w:rPr>
                <w:sz w:val="21"/>
              </w:rPr>
            </w:pPr>
            <w:r>
              <w:rPr>
                <w:spacing w:val="-4"/>
                <w:sz w:val="21"/>
              </w:rPr>
              <w:t>等待期</w:t>
            </w:r>
          </w:p>
        </w:tc>
        <w:tc>
          <w:tcPr>
            <w:tcW w:w="6651" w:type="dxa"/>
          </w:tcPr>
          <w:p>
            <w:pPr>
              <w:pStyle w:val="TableParagraph"/>
              <w:spacing w:before="4"/>
              <w:rPr>
                <w:b/>
                <w:sz w:val="14"/>
              </w:rPr>
            </w:pPr>
          </w:p>
          <w:p>
            <w:pPr>
              <w:pStyle w:val="TableParagraph"/>
              <w:spacing w:line="330" w:lineRule="atLeast"/>
              <w:ind w:left="51" w:right="101"/>
              <w:rPr>
                <w:b/>
                <w:sz w:val="21"/>
              </w:rPr>
            </w:pPr>
            <w:r>
              <w:rPr>
                <w:b/>
                <w:spacing w:val="-2"/>
                <w:sz w:val="21"/>
              </w:rPr>
              <w:t>本合同生效之日（或最后复效之日，以较迟者为准）起90日（含）内被</w:t>
            </w:r>
            <w:r>
              <w:rPr>
                <w:b/>
                <w:w w:val="95"/>
                <w:sz w:val="21"/>
              </w:rPr>
              <w:t>保</w:t>
            </w:r>
            <w:r>
              <w:rPr>
                <w:b/>
                <w:w w:val="95"/>
                <w:sz w:val="21"/>
              </w:rPr>
              <w:t>险</w:t>
            </w:r>
            <w:r>
              <w:rPr>
                <w:b/>
                <w:w w:val="95"/>
                <w:sz w:val="21"/>
              </w:rPr>
              <w:t>人</w:t>
            </w:r>
            <w:r>
              <w:rPr>
                <w:b/>
                <w:w w:val="95"/>
                <w:sz w:val="21"/>
              </w:rPr>
              <w:t>因</w:t>
            </w:r>
            <w:r>
              <w:rPr>
                <w:b/>
                <w:color w:val="000000"/>
                <w:w w:val="95"/>
                <w:sz w:val="21"/>
                <w:shd w:fill="BEBEBE" w:color="auto" w:val="clear"/>
              </w:rPr>
              <w:t>意</w:t>
            </w:r>
            <w:r>
              <w:rPr>
                <w:b/>
                <w:color w:val="000000"/>
                <w:w w:val="95"/>
                <w:sz w:val="21"/>
                <w:shd w:fill="BEBEBE" w:color="auto" w:val="clear"/>
              </w:rPr>
              <w:t>外</w:t>
            </w:r>
            <w:r>
              <w:rPr>
                <w:b/>
                <w:color w:val="000000"/>
                <w:w w:val="95"/>
                <w:sz w:val="21"/>
                <w:shd w:fill="BEBEBE" w:color="auto" w:val="clear"/>
              </w:rPr>
              <w:t>伤</w:t>
            </w:r>
            <w:r>
              <w:rPr>
                <w:b/>
                <w:color w:val="000000"/>
                <w:spacing w:val="-51"/>
                <w:w w:val="95"/>
                <w:sz w:val="21"/>
                <w:shd w:fill="BEBEBE" w:color="auto" w:val="clear"/>
              </w:rPr>
              <w:t>害</w:t>
            </w:r>
            <w:r>
              <w:rPr>
                <w:b/>
                <w:color w:val="000000"/>
                <w:w w:val="95"/>
                <w:sz w:val="21"/>
                <w:shd w:fill="BEBEBE" w:color="auto" w:val="clear"/>
              </w:rPr>
              <w:t>（</w:t>
            </w:r>
            <w:r>
              <w:rPr>
                <w:b/>
                <w:color w:val="000000"/>
                <w:w w:val="95"/>
                <w:sz w:val="21"/>
              </w:rPr>
              <w:t>见8.4）</w:t>
            </w:r>
            <w:r>
              <w:rPr>
                <w:b/>
                <w:color w:val="000000"/>
                <w:w w:val="95"/>
                <w:sz w:val="21"/>
              </w:rPr>
              <w:t>之</w:t>
            </w:r>
            <w:r>
              <w:rPr>
                <w:b/>
                <w:color w:val="000000"/>
                <w:w w:val="95"/>
                <w:sz w:val="21"/>
              </w:rPr>
              <w:t>外</w:t>
            </w:r>
            <w:r>
              <w:rPr>
                <w:b/>
                <w:color w:val="000000"/>
                <w:w w:val="95"/>
                <w:sz w:val="21"/>
              </w:rPr>
              <w:t>的</w:t>
            </w:r>
            <w:r>
              <w:rPr>
                <w:b/>
                <w:color w:val="000000"/>
                <w:w w:val="95"/>
                <w:sz w:val="21"/>
              </w:rPr>
              <w:t>原</w:t>
            </w:r>
            <w:r>
              <w:rPr>
                <w:b/>
                <w:color w:val="000000"/>
                <w:w w:val="95"/>
                <w:sz w:val="21"/>
              </w:rPr>
              <w:t>因</w:t>
            </w:r>
            <w:r>
              <w:rPr>
                <w:b/>
                <w:color w:val="000000"/>
                <w:w w:val="95"/>
                <w:sz w:val="21"/>
              </w:rPr>
              <w:t>发</w:t>
            </w:r>
            <w:r>
              <w:rPr>
                <w:b/>
                <w:color w:val="000000"/>
                <w:w w:val="95"/>
                <w:sz w:val="21"/>
              </w:rPr>
              <w:t>生</w:t>
            </w:r>
            <w:r>
              <w:rPr>
                <w:b/>
                <w:color w:val="000000"/>
                <w:w w:val="95"/>
                <w:sz w:val="21"/>
              </w:rPr>
              <w:t>本合同</w:t>
            </w:r>
            <w:r>
              <w:rPr>
                <w:b/>
                <w:color w:val="000000"/>
                <w:w w:val="95"/>
                <w:sz w:val="21"/>
              </w:rPr>
              <w:t>约</w:t>
            </w:r>
            <w:r>
              <w:rPr>
                <w:b/>
                <w:color w:val="000000"/>
                <w:w w:val="95"/>
                <w:sz w:val="21"/>
              </w:rPr>
              <w:t>定</w:t>
            </w:r>
            <w:r>
              <w:rPr>
                <w:b/>
                <w:color w:val="000000"/>
                <w:w w:val="95"/>
                <w:sz w:val="21"/>
              </w:rPr>
              <w:t>的</w:t>
            </w:r>
            <w:r>
              <w:rPr>
                <w:b/>
                <w:color w:val="000000"/>
                <w:w w:val="95"/>
                <w:sz w:val="21"/>
                <w:shd w:fill="BEBEBE" w:color="auto" w:val="clear"/>
              </w:rPr>
              <w:t>重</w:t>
            </w:r>
            <w:r>
              <w:rPr>
                <w:b/>
                <w:color w:val="000000"/>
                <w:w w:val="95"/>
                <w:sz w:val="21"/>
                <w:shd w:fill="BEBEBE" w:color="auto" w:val="clear"/>
              </w:rPr>
              <w:t>度</w:t>
            </w:r>
            <w:r>
              <w:rPr>
                <w:b/>
                <w:color w:val="000000"/>
                <w:w w:val="95"/>
                <w:sz w:val="21"/>
                <w:shd w:fill="BEBEBE" w:color="auto" w:val="clear"/>
              </w:rPr>
              <w:t>疾</w:t>
            </w:r>
            <w:r>
              <w:rPr>
                <w:b/>
                <w:color w:val="000000"/>
                <w:spacing w:val="-51"/>
                <w:w w:val="95"/>
                <w:sz w:val="21"/>
                <w:shd w:fill="BEBEBE" w:color="auto" w:val="clear"/>
              </w:rPr>
              <w:t>病</w:t>
            </w:r>
            <w:r>
              <w:rPr>
                <w:b/>
                <w:color w:val="000000"/>
                <w:w w:val="95"/>
                <w:sz w:val="21"/>
                <w:shd w:fill="BEBEBE" w:color="auto" w:val="clear"/>
              </w:rPr>
              <w:t>（</w:t>
            </w:r>
            <w:r>
              <w:rPr>
                <w:b/>
                <w:color w:val="000000"/>
                <w:spacing w:val="-10"/>
                <w:w w:val="95"/>
                <w:sz w:val="21"/>
              </w:rPr>
              <w:t>见</w:t>
            </w:r>
          </w:p>
        </w:tc>
      </w:tr>
      <w:tr>
        <w:trPr>
          <w:trHeight w:val="1537" w:hRule="atLeast"/>
        </w:trPr>
        <w:tc>
          <w:tcPr>
            <w:tcW w:w="964" w:type="dxa"/>
          </w:tcPr>
          <w:p>
            <w:pPr>
              <w:pStyle w:val="TableParagraph"/>
              <w:rPr>
                <w:rFonts w:ascii="Times New Roman"/>
                <w:sz w:val="20"/>
              </w:rPr>
            </w:pPr>
          </w:p>
        </w:tc>
        <w:tc>
          <w:tcPr>
            <w:tcW w:w="1858" w:type="dxa"/>
          </w:tcPr>
          <w:p>
            <w:pPr>
              <w:pStyle w:val="TableParagraph"/>
              <w:rPr>
                <w:rFonts w:ascii="Times New Roman"/>
                <w:sz w:val="20"/>
              </w:rPr>
            </w:pPr>
          </w:p>
        </w:tc>
        <w:tc>
          <w:tcPr>
            <w:tcW w:w="6651" w:type="dxa"/>
          </w:tcPr>
          <w:p>
            <w:pPr>
              <w:pStyle w:val="TableParagraph"/>
              <w:spacing w:line="297" w:lineRule="auto" w:before="34"/>
              <w:ind w:left="51" w:right="70"/>
              <w:jc w:val="both"/>
              <w:rPr>
                <w:sz w:val="21"/>
              </w:rPr>
            </w:pPr>
            <w:r>
              <w:rPr>
                <w:b/>
                <w:spacing w:val="-2"/>
                <w:sz w:val="21"/>
              </w:rPr>
              <w:t>8.5）、</w:t>
            </w:r>
            <w:r>
              <w:rPr>
                <w:b/>
                <w:color w:val="000000"/>
                <w:spacing w:val="-2"/>
                <w:sz w:val="21"/>
                <w:shd w:fill="BEBEBE" w:color="auto" w:val="clear"/>
              </w:rPr>
              <w:t>中度疾病</w:t>
            </w:r>
            <w:r>
              <w:rPr>
                <w:b/>
                <w:color w:val="000000"/>
                <w:spacing w:val="-2"/>
                <w:sz w:val="21"/>
              </w:rPr>
              <w:t>（见8.6）、</w:t>
            </w:r>
            <w:r>
              <w:rPr>
                <w:b/>
                <w:color w:val="000000"/>
                <w:spacing w:val="-2"/>
                <w:sz w:val="21"/>
                <w:shd w:fill="BEBEBE" w:color="auto" w:val="clear"/>
              </w:rPr>
              <w:t>轻度疾病</w:t>
            </w:r>
            <w:r>
              <w:rPr>
                <w:b/>
                <w:color w:val="000000"/>
                <w:spacing w:val="-2"/>
                <w:sz w:val="21"/>
              </w:rPr>
              <w:t>（见8.7）或身故，我们不承担</w:t>
            </w:r>
            <w:r>
              <w:rPr>
                <w:b/>
                <w:color w:val="000000"/>
                <w:spacing w:val="-2"/>
                <w:sz w:val="21"/>
              </w:rPr>
              <w:t>保险责任，但将无息返还本合同的累计已交纳保险费（不计利息），本</w:t>
            </w:r>
            <w:r>
              <w:rPr>
                <w:b/>
                <w:color w:val="000000"/>
                <w:spacing w:val="-2"/>
                <w:sz w:val="21"/>
              </w:rPr>
              <w:t>合同终止。这90</w:t>
            </w:r>
            <w:r>
              <w:rPr>
                <w:b/>
                <w:color w:val="000000"/>
                <w:spacing w:val="-2"/>
                <w:sz w:val="21"/>
              </w:rPr>
              <w:t>日称为等待期。</w:t>
            </w:r>
            <w:r>
              <w:rPr>
                <w:color w:val="000000"/>
                <w:spacing w:val="-2"/>
                <w:sz w:val="21"/>
              </w:rPr>
              <w:t>被保险人因意外伤害发生上述情形的，</w:t>
            </w:r>
            <w:r>
              <w:rPr>
                <w:color w:val="000000"/>
                <w:spacing w:val="-2"/>
                <w:sz w:val="21"/>
              </w:rPr>
              <w:t>不适用等待期条款。</w:t>
            </w:r>
          </w:p>
        </w:tc>
      </w:tr>
      <w:tr>
        <w:trPr>
          <w:trHeight w:val="741" w:hRule="atLeast"/>
        </w:trPr>
        <w:tc>
          <w:tcPr>
            <w:tcW w:w="964" w:type="dxa"/>
          </w:tcPr>
          <w:p>
            <w:pPr>
              <w:pStyle w:val="TableParagraph"/>
              <w:spacing w:before="3"/>
              <w:rPr>
                <w:b/>
                <w:sz w:val="18"/>
              </w:rPr>
            </w:pPr>
          </w:p>
          <w:p>
            <w:pPr>
              <w:pStyle w:val="TableParagraph"/>
              <w:ind w:left="108"/>
              <w:rPr>
                <w:sz w:val="21"/>
              </w:rPr>
            </w:pPr>
            <w:r>
              <w:rPr>
                <w:spacing w:val="-5"/>
                <w:sz w:val="21"/>
              </w:rPr>
              <w:t>2.5</w:t>
            </w:r>
          </w:p>
        </w:tc>
        <w:tc>
          <w:tcPr>
            <w:tcW w:w="1858" w:type="dxa"/>
          </w:tcPr>
          <w:p>
            <w:pPr>
              <w:pStyle w:val="TableParagraph"/>
              <w:spacing w:before="3"/>
              <w:rPr>
                <w:b/>
                <w:sz w:val="18"/>
              </w:rPr>
            </w:pPr>
          </w:p>
          <w:p>
            <w:pPr>
              <w:pStyle w:val="TableParagraph"/>
              <w:ind w:left="327"/>
              <w:rPr>
                <w:sz w:val="21"/>
              </w:rPr>
            </w:pPr>
            <w:r>
              <w:rPr>
                <w:spacing w:val="-4"/>
                <w:sz w:val="21"/>
              </w:rPr>
              <w:t>保险责任</w:t>
            </w:r>
          </w:p>
        </w:tc>
        <w:tc>
          <w:tcPr>
            <w:tcW w:w="6651" w:type="dxa"/>
          </w:tcPr>
          <w:p>
            <w:pPr>
              <w:pStyle w:val="TableParagraph"/>
              <w:spacing w:before="6"/>
              <w:rPr>
                <w:b/>
                <w:sz w:val="18"/>
              </w:rPr>
            </w:pPr>
          </w:p>
          <w:p>
            <w:pPr>
              <w:pStyle w:val="TableParagraph"/>
              <w:ind w:left="51"/>
              <w:rPr>
                <w:sz w:val="21"/>
              </w:rPr>
            </w:pPr>
            <w:r>
              <w:rPr>
                <w:spacing w:val="-3"/>
                <w:sz w:val="21"/>
              </w:rPr>
              <w:t>在本合同保险期间内且本合同有效，我们承担下列保险责任：</w:t>
            </w:r>
          </w:p>
        </w:tc>
      </w:tr>
      <w:tr>
        <w:trPr>
          <w:trHeight w:val="1146" w:hRule="atLeast"/>
        </w:trPr>
        <w:tc>
          <w:tcPr>
            <w:tcW w:w="964" w:type="dxa"/>
          </w:tcPr>
          <w:p>
            <w:pPr>
              <w:pStyle w:val="TableParagraph"/>
              <w:spacing w:before="6"/>
              <w:rPr>
                <w:b/>
                <w:sz w:val="18"/>
              </w:rPr>
            </w:pPr>
          </w:p>
          <w:p>
            <w:pPr>
              <w:pStyle w:val="TableParagraph"/>
              <w:ind w:left="108"/>
              <w:rPr>
                <w:sz w:val="21"/>
              </w:rPr>
            </w:pPr>
            <w:r>
              <w:rPr>
                <w:spacing w:val="-2"/>
                <w:sz w:val="21"/>
              </w:rPr>
              <w:t>2.5.1</w:t>
            </w:r>
          </w:p>
        </w:tc>
        <w:tc>
          <w:tcPr>
            <w:tcW w:w="1858" w:type="dxa"/>
          </w:tcPr>
          <w:p>
            <w:pPr>
              <w:pStyle w:val="TableParagraph"/>
              <w:spacing w:before="6"/>
              <w:rPr>
                <w:b/>
                <w:sz w:val="18"/>
              </w:rPr>
            </w:pPr>
          </w:p>
          <w:p>
            <w:pPr>
              <w:pStyle w:val="TableParagraph"/>
              <w:spacing w:line="300" w:lineRule="auto"/>
              <w:ind w:left="327" w:right="161"/>
              <w:rPr>
                <w:sz w:val="21"/>
              </w:rPr>
            </w:pPr>
            <w:r>
              <w:rPr>
                <w:spacing w:val="14"/>
                <w:sz w:val="21"/>
              </w:rPr>
              <w:t>重度疾病保险</w:t>
            </w:r>
            <w:r>
              <w:rPr>
                <w:spacing w:val="-10"/>
                <w:sz w:val="21"/>
              </w:rPr>
              <w:t>金</w:t>
            </w:r>
          </w:p>
        </w:tc>
        <w:tc>
          <w:tcPr>
            <w:tcW w:w="6651" w:type="dxa"/>
          </w:tcPr>
          <w:p>
            <w:pPr>
              <w:pStyle w:val="TableParagraph"/>
              <w:spacing w:before="6"/>
              <w:rPr>
                <w:b/>
                <w:sz w:val="18"/>
              </w:rPr>
            </w:pPr>
          </w:p>
          <w:p>
            <w:pPr>
              <w:pStyle w:val="TableParagraph"/>
              <w:ind w:left="51"/>
              <w:rPr>
                <w:sz w:val="21"/>
              </w:rPr>
            </w:pPr>
            <w:r>
              <w:rPr>
                <w:sz w:val="21"/>
              </w:rPr>
              <w:t>本合同约定的重度疾病分为</w:t>
            </w:r>
            <w:r>
              <w:rPr>
                <w:rFonts w:ascii="黑体" w:eastAsia="黑体"/>
                <w:sz w:val="21"/>
              </w:rPr>
              <w:t>A</w:t>
            </w:r>
            <w:r>
              <w:rPr>
                <w:sz w:val="21"/>
              </w:rPr>
              <w:t>、</w:t>
            </w:r>
            <w:r>
              <w:rPr>
                <w:rFonts w:ascii="黑体" w:eastAsia="黑体"/>
                <w:sz w:val="21"/>
              </w:rPr>
              <w:t>B</w:t>
            </w:r>
            <w:r>
              <w:rPr>
                <w:sz w:val="21"/>
              </w:rPr>
              <w:t>、</w:t>
            </w:r>
            <w:r>
              <w:rPr>
                <w:rFonts w:ascii="黑体" w:eastAsia="黑体"/>
                <w:sz w:val="21"/>
              </w:rPr>
              <w:t>C</w:t>
            </w:r>
            <w:r>
              <w:rPr>
                <w:sz w:val="21"/>
              </w:rPr>
              <w:t>、</w:t>
            </w:r>
            <w:r>
              <w:rPr>
                <w:rFonts w:ascii="黑体" w:eastAsia="黑体"/>
                <w:sz w:val="21"/>
              </w:rPr>
              <w:t>D</w:t>
            </w:r>
            <w:r>
              <w:rPr>
                <w:sz w:val="21"/>
              </w:rPr>
              <w:t>、</w:t>
            </w:r>
            <w:r>
              <w:rPr>
                <w:rFonts w:ascii="黑体" w:eastAsia="黑体"/>
                <w:sz w:val="21"/>
              </w:rPr>
              <w:t>E</w:t>
            </w:r>
            <w:r>
              <w:rPr>
                <w:spacing w:val="-1"/>
                <w:sz w:val="21"/>
              </w:rPr>
              <w:t>五组，具体疾病分组信息请</w:t>
            </w:r>
          </w:p>
          <w:p>
            <w:pPr>
              <w:pStyle w:val="TableParagraph"/>
              <w:spacing w:line="330" w:lineRule="atLeast"/>
              <w:ind w:left="51" w:right="102"/>
              <w:rPr>
                <w:b/>
                <w:sz w:val="21"/>
              </w:rPr>
            </w:pPr>
            <w:r>
              <w:rPr>
                <w:spacing w:val="-2"/>
                <w:sz w:val="21"/>
              </w:rPr>
              <w:t>见重度疾病释义中的重度疾病分组。</w:t>
            </w:r>
            <w:r>
              <w:rPr>
                <w:b/>
                <w:spacing w:val="-2"/>
                <w:sz w:val="21"/>
              </w:rPr>
              <w:t>每组重度疾病保险金的给付次数以</w:t>
            </w:r>
            <w:r>
              <w:rPr>
                <w:b/>
                <w:spacing w:val="-2"/>
                <w:sz w:val="21"/>
              </w:rPr>
              <w:t>一次为限，给付后该组重度疾病的保险责任终止。</w:t>
            </w:r>
          </w:p>
        </w:tc>
      </w:tr>
    </w:tbl>
    <w:p>
      <w:pPr>
        <w:spacing w:after="0" w:line="330" w:lineRule="atLeast"/>
        <w:rPr>
          <w:sz w:val="21"/>
        </w:rPr>
        <w:sectPr>
          <w:pgSz w:w="11910" w:h="16840"/>
          <w:pgMar w:header="0" w:footer="857" w:top="1520" w:bottom="1671" w:left="1100" w:right="260"/>
        </w:sectPr>
      </w:pPr>
    </w:p>
    <w:tbl>
      <w:tblPr>
        <w:tblW w:w="0" w:type="auto"/>
        <w:jc w:val="left"/>
        <w:tblInd w:w="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0"/>
        <w:gridCol w:w="1709"/>
        <w:gridCol w:w="6661"/>
      </w:tblGrid>
      <w:tr>
        <w:trPr>
          <w:trHeight w:val="48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line="241" w:lineRule="exact"/>
              <w:ind w:left="96"/>
              <w:rPr>
                <w:b/>
                <w:sz w:val="21"/>
              </w:rPr>
            </w:pPr>
            <w:r>
              <w:rPr>
                <w:b/>
                <w:w w:val="95"/>
                <w:sz w:val="21"/>
              </w:rPr>
              <w:t>若A、B、C、D、E</w:t>
            </w:r>
            <w:r>
              <w:rPr>
                <w:b/>
                <w:w w:val="95"/>
                <w:sz w:val="21"/>
              </w:rPr>
              <w:t>五</w:t>
            </w:r>
            <w:r>
              <w:rPr>
                <w:b/>
                <w:w w:val="95"/>
                <w:sz w:val="21"/>
              </w:rPr>
              <w:t>组</w:t>
            </w:r>
            <w:r>
              <w:rPr>
                <w:b/>
                <w:w w:val="95"/>
                <w:sz w:val="21"/>
              </w:rPr>
              <w:t>重</w:t>
            </w:r>
            <w:r>
              <w:rPr>
                <w:b/>
                <w:w w:val="95"/>
                <w:sz w:val="21"/>
              </w:rPr>
              <w:t>度</w:t>
            </w:r>
            <w:r>
              <w:rPr>
                <w:b/>
                <w:w w:val="95"/>
                <w:sz w:val="21"/>
              </w:rPr>
              <w:t>疾</w:t>
            </w:r>
            <w:r>
              <w:rPr>
                <w:b/>
                <w:w w:val="95"/>
                <w:sz w:val="21"/>
              </w:rPr>
              <w:t>病</w:t>
            </w:r>
            <w:r>
              <w:rPr>
                <w:b/>
                <w:w w:val="95"/>
                <w:sz w:val="21"/>
              </w:rPr>
              <w:t>的</w:t>
            </w:r>
            <w:r>
              <w:rPr>
                <w:b/>
                <w:w w:val="95"/>
                <w:sz w:val="21"/>
              </w:rPr>
              <w:t>保</w:t>
            </w:r>
            <w:r>
              <w:rPr>
                <w:b/>
                <w:w w:val="95"/>
                <w:sz w:val="21"/>
              </w:rPr>
              <w:t>险</w:t>
            </w:r>
            <w:r>
              <w:rPr>
                <w:b/>
                <w:w w:val="95"/>
                <w:sz w:val="21"/>
              </w:rPr>
              <w:t>责</w:t>
            </w:r>
            <w:r>
              <w:rPr>
                <w:b/>
                <w:w w:val="95"/>
                <w:sz w:val="21"/>
              </w:rPr>
              <w:t>任</w:t>
            </w:r>
            <w:r>
              <w:rPr>
                <w:b/>
                <w:w w:val="95"/>
                <w:sz w:val="21"/>
              </w:rPr>
              <w:t>均</w:t>
            </w:r>
            <w:r>
              <w:rPr>
                <w:b/>
                <w:w w:val="95"/>
                <w:sz w:val="21"/>
              </w:rPr>
              <w:t>已终止，</w:t>
            </w:r>
            <w:r>
              <w:rPr>
                <w:b/>
                <w:w w:val="95"/>
                <w:sz w:val="21"/>
              </w:rPr>
              <w:t>本</w:t>
            </w:r>
            <w:r>
              <w:rPr>
                <w:b/>
                <w:w w:val="95"/>
                <w:sz w:val="21"/>
              </w:rPr>
              <w:t>合</w:t>
            </w:r>
            <w:r>
              <w:rPr>
                <w:b/>
                <w:w w:val="95"/>
                <w:sz w:val="21"/>
              </w:rPr>
              <w:t>同</w:t>
            </w:r>
            <w:r>
              <w:rPr>
                <w:b/>
                <w:w w:val="95"/>
                <w:sz w:val="21"/>
              </w:rPr>
              <w:t>终</w:t>
            </w:r>
            <w:r>
              <w:rPr>
                <w:b/>
                <w:w w:val="95"/>
                <w:sz w:val="21"/>
              </w:rPr>
              <w:t>止</w:t>
            </w:r>
            <w:r>
              <w:rPr>
                <w:b/>
                <w:spacing w:val="-10"/>
                <w:w w:val="95"/>
                <w:sz w:val="21"/>
              </w:rPr>
              <w:t>。</w:t>
            </w:r>
          </w:p>
        </w:tc>
      </w:tr>
      <w:tr>
        <w:trPr>
          <w:trHeight w:val="545" w:hRule="atLeast"/>
        </w:trPr>
        <w:tc>
          <w:tcPr>
            <w:tcW w:w="1010" w:type="dxa"/>
          </w:tcPr>
          <w:p>
            <w:pPr>
              <w:pStyle w:val="TableParagraph"/>
              <w:rPr>
                <w:b/>
                <w:sz w:val="19"/>
              </w:rPr>
            </w:pPr>
          </w:p>
          <w:p>
            <w:pPr>
              <w:pStyle w:val="TableParagraph"/>
              <w:ind w:left="50"/>
              <w:rPr>
                <w:sz w:val="21"/>
              </w:rPr>
            </w:pPr>
            <w:r>
              <w:rPr>
                <w:spacing w:val="-2"/>
                <w:sz w:val="21"/>
              </w:rPr>
              <w:t>2.5.1.1</w:t>
            </w:r>
          </w:p>
        </w:tc>
        <w:tc>
          <w:tcPr>
            <w:tcW w:w="1709" w:type="dxa"/>
          </w:tcPr>
          <w:p>
            <w:pPr>
              <w:pStyle w:val="TableParagraph"/>
              <w:rPr>
                <w:b/>
                <w:sz w:val="19"/>
              </w:rPr>
            </w:pPr>
          </w:p>
          <w:p>
            <w:pPr>
              <w:pStyle w:val="TableParagraph"/>
              <w:ind w:left="223"/>
              <w:rPr>
                <w:sz w:val="21"/>
              </w:rPr>
            </w:pPr>
            <w:r>
              <w:rPr>
                <w:spacing w:val="17"/>
                <w:sz w:val="21"/>
              </w:rPr>
              <w:t>首次重度疾病</w:t>
            </w:r>
          </w:p>
        </w:tc>
        <w:tc>
          <w:tcPr>
            <w:tcW w:w="6661" w:type="dxa"/>
          </w:tcPr>
          <w:p>
            <w:pPr>
              <w:pStyle w:val="TableParagraph"/>
              <w:rPr>
                <w:b/>
                <w:sz w:val="19"/>
              </w:rPr>
            </w:pPr>
          </w:p>
          <w:p>
            <w:pPr>
              <w:pStyle w:val="TableParagraph"/>
              <w:ind w:left="96"/>
              <w:rPr>
                <w:sz w:val="21"/>
              </w:rPr>
            </w:pPr>
            <w:r>
              <w:rPr>
                <w:spacing w:val="-2"/>
                <w:sz w:val="21"/>
              </w:rPr>
              <w:t>等待期后，若被保险人经</w:t>
            </w:r>
            <w:r>
              <w:rPr>
                <w:color w:val="000000"/>
                <w:spacing w:val="-2"/>
                <w:sz w:val="21"/>
                <w:shd w:fill="BEBEBE" w:color="auto" w:val="clear"/>
              </w:rPr>
              <w:t>我们认可的医院</w:t>
            </w:r>
            <w:r>
              <w:rPr>
                <w:color w:val="000000"/>
                <w:spacing w:val="-2"/>
                <w:sz w:val="21"/>
              </w:rPr>
              <w:t>（</w:t>
            </w:r>
            <w:r>
              <w:rPr>
                <w:color w:val="000000"/>
                <w:sz w:val="21"/>
              </w:rPr>
              <w:t>见 </w:t>
            </w:r>
            <w:r>
              <w:rPr>
                <w:color w:val="000000"/>
                <w:spacing w:val="-2"/>
                <w:sz w:val="21"/>
              </w:rPr>
              <w:t>8.8）确诊</w:t>
            </w:r>
            <w:r>
              <w:rPr>
                <w:color w:val="000000"/>
                <w:spacing w:val="-2"/>
                <w:sz w:val="21"/>
                <w:shd w:fill="BEBEBE" w:color="auto" w:val="clear"/>
              </w:rPr>
              <w:t>初次发生</w:t>
            </w:r>
            <w:r>
              <w:rPr>
                <w:color w:val="000000"/>
                <w:spacing w:val="-2"/>
                <w:sz w:val="21"/>
              </w:rPr>
              <w:t>（</w:t>
            </w:r>
            <w:r>
              <w:rPr>
                <w:color w:val="000000"/>
                <w:spacing w:val="-10"/>
                <w:sz w:val="21"/>
              </w:rPr>
              <w:t>见</w:t>
            </w:r>
          </w:p>
        </w:tc>
      </w:tr>
      <w:tr>
        <w:trPr>
          <w:trHeight w:val="334" w:hRule="atLeast"/>
        </w:trPr>
        <w:tc>
          <w:tcPr>
            <w:tcW w:w="1010" w:type="dxa"/>
          </w:tcPr>
          <w:p>
            <w:pPr>
              <w:pStyle w:val="TableParagraph"/>
              <w:rPr>
                <w:rFonts w:ascii="Times New Roman"/>
                <w:sz w:val="20"/>
              </w:rPr>
            </w:pPr>
          </w:p>
        </w:tc>
        <w:tc>
          <w:tcPr>
            <w:tcW w:w="1709" w:type="dxa"/>
          </w:tcPr>
          <w:p>
            <w:pPr>
              <w:pStyle w:val="TableParagraph"/>
              <w:spacing w:before="34"/>
              <w:ind w:left="223"/>
              <w:rPr>
                <w:sz w:val="21"/>
              </w:rPr>
            </w:pPr>
            <w:r>
              <w:rPr>
                <w:spacing w:val="-4"/>
                <w:sz w:val="21"/>
              </w:rPr>
              <w:t>保险金</w:t>
            </w:r>
          </w:p>
        </w:tc>
        <w:tc>
          <w:tcPr>
            <w:tcW w:w="6661" w:type="dxa"/>
          </w:tcPr>
          <w:p>
            <w:pPr>
              <w:pStyle w:val="TableParagraph"/>
              <w:spacing w:before="34"/>
              <w:ind w:left="96"/>
              <w:rPr>
                <w:sz w:val="21"/>
              </w:rPr>
            </w:pPr>
            <w:r>
              <w:rPr>
                <w:sz w:val="21"/>
              </w:rPr>
              <w:t>8.9）</w:t>
            </w:r>
            <w:r>
              <w:rPr>
                <w:spacing w:val="-1"/>
                <w:sz w:val="21"/>
              </w:rPr>
              <w:t>本合同约定的重度疾病，我们按以下三者中的较大者给付首次重</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b/>
                <w:sz w:val="21"/>
              </w:rPr>
            </w:pPr>
            <w:r>
              <w:rPr>
                <w:spacing w:val="-2"/>
                <w:sz w:val="21"/>
              </w:rPr>
              <w:t>度疾病保险金</w:t>
            </w:r>
            <w:r>
              <w:rPr>
                <w:b/>
                <w:spacing w:val="-2"/>
                <w:sz w:val="21"/>
              </w:rPr>
              <w:t>（</w:t>
            </w:r>
            <w:r>
              <w:rPr>
                <w:b/>
                <w:spacing w:val="-3"/>
                <w:sz w:val="21"/>
              </w:rPr>
              <w:t>被保险人同时确诊一项以上重度疾病时，该给付以一次</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b/>
                <w:sz w:val="21"/>
              </w:rPr>
              <w:t>为限</w:t>
            </w:r>
            <w:r>
              <w:rPr>
                <w:b/>
                <w:spacing w:val="-111"/>
                <w:sz w:val="21"/>
              </w:rPr>
              <w:t>）</w:t>
            </w:r>
            <w:r>
              <w:rPr>
                <w:spacing w:val="-5"/>
                <w:sz w:val="21"/>
              </w:rPr>
              <w:t>：</w:t>
            </w:r>
          </w:p>
        </w:tc>
      </w:tr>
      <w:tr>
        <w:trPr>
          <w:trHeight w:val="334"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1.本合同累计已交纳保险费（不计利息</w:t>
            </w:r>
            <w:r>
              <w:rPr>
                <w:spacing w:val="-114"/>
                <w:sz w:val="21"/>
              </w:rPr>
              <w:t>）</w:t>
            </w:r>
            <w:r>
              <w:rPr>
                <w:spacing w:val="-5"/>
                <w:sz w:val="21"/>
              </w:rPr>
              <w:t>；</w:t>
            </w:r>
          </w:p>
        </w:tc>
      </w:tr>
      <w:tr>
        <w:trPr>
          <w:trHeight w:val="334"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4"/>
              <w:ind w:left="96"/>
              <w:rPr>
                <w:sz w:val="21"/>
              </w:rPr>
            </w:pPr>
            <w:r>
              <w:rPr>
                <w:spacing w:val="-2"/>
                <w:sz w:val="21"/>
              </w:rPr>
              <w:t>2.被保险人首次重度疾病确诊之日本合同的</w:t>
            </w:r>
            <w:r>
              <w:rPr>
                <w:color w:val="000000"/>
                <w:spacing w:val="-2"/>
                <w:sz w:val="21"/>
                <w:shd w:fill="BEBEBE" w:color="auto" w:val="clear"/>
              </w:rPr>
              <w:t>现金价值</w:t>
            </w:r>
            <w:r>
              <w:rPr>
                <w:color w:val="000000"/>
                <w:spacing w:val="-2"/>
                <w:sz w:val="21"/>
              </w:rPr>
              <w:t>（</w:t>
            </w:r>
            <w:r>
              <w:rPr>
                <w:color w:val="000000"/>
                <w:spacing w:val="-20"/>
                <w:sz w:val="21"/>
              </w:rPr>
              <w:t>见 </w:t>
            </w:r>
            <w:r>
              <w:rPr>
                <w:color w:val="000000"/>
                <w:spacing w:val="16"/>
                <w:sz w:val="21"/>
              </w:rPr>
              <w:t>8.</w:t>
            </w:r>
            <w:r>
              <w:rPr>
                <w:color w:val="000000"/>
                <w:spacing w:val="13"/>
                <w:sz w:val="21"/>
              </w:rPr>
              <w:t>1</w:t>
            </w:r>
            <w:r>
              <w:rPr>
                <w:color w:val="000000"/>
                <w:spacing w:val="15"/>
                <w:sz w:val="21"/>
              </w:rPr>
              <w:t>0</w:t>
            </w:r>
            <w:r>
              <w:rPr>
                <w:color w:val="000000"/>
                <w:spacing w:val="-90"/>
                <w:sz w:val="21"/>
              </w:rPr>
              <w:t>）</w:t>
            </w:r>
            <w:r>
              <w:rPr>
                <w:color w:val="000000"/>
                <w:spacing w:val="16"/>
                <w:sz w:val="21"/>
              </w:rPr>
              <w:t>；</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3.</w:t>
            </w:r>
            <w:r>
              <w:rPr>
                <w:spacing w:val="-3"/>
                <w:sz w:val="21"/>
              </w:rPr>
              <w:t>本合同的基本保险金额。</w:t>
            </w:r>
          </w:p>
        </w:tc>
      </w:tr>
      <w:tr>
        <w:trPr>
          <w:trHeight w:val="330"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b/>
                <w:sz w:val="21"/>
              </w:rPr>
            </w:pPr>
            <w:r>
              <w:rPr>
                <w:b/>
                <w:spacing w:val="-3"/>
                <w:sz w:val="21"/>
              </w:rPr>
              <w:t>我们给付首次重度疾病保险金后，该重度疾病所属组别的保险责任以及</w:t>
            </w:r>
          </w:p>
        </w:tc>
      </w:tr>
      <w:tr>
        <w:trPr>
          <w:trHeight w:val="680"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6"/>
              <w:ind w:left="96"/>
              <w:rPr>
                <w:b/>
                <w:sz w:val="21"/>
              </w:rPr>
            </w:pPr>
            <w:r>
              <w:rPr>
                <w:b/>
                <w:w w:val="95"/>
                <w:sz w:val="21"/>
              </w:rPr>
              <w:t>本</w:t>
            </w:r>
            <w:r>
              <w:rPr>
                <w:b/>
                <w:w w:val="95"/>
                <w:sz w:val="21"/>
              </w:rPr>
              <w:t>合</w:t>
            </w:r>
            <w:r>
              <w:rPr>
                <w:b/>
                <w:w w:val="95"/>
                <w:sz w:val="21"/>
              </w:rPr>
              <w:t>同“2.5.2</w:t>
            </w:r>
            <w:r>
              <w:rPr>
                <w:b/>
                <w:w w:val="95"/>
                <w:sz w:val="21"/>
              </w:rPr>
              <w:t>中</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rFonts w:ascii="Times New Roman" w:hAnsi="Times New Roman" w:eastAsia="Times New Roman"/>
                <w:b/>
                <w:w w:val="95"/>
                <w:sz w:val="21"/>
              </w:rPr>
              <w:t>”</w:t>
            </w:r>
            <w:r>
              <w:rPr>
                <w:b/>
                <w:w w:val="95"/>
                <w:sz w:val="21"/>
              </w:rPr>
              <w:t>、</w:t>
            </w:r>
            <w:r>
              <w:rPr>
                <w:rFonts w:ascii="Times New Roman" w:hAnsi="Times New Roman" w:eastAsia="Times New Roman"/>
                <w:b/>
                <w:w w:val="95"/>
                <w:sz w:val="21"/>
              </w:rPr>
              <w:t>“</w:t>
            </w:r>
            <w:r>
              <w:rPr>
                <w:b/>
                <w:w w:val="95"/>
                <w:sz w:val="21"/>
              </w:rPr>
              <w:t>2.5.3</w:t>
            </w:r>
            <w:r>
              <w:rPr>
                <w:b/>
                <w:w w:val="95"/>
                <w:sz w:val="21"/>
              </w:rPr>
              <w:t>轻</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rFonts w:ascii="Times New Roman" w:hAnsi="Times New Roman" w:eastAsia="Times New Roman"/>
                <w:b/>
                <w:w w:val="95"/>
                <w:sz w:val="21"/>
              </w:rPr>
              <w:t>”</w:t>
            </w:r>
            <w:r>
              <w:rPr>
                <w:b/>
                <w:w w:val="95"/>
                <w:sz w:val="21"/>
              </w:rPr>
              <w:t>、</w:t>
            </w:r>
            <w:r>
              <w:rPr>
                <w:b/>
                <w:spacing w:val="64"/>
                <w:sz w:val="21"/>
              </w:rPr>
              <w:t>  </w:t>
            </w:r>
            <w:r>
              <w:rPr>
                <w:rFonts w:ascii="Times New Roman" w:hAnsi="Times New Roman" w:eastAsia="Times New Roman"/>
                <w:b/>
                <w:w w:val="95"/>
                <w:sz w:val="21"/>
              </w:rPr>
              <w:t>“</w:t>
            </w:r>
            <w:r>
              <w:rPr>
                <w:b/>
                <w:w w:val="95"/>
                <w:sz w:val="21"/>
              </w:rPr>
              <w:t>2.5.5</w:t>
            </w:r>
            <w:r>
              <w:rPr>
                <w:b/>
                <w:spacing w:val="-10"/>
                <w:w w:val="95"/>
                <w:sz w:val="21"/>
              </w:rPr>
              <w:t>身</w:t>
            </w:r>
          </w:p>
          <w:p>
            <w:pPr>
              <w:pStyle w:val="TableParagraph"/>
              <w:spacing w:before="65"/>
              <w:ind w:left="96"/>
              <w:rPr>
                <w:b/>
                <w:sz w:val="21"/>
              </w:rPr>
            </w:pPr>
            <w:r>
              <w:rPr>
                <w:b/>
                <w:sz w:val="21"/>
              </w:rPr>
              <w:t>故保险金</w:t>
            </w:r>
            <w:r>
              <w:rPr>
                <w:rFonts w:ascii="Times New Roman" w:hAnsi="Times New Roman" w:eastAsia="Times New Roman"/>
                <w:b/>
                <w:sz w:val="21"/>
              </w:rPr>
              <w:t>”</w:t>
            </w:r>
            <w:r>
              <w:rPr>
                <w:b/>
                <w:spacing w:val="-1"/>
                <w:sz w:val="21"/>
              </w:rPr>
              <w:t>的保险责任均终止，本合同现金价值自首次重度疾病保险金</w:t>
            </w:r>
          </w:p>
        </w:tc>
      </w:tr>
      <w:tr>
        <w:trPr>
          <w:trHeight w:val="326"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26"/>
              <w:ind w:left="96"/>
              <w:rPr>
                <w:sz w:val="21"/>
              </w:rPr>
            </w:pPr>
            <w:r>
              <w:rPr>
                <w:b/>
                <w:spacing w:val="-2"/>
                <w:sz w:val="21"/>
              </w:rPr>
              <w:t>给付之日起降为零，</w:t>
            </w:r>
            <w:r>
              <w:rPr>
                <w:spacing w:val="-3"/>
                <w:sz w:val="21"/>
              </w:rPr>
              <w:t>我们将继续承担其他组别重度疾病保险金的保险责</w:t>
            </w:r>
          </w:p>
        </w:tc>
      </w:tr>
      <w:tr>
        <w:trPr>
          <w:trHeight w:val="545"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5"/>
                <w:sz w:val="21"/>
              </w:rPr>
              <w:t>任。</w:t>
            </w:r>
          </w:p>
        </w:tc>
      </w:tr>
      <w:tr>
        <w:trPr>
          <w:trHeight w:val="546" w:hRule="atLeast"/>
        </w:trPr>
        <w:tc>
          <w:tcPr>
            <w:tcW w:w="1010" w:type="dxa"/>
          </w:tcPr>
          <w:p>
            <w:pPr>
              <w:pStyle w:val="TableParagraph"/>
              <w:spacing w:before="1"/>
              <w:rPr>
                <w:b/>
                <w:sz w:val="19"/>
              </w:rPr>
            </w:pPr>
          </w:p>
          <w:p>
            <w:pPr>
              <w:pStyle w:val="TableParagraph"/>
              <w:ind w:left="50"/>
              <w:rPr>
                <w:sz w:val="21"/>
              </w:rPr>
            </w:pPr>
            <w:r>
              <w:rPr>
                <w:spacing w:val="-2"/>
                <w:sz w:val="21"/>
              </w:rPr>
              <w:t>2.5.1.2</w:t>
            </w:r>
          </w:p>
        </w:tc>
        <w:tc>
          <w:tcPr>
            <w:tcW w:w="1709" w:type="dxa"/>
          </w:tcPr>
          <w:p>
            <w:pPr>
              <w:pStyle w:val="TableParagraph"/>
              <w:spacing w:before="1"/>
              <w:rPr>
                <w:b/>
                <w:sz w:val="19"/>
              </w:rPr>
            </w:pPr>
          </w:p>
          <w:p>
            <w:pPr>
              <w:pStyle w:val="TableParagraph"/>
              <w:ind w:left="223"/>
              <w:rPr>
                <w:sz w:val="21"/>
              </w:rPr>
            </w:pPr>
            <w:r>
              <w:rPr>
                <w:spacing w:val="14"/>
                <w:sz w:val="21"/>
              </w:rPr>
              <w:t>第二次重度疾</w:t>
            </w:r>
          </w:p>
        </w:tc>
        <w:tc>
          <w:tcPr>
            <w:tcW w:w="6661" w:type="dxa"/>
          </w:tcPr>
          <w:p>
            <w:pPr>
              <w:pStyle w:val="TableParagraph"/>
              <w:spacing w:before="1"/>
              <w:rPr>
                <w:b/>
                <w:sz w:val="19"/>
              </w:rPr>
            </w:pPr>
          </w:p>
          <w:p>
            <w:pPr>
              <w:pStyle w:val="TableParagraph"/>
              <w:ind w:left="96"/>
              <w:rPr>
                <w:sz w:val="21"/>
              </w:rPr>
            </w:pPr>
            <w:r>
              <w:rPr>
                <w:spacing w:val="-5"/>
                <w:sz w:val="21"/>
              </w:rPr>
              <w:t>我们给付首次重度疾病保险金后，若被保险人自首次重度疾病确诊之日</w:t>
            </w:r>
          </w:p>
        </w:tc>
      </w:tr>
      <w:tr>
        <w:trPr>
          <w:trHeight w:val="333" w:hRule="atLeast"/>
        </w:trPr>
        <w:tc>
          <w:tcPr>
            <w:tcW w:w="1010" w:type="dxa"/>
          </w:tcPr>
          <w:p>
            <w:pPr>
              <w:pStyle w:val="TableParagraph"/>
              <w:rPr>
                <w:rFonts w:ascii="Times New Roman"/>
                <w:sz w:val="20"/>
              </w:rPr>
            </w:pPr>
          </w:p>
        </w:tc>
        <w:tc>
          <w:tcPr>
            <w:tcW w:w="1709" w:type="dxa"/>
          </w:tcPr>
          <w:p>
            <w:pPr>
              <w:pStyle w:val="TableParagraph"/>
              <w:spacing w:before="32"/>
              <w:ind w:left="223"/>
              <w:rPr>
                <w:sz w:val="21"/>
              </w:rPr>
            </w:pPr>
            <w:r>
              <w:rPr>
                <w:spacing w:val="-4"/>
                <w:sz w:val="21"/>
              </w:rPr>
              <w:t>病保险金</w:t>
            </w:r>
          </w:p>
        </w:tc>
        <w:tc>
          <w:tcPr>
            <w:tcW w:w="6661" w:type="dxa"/>
          </w:tcPr>
          <w:p>
            <w:pPr>
              <w:pStyle w:val="TableParagraph"/>
              <w:spacing w:before="32"/>
              <w:ind w:left="96"/>
              <w:rPr>
                <w:sz w:val="21"/>
              </w:rPr>
            </w:pPr>
            <w:r>
              <w:rPr>
                <w:sz w:val="21"/>
              </w:rPr>
              <w:t>起180天（不含）</w:t>
            </w:r>
            <w:r>
              <w:rPr>
                <w:spacing w:val="-1"/>
                <w:sz w:val="21"/>
              </w:rPr>
              <w:t>后，经我们认可的医院确诊初次发生本合同约定的除</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5"/>
                <w:sz w:val="21"/>
              </w:rPr>
              <w:t>首次重度疾病所属组别以外其他组别中的任何一种重度疾病，我们将按</w:t>
            </w:r>
          </w:p>
        </w:tc>
      </w:tr>
      <w:tr>
        <w:trPr>
          <w:trHeight w:val="335"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b/>
                <w:sz w:val="21"/>
              </w:rPr>
            </w:pPr>
            <w:r>
              <w:rPr>
                <w:spacing w:val="-2"/>
                <w:sz w:val="21"/>
              </w:rPr>
              <w:t>以下三者中的较大者给付第二次重度疾病保险金</w:t>
            </w:r>
            <w:r>
              <w:rPr>
                <w:b/>
                <w:spacing w:val="-2"/>
                <w:sz w:val="21"/>
              </w:rPr>
              <w:t>（</w:t>
            </w:r>
            <w:r>
              <w:rPr>
                <w:b/>
                <w:spacing w:val="-3"/>
                <w:sz w:val="21"/>
              </w:rPr>
              <w:t>被保险人同时确诊一</w:t>
            </w:r>
          </w:p>
        </w:tc>
      </w:tr>
      <w:tr>
        <w:trPr>
          <w:trHeight w:val="335"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4"/>
              <w:ind w:left="96"/>
              <w:rPr>
                <w:sz w:val="21"/>
              </w:rPr>
            </w:pPr>
            <w:r>
              <w:rPr>
                <w:b/>
                <w:spacing w:val="-4"/>
                <w:sz w:val="21"/>
              </w:rPr>
              <w:t>项以上重度疾病时，该给付以一次为限）</w:t>
            </w:r>
            <w:r>
              <w:rPr>
                <w:spacing w:val="-5"/>
                <w:sz w:val="21"/>
              </w:rPr>
              <w:t>，给付后该重度疾病所属组别</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4"/>
                <w:sz w:val="21"/>
              </w:rPr>
              <w:t>的保险责任终止：</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1.本合同累计已交纳保险费（不计利息</w:t>
            </w:r>
            <w:r>
              <w:rPr>
                <w:spacing w:val="-114"/>
                <w:sz w:val="21"/>
              </w:rPr>
              <w:t>）</w:t>
            </w:r>
            <w:r>
              <w:rPr>
                <w:spacing w:val="-5"/>
                <w:sz w:val="21"/>
              </w:rPr>
              <w:t>；</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2.</w:t>
            </w:r>
            <w:r>
              <w:rPr>
                <w:spacing w:val="-3"/>
                <w:sz w:val="21"/>
              </w:rPr>
              <w:t>被保险人首次重度疾病确诊之日本合同的现金价值；</w:t>
            </w:r>
          </w:p>
        </w:tc>
      </w:tr>
      <w:tr>
        <w:trPr>
          <w:trHeight w:val="546"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3.</w:t>
            </w:r>
            <w:r>
              <w:rPr>
                <w:spacing w:val="-3"/>
                <w:sz w:val="21"/>
              </w:rPr>
              <w:t>本合同的基本保险金额。</w:t>
            </w:r>
          </w:p>
        </w:tc>
      </w:tr>
      <w:tr>
        <w:trPr>
          <w:trHeight w:val="546" w:hRule="atLeast"/>
        </w:trPr>
        <w:tc>
          <w:tcPr>
            <w:tcW w:w="1010" w:type="dxa"/>
          </w:tcPr>
          <w:p>
            <w:pPr>
              <w:pStyle w:val="TableParagraph"/>
              <w:spacing w:before="1"/>
              <w:rPr>
                <w:b/>
                <w:sz w:val="19"/>
              </w:rPr>
            </w:pPr>
          </w:p>
          <w:p>
            <w:pPr>
              <w:pStyle w:val="TableParagraph"/>
              <w:ind w:left="50"/>
              <w:rPr>
                <w:sz w:val="21"/>
              </w:rPr>
            </w:pPr>
            <w:r>
              <w:rPr>
                <w:spacing w:val="-2"/>
                <w:sz w:val="21"/>
              </w:rPr>
              <w:t>2.5.1.3</w:t>
            </w:r>
          </w:p>
        </w:tc>
        <w:tc>
          <w:tcPr>
            <w:tcW w:w="1709" w:type="dxa"/>
          </w:tcPr>
          <w:p>
            <w:pPr>
              <w:pStyle w:val="TableParagraph"/>
              <w:spacing w:before="1"/>
              <w:rPr>
                <w:b/>
                <w:sz w:val="19"/>
              </w:rPr>
            </w:pPr>
          </w:p>
          <w:p>
            <w:pPr>
              <w:pStyle w:val="TableParagraph"/>
              <w:ind w:left="223"/>
              <w:rPr>
                <w:sz w:val="21"/>
              </w:rPr>
            </w:pPr>
            <w:r>
              <w:rPr>
                <w:spacing w:val="14"/>
                <w:sz w:val="21"/>
              </w:rPr>
              <w:t>第三次重度疾</w:t>
            </w:r>
          </w:p>
        </w:tc>
        <w:tc>
          <w:tcPr>
            <w:tcW w:w="6661" w:type="dxa"/>
          </w:tcPr>
          <w:p>
            <w:pPr>
              <w:pStyle w:val="TableParagraph"/>
              <w:spacing w:before="1"/>
              <w:rPr>
                <w:b/>
                <w:sz w:val="19"/>
              </w:rPr>
            </w:pPr>
          </w:p>
          <w:p>
            <w:pPr>
              <w:pStyle w:val="TableParagraph"/>
              <w:ind w:left="96"/>
              <w:rPr>
                <w:sz w:val="21"/>
              </w:rPr>
            </w:pPr>
            <w:r>
              <w:rPr>
                <w:spacing w:val="-5"/>
                <w:sz w:val="21"/>
              </w:rPr>
              <w:t>我们给付第二次重度疾病保险金后，若被保险人自第二次重度疾病确诊</w:t>
            </w:r>
          </w:p>
        </w:tc>
      </w:tr>
      <w:tr>
        <w:trPr>
          <w:trHeight w:val="334" w:hRule="atLeast"/>
        </w:trPr>
        <w:tc>
          <w:tcPr>
            <w:tcW w:w="1010" w:type="dxa"/>
          </w:tcPr>
          <w:p>
            <w:pPr>
              <w:pStyle w:val="TableParagraph"/>
              <w:rPr>
                <w:rFonts w:ascii="Times New Roman"/>
                <w:sz w:val="20"/>
              </w:rPr>
            </w:pPr>
          </w:p>
        </w:tc>
        <w:tc>
          <w:tcPr>
            <w:tcW w:w="1709" w:type="dxa"/>
          </w:tcPr>
          <w:p>
            <w:pPr>
              <w:pStyle w:val="TableParagraph"/>
              <w:spacing w:before="32"/>
              <w:ind w:left="223"/>
              <w:rPr>
                <w:sz w:val="21"/>
              </w:rPr>
            </w:pPr>
            <w:r>
              <w:rPr>
                <w:spacing w:val="-4"/>
                <w:sz w:val="21"/>
              </w:rPr>
              <w:t>病保险金</w:t>
            </w:r>
          </w:p>
        </w:tc>
        <w:tc>
          <w:tcPr>
            <w:tcW w:w="6661" w:type="dxa"/>
          </w:tcPr>
          <w:p>
            <w:pPr>
              <w:pStyle w:val="TableParagraph"/>
              <w:spacing w:before="32"/>
              <w:ind w:left="96"/>
              <w:rPr>
                <w:sz w:val="21"/>
              </w:rPr>
            </w:pPr>
            <w:r>
              <w:rPr>
                <w:sz w:val="21"/>
              </w:rPr>
              <w:t>之日起180天（不含）</w:t>
            </w:r>
            <w:r>
              <w:rPr>
                <w:spacing w:val="-1"/>
                <w:sz w:val="21"/>
              </w:rPr>
              <w:t>后，经我们认可的医院确诊初次发生本合同约定</w:t>
            </w:r>
          </w:p>
        </w:tc>
      </w:tr>
      <w:tr>
        <w:trPr>
          <w:trHeight w:val="334"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4"/>
              <w:ind w:left="96"/>
              <w:rPr>
                <w:sz w:val="21"/>
              </w:rPr>
            </w:pPr>
            <w:r>
              <w:rPr>
                <w:spacing w:val="-3"/>
                <w:sz w:val="21"/>
              </w:rPr>
              <w:t>的除前述两次重度疾病所属组别以外其他组别中的任何一种重度疾病，</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b/>
                <w:sz w:val="21"/>
              </w:rPr>
            </w:pPr>
            <w:r>
              <w:rPr>
                <w:spacing w:val="-2"/>
                <w:sz w:val="21"/>
              </w:rPr>
              <w:t>我们将按以下三者中的较大者给付第三次重度疾病保险金</w:t>
            </w:r>
            <w:r>
              <w:rPr>
                <w:b/>
                <w:spacing w:val="-2"/>
                <w:sz w:val="21"/>
              </w:rPr>
              <w:t>（</w:t>
            </w:r>
            <w:r>
              <w:rPr>
                <w:b/>
                <w:spacing w:val="-4"/>
                <w:sz w:val="21"/>
              </w:rPr>
              <w:t>被保险人同</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3"/>
              <w:ind w:left="96"/>
              <w:rPr>
                <w:sz w:val="21"/>
              </w:rPr>
            </w:pPr>
            <w:r>
              <w:rPr>
                <w:b/>
                <w:spacing w:val="-4"/>
                <w:sz w:val="21"/>
              </w:rPr>
              <w:t>时确诊一项以上重度疾病时，该给付以一次为限）</w:t>
            </w:r>
            <w:r>
              <w:rPr>
                <w:spacing w:val="-5"/>
                <w:sz w:val="21"/>
              </w:rPr>
              <w:t>，给付后该重度疾病</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3"/>
                <w:sz w:val="21"/>
              </w:rPr>
              <w:t>所属组别的保险责任终止：</w:t>
            </w:r>
          </w:p>
        </w:tc>
      </w:tr>
      <w:tr>
        <w:trPr>
          <w:trHeight w:val="334"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1.本合同累计已交纳保险费（不计利息</w:t>
            </w:r>
            <w:r>
              <w:rPr>
                <w:spacing w:val="-114"/>
                <w:sz w:val="21"/>
              </w:rPr>
              <w:t>）</w:t>
            </w:r>
            <w:r>
              <w:rPr>
                <w:spacing w:val="-5"/>
                <w:sz w:val="21"/>
              </w:rPr>
              <w:t>；</w:t>
            </w:r>
          </w:p>
        </w:tc>
      </w:tr>
      <w:tr>
        <w:trPr>
          <w:trHeight w:val="334"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4"/>
              <w:ind w:left="96"/>
              <w:rPr>
                <w:sz w:val="21"/>
              </w:rPr>
            </w:pPr>
            <w:r>
              <w:rPr>
                <w:spacing w:val="-2"/>
                <w:sz w:val="21"/>
              </w:rPr>
              <w:t>2.</w:t>
            </w:r>
            <w:r>
              <w:rPr>
                <w:spacing w:val="-3"/>
                <w:sz w:val="21"/>
              </w:rPr>
              <w:t>被保险人首次重度疾病确诊之日本合同的现金价值；</w:t>
            </w:r>
          </w:p>
        </w:tc>
      </w:tr>
      <w:tr>
        <w:trPr>
          <w:trHeight w:val="545"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2"/>
                <w:sz w:val="21"/>
              </w:rPr>
              <w:t>3.</w:t>
            </w:r>
            <w:r>
              <w:rPr>
                <w:spacing w:val="-3"/>
                <w:sz w:val="21"/>
              </w:rPr>
              <w:t>本合同的基本保险金额。</w:t>
            </w:r>
          </w:p>
        </w:tc>
      </w:tr>
      <w:tr>
        <w:trPr>
          <w:trHeight w:val="546" w:hRule="atLeast"/>
        </w:trPr>
        <w:tc>
          <w:tcPr>
            <w:tcW w:w="1010" w:type="dxa"/>
          </w:tcPr>
          <w:p>
            <w:pPr>
              <w:pStyle w:val="TableParagraph"/>
              <w:spacing w:before="1"/>
              <w:rPr>
                <w:b/>
                <w:sz w:val="19"/>
              </w:rPr>
            </w:pPr>
          </w:p>
          <w:p>
            <w:pPr>
              <w:pStyle w:val="TableParagraph"/>
              <w:ind w:left="50"/>
              <w:rPr>
                <w:sz w:val="21"/>
              </w:rPr>
            </w:pPr>
            <w:r>
              <w:rPr>
                <w:spacing w:val="-2"/>
                <w:sz w:val="21"/>
              </w:rPr>
              <w:t>2.5.1.4</w:t>
            </w:r>
          </w:p>
        </w:tc>
        <w:tc>
          <w:tcPr>
            <w:tcW w:w="1709" w:type="dxa"/>
          </w:tcPr>
          <w:p>
            <w:pPr>
              <w:pStyle w:val="TableParagraph"/>
              <w:spacing w:before="1"/>
              <w:rPr>
                <w:b/>
                <w:sz w:val="19"/>
              </w:rPr>
            </w:pPr>
          </w:p>
          <w:p>
            <w:pPr>
              <w:pStyle w:val="TableParagraph"/>
              <w:ind w:left="223"/>
              <w:rPr>
                <w:sz w:val="21"/>
              </w:rPr>
            </w:pPr>
            <w:r>
              <w:rPr>
                <w:spacing w:val="14"/>
                <w:sz w:val="21"/>
              </w:rPr>
              <w:t>第四次重度疾</w:t>
            </w:r>
          </w:p>
        </w:tc>
        <w:tc>
          <w:tcPr>
            <w:tcW w:w="6661" w:type="dxa"/>
          </w:tcPr>
          <w:p>
            <w:pPr>
              <w:pStyle w:val="TableParagraph"/>
              <w:spacing w:before="1"/>
              <w:rPr>
                <w:b/>
                <w:sz w:val="19"/>
              </w:rPr>
            </w:pPr>
          </w:p>
          <w:p>
            <w:pPr>
              <w:pStyle w:val="TableParagraph"/>
              <w:ind w:left="96"/>
              <w:rPr>
                <w:sz w:val="21"/>
              </w:rPr>
            </w:pPr>
            <w:r>
              <w:rPr>
                <w:spacing w:val="-5"/>
                <w:sz w:val="21"/>
              </w:rPr>
              <w:t>我们给付第三次重度疾病保险金后，若被保险人自第三次重度疾病确诊</w:t>
            </w:r>
          </w:p>
        </w:tc>
      </w:tr>
      <w:tr>
        <w:trPr>
          <w:trHeight w:val="333" w:hRule="atLeast"/>
        </w:trPr>
        <w:tc>
          <w:tcPr>
            <w:tcW w:w="1010" w:type="dxa"/>
          </w:tcPr>
          <w:p>
            <w:pPr>
              <w:pStyle w:val="TableParagraph"/>
              <w:rPr>
                <w:rFonts w:ascii="Times New Roman"/>
                <w:sz w:val="20"/>
              </w:rPr>
            </w:pPr>
          </w:p>
        </w:tc>
        <w:tc>
          <w:tcPr>
            <w:tcW w:w="1709" w:type="dxa"/>
          </w:tcPr>
          <w:p>
            <w:pPr>
              <w:pStyle w:val="TableParagraph"/>
              <w:spacing w:before="32"/>
              <w:ind w:left="223"/>
              <w:rPr>
                <w:sz w:val="21"/>
              </w:rPr>
            </w:pPr>
            <w:r>
              <w:rPr>
                <w:spacing w:val="-4"/>
                <w:sz w:val="21"/>
              </w:rPr>
              <w:t>病保险金</w:t>
            </w:r>
          </w:p>
        </w:tc>
        <w:tc>
          <w:tcPr>
            <w:tcW w:w="6661" w:type="dxa"/>
          </w:tcPr>
          <w:p>
            <w:pPr>
              <w:pStyle w:val="TableParagraph"/>
              <w:spacing w:before="32"/>
              <w:ind w:left="96"/>
              <w:rPr>
                <w:sz w:val="21"/>
              </w:rPr>
            </w:pPr>
            <w:r>
              <w:rPr>
                <w:sz w:val="21"/>
              </w:rPr>
              <w:t>之日起180天（不含）</w:t>
            </w:r>
            <w:r>
              <w:rPr>
                <w:spacing w:val="-1"/>
                <w:sz w:val="21"/>
              </w:rPr>
              <w:t>后，经我们认可的医院确诊初次发生本合同约定</w:t>
            </w:r>
          </w:p>
        </w:tc>
      </w:tr>
      <w:tr>
        <w:trPr>
          <w:trHeight w:val="33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2"/>
              <w:ind w:left="96"/>
              <w:rPr>
                <w:sz w:val="21"/>
              </w:rPr>
            </w:pPr>
            <w:r>
              <w:rPr>
                <w:spacing w:val="-3"/>
                <w:sz w:val="21"/>
              </w:rPr>
              <w:t>的除前述三次重度疾病所属组别以外其他组别中的任何一种重度疾病，</w:t>
            </w:r>
          </w:p>
        </w:tc>
      </w:tr>
      <w:tr>
        <w:trPr>
          <w:trHeight w:val="335"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before="33"/>
              <w:ind w:left="96"/>
              <w:rPr>
                <w:b/>
                <w:sz w:val="21"/>
              </w:rPr>
            </w:pPr>
            <w:r>
              <w:rPr>
                <w:spacing w:val="-2"/>
                <w:sz w:val="21"/>
              </w:rPr>
              <w:t>我们将按以下三者中的较大者给付第四次重度疾病保险金</w:t>
            </w:r>
            <w:r>
              <w:rPr>
                <w:b/>
                <w:spacing w:val="-2"/>
                <w:sz w:val="21"/>
              </w:rPr>
              <w:t>（</w:t>
            </w:r>
            <w:r>
              <w:rPr>
                <w:b/>
                <w:spacing w:val="-4"/>
                <w:sz w:val="21"/>
              </w:rPr>
              <w:t>被保险人同</w:t>
            </w:r>
          </w:p>
        </w:tc>
      </w:tr>
      <w:tr>
        <w:trPr>
          <w:trHeight w:val="273" w:hRule="atLeast"/>
        </w:trPr>
        <w:tc>
          <w:tcPr>
            <w:tcW w:w="1010" w:type="dxa"/>
          </w:tcPr>
          <w:p>
            <w:pPr>
              <w:pStyle w:val="TableParagraph"/>
              <w:rPr>
                <w:rFonts w:ascii="Times New Roman"/>
                <w:sz w:val="20"/>
              </w:rPr>
            </w:pPr>
          </w:p>
        </w:tc>
        <w:tc>
          <w:tcPr>
            <w:tcW w:w="1709" w:type="dxa"/>
          </w:tcPr>
          <w:p>
            <w:pPr>
              <w:pStyle w:val="TableParagraph"/>
              <w:rPr>
                <w:rFonts w:ascii="Times New Roman"/>
                <w:sz w:val="20"/>
              </w:rPr>
            </w:pPr>
          </w:p>
        </w:tc>
        <w:tc>
          <w:tcPr>
            <w:tcW w:w="6661" w:type="dxa"/>
          </w:tcPr>
          <w:p>
            <w:pPr>
              <w:pStyle w:val="TableParagraph"/>
              <w:spacing w:line="220" w:lineRule="exact" w:before="34"/>
              <w:ind w:left="96"/>
              <w:rPr>
                <w:sz w:val="21"/>
              </w:rPr>
            </w:pPr>
            <w:r>
              <w:rPr>
                <w:b/>
                <w:spacing w:val="-4"/>
                <w:sz w:val="21"/>
              </w:rPr>
              <w:t>时确诊一项以上重度疾病时，该给付以一次为限）</w:t>
            </w:r>
            <w:r>
              <w:rPr>
                <w:spacing w:val="-5"/>
                <w:sz w:val="21"/>
              </w:rPr>
              <w:t>，给付后该重度疾病</w:t>
            </w:r>
          </w:p>
        </w:tc>
      </w:tr>
    </w:tbl>
    <w:p>
      <w:pPr>
        <w:spacing w:after="0" w:line="220" w:lineRule="exact"/>
        <w:rPr>
          <w:sz w:val="21"/>
        </w:rPr>
        <w:sectPr>
          <w:type w:val="continuous"/>
          <w:pgSz w:w="11910" w:h="16840"/>
          <w:pgMar w:header="0" w:footer="857" w:top="1500" w:bottom="1180" w:left="1100" w:right="260"/>
        </w:sectPr>
      </w:pPr>
    </w:p>
    <w:tbl>
      <w:tblPr>
        <w:tblW w:w="0" w:type="auto"/>
        <w:jc w:val="left"/>
        <w:tblInd w:w="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10"/>
        <w:gridCol w:w="1698"/>
        <w:gridCol w:w="6672"/>
      </w:tblGrid>
      <w:tr>
        <w:trPr>
          <w:trHeight w:val="1485" w:hRule="atLeast"/>
        </w:trPr>
        <w:tc>
          <w:tcPr>
            <w:tcW w:w="1010" w:type="dxa"/>
          </w:tcPr>
          <w:p>
            <w:pPr>
              <w:pStyle w:val="TableParagraph"/>
              <w:rPr>
                <w:rFonts w:ascii="Times New Roman"/>
                <w:sz w:val="20"/>
              </w:rPr>
            </w:pPr>
          </w:p>
        </w:tc>
        <w:tc>
          <w:tcPr>
            <w:tcW w:w="1698" w:type="dxa"/>
          </w:tcPr>
          <w:p>
            <w:pPr>
              <w:pStyle w:val="TableParagraph"/>
              <w:rPr>
                <w:rFonts w:ascii="Times New Roman"/>
                <w:sz w:val="20"/>
              </w:rPr>
            </w:pPr>
          </w:p>
        </w:tc>
        <w:tc>
          <w:tcPr>
            <w:tcW w:w="6672" w:type="dxa"/>
          </w:tcPr>
          <w:p>
            <w:pPr>
              <w:pStyle w:val="TableParagraph"/>
              <w:spacing w:line="241" w:lineRule="exact"/>
              <w:ind w:left="107"/>
              <w:rPr>
                <w:sz w:val="21"/>
              </w:rPr>
            </w:pPr>
            <w:r>
              <w:rPr>
                <w:spacing w:val="-3"/>
                <w:sz w:val="21"/>
              </w:rPr>
              <w:t>所属组别的保险责任终止：</w:t>
            </w:r>
          </w:p>
          <w:p>
            <w:pPr>
              <w:pStyle w:val="TableParagraph"/>
              <w:numPr>
                <w:ilvl w:val="0"/>
                <w:numId w:val="4"/>
              </w:numPr>
              <w:tabs>
                <w:tab w:pos="320" w:val="left" w:leader="none"/>
              </w:tabs>
              <w:spacing w:line="240" w:lineRule="auto" w:before="64" w:after="0"/>
              <w:ind w:left="319" w:right="0" w:hanging="213"/>
              <w:jc w:val="left"/>
              <w:rPr>
                <w:sz w:val="21"/>
              </w:rPr>
            </w:pPr>
            <w:r>
              <w:rPr>
                <w:spacing w:val="-2"/>
                <w:sz w:val="21"/>
              </w:rPr>
              <w:t>本合同累计已交纳保险费（不计利息</w:t>
            </w:r>
            <w:r>
              <w:rPr>
                <w:spacing w:val="-114"/>
                <w:sz w:val="21"/>
              </w:rPr>
              <w:t>）</w:t>
            </w:r>
            <w:r>
              <w:rPr>
                <w:spacing w:val="-5"/>
                <w:sz w:val="21"/>
              </w:rPr>
              <w:t>；</w:t>
            </w:r>
          </w:p>
          <w:p>
            <w:pPr>
              <w:pStyle w:val="TableParagraph"/>
              <w:numPr>
                <w:ilvl w:val="0"/>
                <w:numId w:val="4"/>
              </w:numPr>
              <w:tabs>
                <w:tab w:pos="320" w:val="left" w:leader="none"/>
              </w:tabs>
              <w:spacing w:line="240" w:lineRule="auto" w:before="65" w:after="0"/>
              <w:ind w:left="319" w:right="0" w:hanging="213"/>
              <w:jc w:val="left"/>
              <w:rPr>
                <w:sz w:val="21"/>
              </w:rPr>
            </w:pPr>
            <w:r>
              <w:rPr>
                <w:spacing w:val="-3"/>
                <w:sz w:val="21"/>
              </w:rPr>
              <w:t>被保险人首次重度疾病确诊之日本合同的现金价值；</w:t>
            </w:r>
          </w:p>
          <w:p>
            <w:pPr>
              <w:pStyle w:val="TableParagraph"/>
              <w:numPr>
                <w:ilvl w:val="0"/>
                <w:numId w:val="4"/>
              </w:numPr>
              <w:tabs>
                <w:tab w:pos="320" w:val="left" w:leader="none"/>
              </w:tabs>
              <w:spacing w:line="240" w:lineRule="auto" w:before="64" w:after="0"/>
              <w:ind w:left="319" w:right="0" w:hanging="213"/>
              <w:jc w:val="left"/>
              <w:rPr>
                <w:sz w:val="21"/>
              </w:rPr>
            </w:pPr>
            <w:r>
              <w:rPr>
                <w:spacing w:val="-3"/>
                <w:sz w:val="21"/>
              </w:rPr>
              <w:t>本合同的基本保险金额。</w:t>
            </w:r>
          </w:p>
        </w:tc>
      </w:tr>
      <w:tr>
        <w:trPr>
          <w:trHeight w:val="3159" w:hRule="atLeast"/>
        </w:trPr>
        <w:tc>
          <w:tcPr>
            <w:tcW w:w="1010" w:type="dxa"/>
          </w:tcPr>
          <w:p>
            <w:pPr>
              <w:pStyle w:val="TableParagraph"/>
              <w:spacing w:before="1"/>
              <w:rPr>
                <w:b/>
                <w:sz w:val="19"/>
              </w:rPr>
            </w:pPr>
          </w:p>
          <w:p>
            <w:pPr>
              <w:pStyle w:val="TableParagraph"/>
              <w:ind w:left="50"/>
              <w:rPr>
                <w:sz w:val="21"/>
              </w:rPr>
            </w:pPr>
            <w:r>
              <w:rPr>
                <w:spacing w:val="-2"/>
                <w:sz w:val="21"/>
              </w:rPr>
              <w:t>2.5.1.5</w:t>
            </w:r>
          </w:p>
        </w:tc>
        <w:tc>
          <w:tcPr>
            <w:tcW w:w="1698" w:type="dxa"/>
          </w:tcPr>
          <w:p>
            <w:pPr>
              <w:pStyle w:val="TableParagraph"/>
              <w:spacing w:before="1"/>
              <w:rPr>
                <w:b/>
                <w:sz w:val="19"/>
              </w:rPr>
            </w:pPr>
          </w:p>
          <w:p>
            <w:pPr>
              <w:pStyle w:val="TableParagraph"/>
              <w:spacing w:line="297" w:lineRule="auto"/>
              <w:ind w:left="223" w:right="105"/>
              <w:rPr>
                <w:sz w:val="21"/>
              </w:rPr>
            </w:pPr>
            <w:r>
              <w:rPr>
                <w:spacing w:val="14"/>
                <w:sz w:val="21"/>
              </w:rPr>
              <w:t>第五次重度疾</w:t>
            </w:r>
            <w:r>
              <w:rPr>
                <w:spacing w:val="-4"/>
                <w:sz w:val="21"/>
              </w:rPr>
              <w:t>病保险金</w:t>
            </w:r>
          </w:p>
        </w:tc>
        <w:tc>
          <w:tcPr>
            <w:tcW w:w="6672" w:type="dxa"/>
          </w:tcPr>
          <w:p>
            <w:pPr>
              <w:pStyle w:val="TableParagraph"/>
              <w:spacing w:before="1"/>
              <w:rPr>
                <w:b/>
                <w:sz w:val="19"/>
              </w:rPr>
            </w:pPr>
          </w:p>
          <w:p>
            <w:pPr>
              <w:pStyle w:val="TableParagraph"/>
              <w:spacing w:line="297" w:lineRule="auto"/>
              <w:ind w:left="107" w:right="48"/>
              <w:jc w:val="both"/>
              <w:rPr>
                <w:sz w:val="21"/>
              </w:rPr>
            </w:pPr>
            <w:r>
              <w:rPr>
                <w:spacing w:val="-2"/>
                <w:sz w:val="21"/>
              </w:rPr>
              <w:t>我们给付第四次重度疾病保险金后，若被保险人自第四次重度疾病确诊</w:t>
            </w:r>
            <w:r>
              <w:rPr>
                <w:spacing w:val="-8"/>
                <w:sz w:val="21"/>
              </w:rPr>
              <w:t>之日起 </w:t>
            </w:r>
            <w:r>
              <w:rPr>
                <w:spacing w:val="-2"/>
                <w:sz w:val="21"/>
              </w:rPr>
              <w:t>180</w:t>
            </w:r>
            <w:r>
              <w:rPr>
                <w:spacing w:val="-13"/>
                <w:sz w:val="21"/>
              </w:rPr>
              <w:t> 天</w:t>
            </w:r>
            <w:r>
              <w:rPr>
                <w:spacing w:val="-2"/>
                <w:sz w:val="21"/>
              </w:rPr>
              <w:t>（不含）后，经我们认可的医院确诊初次发生本合同约定</w:t>
            </w:r>
            <w:r>
              <w:rPr>
                <w:spacing w:val="-2"/>
                <w:sz w:val="21"/>
              </w:rPr>
              <w:t>的除前述四次重度疾病所属组别以外其他组别中的任何一种重度疾病，</w:t>
            </w:r>
            <w:r>
              <w:rPr>
                <w:spacing w:val="-2"/>
                <w:sz w:val="21"/>
              </w:rPr>
              <w:t>我们将按以下三者中的较大者给付第五次重度疾病保险金</w:t>
            </w:r>
            <w:r>
              <w:rPr>
                <w:b/>
                <w:spacing w:val="-2"/>
                <w:sz w:val="21"/>
              </w:rPr>
              <w:t>（被保险人同</w:t>
            </w:r>
            <w:r>
              <w:rPr>
                <w:b/>
                <w:spacing w:val="-2"/>
                <w:sz w:val="21"/>
              </w:rPr>
              <w:t>时确诊一项以上重度疾病时，该给付以一次为限</w:t>
            </w:r>
            <w:r>
              <w:rPr>
                <w:b/>
                <w:spacing w:val="-52"/>
                <w:sz w:val="21"/>
              </w:rPr>
              <w:t>）</w:t>
            </w:r>
            <w:r>
              <w:rPr>
                <w:spacing w:val="-10"/>
                <w:sz w:val="21"/>
              </w:rPr>
              <w:t>，给付后该重度疾病</w:t>
            </w:r>
            <w:r>
              <w:rPr>
                <w:spacing w:val="-2"/>
                <w:sz w:val="21"/>
              </w:rPr>
              <w:t>所属组别的保险责任终止：</w:t>
            </w:r>
          </w:p>
          <w:p>
            <w:pPr>
              <w:pStyle w:val="TableParagraph"/>
              <w:numPr>
                <w:ilvl w:val="0"/>
                <w:numId w:val="5"/>
              </w:numPr>
              <w:tabs>
                <w:tab w:pos="320" w:val="left" w:leader="none"/>
              </w:tabs>
              <w:spacing w:line="240" w:lineRule="auto" w:before="3" w:after="0"/>
              <w:ind w:left="319" w:right="0" w:hanging="213"/>
              <w:jc w:val="left"/>
              <w:rPr>
                <w:sz w:val="21"/>
              </w:rPr>
            </w:pPr>
            <w:r>
              <w:rPr>
                <w:spacing w:val="-2"/>
                <w:sz w:val="21"/>
              </w:rPr>
              <w:t>本合同累计已交纳保险费（不计利息</w:t>
            </w:r>
            <w:r>
              <w:rPr>
                <w:spacing w:val="-114"/>
                <w:sz w:val="21"/>
              </w:rPr>
              <w:t>）</w:t>
            </w:r>
            <w:r>
              <w:rPr>
                <w:spacing w:val="-5"/>
                <w:sz w:val="21"/>
              </w:rPr>
              <w:t>；</w:t>
            </w:r>
          </w:p>
          <w:p>
            <w:pPr>
              <w:pStyle w:val="TableParagraph"/>
              <w:numPr>
                <w:ilvl w:val="0"/>
                <w:numId w:val="5"/>
              </w:numPr>
              <w:tabs>
                <w:tab w:pos="320" w:val="left" w:leader="none"/>
              </w:tabs>
              <w:spacing w:line="240" w:lineRule="auto" w:before="67" w:after="0"/>
              <w:ind w:left="319" w:right="0" w:hanging="213"/>
              <w:jc w:val="left"/>
              <w:rPr>
                <w:sz w:val="21"/>
              </w:rPr>
            </w:pPr>
            <w:r>
              <w:rPr>
                <w:spacing w:val="-3"/>
                <w:sz w:val="21"/>
              </w:rPr>
              <w:t>被保险人首次重度疾病确诊之日本合同的现金价值；</w:t>
            </w:r>
          </w:p>
          <w:p>
            <w:pPr>
              <w:pStyle w:val="TableParagraph"/>
              <w:numPr>
                <w:ilvl w:val="0"/>
                <w:numId w:val="5"/>
              </w:numPr>
              <w:tabs>
                <w:tab w:pos="320" w:val="left" w:leader="none"/>
              </w:tabs>
              <w:spacing w:line="220" w:lineRule="exact" w:before="65" w:after="0"/>
              <w:ind w:left="319" w:right="0" w:hanging="213"/>
              <w:jc w:val="left"/>
              <w:rPr>
                <w:sz w:val="21"/>
              </w:rPr>
            </w:pPr>
            <w:r>
              <w:rPr>
                <w:spacing w:val="-3"/>
                <w:sz w:val="21"/>
              </w:rPr>
              <w:t>本合同的基本保险金额。</w:t>
            </w:r>
          </w:p>
        </w:tc>
      </w:tr>
    </w:tbl>
    <w:p>
      <w:pPr>
        <w:pStyle w:val="BodyText"/>
        <w:rPr>
          <w:b/>
          <w:sz w:val="20"/>
        </w:rPr>
      </w:pPr>
    </w:p>
    <w:p>
      <w:pPr>
        <w:pStyle w:val="BodyText"/>
        <w:spacing w:before="7"/>
        <w:rPr>
          <w:b/>
          <w:sz w:val="22"/>
        </w:rPr>
      </w:pPr>
    </w:p>
    <w:p>
      <w:pPr>
        <w:spacing w:after="0"/>
        <w:rPr>
          <w:sz w:val="22"/>
        </w:rPr>
        <w:sectPr>
          <w:type w:val="continuous"/>
          <w:pgSz w:w="11910" w:h="16840"/>
          <w:pgMar w:header="0" w:footer="857" w:top="1500" w:bottom="1180" w:left="1100" w:right="260"/>
        </w:sectPr>
      </w:pPr>
    </w:p>
    <w:p>
      <w:pPr>
        <w:pStyle w:val="ListParagraph"/>
        <w:numPr>
          <w:ilvl w:val="2"/>
          <w:numId w:val="6"/>
        </w:numPr>
        <w:tabs>
          <w:tab w:pos="1408" w:val="left" w:leader="none"/>
          <w:tab w:pos="1409" w:val="left" w:leader="none"/>
        </w:tabs>
        <w:spacing w:line="297" w:lineRule="auto" w:before="72" w:after="0"/>
        <w:ind w:left="1408" w:right="0" w:hanging="1184"/>
        <w:jc w:val="left"/>
        <w:rPr>
          <w:sz w:val="21"/>
        </w:rPr>
      </w:pPr>
      <w:r>
        <w:rPr>
          <w:spacing w:val="14"/>
          <w:sz w:val="21"/>
        </w:rPr>
        <w:t>中度疾病保险</w:t>
      </w:r>
      <w:r>
        <w:rPr>
          <w:spacing w:val="-10"/>
          <w:sz w:val="21"/>
        </w:rPr>
        <w:t>金</w:t>
      </w:r>
    </w:p>
    <w:p>
      <w:pPr>
        <w:pStyle w:val="BodyText"/>
        <w:spacing w:line="285" w:lineRule="auto" w:before="84"/>
        <w:ind w:left="152" w:right="1058"/>
        <w:jc w:val="both"/>
      </w:pPr>
      <w:r>
        <w:rPr/>
        <w:br w:type="column"/>
      </w:r>
      <w:r>
        <w:rPr>
          <w:spacing w:val="-2"/>
        </w:rPr>
        <w:t>等待期后，若被保险人经我们认可的医院确诊初次发生本合同约定的一</w:t>
      </w:r>
      <w:r>
        <w:rPr>
          <w:spacing w:val="-2"/>
        </w:rPr>
        <w:t>种或多种中度疾病，我们将按本合同基本保险金额的 </w:t>
      </w:r>
      <w:r>
        <w:rPr/>
        <w:t>50%给付中度疾病</w:t>
      </w:r>
      <w:r>
        <w:rPr>
          <w:spacing w:val="-4"/>
        </w:rPr>
        <w:t>保险金。</w:t>
      </w:r>
    </w:p>
    <w:p>
      <w:pPr>
        <w:pStyle w:val="BodyText"/>
        <w:spacing w:before="5"/>
        <w:rPr>
          <w:sz w:val="23"/>
        </w:rPr>
      </w:pPr>
    </w:p>
    <w:p>
      <w:pPr>
        <w:spacing w:line="278" w:lineRule="auto" w:before="0"/>
        <w:ind w:left="152" w:right="998" w:firstLine="0"/>
        <w:jc w:val="both"/>
        <w:rPr>
          <w:b/>
          <w:sz w:val="21"/>
        </w:rPr>
      </w:pPr>
      <w:r>
        <w:rPr>
          <w:b/>
          <w:spacing w:val="-2"/>
          <w:sz w:val="21"/>
        </w:rPr>
        <w:t>每种中度疾病仅给付一次中度疾病保险金，给付后我们不再针对该种中</w:t>
      </w:r>
      <w:r>
        <w:rPr>
          <w:b/>
          <w:spacing w:val="-2"/>
          <w:sz w:val="21"/>
        </w:rPr>
        <w:t>度疾病承担保险责任，中度疾病保险金的累计给付次数以两次为限，且</w:t>
      </w:r>
      <w:r>
        <w:rPr>
          <w:b/>
          <w:spacing w:val="-2"/>
          <w:sz w:val="21"/>
        </w:rPr>
        <w:t>每次中度疾病确诊之日的间隔须超过90</w:t>
      </w:r>
      <w:r>
        <w:rPr>
          <w:b/>
          <w:spacing w:val="-2"/>
          <w:sz w:val="21"/>
        </w:rPr>
        <w:t>日，中度疾病保险金给付满两次</w:t>
      </w:r>
      <w:r>
        <w:rPr>
          <w:b/>
          <w:spacing w:val="-2"/>
          <w:sz w:val="21"/>
        </w:rPr>
        <w:t>后，本项保险责任终止。</w:t>
      </w:r>
    </w:p>
    <w:p>
      <w:pPr>
        <w:spacing w:after="0" w:line="278" w:lineRule="auto"/>
        <w:jc w:val="both"/>
        <w:rPr>
          <w:sz w:val="21"/>
        </w:rPr>
        <w:sectPr>
          <w:type w:val="continuous"/>
          <w:pgSz w:w="11910" w:h="16840"/>
          <w:pgMar w:header="0" w:footer="857" w:top="320" w:bottom="1040" w:left="1100" w:right="260"/>
          <w:cols w:num="2" w:equalWidth="0">
            <w:col w:w="2799" w:space="40"/>
            <w:col w:w="7711"/>
          </w:cols>
        </w:sectPr>
      </w:pPr>
    </w:p>
    <w:p>
      <w:pPr>
        <w:pStyle w:val="BodyText"/>
        <w:spacing w:before="8"/>
        <w:rPr>
          <w:b/>
          <w:sz w:val="28"/>
        </w:rPr>
      </w:pPr>
    </w:p>
    <w:p>
      <w:pPr>
        <w:spacing w:after="0"/>
        <w:rPr>
          <w:sz w:val="28"/>
        </w:rPr>
        <w:sectPr>
          <w:type w:val="continuous"/>
          <w:pgSz w:w="11910" w:h="16840"/>
          <w:pgMar w:header="0" w:footer="857" w:top="320" w:bottom="1040" w:left="1100" w:right="260"/>
        </w:sectPr>
      </w:pPr>
    </w:p>
    <w:p>
      <w:pPr>
        <w:pStyle w:val="ListParagraph"/>
        <w:numPr>
          <w:ilvl w:val="2"/>
          <w:numId w:val="6"/>
        </w:numPr>
        <w:tabs>
          <w:tab w:pos="1408" w:val="left" w:leader="none"/>
          <w:tab w:pos="1409" w:val="left" w:leader="none"/>
        </w:tabs>
        <w:spacing w:line="297" w:lineRule="auto" w:before="72" w:after="0"/>
        <w:ind w:left="1408" w:right="0" w:hanging="1184"/>
        <w:jc w:val="left"/>
        <w:rPr>
          <w:sz w:val="21"/>
        </w:rPr>
      </w:pPr>
      <w:r>
        <w:rPr>
          <w:spacing w:val="14"/>
          <w:sz w:val="21"/>
        </w:rPr>
        <w:t>轻度疾病保险</w:t>
      </w:r>
      <w:r>
        <w:rPr>
          <w:spacing w:val="-10"/>
          <w:sz w:val="21"/>
        </w:rPr>
        <w:t>金</w:t>
      </w:r>
    </w:p>
    <w:p>
      <w:pPr>
        <w:pStyle w:val="BodyText"/>
        <w:spacing w:line="297" w:lineRule="auto" w:before="72"/>
        <w:ind w:left="152" w:right="1058"/>
        <w:jc w:val="both"/>
      </w:pPr>
      <w:r>
        <w:rPr/>
        <w:br w:type="column"/>
      </w:r>
      <w:r>
        <w:rPr>
          <w:spacing w:val="-2"/>
        </w:rPr>
        <w:t>等待期后，若被保险人经我们认可的医院确诊初次发生本合同约定的一</w:t>
      </w:r>
      <w:r>
        <w:rPr>
          <w:spacing w:val="-2"/>
        </w:rPr>
        <w:t>种或多种轻度疾病，我们将按本合同基本保险金额的 </w:t>
      </w:r>
      <w:r>
        <w:rPr/>
        <w:t>30%给付轻度疾病</w:t>
      </w:r>
      <w:r>
        <w:rPr>
          <w:spacing w:val="-4"/>
        </w:rPr>
        <w:t>保险金。</w:t>
      </w:r>
    </w:p>
    <w:p>
      <w:pPr>
        <w:pStyle w:val="BodyText"/>
        <w:spacing w:before="6"/>
        <w:rPr>
          <w:sz w:val="25"/>
        </w:rPr>
      </w:pPr>
    </w:p>
    <w:p>
      <w:pPr>
        <w:spacing w:line="280" w:lineRule="auto" w:before="0"/>
        <w:ind w:left="152" w:right="998" w:firstLine="0"/>
        <w:jc w:val="both"/>
        <w:rPr>
          <w:b/>
          <w:sz w:val="21"/>
        </w:rPr>
      </w:pPr>
      <w:r>
        <w:rPr>
          <w:b/>
          <w:spacing w:val="-2"/>
          <w:sz w:val="21"/>
        </w:rPr>
        <w:t>每种轻度疾病仅给付一次轻度疾病保险金，给付后我们不再针对该种轻</w:t>
      </w:r>
      <w:r>
        <w:rPr>
          <w:b/>
          <w:spacing w:val="-2"/>
          <w:sz w:val="21"/>
        </w:rPr>
        <w:t>度疾病承担保险责任，轻度疾病保险金的累计给付次数以三次为限，且</w:t>
      </w:r>
      <w:r>
        <w:rPr>
          <w:b/>
          <w:spacing w:val="-2"/>
          <w:sz w:val="21"/>
        </w:rPr>
        <w:t>每次轻度疾病确诊之日的间隔须超过90</w:t>
      </w:r>
      <w:r>
        <w:rPr>
          <w:b/>
          <w:spacing w:val="-2"/>
          <w:sz w:val="21"/>
        </w:rPr>
        <w:t>日，轻度疾病保险金给付满三次</w:t>
      </w:r>
      <w:r>
        <w:rPr>
          <w:b/>
          <w:spacing w:val="-2"/>
          <w:sz w:val="21"/>
        </w:rPr>
        <w:t>后，本项保险责任终止。</w:t>
      </w:r>
    </w:p>
    <w:p>
      <w:pPr>
        <w:spacing w:after="0" w:line="280" w:lineRule="auto"/>
        <w:jc w:val="both"/>
        <w:rPr>
          <w:sz w:val="21"/>
        </w:rPr>
        <w:sectPr>
          <w:type w:val="continuous"/>
          <w:pgSz w:w="11910" w:h="16840"/>
          <w:pgMar w:header="0" w:footer="857" w:top="320" w:bottom="1040" w:left="1100" w:right="260"/>
          <w:cols w:num="2" w:equalWidth="0">
            <w:col w:w="2799" w:space="40"/>
            <w:col w:w="7711"/>
          </w:cols>
        </w:sectPr>
      </w:pPr>
    </w:p>
    <w:p>
      <w:pPr>
        <w:pStyle w:val="BodyText"/>
        <w:spacing w:before="1"/>
        <w:rPr>
          <w:b/>
          <w:sz w:val="28"/>
        </w:rPr>
      </w:pPr>
    </w:p>
    <w:p>
      <w:pPr>
        <w:spacing w:after="0"/>
        <w:rPr>
          <w:sz w:val="28"/>
        </w:rPr>
        <w:sectPr>
          <w:type w:val="continuous"/>
          <w:pgSz w:w="11910" w:h="16840"/>
          <w:pgMar w:header="0" w:footer="857" w:top="320" w:bottom="1040" w:left="1100" w:right="260"/>
        </w:sectPr>
      </w:pPr>
    </w:p>
    <w:p>
      <w:pPr>
        <w:pStyle w:val="ListParagraph"/>
        <w:numPr>
          <w:ilvl w:val="2"/>
          <w:numId w:val="6"/>
        </w:numPr>
        <w:tabs>
          <w:tab w:pos="1409" w:val="left" w:leader="none"/>
        </w:tabs>
        <w:spacing w:line="297" w:lineRule="auto" w:before="71" w:after="0"/>
        <w:ind w:left="1408" w:right="0" w:hanging="1184"/>
        <w:jc w:val="both"/>
        <w:rPr>
          <w:sz w:val="21"/>
        </w:rPr>
      </w:pPr>
      <w:r>
        <w:rPr>
          <w:spacing w:val="14"/>
          <w:sz w:val="21"/>
        </w:rPr>
        <w:t>重度疾病保险</w:t>
      </w:r>
      <w:r>
        <w:rPr>
          <w:spacing w:val="-19"/>
          <w:sz w:val="21"/>
        </w:rPr>
        <w:t>金、中度疾病保</w:t>
      </w:r>
      <w:r>
        <w:rPr>
          <w:spacing w:val="14"/>
          <w:sz w:val="21"/>
        </w:rPr>
        <w:t>险金及轻度疾</w:t>
      </w:r>
      <w:r>
        <w:rPr>
          <w:spacing w:val="14"/>
          <w:sz w:val="21"/>
        </w:rPr>
        <w:t>病保险金的给</w:t>
      </w:r>
      <w:r>
        <w:rPr>
          <w:spacing w:val="-4"/>
          <w:sz w:val="21"/>
        </w:rPr>
        <w:t>付限制</w:t>
      </w:r>
    </w:p>
    <w:p>
      <w:pPr>
        <w:spacing w:line="297" w:lineRule="auto" w:before="71"/>
        <w:ind w:left="174" w:right="1060" w:firstLine="0"/>
        <w:jc w:val="both"/>
        <w:rPr>
          <w:b/>
          <w:sz w:val="21"/>
        </w:rPr>
      </w:pPr>
      <w:r>
        <w:rPr/>
        <w:br w:type="column"/>
      </w:r>
      <w:r>
        <w:rPr>
          <w:b/>
          <w:spacing w:val="-2"/>
          <w:sz w:val="21"/>
        </w:rPr>
        <w:t>若被保险人同时确诊归属于不同组别的重度疾病，则所属各组重度疾病</w:t>
      </w:r>
      <w:r>
        <w:rPr>
          <w:b/>
          <w:spacing w:val="-2"/>
          <w:sz w:val="21"/>
        </w:rPr>
        <w:t>的保险责任均终止，我们仅给付一次重度疾病保险金。举例说明：若被</w:t>
      </w:r>
      <w:r>
        <w:rPr>
          <w:b/>
          <w:spacing w:val="-2"/>
          <w:sz w:val="21"/>
        </w:rPr>
        <w:t>保险人同时确诊A</w:t>
      </w:r>
      <w:r>
        <w:rPr>
          <w:b/>
          <w:spacing w:val="-2"/>
          <w:sz w:val="21"/>
        </w:rPr>
        <w:t>组的恶性肿瘤——重度和B</w:t>
      </w:r>
      <w:r>
        <w:rPr>
          <w:b/>
          <w:spacing w:val="-2"/>
          <w:sz w:val="21"/>
        </w:rPr>
        <w:t>组的较重急性心肌梗死，我</w:t>
      </w:r>
      <w:r>
        <w:rPr>
          <w:b/>
          <w:spacing w:val="-2"/>
          <w:sz w:val="21"/>
        </w:rPr>
        <w:t>们仅给付一次重度疾病保险金，且A</w:t>
      </w:r>
      <w:r>
        <w:rPr>
          <w:b/>
          <w:spacing w:val="-2"/>
          <w:sz w:val="21"/>
        </w:rPr>
        <w:t>组重度疾病和B</w:t>
      </w:r>
      <w:r>
        <w:rPr>
          <w:b/>
          <w:spacing w:val="-2"/>
          <w:sz w:val="21"/>
        </w:rPr>
        <w:t>组重度疾病的保险责</w:t>
      </w:r>
      <w:r>
        <w:rPr>
          <w:b/>
          <w:spacing w:val="-2"/>
          <w:sz w:val="21"/>
        </w:rPr>
        <w:t>任均终止。</w:t>
      </w:r>
    </w:p>
    <w:p>
      <w:pPr>
        <w:pStyle w:val="BodyText"/>
        <w:spacing w:before="3"/>
        <w:rPr>
          <w:b/>
          <w:sz w:val="26"/>
        </w:rPr>
      </w:pPr>
    </w:p>
    <w:p>
      <w:pPr>
        <w:spacing w:before="0"/>
        <w:ind w:left="174" w:right="0" w:firstLine="0"/>
        <w:jc w:val="left"/>
        <w:rPr>
          <w:b/>
          <w:sz w:val="21"/>
        </w:rPr>
      </w:pPr>
      <w:r>
        <w:rPr>
          <w:b/>
          <w:spacing w:val="-1"/>
          <w:sz w:val="21"/>
        </w:rPr>
        <w:t>若被保险人确诊的疾病同时符合本合同所列的中度疾病定义和本合同</w:t>
      </w:r>
    </w:p>
    <w:p>
      <w:pPr>
        <w:spacing w:after="0"/>
        <w:jc w:val="left"/>
        <w:rPr>
          <w:sz w:val="21"/>
        </w:rPr>
        <w:sectPr>
          <w:type w:val="continuous"/>
          <w:pgSz w:w="11910" w:h="16840"/>
          <w:pgMar w:header="0" w:footer="857" w:top="320" w:bottom="1040" w:left="1100" w:right="260"/>
          <w:cols w:num="2" w:equalWidth="0">
            <w:col w:w="2777" w:space="40"/>
            <w:col w:w="7733"/>
          </w:cols>
        </w:sectPr>
      </w:pPr>
    </w:p>
    <w:p>
      <w:pPr>
        <w:spacing w:before="60"/>
        <w:ind w:left="2990" w:right="0" w:firstLine="0"/>
        <w:jc w:val="left"/>
        <w:rPr>
          <w:b/>
          <w:sz w:val="21"/>
        </w:rPr>
      </w:pPr>
      <w:r>
        <w:rPr>
          <w:b/>
          <w:spacing w:val="-3"/>
          <w:sz w:val="21"/>
        </w:rPr>
        <w:t>所列的重度疾病定义的，我们仅承担给付重度疾病保险金的保险责任。</w:t>
      </w:r>
    </w:p>
    <w:p>
      <w:pPr>
        <w:pStyle w:val="BodyText"/>
        <w:spacing w:before="8"/>
        <w:rPr>
          <w:b/>
          <w:sz w:val="29"/>
        </w:rPr>
      </w:pPr>
    </w:p>
    <w:p>
      <w:pPr>
        <w:spacing w:line="297" w:lineRule="auto" w:before="0"/>
        <w:ind w:left="2990" w:right="1015" w:firstLine="0"/>
        <w:jc w:val="left"/>
        <w:rPr>
          <w:b/>
          <w:sz w:val="21"/>
        </w:rPr>
      </w:pPr>
      <w:r>
        <w:rPr>
          <w:b/>
          <w:spacing w:val="3"/>
          <w:w w:val="100"/>
          <w:sz w:val="21"/>
        </w:rPr>
        <w:t>若被保险人确诊的疾病同时符合本合同所列的轻度疾病定义和本合同</w:t>
      </w:r>
      <w:r>
        <w:rPr>
          <w:b/>
          <w:spacing w:val="-3"/>
          <w:w w:val="100"/>
          <w:sz w:val="21"/>
        </w:rPr>
        <w:t>所列的重度疾病定义的，我们仅承担给付重度疾病保险金的保险责任。</w:t>
      </w:r>
    </w:p>
    <w:p>
      <w:pPr>
        <w:pStyle w:val="BodyText"/>
        <w:spacing w:before="4"/>
        <w:rPr>
          <w:b/>
          <w:sz w:val="24"/>
        </w:rPr>
      </w:pPr>
    </w:p>
    <w:p>
      <w:pPr>
        <w:spacing w:line="278" w:lineRule="auto" w:before="0"/>
        <w:ind w:left="2990" w:right="998" w:firstLine="0"/>
        <w:jc w:val="left"/>
        <w:rPr>
          <w:b/>
          <w:sz w:val="21"/>
        </w:rPr>
      </w:pPr>
      <w:r>
        <w:rPr>
          <w:b/>
          <w:spacing w:val="-2"/>
          <w:sz w:val="21"/>
        </w:rPr>
        <w:t>若被保险人确诊的疾病同时符合本合同所列的轻度疾病定义和本合同所</w:t>
      </w:r>
      <w:r>
        <w:rPr>
          <w:b/>
          <w:spacing w:val="-2"/>
          <w:sz w:val="21"/>
        </w:rPr>
        <w:t>列的中度疾病定义的，我们仅承担给付中度疾病保险金的保险责任。</w:t>
      </w:r>
    </w:p>
    <w:p>
      <w:pPr>
        <w:pStyle w:val="BodyText"/>
        <w:spacing w:before="5"/>
        <w:rPr>
          <w:b/>
          <w:sz w:val="26"/>
        </w:rPr>
      </w:pPr>
    </w:p>
    <w:p>
      <w:pPr>
        <w:spacing w:line="280" w:lineRule="auto" w:before="0"/>
        <w:ind w:left="2990" w:right="1000" w:firstLine="0"/>
        <w:jc w:val="both"/>
        <w:rPr>
          <w:b/>
          <w:sz w:val="21"/>
        </w:rPr>
      </w:pPr>
      <w:r>
        <w:rPr>
          <w:b/>
          <w:spacing w:val="-2"/>
          <w:sz w:val="21"/>
        </w:rPr>
        <w:t>若被保险人因同一疾病原因、同次医疗行为或同次意外伤害事故导致初</w:t>
      </w:r>
      <w:r>
        <w:rPr>
          <w:b/>
          <w:spacing w:val="-2"/>
          <w:sz w:val="21"/>
        </w:rPr>
        <w:t>次发生本合同所列的两种或两种以上中度疾病，我们仅按一种疾病给付</w:t>
      </w:r>
      <w:r>
        <w:rPr>
          <w:b/>
          <w:spacing w:val="-2"/>
          <w:sz w:val="21"/>
        </w:rPr>
        <w:t>中度疾病保险金。</w:t>
      </w:r>
    </w:p>
    <w:p>
      <w:pPr>
        <w:pStyle w:val="BodyText"/>
        <w:spacing w:before="11"/>
        <w:rPr>
          <w:b/>
          <w:sz w:val="24"/>
        </w:rPr>
      </w:pPr>
    </w:p>
    <w:p>
      <w:pPr>
        <w:spacing w:line="278" w:lineRule="auto" w:before="0"/>
        <w:ind w:left="2990" w:right="1000" w:firstLine="0"/>
        <w:jc w:val="both"/>
        <w:rPr>
          <w:b/>
          <w:sz w:val="21"/>
        </w:rPr>
      </w:pPr>
      <w:r>
        <w:rPr>
          <w:b/>
          <w:spacing w:val="-2"/>
          <w:sz w:val="21"/>
        </w:rPr>
        <w:t>若被保险人因同一疾病原因、同次医疗行为或同次意外伤害事故导致初</w:t>
      </w:r>
      <w:r>
        <w:rPr>
          <w:b/>
          <w:spacing w:val="-2"/>
          <w:sz w:val="21"/>
        </w:rPr>
        <w:t>次发生本合同所列的两种或两种以上轻度疾病，我们仅按一种疾病给付</w:t>
      </w:r>
      <w:r>
        <w:rPr>
          <w:b/>
          <w:spacing w:val="-2"/>
          <w:sz w:val="21"/>
        </w:rPr>
        <w:t>轻度疾病保险金。</w:t>
      </w:r>
    </w:p>
    <w:p>
      <w:pPr>
        <w:pStyle w:val="BodyText"/>
        <w:rPr>
          <w:b/>
          <w:sz w:val="20"/>
        </w:rPr>
      </w:pPr>
    </w:p>
    <w:p>
      <w:pPr>
        <w:pStyle w:val="ListParagraph"/>
        <w:numPr>
          <w:ilvl w:val="2"/>
          <w:numId w:val="6"/>
        </w:numPr>
        <w:tabs>
          <w:tab w:pos="1409" w:val="left" w:leader="none"/>
        </w:tabs>
        <w:spacing w:line="240" w:lineRule="auto" w:before="164" w:after="0"/>
        <w:ind w:left="1408" w:right="0" w:hanging="1184"/>
        <w:jc w:val="both"/>
        <w:rPr>
          <w:sz w:val="21"/>
        </w:rPr>
      </w:pPr>
      <w:r>
        <w:rPr>
          <w:spacing w:val="1"/>
          <w:sz w:val="21"/>
        </w:rPr>
        <w:t>身故保险金 等待期后，若被保险人身故，我们按以下约定给付身故保险金：</w:t>
      </w:r>
    </w:p>
    <w:p>
      <w:pPr>
        <w:pStyle w:val="ListParagraph"/>
        <w:numPr>
          <w:ilvl w:val="3"/>
          <w:numId w:val="6"/>
        </w:numPr>
        <w:tabs>
          <w:tab w:pos="3203" w:val="left" w:leader="none"/>
        </w:tabs>
        <w:spacing w:line="278" w:lineRule="auto" w:before="52" w:after="0"/>
        <w:ind w:left="2990" w:right="1058" w:firstLine="0"/>
        <w:jc w:val="both"/>
        <w:rPr>
          <w:sz w:val="21"/>
        </w:rPr>
      </w:pPr>
      <w:r>
        <w:rPr>
          <w:w w:val="95"/>
          <w:sz w:val="21"/>
        </w:rPr>
        <w:t>若被保险人在</w:t>
      </w:r>
      <w:r>
        <w:rPr>
          <w:w w:val="95"/>
          <w:sz w:val="21"/>
        </w:rPr>
        <w:t>年</w:t>
      </w:r>
      <w:r>
        <w:rPr>
          <w:w w:val="95"/>
          <w:sz w:val="21"/>
        </w:rPr>
        <w:t>满</w:t>
      </w:r>
      <w:r>
        <w:rPr>
          <w:sz w:val="21"/>
        </w:rPr>
        <w:t> </w:t>
      </w:r>
      <w:r>
        <w:rPr>
          <w:w w:val="95"/>
          <w:sz w:val="21"/>
        </w:rPr>
        <w:t>18 </w:t>
      </w:r>
      <w:r>
        <w:rPr>
          <w:color w:val="000000"/>
          <w:w w:val="95"/>
          <w:sz w:val="21"/>
          <w:shd w:fill="BEBEBE" w:color="auto" w:val="clear"/>
        </w:rPr>
        <w:t>周岁</w:t>
      </w:r>
      <w:r>
        <w:rPr>
          <w:color w:val="000000"/>
          <w:w w:val="95"/>
          <w:sz w:val="21"/>
        </w:rPr>
        <w:t>（</w:t>
      </w:r>
      <w:r>
        <w:rPr>
          <w:color w:val="000000"/>
          <w:w w:val="95"/>
          <w:sz w:val="21"/>
        </w:rPr>
        <w:t>见</w:t>
      </w:r>
      <w:r>
        <w:rPr>
          <w:color w:val="000000"/>
          <w:sz w:val="21"/>
        </w:rPr>
        <w:t> </w:t>
      </w:r>
      <w:r>
        <w:rPr>
          <w:color w:val="000000"/>
          <w:w w:val="95"/>
          <w:sz w:val="21"/>
        </w:rPr>
        <w:t>8.11）的首个保险</w:t>
      </w:r>
      <w:r>
        <w:rPr>
          <w:color w:val="000000"/>
          <w:w w:val="95"/>
          <w:sz w:val="21"/>
        </w:rPr>
        <w:t>单</w:t>
      </w:r>
      <w:r>
        <w:rPr>
          <w:color w:val="000000"/>
          <w:w w:val="95"/>
          <w:sz w:val="21"/>
        </w:rPr>
        <w:t>周</w:t>
      </w:r>
      <w:r>
        <w:rPr>
          <w:color w:val="000000"/>
          <w:w w:val="95"/>
          <w:sz w:val="21"/>
        </w:rPr>
        <w:t>年日（不含）</w:t>
      </w:r>
      <w:r>
        <w:rPr>
          <w:color w:val="000000"/>
          <w:spacing w:val="-4"/>
          <w:sz w:val="21"/>
        </w:rPr>
        <w:t>之前身故，我们按本合同累计已交纳保险费（不计利息）</w:t>
      </w:r>
      <w:r>
        <w:rPr>
          <w:color w:val="000000"/>
          <w:spacing w:val="-13"/>
          <w:sz w:val="21"/>
        </w:rPr>
        <w:t>的 </w:t>
      </w:r>
      <w:r>
        <w:rPr>
          <w:color w:val="000000"/>
          <w:spacing w:val="-4"/>
          <w:sz w:val="21"/>
        </w:rPr>
        <w:t>200%给付身</w:t>
      </w:r>
      <w:r>
        <w:rPr>
          <w:color w:val="000000"/>
          <w:spacing w:val="-2"/>
          <w:sz w:val="21"/>
        </w:rPr>
        <w:t>故保险金，本合同终止；</w:t>
      </w:r>
    </w:p>
    <w:p>
      <w:pPr>
        <w:pStyle w:val="ListParagraph"/>
        <w:numPr>
          <w:ilvl w:val="3"/>
          <w:numId w:val="6"/>
        </w:numPr>
        <w:tabs>
          <w:tab w:pos="3203" w:val="left" w:leader="none"/>
        </w:tabs>
        <w:spacing w:line="307" w:lineRule="auto" w:before="15" w:after="0"/>
        <w:ind w:left="2990" w:right="1058" w:firstLine="0"/>
        <w:jc w:val="both"/>
        <w:rPr>
          <w:sz w:val="21"/>
        </w:rPr>
      </w:pPr>
      <w:r>
        <w:rPr>
          <w:spacing w:val="-3"/>
          <w:sz w:val="21"/>
        </w:rPr>
        <w:t>若被保险人在年满 </w:t>
      </w:r>
      <w:r>
        <w:rPr>
          <w:sz w:val="21"/>
        </w:rPr>
        <w:t>18</w:t>
      </w:r>
      <w:r>
        <w:rPr>
          <w:spacing w:val="-5"/>
          <w:sz w:val="21"/>
        </w:rPr>
        <w:t> 周岁的首个保险单周年日</w:t>
      </w:r>
      <w:r>
        <w:rPr>
          <w:sz w:val="21"/>
        </w:rPr>
        <w:t>（含）之后身故，我</w:t>
      </w:r>
      <w:r>
        <w:rPr>
          <w:spacing w:val="-2"/>
          <w:sz w:val="21"/>
        </w:rPr>
        <w:t>们按以下三者中的较大者给付身故保险金，本合同终止：</w:t>
      </w:r>
    </w:p>
    <w:p>
      <w:pPr>
        <w:pStyle w:val="ListParagraph"/>
        <w:numPr>
          <w:ilvl w:val="0"/>
          <w:numId w:val="7"/>
        </w:numPr>
        <w:tabs>
          <w:tab w:pos="3520" w:val="left" w:leader="none"/>
        </w:tabs>
        <w:spacing w:line="264" w:lineRule="exact" w:before="0" w:after="0"/>
        <w:ind w:left="3519" w:right="0" w:hanging="530"/>
        <w:jc w:val="left"/>
        <w:rPr>
          <w:sz w:val="21"/>
        </w:rPr>
      </w:pPr>
      <w:r>
        <w:rPr>
          <w:spacing w:val="-2"/>
          <w:sz w:val="21"/>
        </w:rPr>
        <w:t>本合同累计已交纳保险费（不计利息</w:t>
      </w:r>
      <w:r>
        <w:rPr>
          <w:spacing w:val="-111"/>
          <w:sz w:val="21"/>
        </w:rPr>
        <w:t>）</w:t>
      </w:r>
      <w:r>
        <w:rPr>
          <w:spacing w:val="-5"/>
          <w:sz w:val="21"/>
        </w:rPr>
        <w:t>；</w:t>
      </w:r>
    </w:p>
    <w:p>
      <w:pPr>
        <w:pStyle w:val="ListParagraph"/>
        <w:numPr>
          <w:ilvl w:val="0"/>
          <w:numId w:val="7"/>
        </w:numPr>
        <w:tabs>
          <w:tab w:pos="3520" w:val="left" w:leader="none"/>
        </w:tabs>
        <w:spacing w:line="240" w:lineRule="auto" w:before="67" w:after="0"/>
        <w:ind w:left="3519" w:right="0" w:hanging="530"/>
        <w:jc w:val="left"/>
        <w:rPr>
          <w:sz w:val="21"/>
        </w:rPr>
      </w:pPr>
      <w:r>
        <w:rPr>
          <w:spacing w:val="-3"/>
          <w:sz w:val="21"/>
        </w:rPr>
        <w:t>被保险人身故之日本合同的现金价值；</w:t>
      </w:r>
    </w:p>
    <w:p>
      <w:pPr>
        <w:pStyle w:val="ListParagraph"/>
        <w:numPr>
          <w:ilvl w:val="0"/>
          <w:numId w:val="7"/>
        </w:numPr>
        <w:tabs>
          <w:tab w:pos="3520" w:val="left" w:leader="none"/>
        </w:tabs>
        <w:spacing w:line="240" w:lineRule="auto" w:before="64" w:after="0"/>
        <w:ind w:left="3519" w:right="0" w:hanging="530"/>
        <w:jc w:val="left"/>
        <w:rPr>
          <w:sz w:val="21"/>
        </w:rPr>
      </w:pPr>
      <w:r>
        <w:rPr>
          <w:spacing w:val="-3"/>
          <w:sz w:val="21"/>
        </w:rPr>
        <w:t>本合同的基本保险金额。</w:t>
      </w:r>
    </w:p>
    <w:p>
      <w:pPr>
        <w:pStyle w:val="BodyText"/>
        <w:rPr>
          <w:sz w:val="20"/>
        </w:rPr>
      </w:pPr>
    </w:p>
    <w:p>
      <w:pPr>
        <w:pStyle w:val="BodyText"/>
        <w:spacing w:before="10"/>
        <w:rPr>
          <w:sz w:val="18"/>
        </w:rPr>
      </w:pPr>
    </w:p>
    <w:p>
      <w:pPr>
        <w:pStyle w:val="ListParagraph"/>
        <w:numPr>
          <w:ilvl w:val="2"/>
          <w:numId w:val="6"/>
        </w:numPr>
        <w:tabs>
          <w:tab w:pos="1409" w:val="left" w:leader="none"/>
        </w:tabs>
        <w:spacing w:line="297" w:lineRule="auto" w:before="0" w:after="0"/>
        <w:ind w:left="2990" w:right="1058" w:hanging="2766"/>
        <w:jc w:val="both"/>
        <w:rPr>
          <w:sz w:val="21"/>
        </w:rPr>
      </w:pPr>
      <w:r>
        <w:rPr>
          <w:sz w:val="21"/>
        </w:rPr>
        <w:t>豁免保险费 等待期后，若被保险人在本合同交费期间内经我们认可的医院确诊初次</w:t>
      </w:r>
      <w:r>
        <w:rPr>
          <w:spacing w:val="-2"/>
          <w:sz w:val="21"/>
        </w:rPr>
        <w:t>发生本合同约定的一种或多种重度疾病、中度疾病或轻度疾病，我们将</w:t>
      </w:r>
      <w:r>
        <w:rPr>
          <w:spacing w:val="-2"/>
          <w:sz w:val="21"/>
        </w:rPr>
        <w:t>豁免被保险人疾病确诊日以后本合同的各期保险费，被豁免的保险费视</w:t>
      </w:r>
      <w:r>
        <w:rPr>
          <w:spacing w:val="-2"/>
          <w:sz w:val="21"/>
        </w:rPr>
        <w:t>为已交纳。</w:t>
      </w:r>
    </w:p>
    <w:p>
      <w:pPr>
        <w:pStyle w:val="BodyText"/>
        <w:rPr>
          <w:sz w:val="20"/>
        </w:rPr>
      </w:pPr>
    </w:p>
    <w:p>
      <w:pPr>
        <w:pStyle w:val="BodyText"/>
        <w:spacing w:before="4"/>
        <w:rPr>
          <w:sz w:val="14"/>
        </w:rPr>
      </w:pPr>
    </w:p>
    <w:p>
      <w:pPr>
        <w:pStyle w:val="BodyText"/>
        <w:spacing w:line="307" w:lineRule="auto"/>
        <w:ind w:left="2990" w:right="1058"/>
        <w:jc w:val="both"/>
      </w:pPr>
      <w:r>
        <w:rPr>
          <w:spacing w:val="-2"/>
        </w:rPr>
        <w:t>保险责任中提及的“累计已交纳保险费”按照应给付相应保险金时本合</w:t>
      </w:r>
      <w:r>
        <w:rPr>
          <w:spacing w:val="-2"/>
        </w:rPr>
        <w:t>同的基本保险金额对应的年交保险费和保险单年度数（交费期满后为交</w:t>
      </w:r>
      <w:r>
        <w:rPr>
          <w:spacing w:val="-2"/>
        </w:rPr>
        <w:t>费期间年数）计算。</w:t>
      </w:r>
    </w:p>
    <w:p>
      <w:pPr>
        <w:pStyle w:val="BodyText"/>
        <w:rPr>
          <w:sz w:val="20"/>
        </w:rPr>
      </w:pPr>
    </w:p>
    <w:p>
      <w:pPr>
        <w:pStyle w:val="BodyText"/>
        <w:tabs>
          <w:tab w:pos="1408" w:val="left" w:leader="none"/>
          <w:tab w:pos="2990" w:val="left" w:leader="none"/>
        </w:tabs>
        <w:spacing w:line="300" w:lineRule="auto" w:before="160"/>
        <w:ind w:left="2990" w:right="1058" w:hanging="2766"/>
        <w:rPr>
          <w:rFonts w:ascii="黑体" w:eastAsia="黑体"/>
        </w:rPr>
      </w:pPr>
      <w:r>
        <w:rPr>
          <w:spacing w:val="-4"/>
        </w:rPr>
        <w:t>2.6</w:t>
      </w:r>
      <w:r>
        <w:rPr/>
        <w:tab/>
      </w:r>
      <w:r>
        <w:rPr>
          <w:spacing w:val="-4"/>
        </w:rPr>
        <w:t>责</w:t>
      </w:r>
      <w:r>
        <w:rPr>
          <w:spacing w:val="-4"/>
        </w:rPr>
        <w:t>任</w:t>
      </w:r>
      <w:r>
        <w:rPr>
          <w:spacing w:val="-4"/>
        </w:rPr>
        <w:t>免除</w:t>
      </w:r>
      <w:r>
        <w:rPr/>
        <w:tab/>
      </w:r>
      <w:r>
        <w:rPr>
          <w:rFonts w:ascii="黑体" w:eastAsia="黑体"/>
          <w:spacing w:val="-2"/>
        </w:rPr>
        <w:t>因</w:t>
      </w:r>
      <w:r>
        <w:rPr>
          <w:rFonts w:ascii="黑体" w:eastAsia="黑体"/>
          <w:spacing w:val="-2"/>
        </w:rPr>
        <w:t>下</w:t>
      </w:r>
      <w:r>
        <w:rPr>
          <w:rFonts w:ascii="黑体" w:eastAsia="黑体"/>
          <w:spacing w:val="-2"/>
        </w:rPr>
        <w:t>列情形之一，导致被</w:t>
      </w:r>
      <w:r>
        <w:rPr>
          <w:rFonts w:ascii="黑体" w:eastAsia="黑体"/>
          <w:spacing w:val="-2"/>
        </w:rPr>
        <w:t>保</w:t>
      </w:r>
      <w:r>
        <w:rPr>
          <w:rFonts w:ascii="黑体" w:eastAsia="黑体"/>
          <w:spacing w:val="-2"/>
        </w:rPr>
        <w:t>险</w:t>
      </w:r>
      <w:r>
        <w:rPr>
          <w:rFonts w:ascii="黑体" w:eastAsia="黑体"/>
          <w:spacing w:val="-2"/>
        </w:rPr>
        <w:t>人身故、发生疾病、</w:t>
      </w:r>
      <w:r>
        <w:rPr>
          <w:rFonts w:ascii="黑体" w:eastAsia="黑体"/>
          <w:spacing w:val="-2"/>
        </w:rPr>
        <w:t>达</w:t>
      </w:r>
      <w:r>
        <w:rPr>
          <w:rFonts w:ascii="黑体" w:eastAsia="黑体"/>
          <w:spacing w:val="-2"/>
        </w:rPr>
        <w:t>到</w:t>
      </w:r>
      <w:r>
        <w:rPr>
          <w:rFonts w:ascii="黑体" w:eastAsia="黑体"/>
          <w:spacing w:val="-2"/>
        </w:rPr>
        <w:t>疾病状态或</w:t>
      </w:r>
      <w:r>
        <w:rPr>
          <w:rFonts w:ascii="黑体" w:eastAsia="黑体"/>
          <w:spacing w:val="-2"/>
        </w:rPr>
        <w:t>进</w:t>
      </w:r>
      <w:r>
        <w:rPr>
          <w:rFonts w:ascii="黑体" w:eastAsia="黑体"/>
          <w:spacing w:val="-2"/>
        </w:rPr>
        <w:t>行</w:t>
      </w:r>
      <w:r>
        <w:rPr>
          <w:rFonts w:ascii="黑体" w:eastAsia="黑体"/>
          <w:spacing w:val="-2"/>
        </w:rPr>
        <w:t>手</w:t>
      </w:r>
      <w:r>
        <w:rPr>
          <w:rFonts w:ascii="黑体" w:eastAsia="黑体"/>
          <w:spacing w:val="-2"/>
        </w:rPr>
        <w:t>术</w:t>
      </w:r>
      <w:r>
        <w:rPr>
          <w:rFonts w:ascii="黑体" w:eastAsia="黑体"/>
          <w:spacing w:val="-2"/>
        </w:rPr>
        <w:t>的，我们不承担给付</w:t>
      </w:r>
      <w:r>
        <w:rPr>
          <w:rFonts w:ascii="黑体" w:eastAsia="黑体"/>
          <w:spacing w:val="-2"/>
        </w:rPr>
        <w:t>保</w:t>
      </w:r>
      <w:r>
        <w:rPr>
          <w:rFonts w:ascii="黑体" w:eastAsia="黑体"/>
          <w:spacing w:val="-2"/>
        </w:rPr>
        <w:t>险</w:t>
      </w:r>
      <w:r>
        <w:rPr>
          <w:rFonts w:ascii="黑体" w:eastAsia="黑体"/>
          <w:spacing w:val="-2"/>
        </w:rPr>
        <w:t>金的责任，也不豁免</w:t>
      </w:r>
      <w:r>
        <w:rPr>
          <w:rFonts w:ascii="黑体" w:eastAsia="黑体"/>
          <w:spacing w:val="-2"/>
        </w:rPr>
        <w:t>保</w:t>
      </w:r>
      <w:r>
        <w:rPr>
          <w:rFonts w:ascii="黑体" w:eastAsia="黑体"/>
          <w:spacing w:val="-2"/>
        </w:rPr>
        <w:t>险</w:t>
      </w:r>
      <w:r>
        <w:rPr>
          <w:rFonts w:ascii="黑体" w:eastAsia="黑体"/>
          <w:spacing w:val="-2"/>
        </w:rPr>
        <w:t>费：</w:t>
      </w:r>
    </w:p>
    <w:p>
      <w:pPr>
        <w:pStyle w:val="BodyText"/>
        <w:spacing w:line="266" w:lineRule="exact"/>
        <w:ind w:left="2990"/>
        <w:rPr>
          <w:rFonts w:ascii="黑体" w:eastAsia="黑体"/>
        </w:rPr>
      </w:pPr>
      <w:r>
        <w:rPr>
          <w:rFonts w:ascii="黑体" w:eastAsia="黑体"/>
          <w:spacing w:val="-3"/>
        </w:rPr>
        <w:t>一、投保人对被保险人的故意杀害、故意伤害；</w:t>
      </w:r>
    </w:p>
    <w:p>
      <w:pPr>
        <w:pStyle w:val="BodyText"/>
        <w:spacing w:before="65"/>
        <w:ind w:left="2990"/>
        <w:rPr>
          <w:rFonts w:ascii="黑体" w:eastAsia="黑体"/>
        </w:rPr>
      </w:pPr>
      <w:r>
        <w:rPr>
          <w:rFonts w:ascii="黑体" w:eastAsia="黑体"/>
          <w:spacing w:val="-3"/>
        </w:rPr>
        <w:t>二、被保险人故意犯罪或抗拒依法采取的刑事强制措施；</w:t>
      </w:r>
    </w:p>
    <w:p>
      <w:pPr>
        <w:pStyle w:val="BodyText"/>
        <w:spacing w:line="300" w:lineRule="auto" w:before="65"/>
        <w:ind w:left="2990" w:right="1058"/>
        <w:rPr>
          <w:rFonts w:ascii="黑体" w:eastAsia="黑体"/>
        </w:rPr>
      </w:pPr>
      <w:r>
        <w:rPr>
          <w:rFonts w:ascii="黑体" w:eastAsia="黑体"/>
          <w:spacing w:val="-1"/>
        </w:rPr>
        <w:t>三、被保险人故意自伤、或自本合同成立或者本合同效力恢复之日起 </w:t>
      </w:r>
      <w:r>
        <w:rPr>
          <w:rFonts w:ascii="黑体" w:eastAsia="黑体"/>
        </w:rPr>
        <w:t>2</w:t>
      </w:r>
      <w:r>
        <w:rPr>
          <w:rFonts w:ascii="黑体" w:eastAsia="黑体"/>
          <w:spacing w:val="-2"/>
        </w:rPr>
        <w:t>年内自杀，但被保险人自杀时为无民事行为能力人的除外；</w:t>
      </w:r>
    </w:p>
    <w:p>
      <w:pPr>
        <w:spacing w:after="0" w:line="300" w:lineRule="auto"/>
        <w:rPr>
          <w:rFonts w:ascii="黑体" w:eastAsia="黑体"/>
        </w:rPr>
        <w:sectPr>
          <w:pgSz w:w="11910" w:h="16840"/>
          <w:pgMar w:header="0" w:footer="857" w:top="1420" w:bottom="1180" w:left="1100" w:right="260"/>
        </w:sectPr>
      </w:pPr>
    </w:p>
    <w:p>
      <w:pPr>
        <w:pStyle w:val="BodyText"/>
        <w:spacing w:before="60"/>
        <w:ind w:left="2990"/>
        <w:rPr>
          <w:rFonts w:ascii="黑体" w:eastAsia="黑体"/>
        </w:rPr>
      </w:pPr>
      <w:r>
        <w:rPr/>
        <w:pict>
          <v:shape style="position:absolute;margin-left:60.84pt;margin-top:121.819984pt;width:473.7pt;height:643.2pt;mso-position-horizontal-relative:page;mso-position-vertical-relative:page;z-index:15729152" type="#_x0000_t202" id="docshape5"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8"/>
                    <w:gridCol w:w="1855"/>
                    <w:gridCol w:w="6759"/>
                  </w:tblGrid>
                  <w:tr>
                    <w:trPr>
                      <w:trHeight w:val="2369" w:hRule="atLeast"/>
                    </w:trPr>
                    <w:tc>
                      <w:tcPr>
                        <w:tcW w:w="2713" w:type="dxa"/>
                        <w:gridSpan w:val="2"/>
                        <w:vMerge w:val="restart"/>
                      </w:tcPr>
                      <w:p>
                        <w:pPr>
                          <w:pStyle w:val="TableParagraph"/>
                          <w:rPr>
                            <w:rFonts w:ascii="Times New Roman"/>
                            <w:sz w:val="20"/>
                          </w:rPr>
                        </w:pPr>
                      </w:p>
                    </w:tc>
                    <w:tc>
                      <w:tcPr>
                        <w:tcW w:w="6759" w:type="dxa"/>
                      </w:tcPr>
                      <w:p>
                        <w:pPr>
                          <w:pStyle w:val="TableParagraph"/>
                          <w:spacing w:line="297" w:lineRule="auto" w:before="63"/>
                          <w:ind w:left="160" w:right="1711"/>
                          <w:rPr>
                            <w:rFonts w:ascii="黑体" w:eastAsia="黑体"/>
                            <w:sz w:val="21"/>
                          </w:rPr>
                        </w:pPr>
                        <w:r>
                          <w:rPr>
                            <w:rFonts w:ascii="黑体" w:eastAsia="黑体"/>
                            <w:spacing w:val="-10"/>
                            <w:sz w:val="21"/>
                          </w:rPr>
                          <w:t>六、被保险人</w:t>
                        </w:r>
                        <w:r>
                          <w:rPr>
                            <w:rFonts w:ascii="黑体" w:eastAsia="黑体"/>
                            <w:color w:val="000000"/>
                            <w:spacing w:val="-10"/>
                            <w:sz w:val="21"/>
                            <w:shd w:fill="BEBEBE" w:color="auto" w:val="clear"/>
                          </w:rPr>
                          <w:t>感染艾滋病病毒或患艾滋病</w:t>
                        </w:r>
                        <w:r>
                          <w:rPr>
                            <w:rFonts w:ascii="黑体" w:eastAsia="黑体"/>
                            <w:color w:val="000000"/>
                            <w:spacing w:val="-10"/>
                            <w:sz w:val="21"/>
                          </w:rPr>
                          <w:t>（</w:t>
                        </w:r>
                        <w:r>
                          <w:rPr>
                            <w:rFonts w:ascii="黑体" w:eastAsia="黑体"/>
                            <w:color w:val="000000"/>
                            <w:spacing w:val="-26"/>
                            <w:sz w:val="21"/>
                          </w:rPr>
                          <w:t>见 </w:t>
                        </w:r>
                        <w:r>
                          <w:rPr>
                            <w:rFonts w:ascii="黑体" w:eastAsia="黑体"/>
                            <w:color w:val="000000"/>
                            <w:spacing w:val="26"/>
                            <w:sz w:val="21"/>
                          </w:rPr>
                          <w:t>8.</w:t>
                        </w:r>
                        <w:r>
                          <w:rPr>
                            <w:rFonts w:ascii="黑体" w:eastAsia="黑体"/>
                            <w:color w:val="000000"/>
                            <w:spacing w:val="23"/>
                            <w:sz w:val="21"/>
                          </w:rPr>
                          <w:t>16</w:t>
                        </w:r>
                        <w:r>
                          <w:rPr>
                            <w:rFonts w:ascii="黑体" w:eastAsia="黑体"/>
                            <w:color w:val="000000"/>
                            <w:spacing w:val="-80"/>
                            <w:sz w:val="21"/>
                          </w:rPr>
                          <w:t>）；</w:t>
                        </w:r>
                        <w:r>
                          <w:rPr>
                            <w:rFonts w:ascii="黑体" w:eastAsia="黑体"/>
                            <w:color w:val="000000"/>
                            <w:spacing w:val="-2"/>
                            <w:sz w:val="21"/>
                          </w:rPr>
                          <w:t>七、战争、军事冲突、暴乱或武装叛乱；</w:t>
                        </w:r>
                      </w:p>
                      <w:p>
                        <w:pPr>
                          <w:pStyle w:val="TableParagraph"/>
                          <w:spacing w:before="3"/>
                          <w:ind w:left="160"/>
                          <w:rPr>
                            <w:rFonts w:ascii="黑体" w:eastAsia="黑体"/>
                            <w:sz w:val="21"/>
                          </w:rPr>
                        </w:pPr>
                        <w:r>
                          <w:rPr>
                            <w:rFonts w:ascii="黑体" w:eastAsia="黑体"/>
                            <w:spacing w:val="-3"/>
                            <w:sz w:val="21"/>
                          </w:rPr>
                          <w:t>八、核爆炸、核辐射或核污染；</w:t>
                        </w:r>
                      </w:p>
                      <w:p>
                        <w:pPr>
                          <w:pStyle w:val="TableParagraph"/>
                          <w:spacing w:line="330" w:lineRule="atLeast" w:before="3"/>
                          <w:ind w:left="160" w:right="-15"/>
                          <w:rPr>
                            <w:rFonts w:ascii="黑体" w:eastAsia="黑体"/>
                            <w:sz w:val="21"/>
                          </w:rPr>
                        </w:pPr>
                        <w:r>
                          <w:rPr>
                            <w:rFonts w:ascii="黑体" w:eastAsia="黑体"/>
                            <w:spacing w:val="-10"/>
                            <w:sz w:val="21"/>
                          </w:rPr>
                          <w:t>九、</w:t>
                        </w:r>
                        <w:r>
                          <w:rPr>
                            <w:rFonts w:ascii="黑体" w:eastAsia="黑体"/>
                            <w:color w:val="000000"/>
                            <w:spacing w:val="-10"/>
                            <w:sz w:val="21"/>
                            <w:shd w:fill="BEBEBE" w:color="auto" w:val="clear"/>
                          </w:rPr>
                          <w:t>遗传性疾病（</w:t>
                        </w:r>
                        <w:r>
                          <w:rPr>
                            <w:rFonts w:ascii="黑体" w:eastAsia="黑体"/>
                            <w:color w:val="000000"/>
                            <w:spacing w:val="-30"/>
                            <w:sz w:val="21"/>
                          </w:rPr>
                          <w:t>见 </w:t>
                        </w:r>
                        <w:r>
                          <w:rPr>
                            <w:rFonts w:ascii="黑体" w:eastAsia="黑体"/>
                            <w:color w:val="000000"/>
                            <w:spacing w:val="16"/>
                            <w:sz w:val="21"/>
                          </w:rPr>
                          <w:t>8</w:t>
                        </w:r>
                        <w:r>
                          <w:rPr>
                            <w:rFonts w:ascii="黑体" w:eastAsia="黑体"/>
                            <w:color w:val="000000"/>
                            <w:spacing w:val="13"/>
                            <w:sz w:val="21"/>
                          </w:rPr>
                          <w:t>.</w:t>
                        </w:r>
                        <w:r>
                          <w:rPr>
                            <w:rFonts w:ascii="黑体" w:eastAsia="黑体"/>
                            <w:color w:val="000000"/>
                            <w:spacing w:val="16"/>
                            <w:sz w:val="21"/>
                          </w:rPr>
                          <w:t>17</w:t>
                        </w:r>
                        <w:r>
                          <w:rPr>
                            <w:rFonts w:ascii="黑体" w:eastAsia="黑体"/>
                            <w:color w:val="000000"/>
                            <w:spacing w:val="-92"/>
                            <w:sz w:val="21"/>
                          </w:rPr>
                          <w:t>）</w:t>
                        </w:r>
                        <w:r>
                          <w:rPr>
                            <w:rFonts w:ascii="黑体" w:eastAsia="黑体"/>
                            <w:color w:val="000000"/>
                            <w:spacing w:val="-30"/>
                            <w:sz w:val="21"/>
                          </w:rPr>
                          <w:t>，</w:t>
                        </w:r>
                        <w:r>
                          <w:rPr>
                            <w:rFonts w:ascii="黑体" w:eastAsia="黑体"/>
                            <w:color w:val="000000"/>
                            <w:spacing w:val="-10"/>
                            <w:sz w:val="21"/>
                            <w:shd w:fill="BEBEBE" w:color="auto" w:val="clear"/>
                          </w:rPr>
                          <w:t>先天性畸形、变形或染色体异常（</w:t>
                        </w:r>
                        <w:r>
                          <w:rPr>
                            <w:rFonts w:ascii="黑体" w:eastAsia="黑体"/>
                            <w:color w:val="000000"/>
                            <w:spacing w:val="-30"/>
                            <w:sz w:val="21"/>
                          </w:rPr>
                          <w:t>见 </w:t>
                        </w:r>
                        <w:r>
                          <w:rPr>
                            <w:rFonts w:ascii="黑体" w:eastAsia="黑体"/>
                            <w:color w:val="000000"/>
                            <w:spacing w:val="12"/>
                            <w:sz w:val="21"/>
                          </w:rPr>
                          <w:t>8.</w:t>
                        </w:r>
                        <w:r>
                          <w:rPr>
                            <w:rFonts w:ascii="黑体" w:eastAsia="黑体"/>
                            <w:color w:val="000000"/>
                            <w:spacing w:val="9"/>
                            <w:sz w:val="21"/>
                          </w:rPr>
                          <w:t>1</w:t>
                        </w:r>
                        <w:r>
                          <w:rPr>
                            <w:rFonts w:ascii="黑体" w:eastAsia="黑体"/>
                            <w:color w:val="000000"/>
                            <w:spacing w:val="12"/>
                            <w:sz w:val="21"/>
                          </w:rPr>
                          <w:t>8</w:t>
                        </w:r>
                        <w:r>
                          <w:rPr>
                            <w:rFonts w:ascii="黑体" w:eastAsia="黑体"/>
                            <w:color w:val="000000"/>
                            <w:spacing w:val="-96"/>
                            <w:sz w:val="21"/>
                          </w:rPr>
                          <w:t>）</w:t>
                        </w:r>
                        <w:r>
                          <w:rPr>
                            <w:rFonts w:ascii="黑体" w:eastAsia="黑体"/>
                            <w:color w:val="000000"/>
                            <w:spacing w:val="-108"/>
                            <w:sz w:val="21"/>
                          </w:rPr>
                          <w:t>。</w:t>
                        </w:r>
                        <w:r>
                          <w:rPr>
                            <w:rFonts w:ascii="黑体" w:eastAsia="黑体"/>
                            <w:color w:val="000000"/>
                            <w:spacing w:val="-8"/>
                            <w:sz w:val="21"/>
                          </w:rPr>
                          <w:t>发生上述第一种情形导致被保险人发生重度疾病、中度疾病、轻度疾病、</w:t>
                        </w:r>
                        <w:r>
                          <w:rPr>
                            <w:rFonts w:ascii="黑体" w:eastAsia="黑体"/>
                            <w:color w:val="000000"/>
                            <w:spacing w:val="-2"/>
                            <w:sz w:val="21"/>
                          </w:rPr>
                          <w:t>身故的，本合同终止，您已交足 </w:t>
                        </w:r>
                        <w:r>
                          <w:rPr>
                            <w:rFonts w:ascii="黑体" w:eastAsia="黑体"/>
                            <w:color w:val="000000"/>
                            <w:sz w:val="21"/>
                          </w:rPr>
                          <w:t>2</w:t>
                        </w:r>
                        <w:r>
                          <w:rPr>
                            <w:rFonts w:ascii="黑体" w:eastAsia="黑体"/>
                            <w:color w:val="000000"/>
                            <w:spacing w:val="-5"/>
                            <w:sz w:val="21"/>
                          </w:rPr>
                          <w:t> 年以上保险费的，我们向其他权利人</w:t>
                        </w:r>
                        <w:r>
                          <w:rPr>
                            <w:rFonts w:ascii="黑体" w:eastAsia="黑体"/>
                            <w:color w:val="000000"/>
                            <w:spacing w:val="-2"/>
                            <w:sz w:val="21"/>
                          </w:rPr>
                          <w:t>退还本合同终止之日的现金价值。</w:t>
                        </w:r>
                      </w:p>
                    </w:tc>
                  </w:tr>
                  <w:tr>
                    <w:trPr>
                      <w:trHeight w:val="881" w:hRule="atLeast"/>
                    </w:trPr>
                    <w:tc>
                      <w:tcPr>
                        <w:tcW w:w="2713" w:type="dxa"/>
                        <w:gridSpan w:val="2"/>
                        <w:vMerge/>
                        <w:tcBorders>
                          <w:top w:val="nil"/>
                        </w:tcBorders>
                      </w:tcPr>
                      <w:p>
                        <w:pPr>
                          <w:rPr>
                            <w:sz w:val="2"/>
                            <w:szCs w:val="2"/>
                          </w:rPr>
                        </w:pPr>
                      </w:p>
                    </w:tc>
                    <w:tc>
                      <w:tcPr>
                        <w:tcW w:w="6759" w:type="dxa"/>
                      </w:tcPr>
                      <w:p>
                        <w:pPr>
                          <w:pStyle w:val="TableParagraph"/>
                          <w:spacing w:line="297" w:lineRule="auto" w:before="34"/>
                          <w:ind w:left="160" w:right="81"/>
                          <w:rPr>
                            <w:rFonts w:ascii="黑体" w:eastAsia="黑体"/>
                            <w:sz w:val="21"/>
                          </w:rPr>
                        </w:pPr>
                        <w:r>
                          <w:rPr>
                            <w:rFonts w:ascii="黑体" w:eastAsia="黑体"/>
                            <w:spacing w:val="-2"/>
                            <w:sz w:val="21"/>
                          </w:rPr>
                          <w:t>发生上述其他情形导致被保险人发生重度疾病、中度疾病、轻度疾病、</w:t>
                        </w:r>
                        <w:r>
                          <w:rPr>
                            <w:rFonts w:ascii="黑体" w:eastAsia="黑体"/>
                            <w:spacing w:val="-2"/>
                            <w:sz w:val="21"/>
                          </w:rPr>
                          <w:t>身故的，本合同终止，我们退还本合同终止之日的现金价值。</w:t>
                        </w:r>
                      </w:p>
                    </w:tc>
                  </w:tr>
                  <w:tr>
                    <w:trPr>
                      <w:trHeight w:val="1923" w:hRule="atLeast"/>
                    </w:trPr>
                    <w:tc>
                      <w:tcPr>
                        <w:tcW w:w="858" w:type="dxa"/>
                      </w:tcPr>
                      <w:p>
                        <w:pPr>
                          <w:pStyle w:val="TableParagraph"/>
                          <w:spacing w:before="1"/>
                          <w:rPr>
                            <w:rFonts w:ascii="黑体"/>
                            <w:sz w:val="19"/>
                          </w:rPr>
                        </w:pPr>
                      </w:p>
                      <w:p>
                        <w:pPr>
                          <w:pStyle w:val="TableParagraph"/>
                          <w:ind w:left="108"/>
                          <w:rPr>
                            <w:sz w:val="21"/>
                          </w:rPr>
                        </w:pPr>
                        <w:r>
                          <w:rPr>
                            <w:spacing w:val="-5"/>
                            <w:sz w:val="21"/>
                          </w:rPr>
                          <w:t>2.7</w:t>
                        </w:r>
                      </w:p>
                    </w:tc>
                    <w:tc>
                      <w:tcPr>
                        <w:tcW w:w="1855" w:type="dxa"/>
                      </w:tcPr>
                      <w:p>
                        <w:pPr>
                          <w:pStyle w:val="TableParagraph"/>
                          <w:spacing w:before="1"/>
                          <w:rPr>
                            <w:rFonts w:ascii="黑体"/>
                            <w:sz w:val="19"/>
                          </w:rPr>
                        </w:pPr>
                      </w:p>
                      <w:p>
                        <w:pPr>
                          <w:pStyle w:val="TableParagraph"/>
                          <w:ind w:left="433"/>
                          <w:rPr>
                            <w:sz w:val="21"/>
                          </w:rPr>
                        </w:pPr>
                        <w:r>
                          <w:rPr>
                            <w:spacing w:val="-4"/>
                            <w:sz w:val="21"/>
                          </w:rPr>
                          <w:t>其他免责条款</w:t>
                        </w:r>
                      </w:p>
                    </w:tc>
                    <w:tc>
                      <w:tcPr>
                        <w:tcW w:w="6759" w:type="dxa"/>
                      </w:tcPr>
                      <w:p>
                        <w:pPr>
                          <w:pStyle w:val="TableParagraph"/>
                          <w:spacing w:before="1"/>
                          <w:rPr>
                            <w:rFonts w:ascii="黑体"/>
                            <w:sz w:val="19"/>
                          </w:rPr>
                        </w:pPr>
                      </w:p>
                      <w:p>
                        <w:pPr>
                          <w:pStyle w:val="TableParagraph"/>
                          <w:spacing w:line="297" w:lineRule="auto"/>
                          <w:ind w:left="160" w:right="81"/>
                          <w:jc w:val="both"/>
                          <w:rPr>
                            <w:rFonts w:ascii="黑体" w:hAnsi="黑体" w:eastAsia="黑体"/>
                            <w:sz w:val="21"/>
                          </w:rPr>
                        </w:pPr>
                        <w:r>
                          <w:rPr>
                            <w:rFonts w:ascii="黑体" w:hAnsi="黑体" w:eastAsia="黑体"/>
                            <w:sz w:val="21"/>
                          </w:rPr>
                          <w:t>除“2.6</w:t>
                        </w:r>
                        <w:r>
                          <w:rPr>
                            <w:rFonts w:ascii="黑体" w:hAnsi="黑体" w:eastAsia="黑体"/>
                            <w:spacing w:val="-7"/>
                            <w:sz w:val="21"/>
                          </w:rPr>
                          <w:t> 责任免除</w:t>
                        </w:r>
                        <w:r>
                          <w:rPr>
                            <w:sz w:val="21"/>
                          </w:rPr>
                          <w:t>”</w:t>
                        </w:r>
                        <w:r>
                          <w:rPr>
                            <w:rFonts w:ascii="黑体" w:hAnsi="黑体" w:eastAsia="黑体"/>
                            <w:sz w:val="21"/>
                          </w:rPr>
                          <w:t>外，本合同中还有一些免除我们公司责任的条款，详见</w:t>
                        </w:r>
                        <w:r>
                          <w:rPr>
                            <w:sz w:val="21"/>
                          </w:rPr>
                          <w:t>“</w:t>
                        </w:r>
                        <w:r>
                          <w:rPr>
                            <w:rFonts w:ascii="黑体" w:hAnsi="黑体" w:eastAsia="黑体"/>
                            <w:sz w:val="21"/>
                          </w:rPr>
                          <w:t>2.4</w:t>
                        </w:r>
                        <w:r>
                          <w:rPr>
                            <w:rFonts w:ascii="黑体" w:hAnsi="黑体" w:eastAsia="黑体"/>
                            <w:spacing w:val="-32"/>
                            <w:sz w:val="21"/>
                          </w:rPr>
                          <w:t> 等待期”、“</w:t>
                        </w:r>
                        <w:r>
                          <w:rPr>
                            <w:rFonts w:ascii="黑体" w:hAnsi="黑体" w:eastAsia="黑体"/>
                            <w:sz w:val="21"/>
                          </w:rPr>
                          <w:t>2.5</w:t>
                        </w:r>
                        <w:r>
                          <w:rPr>
                            <w:rFonts w:ascii="黑体" w:hAnsi="黑体" w:eastAsia="黑体"/>
                            <w:spacing w:val="-1"/>
                            <w:sz w:val="21"/>
                          </w:rPr>
                          <w:t> 保险责任</w:t>
                        </w:r>
                        <w:r>
                          <w:rPr>
                            <w:sz w:val="21"/>
                          </w:rPr>
                          <w:t>”</w:t>
                        </w:r>
                        <w:r>
                          <w:rPr>
                            <w:rFonts w:ascii="黑体" w:hAnsi="黑体" w:eastAsia="黑体"/>
                            <w:sz w:val="21"/>
                          </w:rPr>
                          <w:t>、</w:t>
                        </w:r>
                        <w:r>
                          <w:rPr>
                            <w:sz w:val="21"/>
                          </w:rPr>
                          <w:t>“</w:t>
                        </w:r>
                        <w:r>
                          <w:rPr>
                            <w:rFonts w:ascii="黑体" w:hAnsi="黑体" w:eastAsia="黑体"/>
                            <w:sz w:val="21"/>
                          </w:rPr>
                          <w:t>3.3</w:t>
                        </w:r>
                        <w:r>
                          <w:rPr>
                            <w:rFonts w:ascii="黑体" w:hAnsi="黑体" w:eastAsia="黑体"/>
                            <w:spacing w:val="-5"/>
                            <w:sz w:val="21"/>
                          </w:rPr>
                          <w:t> 如实告知</w:t>
                        </w:r>
                        <w:r>
                          <w:rPr>
                            <w:sz w:val="21"/>
                          </w:rPr>
                          <w:t>”</w:t>
                        </w:r>
                        <w:r>
                          <w:rPr>
                            <w:rFonts w:ascii="黑体" w:hAnsi="黑体" w:eastAsia="黑体"/>
                            <w:sz w:val="21"/>
                          </w:rPr>
                          <w:t>、</w:t>
                        </w:r>
                        <w:r>
                          <w:rPr>
                            <w:sz w:val="21"/>
                          </w:rPr>
                          <w:t>“</w:t>
                        </w:r>
                        <w:r>
                          <w:rPr>
                            <w:rFonts w:ascii="黑体" w:hAnsi="黑体" w:eastAsia="黑体"/>
                            <w:sz w:val="21"/>
                          </w:rPr>
                          <w:t>4.1</w:t>
                        </w:r>
                        <w:r>
                          <w:rPr>
                            <w:rFonts w:ascii="黑体" w:hAnsi="黑体" w:eastAsia="黑体"/>
                            <w:spacing w:val="-1"/>
                            <w:sz w:val="21"/>
                          </w:rPr>
                          <w:t> 犹</w:t>
                        </w:r>
                        <w:r>
                          <w:rPr>
                            <w:rFonts w:ascii="黑体" w:hAnsi="黑体" w:eastAsia="黑体"/>
                            <w:sz w:val="21"/>
                          </w:rPr>
                          <w:t>豫期</w:t>
                        </w:r>
                        <w:r>
                          <w:rPr>
                            <w:sz w:val="21"/>
                          </w:rPr>
                          <w:t>”</w:t>
                        </w:r>
                        <w:r>
                          <w:rPr>
                            <w:rFonts w:ascii="黑体" w:hAnsi="黑体" w:eastAsia="黑体"/>
                            <w:spacing w:val="-53"/>
                            <w:sz w:val="21"/>
                          </w:rPr>
                          <w:t>、“</w:t>
                        </w:r>
                        <w:r>
                          <w:rPr>
                            <w:rFonts w:ascii="黑体" w:hAnsi="黑体" w:eastAsia="黑体"/>
                            <w:sz w:val="21"/>
                          </w:rPr>
                          <w:t>6.2</w:t>
                        </w:r>
                        <w:r>
                          <w:rPr>
                            <w:rFonts w:ascii="黑体" w:hAnsi="黑体" w:eastAsia="黑体"/>
                            <w:spacing w:val="-2"/>
                            <w:sz w:val="21"/>
                          </w:rPr>
                          <w:t> 保险事故通知</w:t>
                        </w:r>
                        <w:r>
                          <w:rPr>
                            <w:sz w:val="21"/>
                          </w:rPr>
                          <w:t>”</w:t>
                        </w:r>
                        <w:r>
                          <w:rPr>
                            <w:rFonts w:ascii="黑体" w:hAnsi="黑体" w:eastAsia="黑体"/>
                            <w:spacing w:val="-108"/>
                            <w:sz w:val="21"/>
                          </w:rPr>
                          <w:t>、</w:t>
                        </w:r>
                        <w:r>
                          <w:rPr>
                            <w:rFonts w:ascii="黑体" w:hAnsi="黑体" w:eastAsia="黑体"/>
                            <w:sz w:val="21"/>
                          </w:rPr>
                          <w:t>“7.2</w:t>
                        </w:r>
                        <w:r>
                          <w:rPr>
                            <w:rFonts w:ascii="黑体" w:hAnsi="黑体" w:eastAsia="黑体"/>
                            <w:spacing w:val="-2"/>
                            <w:sz w:val="21"/>
                          </w:rPr>
                          <w:t> 年龄计算及错误处理</w:t>
                        </w:r>
                        <w:r>
                          <w:rPr>
                            <w:sz w:val="21"/>
                          </w:rPr>
                          <w:t>”</w:t>
                        </w:r>
                        <w:r>
                          <w:rPr>
                            <w:rFonts w:ascii="黑体" w:hAnsi="黑体" w:eastAsia="黑体"/>
                            <w:sz w:val="21"/>
                          </w:rPr>
                          <w:t>、</w:t>
                        </w:r>
                        <w:r>
                          <w:rPr>
                            <w:sz w:val="21"/>
                          </w:rPr>
                          <w:t>“</w:t>
                        </w:r>
                        <w:r>
                          <w:rPr>
                            <w:rFonts w:ascii="黑体" w:hAnsi="黑体" w:eastAsia="黑体"/>
                            <w:sz w:val="21"/>
                          </w:rPr>
                          <w:t>8</w:t>
                        </w:r>
                        <w:r>
                          <w:rPr>
                            <w:rFonts w:ascii="黑体" w:hAnsi="黑体" w:eastAsia="黑体"/>
                            <w:spacing w:val="-11"/>
                            <w:sz w:val="21"/>
                          </w:rPr>
                          <w:t> 您</w:t>
                        </w:r>
                        <w:r>
                          <w:rPr>
                            <w:rFonts w:ascii="黑体" w:hAnsi="黑体" w:eastAsia="黑体"/>
                            <w:spacing w:val="-2"/>
                            <w:sz w:val="21"/>
                          </w:rPr>
                          <w:t>需要了解的重要术语</w:t>
                        </w:r>
                        <w:r>
                          <w:rPr>
                            <w:spacing w:val="-2"/>
                            <w:sz w:val="21"/>
                          </w:rPr>
                          <w:t>”</w:t>
                        </w:r>
                        <w:r>
                          <w:rPr>
                            <w:rFonts w:ascii="黑体" w:hAnsi="黑体" w:eastAsia="黑体"/>
                            <w:spacing w:val="-2"/>
                            <w:sz w:val="21"/>
                          </w:rPr>
                          <w:t>中突出显示的内容。</w:t>
                        </w:r>
                      </w:p>
                    </w:tc>
                  </w:tr>
                  <w:tr>
                    <w:trPr>
                      <w:trHeight w:val="446" w:hRule="atLeast"/>
                    </w:trPr>
                    <w:tc>
                      <w:tcPr>
                        <w:tcW w:w="858" w:type="dxa"/>
                        <w:shd w:val="clear" w:color="auto" w:fill="C0C0C0"/>
                      </w:tcPr>
                      <w:p>
                        <w:pPr>
                          <w:pStyle w:val="TableParagraph"/>
                          <w:spacing w:before="43"/>
                          <w:ind w:left="108"/>
                          <w:rPr>
                            <w:rFonts w:ascii="Wingdings" w:hAnsi="Wingdings"/>
                            <w:sz w:val="32"/>
                          </w:rPr>
                        </w:pPr>
                        <w:r>
                          <w:rPr>
                            <w:rFonts w:ascii="Wingdings" w:hAnsi="Wingdings"/>
                            <w:w w:val="99"/>
                            <w:sz w:val="32"/>
                          </w:rPr>
                          <w:t></w:t>
                        </w:r>
                      </w:p>
                    </w:tc>
                    <w:tc>
                      <w:tcPr>
                        <w:tcW w:w="1855" w:type="dxa"/>
                        <w:shd w:val="clear" w:color="auto" w:fill="C0C0C0"/>
                      </w:tcPr>
                      <w:p>
                        <w:pPr>
                          <w:pStyle w:val="TableParagraph"/>
                          <w:spacing w:before="90"/>
                          <w:ind w:left="433"/>
                          <w:rPr>
                            <w:b/>
                            <w:sz w:val="21"/>
                          </w:rPr>
                        </w:pPr>
                        <w:r>
                          <w:rPr>
                            <w:b/>
                            <w:spacing w:val="-3"/>
                            <w:sz w:val="21"/>
                          </w:rPr>
                          <w:t>您的义务</w:t>
                        </w:r>
                      </w:p>
                    </w:tc>
                    <w:tc>
                      <w:tcPr>
                        <w:tcW w:w="6759" w:type="dxa"/>
                        <w:shd w:val="clear" w:color="auto" w:fill="C0C0C0"/>
                      </w:tcPr>
                      <w:p>
                        <w:pPr>
                          <w:pStyle w:val="TableParagraph"/>
                          <w:rPr>
                            <w:rFonts w:ascii="Times New Roman"/>
                            <w:sz w:val="20"/>
                          </w:rPr>
                        </w:pPr>
                      </w:p>
                    </w:tc>
                  </w:tr>
                  <w:tr>
                    <w:trPr>
                      <w:trHeight w:val="1930" w:hRule="atLeast"/>
                    </w:trPr>
                    <w:tc>
                      <w:tcPr>
                        <w:tcW w:w="858" w:type="dxa"/>
                      </w:tcPr>
                      <w:p>
                        <w:pPr>
                          <w:pStyle w:val="TableParagraph"/>
                          <w:spacing w:before="81"/>
                          <w:ind w:left="108"/>
                          <w:rPr>
                            <w:sz w:val="21"/>
                          </w:rPr>
                        </w:pPr>
                        <w:r>
                          <w:rPr>
                            <w:spacing w:val="-5"/>
                            <w:sz w:val="21"/>
                          </w:rPr>
                          <w:t>3.1</w:t>
                        </w:r>
                      </w:p>
                    </w:tc>
                    <w:tc>
                      <w:tcPr>
                        <w:tcW w:w="1855" w:type="dxa"/>
                      </w:tcPr>
                      <w:p>
                        <w:pPr>
                          <w:pStyle w:val="TableParagraph"/>
                          <w:spacing w:before="81"/>
                          <w:ind w:left="433"/>
                          <w:rPr>
                            <w:sz w:val="21"/>
                          </w:rPr>
                        </w:pPr>
                        <w:r>
                          <w:rPr>
                            <w:spacing w:val="-4"/>
                            <w:sz w:val="21"/>
                          </w:rPr>
                          <w:t>保险费的交纳</w:t>
                        </w:r>
                      </w:p>
                    </w:tc>
                    <w:tc>
                      <w:tcPr>
                        <w:tcW w:w="6759" w:type="dxa"/>
                      </w:tcPr>
                      <w:p>
                        <w:pPr>
                          <w:pStyle w:val="TableParagraph"/>
                          <w:spacing w:line="297" w:lineRule="auto" w:before="81"/>
                          <w:ind w:left="160" w:right="100"/>
                          <w:rPr>
                            <w:sz w:val="21"/>
                          </w:rPr>
                        </w:pPr>
                        <w:r>
                          <w:rPr>
                            <w:spacing w:val="-2"/>
                            <w:sz w:val="21"/>
                          </w:rPr>
                          <w:t>本合同的交费方式和交费期间在投保时由您和我们约定，并在保险单上</w:t>
                        </w:r>
                        <w:r>
                          <w:rPr>
                            <w:spacing w:val="-4"/>
                            <w:sz w:val="21"/>
                          </w:rPr>
                          <w:t>载明。</w:t>
                        </w:r>
                      </w:p>
                      <w:p>
                        <w:pPr>
                          <w:pStyle w:val="TableParagraph"/>
                          <w:spacing w:line="297" w:lineRule="auto"/>
                          <w:ind w:left="160" w:right="100"/>
                          <w:jc w:val="both"/>
                          <w:rPr>
                            <w:sz w:val="21"/>
                          </w:rPr>
                        </w:pPr>
                        <w:r>
                          <w:rPr>
                            <w:spacing w:val="-2"/>
                            <w:sz w:val="21"/>
                          </w:rPr>
                          <w:t>您应按本合同约定的交费金额、交费期间、保险费应付日等交纳本合同</w:t>
                        </w:r>
                        <w:r>
                          <w:rPr>
                            <w:spacing w:val="-2"/>
                            <w:sz w:val="21"/>
                          </w:rPr>
                          <w:t>的保险费。分期交纳保险费的，第二期及以后各期的保险费应在保险费</w:t>
                        </w:r>
                        <w:r>
                          <w:rPr>
                            <w:spacing w:val="-2"/>
                            <w:sz w:val="21"/>
                          </w:rPr>
                          <w:t>应付日或应付日前交纳。</w:t>
                        </w:r>
                      </w:p>
                    </w:tc>
                  </w:tr>
                  <w:tr>
                    <w:trPr>
                      <w:trHeight w:val="2428" w:hRule="atLeast"/>
                    </w:trPr>
                    <w:tc>
                      <w:tcPr>
                        <w:tcW w:w="858" w:type="dxa"/>
                      </w:tcPr>
                      <w:p>
                        <w:pPr>
                          <w:pStyle w:val="TableParagraph"/>
                          <w:spacing w:before="1"/>
                          <w:rPr>
                            <w:rFonts w:ascii="黑体"/>
                            <w:sz w:val="19"/>
                          </w:rPr>
                        </w:pPr>
                      </w:p>
                      <w:p>
                        <w:pPr>
                          <w:pStyle w:val="TableParagraph"/>
                          <w:ind w:left="108"/>
                          <w:rPr>
                            <w:sz w:val="21"/>
                          </w:rPr>
                        </w:pPr>
                        <w:r>
                          <w:rPr>
                            <w:spacing w:val="-5"/>
                            <w:sz w:val="21"/>
                          </w:rPr>
                          <w:t>3.2</w:t>
                        </w:r>
                      </w:p>
                    </w:tc>
                    <w:tc>
                      <w:tcPr>
                        <w:tcW w:w="1855" w:type="dxa"/>
                      </w:tcPr>
                      <w:p>
                        <w:pPr>
                          <w:pStyle w:val="TableParagraph"/>
                          <w:spacing w:before="1"/>
                          <w:rPr>
                            <w:rFonts w:ascii="黑体"/>
                            <w:sz w:val="19"/>
                          </w:rPr>
                        </w:pPr>
                      </w:p>
                      <w:p>
                        <w:pPr>
                          <w:pStyle w:val="TableParagraph"/>
                          <w:ind w:left="433"/>
                          <w:rPr>
                            <w:sz w:val="21"/>
                          </w:rPr>
                        </w:pPr>
                        <w:r>
                          <w:rPr>
                            <w:spacing w:val="-4"/>
                            <w:sz w:val="21"/>
                          </w:rPr>
                          <w:t>宽限期间</w:t>
                        </w:r>
                      </w:p>
                    </w:tc>
                    <w:tc>
                      <w:tcPr>
                        <w:tcW w:w="6759" w:type="dxa"/>
                      </w:tcPr>
                      <w:p>
                        <w:pPr>
                          <w:pStyle w:val="TableParagraph"/>
                          <w:spacing w:before="1"/>
                          <w:rPr>
                            <w:rFonts w:ascii="黑体"/>
                            <w:sz w:val="19"/>
                          </w:rPr>
                        </w:pPr>
                      </w:p>
                      <w:p>
                        <w:pPr>
                          <w:pStyle w:val="TableParagraph"/>
                          <w:spacing w:line="297" w:lineRule="auto"/>
                          <w:ind w:left="160" w:right="72"/>
                          <w:jc w:val="both"/>
                          <w:rPr>
                            <w:sz w:val="21"/>
                          </w:rPr>
                        </w:pPr>
                        <w:r>
                          <w:rPr>
                            <w:spacing w:val="-2"/>
                            <w:sz w:val="21"/>
                          </w:rPr>
                          <w:t>如果您到期未交纳保险费，自保险费应付日的次日零时起六十日为宽限</w:t>
                        </w:r>
                        <w:r>
                          <w:rPr>
                            <w:spacing w:val="-2"/>
                            <w:sz w:val="21"/>
                          </w:rPr>
                          <w:t>期间。对宽限期间内发生的保险事故，我们承担保险责任，但</w:t>
                        </w:r>
                        <w:r>
                          <w:rPr>
                            <w:b/>
                            <w:spacing w:val="-2"/>
                            <w:sz w:val="21"/>
                          </w:rPr>
                          <w:t>在给付保</w:t>
                        </w:r>
                        <w:r>
                          <w:rPr>
                            <w:b/>
                            <w:spacing w:val="-2"/>
                            <w:sz w:val="21"/>
                          </w:rPr>
                          <w:t>险金时会扣除您欠交的保险费；</w:t>
                        </w:r>
                        <w:r>
                          <w:rPr>
                            <w:spacing w:val="-2"/>
                            <w:sz w:val="21"/>
                          </w:rPr>
                          <w:t>在您补交本合同的当期应付保险费后，</w:t>
                        </w:r>
                        <w:r>
                          <w:rPr>
                            <w:spacing w:val="-3"/>
                            <w:sz w:val="21"/>
                          </w:rPr>
                          <w:t>我们仍会承担本合同 </w:t>
                        </w:r>
                        <w:r>
                          <w:rPr>
                            <w:sz w:val="21"/>
                          </w:rPr>
                          <w:t>2.5.6</w:t>
                        </w:r>
                        <w:r>
                          <w:rPr>
                            <w:spacing w:val="-5"/>
                            <w:sz w:val="21"/>
                          </w:rPr>
                          <w:t> 约定的豁免保险费的责任。</w:t>
                        </w:r>
                      </w:p>
                      <w:p>
                        <w:pPr>
                          <w:pStyle w:val="TableParagraph"/>
                          <w:spacing w:line="300" w:lineRule="auto" w:before="1"/>
                          <w:ind w:left="160" w:right="103"/>
                          <w:rPr>
                            <w:b/>
                            <w:sz w:val="21"/>
                          </w:rPr>
                        </w:pPr>
                        <w:r>
                          <w:rPr>
                            <w:b/>
                            <w:spacing w:val="-2"/>
                            <w:sz w:val="21"/>
                          </w:rPr>
                          <w:t>如果您在宽限期间结束时仍未交纳保险费，则本合同在宽限期间期满日</w:t>
                        </w:r>
                        <w:r>
                          <w:rPr>
                            <w:b/>
                            <w:spacing w:val="-2"/>
                            <w:sz w:val="21"/>
                          </w:rPr>
                          <w:t>的次日零时起效力中止，本合同另有约定的除外。</w:t>
                        </w:r>
                      </w:p>
                    </w:tc>
                  </w:tr>
                  <w:tr>
                    <w:trPr>
                      <w:trHeight w:val="552" w:hRule="atLeast"/>
                    </w:trPr>
                    <w:tc>
                      <w:tcPr>
                        <w:tcW w:w="858" w:type="dxa"/>
                      </w:tcPr>
                      <w:p>
                        <w:pPr>
                          <w:pStyle w:val="TableParagraph"/>
                          <w:rPr>
                            <w:rFonts w:ascii="黑体"/>
                            <w:sz w:val="19"/>
                          </w:rPr>
                        </w:pPr>
                      </w:p>
                      <w:p>
                        <w:pPr>
                          <w:pStyle w:val="TableParagraph"/>
                          <w:ind w:left="108"/>
                          <w:rPr>
                            <w:sz w:val="21"/>
                          </w:rPr>
                        </w:pPr>
                        <w:r>
                          <w:rPr>
                            <w:spacing w:val="-5"/>
                            <w:sz w:val="21"/>
                          </w:rPr>
                          <w:t>3.3</w:t>
                        </w:r>
                      </w:p>
                    </w:tc>
                    <w:tc>
                      <w:tcPr>
                        <w:tcW w:w="1855" w:type="dxa"/>
                      </w:tcPr>
                      <w:p>
                        <w:pPr>
                          <w:pStyle w:val="TableParagraph"/>
                          <w:rPr>
                            <w:rFonts w:ascii="黑体"/>
                            <w:sz w:val="19"/>
                          </w:rPr>
                        </w:pPr>
                      </w:p>
                      <w:p>
                        <w:pPr>
                          <w:pStyle w:val="TableParagraph"/>
                          <w:ind w:left="433"/>
                          <w:rPr>
                            <w:sz w:val="21"/>
                          </w:rPr>
                        </w:pPr>
                        <w:r>
                          <w:rPr>
                            <w:spacing w:val="-4"/>
                            <w:sz w:val="21"/>
                          </w:rPr>
                          <w:t>如实告知</w:t>
                        </w:r>
                      </w:p>
                    </w:tc>
                    <w:tc>
                      <w:tcPr>
                        <w:tcW w:w="6759" w:type="dxa"/>
                      </w:tcPr>
                      <w:p>
                        <w:pPr>
                          <w:pStyle w:val="TableParagraph"/>
                          <w:spacing w:before="2"/>
                          <w:rPr>
                            <w:rFonts w:ascii="黑体"/>
                            <w:sz w:val="19"/>
                          </w:rPr>
                        </w:pPr>
                      </w:p>
                      <w:p>
                        <w:pPr>
                          <w:pStyle w:val="TableParagraph"/>
                          <w:spacing w:before="1"/>
                          <w:ind w:left="160"/>
                          <w:rPr>
                            <w:sz w:val="21"/>
                          </w:rPr>
                        </w:pPr>
                        <w:r>
                          <w:rPr>
                            <w:spacing w:val="-5"/>
                            <w:sz w:val="21"/>
                          </w:rPr>
                          <w:t>在订立本合同时，我们会向您说明本合同的条款内容。对本合同中免除</w:t>
                        </w:r>
                      </w:p>
                    </w:tc>
                  </w:tr>
                  <w:tr>
                    <w:trPr>
                      <w:trHeight w:val="343" w:hRule="atLeast"/>
                    </w:trPr>
                    <w:tc>
                      <w:tcPr>
                        <w:tcW w:w="2713" w:type="dxa"/>
                        <w:gridSpan w:val="2"/>
                        <w:vMerge w:val="restart"/>
                      </w:tcPr>
                      <w:p>
                        <w:pPr>
                          <w:pStyle w:val="TableParagraph"/>
                          <w:rPr>
                            <w:rFonts w:ascii="Times New Roman"/>
                            <w:sz w:val="20"/>
                          </w:rPr>
                        </w:pPr>
                      </w:p>
                    </w:tc>
                    <w:tc>
                      <w:tcPr>
                        <w:tcW w:w="6759" w:type="dxa"/>
                      </w:tcPr>
                      <w:p>
                        <w:pPr>
                          <w:pStyle w:val="TableParagraph"/>
                          <w:spacing w:before="37"/>
                          <w:ind w:left="160"/>
                          <w:rPr>
                            <w:sz w:val="21"/>
                          </w:rPr>
                        </w:pPr>
                        <w:r>
                          <w:rPr>
                            <w:spacing w:val="-5"/>
                            <w:sz w:val="21"/>
                          </w:rPr>
                          <w:t>我们责任的条款，我们在订立合同时会在投保单、保险单或者其他保险</w:t>
                        </w:r>
                      </w:p>
                    </w:tc>
                  </w:tr>
                  <w:tr>
                    <w:trPr>
                      <w:trHeight w:val="343" w:hRule="atLeast"/>
                    </w:trPr>
                    <w:tc>
                      <w:tcPr>
                        <w:tcW w:w="2713" w:type="dxa"/>
                        <w:gridSpan w:val="2"/>
                        <w:vMerge/>
                        <w:tcBorders>
                          <w:top w:val="nil"/>
                        </w:tcBorders>
                      </w:tcPr>
                      <w:p>
                        <w:pPr>
                          <w:rPr>
                            <w:sz w:val="2"/>
                            <w:szCs w:val="2"/>
                          </w:rPr>
                        </w:pPr>
                      </w:p>
                    </w:tc>
                    <w:tc>
                      <w:tcPr>
                        <w:tcW w:w="6759" w:type="dxa"/>
                      </w:tcPr>
                      <w:p>
                        <w:pPr>
                          <w:pStyle w:val="TableParagraph"/>
                          <w:spacing w:before="37"/>
                          <w:ind w:left="160"/>
                          <w:rPr>
                            <w:sz w:val="21"/>
                          </w:rPr>
                        </w:pPr>
                        <w:r>
                          <w:rPr>
                            <w:spacing w:val="-5"/>
                            <w:sz w:val="21"/>
                          </w:rPr>
                          <w:t>凭证上作出足以引起您注意的提示，并对该条款的内容以书面或口头形</w:t>
                        </w:r>
                      </w:p>
                    </w:tc>
                  </w:tr>
                  <w:tr>
                    <w:trPr>
                      <w:trHeight w:val="343" w:hRule="atLeast"/>
                    </w:trPr>
                    <w:tc>
                      <w:tcPr>
                        <w:tcW w:w="2713" w:type="dxa"/>
                        <w:gridSpan w:val="2"/>
                        <w:vMerge/>
                        <w:tcBorders>
                          <w:top w:val="nil"/>
                        </w:tcBorders>
                      </w:tcPr>
                      <w:p>
                        <w:pPr>
                          <w:rPr>
                            <w:sz w:val="2"/>
                            <w:szCs w:val="2"/>
                          </w:rPr>
                        </w:pPr>
                      </w:p>
                    </w:tc>
                    <w:tc>
                      <w:tcPr>
                        <w:tcW w:w="6759" w:type="dxa"/>
                      </w:tcPr>
                      <w:p>
                        <w:pPr>
                          <w:pStyle w:val="TableParagraph"/>
                          <w:spacing w:before="37"/>
                          <w:ind w:left="160"/>
                          <w:rPr>
                            <w:sz w:val="21"/>
                          </w:rPr>
                        </w:pPr>
                        <w:r>
                          <w:rPr>
                            <w:spacing w:val="-3"/>
                            <w:sz w:val="21"/>
                          </w:rPr>
                          <w:t>式向您作出明确说明，未作提示或者明确说明的，该条款不产生效力。</w:t>
                        </w:r>
                      </w:p>
                    </w:tc>
                  </w:tr>
                  <w:tr>
                    <w:trPr>
                      <w:trHeight w:val="343" w:hRule="atLeast"/>
                    </w:trPr>
                    <w:tc>
                      <w:tcPr>
                        <w:tcW w:w="2713" w:type="dxa"/>
                        <w:gridSpan w:val="2"/>
                        <w:vMerge/>
                        <w:tcBorders>
                          <w:top w:val="nil"/>
                        </w:tcBorders>
                      </w:tcPr>
                      <w:p>
                        <w:pPr>
                          <w:rPr>
                            <w:sz w:val="2"/>
                            <w:szCs w:val="2"/>
                          </w:rPr>
                        </w:pPr>
                      </w:p>
                    </w:tc>
                    <w:tc>
                      <w:tcPr>
                        <w:tcW w:w="6759" w:type="dxa"/>
                      </w:tcPr>
                      <w:p>
                        <w:pPr>
                          <w:pStyle w:val="TableParagraph"/>
                          <w:spacing w:before="37"/>
                          <w:ind w:left="160"/>
                          <w:rPr>
                            <w:sz w:val="21"/>
                          </w:rPr>
                        </w:pPr>
                        <w:r>
                          <w:rPr>
                            <w:spacing w:val="-3"/>
                            <w:sz w:val="21"/>
                          </w:rPr>
                          <w:t>我们会就您和被保险人的有关情况提出书面询问，您应当如实告知。</w:t>
                        </w:r>
                      </w:p>
                    </w:tc>
                  </w:tr>
                  <w:tr>
                    <w:trPr>
                      <w:trHeight w:val="343" w:hRule="atLeast"/>
                    </w:trPr>
                    <w:tc>
                      <w:tcPr>
                        <w:tcW w:w="2713" w:type="dxa"/>
                        <w:gridSpan w:val="2"/>
                        <w:vMerge/>
                        <w:tcBorders>
                          <w:top w:val="nil"/>
                        </w:tcBorders>
                      </w:tcPr>
                      <w:p>
                        <w:pPr>
                          <w:rPr>
                            <w:sz w:val="2"/>
                            <w:szCs w:val="2"/>
                          </w:rPr>
                        </w:pPr>
                      </w:p>
                    </w:tc>
                    <w:tc>
                      <w:tcPr>
                        <w:tcW w:w="6759" w:type="dxa"/>
                      </w:tcPr>
                      <w:p>
                        <w:pPr>
                          <w:pStyle w:val="TableParagraph"/>
                          <w:spacing w:before="37"/>
                          <w:ind w:left="160"/>
                          <w:rPr>
                            <w:b/>
                            <w:sz w:val="21"/>
                          </w:rPr>
                        </w:pPr>
                        <w:r>
                          <w:rPr>
                            <w:b/>
                            <w:spacing w:val="-3"/>
                            <w:sz w:val="21"/>
                          </w:rPr>
                          <w:t>您故意或者因重大过失未履行前款规定的如实告知义务，足以影响我们</w:t>
                        </w:r>
                      </w:p>
                    </w:tc>
                  </w:tr>
                  <w:tr>
                    <w:trPr>
                      <w:trHeight w:val="343" w:hRule="atLeast"/>
                    </w:trPr>
                    <w:tc>
                      <w:tcPr>
                        <w:tcW w:w="2713" w:type="dxa"/>
                        <w:gridSpan w:val="2"/>
                        <w:vMerge/>
                        <w:tcBorders>
                          <w:top w:val="nil"/>
                        </w:tcBorders>
                      </w:tcPr>
                      <w:p>
                        <w:pPr>
                          <w:rPr>
                            <w:sz w:val="2"/>
                            <w:szCs w:val="2"/>
                          </w:rPr>
                        </w:pPr>
                      </w:p>
                    </w:tc>
                    <w:tc>
                      <w:tcPr>
                        <w:tcW w:w="6759" w:type="dxa"/>
                      </w:tcPr>
                      <w:p>
                        <w:pPr>
                          <w:pStyle w:val="TableParagraph"/>
                          <w:spacing w:before="37"/>
                          <w:ind w:left="160"/>
                          <w:rPr>
                            <w:b/>
                            <w:sz w:val="21"/>
                          </w:rPr>
                        </w:pPr>
                        <w:r>
                          <w:rPr>
                            <w:b/>
                            <w:spacing w:val="-3"/>
                            <w:sz w:val="21"/>
                          </w:rPr>
                          <w:t>决定是否同意承保或者提高保险费率的，我们有权解除本合同。</w:t>
                        </w:r>
                      </w:p>
                    </w:tc>
                  </w:tr>
                  <w:tr>
                    <w:trPr>
                      <w:trHeight w:val="277" w:hRule="atLeast"/>
                    </w:trPr>
                    <w:tc>
                      <w:tcPr>
                        <w:tcW w:w="2713" w:type="dxa"/>
                        <w:gridSpan w:val="2"/>
                        <w:vMerge/>
                        <w:tcBorders>
                          <w:top w:val="nil"/>
                        </w:tcBorders>
                      </w:tcPr>
                      <w:p>
                        <w:pPr>
                          <w:rPr>
                            <w:sz w:val="2"/>
                            <w:szCs w:val="2"/>
                          </w:rPr>
                        </w:pPr>
                      </w:p>
                    </w:tc>
                    <w:tc>
                      <w:tcPr>
                        <w:tcW w:w="6759" w:type="dxa"/>
                      </w:tcPr>
                      <w:p>
                        <w:pPr>
                          <w:pStyle w:val="TableParagraph"/>
                          <w:spacing w:line="220" w:lineRule="exact" w:before="37"/>
                          <w:ind w:left="160"/>
                          <w:rPr>
                            <w:b/>
                            <w:sz w:val="21"/>
                          </w:rPr>
                        </w:pPr>
                        <w:r>
                          <w:rPr>
                            <w:b/>
                            <w:spacing w:val="-1"/>
                            <w:sz w:val="21"/>
                          </w:rPr>
                          <w:t>您故意不履行如实告知义务的，我们对于本合同解除前发生的保险事</w:t>
                        </w:r>
                      </w:p>
                    </w:tc>
                  </w:tr>
                </w:tbl>
                <w:p>
                  <w:pPr>
                    <w:pStyle w:val="BodyText"/>
                  </w:pPr>
                </w:p>
              </w:txbxContent>
            </v:textbox>
            <w10:wrap type="none"/>
          </v:shape>
        </w:pict>
      </w:r>
      <w:r>
        <w:rPr>
          <w:rFonts w:ascii="黑体" w:eastAsia="黑体"/>
          <w:spacing w:val="-2"/>
        </w:rPr>
        <w:t>四、被保险人服用、吸食或注射</w:t>
      </w:r>
      <w:r>
        <w:rPr>
          <w:rFonts w:ascii="黑体" w:eastAsia="黑体"/>
          <w:color w:val="000000"/>
          <w:spacing w:val="-2"/>
          <w:shd w:fill="BEBEBE" w:color="auto" w:val="clear"/>
        </w:rPr>
        <w:t>毒品</w:t>
      </w:r>
      <w:r>
        <w:rPr>
          <w:rFonts w:ascii="黑体" w:eastAsia="黑体"/>
          <w:color w:val="000000"/>
          <w:spacing w:val="-2"/>
        </w:rPr>
        <w:t>（</w:t>
      </w:r>
      <w:r>
        <w:rPr>
          <w:rFonts w:ascii="黑体" w:eastAsia="黑体"/>
          <w:color w:val="000000"/>
          <w:spacing w:val="-23"/>
        </w:rPr>
        <w:t>见 </w:t>
      </w:r>
      <w:r>
        <w:rPr>
          <w:rFonts w:ascii="黑体" w:eastAsia="黑体"/>
          <w:color w:val="000000"/>
          <w:spacing w:val="33"/>
        </w:rPr>
        <w:t>8.</w:t>
      </w:r>
      <w:r>
        <w:rPr>
          <w:rFonts w:ascii="黑体" w:eastAsia="黑体"/>
          <w:color w:val="000000"/>
          <w:spacing w:val="30"/>
        </w:rPr>
        <w:t>1</w:t>
      </w:r>
      <w:r>
        <w:rPr>
          <w:rFonts w:ascii="黑体" w:eastAsia="黑体"/>
          <w:color w:val="000000"/>
          <w:spacing w:val="33"/>
        </w:rPr>
        <w:t>2</w:t>
      </w:r>
      <w:r>
        <w:rPr>
          <w:rFonts w:ascii="黑体" w:eastAsia="黑体"/>
          <w:color w:val="000000"/>
          <w:spacing w:val="-73"/>
        </w:rPr>
        <w:t>）；</w:t>
      </w:r>
    </w:p>
    <w:p>
      <w:pPr>
        <w:pStyle w:val="BodyText"/>
        <w:spacing w:line="297" w:lineRule="auto" w:before="65"/>
        <w:ind w:left="3410" w:right="1063" w:hanging="420"/>
        <w:rPr>
          <w:rFonts w:ascii="黑体" w:eastAsia="黑体"/>
        </w:rPr>
      </w:pPr>
      <w:r>
        <w:rPr>
          <w:rFonts w:ascii="黑体" w:eastAsia="黑体"/>
          <w:spacing w:val="-10"/>
        </w:rPr>
        <w:t>五、被保险人</w:t>
      </w:r>
      <w:r>
        <w:rPr>
          <w:rFonts w:ascii="黑体" w:eastAsia="黑体"/>
          <w:color w:val="000000"/>
          <w:spacing w:val="-10"/>
          <w:shd w:fill="BEBEBE" w:color="auto" w:val="clear"/>
        </w:rPr>
        <w:t>酒后驾驶</w:t>
      </w:r>
      <w:r>
        <w:rPr>
          <w:rFonts w:ascii="黑体" w:eastAsia="黑体"/>
          <w:color w:val="000000"/>
          <w:spacing w:val="-10"/>
        </w:rPr>
        <w:t>（</w:t>
      </w:r>
      <w:r>
        <w:rPr>
          <w:rFonts w:ascii="黑体" w:eastAsia="黑体"/>
          <w:color w:val="000000"/>
          <w:spacing w:val="-31"/>
        </w:rPr>
        <w:t>见 </w:t>
      </w:r>
      <w:r>
        <w:rPr>
          <w:rFonts w:ascii="黑体" w:eastAsia="黑体"/>
          <w:color w:val="000000"/>
          <w:spacing w:val="11"/>
        </w:rPr>
        <w:t>8.</w:t>
      </w:r>
      <w:r>
        <w:rPr>
          <w:rFonts w:ascii="黑体" w:eastAsia="黑体"/>
          <w:color w:val="000000"/>
          <w:spacing w:val="8"/>
        </w:rPr>
        <w:t>1</w:t>
      </w:r>
      <w:r>
        <w:rPr>
          <w:rFonts w:ascii="黑体" w:eastAsia="黑体"/>
          <w:color w:val="000000"/>
          <w:spacing w:val="11"/>
        </w:rPr>
        <w:t>3</w:t>
      </w:r>
      <w:r>
        <w:rPr>
          <w:rFonts w:ascii="黑体" w:eastAsia="黑体"/>
          <w:color w:val="000000"/>
          <w:spacing w:val="-95"/>
        </w:rPr>
        <w:t>）</w:t>
      </w:r>
      <w:r>
        <w:rPr>
          <w:rFonts w:ascii="黑体" w:eastAsia="黑体"/>
          <w:color w:val="000000"/>
          <w:spacing w:val="-10"/>
        </w:rPr>
        <w:t>、</w:t>
      </w:r>
      <w:r>
        <w:rPr>
          <w:rFonts w:ascii="黑体" w:eastAsia="黑体"/>
          <w:color w:val="000000"/>
          <w:spacing w:val="-10"/>
          <w:shd w:fill="BEBEBE" w:color="auto" w:val="clear"/>
        </w:rPr>
        <w:t>无合法有效驾驶证驾驶</w:t>
      </w:r>
      <w:r>
        <w:rPr>
          <w:rFonts w:ascii="黑体" w:eastAsia="黑体"/>
          <w:color w:val="000000"/>
          <w:spacing w:val="-10"/>
        </w:rPr>
        <w:t>（</w:t>
      </w:r>
      <w:r>
        <w:rPr>
          <w:rFonts w:ascii="黑体" w:eastAsia="黑体"/>
          <w:color w:val="000000"/>
          <w:spacing w:val="-32"/>
        </w:rPr>
        <w:t>见 </w:t>
      </w:r>
      <w:r>
        <w:rPr>
          <w:rFonts w:ascii="黑体" w:eastAsia="黑体"/>
          <w:color w:val="000000"/>
          <w:spacing w:val="23"/>
        </w:rPr>
        <w:t>8</w:t>
      </w:r>
      <w:r>
        <w:rPr>
          <w:rFonts w:ascii="黑体" w:eastAsia="黑体"/>
          <w:color w:val="000000"/>
          <w:spacing w:val="26"/>
        </w:rPr>
        <w:t>.</w:t>
      </w:r>
      <w:r>
        <w:rPr>
          <w:rFonts w:ascii="黑体" w:eastAsia="黑体"/>
          <w:color w:val="000000"/>
          <w:spacing w:val="25"/>
        </w:rPr>
        <w:t>1</w:t>
      </w:r>
      <w:r>
        <w:rPr>
          <w:rFonts w:ascii="黑体" w:eastAsia="黑体"/>
          <w:color w:val="000000"/>
          <w:spacing w:val="26"/>
        </w:rPr>
        <w:t>4</w:t>
      </w:r>
      <w:r>
        <w:rPr>
          <w:rFonts w:ascii="黑体" w:eastAsia="黑体"/>
          <w:color w:val="000000"/>
          <w:spacing w:val="-82"/>
        </w:rPr>
        <w:t>），</w:t>
      </w:r>
      <w:r>
        <w:rPr>
          <w:rFonts w:ascii="黑体" w:eastAsia="黑体"/>
          <w:color w:val="000000"/>
        </w:rPr>
        <w:t>或驾驶</w:t>
      </w:r>
      <w:r>
        <w:rPr>
          <w:rFonts w:ascii="黑体" w:eastAsia="黑体"/>
          <w:color w:val="000000"/>
          <w:shd w:fill="BEBEBE" w:color="auto" w:val="clear"/>
        </w:rPr>
        <w:t>无合法有效行驶证</w:t>
      </w:r>
      <w:r>
        <w:rPr>
          <w:rFonts w:ascii="黑体" w:eastAsia="黑体"/>
          <w:color w:val="000000"/>
        </w:rPr>
        <w:t>（</w:t>
      </w:r>
      <w:r>
        <w:rPr>
          <w:rFonts w:ascii="黑体" w:eastAsia="黑体"/>
          <w:color w:val="000000"/>
          <w:spacing w:val="-21"/>
        </w:rPr>
        <w:t>见 </w:t>
      </w:r>
      <w:r>
        <w:rPr>
          <w:rFonts w:ascii="黑体" w:eastAsia="黑体"/>
          <w:color w:val="000000"/>
        </w:rPr>
        <w:t>8.15）的机动车；</w:t>
      </w:r>
    </w:p>
    <w:p>
      <w:pPr>
        <w:spacing w:after="0" w:line="297" w:lineRule="auto"/>
        <w:rPr>
          <w:rFonts w:ascii="黑体" w:eastAsia="黑体"/>
        </w:rPr>
        <w:sectPr>
          <w:pgSz w:w="11910" w:h="16840"/>
          <w:pgMar w:header="0" w:footer="857" w:top="1420" w:bottom="1180" w:left="1100" w:right="260"/>
        </w:sectPr>
      </w:pPr>
    </w:p>
    <w:p>
      <w:pPr>
        <w:spacing w:before="43"/>
        <w:ind w:left="2990" w:right="0" w:firstLine="0"/>
        <w:jc w:val="left"/>
        <w:rPr>
          <w:b/>
          <w:sz w:val="21"/>
        </w:rPr>
      </w:pPr>
      <w:r>
        <w:rPr>
          <w:b/>
          <w:spacing w:val="-3"/>
          <w:sz w:val="21"/>
        </w:rPr>
        <w:t>故，不承担给付保险金的责任，并不退还保险费。</w:t>
      </w:r>
    </w:p>
    <w:p>
      <w:pPr>
        <w:spacing w:line="307" w:lineRule="auto" w:before="74"/>
        <w:ind w:left="2990" w:right="1015" w:firstLine="0"/>
        <w:jc w:val="both"/>
        <w:rPr>
          <w:b/>
          <w:sz w:val="21"/>
        </w:rPr>
      </w:pPr>
      <w:r>
        <w:rPr>
          <w:b/>
          <w:spacing w:val="-2"/>
          <w:sz w:val="21"/>
        </w:rPr>
        <w:t>您因重大过失未履行如实告知义务，对保险事故的发生有严重影响的，</w:t>
      </w:r>
      <w:r>
        <w:rPr>
          <w:b/>
          <w:spacing w:val="-2"/>
          <w:sz w:val="21"/>
        </w:rPr>
        <w:t>我们对于本合同解除前发生的保险事故，不承担给付保险金的责任，但</w:t>
      </w:r>
      <w:r>
        <w:rPr>
          <w:b/>
          <w:spacing w:val="-2"/>
          <w:sz w:val="21"/>
        </w:rPr>
        <w:t>退还保险费。</w:t>
      </w:r>
    </w:p>
    <w:p>
      <w:pPr>
        <w:pStyle w:val="BodyText"/>
        <w:spacing w:line="307" w:lineRule="auto"/>
        <w:ind w:left="2990" w:right="1064"/>
      </w:pPr>
      <w:r>
        <w:rPr>
          <w:spacing w:val="3"/>
          <w:w w:val="100"/>
        </w:rPr>
        <w:t>我们在合同订立时已经知道您未如实告知的情况的，我们不得解除合</w:t>
      </w:r>
      <w:r>
        <w:rPr>
          <w:spacing w:val="-3"/>
          <w:w w:val="100"/>
        </w:rPr>
        <w:t>同；发生保险事故的，我们承担给付保险金的责任。</w:t>
      </w:r>
    </w:p>
    <w:p>
      <w:pPr>
        <w:pStyle w:val="BodyText"/>
        <w:spacing w:before="9"/>
        <w:rPr>
          <w:sz w:val="26"/>
        </w:rPr>
      </w:pPr>
    </w:p>
    <w:p>
      <w:pPr>
        <w:spacing w:after="0"/>
        <w:rPr>
          <w:sz w:val="26"/>
        </w:rPr>
        <w:sectPr>
          <w:pgSz w:w="11910" w:h="16840"/>
          <w:pgMar w:header="0" w:footer="857" w:top="1440" w:bottom="1180" w:left="1100" w:right="260"/>
        </w:sectPr>
      </w:pPr>
    </w:p>
    <w:p>
      <w:pPr>
        <w:pStyle w:val="BodyText"/>
        <w:tabs>
          <w:tab w:pos="1408" w:val="left" w:leader="none"/>
        </w:tabs>
        <w:spacing w:before="72"/>
        <w:ind w:left="225"/>
      </w:pPr>
      <w:r>
        <w:rPr>
          <w:spacing w:val="-5"/>
        </w:rPr>
        <w:t>3.4</w:t>
      </w:r>
      <w:r>
        <w:rPr/>
        <w:tab/>
      </w:r>
      <w:r>
        <w:rPr>
          <w:spacing w:val="-2"/>
        </w:rPr>
        <w:t>对“3.3</w:t>
      </w:r>
      <w:r>
        <w:rPr>
          <w:spacing w:val="-5"/>
        </w:rPr>
        <w:t>”我们</w:t>
      </w:r>
    </w:p>
    <w:p>
      <w:pPr>
        <w:pStyle w:val="BodyText"/>
        <w:spacing w:line="300" w:lineRule="auto" w:before="64"/>
        <w:ind w:left="1408" w:right="1"/>
      </w:pPr>
      <w:r>
        <w:rPr>
          <w:spacing w:val="14"/>
        </w:rPr>
        <w:t>公司合同解除</w:t>
      </w:r>
      <w:r>
        <w:rPr>
          <w:spacing w:val="-4"/>
        </w:rPr>
        <w:t>权的限制</w:t>
      </w:r>
    </w:p>
    <w:p>
      <w:pPr>
        <w:pStyle w:val="BodyText"/>
        <w:spacing w:line="307" w:lineRule="auto" w:before="74"/>
        <w:ind w:left="174" w:right="952"/>
      </w:pPr>
      <w:r>
        <w:rPr/>
        <w:br w:type="column"/>
      </w:r>
      <w:r>
        <w:rPr/>
        <w:t>本保险条款 3.3“如实告知”规定的合同解除权，自我们知道有解除事</w:t>
      </w:r>
      <w:r>
        <w:rPr>
          <w:spacing w:val="-14"/>
        </w:rPr>
        <w:t>由之日起，超过三十日不行使而消灭。自本合同成立之日起超过二年的，</w:t>
      </w:r>
      <w:r>
        <w:rPr>
          <w:spacing w:val="-2"/>
        </w:rPr>
        <w:t>我们不得解除本合同；发生保险事故的，我们承担给付保险金的责任。</w:t>
      </w:r>
    </w:p>
    <w:p>
      <w:pPr>
        <w:spacing w:after="0" w:line="307" w:lineRule="auto"/>
        <w:sectPr>
          <w:type w:val="continuous"/>
          <w:pgSz w:w="11910" w:h="16840"/>
          <w:pgMar w:header="0" w:footer="857" w:top="320" w:bottom="1040" w:left="1100" w:right="260"/>
          <w:cols w:num="2" w:equalWidth="0">
            <w:col w:w="2777" w:space="40"/>
            <w:col w:w="7733"/>
          </w:cols>
        </w:sectPr>
      </w:pPr>
    </w:p>
    <w:p>
      <w:pPr>
        <w:pStyle w:val="BodyText"/>
        <w:spacing w:before="3"/>
        <w:rPr>
          <w:sz w:val="27"/>
        </w:rPr>
      </w:pPr>
    </w:p>
    <w:p>
      <w:pPr>
        <w:pStyle w:val="ListParagraph"/>
        <w:numPr>
          <w:ilvl w:val="1"/>
          <w:numId w:val="8"/>
        </w:numPr>
        <w:tabs>
          <w:tab w:pos="1409" w:val="left" w:leader="none"/>
        </w:tabs>
        <w:spacing w:line="297" w:lineRule="auto" w:before="77" w:after="0"/>
        <w:ind w:left="2990" w:right="1058" w:hanging="2766"/>
        <w:jc w:val="both"/>
        <w:rPr>
          <w:sz w:val="21"/>
        </w:rPr>
      </w:pPr>
      <w:r>
        <w:rPr/>
        <w:drawing>
          <wp:anchor distT="0" distB="0" distL="0" distR="0" allowOverlap="1" layoutInCell="1" locked="0" behindDoc="1" simplePos="0" relativeHeight="485826048">
            <wp:simplePos x="0" y="0"/>
            <wp:positionH relativeFrom="page">
              <wp:posOffset>772668</wp:posOffset>
            </wp:positionH>
            <wp:positionV relativeFrom="paragraph">
              <wp:posOffset>-284098</wp:posOffset>
            </wp:positionV>
            <wp:extent cx="6014974" cy="28346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14974" cy="283464"/>
                    </a:xfrm>
                    <a:prstGeom prst="rect">
                      <a:avLst/>
                    </a:prstGeom>
                  </pic:spPr>
                </pic:pic>
              </a:graphicData>
            </a:graphic>
          </wp:anchor>
        </w:drawing>
      </w:r>
      <w:r>
        <w:rPr/>
        <w:pict>
          <v:shape style="position:absolute;margin-left:66.264pt;margin-top:-20.156843pt;width:15.25pt;height:17.75pt;mso-position-horizontal-relative:page;mso-position-vertical-relative:paragraph;z-index:-17489920" type="#_x0000_t202" id="docshape6" filled="false" stroked="false">
            <v:textbox inset="0,0,0,0">
              <w:txbxContent>
                <w:p>
                  <w:pPr>
                    <w:spacing w:line="354" w:lineRule="exact" w:before="0"/>
                    <w:ind w:left="0" w:right="0" w:firstLine="0"/>
                    <w:jc w:val="left"/>
                    <w:rPr>
                      <w:rFonts w:ascii="Wingdings" w:hAnsi="Wingdings"/>
                      <w:sz w:val="32"/>
                    </w:rPr>
                  </w:pPr>
                  <w:r>
                    <w:rPr>
                      <w:rFonts w:ascii="Wingdings" w:hAnsi="Wingdings"/>
                      <w:w w:val="99"/>
                      <w:sz w:val="32"/>
                    </w:rPr>
                    <w:t></w:t>
                  </w:r>
                </w:p>
              </w:txbxContent>
            </v:textbox>
            <w10:wrap type="none"/>
          </v:shape>
        </w:pict>
      </w:r>
      <w:r>
        <w:rPr/>
        <w:pict>
          <v:shape style="position:absolute;margin-left:125.419998pt;margin-top:-16.564987pt;width:108.2pt;height:10.6pt;mso-position-horizontal-relative:page;mso-position-vertical-relative:paragraph;z-index:-17489408" type="#_x0000_t202" id="docshape7" filled="false" stroked="false">
            <v:textbox inset="0,0,0,0">
              <w:txbxContent>
                <w:p>
                  <w:pPr>
                    <w:spacing w:line="211" w:lineRule="exact" w:before="0"/>
                    <w:ind w:left="0" w:right="0" w:firstLine="0"/>
                    <w:jc w:val="left"/>
                    <w:rPr>
                      <w:b/>
                      <w:sz w:val="21"/>
                    </w:rPr>
                  </w:pPr>
                  <w:r>
                    <w:rPr>
                      <w:b/>
                      <w:spacing w:val="-1"/>
                      <w:sz w:val="21"/>
                    </w:rPr>
                    <w:t>您对本合同拥有的权利</w:t>
                  </w:r>
                </w:p>
              </w:txbxContent>
            </v:textbox>
            <w10:wrap type="none"/>
          </v:shape>
        </w:pict>
      </w:r>
      <w:r>
        <w:rPr>
          <w:sz w:val="21"/>
        </w:rPr>
        <w:t>犹豫期</w:t>
      </w:r>
      <w:r>
        <w:rPr>
          <w:spacing w:val="790"/>
          <w:sz w:val="21"/>
        </w:rPr>
        <w:t> </w:t>
      </w:r>
      <w:r>
        <w:rPr>
          <w:sz w:val="21"/>
        </w:rPr>
        <w:t>自本合同签收日起十五日内为犹豫期，在此期间，</w:t>
      </w:r>
      <w:r>
        <w:rPr>
          <w:b/>
          <w:sz w:val="21"/>
        </w:rPr>
        <w:t>如果被保险人未发生</w:t>
      </w:r>
      <w:r>
        <w:rPr>
          <w:b/>
          <w:spacing w:val="-2"/>
          <w:sz w:val="21"/>
        </w:rPr>
        <w:t>保险事故</w:t>
      </w:r>
      <w:r>
        <w:rPr>
          <w:spacing w:val="-2"/>
          <w:sz w:val="21"/>
        </w:rPr>
        <w:t>，您可以解除本合同。</w:t>
      </w:r>
    </w:p>
    <w:p>
      <w:pPr>
        <w:spacing w:line="297" w:lineRule="auto" w:before="2"/>
        <w:ind w:left="2990" w:right="1058" w:firstLine="0"/>
        <w:jc w:val="both"/>
        <w:rPr>
          <w:sz w:val="21"/>
        </w:rPr>
      </w:pPr>
      <w:r>
        <w:rPr>
          <w:spacing w:val="-2"/>
          <w:sz w:val="21"/>
        </w:rPr>
        <w:t>在解除合同时，您需要填写书面申请书，并提供您的保险合同及</w:t>
      </w:r>
      <w:r>
        <w:rPr>
          <w:color w:val="000000"/>
          <w:spacing w:val="-2"/>
          <w:sz w:val="21"/>
          <w:shd w:fill="BEBEBE" w:color="auto" w:val="clear"/>
        </w:rPr>
        <w:t>有效身</w:t>
      </w:r>
      <w:r>
        <w:rPr>
          <w:color w:val="000000"/>
          <w:spacing w:val="-4"/>
          <w:sz w:val="21"/>
          <w:shd w:fill="BEBEBE" w:color="auto" w:val="clear"/>
        </w:rPr>
        <w:t>份证件</w:t>
      </w:r>
      <w:r>
        <w:rPr>
          <w:color w:val="000000"/>
          <w:spacing w:val="-4"/>
          <w:sz w:val="21"/>
        </w:rPr>
        <w:t>（</w:t>
      </w:r>
      <w:r>
        <w:rPr>
          <w:color w:val="000000"/>
          <w:spacing w:val="-14"/>
          <w:sz w:val="21"/>
        </w:rPr>
        <w:t>见 </w:t>
      </w:r>
      <w:r>
        <w:rPr>
          <w:color w:val="000000"/>
          <w:spacing w:val="17"/>
          <w:sz w:val="21"/>
        </w:rPr>
        <w:t>8.</w:t>
      </w:r>
      <w:r>
        <w:rPr>
          <w:color w:val="000000"/>
          <w:spacing w:val="14"/>
          <w:sz w:val="21"/>
        </w:rPr>
        <w:t>1</w:t>
      </w:r>
      <w:r>
        <w:rPr>
          <w:color w:val="000000"/>
          <w:spacing w:val="17"/>
          <w:sz w:val="21"/>
        </w:rPr>
        <w:t>9</w:t>
      </w:r>
      <w:r>
        <w:rPr>
          <w:color w:val="000000"/>
          <w:spacing w:val="-89"/>
          <w:sz w:val="21"/>
        </w:rPr>
        <w:t>）</w:t>
      </w:r>
      <w:r>
        <w:rPr>
          <w:color w:val="000000"/>
          <w:spacing w:val="-4"/>
          <w:sz w:val="21"/>
        </w:rPr>
        <w:t>。</w:t>
      </w:r>
      <w:r>
        <w:rPr>
          <w:b/>
          <w:color w:val="000000"/>
          <w:spacing w:val="-4"/>
          <w:sz w:val="21"/>
        </w:rPr>
        <w:t>自您书面申请解除本合同时起（若为邮寄，则以寄</w:t>
      </w:r>
      <w:r>
        <w:rPr>
          <w:b/>
          <w:color w:val="000000"/>
          <w:spacing w:val="-4"/>
          <w:sz w:val="21"/>
        </w:rPr>
        <w:t> </w:t>
      </w:r>
      <w:r>
        <w:rPr>
          <w:b/>
          <w:color w:val="000000"/>
          <w:spacing w:val="-2"/>
          <w:sz w:val="21"/>
        </w:rPr>
        <w:t>发邮戳为准</w:t>
      </w:r>
      <w:r>
        <w:rPr>
          <w:b/>
          <w:color w:val="000000"/>
          <w:spacing w:val="-104"/>
          <w:sz w:val="21"/>
        </w:rPr>
        <w:t>）</w:t>
      </w:r>
      <w:r>
        <w:rPr>
          <w:b/>
          <w:color w:val="000000"/>
          <w:spacing w:val="-2"/>
          <w:sz w:val="21"/>
        </w:rPr>
        <w:t>，本合同即被解除，我们自始不承担保险责任。</w:t>
      </w:r>
      <w:r>
        <w:rPr>
          <w:color w:val="000000"/>
          <w:spacing w:val="-2"/>
          <w:sz w:val="21"/>
        </w:rPr>
        <w:t>在本合同</w:t>
      </w:r>
      <w:r>
        <w:rPr>
          <w:color w:val="000000"/>
          <w:spacing w:val="-2"/>
          <w:sz w:val="21"/>
        </w:rPr>
        <w:t>解除后，我们将在扣除不超过 </w:t>
      </w:r>
      <w:r>
        <w:rPr>
          <w:color w:val="000000"/>
          <w:sz w:val="21"/>
        </w:rPr>
        <w:t>10</w:t>
      </w:r>
      <w:r>
        <w:rPr>
          <w:color w:val="000000"/>
          <w:spacing w:val="-5"/>
          <w:sz w:val="21"/>
        </w:rPr>
        <w:t> 元的工本费后无息退还您所交纳的保</w:t>
      </w:r>
      <w:r>
        <w:rPr>
          <w:color w:val="000000"/>
          <w:spacing w:val="-4"/>
          <w:sz w:val="21"/>
        </w:rPr>
        <w:t>险费。</w:t>
      </w:r>
    </w:p>
    <w:p>
      <w:pPr>
        <w:pStyle w:val="BodyText"/>
        <w:spacing w:before="8"/>
        <w:rPr>
          <w:sz w:val="27"/>
        </w:rPr>
      </w:pPr>
    </w:p>
    <w:p>
      <w:pPr>
        <w:spacing w:after="0"/>
        <w:rPr>
          <w:sz w:val="27"/>
        </w:rPr>
        <w:sectPr>
          <w:type w:val="continuous"/>
          <w:pgSz w:w="11910" w:h="16840"/>
          <w:pgMar w:header="0" w:footer="857" w:top="320" w:bottom="1040" w:left="1100" w:right="260"/>
        </w:sectPr>
      </w:pPr>
    </w:p>
    <w:p>
      <w:pPr>
        <w:pStyle w:val="ListParagraph"/>
        <w:numPr>
          <w:ilvl w:val="1"/>
          <w:numId w:val="8"/>
        </w:numPr>
        <w:tabs>
          <w:tab w:pos="1408" w:val="left" w:leader="none"/>
          <w:tab w:pos="1409" w:val="left" w:leader="none"/>
        </w:tabs>
        <w:spacing w:line="300" w:lineRule="auto" w:before="72" w:after="0"/>
        <w:ind w:left="1408" w:right="0" w:hanging="1184"/>
        <w:jc w:val="left"/>
        <w:rPr>
          <w:sz w:val="21"/>
        </w:rPr>
      </w:pPr>
      <w:r>
        <w:rPr>
          <w:spacing w:val="14"/>
          <w:sz w:val="21"/>
        </w:rPr>
        <w:t>基本保险金额</w:t>
      </w:r>
      <w:r>
        <w:rPr>
          <w:spacing w:val="-6"/>
          <w:sz w:val="21"/>
        </w:rPr>
        <w:t>变更</w:t>
      </w:r>
    </w:p>
    <w:p>
      <w:pPr>
        <w:spacing w:line="297" w:lineRule="auto" w:before="72"/>
        <w:ind w:left="175" w:right="1058" w:firstLine="0"/>
        <w:jc w:val="both"/>
        <w:rPr>
          <w:sz w:val="21"/>
        </w:rPr>
      </w:pPr>
      <w:r>
        <w:rPr/>
        <w:br w:type="column"/>
      </w:r>
      <w:r>
        <w:rPr>
          <w:spacing w:val="-2"/>
          <w:sz w:val="21"/>
        </w:rPr>
        <w:t>在本合同有效期间内，如果被保险人未发生保险事故，您可以书面申请</w:t>
      </w:r>
      <w:r>
        <w:rPr>
          <w:spacing w:val="-2"/>
          <w:sz w:val="21"/>
        </w:rPr>
        <w:t>减少本合同的基本保险金额，经我们同意并在保险单或者其他保险凭证</w:t>
      </w:r>
      <w:r>
        <w:rPr>
          <w:spacing w:val="-2"/>
          <w:sz w:val="21"/>
        </w:rPr>
        <w:t>上批注或者附贴批单。</w:t>
      </w:r>
      <w:r>
        <w:rPr>
          <w:b/>
          <w:spacing w:val="-2"/>
          <w:sz w:val="21"/>
        </w:rPr>
        <w:t>减少后的基本保险金额不得低于变更时我们规定</w:t>
      </w:r>
      <w:r>
        <w:rPr>
          <w:b/>
          <w:spacing w:val="-2"/>
          <w:sz w:val="21"/>
        </w:rPr>
        <w:t>的最低基本保险金额</w:t>
      </w:r>
      <w:r>
        <w:rPr>
          <w:spacing w:val="-2"/>
          <w:sz w:val="21"/>
        </w:rPr>
        <w:t>。对基本保险金额减少的，我们退还本合同基本保</w:t>
      </w:r>
      <w:r>
        <w:rPr>
          <w:spacing w:val="-2"/>
          <w:sz w:val="21"/>
        </w:rPr>
        <w:t>险金额减少部分的现金价值，基本保险金额相应降低。</w:t>
      </w:r>
    </w:p>
    <w:p>
      <w:pPr>
        <w:spacing w:after="0" w:line="297" w:lineRule="auto"/>
        <w:jc w:val="both"/>
        <w:rPr>
          <w:sz w:val="21"/>
        </w:rPr>
        <w:sectPr>
          <w:type w:val="continuous"/>
          <w:pgSz w:w="11910" w:h="16840"/>
          <w:pgMar w:header="0" w:footer="857" w:top="320" w:bottom="1040" w:left="1100" w:right="260"/>
          <w:cols w:num="2" w:equalWidth="0">
            <w:col w:w="2776" w:space="40"/>
            <w:col w:w="7734"/>
          </w:cols>
        </w:sectPr>
      </w:pPr>
    </w:p>
    <w:p>
      <w:pPr>
        <w:pStyle w:val="BodyText"/>
        <w:spacing w:before="9"/>
        <w:rPr>
          <w:sz w:val="27"/>
        </w:rPr>
      </w:pPr>
    </w:p>
    <w:p>
      <w:pPr>
        <w:spacing w:after="0"/>
        <w:rPr>
          <w:sz w:val="27"/>
        </w:rPr>
        <w:sectPr>
          <w:type w:val="continuous"/>
          <w:pgSz w:w="11910" w:h="16840"/>
          <w:pgMar w:header="0" w:footer="857" w:top="320" w:bottom="1040" w:left="1100" w:right="260"/>
        </w:sectPr>
      </w:pPr>
    </w:p>
    <w:p>
      <w:pPr>
        <w:pStyle w:val="ListParagraph"/>
        <w:numPr>
          <w:ilvl w:val="1"/>
          <w:numId w:val="8"/>
        </w:numPr>
        <w:tabs>
          <w:tab w:pos="1408" w:val="left" w:leader="none"/>
          <w:tab w:pos="1409" w:val="left" w:leader="none"/>
        </w:tabs>
        <w:spacing w:line="297" w:lineRule="auto" w:before="72" w:after="0"/>
        <w:ind w:left="1408" w:right="0" w:hanging="1184"/>
        <w:jc w:val="left"/>
        <w:rPr>
          <w:sz w:val="21"/>
        </w:rPr>
      </w:pPr>
      <w:r>
        <w:rPr>
          <w:spacing w:val="14"/>
          <w:sz w:val="21"/>
        </w:rPr>
        <w:t>合同内容的变</w:t>
      </w:r>
      <w:r>
        <w:rPr>
          <w:spacing w:val="-10"/>
          <w:sz w:val="21"/>
        </w:rPr>
        <w:t>更</w:t>
      </w:r>
    </w:p>
    <w:p>
      <w:pPr>
        <w:pStyle w:val="BodyText"/>
        <w:spacing w:line="300" w:lineRule="auto" w:before="72"/>
        <w:ind w:left="175" w:right="1060"/>
        <w:jc w:val="both"/>
      </w:pPr>
      <w:r>
        <w:rPr/>
        <w:br w:type="column"/>
      </w:r>
      <w:r>
        <w:rPr>
          <w:spacing w:val="-2"/>
        </w:rPr>
        <w:t>在本合同有效期间内，经我们的同意，您可以书面申请变更本合同的有</w:t>
      </w:r>
      <w:r>
        <w:rPr>
          <w:spacing w:val="-2"/>
        </w:rPr>
        <w:t>关内容。变更本合同内容的，由我们在保险单或者其他保险凭证上批注</w:t>
      </w:r>
      <w:r>
        <w:rPr>
          <w:spacing w:val="-2"/>
        </w:rPr>
        <w:t>或者附贴批单。</w:t>
      </w:r>
    </w:p>
    <w:p>
      <w:pPr>
        <w:spacing w:after="0" w:line="300" w:lineRule="auto"/>
        <w:jc w:val="both"/>
        <w:sectPr>
          <w:type w:val="continuous"/>
          <w:pgSz w:w="11910" w:h="16840"/>
          <w:pgMar w:header="0" w:footer="857" w:top="320" w:bottom="1040" w:left="1100" w:right="260"/>
          <w:cols w:num="2" w:equalWidth="0">
            <w:col w:w="2776" w:space="40"/>
            <w:col w:w="7734"/>
          </w:cols>
        </w:sectPr>
      </w:pPr>
    </w:p>
    <w:p>
      <w:pPr>
        <w:pStyle w:val="BodyText"/>
        <w:spacing w:before="12"/>
        <w:rPr>
          <w:sz w:val="26"/>
        </w:rPr>
      </w:pPr>
    </w:p>
    <w:p>
      <w:pPr>
        <w:pStyle w:val="ListParagraph"/>
        <w:numPr>
          <w:ilvl w:val="1"/>
          <w:numId w:val="8"/>
        </w:numPr>
        <w:tabs>
          <w:tab w:pos="1408" w:val="left" w:leader="none"/>
          <w:tab w:pos="1409" w:val="left" w:leader="none"/>
          <w:tab w:pos="2990" w:val="left" w:leader="none"/>
        </w:tabs>
        <w:spacing w:line="300" w:lineRule="auto" w:before="72" w:after="0"/>
        <w:ind w:left="2990" w:right="1061" w:hanging="2766"/>
        <w:jc w:val="left"/>
        <w:rPr>
          <w:sz w:val="21"/>
        </w:rPr>
      </w:pPr>
      <w:r>
        <w:rPr>
          <w:spacing w:val="-4"/>
          <w:sz w:val="21"/>
        </w:rPr>
        <w:t>解</w:t>
      </w:r>
      <w:r>
        <w:rPr>
          <w:spacing w:val="-4"/>
          <w:sz w:val="21"/>
        </w:rPr>
        <w:t>除</w:t>
      </w:r>
      <w:r>
        <w:rPr>
          <w:spacing w:val="-4"/>
          <w:sz w:val="21"/>
        </w:rPr>
        <w:t>合同</w:t>
      </w:r>
      <w:r>
        <w:rPr>
          <w:sz w:val="21"/>
        </w:rPr>
        <w:tab/>
      </w:r>
      <w:r>
        <w:rPr>
          <w:spacing w:val="-2"/>
          <w:sz w:val="21"/>
        </w:rPr>
        <w:t>在</w:t>
      </w:r>
      <w:r>
        <w:rPr>
          <w:spacing w:val="-2"/>
          <w:sz w:val="21"/>
        </w:rPr>
        <w:t>本</w:t>
      </w:r>
      <w:r>
        <w:rPr>
          <w:spacing w:val="-2"/>
          <w:sz w:val="21"/>
        </w:rPr>
        <w:t>合同保险期间内，如</w:t>
      </w:r>
      <w:r>
        <w:rPr>
          <w:spacing w:val="-2"/>
          <w:sz w:val="21"/>
        </w:rPr>
        <w:t>果</w:t>
      </w:r>
      <w:r>
        <w:rPr>
          <w:spacing w:val="-2"/>
          <w:sz w:val="21"/>
        </w:rPr>
        <w:t>被</w:t>
      </w:r>
      <w:r>
        <w:rPr>
          <w:spacing w:val="-2"/>
          <w:sz w:val="21"/>
        </w:rPr>
        <w:t>保险人未发生保险事故，且您在犹豫期后</w:t>
      </w:r>
      <w:r>
        <w:rPr>
          <w:spacing w:val="-2"/>
          <w:sz w:val="21"/>
        </w:rPr>
        <w:t>要</w:t>
      </w:r>
      <w:r>
        <w:rPr>
          <w:spacing w:val="-2"/>
          <w:sz w:val="21"/>
        </w:rPr>
        <w:t>求</w:t>
      </w:r>
      <w:r>
        <w:rPr>
          <w:spacing w:val="-2"/>
          <w:sz w:val="21"/>
        </w:rPr>
        <w:t>解除本合同，请填写</w:t>
      </w:r>
      <w:r>
        <w:rPr>
          <w:spacing w:val="-2"/>
          <w:sz w:val="21"/>
        </w:rPr>
        <w:t>书</w:t>
      </w:r>
      <w:r>
        <w:rPr>
          <w:spacing w:val="-2"/>
          <w:sz w:val="21"/>
        </w:rPr>
        <w:t>面</w:t>
      </w:r>
      <w:r>
        <w:rPr>
          <w:spacing w:val="-2"/>
          <w:sz w:val="21"/>
        </w:rPr>
        <w:t>申请并向我们提供下</w:t>
      </w:r>
      <w:r>
        <w:rPr>
          <w:spacing w:val="-2"/>
          <w:sz w:val="21"/>
        </w:rPr>
        <w:t>列</w:t>
      </w:r>
      <w:r>
        <w:rPr>
          <w:spacing w:val="-2"/>
          <w:sz w:val="21"/>
        </w:rPr>
        <w:t>证</w:t>
      </w:r>
      <w:r>
        <w:rPr>
          <w:spacing w:val="-2"/>
          <w:sz w:val="21"/>
        </w:rPr>
        <w:t>明和资</w:t>
      </w:r>
      <w:r>
        <w:rPr>
          <w:spacing w:val="-2"/>
          <w:sz w:val="21"/>
        </w:rPr>
        <w:t>料</w:t>
      </w:r>
      <w:r>
        <w:rPr>
          <w:spacing w:val="-2"/>
          <w:sz w:val="21"/>
        </w:rPr>
        <w:t>：</w:t>
      </w:r>
    </w:p>
    <w:p>
      <w:pPr>
        <w:pStyle w:val="BodyText"/>
        <w:spacing w:line="266" w:lineRule="exact"/>
        <w:ind w:left="2990"/>
      </w:pPr>
      <w:r>
        <w:rPr>
          <w:spacing w:val="-4"/>
        </w:rPr>
        <w:t>一、保险合同；</w:t>
      </w:r>
    </w:p>
    <w:p>
      <w:pPr>
        <w:pStyle w:val="BodyText"/>
        <w:spacing w:line="297" w:lineRule="auto" w:before="64"/>
        <w:ind w:left="2990" w:right="5240"/>
      </w:pPr>
      <w:r>
        <w:rPr>
          <w:spacing w:val="-2"/>
        </w:rPr>
        <w:t>二、解除合同申请书；</w:t>
      </w:r>
      <w:r>
        <w:rPr>
          <w:spacing w:val="-2"/>
        </w:rPr>
        <w:t> </w:t>
      </w:r>
      <w:r>
        <w:rPr>
          <w:spacing w:val="-2"/>
        </w:rPr>
        <w:t>三、您的有效身份证件。</w:t>
      </w:r>
    </w:p>
    <w:p>
      <w:pPr>
        <w:pStyle w:val="BodyText"/>
        <w:spacing w:line="297" w:lineRule="auto" w:before="3"/>
        <w:ind w:left="2990" w:right="1058"/>
      </w:pPr>
      <w:r>
        <w:rPr>
          <w:spacing w:val="-2"/>
        </w:rPr>
        <w:t>自我们收到上述证明和资料之日起，本合同终止。我们在收到上述证明</w:t>
      </w:r>
      <w:r>
        <w:rPr>
          <w:spacing w:val="-2"/>
        </w:rPr>
        <w:t>和资料之日起三十日内退还本合同终止之日的现金价值。</w:t>
      </w:r>
    </w:p>
    <w:p>
      <w:pPr>
        <w:spacing w:before="0"/>
        <w:ind w:left="2990" w:right="0" w:firstLine="0"/>
        <w:jc w:val="left"/>
        <w:rPr>
          <w:b/>
          <w:sz w:val="21"/>
        </w:rPr>
      </w:pPr>
      <w:r>
        <w:rPr>
          <w:b/>
          <w:spacing w:val="-3"/>
          <w:sz w:val="21"/>
        </w:rPr>
        <w:t>您在犹豫期后解除合同会遭受一定损失。</w:t>
      </w:r>
    </w:p>
    <w:p>
      <w:pPr>
        <w:spacing w:after="0"/>
        <w:jc w:val="left"/>
        <w:rPr>
          <w:sz w:val="21"/>
        </w:rPr>
        <w:sectPr>
          <w:type w:val="continuous"/>
          <w:pgSz w:w="11910" w:h="16840"/>
          <w:pgMar w:header="0" w:footer="857" w:top="320" w:bottom="1040" w:left="1100" w:right="260"/>
        </w:sectPr>
      </w:pPr>
    </w:p>
    <w:p>
      <w:pPr>
        <w:pStyle w:val="ListParagraph"/>
        <w:numPr>
          <w:ilvl w:val="1"/>
          <w:numId w:val="9"/>
        </w:numPr>
        <w:tabs>
          <w:tab w:pos="1408" w:val="left" w:leader="none"/>
          <w:tab w:pos="1409" w:val="left" w:leader="none"/>
          <w:tab w:pos="2990" w:val="left" w:leader="none"/>
        </w:tabs>
        <w:spacing w:line="240" w:lineRule="auto" w:before="77" w:after="0"/>
        <w:ind w:left="1408" w:right="0" w:hanging="1184"/>
        <w:jc w:val="left"/>
        <w:rPr>
          <w:b/>
          <w:sz w:val="21"/>
        </w:rPr>
      </w:pPr>
      <w:r>
        <w:rPr/>
        <w:drawing>
          <wp:anchor distT="0" distB="0" distL="0" distR="0" allowOverlap="1" layoutInCell="1" locked="0" behindDoc="1" simplePos="0" relativeHeight="485829120">
            <wp:simplePos x="0" y="0"/>
            <wp:positionH relativeFrom="page">
              <wp:posOffset>772668</wp:posOffset>
            </wp:positionH>
            <wp:positionV relativeFrom="paragraph">
              <wp:posOffset>-284352</wp:posOffset>
            </wp:positionV>
            <wp:extent cx="6014973" cy="283718"/>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14973" cy="283718"/>
                    </a:xfrm>
                    <a:prstGeom prst="rect">
                      <a:avLst/>
                    </a:prstGeom>
                  </pic:spPr>
                </pic:pic>
              </a:graphicData>
            </a:graphic>
          </wp:anchor>
        </w:drawing>
      </w:r>
      <w:r>
        <w:rPr/>
        <w:pict>
          <v:shape style="position:absolute;margin-left:66.264pt;margin-top:-20.156845pt;width:15.25pt;height:17.75pt;mso-position-horizontal-relative:page;mso-position-vertical-relative:paragraph;z-index:-17486848" type="#_x0000_t202" id="docshape8" filled="false" stroked="false">
            <v:textbox inset="0,0,0,0">
              <w:txbxContent>
                <w:p>
                  <w:pPr>
                    <w:spacing w:line="354" w:lineRule="exact" w:before="0"/>
                    <w:ind w:left="0" w:right="0" w:firstLine="0"/>
                    <w:jc w:val="left"/>
                    <w:rPr>
                      <w:rFonts w:ascii="Wingdings" w:hAnsi="Wingdings"/>
                      <w:sz w:val="32"/>
                    </w:rPr>
                  </w:pPr>
                  <w:r>
                    <w:rPr>
                      <w:rFonts w:ascii="Wingdings" w:hAnsi="Wingdings"/>
                      <w:w w:val="99"/>
                      <w:sz w:val="32"/>
                    </w:rPr>
                    <w:t></w:t>
                  </w:r>
                </w:p>
              </w:txbxContent>
            </v:textbox>
            <w10:wrap type="none"/>
          </v:shape>
        </w:pict>
      </w:r>
      <w:r>
        <w:rPr/>
        <w:pict>
          <v:shape style="position:absolute;margin-left:125.419998pt;margin-top:-16.564991pt;width:106.5pt;height:10.6pt;mso-position-horizontal-relative:page;mso-position-vertical-relative:paragraph;z-index:-17486336" type="#_x0000_t202" id="docshape9" filled="false" stroked="false">
            <v:textbox inset="0,0,0,0">
              <w:txbxContent>
                <w:p>
                  <w:pPr>
                    <w:spacing w:line="211" w:lineRule="exact" w:before="0"/>
                    <w:ind w:left="0" w:right="0" w:firstLine="0"/>
                    <w:jc w:val="left"/>
                    <w:rPr>
                      <w:b/>
                      <w:sz w:val="21"/>
                    </w:rPr>
                  </w:pPr>
                  <w:r>
                    <w:rPr>
                      <w:b/>
                      <w:spacing w:val="-3"/>
                      <w:sz w:val="21"/>
                    </w:rPr>
                    <w:t>合同效力的中止及恢复</w:t>
                  </w:r>
                </w:p>
              </w:txbxContent>
            </v:textbox>
            <w10:wrap type="none"/>
          </v:shape>
        </w:pict>
      </w:r>
      <w:r>
        <w:rPr>
          <w:spacing w:val="-2"/>
          <w:sz w:val="21"/>
        </w:rPr>
        <w:t>效</w:t>
      </w:r>
      <w:r>
        <w:rPr>
          <w:spacing w:val="-2"/>
          <w:sz w:val="21"/>
        </w:rPr>
        <w:t>力</w:t>
      </w:r>
      <w:r>
        <w:rPr>
          <w:spacing w:val="-2"/>
          <w:sz w:val="21"/>
        </w:rPr>
        <w:t>中</w:t>
      </w:r>
      <w:r>
        <w:rPr>
          <w:spacing w:val="-10"/>
          <w:sz w:val="21"/>
        </w:rPr>
        <w:t>止</w:t>
      </w:r>
      <w:r>
        <w:rPr>
          <w:sz w:val="21"/>
        </w:rPr>
        <w:tab/>
      </w:r>
      <w:r>
        <w:rPr>
          <w:b/>
          <w:spacing w:val="-2"/>
          <w:sz w:val="21"/>
        </w:rPr>
        <w:t>本</w:t>
      </w:r>
      <w:r>
        <w:rPr>
          <w:b/>
          <w:spacing w:val="-2"/>
          <w:sz w:val="21"/>
        </w:rPr>
        <w:t>合</w:t>
      </w:r>
      <w:r>
        <w:rPr>
          <w:b/>
          <w:spacing w:val="-2"/>
          <w:sz w:val="21"/>
        </w:rPr>
        <w:t>同</w:t>
      </w:r>
      <w:r>
        <w:rPr>
          <w:b/>
          <w:spacing w:val="-2"/>
          <w:sz w:val="21"/>
        </w:rPr>
        <w:t>效</w:t>
      </w:r>
      <w:r>
        <w:rPr>
          <w:b/>
          <w:spacing w:val="-2"/>
          <w:sz w:val="21"/>
        </w:rPr>
        <w:t>力</w:t>
      </w:r>
      <w:r>
        <w:rPr>
          <w:b/>
          <w:spacing w:val="-2"/>
          <w:sz w:val="21"/>
        </w:rPr>
        <w:t>中</w:t>
      </w:r>
      <w:r>
        <w:rPr>
          <w:b/>
          <w:spacing w:val="-2"/>
          <w:sz w:val="21"/>
        </w:rPr>
        <w:t>止</w:t>
      </w:r>
      <w:r>
        <w:rPr>
          <w:b/>
          <w:spacing w:val="-2"/>
          <w:sz w:val="21"/>
        </w:rPr>
        <w:t>期</w:t>
      </w:r>
      <w:r>
        <w:rPr>
          <w:b/>
          <w:spacing w:val="-2"/>
          <w:sz w:val="21"/>
        </w:rPr>
        <w:t>间，对</w:t>
      </w:r>
      <w:r>
        <w:rPr>
          <w:b/>
          <w:spacing w:val="-2"/>
          <w:sz w:val="21"/>
        </w:rPr>
        <w:t>所</w:t>
      </w:r>
      <w:r>
        <w:rPr>
          <w:b/>
          <w:spacing w:val="-2"/>
          <w:sz w:val="21"/>
        </w:rPr>
        <w:t>发</w:t>
      </w:r>
      <w:r>
        <w:rPr>
          <w:b/>
          <w:spacing w:val="-2"/>
          <w:sz w:val="21"/>
        </w:rPr>
        <w:t>生</w:t>
      </w:r>
      <w:r>
        <w:rPr>
          <w:b/>
          <w:spacing w:val="-2"/>
          <w:sz w:val="21"/>
        </w:rPr>
        <w:t>的</w:t>
      </w:r>
      <w:r>
        <w:rPr>
          <w:b/>
          <w:spacing w:val="-2"/>
          <w:sz w:val="21"/>
        </w:rPr>
        <w:t>保</w:t>
      </w:r>
      <w:r>
        <w:rPr>
          <w:b/>
          <w:spacing w:val="-2"/>
          <w:sz w:val="21"/>
        </w:rPr>
        <w:t>险</w:t>
      </w:r>
      <w:r>
        <w:rPr>
          <w:b/>
          <w:spacing w:val="-2"/>
          <w:sz w:val="21"/>
        </w:rPr>
        <w:t>事</w:t>
      </w:r>
      <w:r>
        <w:rPr>
          <w:b/>
          <w:spacing w:val="-2"/>
          <w:sz w:val="21"/>
        </w:rPr>
        <w:t>故</w:t>
      </w:r>
      <w:r>
        <w:rPr>
          <w:b/>
          <w:spacing w:val="-2"/>
          <w:sz w:val="21"/>
        </w:rPr>
        <w:t>我们不</w:t>
      </w:r>
      <w:r>
        <w:rPr>
          <w:b/>
          <w:spacing w:val="-2"/>
          <w:sz w:val="21"/>
        </w:rPr>
        <w:t>承</w:t>
      </w:r>
      <w:r>
        <w:rPr>
          <w:b/>
          <w:spacing w:val="-2"/>
          <w:sz w:val="21"/>
        </w:rPr>
        <w:t>担</w:t>
      </w:r>
      <w:r>
        <w:rPr>
          <w:b/>
          <w:spacing w:val="-2"/>
          <w:sz w:val="21"/>
        </w:rPr>
        <w:t>保</w:t>
      </w:r>
      <w:r>
        <w:rPr>
          <w:b/>
          <w:spacing w:val="-2"/>
          <w:sz w:val="21"/>
        </w:rPr>
        <w:t>险</w:t>
      </w:r>
      <w:r>
        <w:rPr>
          <w:b/>
          <w:spacing w:val="-2"/>
          <w:sz w:val="21"/>
        </w:rPr>
        <w:t>责</w:t>
      </w:r>
      <w:r>
        <w:rPr>
          <w:b/>
          <w:spacing w:val="-2"/>
          <w:sz w:val="21"/>
        </w:rPr>
        <w:t>任</w:t>
      </w:r>
      <w:r>
        <w:rPr>
          <w:b/>
          <w:spacing w:val="-10"/>
          <w:sz w:val="21"/>
        </w:rPr>
        <w:t>。</w:t>
      </w:r>
    </w:p>
    <w:p>
      <w:pPr>
        <w:pStyle w:val="BodyText"/>
        <w:rPr>
          <w:b/>
          <w:sz w:val="20"/>
        </w:rPr>
      </w:pPr>
    </w:p>
    <w:p>
      <w:pPr>
        <w:pStyle w:val="BodyText"/>
        <w:spacing w:before="5"/>
        <w:rPr>
          <w:b/>
          <w:sz w:val="18"/>
        </w:rPr>
      </w:pPr>
    </w:p>
    <w:p>
      <w:pPr>
        <w:pStyle w:val="ListParagraph"/>
        <w:numPr>
          <w:ilvl w:val="1"/>
          <w:numId w:val="9"/>
        </w:numPr>
        <w:tabs>
          <w:tab w:pos="1408" w:val="left" w:leader="none"/>
          <w:tab w:pos="1409" w:val="left" w:leader="none"/>
          <w:tab w:pos="2990" w:val="left" w:leader="none"/>
        </w:tabs>
        <w:spacing w:line="307" w:lineRule="auto" w:before="0" w:after="0"/>
        <w:ind w:left="2990" w:right="1060" w:hanging="2766"/>
        <w:jc w:val="left"/>
        <w:rPr>
          <w:sz w:val="21"/>
        </w:rPr>
      </w:pPr>
      <w:r>
        <w:rPr>
          <w:spacing w:val="-4"/>
          <w:sz w:val="21"/>
        </w:rPr>
        <w:t>效</w:t>
      </w:r>
      <w:r>
        <w:rPr>
          <w:spacing w:val="-4"/>
          <w:sz w:val="21"/>
        </w:rPr>
        <w:t>力</w:t>
      </w:r>
      <w:r>
        <w:rPr>
          <w:spacing w:val="-4"/>
          <w:sz w:val="21"/>
        </w:rPr>
        <w:t>恢复</w:t>
      </w:r>
      <w:r>
        <w:rPr>
          <w:sz w:val="21"/>
        </w:rPr>
        <w:tab/>
      </w:r>
      <w:r>
        <w:rPr>
          <w:spacing w:val="-2"/>
          <w:sz w:val="21"/>
        </w:rPr>
        <w:t>自</w:t>
      </w:r>
      <w:r>
        <w:rPr>
          <w:spacing w:val="-2"/>
          <w:sz w:val="21"/>
        </w:rPr>
        <w:t>本</w:t>
      </w:r>
      <w:r>
        <w:rPr>
          <w:spacing w:val="-2"/>
          <w:sz w:val="21"/>
        </w:rPr>
        <w:t>合同效力中止之日起</w:t>
      </w:r>
      <w:r>
        <w:rPr>
          <w:spacing w:val="-2"/>
          <w:sz w:val="21"/>
        </w:rPr>
        <w:t>二</w:t>
      </w:r>
      <w:r>
        <w:rPr>
          <w:spacing w:val="-2"/>
          <w:sz w:val="21"/>
        </w:rPr>
        <w:t>年</w:t>
      </w:r>
      <w:r>
        <w:rPr>
          <w:spacing w:val="-2"/>
          <w:sz w:val="21"/>
        </w:rPr>
        <w:t>内，您可以书面申请</w:t>
      </w:r>
      <w:r>
        <w:rPr>
          <w:spacing w:val="-2"/>
          <w:sz w:val="21"/>
        </w:rPr>
        <w:t>恢</w:t>
      </w:r>
      <w:r>
        <w:rPr>
          <w:spacing w:val="-2"/>
          <w:sz w:val="21"/>
        </w:rPr>
        <w:t>复</w:t>
      </w:r>
      <w:r>
        <w:rPr>
          <w:spacing w:val="-2"/>
          <w:sz w:val="21"/>
        </w:rPr>
        <w:t>本合同效力。在</w:t>
      </w:r>
      <w:r>
        <w:rPr>
          <w:spacing w:val="-2"/>
          <w:sz w:val="21"/>
        </w:rPr>
        <w:t>我</w:t>
      </w:r>
      <w:r>
        <w:rPr>
          <w:spacing w:val="-2"/>
          <w:sz w:val="21"/>
        </w:rPr>
        <w:t>们</w:t>
      </w:r>
      <w:r>
        <w:rPr>
          <w:spacing w:val="-2"/>
          <w:sz w:val="21"/>
        </w:rPr>
        <w:t>与您协商并达成协议，</w:t>
      </w:r>
      <w:r>
        <w:rPr>
          <w:spacing w:val="-2"/>
          <w:sz w:val="21"/>
        </w:rPr>
        <w:t>您</w:t>
      </w:r>
      <w:r>
        <w:rPr>
          <w:spacing w:val="-2"/>
          <w:sz w:val="21"/>
        </w:rPr>
        <w:t>补交保险费之日起，</w:t>
      </w:r>
      <w:r>
        <w:rPr>
          <w:spacing w:val="-2"/>
          <w:sz w:val="21"/>
        </w:rPr>
        <w:t>合</w:t>
      </w:r>
      <w:r>
        <w:rPr>
          <w:spacing w:val="-2"/>
          <w:sz w:val="21"/>
        </w:rPr>
        <w:t>同</w:t>
      </w:r>
      <w:r>
        <w:rPr>
          <w:spacing w:val="-2"/>
          <w:sz w:val="21"/>
        </w:rPr>
        <w:t>效力恢</w:t>
      </w:r>
      <w:r>
        <w:rPr>
          <w:spacing w:val="-2"/>
          <w:sz w:val="21"/>
        </w:rPr>
        <w:t>复</w:t>
      </w:r>
      <w:r>
        <w:rPr>
          <w:spacing w:val="-2"/>
          <w:sz w:val="21"/>
        </w:rPr>
        <w:t>。</w:t>
      </w:r>
    </w:p>
    <w:p>
      <w:pPr>
        <w:spacing w:line="307" w:lineRule="auto" w:before="0"/>
        <w:ind w:left="2990" w:right="1015" w:firstLine="0"/>
        <w:jc w:val="left"/>
        <w:rPr>
          <w:sz w:val="21"/>
        </w:rPr>
      </w:pPr>
      <w:r>
        <w:rPr>
          <w:b/>
          <w:spacing w:val="-2"/>
          <w:sz w:val="21"/>
        </w:rPr>
        <w:t>如果自本合同效力中止之日起满二年双方未达成合同效力恢复协议的，</w:t>
      </w:r>
      <w:r>
        <w:rPr>
          <w:b/>
          <w:spacing w:val="-2"/>
          <w:sz w:val="21"/>
        </w:rPr>
        <w:t>我们可以解除本合同，并退还本合同的现金价值</w:t>
      </w:r>
      <w:r>
        <w:rPr>
          <w:spacing w:val="-2"/>
          <w:sz w:val="21"/>
        </w:rPr>
        <w:t>。</w:t>
      </w:r>
    </w:p>
    <w:p>
      <w:pPr>
        <w:pStyle w:val="BodyText"/>
        <w:spacing w:before="6"/>
        <w:rPr>
          <w:sz w:val="24"/>
        </w:rPr>
      </w:pPr>
      <w:r>
        <w:rPr/>
        <w:drawing>
          <wp:anchor distT="0" distB="0" distL="0" distR="0" allowOverlap="1" layoutInCell="1" locked="0" behindDoc="1" simplePos="0" relativeHeight="485827584">
            <wp:simplePos x="0" y="0"/>
            <wp:positionH relativeFrom="page">
              <wp:posOffset>772668</wp:posOffset>
            </wp:positionH>
            <wp:positionV relativeFrom="paragraph">
              <wp:posOffset>214542</wp:posOffset>
            </wp:positionV>
            <wp:extent cx="6014974" cy="283464"/>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7" cstate="print"/>
                    <a:stretch>
                      <a:fillRect/>
                    </a:stretch>
                  </pic:blipFill>
                  <pic:spPr>
                    <a:xfrm>
                      <a:off x="0" y="0"/>
                      <a:ext cx="6014974" cy="283464"/>
                    </a:xfrm>
                    <a:prstGeom prst="rect">
                      <a:avLst/>
                    </a:prstGeom>
                  </pic:spPr>
                </pic:pic>
              </a:graphicData>
            </a:graphic>
          </wp:anchor>
        </w:drawing>
      </w:r>
      <w:r>
        <w:rPr/>
        <w:pict>
          <v:shape style="position:absolute;margin-left:66.264pt;margin-top:19.106270pt;width:15.25pt;height:17.75pt;mso-position-horizontal-relative:page;mso-position-vertical-relative:paragraph;z-index:-17488384" type="#_x0000_t202" id="docshape10" filled="false" stroked="false">
            <v:textbox inset="0,0,0,0">
              <w:txbxContent>
                <w:p>
                  <w:pPr>
                    <w:spacing w:line="354" w:lineRule="exact" w:before="0"/>
                    <w:ind w:left="0" w:right="0" w:firstLine="0"/>
                    <w:jc w:val="left"/>
                    <w:rPr>
                      <w:rFonts w:ascii="Wingdings" w:hAnsi="Wingdings"/>
                      <w:sz w:val="32"/>
                    </w:rPr>
                  </w:pPr>
                  <w:r>
                    <w:rPr>
                      <w:rFonts w:ascii="Wingdings" w:hAnsi="Wingdings"/>
                      <w:w w:val="99"/>
                      <w:sz w:val="32"/>
                    </w:rPr>
                    <w:t></w:t>
                  </w:r>
                </w:p>
              </w:txbxContent>
            </v:textbox>
            <w10:wrap type="none"/>
          </v:shape>
        </w:pict>
      </w:r>
      <w:r>
        <w:rPr/>
        <w:pict>
          <v:shape style="position:absolute;margin-left:125.419998pt;margin-top:22.698126pt;width:96.05pt;height:10.6pt;mso-position-horizontal-relative:page;mso-position-vertical-relative:paragraph;z-index:-15725056;mso-wrap-distance-left:0;mso-wrap-distance-right:0" type="#_x0000_t202" id="docshape11" filled="false" stroked="false">
            <v:textbox inset="0,0,0,0">
              <w:txbxContent>
                <w:p>
                  <w:pPr>
                    <w:spacing w:line="211" w:lineRule="exact" w:before="0"/>
                    <w:ind w:left="0" w:right="0" w:firstLine="0"/>
                    <w:jc w:val="left"/>
                    <w:rPr>
                      <w:b/>
                      <w:sz w:val="21"/>
                    </w:rPr>
                  </w:pPr>
                  <w:r>
                    <w:rPr>
                      <w:b/>
                      <w:spacing w:val="-2"/>
                      <w:sz w:val="21"/>
                    </w:rPr>
                    <w:t>如何申请领取保险金</w:t>
                  </w:r>
                </w:p>
              </w:txbxContent>
            </v:textbox>
            <w10:wrap type="topAndBottom"/>
          </v:shape>
        </w:pict>
      </w:r>
    </w:p>
    <w:p>
      <w:pPr>
        <w:pStyle w:val="BodyText"/>
        <w:spacing w:before="5"/>
        <w:rPr>
          <w:sz w:val="5"/>
        </w:rPr>
      </w:pPr>
    </w:p>
    <w:p>
      <w:pPr>
        <w:spacing w:after="0"/>
        <w:rPr>
          <w:sz w:val="5"/>
        </w:rPr>
        <w:sectPr>
          <w:pgSz w:w="11910" w:h="16840"/>
          <w:pgMar w:header="0" w:footer="857" w:top="1400" w:bottom="1180" w:left="1100" w:right="260"/>
        </w:sectPr>
      </w:pPr>
    </w:p>
    <w:p>
      <w:pPr>
        <w:pStyle w:val="ListParagraph"/>
        <w:numPr>
          <w:ilvl w:val="1"/>
          <w:numId w:val="10"/>
        </w:numPr>
        <w:tabs>
          <w:tab w:pos="1408" w:val="left" w:leader="none"/>
          <w:tab w:pos="1409" w:val="left" w:leader="none"/>
        </w:tabs>
        <w:spacing w:line="297" w:lineRule="auto" w:before="9" w:after="0"/>
        <w:ind w:left="1408" w:right="0" w:hanging="1184"/>
        <w:jc w:val="left"/>
        <w:rPr>
          <w:sz w:val="21"/>
        </w:rPr>
      </w:pPr>
      <w:r>
        <w:rPr>
          <w:spacing w:val="14"/>
          <w:sz w:val="21"/>
        </w:rPr>
        <w:t>受益人指定与</w:t>
      </w:r>
      <w:r>
        <w:rPr>
          <w:spacing w:val="-6"/>
          <w:sz w:val="21"/>
        </w:rPr>
        <w:t>变更</w:t>
      </w:r>
    </w:p>
    <w:p>
      <w:pPr>
        <w:pStyle w:val="BodyText"/>
        <w:spacing w:line="307" w:lineRule="auto" w:before="12"/>
        <w:ind w:left="175" w:right="1058"/>
        <w:jc w:val="both"/>
      </w:pPr>
      <w:r>
        <w:rPr/>
        <w:br w:type="column"/>
      </w:r>
      <w:r>
        <w:rPr>
          <w:spacing w:val="-2"/>
        </w:rPr>
        <w:t>您或被保险人可以指定或变更受益人，但您指定或变更受益人须征得被</w:t>
      </w:r>
      <w:r>
        <w:rPr>
          <w:spacing w:val="-2"/>
        </w:rPr>
        <w:t>保险人同意。您为与您有劳动关系的劳动者投保人身保险，不得指定被</w:t>
      </w:r>
      <w:r>
        <w:rPr>
          <w:spacing w:val="-2"/>
        </w:rPr>
        <w:t>保险人及其近亲属以外的人为受益人。如果受益人为数人时，您或被保</w:t>
      </w:r>
      <w:r>
        <w:rPr>
          <w:spacing w:val="-2"/>
        </w:rPr>
        <w:t>险人应当确定受益顺序和受益份额；如果没有确定受益份额，各受益人</w:t>
      </w:r>
      <w:r>
        <w:rPr>
          <w:spacing w:val="-2"/>
        </w:rPr>
        <w:t>按照相等份额享有受益权。</w:t>
      </w:r>
    </w:p>
    <w:p>
      <w:pPr>
        <w:pStyle w:val="BodyText"/>
        <w:spacing w:line="307" w:lineRule="auto"/>
        <w:ind w:left="175" w:right="1058"/>
      </w:pPr>
      <w:r>
        <w:rPr>
          <w:spacing w:val="-2"/>
        </w:rPr>
        <w:t>您或被保险人变更受益人必须书面通知我们，由我们在保险单或者其他</w:t>
      </w:r>
      <w:r>
        <w:rPr>
          <w:spacing w:val="-2"/>
        </w:rPr>
        <w:t>保险凭证上批注或者附贴批单。</w:t>
      </w:r>
    </w:p>
    <w:p>
      <w:pPr>
        <w:pStyle w:val="BodyText"/>
        <w:spacing w:line="307" w:lineRule="auto"/>
        <w:ind w:left="175" w:right="1058"/>
      </w:pPr>
      <w:r>
        <w:rPr>
          <w:spacing w:val="-2"/>
        </w:rPr>
        <w:t>除另有约定外，重度疾病保险金、中度疾病保险金、轻度疾病保险金的</w:t>
      </w:r>
      <w:r>
        <w:rPr>
          <w:spacing w:val="-2"/>
        </w:rPr>
        <w:t>受益人为被保险人本人，豁免保险费的受益人为投保人。</w:t>
      </w:r>
    </w:p>
    <w:p>
      <w:pPr>
        <w:pStyle w:val="BodyText"/>
        <w:spacing w:line="307" w:lineRule="auto"/>
        <w:ind w:left="175" w:right="952"/>
      </w:pPr>
      <w:r>
        <w:rPr>
          <w:spacing w:val="-12"/>
        </w:rPr>
        <w:t>如果被保险人身故后，有下列情形之一的，保险金作为被保险人的遗产，</w:t>
      </w:r>
      <w:r>
        <w:rPr>
          <w:spacing w:val="-2"/>
        </w:rPr>
        <w:t>由我们依照《中华人民共和国继承法》的规定履行给付保险金的义务：</w:t>
      </w:r>
      <w:r>
        <w:rPr/>
        <w:t>一、 没有指定受益人，或者受益人指定不明无法确定的；</w:t>
      </w:r>
    </w:p>
    <w:p>
      <w:pPr>
        <w:pStyle w:val="BodyText"/>
        <w:spacing w:line="265" w:lineRule="exact"/>
        <w:ind w:left="175"/>
      </w:pPr>
      <w:r>
        <w:rPr>
          <w:spacing w:val="-3"/>
        </w:rPr>
        <w:t>二、 受益人先于被保险人身故，没有其他受益人的；</w:t>
      </w:r>
    </w:p>
    <w:p>
      <w:pPr>
        <w:pStyle w:val="BodyText"/>
        <w:spacing w:line="307" w:lineRule="auto" w:before="63"/>
        <w:ind w:left="175" w:right="1058"/>
      </w:pPr>
      <w:r>
        <w:rPr/>
        <w:t>三、 受益人依法丧失受益权或者放弃受益权，没有其他受益人的。</w:t>
      </w:r>
      <w:r>
        <w:rPr>
          <w:spacing w:val="40"/>
        </w:rPr>
        <w:t> </w:t>
      </w:r>
      <w:r>
        <w:rPr>
          <w:spacing w:val="-2"/>
        </w:rPr>
        <w:t>被保险人身故且受益人依法丧失受益权或者放弃受益权，有其他受益人</w:t>
      </w:r>
      <w:r>
        <w:rPr>
          <w:spacing w:val="-2"/>
        </w:rPr>
        <w:t>时，其依法丧失或放弃的受益份额由我们按照本合同确定的受益顺序和</w:t>
      </w:r>
      <w:r>
        <w:rPr>
          <w:spacing w:val="-2"/>
        </w:rPr>
        <w:t>受益比例之比给付其他受益人。</w:t>
      </w:r>
    </w:p>
    <w:p>
      <w:pPr>
        <w:pStyle w:val="BodyText"/>
        <w:spacing w:line="307" w:lineRule="auto"/>
        <w:ind w:left="175" w:right="1064"/>
      </w:pPr>
      <w:r>
        <w:rPr>
          <w:spacing w:val="3"/>
          <w:w w:val="100"/>
        </w:rPr>
        <w:t>如果受益人与被保险人在同一事件中身故，且不能确定身故先后顺序</w:t>
      </w:r>
      <w:r>
        <w:rPr>
          <w:spacing w:val="-3"/>
          <w:w w:val="100"/>
        </w:rPr>
        <w:t>的，则推定受益人身故在先。</w:t>
      </w:r>
    </w:p>
    <w:p>
      <w:pPr>
        <w:spacing w:after="0" w:line="307" w:lineRule="auto"/>
        <w:sectPr>
          <w:type w:val="continuous"/>
          <w:pgSz w:w="11910" w:h="16840"/>
          <w:pgMar w:header="0" w:footer="857" w:top="320" w:bottom="1040" w:left="1100" w:right="260"/>
          <w:cols w:num="2" w:equalWidth="0">
            <w:col w:w="2776" w:space="40"/>
            <w:col w:w="7734"/>
          </w:cols>
        </w:sectPr>
      </w:pPr>
    </w:p>
    <w:p>
      <w:pPr>
        <w:pStyle w:val="BodyText"/>
        <w:spacing w:before="11"/>
        <w:rPr>
          <w:sz w:val="26"/>
        </w:rPr>
      </w:pPr>
    </w:p>
    <w:p>
      <w:pPr>
        <w:pStyle w:val="ListParagraph"/>
        <w:numPr>
          <w:ilvl w:val="1"/>
          <w:numId w:val="10"/>
        </w:numPr>
        <w:tabs>
          <w:tab w:pos="1409" w:val="left" w:leader="none"/>
        </w:tabs>
        <w:spacing w:line="307" w:lineRule="auto" w:before="74" w:after="0"/>
        <w:ind w:left="2990" w:right="1058" w:hanging="2766"/>
        <w:jc w:val="both"/>
        <w:rPr>
          <w:b/>
          <w:sz w:val="21"/>
        </w:rPr>
      </w:pPr>
      <w:r>
        <w:rPr>
          <w:sz w:val="21"/>
        </w:rPr>
        <w:t>保险事故通知  您、被保险人或者受益人应在知道保险事故发生之日起十日内通知我</w:t>
      </w:r>
      <w:r>
        <w:rPr>
          <w:spacing w:val="-4"/>
          <w:sz w:val="21"/>
        </w:rPr>
        <w:t>们，但因</w:t>
      </w:r>
      <w:r>
        <w:rPr>
          <w:color w:val="000000"/>
          <w:spacing w:val="-4"/>
          <w:sz w:val="21"/>
          <w:shd w:fill="BEBEBE" w:color="auto" w:val="clear"/>
        </w:rPr>
        <w:t>不可抗力</w:t>
      </w:r>
      <w:r>
        <w:rPr>
          <w:color w:val="000000"/>
          <w:spacing w:val="-4"/>
          <w:sz w:val="21"/>
        </w:rPr>
        <w:t>（</w:t>
      </w:r>
      <w:r>
        <w:rPr>
          <w:color w:val="000000"/>
          <w:spacing w:val="-14"/>
          <w:sz w:val="21"/>
        </w:rPr>
        <w:t>见 </w:t>
      </w:r>
      <w:r>
        <w:rPr>
          <w:color w:val="000000"/>
          <w:spacing w:val="-4"/>
          <w:sz w:val="21"/>
        </w:rPr>
        <w:t>8.20）导致的迟延除外。</w:t>
      </w:r>
      <w:r>
        <w:rPr>
          <w:b/>
          <w:color w:val="000000"/>
          <w:spacing w:val="-4"/>
          <w:sz w:val="21"/>
        </w:rPr>
        <w:t>故意或者因重大过失未</w:t>
      </w:r>
      <w:r>
        <w:rPr>
          <w:b/>
          <w:color w:val="000000"/>
          <w:spacing w:val="-2"/>
          <w:sz w:val="21"/>
        </w:rPr>
        <w:t>及时通知，致使保险事故的性质、原因、损失程度等难以确定的，我们</w:t>
      </w:r>
      <w:r>
        <w:rPr>
          <w:b/>
          <w:color w:val="000000"/>
          <w:spacing w:val="-2"/>
          <w:sz w:val="21"/>
        </w:rPr>
        <w:t>对无法确定的部分，不承担给付保险金的责任，但我们通过其他途径已</w:t>
      </w:r>
      <w:r>
        <w:rPr>
          <w:b/>
          <w:color w:val="000000"/>
          <w:spacing w:val="-2"/>
          <w:sz w:val="21"/>
        </w:rPr>
        <w:t>经及时知道或者应当及时知道保险事故发生的除外。</w:t>
      </w:r>
    </w:p>
    <w:p>
      <w:pPr>
        <w:pStyle w:val="BodyText"/>
        <w:spacing w:before="12"/>
        <w:rPr>
          <w:b/>
          <w:sz w:val="26"/>
        </w:rPr>
      </w:pPr>
    </w:p>
    <w:p>
      <w:pPr>
        <w:spacing w:after="0"/>
        <w:rPr>
          <w:sz w:val="26"/>
        </w:rPr>
        <w:sectPr>
          <w:type w:val="continuous"/>
          <w:pgSz w:w="11910" w:h="16840"/>
          <w:pgMar w:header="0" w:footer="857" w:top="320" w:bottom="1040" w:left="1100" w:right="260"/>
        </w:sectPr>
      </w:pPr>
    </w:p>
    <w:p>
      <w:pPr>
        <w:pStyle w:val="ListParagraph"/>
        <w:numPr>
          <w:ilvl w:val="1"/>
          <w:numId w:val="10"/>
        </w:numPr>
        <w:tabs>
          <w:tab w:pos="1408" w:val="left" w:leader="none"/>
          <w:tab w:pos="1409" w:val="left" w:leader="none"/>
        </w:tabs>
        <w:spacing w:line="297" w:lineRule="auto" w:before="72" w:after="0"/>
        <w:ind w:left="1408" w:right="0" w:hanging="1184"/>
        <w:jc w:val="left"/>
        <w:rPr>
          <w:sz w:val="21"/>
        </w:rPr>
      </w:pPr>
      <w:r>
        <w:rPr>
          <w:spacing w:val="14"/>
          <w:sz w:val="21"/>
        </w:rPr>
        <w:t>保险金申请时</w:t>
      </w:r>
      <w:r>
        <w:rPr>
          <w:spacing w:val="-10"/>
          <w:sz w:val="21"/>
        </w:rPr>
        <w:t>效</w:t>
      </w:r>
    </w:p>
    <w:p>
      <w:pPr>
        <w:pStyle w:val="BodyText"/>
        <w:spacing w:line="297" w:lineRule="auto" w:before="72"/>
        <w:ind w:left="175" w:right="1058"/>
        <w:jc w:val="both"/>
      </w:pPr>
      <w:r>
        <w:rPr/>
        <w:br w:type="column"/>
      </w:r>
      <w:r>
        <w:rPr>
          <w:spacing w:val="3"/>
          <w:w w:val="100"/>
        </w:rPr>
        <w:t>受益人及其他有权领取保险金的人向我们申请给付保险金或申请豁免</w:t>
      </w:r>
      <w:r>
        <w:rPr>
          <w:spacing w:val="-5"/>
          <w:w w:val="100"/>
        </w:rPr>
        <w:t>保险费的诉讼时效期间为两年，自其知道或应当知道保险事故发生之日</w:t>
      </w:r>
      <w:r>
        <w:rPr>
          <w:spacing w:val="-4"/>
          <w:w w:val="100"/>
        </w:rPr>
        <w:t>起计算。</w:t>
      </w:r>
    </w:p>
    <w:p>
      <w:pPr>
        <w:spacing w:after="0" w:line="297" w:lineRule="auto"/>
        <w:jc w:val="both"/>
        <w:sectPr>
          <w:type w:val="continuous"/>
          <w:pgSz w:w="11910" w:h="16840"/>
          <w:pgMar w:header="0" w:footer="857" w:top="320" w:bottom="1040" w:left="1100" w:right="260"/>
          <w:cols w:num="2" w:equalWidth="0">
            <w:col w:w="2776" w:space="40"/>
            <w:col w:w="7734"/>
          </w:cols>
        </w:sectPr>
      </w:pPr>
    </w:p>
    <w:p>
      <w:pPr>
        <w:pStyle w:val="ListParagraph"/>
        <w:numPr>
          <w:ilvl w:val="1"/>
          <w:numId w:val="10"/>
        </w:numPr>
        <w:tabs>
          <w:tab w:pos="1408" w:val="left" w:leader="none"/>
          <w:tab w:pos="1409" w:val="left" w:leader="none"/>
          <w:tab w:pos="2990" w:val="left" w:leader="none"/>
        </w:tabs>
        <w:spacing w:line="240" w:lineRule="auto" w:before="63" w:after="0"/>
        <w:ind w:left="1408" w:right="0" w:hanging="1184"/>
        <w:jc w:val="left"/>
        <w:rPr>
          <w:sz w:val="21"/>
        </w:rPr>
      </w:pPr>
      <w:r>
        <w:rPr>
          <w:spacing w:val="-2"/>
          <w:sz w:val="21"/>
        </w:rPr>
        <w:t>保</w:t>
      </w:r>
      <w:r>
        <w:rPr>
          <w:spacing w:val="-2"/>
          <w:sz w:val="21"/>
        </w:rPr>
        <w:t>险</w:t>
      </w:r>
      <w:r>
        <w:rPr>
          <w:spacing w:val="-2"/>
          <w:sz w:val="21"/>
        </w:rPr>
        <w:t>金</w:t>
      </w:r>
      <w:r>
        <w:rPr>
          <w:spacing w:val="-2"/>
          <w:sz w:val="21"/>
        </w:rPr>
        <w:t>申</w:t>
      </w:r>
      <w:r>
        <w:rPr>
          <w:spacing w:val="-10"/>
          <w:sz w:val="21"/>
        </w:rPr>
        <w:t>请</w:t>
      </w:r>
      <w:r>
        <w:rPr>
          <w:sz w:val="21"/>
        </w:rPr>
        <w:tab/>
      </w:r>
      <w:r>
        <w:rPr>
          <w:spacing w:val="-2"/>
          <w:sz w:val="21"/>
        </w:rPr>
        <w:t>在</w:t>
      </w:r>
      <w:r>
        <w:rPr>
          <w:spacing w:val="-2"/>
          <w:sz w:val="21"/>
        </w:rPr>
        <w:t>申</w:t>
      </w:r>
      <w:r>
        <w:rPr>
          <w:spacing w:val="-2"/>
          <w:sz w:val="21"/>
        </w:rPr>
        <w:t>请各项保险金或申请</w:t>
      </w:r>
      <w:r>
        <w:rPr>
          <w:spacing w:val="-2"/>
          <w:sz w:val="21"/>
        </w:rPr>
        <w:t>豁</w:t>
      </w:r>
      <w:r>
        <w:rPr>
          <w:spacing w:val="-2"/>
          <w:sz w:val="21"/>
        </w:rPr>
        <w:t>免</w:t>
      </w:r>
      <w:r>
        <w:rPr>
          <w:spacing w:val="-2"/>
          <w:sz w:val="21"/>
        </w:rPr>
        <w:t>保险费时，请按照下</w:t>
      </w:r>
      <w:r>
        <w:rPr>
          <w:spacing w:val="-2"/>
          <w:sz w:val="21"/>
        </w:rPr>
        <w:t>列</w:t>
      </w:r>
      <w:r>
        <w:rPr>
          <w:spacing w:val="-2"/>
          <w:sz w:val="21"/>
        </w:rPr>
        <w:t>方</w:t>
      </w:r>
      <w:r>
        <w:rPr>
          <w:spacing w:val="-2"/>
          <w:sz w:val="21"/>
        </w:rPr>
        <w:t>式办理</w:t>
      </w:r>
      <w:r>
        <w:rPr>
          <w:spacing w:val="-10"/>
          <w:sz w:val="21"/>
        </w:rPr>
        <w:t>：</w:t>
      </w:r>
    </w:p>
    <w:p>
      <w:pPr>
        <w:pStyle w:val="BodyText"/>
        <w:spacing w:line="297" w:lineRule="auto" w:before="72"/>
        <w:ind w:left="2990" w:right="1058"/>
      </w:pPr>
      <w:r>
        <w:rPr>
          <w:spacing w:val="-2"/>
        </w:rPr>
        <w:t>一、受益人申请领取重度疾病保险金、中度疾病保险金、轻度疾病保险</w:t>
      </w:r>
      <w:r>
        <w:rPr>
          <w:spacing w:val="-2"/>
        </w:rPr>
        <w:t>金或您申请豁免保险费时，应提供下列证明和资料：</w:t>
      </w:r>
    </w:p>
    <w:p>
      <w:pPr>
        <w:pStyle w:val="ListParagraph"/>
        <w:numPr>
          <w:ilvl w:val="2"/>
          <w:numId w:val="10"/>
        </w:numPr>
        <w:tabs>
          <w:tab w:pos="3411" w:val="left" w:leader="none"/>
        </w:tabs>
        <w:spacing w:line="240" w:lineRule="auto" w:before="0" w:after="0"/>
        <w:ind w:left="3410" w:right="0" w:hanging="421"/>
        <w:jc w:val="left"/>
        <w:rPr>
          <w:sz w:val="21"/>
        </w:rPr>
      </w:pPr>
      <w:r>
        <w:rPr>
          <w:spacing w:val="-4"/>
          <w:sz w:val="21"/>
        </w:rPr>
        <w:t>给付申请书；</w:t>
      </w:r>
    </w:p>
    <w:p>
      <w:pPr>
        <w:pStyle w:val="ListParagraph"/>
        <w:numPr>
          <w:ilvl w:val="2"/>
          <w:numId w:val="10"/>
        </w:numPr>
        <w:tabs>
          <w:tab w:pos="3411" w:val="left" w:leader="none"/>
        </w:tabs>
        <w:spacing w:line="240" w:lineRule="auto" w:before="64" w:after="0"/>
        <w:ind w:left="3410" w:right="0" w:hanging="421"/>
        <w:jc w:val="left"/>
        <w:rPr>
          <w:sz w:val="21"/>
        </w:rPr>
      </w:pPr>
      <w:r>
        <w:rPr>
          <w:spacing w:val="-3"/>
          <w:sz w:val="21"/>
        </w:rPr>
        <w:t>保险合同或其他保险凭证；</w:t>
      </w:r>
    </w:p>
    <w:p>
      <w:pPr>
        <w:pStyle w:val="ListParagraph"/>
        <w:numPr>
          <w:ilvl w:val="2"/>
          <w:numId w:val="10"/>
        </w:numPr>
        <w:tabs>
          <w:tab w:pos="3411" w:val="left" w:leader="none"/>
        </w:tabs>
        <w:spacing w:line="240" w:lineRule="auto" w:before="65" w:after="0"/>
        <w:ind w:left="3410" w:right="0" w:hanging="421"/>
        <w:jc w:val="left"/>
        <w:rPr>
          <w:sz w:val="21"/>
        </w:rPr>
      </w:pPr>
      <w:r>
        <w:rPr>
          <w:spacing w:val="-2"/>
          <w:sz w:val="21"/>
        </w:rPr>
        <w:t>受益人有效身份证件、银行存折（卡</w:t>
      </w:r>
      <w:r>
        <w:rPr>
          <w:spacing w:val="-111"/>
          <w:sz w:val="21"/>
        </w:rPr>
        <w:t>）</w:t>
      </w:r>
      <w:r>
        <w:rPr>
          <w:spacing w:val="-5"/>
          <w:sz w:val="21"/>
        </w:rPr>
        <w:t>；</w:t>
      </w:r>
    </w:p>
    <w:p>
      <w:pPr>
        <w:pStyle w:val="ListParagraph"/>
        <w:numPr>
          <w:ilvl w:val="2"/>
          <w:numId w:val="10"/>
        </w:numPr>
        <w:tabs>
          <w:tab w:pos="3411" w:val="left" w:leader="none"/>
        </w:tabs>
        <w:spacing w:line="297" w:lineRule="auto" w:before="67" w:after="0"/>
        <w:ind w:left="2990" w:right="1058" w:firstLine="0"/>
        <w:jc w:val="both"/>
        <w:rPr>
          <w:sz w:val="21"/>
        </w:rPr>
      </w:pPr>
      <w:r>
        <w:rPr>
          <w:spacing w:val="-4"/>
          <w:w w:val="100"/>
          <w:sz w:val="21"/>
        </w:rPr>
        <w:t>我们认可的医院出具的疾病诊断证明书、病历记录和确诊疾病必要</w:t>
      </w:r>
      <w:r>
        <w:rPr>
          <w:spacing w:val="-6"/>
          <w:w w:val="100"/>
          <w:sz w:val="21"/>
        </w:rPr>
        <w:t>的病理检验、血液检验、影像学检查及其他科学方法的检查报告</w:t>
      </w:r>
      <w:r>
        <w:rPr>
          <w:spacing w:val="-3"/>
          <w:w w:val="100"/>
          <w:sz w:val="21"/>
        </w:rPr>
        <w:t>（</w:t>
      </w:r>
      <w:r>
        <w:rPr>
          <w:w w:val="100"/>
          <w:sz w:val="21"/>
        </w:rPr>
        <w:t>若被</w:t>
      </w:r>
      <w:r>
        <w:rPr>
          <w:spacing w:val="-4"/>
          <w:w w:val="100"/>
          <w:sz w:val="21"/>
        </w:rPr>
        <w:t>保险人接受了外科手术，还需提供外科手术证明</w:t>
      </w:r>
      <w:r>
        <w:rPr>
          <w:spacing w:val="-8"/>
          <w:w w:val="100"/>
          <w:sz w:val="21"/>
        </w:rPr>
        <w:t>）</w:t>
      </w:r>
      <w:r>
        <w:rPr>
          <w:spacing w:val="-4"/>
          <w:w w:val="100"/>
          <w:sz w:val="21"/>
        </w:rPr>
        <w:t>。如有必要，我们有</w:t>
      </w:r>
      <w:r>
        <w:rPr>
          <w:spacing w:val="3"/>
          <w:w w:val="100"/>
          <w:sz w:val="21"/>
        </w:rPr>
        <w:t>权对被保险人进行体检，我们保留就疾病诊断咨询其他医疗专家的权利；</w:t>
      </w:r>
    </w:p>
    <w:p>
      <w:pPr>
        <w:pStyle w:val="ListParagraph"/>
        <w:numPr>
          <w:ilvl w:val="2"/>
          <w:numId w:val="10"/>
        </w:numPr>
        <w:tabs>
          <w:tab w:pos="3411" w:val="left" w:leader="none"/>
        </w:tabs>
        <w:spacing w:line="297" w:lineRule="auto" w:before="2" w:after="0"/>
        <w:ind w:left="2990" w:right="1248" w:firstLine="0"/>
        <w:jc w:val="left"/>
        <w:rPr>
          <w:sz w:val="21"/>
        </w:rPr>
      </w:pPr>
      <w:r>
        <w:rPr>
          <w:spacing w:val="-2"/>
          <w:sz w:val="21"/>
        </w:rPr>
        <w:t>与确认保险事故的时间、性质、原因等相关的其他证明和资料。</w:t>
      </w:r>
      <w:r>
        <w:rPr>
          <w:sz w:val="21"/>
        </w:rPr>
        <w:t>二、受益人申请领取身故保险金时, 应当提供下列证明和资料：</w:t>
      </w:r>
    </w:p>
    <w:p>
      <w:pPr>
        <w:pStyle w:val="ListParagraph"/>
        <w:numPr>
          <w:ilvl w:val="0"/>
          <w:numId w:val="11"/>
        </w:numPr>
        <w:tabs>
          <w:tab w:pos="3411" w:val="left" w:leader="none"/>
        </w:tabs>
        <w:spacing w:line="240" w:lineRule="auto" w:before="0" w:after="0"/>
        <w:ind w:left="3410" w:right="0" w:hanging="421"/>
        <w:jc w:val="left"/>
        <w:rPr>
          <w:sz w:val="21"/>
        </w:rPr>
      </w:pPr>
      <w:r>
        <w:rPr>
          <w:spacing w:val="-4"/>
          <w:sz w:val="21"/>
        </w:rPr>
        <w:t>给付申请书；</w:t>
      </w:r>
    </w:p>
    <w:p>
      <w:pPr>
        <w:pStyle w:val="ListParagraph"/>
        <w:numPr>
          <w:ilvl w:val="0"/>
          <w:numId w:val="11"/>
        </w:numPr>
        <w:tabs>
          <w:tab w:pos="3411" w:val="left" w:leader="none"/>
        </w:tabs>
        <w:spacing w:line="240" w:lineRule="auto" w:before="65" w:after="0"/>
        <w:ind w:left="3410" w:right="0" w:hanging="421"/>
        <w:jc w:val="left"/>
        <w:rPr>
          <w:sz w:val="21"/>
        </w:rPr>
      </w:pPr>
      <w:r>
        <w:rPr>
          <w:spacing w:val="-3"/>
          <w:sz w:val="21"/>
        </w:rPr>
        <w:t>保险合同或其他保险凭证；</w:t>
      </w:r>
    </w:p>
    <w:p>
      <w:pPr>
        <w:pStyle w:val="ListParagraph"/>
        <w:numPr>
          <w:ilvl w:val="0"/>
          <w:numId w:val="11"/>
        </w:numPr>
        <w:tabs>
          <w:tab w:pos="3411" w:val="left" w:leader="none"/>
        </w:tabs>
        <w:spacing w:line="240" w:lineRule="auto" w:before="64" w:after="0"/>
        <w:ind w:left="3410" w:right="0" w:hanging="421"/>
        <w:jc w:val="left"/>
        <w:rPr>
          <w:sz w:val="21"/>
        </w:rPr>
      </w:pPr>
      <w:r>
        <w:rPr>
          <w:spacing w:val="-2"/>
          <w:sz w:val="21"/>
        </w:rPr>
        <w:t>受益人有效身份证件、关系证明、银行存折（卡</w:t>
      </w:r>
      <w:r>
        <w:rPr>
          <w:spacing w:val="-113"/>
          <w:sz w:val="21"/>
        </w:rPr>
        <w:t>）</w:t>
      </w:r>
      <w:r>
        <w:rPr>
          <w:spacing w:val="-5"/>
          <w:sz w:val="21"/>
        </w:rPr>
        <w:t>；</w:t>
      </w:r>
    </w:p>
    <w:p>
      <w:pPr>
        <w:pStyle w:val="ListParagraph"/>
        <w:numPr>
          <w:ilvl w:val="0"/>
          <w:numId w:val="11"/>
        </w:numPr>
        <w:tabs>
          <w:tab w:pos="3411" w:val="left" w:leader="none"/>
        </w:tabs>
        <w:spacing w:line="297" w:lineRule="auto" w:before="67" w:after="0"/>
        <w:ind w:left="2990" w:right="1058" w:firstLine="0"/>
        <w:jc w:val="left"/>
        <w:rPr>
          <w:sz w:val="21"/>
        </w:rPr>
      </w:pPr>
      <w:r>
        <w:rPr>
          <w:spacing w:val="-2"/>
          <w:sz w:val="21"/>
        </w:rPr>
        <w:t>公安部门、国务院卫生行政部门认定的医疗机构或我们认可的其他</w:t>
      </w:r>
      <w:r>
        <w:rPr>
          <w:spacing w:val="-2"/>
          <w:sz w:val="21"/>
        </w:rPr>
        <w:t>机构出具的被保险人身故证明；</w:t>
      </w:r>
    </w:p>
    <w:p>
      <w:pPr>
        <w:pStyle w:val="ListParagraph"/>
        <w:numPr>
          <w:ilvl w:val="0"/>
          <w:numId w:val="11"/>
        </w:numPr>
        <w:tabs>
          <w:tab w:pos="3411" w:val="left" w:leader="none"/>
        </w:tabs>
        <w:spacing w:line="297" w:lineRule="auto" w:before="0" w:after="0"/>
        <w:ind w:left="2990" w:right="1058" w:firstLine="0"/>
        <w:jc w:val="left"/>
        <w:rPr>
          <w:sz w:val="21"/>
        </w:rPr>
      </w:pPr>
      <w:r>
        <w:rPr>
          <w:spacing w:val="-2"/>
          <w:sz w:val="21"/>
        </w:rPr>
        <w:t>如果被保险人为宣告死亡，受益人须提供人民法院出具的宣告死亡</w:t>
      </w:r>
      <w:r>
        <w:rPr>
          <w:spacing w:val="-4"/>
          <w:sz w:val="21"/>
        </w:rPr>
        <w:t>判决书；</w:t>
      </w:r>
    </w:p>
    <w:p>
      <w:pPr>
        <w:pStyle w:val="ListParagraph"/>
        <w:numPr>
          <w:ilvl w:val="0"/>
          <w:numId w:val="11"/>
        </w:numPr>
        <w:tabs>
          <w:tab w:pos="3411" w:val="left" w:leader="none"/>
        </w:tabs>
        <w:spacing w:line="240" w:lineRule="auto" w:before="3" w:after="0"/>
        <w:ind w:left="3410" w:right="0" w:hanging="421"/>
        <w:jc w:val="left"/>
        <w:rPr>
          <w:sz w:val="21"/>
        </w:rPr>
      </w:pPr>
      <w:r>
        <w:rPr>
          <w:spacing w:val="-3"/>
          <w:sz w:val="21"/>
        </w:rPr>
        <w:t>被保险人户籍注销证明；</w:t>
      </w:r>
    </w:p>
    <w:p>
      <w:pPr>
        <w:pStyle w:val="ListParagraph"/>
        <w:numPr>
          <w:ilvl w:val="0"/>
          <w:numId w:val="11"/>
        </w:numPr>
        <w:tabs>
          <w:tab w:pos="3411" w:val="left" w:leader="none"/>
        </w:tabs>
        <w:spacing w:line="297" w:lineRule="auto" w:before="65" w:after="0"/>
        <w:ind w:left="2990" w:right="1058" w:firstLine="0"/>
        <w:jc w:val="left"/>
        <w:rPr>
          <w:sz w:val="21"/>
        </w:rPr>
      </w:pPr>
      <w:r>
        <w:rPr>
          <w:spacing w:val="-2"/>
          <w:sz w:val="21"/>
        </w:rPr>
        <w:t>与确认保险事故的时间、性质、原因等相关的其他证明和资料。</w:t>
      </w:r>
      <w:r>
        <w:rPr>
          <w:spacing w:val="-2"/>
          <w:sz w:val="21"/>
        </w:rPr>
        <w:t> 三、如果委托他人领取保险金或申请豁免保险费，受托人除提供上述所</w:t>
      </w:r>
      <w:r>
        <w:rPr>
          <w:spacing w:val="-2"/>
          <w:sz w:val="21"/>
        </w:rPr>
        <w:t>有证明和资料外，必须另行出具有委托人亲笔签字的授权委托书和受托</w:t>
      </w:r>
      <w:r>
        <w:rPr>
          <w:spacing w:val="-2"/>
          <w:sz w:val="21"/>
        </w:rPr>
        <w:t>人有效身份证件。</w:t>
      </w:r>
    </w:p>
    <w:p>
      <w:pPr>
        <w:pStyle w:val="BodyText"/>
        <w:rPr>
          <w:sz w:val="20"/>
        </w:rPr>
      </w:pPr>
    </w:p>
    <w:p>
      <w:pPr>
        <w:pStyle w:val="ListParagraph"/>
        <w:numPr>
          <w:ilvl w:val="1"/>
          <w:numId w:val="10"/>
        </w:numPr>
        <w:tabs>
          <w:tab w:pos="1409" w:val="left" w:leader="none"/>
        </w:tabs>
        <w:spacing w:line="307" w:lineRule="auto" w:before="170" w:after="0"/>
        <w:ind w:left="2990" w:right="1058" w:hanging="2766"/>
        <w:jc w:val="both"/>
        <w:rPr>
          <w:sz w:val="21"/>
        </w:rPr>
      </w:pPr>
      <w:r>
        <w:rPr>
          <w:sz w:val="21"/>
        </w:rPr>
        <w:t>保险金给付 我们在收到保险金给付申请书等证明和资料后，会及时作出核定；情形</w:t>
      </w:r>
      <w:r>
        <w:rPr>
          <w:spacing w:val="-2"/>
          <w:sz w:val="21"/>
        </w:rPr>
        <w:t>复杂的，将在三十日内作出核定，但本合同另有约定的除外。我们会将</w:t>
      </w:r>
      <w:r>
        <w:rPr>
          <w:spacing w:val="-2"/>
          <w:sz w:val="21"/>
        </w:rPr>
        <w:t>核定结果通知申请人。对属于保险责任的，在与申请人达成给付保险金</w:t>
      </w:r>
      <w:r>
        <w:rPr>
          <w:spacing w:val="-2"/>
          <w:sz w:val="21"/>
        </w:rPr>
        <w:t>的协议后十日内，履行给付保险金义务。本合同对给付保险金的期限有</w:t>
      </w:r>
      <w:r>
        <w:rPr>
          <w:spacing w:val="-2"/>
          <w:sz w:val="21"/>
        </w:rPr>
        <w:t>约定的，我们按照约定履行给付保险金义务。对不属于保险责任的，我</w:t>
      </w:r>
      <w:r>
        <w:rPr>
          <w:spacing w:val="-2"/>
          <w:sz w:val="21"/>
        </w:rPr>
        <w:t>们自作出核定之日起三日内向申请人发出拒绝给付保险金通知书，并说</w:t>
      </w:r>
      <w:r>
        <w:rPr>
          <w:spacing w:val="-4"/>
          <w:sz w:val="21"/>
        </w:rPr>
        <w:t>明理由。</w:t>
      </w:r>
    </w:p>
    <w:p>
      <w:pPr>
        <w:pStyle w:val="BodyText"/>
        <w:spacing w:line="307" w:lineRule="auto"/>
        <w:ind w:left="2990" w:right="1058"/>
        <w:jc w:val="both"/>
      </w:pPr>
      <w:r>
        <w:rPr>
          <w:spacing w:val="-2"/>
        </w:rPr>
        <w:t>我们在收到保险金给付申请书等证明和资料之日起六十日内，对属于保</w:t>
      </w:r>
      <w:r>
        <w:rPr>
          <w:spacing w:val="-2"/>
        </w:rPr>
        <w:t>险责任而给付保险金的数额不能确定的，根据已有证明和资料，按可以</w:t>
      </w:r>
      <w:r>
        <w:rPr>
          <w:spacing w:val="-2"/>
        </w:rPr>
        <w:t>确定的数额先予以给付，在最终确定给付保险金的数额后，给付相应的</w:t>
      </w:r>
      <w:r>
        <w:rPr>
          <w:spacing w:val="-4"/>
        </w:rPr>
        <w:t>差额。</w:t>
      </w:r>
    </w:p>
    <w:p>
      <w:pPr>
        <w:pStyle w:val="BodyText"/>
        <w:rPr>
          <w:sz w:val="20"/>
        </w:rPr>
      </w:pPr>
    </w:p>
    <w:p>
      <w:pPr>
        <w:pStyle w:val="ListParagraph"/>
        <w:numPr>
          <w:ilvl w:val="1"/>
          <w:numId w:val="10"/>
        </w:numPr>
        <w:tabs>
          <w:tab w:pos="1409" w:val="left" w:leader="none"/>
        </w:tabs>
        <w:spacing w:line="297" w:lineRule="auto" w:before="154" w:after="0"/>
        <w:ind w:left="2990" w:right="1058" w:hanging="2766"/>
        <w:jc w:val="both"/>
        <w:rPr>
          <w:sz w:val="21"/>
        </w:rPr>
      </w:pPr>
      <w:r>
        <w:rPr>
          <w:sz w:val="21"/>
        </w:rPr>
        <w:t>宣告死亡处理 如果被保险人在本合同有效期间内被人民法院判决宣告死亡，我们以判</w:t>
      </w:r>
      <w:r>
        <w:rPr>
          <w:spacing w:val="-2"/>
          <w:sz w:val="21"/>
        </w:rPr>
        <w:t>决书宣告的死亡日期为被保险人的身故日期，按本合同约定给付身故保</w:t>
      </w:r>
    </w:p>
    <w:p>
      <w:pPr>
        <w:spacing w:after="0" w:line="297" w:lineRule="auto"/>
        <w:jc w:val="both"/>
        <w:rPr>
          <w:sz w:val="21"/>
        </w:rPr>
        <w:sectPr>
          <w:pgSz w:w="11910" w:h="16840"/>
          <w:pgMar w:header="0" w:footer="857" w:top="1420" w:bottom="1180" w:left="1100" w:right="260"/>
        </w:sectPr>
      </w:pPr>
    </w:p>
    <w:p>
      <w:pPr>
        <w:pStyle w:val="BodyText"/>
        <w:spacing w:before="60"/>
        <w:ind w:left="2990"/>
      </w:pPr>
      <w:r>
        <w:rPr>
          <w:spacing w:val="-3"/>
        </w:rPr>
        <w:t>险金，本合同终止。</w:t>
      </w:r>
    </w:p>
    <w:p>
      <w:pPr>
        <w:pStyle w:val="BodyText"/>
        <w:spacing w:line="297" w:lineRule="auto" w:before="65"/>
        <w:ind w:left="2990" w:right="1058"/>
        <w:jc w:val="both"/>
      </w:pPr>
      <w:r>
        <w:rPr>
          <w:spacing w:val="-2"/>
        </w:rPr>
        <w:t>如果被保险人在宣告死亡后生还，身故保险金的受领人应于知道被保险</w:t>
      </w:r>
      <w:r>
        <w:rPr>
          <w:spacing w:val="-2"/>
        </w:rPr>
        <w:t>人生还之日起三十日内向我们退还已给付的身故保险金，本合同的效力</w:t>
      </w:r>
      <w:r>
        <w:rPr>
          <w:spacing w:val="-2"/>
        </w:rPr>
        <w:t>由我们双方依法协商处理。</w:t>
      </w:r>
    </w:p>
    <w:p>
      <w:pPr>
        <w:pStyle w:val="BodyText"/>
        <w:rPr>
          <w:sz w:val="25"/>
        </w:rPr>
      </w:pPr>
      <w:r>
        <w:rPr/>
        <w:pict>
          <v:shape style="position:absolute;margin-left:60.84pt;margin-top:17.231251pt;width:473.65pt;height:22.35pt;mso-position-horizontal-relative:page;mso-position-vertical-relative:paragraph;z-index:-15723008;mso-wrap-distance-left:0;mso-wrap-distance-right:0" type="#_x0000_t202" id="docshape12" filled="true" fillcolor="#cccccc" stroked="false">
            <v:textbox inset="0,0,0,0">
              <w:txbxContent>
                <w:p>
                  <w:pPr>
                    <w:tabs>
                      <w:tab w:pos="1291" w:val="left" w:leader="none"/>
                    </w:tabs>
                    <w:spacing w:before="42"/>
                    <w:ind w:left="108" w:right="0" w:firstLine="0"/>
                    <w:jc w:val="left"/>
                    <w:rPr>
                      <w:b/>
                      <w:color w:val="000000"/>
                      <w:sz w:val="21"/>
                    </w:rPr>
                  </w:pPr>
                  <w:r>
                    <w:rPr>
                      <w:rFonts w:ascii="Wingdings" w:hAnsi="Wingdings" w:eastAsia="Wingdings"/>
                      <w:color w:val="000000"/>
                      <w:spacing w:val="-10"/>
                      <w:position w:val="-2"/>
                      <w:sz w:val="32"/>
                    </w:rPr>
                    <w:t></w:t>
                  </w:r>
                  <w:r>
                    <w:rPr>
                      <w:rFonts w:ascii="Times New Roman" w:hAnsi="Times New Roman" w:eastAsia="Times New Roman"/>
                      <w:color w:val="000000"/>
                      <w:position w:val="-2"/>
                      <w:sz w:val="32"/>
                    </w:rPr>
                    <w:tab/>
                  </w:r>
                  <w:r>
                    <w:rPr>
                      <w:b/>
                      <w:color w:val="000000"/>
                      <w:spacing w:val="-3"/>
                      <w:sz w:val="21"/>
                    </w:rPr>
                    <w:t>您需要关注的其他事项</w:t>
                  </w:r>
                </w:p>
              </w:txbxContent>
            </v:textbox>
            <v:fill type="solid"/>
            <w10:wrap type="topAndBottom"/>
          </v:shape>
        </w:pict>
      </w:r>
    </w:p>
    <w:p>
      <w:pPr>
        <w:pStyle w:val="ListParagraph"/>
        <w:numPr>
          <w:ilvl w:val="1"/>
          <w:numId w:val="12"/>
        </w:numPr>
        <w:tabs>
          <w:tab w:pos="1408" w:val="left" w:leader="none"/>
          <w:tab w:pos="1409" w:val="left" w:leader="none"/>
          <w:tab w:pos="2990" w:val="left" w:leader="none"/>
        </w:tabs>
        <w:spacing w:line="307" w:lineRule="auto" w:before="83" w:after="0"/>
        <w:ind w:left="2990" w:right="1058" w:hanging="2766"/>
        <w:jc w:val="left"/>
        <w:rPr>
          <w:sz w:val="21"/>
        </w:rPr>
      </w:pPr>
      <w:r>
        <w:rPr>
          <w:spacing w:val="-2"/>
          <w:sz w:val="21"/>
        </w:rPr>
        <w:t>投</w:t>
      </w:r>
      <w:r>
        <w:rPr>
          <w:spacing w:val="-2"/>
          <w:sz w:val="21"/>
        </w:rPr>
        <w:t>保</w:t>
      </w:r>
      <w:r>
        <w:rPr>
          <w:spacing w:val="-2"/>
          <w:sz w:val="21"/>
        </w:rPr>
        <w:t>年龄范围</w:t>
      </w:r>
      <w:r>
        <w:rPr>
          <w:sz w:val="21"/>
        </w:rPr>
        <w:tab/>
      </w:r>
      <w:r>
        <w:rPr>
          <w:spacing w:val="-2"/>
          <w:sz w:val="21"/>
        </w:rPr>
        <w:t>指</w:t>
      </w:r>
      <w:r>
        <w:rPr>
          <w:spacing w:val="-2"/>
          <w:sz w:val="21"/>
        </w:rPr>
        <w:t>您</w:t>
      </w:r>
      <w:r>
        <w:rPr>
          <w:spacing w:val="-2"/>
          <w:sz w:val="21"/>
        </w:rPr>
        <w:t>投保时被保险人的年龄，本合同接受的投保年</w:t>
      </w:r>
      <w:r>
        <w:rPr>
          <w:spacing w:val="-2"/>
          <w:sz w:val="21"/>
        </w:rPr>
        <w:t>龄</w:t>
      </w:r>
      <w:r>
        <w:rPr>
          <w:spacing w:val="-2"/>
          <w:sz w:val="21"/>
        </w:rPr>
        <w:t>范</w:t>
      </w:r>
      <w:r>
        <w:rPr>
          <w:spacing w:val="-2"/>
          <w:sz w:val="21"/>
        </w:rPr>
        <w:t>围将根据您</w:t>
      </w:r>
      <w:r>
        <w:rPr>
          <w:spacing w:val="-2"/>
          <w:sz w:val="21"/>
        </w:rPr>
        <w:t>选</w:t>
      </w:r>
      <w:r>
        <w:rPr>
          <w:spacing w:val="-2"/>
          <w:sz w:val="21"/>
        </w:rPr>
        <w:t>择</w:t>
      </w:r>
      <w:r>
        <w:rPr>
          <w:spacing w:val="-2"/>
          <w:sz w:val="21"/>
        </w:rPr>
        <w:t>的</w:t>
      </w:r>
      <w:r>
        <w:rPr>
          <w:spacing w:val="-2"/>
          <w:sz w:val="21"/>
        </w:rPr>
        <w:t>交</w:t>
      </w:r>
      <w:r>
        <w:rPr>
          <w:spacing w:val="-2"/>
          <w:sz w:val="21"/>
        </w:rPr>
        <w:t>费期间等因素来确定。</w:t>
      </w:r>
    </w:p>
    <w:p>
      <w:pPr>
        <w:pStyle w:val="BodyText"/>
        <w:rPr>
          <w:sz w:val="27"/>
        </w:rPr>
      </w:pPr>
    </w:p>
    <w:p>
      <w:pPr>
        <w:spacing w:after="0"/>
        <w:rPr>
          <w:sz w:val="27"/>
        </w:rPr>
        <w:sectPr>
          <w:pgSz w:w="11910" w:h="16840"/>
          <w:pgMar w:header="0" w:footer="857" w:top="1420" w:bottom="1180" w:left="1100" w:right="260"/>
        </w:sectPr>
      </w:pPr>
    </w:p>
    <w:p>
      <w:pPr>
        <w:pStyle w:val="ListParagraph"/>
        <w:numPr>
          <w:ilvl w:val="1"/>
          <w:numId w:val="12"/>
        </w:numPr>
        <w:tabs>
          <w:tab w:pos="1408" w:val="left" w:leader="none"/>
          <w:tab w:pos="1409" w:val="left" w:leader="none"/>
        </w:tabs>
        <w:spacing w:line="300" w:lineRule="auto" w:before="72" w:after="0"/>
        <w:ind w:left="1408" w:right="0" w:hanging="1184"/>
        <w:jc w:val="left"/>
        <w:rPr>
          <w:sz w:val="21"/>
        </w:rPr>
      </w:pPr>
      <w:r>
        <w:rPr>
          <w:spacing w:val="14"/>
          <w:sz w:val="21"/>
        </w:rPr>
        <w:t>年龄计算及错</w:t>
      </w:r>
      <w:r>
        <w:rPr>
          <w:spacing w:val="-4"/>
          <w:sz w:val="21"/>
        </w:rPr>
        <w:t>误处理</w:t>
      </w:r>
    </w:p>
    <w:p>
      <w:pPr>
        <w:pStyle w:val="BodyText"/>
        <w:spacing w:line="297" w:lineRule="auto" w:before="72"/>
        <w:ind w:left="175" w:right="1060"/>
        <w:jc w:val="both"/>
      </w:pPr>
      <w:r>
        <w:rPr/>
        <w:br w:type="column"/>
      </w:r>
      <w:r>
        <w:rPr>
          <w:spacing w:val="3"/>
          <w:w w:val="100"/>
        </w:rPr>
        <w:t>被保险人的投保年龄为以有效身份证件载明的出生日期计算的周岁年</w:t>
      </w:r>
      <w:r>
        <w:rPr>
          <w:spacing w:val="-5"/>
          <w:w w:val="100"/>
        </w:rPr>
        <w:t>龄。您在申请投保时，应告知被保险人的周岁年龄。若发生错误，我们</w:t>
      </w:r>
      <w:r>
        <w:rPr>
          <w:spacing w:val="-4"/>
          <w:w w:val="100"/>
        </w:rPr>
        <w:t>依照下列约定处理：</w:t>
      </w:r>
    </w:p>
    <w:p>
      <w:pPr>
        <w:pStyle w:val="BodyText"/>
        <w:spacing w:line="297" w:lineRule="auto" w:before="2"/>
        <w:ind w:left="175" w:right="1060"/>
      </w:pPr>
      <w:r>
        <w:rPr>
          <w:spacing w:val="-2"/>
        </w:rPr>
        <w:t>一、您申报的被保险人年龄不真实，致使您实交保险费多于应交保险费</w:t>
      </w:r>
      <w:r>
        <w:rPr>
          <w:spacing w:val="-2"/>
        </w:rPr>
        <w:t>的，我们会将多收的保险费无息退还给您。</w:t>
      </w:r>
    </w:p>
    <w:p>
      <w:pPr>
        <w:spacing w:line="297" w:lineRule="auto" w:before="0"/>
        <w:ind w:left="175" w:right="1058" w:firstLine="0"/>
        <w:jc w:val="both"/>
        <w:rPr>
          <w:b/>
          <w:sz w:val="21"/>
        </w:rPr>
      </w:pPr>
      <w:r>
        <w:rPr>
          <w:spacing w:val="-2"/>
          <w:sz w:val="21"/>
        </w:rPr>
        <w:t>二、您申报的被保险人年龄不真实，致使您实交保险费少于应交保险费</w:t>
      </w:r>
      <w:r>
        <w:rPr>
          <w:spacing w:val="-2"/>
          <w:sz w:val="21"/>
        </w:rPr>
        <w:t>的，我们有权审核更正并要求您补交保险费。</w:t>
      </w:r>
      <w:r>
        <w:rPr>
          <w:b/>
          <w:spacing w:val="-2"/>
          <w:sz w:val="21"/>
        </w:rPr>
        <w:t>若补交保险费前已发生保</w:t>
      </w:r>
      <w:r>
        <w:rPr>
          <w:b/>
          <w:spacing w:val="-2"/>
          <w:sz w:val="21"/>
        </w:rPr>
        <w:t>险事故，我们按实交保险费和应交保险费的比例折算给付保险金。</w:t>
      </w:r>
    </w:p>
    <w:p>
      <w:pPr>
        <w:spacing w:line="297" w:lineRule="auto" w:before="2"/>
        <w:ind w:left="175" w:right="953" w:firstLine="0"/>
        <w:jc w:val="left"/>
        <w:rPr>
          <w:sz w:val="21"/>
        </w:rPr>
      </w:pPr>
      <w:r>
        <w:rPr>
          <w:spacing w:val="-2"/>
          <w:sz w:val="21"/>
        </w:rPr>
        <w:t>三、</w:t>
      </w:r>
      <w:r>
        <w:rPr>
          <w:b/>
          <w:spacing w:val="-2"/>
          <w:sz w:val="21"/>
        </w:rPr>
        <w:t>您申报的被保险人年龄不真实，且真实年龄不符合我们规定的投保</w:t>
      </w:r>
      <w:r>
        <w:rPr>
          <w:b/>
          <w:spacing w:val="-15"/>
          <w:sz w:val="21"/>
        </w:rPr>
        <w:t>年龄范围的，我们可以解除本合同，并退还本合同终止之日的现金价值。</w:t>
      </w:r>
      <w:r>
        <w:rPr>
          <w:spacing w:val="-2"/>
          <w:sz w:val="21"/>
        </w:rPr>
        <w:t>但自本合同成立之日起超过二年的，则按本条第一、二项处理。</w:t>
      </w:r>
    </w:p>
    <w:p>
      <w:pPr>
        <w:spacing w:after="0" w:line="297" w:lineRule="auto"/>
        <w:jc w:val="left"/>
        <w:rPr>
          <w:sz w:val="21"/>
        </w:rPr>
        <w:sectPr>
          <w:type w:val="continuous"/>
          <w:pgSz w:w="11910" w:h="16840"/>
          <w:pgMar w:header="0" w:footer="857" w:top="320" w:bottom="1040" w:left="1100" w:right="260"/>
          <w:cols w:num="2" w:equalWidth="0">
            <w:col w:w="2776" w:space="40"/>
            <w:col w:w="7734"/>
          </w:cols>
        </w:sectPr>
      </w:pPr>
    </w:p>
    <w:p>
      <w:pPr>
        <w:pStyle w:val="BodyText"/>
        <w:spacing w:before="8"/>
        <w:rPr>
          <w:sz w:val="27"/>
        </w:rPr>
      </w:pPr>
    </w:p>
    <w:p>
      <w:pPr>
        <w:pStyle w:val="ListParagraph"/>
        <w:numPr>
          <w:ilvl w:val="1"/>
          <w:numId w:val="12"/>
        </w:numPr>
        <w:tabs>
          <w:tab w:pos="1409" w:val="left" w:leader="none"/>
        </w:tabs>
        <w:spacing w:line="297" w:lineRule="auto" w:before="71" w:after="0"/>
        <w:ind w:left="2990" w:right="1058" w:hanging="2766"/>
        <w:jc w:val="both"/>
        <w:rPr>
          <w:sz w:val="21"/>
        </w:rPr>
      </w:pPr>
      <w:r>
        <w:rPr>
          <w:sz w:val="21"/>
        </w:rPr>
        <w:t>欠款扣除</w:t>
      </w:r>
      <w:r>
        <w:rPr>
          <w:spacing w:val="587"/>
          <w:sz w:val="21"/>
        </w:rPr>
        <w:t> </w:t>
      </w:r>
      <w:r>
        <w:rPr>
          <w:sz w:val="21"/>
        </w:rPr>
        <w:t>我们在给付各项保险金、退还现金价值、退还保险费时，会先行扣除您在本合同项下的欠交保险费及</w:t>
      </w:r>
      <w:r>
        <w:rPr>
          <w:color w:val="000000"/>
          <w:sz w:val="21"/>
          <w:shd w:fill="BEBEBE" w:color="auto" w:val="clear"/>
        </w:rPr>
        <w:t>利息</w:t>
      </w:r>
      <w:r>
        <w:rPr>
          <w:color w:val="000000"/>
          <w:sz w:val="21"/>
        </w:rPr>
        <w:t>（</w:t>
      </w:r>
      <w:r>
        <w:rPr>
          <w:color w:val="000000"/>
          <w:spacing w:val="-21"/>
          <w:sz w:val="21"/>
        </w:rPr>
        <w:t>见 </w:t>
      </w:r>
      <w:r>
        <w:rPr>
          <w:color w:val="000000"/>
          <w:spacing w:val="19"/>
          <w:sz w:val="21"/>
        </w:rPr>
        <w:t>8</w:t>
      </w:r>
      <w:r>
        <w:rPr>
          <w:color w:val="000000"/>
          <w:spacing w:val="22"/>
          <w:sz w:val="21"/>
        </w:rPr>
        <w:t>.2</w:t>
      </w:r>
      <w:r>
        <w:rPr>
          <w:color w:val="000000"/>
          <w:spacing w:val="21"/>
          <w:sz w:val="21"/>
        </w:rPr>
        <w:t>1</w:t>
      </w:r>
      <w:r>
        <w:rPr>
          <w:color w:val="000000"/>
          <w:spacing w:val="-86"/>
          <w:sz w:val="21"/>
        </w:rPr>
        <w:t>）</w:t>
      </w:r>
      <w:r>
        <w:rPr>
          <w:color w:val="000000"/>
          <w:sz w:val="21"/>
        </w:rPr>
        <w:t>。</w:t>
      </w:r>
    </w:p>
    <w:p>
      <w:pPr>
        <w:pStyle w:val="BodyText"/>
        <w:rPr>
          <w:sz w:val="20"/>
        </w:rPr>
      </w:pPr>
    </w:p>
    <w:p>
      <w:pPr>
        <w:pStyle w:val="ListParagraph"/>
        <w:numPr>
          <w:ilvl w:val="1"/>
          <w:numId w:val="12"/>
        </w:numPr>
        <w:tabs>
          <w:tab w:pos="1409" w:val="left" w:leader="none"/>
        </w:tabs>
        <w:spacing w:line="297" w:lineRule="auto" w:before="169" w:after="0"/>
        <w:ind w:left="2990" w:right="1060" w:hanging="2766"/>
        <w:jc w:val="both"/>
        <w:rPr>
          <w:sz w:val="21"/>
        </w:rPr>
      </w:pPr>
      <w:r>
        <w:rPr>
          <w:sz w:val="21"/>
        </w:rPr>
        <w:t>通讯地址变更 为了保障您的合法利益，您的住所或通讯地址变更时，请及时书面通知</w:t>
      </w:r>
      <w:r>
        <w:rPr>
          <w:spacing w:val="-2"/>
          <w:sz w:val="21"/>
        </w:rPr>
        <w:t>我们。如果您没有以书面形式及时通知我们，我们按本合同所载的最后</w:t>
      </w:r>
      <w:r>
        <w:rPr>
          <w:spacing w:val="-2"/>
          <w:sz w:val="21"/>
        </w:rPr>
        <w:t>住所或最新通讯地址发送的有关通知，均视为已送达给您。</w:t>
      </w:r>
    </w:p>
    <w:p>
      <w:pPr>
        <w:pStyle w:val="BodyText"/>
        <w:rPr>
          <w:sz w:val="20"/>
        </w:rPr>
      </w:pPr>
    </w:p>
    <w:p>
      <w:pPr>
        <w:pStyle w:val="ListParagraph"/>
        <w:numPr>
          <w:ilvl w:val="1"/>
          <w:numId w:val="12"/>
        </w:numPr>
        <w:tabs>
          <w:tab w:pos="1409" w:val="left" w:leader="none"/>
        </w:tabs>
        <w:spacing w:line="297" w:lineRule="auto" w:before="171" w:after="0"/>
        <w:ind w:left="2990" w:right="1058" w:hanging="2766"/>
        <w:jc w:val="both"/>
        <w:rPr>
          <w:sz w:val="21"/>
        </w:rPr>
      </w:pPr>
      <w:r>
        <w:rPr>
          <w:sz w:val="21"/>
        </w:rPr>
        <w:t>司法鉴定</w:t>
      </w:r>
      <w:r>
        <w:rPr>
          <w:spacing w:val="587"/>
          <w:sz w:val="21"/>
        </w:rPr>
        <w:t> </w:t>
      </w:r>
      <w:r>
        <w:rPr>
          <w:sz w:val="21"/>
        </w:rPr>
        <w:t>我们有权要求通过司法鉴定机构对保险事故进行鉴定，您、被保险人和</w:t>
      </w:r>
      <w:r>
        <w:rPr>
          <w:spacing w:val="-2"/>
          <w:sz w:val="21"/>
        </w:rPr>
        <w:t>受益人应当予以配合。</w:t>
      </w:r>
    </w:p>
    <w:p>
      <w:pPr>
        <w:pStyle w:val="BodyText"/>
        <w:rPr>
          <w:sz w:val="20"/>
        </w:rPr>
      </w:pPr>
    </w:p>
    <w:p>
      <w:pPr>
        <w:pStyle w:val="ListParagraph"/>
        <w:numPr>
          <w:ilvl w:val="1"/>
          <w:numId w:val="12"/>
        </w:numPr>
        <w:tabs>
          <w:tab w:pos="1408" w:val="left" w:leader="none"/>
          <w:tab w:pos="1409" w:val="left" w:leader="none"/>
          <w:tab w:pos="2990" w:val="left" w:leader="none"/>
        </w:tabs>
        <w:spacing w:line="240" w:lineRule="auto" w:before="169" w:after="0"/>
        <w:ind w:left="1408" w:right="0" w:hanging="1184"/>
        <w:jc w:val="left"/>
        <w:rPr>
          <w:sz w:val="21"/>
        </w:rPr>
      </w:pPr>
      <w:r>
        <w:rPr>
          <w:spacing w:val="-2"/>
          <w:sz w:val="21"/>
        </w:rPr>
        <w:t>争</w:t>
      </w:r>
      <w:r>
        <w:rPr>
          <w:spacing w:val="-2"/>
          <w:sz w:val="21"/>
        </w:rPr>
        <w:t>议</w:t>
      </w:r>
      <w:r>
        <w:rPr>
          <w:spacing w:val="-2"/>
          <w:sz w:val="21"/>
        </w:rPr>
        <w:t>处</w:t>
      </w:r>
      <w:r>
        <w:rPr>
          <w:spacing w:val="-10"/>
          <w:sz w:val="21"/>
        </w:rPr>
        <w:t>理</w:t>
      </w:r>
      <w:r>
        <w:rPr>
          <w:sz w:val="21"/>
        </w:rPr>
        <w:tab/>
      </w:r>
      <w:r>
        <w:rPr>
          <w:spacing w:val="-2"/>
          <w:sz w:val="21"/>
        </w:rPr>
        <w:t>合</w:t>
      </w:r>
      <w:r>
        <w:rPr>
          <w:spacing w:val="-2"/>
          <w:sz w:val="21"/>
        </w:rPr>
        <w:t>同</w:t>
      </w:r>
      <w:r>
        <w:rPr>
          <w:spacing w:val="-2"/>
          <w:sz w:val="21"/>
        </w:rPr>
        <w:t>争议解决方式从下列</w:t>
      </w:r>
      <w:r>
        <w:rPr>
          <w:spacing w:val="-2"/>
          <w:sz w:val="21"/>
        </w:rPr>
        <w:t>两</w:t>
      </w:r>
      <w:r>
        <w:rPr>
          <w:spacing w:val="-2"/>
          <w:sz w:val="21"/>
        </w:rPr>
        <w:t>种</w:t>
      </w:r>
      <w:r>
        <w:rPr>
          <w:spacing w:val="-2"/>
          <w:sz w:val="21"/>
        </w:rPr>
        <w:t>方式中选择一种</w:t>
      </w:r>
      <w:r>
        <w:rPr>
          <w:spacing w:val="-10"/>
          <w:sz w:val="21"/>
        </w:rPr>
        <w:t>：</w:t>
      </w:r>
    </w:p>
    <w:p>
      <w:pPr>
        <w:pStyle w:val="BodyText"/>
        <w:spacing w:line="297" w:lineRule="auto" w:before="64"/>
        <w:ind w:left="2990" w:right="1063"/>
      </w:pPr>
      <w:r>
        <w:rPr>
          <w:spacing w:val="-2"/>
        </w:rPr>
        <w:t>一、因履行本合同发生的争议，由双方协商解决，协商不成的，提交约</w:t>
      </w:r>
      <w:r>
        <w:rPr>
          <w:spacing w:val="-2"/>
        </w:rPr>
        <w:t>定的仲裁委员会仲裁；</w:t>
      </w:r>
    </w:p>
    <w:p>
      <w:pPr>
        <w:pStyle w:val="BodyText"/>
        <w:spacing w:line="288" w:lineRule="auto"/>
        <w:ind w:left="2990" w:right="1063"/>
      </w:pPr>
      <w:r>
        <w:rPr>
          <w:spacing w:val="-2"/>
        </w:rPr>
        <w:t>二、因履行本合同发生的争议，由双方协商解决，协商不成的，依法向</w:t>
      </w:r>
      <w:r>
        <w:rPr>
          <w:spacing w:val="-2"/>
        </w:rPr>
        <w:t>有管辖权的人民法院起诉。</w:t>
      </w:r>
    </w:p>
    <w:p>
      <w:pPr>
        <w:pStyle w:val="BodyText"/>
        <w:rPr>
          <w:sz w:val="25"/>
        </w:rPr>
      </w:pPr>
      <w:r>
        <w:rPr/>
        <w:pict>
          <v:shape style="position:absolute;margin-left:60.84pt;margin-top:17.240625pt;width:473.65pt;height:22.35pt;mso-position-horizontal-relative:page;mso-position-vertical-relative:paragraph;z-index:-15722496;mso-wrap-distance-left:0;mso-wrap-distance-right:0" type="#_x0000_t202" id="docshape13" filled="true" fillcolor="#cccccc" stroked="false">
            <v:textbox inset="0,0,0,0">
              <w:txbxContent>
                <w:p>
                  <w:pPr>
                    <w:tabs>
                      <w:tab w:pos="1291" w:val="left" w:leader="none"/>
                    </w:tabs>
                    <w:spacing w:before="42"/>
                    <w:ind w:left="108" w:right="0" w:firstLine="0"/>
                    <w:jc w:val="left"/>
                    <w:rPr>
                      <w:b/>
                      <w:color w:val="000000"/>
                      <w:sz w:val="21"/>
                    </w:rPr>
                  </w:pPr>
                  <w:r>
                    <w:rPr>
                      <w:rFonts w:ascii="Wingdings" w:hAnsi="Wingdings" w:eastAsia="Wingdings"/>
                      <w:color w:val="000000"/>
                      <w:spacing w:val="-10"/>
                      <w:position w:val="-2"/>
                      <w:sz w:val="32"/>
                    </w:rPr>
                    <w:t></w:t>
                  </w:r>
                  <w:r>
                    <w:rPr>
                      <w:rFonts w:ascii="Times New Roman" w:hAnsi="Times New Roman" w:eastAsia="Times New Roman"/>
                      <w:color w:val="000000"/>
                      <w:position w:val="-2"/>
                      <w:sz w:val="32"/>
                    </w:rPr>
                    <w:tab/>
                  </w:r>
                  <w:r>
                    <w:rPr>
                      <w:b/>
                      <w:color w:val="000000"/>
                      <w:spacing w:val="-3"/>
                      <w:sz w:val="21"/>
                    </w:rPr>
                    <w:t>您需要了解的重要术语</w:t>
                  </w:r>
                </w:p>
              </w:txbxContent>
            </v:textbox>
            <v:fill type="solid"/>
            <w10:wrap type="topAndBottom"/>
          </v:shape>
        </w:pict>
      </w:r>
    </w:p>
    <w:p>
      <w:pPr>
        <w:pStyle w:val="ListParagraph"/>
        <w:numPr>
          <w:ilvl w:val="1"/>
          <w:numId w:val="13"/>
        </w:numPr>
        <w:tabs>
          <w:tab w:pos="1408" w:val="left" w:leader="none"/>
          <w:tab w:pos="1409" w:val="left" w:leader="none"/>
          <w:tab w:pos="2990" w:val="left" w:leader="none"/>
        </w:tabs>
        <w:spacing w:line="240" w:lineRule="auto" w:before="80" w:after="0"/>
        <w:ind w:left="1408" w:right="0" w:hanging="1184"/>
        <w:jc w:val="left"/>
        <w:rPr>
          <w:sz w:val="21"/>
        </w:rPr>
      </w:pPr>
      <w:r>
        <w:rPr>
          <w:spacing w:val="-2"/>
          <w:sz w:val="21"/>
        </w:rPr>
        <w:t>保</w:t>
      </w:r>
      <w:r>
        <w:rPr>
          <w:spacing w:val="-2"/>
          <w:sz w:val="21"/>
        </w:rPr>
        <w:t>险</w:t>
      </w:r>
      <w:r>
        <w:rPr>
          <w:spacing w:val="-2"/>
          <w:sz w:val="21"/>
        </w:rPr>
        <w:t>单周年</w:t>
      </w:r>
      <w:r>
        <w:rPr>
          <w:spacing w:val="-10"/>
          <w:sz w:val="21"/>
        </w:rPr>
        <w:t>日</w:t>
      </w:r>
      <w:r>
        <w:rPr>
          <w:sz w:val="21"/>
        </w:rPr>
        <w:tab/>
      </w:r>
      <w:r>
        <w:rPr>
          <w:spacing w:val="-4"/>
          <w:sz w:val="21"/>
        </w:rPr>
        <w:t>本</w:t>
      </w:r>
      <w:r>
        <w:rPr>
          <w:spacing w:val="-4"/>
          <w:sz w:val="21"/>
        </w:rPr>
        <w:t>合</w:t>
      </w:r>
      <w:r>
        <w:rPr>
          <w:spacing w:val="-4"/>
          <w:sz w:val="21"/>
        </w:rPr>
        <w:t>同生效日在以后每年</w:t>
      </w:r>
      <w:r>
        <w:rPr>
          <w:spacing w:val="-4"/>
          <w:sz w:val="21"/>
        </w:rPr>
        <w:t>的</w:t>
      </w:r>
      <w:r>
        <w:rPr>
          <w:spacing w:val="-4"/>
          <w:sz w:val="21"/>
        </w:rPr>
        <w:t>对</w:t>
      </w:r>
      <w:r>
        <w:rPr>
          <w:spacing w:val="-4"/>
          <w:sz w:val="21"/>
        </w:rPr>
        <w:t>应日为保险单周年日，如果当年无此对</w:t>
      </w:r>
      <w:r>
        <w:rPr>
          <w:spacing w:val="-10"/>
          <w:sz w:val="21"/>
        </w:rPr>
        <w:t>应</w:t>
      </w:r>
    </w:p>
    <w:p>
      <w:pPr>
        <w:spacing w:after="0" w:line="240" w:lineRule="auto"/>
        <w:jc w:val="left"/>
        <w:rPr>
          <w:sz w:val="21"/>
        </w:rPr>
        <w:sectPr>
          <w:type w:val="continuous"/>
          <w:pgSz w:w="11910" w:h="16840"/>
          <w:pgMar w:header="0" w:footer="857" w:top="320" w:bottom="1040" w:left="1100" w:right="260"/>
        </w:sectPr>
      </w:pPr>
    </w:p>
    <w:p>
      <w:pPr>
        <w:pStyle w:val="BodyText"/>
        <w:spacing w:before="60"/>
        <w:ind w:left="2990"/>
      </w:pPr>
      <w:r>
        <w:rPr>
          <w:spacing w:val="-3"/>
        </w:rPr>
        <w:t>日，则以生效日前一日的对应日为该年的保险单周年日。</w:t>
      </w:r>
    </w:p>
    <w:p>
      <w:pPr>
        <w:pStyle w:val="ListParagraph"/>
        <w:numPr>
          <w:ilvl w:val="1"/>
          <w:numId w:val="13"/>
        </w:numPr>
        <w:tabs>
          <w:tab w:pos="1408" w:val="left" w:leader="none"/>
          <w:tab w:pos="1409" w:val="left" w:leader="none"/>
          <w:tab w:pos="2990" w:val="left" w:leader="none"/>
        </w:tabs>
        <w:spacing w:line="297" w:lineRule="auto" w:before="154" w:after="0"/>
        <w:ind w:left="2990" w:right="1060" w:hanging="2766"/>
        <w:jc w:val="left"/>
        <w:rPr>
          <w:sz w:val="21"/>
        </w:rPr>
      </w:pPr>
      <w:r>
        <w:rPr>
          <w:spacing w:val="-2"/>
          <w:sz w:val="21"/>
        </w:rPr>
        <w:t>保</w:t>
      </w:r>
      <w:r>
        <w:rPr>
          <w:spacing w:val="-2"/>
          <w:sz w:val="21"/>
        </w:rPr>
        <w:t>险</w:t>
      </w:r>
      <w:r>
        <w:rPr>
          <w:spacing w:val="-2"/>
          <w:sz w:val="21"/>
        </w:rPr>
        <w:t>单</w:t>
      </w:r>
      <w:r>
        <w:rPr>
          <w:spacing w:val="-2"/>
          <w:sz w:val="21"/>
        </w:rPr>
        <w:t>年</w:t>
      </w:r>
      <w:r>
        <w:rPr>
          <w:spacing w:val="-2"/>
          <w:sz w:val="21"/>
        </w:rPr>
        <w:t>度</w:t>
      </w:r>
      <w:r>
        <w:rPr>
          <w:sz w:val="21"/>
        </w:rPr>
        <w:tab/>
      </w:r>
      <w:r>
        <w:rPr>
          <w:spacing w:val="-2"/>
          <w:sz w:val="21"/>
        </w:rPr>
        <w:t>本</w:t>
      </w:r>
      <w:r>
        <w:rPr>
          <w:spacing w:val="-2"/>
          <w:sz w:val="21"/>
        </w:rPr>
        <w:t>合</w:t>
      </w:r>
      <w:r>
        <w:rPr>
          <w:spacing w:val="-2"/>
          <w:sz w:val="21"/>
        </w:rPr>
        <w:t>同生效日（或保险单</w:t>
      </w:r>
      <w:r>
        <w:rPr>
          <w:spacing w:val="-2"/>
          <w:sz w:val="21"/>
        </w:rPr>
        <w:t>周</w:t>
      </w:r>
      <w:r>
        <w:rPr>
          <w:spacing w:val="-2"/>
          <w:sz w:val="21"/>
        </w:rPr>
        <w:t>年</w:t>
      </w:r>
      <w:r>
        <w:rPr>
          <w:spacing w:val="-2"/>
          <w:sz w:val="21"/>
        </w:rPr>
        <w:t>日）零时起至下一个</w:t>
      </w:r>
      <w:r>
        <w:rPr>
          <w:spacing w:val="-2"/>
          <w:sz w:val="21"/>
        </w:rPr>
        <w:t>保</w:t>
      </w:r>
      <w:r>
        <w:rPr>
          <w:spacing w:val="-2"/>
          <w:sz w:val="21"/>
        </w:rPr>
        <w:t>险</w:t>
      </w:r>
      <w:r>
        <w:rPr>
          <w:spacing w:val="-2"/>
          <w:sz w:val="21"/>
        </w:rPr>
        <w:t>单周年日零</w:t>
      </w:r>
      <w:r>
        <w:rPr>
          <w:spacing w:val="-2"/>
          <w:sz w:val="21"/>
        </w:rPr>
        <w:t>时</w:t>
      </w:r>
      <w:r>
        <w:rPr>
          <w:spacing w:val="-2"/>
          <w:sz w:val="21"/>
        </w:rPr>
        <w:t>止</w:t>
      </w:r>
      <w:r>
        <w:rPr>
          <w:spacing w:val="-2"/>
          <w:sz w:val="21"/>
        </w:rPr>
        <w:t>为</w:t>
      </w:r>
      <w:r>
        <w:rPr>
          <w:spacing w:val="-2"/>
          <w:sz w:val="21"/>
        </w:rPr>
        <w:t>一</w:t>
      </w:r>
      <w:r>
        <w:rPr>
          <w:spacing w:val="-2"/>
          <w:sz w:val="21"/>
        </w:rPr>
        <w:t>个保险单年</w:t>
      </w:r>
      <w:r>
        <w:rPr>
          <w:spacing w:val="-2"/>
          <w:sz w:val="21"/>
        </w:rPr>
        <w:t>度</w:t>
      </w:r>
      <w:r>
        <w:rPr>
          <w:spacing w:val="-2"/>
          <w:sz w:val="21"/>
        </w:rPr>
        <w:t>。</w:t>
      </w:r>
    </w:p>
    <w:p>
      <w:pPr>
        <w:pStyle w:val="ListParagraph"/>
        <w:numPr>
          <w:ilvl w:val="1"/>
          <w:numId w:val="13"/>
        </w:numPr>
        <w:tabs>
          <w:tab w:pos="1408" w:val="left" w:leader="none"/>
          <w:tab w:pos="1409" w:val="left" w:leader="none"/>
          <w:tab w:pos="2990" w:val="left" w:leader="none"/>
        </w:tabs>
        <w:spacing w:line="297" w:lineRule="auto" w:before="91" w:after="0"/>
        <w:ind w:left="2990" w:right="1063" w:hanging="2766"/>
        <w:jc w:val="left"/>
        <w:rPr>
          <w:sz w:val="21"/>
        </w:rPr>
      </w:pPr>
      <w:r>
        <w:rPr>
          <w:spacing w:val="-2"/>
          <w:sz w:val="21"/>
        </w:rPr>
        <w:t>保</w:t>
      </w:r>
      <w:r>
        <w:rPr>
          <w:spacing w:val="-2"/>
          <w:sz w:val="21"/>
        </w:rPr>
        <w:t>险</w:t>
      </w:r>
      <w:r>
        <w:rPr>
          <w:spacing w:val="-2"/>
          <w:sz w:val="21"/>
        </w:rPr>
        <w:t>费应付日</w:t>
      </w:r>
      <w:r>
        <w:rPr>
          <w:sz w:val="21"/>
        </w:rPr>
        <w:tab/>
      </w:r>
      <w:r>
        <w:rPr>
          <w:spacing w:val="-2"/>
          <w:sz w:val="21"/>
        </w:rPr>
        <w:t>保</w:t>
      </w:r>
      <w:r>
        <w:rPr>
          <w:spacing w:val="-2"/>
          <w:sz w:val="21"/>
        </w:rPr>
        <w:t>险</w:t>
      </w:r>
      <w:r>
        <w:rPr>
          <w:spacing w:val="-2"/>
          <w:sz w:val="21"/>
        </w:rPr>
        <w:t>合同生效日在每月、每季、每半年或每年（根</w:t>
      </w:r>
      <w:r>
        <w:rPr>
          <w:spacing w:val="-2"/>
          <w:sz w:val="21"/>
        </w:rPr>
        <w:t>据</w:t>
      </w:r>
      <w:r>
        <w:rPr>
          <w:spacing w:val="-2"/>
          <w:sz w:val="21"/>
        </w:rPr>
        <w:t>交</w:t>
      </w:r>
      <w:r>
        <w:rPr>
          <w:spacing w:val="-2"/>
          <w:sz w:val="21"/>
        </w:rPr>
        <w:t>费方式确定）的</w:t>
      </w:r>
      <w:r>
        <w:rPr>
          <w:spacing w:val="-2"/>
          <w:sz w:val="21"/>
        </w:rPr>
        <w:t>对</w:t>
      </w:r>
      <w:r>
        <w:rPr>
          <w:spacing w:val="-2"/>
          <w:sz w:val="21"/>
        </w:rPr>
        <w:t>应</w:t>
      </w:r>
      <w:r>
        <w:rPr>
          <w:spacing w:val="-2"/>
          <w:sz w:val="21"/>
        </w:rPr>
        <w:t>日。如果当月无此对</w:t>
      </w:r>
      <w:r>
        <w:rPr>
          <w:spacing w:val="-2"/>
          <w:sz w:val="21"/>
        </w:rPr>
        <w:t>应</w:t>
      </w:r>
      <w:r>
        <w:rPr>
          <w:spacing w:val="-2"/>
          <w:sz w:val="21"/>
        </w:rPr>
        <w:t>日</w:t>
      </w:r>
      <w:r>
        <w:rPr>
          <w:spacing w:val="-2"/>
          <w:sz w:val="21"/>
        </w:rPr>
        <w:t>，则以该月最后一日</w:t>
      </w:r>
      <w:r>
        <w:rPr>
          <w:spacing w:val="-2"/>
          <w:sz w:val="21"/>
        </w:rPr>
        <w:t>为</w:t>
      </w:r>
      <w:r>
        <w:rPr>
          <w:spacing w:val="-2"/>
          <w:sz w:val="21"/>
        </w:rPr>
        <w:t>对</w:t>
      </w:r>
      <w:r>
        <w:rPr>
          <w:spacing w:val="-2"/>
          <w:sz w:val="21"/>
        </w:rPr>
        <w:t>应</w:t>
      </w:r>
      <w:r>
        <w:rPr>
          <w:spacing w:val="-2"/>
          <w:sz w:val="21"/>
        </w:rPr>
        <w:t>日</w:t>
      </w:r>
      <w:r>
        <w:rPr>
          <w:spacing w:val="-2"/>
          <w:sz w:val="21"/>
        </w:rPr>
        <w:t>。</w:t>
      </w:r>
    </w:p>
    <w:p>
      <w:pPr>
        <w:pStyle w:val="ListParagraph"/>
        <w:numPr>
          <w:ilvl w:val="1"/>
          <w:numId w:val="13"/>
        </w:numPr>
        <w:tabs>
          <w:tab w:pos="1408" w:val="left" w:leader="none"/>
          <w:tab w:pos="1409" w:val="left" w:leader="none"/>
          <w:tab w:pos="2990" w:val="left" w:leader="none"/>
        </w:tabs>
        <w:spacing w:line="297" w:lineRule="auto" w:before="91" w:after="0"/>
        <w:ind w:left="2990" w:right="1039" w:hanging="2766"/>
        <w:jc w:val="left"/>
        <w:rPr>
          <w:sz w:val="21"/>
        </w:rPr>
      </w:pPr>
      <w:r>
        <w:rPr>
          <w:spacing w:val="-4"/>
          <w:sz w:val="21"/>
        </w:rPr>
        <w:t>意</w:t>
      </w:r>
      <w:r>
        <w:rPr>
          <w:spacing w:val="-4"/>
          <w:sz w:val="21"/>
        </w:rPr>
        <w:t>外</w:t>
      </w:r>
      <w:r>
        <w:rPr>
          <w:spacing w:val="-4"/>
          <w:sz w:val="21"/>
        </w:rPr>
        <w:t>伤害</w:t>
      </w:r>
      <w:r>
        <w:rPr>
          <w:sz w:val="21"/>
        </w:rPr>
        <w:tab/>
      </w:r>
      <w:r>
        <w:rPr>
          <w:spacing w:val="-2"/>
          <w:sz w:val="21"/>
        </w:rPr>
        <w:t>指</w:t>
      </w:r>
      <w:r>
        <w:rPr>
          <w:spacing w:val="-2"/>
          <w:sz w:val="21"/>
        </w:rPr>
        <w:t>外</w:t>
      </w:r>
      <w:r>
        <w:rPr>
          <w:spacing w:val="-2"/>
          <w:sz w:val="21"/>
        </w:rPr>
        <w:t>来的、突然的、非本</w:t>
      </w:r>
      <w:r>
        <w:rPr>
          <w:spacing w:val="-2"/>
          <w:sz w:val="21"/>
        </w:rPr>
        <w:t>意</w:t>
      </w:r>
      <w:r>
        <w:rPr>
          <w:spacing w:val="-2"/>
          <w:sz w:val="21"/>
        </w:rPr>
        <w:t>的</w:t>
      </w:r>
      <w:r>
        <w:rPr>
          <w:spacing w:val="-2"/>
          <w:sz w:val="21"/>
        </w:rPr>
        <w:t>、非疾病的使身体受</w:t>
      </w:r>
      <w:r>
        <w:rPr>
          <w:spacing w:val="-2"/>
          <w:sz w:val="21"/>
        </w:rPr>
        <w:t>到</w:t>
      </w:r>
      <w:r>
        <w:rPr>
          <w:spacing w:val="-2"/>
          <w:sz w:val="21"/>
        </w:rPr>
        <w:t>伤</w:t>
      </w:r>
      <w:r>
        <w:rPr>
          <w:spacing w:val="-2"/>
          <w:sz w:val="21"/>
        </w:rPr>
        <w:t>害的客观事件。</w:t>
      </w:r>
      <w:r>
        <w:rPr>
          <w:b/>
          <w:spacing w:val="-2"/>
          <w:sz w:val="21"/>
        </w:rPr>
        <w:t>猝</w:t>
      </w:r>
      <w:r>
        <w:rPr>
          <w:b/>
          <w:spacing w:val="-2"/>
          <w:sz w:val="21"/>
        </w:rPr>
        <w:t>死</w:t>
      </w:r>
      <w:r>
        <w:rPr>
          <w:b/>
          <w:spacing w:val="-2"/>
          <w:sz w:val="21"/>
        </w:rPr>
        <w:t>不</w:t>
      </w:r>
      <w:r>
        <w:rPr>
          <w:b/>
          <w:spacing w:val="-2"/>
          <w:sz w:val="21"/>
        </w:rPr>
        <w:t>属</w:t>
      </w:r>
      <w:r>
        <w:rPr>
          <w:b/>
          <w:spacing w:val="-2"/>
          <w:sz w:val="21"/>
        </w:rPr>
        <w:t>于</w:t>
      </w:r>
      <w:r>
        <w:rPr>
          <w:b/>
          <w:spacing w:val="-2"/>
          <w:sz w:val="21"/>
        </w:rPr>
        <w:t>意</w:t>
      </w:r>
      <w:r>
        <w:rPr>
          <w:b/>
          <w:spacing w:val="-2"/>
          <w:sz w:val="21"/>
        </w:rPr>
        <w:t>外</w:t>
      </w:r>
      <w:r>
        <w:rPr>
          <w:b/>
          <w:spacing w:val="-2"/>
          <w:sz w:val="21"/>
        </w:rPr>
        <w:t>伤</w:t>
      </w:r>
      <w:r>
        <w:rPr>
          <w:b/>
          <w:spacing w:val="-2"/>
          <w:sz w:val="21"/>
        </w:rPr>
        <w:t>害</w:t>
      </w:r>
      <w:r>
        <w:rPr>
          <w:spacing w:val="-2"/>
          <w:sz w:val="21"/>
        </w:rPr>
        <w:t>。</w:t>
      </w:r>
    </w:p>
    <w:p>
      <w:pPr>
        <w:pStyle w:val="BodyText"/>
        <w:spacing w:line="297" w:lineRule="auto" w:before="2"/>
        <w:ind w:left="2990" w:right="1058"/>
        <w:jc w:val="both"/>
      </w:pPr>
      <w:r>
        <w:rPr>
          <w:spacing w:val="-8"/>
        </w:rPr>
        <w:t>猝死指表面健康的人因潜在疾病、机能障碍或其他原因在出现症状后 </w:t>
      </w:r>
      <w:r>
        <w:rPr>
          <w:spacing w:val="-2"/>
        </w:rPr>
        <w:t>24</w:t>
      </w:r>
      <w:r>
        <w:rPr>
          <w:spacing w:val="-2"/>
        </w:rPr>
        <w:t>小时内发生的非暴力性突然死亡。猝死的认定以我们认可的医院的诊断</w:t>
      </w:r>
      <w:r>
        <w:rPr>
          <w:spacing w:val="-2"/>
        </w:rPr>
        <w:t>或公安部门的鉴定为准。</w:t>
      </w:r>
    </w:p>
    <w:p>
      <w:pPr>
        <w:pStyle w:val="ListParagraph"/>
        <w:numPr>
          <w:ilvl w:val="1"/>
          <w:numId w:val="13"/>
        </w:numPr>
        <w:tabs>
          <w:tab w:pos="1408" w:val="left" w:leader="none"/>
          <w:tab w:pos="1409" w:val="left" w:leader="none"/>
          <w:tab w:pos="2990" w:val="left" w:leader="none"/>
        </w:tabs>
        <w:spacing w:line="297" w:lineRule="auto" w:before="92" w:after="0"/>
        <w:ind w:left="2990" w:right="955" w:hanging="2766"/>
        <w:jc w:val="left"/>
        <w:rPr>
          <w:sz w:val="21"/>
        </w:rPr>
      </w:pPr>
      <w:r>
        <w:rPr>
          <w:spacing w:val="-4"/>
          <w:sz w:val="21"/>
        </w:rPr>
        <w:t>重</w:t>
      </w:r>
      <w:r>
        <w:rPr>
          <w:spacing w:val="-4"/>
          <w:sz w:val="21"/>
        </w:rPr>
        <w:t>度</w:t>
      </w:r>
      <w:r>
        <w:rPr>
          <w:spacing w:val="-4"/>
          <w:sz w:val="21"/>
        </w:rPr>
        <w:t>疾病</w:t>
      </w:r>
      <w:r>
        <w:rPr>
          <w:sz w:val="21"/>
        </w:rPr>
        <w:tab/>
      </w:r>
      <w:r>
        <w:rPr>
          <w:spacing w:val="-4"/>
          <w:sz w:val="21"/>
        </w:rPr>
        <w:t>符</w:t>
      </w:r>
      <w:r>
        <w:rPr>
          <w:spacing w:val="-4"/>
          <w:sz w:val="21"/>
        </w:rPr>
        <w:t>合</w:t>
      </w:r>
      <w:r>
        <w:rPr>
          <w:spacing w:val="-4"/>
          <w:sz w:val="21"/>
        </w:rPr>
        <w:t>以下疾病定义所述条</w:t>
      </w:r>
      <w:r>
        <w:rPr>
          <w:spacing w:val="-4"/>
          <w:sz w:val="21"/>
        </w:rPr>
        <w:t>件</w:t>
      </w:r>
      <w:r>
        <w:rPr>
          <w:spacing w:val="-4"/>
          <w:sz w:val="21"/>
        </w:rPr>
        <w:t>的</w:t>
      </w:r>
      <w:r>
        <w:rPr>
          <w:spacing w:val="-4"/>
          <w:sz w:val="21"/>
        </w:rPr>
        <w:t>疾病，并由</w:t>
      </w:r>
      <w:r>
        <w:rPr>
          <w:color w:val="000000"/>
          <w:spacing w:val="-4"/>
          <w:sz w:val="21"/>
          <w:shd w:fill="BEBEBE" w:color="auto" w:val="clear"/>
        </w:rPr>
        <w:t>专科医生（</w:t>
      </w:r>
      <w:r>
        <w:rPr>
          <w:color w:val="000000"/>
          <w:spacing w:val="-4"/>
          <w:sz w:val="21"/>
        </w:rPr>
        <w:t>见</w:t>
      </w:r>
      <w:r>
        <w:rPr>
          <w:color w:val="000000"/>
          <w:spacing w:val="-4"/>
          <w:sz w:val="21"/>
        </w:rPr>
        <w:t>8.22）明确诊断，</w:t>
      </w:r>
      <w:r>
        <w:rPr>
          <w:color w:val="000000"/>
          <w:spacing w:val="-2"/>
          <w:sz w:val="21"/>
        </w:rPr>
        <w:t>共</w:t>
      </w:r>
      <w:r>
        <w:rPr>
          <w:color w:val="000000"/>
          <w:spacing w:val="-2"/>
          <w:sz w:val="21"/>
        </w:rPr>
        <w:t>计</w:t>
      </w:r>
      <w:r>
        <w:rPr>
          <w:color w:val="000000"/>
          <w:spacing w:val="-2"/>
          <w:sz w:val="21"/>
        </w:rPr>
        <w:t>一百一十种。其中，</w:t>
      </w:r>
      <w:r>
        <w:rPr>
          <w:color w:val="000000"/>
          <w:spacing w:val="-2"/>
          <w:sz w:val="21"/>
        </w:rPr>
        <w:t>第</w:t>
      </w:r>
      <w:r>
        <w:rPr>
          <w:color w:val="000000"/>
          <w:spacing w:val="-2"/>
          <w:sz w:val="21"/>
        </w:rPr>
        <w:t>一</w:t>
      </w:r>
      <w:r>
        <w:rPr>
          <w:color w:val="000000"/>
          <w:spacing w:val="-2"/>
          <w:sz w:val="21"/>
        </w:rPr>
        <w:t>种至第二十八种为中</w:t>
      </w:r>
      <w:r>
        <w:rPr>
          <w:color w:val="000000"/>
          <w:spacing w:val="-2"/>
          <w:sz w:val="21"/>
        </w:rPr>
        <w:t>国</w:t>
      </w:r>
      <w:r>
        <w:rPr>
          <w:color w:val="000000"/>
          <w:spacing w:val="-2"/>
          <w:sz w:val="21"/>
        </w:rPr>
        <w:t>保</w:t>
      </w:r>
      <w:r>
        <w:rPr>
          <w:color w:val="000000"/>
          <w:spacing w:val="-2"/>
          <w:sz w:val="21"/>
        </w:rPr>
        <w:t>险行业协会</w:t>
      </w:r>
      <w:r>
        <w:rPr>
          <w:color w:val="000000"/>
          <w:spacing w:val="-2"/>
          <w:sz w:val="21"/>
        </w:rPr>
        <w:t>在</w:t>
      </w:r>
      <w:r>
        <w:rPr>
          <w:color w:val="000000"/>
          <w:spacing w:val="-2"/>
          <w:sz w:val="21"/>
        </w:rPr>
        <w:t>其</w:t>
      </w:r>
      <w:r>
        <w:rPr>
          <w:color w:val="000000"/>
          <w:spacing w:val="-2"/>
          <w:sz w:val="21"/>
        </w:rPr>
        <w:t>制</w:t>
      </w:r>
      <w:r>
        <w:rPr>
          <w:color w:val="000000"/>
          <w:spacing w:val="-2"/>
          <w:sz w:val="21"/>
        </w:rPr>
        <w:t>定</w:t>
      </w:r>
      <w:r>
        <w:rPr>
          <w:color w:val="000000"/>
          <w:spacing w:val="-2"/>
          <w:sz w:val="21"/>
        </w:rPr>
        <w:t>的《重大疾病保险的</w:t>
      </w:r>
      <w:r>
        <w:rPr>
          <w:color w:val="000000"/>
          <w:spacing w:val="-2"/>
          <w:sz w:val="21"/>
        </w:rPr>
        <w:t>疾</w:t>
      </w:r>
      <w:r>
        <w:rPr>
          <w:color w:val="000000"/>
          <w:spacing w:val="-2"/>
          <w:sz w:val="21"/>
        </w:rPr>
        <w:t>病</w:t>
      </w:r>
      <w:r>
        <w:rPr>
          <w:color w:val="000000"/>
          <w:spacing w:val="-2"/>
          <w:sz w:val="21"/>
        </w:rPr>
        <w:t>定义使用规范（2020</w:t>
      </w:r>
      <w:r>
        <w:rPr>
          <w:color w:val="000000"/>
          <w:spacing w:val="-2"/>
          <w:sz w:val="21"/>
        </w:rPr>
        <w:t>年</w:t>
      </w:r>
      <w:r>
        <w:rPr>
          <w:color w:val="000000"/>
          <w:spacing w:val="-2"/>
          <w:sz w:val="21"/>
        </w:rPr>
        <w:t>修</w:t>
      </w:r>
      <w:r>
        <w:rPr>
          <w:color w:val="000000"/>
          <w:spacing w:val="-2"/>
          <w:sz w:val="21"/>
        </w:rPr>
        <w:t>订版）》中</w:t>
      </w:r>
      <w:r>
        <w:rPr>
          <w:color w:val="000000"/>
          <w:spacing w:val="-2"/>
          <w:sz w:val="21"/>
        </w:rPr>
        <w:t>所</w:t>
      </w:r>
      <w:r>
        <w:rPr>
          <w:color w:val="000000"/>
          <w:spacing w:val="-2"/>
          <w:sz w:val="21"/>
        </w:rPr>
        <w:t>规</w:t>
      </w:r>
      <w:r>
        <w:rPr>
          <w:color w:val="000000"/>
          <w:spacing w:val="-4"/>
          <w:sz w:val="21"/>
        </w:rPr>
        <w:t>定</w:t>
      </w:r>
      <w:r>
        <w:rPr>
          <w:color w:val="000000"/>
          <w:spacing w:val="-4"/>
          <w:sz w:val="21"/>
        </w:rPr>
        <w:t>的</w:t>
      </w:r>
      <w:r>
        <w:rPr>
          <w:color w:val="000000"/>
          <w:spacing w:val="-4"/>
          <w:sz w:val="21"/>
        </w:rPr>
        <w:t>疾</w:t>
      </w:r>
      <w:r>
        <w:rPr>
          <w:color w:val="000000"/>
          <w:spacing w:val="-4"/>
          <w:sz w:val="21"/>
        </w:rPr>
        <w:t>病</w:t>
      </w:r>
      <w:r>
        <w:rPr>
          <w:color w:val="000000"/>
          <w:spacing w:val="-4"/>
          <w:sz w:val="21"/>
        </w:rPr>
        <w:t>。</w:t>
      </w:r>
    </w:p>
    <w:p>
      <w:pPr>
        <w:pStyle w:val="BodyText"/>
        <w:ind w:left="2990"/>
      </w:pPr>
      <w:r>
        <w:rPr>
          <w:spacing w:val="-3"/>
        </w:rPr>
        <w:t>本合同所列的重度疾病分组为：</w:t>
      </w:r>
    </w:p>
    <w:p>
      <w:pPr>
        <w:pStyle w:val="BodyText"/>
        <w:rPr>
          <w:sz w:val="20"/>
        </w:rPr>
      </w:pPr>
    </w:p>
    <w:p>
      <w:pPr>
        <w:pStyle w:val="BodyText"/>
        <w:spacing w:before="6"/>
        <w:rPr>
          <w:sz w:val="15"/>
        </w:rPr>
      </w:pPr>
    </w:p>
    <w:tbl>
      <w:tblPr>
        <w:tblW w:w="0" w:type="auto"/>
        <w:jc w:val="left"/>
        <w:tblInd w:w="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17"/>
        <w:gridCol w:w="1844"/>
        <w:gridCol w:w="1983"/>
        <w:gridCol w:w="1843"/>
        <w:gridCol w:w="1760"/>
      </w:tblGrid>
      <w:tr>
        <w:trPr>
          <w:trHeight w:val="313" w:hRule="atLeast"/>
        </w:trPr>
        <w:tc>
          <w:tcPr>
            <w:tcW w:w="1817" w:type="dxa"/>
          </w:tcPr>
          <w:p>
            <w:pPr>
              <w:pStyle w:val="TableParagraph"/>
              <w:spacing w:line="277" w:lineRule="exact" w:before="17"/>
              <w:ind w:left="247"/>
              <w:rPr>
                <w:b/>
                <w:sz w:val="22"/>
              </w:rPr>
            </w:pPr>
            <w:r>
              <w:rPr>
                <w:b/>
                <w:w w:val="95"/>
                <w:sz w:val="22"/>
              </w:rPr>
              <w:t>A</w:t>
            </w:r>
            <w:r>
              <w:rPr>
                <w:b/>
                <w:spacing w:val="-16"/>
                <w:w w:val="95"/>
                <w:sz w:val="22"/>
              </w:rPr>
              <w:t> 组</w:t>
            </w:r>
            <w:r>
              <w:rPr>
                <w:b/>
                <w:w w:val="95"/>
                <w:sz w:val="22"/>
              </w:rPr>
              <w:t>（25</w:t>
            </w:r>
            <w:r>
              <w:rPr>
                <w:b/>
                <w:spacing w:val="-30"/>
                <w:w w:val="95"/>
                <w:sz w:val="22"/>
              </w:rPr>
              <w:t> </w:t>
            </w:r>
            <w:r>
              <w:rPr>
                <w:b/>
                <w:w w:val="95"/>
                <w:sz w:val="22"/>
              </w:rPr>
              <w:t>种</w:t>
            </w:r>
            <w:r>
              <w:rPr>
                <w:b/>
                <w:spacing w:val="-10"/>
                <w:w w:val="95"/>
                <w:sz w:val="22"/>
              </w:rPr>
              <w:t>）</w:t>
            </w:r>
          </w:p>
        </w:tc>
        <w:tc>
          <w:tcPr>
            <w:tcW w:w="1844" w:type="dxa"/>
          </w:tcPr>
          <w:p>
            <w:pPr>
              <w:pStyle w:val="TableParagraph"/>
              <w:spacing w:line="277" w:lineRule="exact" w:before="17"/>
              <w:ind w:left="256"/>
              <w:rPr>
                <w:b/>
                <w:sz w:val="22"/>
              </w:rPr>
            </w:pPr>
            <w:r>
              <w:rPr>
                <w:b/>
                <w:w w:val="95"/>
                <w:sz w:val="22"/>
              </w:rPr>
              <w:t>B</w:t>
            </w:r>
            <w:r>
              <w:rPr>
                <w:b/>
                <w:spacing w:val="-30"/>
                <w:w w:val="95"/>
                <w:sz w:val="22"/>
              </w:rPr>
              <w:t> </w:t>
            </w:r>
            <w:r>
              <w:rPr>
                <w:b/>
                <w:w w:val="95"/>
                <w:sz w:val="22"/>
              </w:rPr>
              <w:t>组</w:t>
            </w:r>
            <w:r>
              <w:rPr>
                <w:b/>
                <w:w w:val="95"/>
                <w:sz w:val="22"/>
              </w:rPr>
              <w:t>（21</w:t>
            </w:r>
            <w:r>
              <w:rPr>
                <w:b/>
                <w:spacing w:val="-30"/>
                <w:w w:val="95"/>
                <w:sz w:val="22"/>
              </w:rPr>
              <w:t> </w:t>
            </w:r>
            <w:r>
              <w:rPr>
                <w:b/>
                <w:w w:val="95"/>
                <w:sz w:val="22"/>
              </w:rPr>
              <w:t>种</w:t>
            </w:r>
            <w:r>
              <w:rPr>
                <w:b/>
                <w:spacing w:val="-10"/>
                <w:w w:val="95"/>
                <w:sz w:val="22"/>
              </w:rPr>
              <w:t>）</w:t>
            </w:r>
          </w:p>
        </w:tc>
        <w:tc>
          <w:tcPr>
            <w:tcW w:w="1983" w:type="dxa"/>
          </w:tcPr>
          <w:p>
            <w:pPr>
              <w:pStyle w:val="TableParagraph"/>
              <w:spacing w:line="277" w:lineRule="exact" w:before="17"/>
              <w:ind w:left="328"/>
              <w:rPr>
                <w:b/>
                <w:sz w:val="22"/>
              </w:rPr>
            </w:pPr>
            <w:r>
              <w:rPr>
                <w:b/>
                <w:w w:val="95"/>
                <w:sz w:val="22"/>
              </w:rPr>
              <w:t>C</w:t>
            </w:r>
            <w:r>
              <w:rPr>
                <w:b/>
                <w:spacing w:val="-30"/>
                <w:w w:val="95"/>
                <w:sz w:val="22"/>
              </w:rPr>
              <w:t> </w:t>
            </w:r>
            <w:r>
              <w:rPr>
                <w:b/>
                <w:w w:val="95"/>
                <w:sz w:val="22"/>
              </w:rPr>
              <w:t>组</w:t>
            </w:r>
            <w:r>
              <w:rPr>
                <w:b/>
                <w:w w:val="95"/>
                <w:sz w:val="22"/>
              </w:rPr>
              <w:t>（36</w:t>
            </w:r>
            <w:r>
              <w:rPr>
                <w:b/>
                <w:spacing w:val="-30"/>
                <w:w w:val="95"/>
                <w:sz w:val="22"/>
              </w:rPr>
              <w:t> </w:t>
            </w:r>
            <w:r>
              <w:rPr>
                <w:b/>
                <w:w w:val="95"/>
                <w:sz w:val="22"/>
              </w:rPr>
              <w:t>种</w:t>
            </w:r>
            <w:r>
              <w:rPr>
                <w:b/>
                <w:spacing w:val="-10"/>
                <w:w w:val="95"/>
                <w:sz w:val="22"/>
              </w:rPr>
              <w:t>）</w:t>
            </w:r>
          </w:p>
        </w:tc>
        <w:tc>
          <w:tcPr>
            <w:tcW w:w="1843" w:type="dxa"/>
          </w:tcPr>
          <w:p>
            <w:pPr>
              <w:pStyle w:val="TableParagraph"/>
              <w:spacing w:line="277" w:lineRule="exact" w:before="17"/>
              <w:ind w:left="258"/>
              <w:rPr>
                <w:b/>
                <w:sz w:val="22"/>
              </w:rPr>
            </w:pPr>
            <w:r>
              <w:rPr>
                <w:b/>
                <w:w w:val="95"/>
                <w:sz w:val="22"/>
              </w:rPr>
              <w:t>D</w:t>
            </w:r>
            <w:r>
              <w:rPr>
                <w:b/>
                <w:spacing w:val="-30"/>
                <w:w w:val="95"/>
                <w:sz w:val="22"/>
              </w:rPr>
              <w:t> </w:t>
            </w:r>
            <w:r>
              <w:rPr>
                <w:b/>
                <w:w w:val="95"/>
                <w:sz w:val="22"/>
              </w:rPr>
              <w:t>组</w:t>
            </w:r>
            <w:r>
              <w:rPr>
                <w:b/>
                <w:w w:val="95"/>
                <w:sz w:val="22"/>
              </w:rPr>
              <w:t>（11</w:t>
            </w:r>
            <w:r>
              <w:rPr>
                <w:b/>
                <w:spacing w:val="-30"/>
                <w:w w:val="95"/>
                <w:sz w:val="22"/>
              </w:rPr>
              <w:t> </w:t>
            </w:r>
            <w:r>
              <w:rPr>
                <w:b/>
                <w:w w:val="95"/>
                <w:sz w:val="22"/>
              </w:rPr>
              <w:t>种</w:t>
            </w:r>
            <w:r>
              <w:rPr>
                <w:b/>
                <w:spacing w:val="-10"/>
                <w:w w:val="95"/>
                <w:sz w:val="22"/>
              </w:rPr>
              <w:t>）</w:t>
            </w:r>
          </w:p>
        </w:tc>
        <w:tc>
          <w:tcPr>
            <w:tcW w:w="1760" w:type="dxa"/>
          </w:tcPr>
          <w:p>
            <w:pPr>
              <w:pStyle w:val="TableParagraph"/>
              <w:spacing w:line="277" w:lineRule="exact" w:before="17"/>
              <w:ind w:left="218"/>
              <w:rPr>
                <w:b/>
                <w:sz w:val="22"/>
              </w:rPr>
            </w:pPr>
            <w:r>
              <w:rPr>
                <w:b/>
                <w:w w:val="95"/>
                <w:sz w:val="22"/>
              </w:rPr>
              <w:t>E</w:t>
            </w:r>
            <w:r>
              <w:rPr>
                <w:b/>
                <w:spacing w:val="-30"/>
                <w:w w:val="95"/>
                <w:sz w:val="22"/>
              </w:rPr>
              <w:t> </w:t>
            </w:r>
            <w:r>
              <w:rPr>
                <w:b/>
                <w:w w:val="95"/>
                <w:sz w:val="22"/>
              </w:rPr>
              <w:t>组</w:t>
            </w:r>
            <w:r>
              <w:rPr>
                <w:b/>
                <w:w w:val="95"/>
                <w:sz w:val="22"/>
              </w:rPr>
              <w:t>（17</w:t>
            </w:r>
            <w:r>
              <w:rPr>
                <w:b/>
                <w:spacing w:val="-30"/>
                <w:w w:val="95"/>
                <w:sz w:val="22"/>
              </w:rPr>
              <w:t> </w:t>
            </w:r>
            <w:r>
              <w:rPr>
                <w:b/>
                <w:w w:val="95"/>
                <w:sz w:val="22"/>
              </w:rPr>
              <w:t>种</w:t>
            </w:r>
            <w:r>
              <w:rPr>
                <w:b/>
                <w:spacing w:val="-10"/>
                <w:w w:val="95"/>
                <w:sz w:val="22"/>
              </w:rPr>
              <w:t>）</w:t>
            </w:r>
          </w:p>
        </w:tc>
      </w:tr>
      <w:tr>
        <w:trPr>
          <w:trHeight w:val="623" w:hRule="atLeast"/>
        </w:trPr>
        <w:tc>
          <w:tcPr>
            <w:tcW w:w="1817" w:type="dxa"/>
          </w:tcPr>
          <w:p>
            <w:pPr>
              <w:pStyle w:val="TableParagraph"/>
              <w:spacing w:before="15"/>
              <w:ind w:left="110"/>
              <w:rPr>
                <w:sz w:val="22"/>
              </w:rPr>
            </w:pPr>
            <w:r>
              <w:rPr>
                <w:spacing w:val="-2"/>
                <w:sz w:val="22"/>
              </w:rPr>
              <w:t>（一）</w:t>
            </w:r>
            <w:r>
              <w:rPr>
                <w:spacing w:val="-4"/>
                <w:sz w:val="22"/>
              </w:rPr>
              <w:t>恶性肿瘤</w:t>
            </w:r>
          </w:p>
          <w:p>
            <w:pPr>
              <w:pStyle w:val="TableParagraph"/>
              <w:spacing w:line="277" w:lineRule="exact" w:before="30"/>
              <w:ind w:left="110"/>
              <w:rPr>
                <w:sz w:val="22"/>
              </w:rPr>
            </w:pPr>
            <w:r>
              <w:rPr>
                <w:spacing w:val="-3"/>
                <w:sz w:val="22"/>
              </w:rPr>
              <w:t>——重度</w:t>
            </w:r>
          </w:p>
        </w:tc>
        <w:tc>
          <w:tcPr>
            <w:tcW w:w="1844" w:type="dxa"/>
          </w:tcPr>
          <w:p>
            <w:pPr>
              <w:pStyle w:val="TableParagraph"/>
              <w:spacing w:before="15"/>
              <w:ind w:left="107"/>
              <w:rPr>
                <w:sz w:val="22"/>
              </w:rPr>
            </w:pPr>
            <w:r>
              <w:rPr>
                <w:spacing w:val="-2"/>
                <w:sz w:val="22"/>
              </w:rPr>
              <w:t>（二）</w:t>
            </w:r>
            <w:r>
              <w:rPr>
                <w:spacing w:val="-4"/>
                <w:sz w:val="22"/>
              </w:rPr>
              <w:t>较重急性</w:t>
            </w:r>
          </w:p>
          <w:p>
            <w:pPr>
              <w:pStyle w:val="TableParagraph"/>
              <w:spacing w:line="277" w:lineRule="exact" w:before="30"/>
              <w:ind w:left="107"/>
              <w:rPr>
                <w:sz w:val="22"/>
              </w:rPr>
            </w:pPr>
            <w:r>
              <w:rPr>
                <w:spacing w:val="-3"/>
                <w:sz w:val="22"/>
              </w:rPr>
              <w:t>心肌梗死</w:t>
            </w:r>
          </w:p>
        </w:tc>
        <w:tc>
          <w:tcPr>
            <w:tcW w:w="1983" w:type="dxa"/>
          </w:tcPr>
          <w:p>
            <w:pPr>
              <w:pStyle w:val="TableParagraph"/>
              <w:spacing w:before="15"/>
              <w:ind w:left="107"/>
              <w:rPr>
                <w:sz w:val="22"/>
              </w:rPr>
            </w:pPr>
            <w:r>
              <w:rPr>
                <w:spacing w:val="-2"/>
                <w:sz w:val="22"/>
              </w:rPr>
              <w:t>（三）</w:t>
            </w:r>
            <w:r>
              <w:rPr>
                <w:spacing w:val="-4"/>
                <w:sz w:val="22"/>
              </w:rPr>
              <w:t>严重脑中风</w:t>
            </w:r>
          </w:p>
          <w:p>
            <w:pPr>
              <w:pStyle w:val="TableParagraph"/>
              <w:spacing w:line="277" w:lineRule="exact" w:before="30"/>
              <w:ind w:left="107"/>
              <w:rPr>
                <w:sz w:val="22"/>
              </w:rPr>
            </w:pPr>
            <w:r>
              <w:rPr>
                <w:spacing w:val="-4"/>
                <w:sz w:val="22"/>
              </w:rPr>
              <w:t>后遗症</w:t>
            </w:r>
          </w:p>
        </w:tc>
        <w:tc>
          <w:tcPr>
            <w:tcW w:w="1843" w:type="dxa"/>
          </w:tcPr>
          <w:p>
            <w:pPr>
              <w:pStyle w:val="TableParagraph"/>
              <w:spacing w:before="15"/>
              <w:ind w:left="109"/>
              <w:rPr>
                <w:sz w:val="22"/>
              </w:rPr>
            </w:pPr>
            <w:r>
              <w:rPr>
                <w:spacing w:val="-2"/>
                <w:sz w:val="22"/>
              </w:rPr>
              <w:t>（二十七）</w:t>
            </w:r>
            <w:r>
              <w:rPr>
                <w:spacing w:val="-6"/>
                <w:sz w:val="22"/>
              </w:rPr>
              <w:t>严重</w:t>
            </w:r>
          </w:p>
          <w:p>
            <w:pPr>
              <w:pStyle w:val="TableParagraph"/>
              <w:spacing w:line="277" w:lineRule="exact" w:before="30"/>
              <w:ind w:left="109"/>
              <w:rPr>
                <w:sz w:val="22"/>
              </w:rPr>
            </w:pPr>
            <w:r>
              <w:rPr>
                <w:spacing w:val="-3"/>
                <w:sz w:val="22"/>
              </w:rPr>
              <w:t>克罗恩病</w:t>
            </w:r>
          </w:p>
        </w:tc>
        <w:tc>
          <w:tcPr>
            <w:tcW w:w="1760" w:type="dxa"/>
          </w:tcPr>
          <w:p>
            <w:pPr>
              <w:pStyle w:val="TableParagraph"/>
              <w:spacing w:before="15"/>
              <w:ind w:left="110"/>
              <w:rPr>
                <w:sz w:val="22"/>
              </w:rPr>
            </w:pPr>
            <w:r>
              <w:rPr>
                <w:spacing w:val="-2"/>
                <w:sz w:val="22"/>
              </w:rPr>
              <w:t>（七）</w:t>
            </w:r>
            <w:r>
              <w:rPr>
                <w:spacing w:val="-4"/>
                <w:sz w:val="22"/>
              </w:rPr>
              <w:t>多个肢体</w:t>
            </w:r>
          </w:p>
          <w:p>
            <w:pPr>
              <w:pStyle w:val="TableParagraph"/>
              <w:spacing w:line="277" w:lineRule="exact" w:before="30"/>
              <w:ind w:left="110"/>
              <w:rPr>
                <w:sz w:val="22"/>
              </w:rPr>
            </w:pPr>
            <w:r>
              <w:rPr>
                <w:spacing w:val="-5"/>
                <w:sz w:val="22"/>
              </w:rPr>
              <w:t>缺失</w:t>
            </w:r>
          </w:p>
        </w:tc>
      </w:tr>
      <w:tr>
        <w:trPr>
          <w:trHeight w:val="1247" w:hRule="atLeast"/>
        </w:trPr>
        <w:tc>
          <w:tcPr>
            <w:tcW w:w="1817" w:type="dxa"/>
          </w:tcPr>
          <w:p>
            <w:pPr>
              <w:pStyle w:val="TableParagraph"/>
              <w:spacing w:line="266" w:lineRule="auto" w:before="171"/>
              <w:ind w:left="110" w:right="151"/>
              <w:jc w:val="both"/>
              <w:rPr>
                <w:sz w:val="22"/>
              </w:rPr>
            </w:pPr>
            <w:r>
              <w:rPr>
                <w:spacing w:val="-2"/>
                <w:sz w:val="22"/>
              </w:rPr>
              <w:t>（四）重大器官</w:t>
            </w:r>
            <w:r>
              <w:rPr>
                <w:spacing w:val="-2"/>
                <w:sz w:val="22"/>
              </w:rPr>
              <w:t>移植术或造血干</w:t>
            </w:r>
            <w:r>
              <w:rPr>
                <w:spacing w:val="-2"/>
                <w:sz w:val="22"/>
              </w:rPr>
              <w:t>细胞移植术</w:t>
            </w:r>
          </w:p>
        </w:tc>
        <w:tc>
          <w:tcPr>
            <w:tcW w:w="1844" w:type="dxa"/>
          </w:tcPr>
          <w:p>
            <w:pPr>
              <w:pStyle w:val="TableParagraph"/>
              <w:spacing w:line="266" w:lineRule="auto" w:before="15"/>
              <w:ind w:left="107" w:right="181"/>
              <w:jc w:val="both"/>
              <w:rPr>
                <w:sz w:val="22"/>
              </w:rPr>
            </w:pPr>
            <w:r>
              <w:rPr>
                <w:spacing w:val="-2"/>
                <w:sz w:val="22"/>
              </w:rPr>
              <w:t>（五）冠状动脉</w:t>
            </w:r>
            <w:r>
              <w:rPr>
                <w:spacing w:val="-2"/>
                <w:sz w:val="22"/>
              </w:rPr>
              <w:t>搭桥术（或称冠</w:t>
            </w:r>
            <w:r>
              <w:rPr>
                <w:spacing w:val="-4"/>
                <w:sz w:val="22"/>
              </w:rPr>
              <w:t>状动脉旁路移植</w:t>
            </w:r>
          </w:p>
          <w:p>
            <w:pPr>
              <w:pStyle w:val="TableParagraph"/>
              <w:spacing w:line="274" w:lineRule="exact"/>
              <w:ind w:left="107"/>
              <w:rPr>
                <w:sz w:val="22"/>
              </w:rPr>
            </w:pPr>
            <w:r>
              <w:rPr>
                <w:sz w:val="22"/>
              </w:rPr>
              <w:t>术</w:t>
            </w:r>
            <w:r>
              <w:rPr>
                <w:spacing w:val="-10"/>
                <w:sz w:val="22"/>
              </w:rPr>
              <w:t>）</w:t>
            </w:r>
          </w:p>
        </w:tc>
        <w:tc>
          <w:tcPr>
            <w:tcW w:w="1983" w:type="dxa"/>
          </w:tcPr>
          <w:p>
            <w:pPr>
              <w:pStyle w:val="TableParagraph"/>
              <w:spacing w:before="6"/>
              <w:rPr>
                <w:sz w:val="25"/>
              </w:rPr>
            </w:pPr>
          </w:p>
          <w:p>
            <w:pPr>
              <w:pStyle w:val="TableParagraph"/>
              <w:spacing w:line="266" w:lineRule="auto"/>
              <w:ind w:left="107" w:right="102"/>
              <w:rPr>
                <w:sz w:val="22"/>
              </w:rPr>
            </w:pPr>
            <w:r>
              <w:rPr>
                <w:spacing w:val="-2"/>
                <w:sz w:val="22"/>
              </w:rPr>
              <w:t>（九）严重非恶性</w:t>
            </w:r>
            <w:r>
              <w:rPr>
                <w:spacing w:val="-4"/>
                <w:sz w:val="22"/>
              </w:rPr>
              <w:t>颅内肿瘤</w:t>
            </w:r>
          </w:p>
        </w:tc>
        <w:tc>
          <w:tcPr>
            <w:tcW w:w="1843" w:type="dxa"/>
          </w:tcPr>
          <w:p>
            <w:pPr>
              <w:pStyle w:val="TableParagraph"/>
              <w:spacing w:before="6"/>
              <w:rPr>
                <w:sz w:val="25"/>
              </w:rPr>
            </w:pPr>
          </w:p>
          <w:p>
            <w:pPr>
              <w:pStyle w:val="TableParagraph"/>
              <w:spacing w:line="266" w:lineRule="auto"/>
              <w:ind w:left="109" w:right="178"/>
              <w:rPr>
                <w:sz w:val="22"/>
              </w:rPr>
            </w:pPr>
            <w:r>
              <w:rPr>
                <w:spacing w:val="-2"/>
                <w:sz w:val="22"/>
              </w:rPr>
              <w:t>（二十八）严重</w:t>
            </w:r>
            <w:r>
              <w:rPr>
                <w:spacing w:val="-2"/>
                <w:sz w:val="22"/>
              </w:rPr>
              <w:t>溃疡性结肠炎</w:t>
            </w:r>
          </w:p>
        </w:tc>
        <w:tc>
          <w:tcPr>
            <w:tcW w:w="1760" w:type="dxa"/>
          </w:tcPr>
          <w:p>
            <w:pPr>
              <w:pStyle w:val="TableParagraph"/>
              <w:spacing w:before="6"/>
              <w:rPr>
                <w:sz w:val="25"/>
              </w:rPr>
            </w:pPr>
          </w:p>
          <w:p>
            <w:pPr>
              <w:pStyle w:val="TableParagraph"/>
              <w:spacing w:line="266" w:lineRule="auto"/>
              <w:ind w:left="110" w:right="94"/>
              <w:rPr>
                <w:sz w:val="22"/>
              </w:rPr>
            </w:pPr>
            <w:r>
              <w:rPr>
                <w:spacing w:val="-2"/>
                <w:sz w:val="22"/>
              </w:rPr>
              <w:t>（十四）双目失</w:t>
            </w:r>
            <w:r>
              <w:rPr>
                <w:spacing w:val="-10"/>
                <w:sz w:val="22"/>
              </w:rPr>
              <w:t>明</w:t>
            </w:r>
          </w:p>
        </w:tc>
      </w:tr>
      <w:tr>
        <w:trPr>
          <w:trHeight w:val="935" w:hRule="atLeast"/>
        </w:trPr>
        <w:tc>
          <w:tcPr>
            <w:tcW w:w="1817" w:type="dxa"/>
          </w:tcPr>
          <w:p>
            <w:pPr>
              <w:pStyle w:val="TableParagraph"/>
              <w:spacing w:line="266" w:lineRule="auto" w:before="171"/>
              <w:ind w:left="110" w:right="151"/>
              <w:rPr>
                <w:sz w:val="22"/>
              </w:rPr>
            </w:pPr>
            <w:r>
              <w:rPr>
                <w:spacing w:val="-2"/>
                <w:sz w:val="22"/>
              </w:rPr>
              <w:t>（六）严重慢性</w:t>
            </w:r>
            <w:r>
              <w:rPr>
                <w:spacing w:val="-4"/>
                <w:sz w:val="22"/>
              </w:rPr>
              <w:t>肾衰竭</w:t>
            </w:r>
          </w:p>
        </w:tc>
        <w:tc>
          <w:tcPr>
            <w:tcW w:w="1844" w:type="dxa"/>
          </w:tcPr>
          <w:p>
            <w:pPr>
              <w:pStyle w:val="TableParagraph"/>
              <w:spacing w:line="266" w:lineRule="auto" w:before="171"/>
              <w:ind w:left="107" w:right="181"/>
              <w:rPr>
                <w:sz w:val="22"/>
              </w:rPr>
            </w:pPr>
            <w:r>
              <w:rPr>
                <w:spacing w:val="-2"/>
                <w:sz w:val="22"/>
              </w:rPr>
              <w:t>（十六）心脏瓣</w:t>
            </w:r>
            <w:r>
              <w:rPr>
                <w:spacing w:val="-4"/>
                <w:sz w:val="22"/>
              </w:rPr>
              <w:t>膜手术</w:t>
            </w:r>
          </w:p>
        </w:tc>
        <w:tc>
          <w:tcPr>
            <w:tcW w:w="1983" w:type="dxa"/>
          </w:tcPr>
          <w:p>
            <w:pPr>
              <w:pStyle w:val="TableParagraph"/>
              <w:spacing w:line="266" w:lineRule="auto" w:before="15"/>
              <w:ind w:left="107" w:right="102"/>
              <w:rPr>
                <w:sz w:val="22"/>
              </w:rPr>
            </w:pPr>
            <w:r>
              <w:rPr>
                <w:spacing w:val="-2"/>
                <w:sz w:val="22"/>
              </w:rPr>
              <w:t>（十一）严重脑炎</w:t>
            </w:r>
            <w:r>
              <w:rPr>
                <w:spacing w:val="-4"/>
                <w:sz w:val="22"/>
              </w:rPr>
              <w:t>后遗症或严重脑膜</w:t>
            </w:r>
          </w:p>
          <w:p>
            <w:pPr>
              <w:pStyle w:val="TableParagraph"/>
              <w:spacing w:line="275" w:lineRule="exact"/>
              <w:ind w:left="107"/>
              <w:rPr>
                <w:sz w:val="22"/>
              </w:rPr>
            </w:pPr>
            <w:r>
              <w:rPr>
                <w:spacing w:val="-3"/>
                <w:sz w:val="22"/>
              </w:rPr>
              <w:t>炎后遗症</w:t>
            </w:r>
          </w:p>
        </w:tc>
        <w:tc>
          <w:tcPr>
            <w:tcW w:w="1843" w:type="dxa"/>
          </w:tcPr>
          <w:p>
            <w:pPr>
              <w:pStyle w:val="TableParagraph"/>
              <w:spacing w:line="266" w:lineRule="auto" w:before="15"/>
              <w:ind w:left="109" w:right="178"/>
              <w:rPr>
                <w:sz w:val="22"/>
              </w:rPr>
            </w:pPr>
            <w:r>
              <w:rPr>
                <w:spacing w:val="-2"/>
                <w:sz w:val="22"/>
              </w:rPr>
              <w:t>（三十三）胰岛</w:t>
            </w:r>
            <w:r>
              <w:rPr>
                <w:spacing w:val="-4"/>
                <w:sz w:val="22"/>
              </w:rPr>
              <w:t>素依赖型糖尿病</w:t>
            </w:r>
          </w:p>
          <w:p>
            <w:pPr>
              <w:pStyle w:val="TableParagraph"/>
              <w:spacing w:line="275" w:lineRule="exact"/>
              <w:ind w:left="109"/>
              <w:rPr>
                <w:sz w:val="22"/>
              </w:rPr>
            </w:pPr>
            <w:r>
              <w:rPr>
                <w:spacing w:val="-2"/>
                <w:sz w:val="22"/>
              </w:rPr>
              <w:t>（Ｉ型糖尿病</w:t>
            </w:r>
            <w:r>
              <w:rPr>
                <w:spacing w:val="-10"/>
                <w:sz w:val="22"/>
              </w:rPr>
              <w:t>）</w:t>
            </w:r>
          </w:p>
        </w:tc>
        <w:tc>
          <w:tcPr>
            <w:tcW w:w="1760" w:type="dxa"/>
          </w:tcPr>
          <w:p>
            <w:pPr>
              <w:pStyle w:val="TableParagraph"/>
              <w:spacing w:line="266" w:lineRule="auto" w:before="171"/>
              <w:ind w:left="110" w:right="94"/>
              <w:rPr>
                <w:sz w:val="22"/>
              </w:rPr>
            </w:pPr>
            <w:r>
              <w:rPr>
                <w:spacing w:val="-2"/>
                <w:sz w:val="22"/>
              </w:rPr>
              <w:t>（二十）严重Ⅲ</w:t>
            </w:r>
            <w:r>
              <w:rPr>
                <w:spacing w:val="-4"/>
                <w:sz w:val="22"/>
              </w:rPr>
              <w:t>度烧伤</w:t>
            </w:r>
          </w:p>
        </w:tc>
      </w:tr>
      <w:tr>
        <w:trPr>
          <w:trHeight w:val="935" w:hRule="atLeast"/>
        </w:trPr>
        <w:tc>
          <w:tcPr>
            <w:tcW w:w="1817" w:type="dxa"/>
          </w:tcPr>
          <w:p>
            <w:pPr>
              <w:pStyle w:val="TableParagraph"/>
              <w:spacing w:line="266" w:lineRule="auto" w:before="15"/>
              <w:ind w:left="110" w:right="151"/>
              <w:rPr>
                <w:sz w:val="22"/>
              </w:rPr>
            </w:pPr>
            <w:r>
              <w:rPr>
                <w:spacing w:val="-2"/>
                <w:sz w:val="22"/>
              </w:rPr>
              <w:t>（八）急性重症</w:t>
            </w:r>
            <w:r>
              <w:rPr>
                <w:spacing w:val="-4"/>
                <w:sz w:val="22"/>
              </w:rPr>
              <w:t>肝炎或亚急性重</w:t>
            </w:r>
          </w:p>
          <w:p>
            <w:pPr>
              <w:pStyle w:val="TableParagraph"/>
              <w:spacing w:line="275" w:lineRule="exact"/>
              <w:ind w:left="110"/>
              <w:rPr>
                <w:sz w:val="22"/>
              </w:rPr>
            </w:pPr>
            <w:r>
              <w:rPr>
                <w:spacing w:val="-4"/>
                <w:sz w:val="22"/>
              </w:rPr>
              <w:t>症肝炎</w:t>
            </w:r>
          </w:p>
        </w:tc>
        <w:tc>
          <w:tcPr>
            <w:tcW w:w="1844" w:type="dxa"/>
          </w:tcPr>
          <w:p>
            <w:pPr>
              <w:pStyle w:val="TableParagraph"/>
              <w:spacing w:line="266" w:lineRule="auto" w:before="15"/>
              <w:ind w:left="107" w:right="181"/>
              <w:rPr>
                <w:sz w:val="22"/>
              </w:rPr>
            </w:pPr>
            <w:r>
              <w:rPr>
                <w:spacing w:val="-2"/>
                <w:sz w:val="22"/>
              </w:rPr>
              <w:t>（二十一）严重</w:t>
            </w:r>
            <w:r>
              <w:rPr>
                <w:spacing w:val="-4"/>
                <w:sz w:val="22"/>
              </w:rPr>
              <w:t>特发性肺动脉高</w:t>
            </w:r>
          </w:p>
          <w:p>
            <w:pPr>
              <w:pStyle w:val="TableParagraph"/>
              <w:spacing w:line="275" w:lineRule="exact"/>
              <w:ind w:left="107"/>
              <w:rPr>
                <w:sz w:val="22"/>
              </w:rPr>
            </w:pPr>
            <w:r>
              <w:rPr>
                <w:w w:val="100"/>
                <w:sz w:val="22"/>
              </w:rPr>
              <w:t>压</w:t>
            </w:r>
          </w:p>
        </w:tc>
        <w:tc>
          <w:tcPr>
            <w:tcW w:w="1983" w:type="dxa"/>
          </w:tcPr>
          <w:p>
            <w:pPr>
              <w:pStyle w:val="TableParagraph"/>
              <w:spacing w:before="6"/>
              <w:rPr>
                <w:sz w:val="25"/>
              </w:rPr>
            </w:pPr>
          </w:p>
          <w:p>
            <w:pPr>
              <w:pStyle w:val="TableParagraph"/>
              <w:ind w:left="107"/>
              <w:rPr>
                <w:sz w:val="22"/>
              </w:rPr>
            </w:pPr>
            <w:r>
              <w:rPr>
                <w:spacing w:val="-2"/>
                <w:sz w:val="22"/>
              </w:rPr>
              <w:t>（十二）</w:t>
            </w:r>
            <w:r>
              <w:rPr>
                <w:spacing w:val="-4"/>
                <w:sz w:val="22"/>
              </w:rPr>
              <w:t>深度昏迷</w:t>
            </w:r>
          </w:p>
        </w:tc>
        <w:tc>
          <w:tcPr>
            <w:tcW w:w="1843" w:type="dxa"/>
          </w:tcPr>
          <w:p>
            <w:pPr>
              <w:pStyle w:val="TableParagraph"/>
              <w:spacing w:line="266" w:lineRule="auto" w:before="171"/>
              <w:ind w:left="109" w:right="178"/>
              <w:rPr>
                <w:sz w:val="22"/>
              </w:rPr>
            </w:pPr>
            <w:r>
              <w:rPr>
                <w:spacing w:val="-2"/>
                <w:sz w:val="22"/>
              </w:rPr>
              <w:t>（三十六）急性</w:t>
            </w:r>
            <w:r>
              <w:rPr>
                <w:spacing w:val="-2"/>
                <w:sz w:val="22"/>
              </w:rPr>
              <w:t>坏死性胰腺炎</w:t>
            </w:r>
          </w:p>
        </w:tc>
        <w:tc>
          <w:tcPr>
            <w:tcW w:w="1760" w:type="dxa"/>
          </w:tcPr>
          <w:p>
            <w:pPr>
              <w:pStyle w:val="TableParagraph"/>
              <w:spacing w:line="266" w:lineRule="auto" w:before="171"/>
              <w:ind w:left="110" w:right="94"/>
              <w:rPr>
                <w:sz w:val="22"/>
              </w:rPr>
            </w:pPr>
            <w:r>
              <w:rPr>
                <w:spacing w:val="-2"/>
                <w:sz w:val="22"/>
              </w:rPr>
              <w:t>（三十七）坏死</w:t>
            </w:r>
            <w:r>
              <w:rPr>
                <w:spacing w:val="-4"/>
                <w:sz w:val="22"/>
              </w:rPr>
              <w:t>性筋膜炎</w:t>
            </w:r>
          </w:p>
        </w:tc>
      </w:tr>
      <w:tr>
        <w:trPr>
          <w:trHeight w:val="624" w:hRule="atLeast"/>
        </w:trPr>
        <w:tc>
          <w:tcPr>
            <w:tcW w:w="1817" w:type="dxa"/>
          </w:tcPr>
          <w:p>
            <w:pPr>
              <w:pStyle w:val="TableParagraph"/>
              <w:spacing w:before="15"/>
              <w:ind w:left="110"/>
              <w:rPr>
                <w:sz w:val="22"/>
              </w:rPr>
            </w:pPr>
            <w:r>
              <w:rPr>
                <w:spacing w:val="-2"/>
                <w:sz w:val="22"/>
              </w:rPr>
              <w:t>（十）</w:t>
            </w:r>
            <w:r>
              <w:rPr>
                <w:spacing w:val="-4"/>
                <w:sz w:val="22"/>
              </w:rPr>
              <w:t>严重慢性</w:t>
            </w:r>
          </w:p>
          <w:p>
            <w:pPr>
              <w:pStyle w:val="TableParagraph"/>
              <w:spacing w:line="277" w:lineRule="exact" w:before="30"/>
              <w:ind w:left="110"/>
              <w:rPr>
                <w:sz w:val="22"/>
              </w:rPr>
            </w:pPr>
            <w:r>
              <w:rPr>
                <w:spacing w:val="-4"/>
                <w:sz w:val="22"/>
              </w:rPr>
              <w:t>肝衰竭</w:t>
            </w:r>
          </w:p>
        </w:tc>
        <w:tc>
          <w:tcPr>
            <w:tcW w:w="1844" w:type="dxa"/>
          </w:tcPr>
          <w:p>
            <w:pPr>
              <w:pStyle w:val="TableParagraph"/>
              <w:spacing w:before="15"/>
              <w:ind w:left="107"/>
              <w:rPr>
                <w:sz w:val="22"/>
              </w:rPr>
            </w:pPr>
            <w:r>
              <w:rPr>
                <w:spacing w:val="-2"/>
                <w:sz w:val="22"/>
              </w:rPr>
              <w:t>（二十五）</w:t>
            </w:r>
            <w:r>
              <w:rPr>
                <w:spacing w:val="-6"/>
                <w:sz w:val="22"/>
              </w:rPr>
              <w:t>主动</w:t>
            </w:r>
          </w:p>
          <w:p>
            <w:pPr>
              <w:pStyle w:val="TableParagraph"/>
              <w:spacing w:line="277" w:lineRule="exact" w:before="30"/>
              <w:ind w:left="107"/>
              <w:rPr>
                <w:sz w:val="22"/>
              </w:rPr>
            </w:pPr>
            <w:r>
              <w:rPr>
                <w:spacing w:val="-4"/>
                <w:sz w:val="22"/>
              </w:rPr>
              <w:t>脉手术</w:t>
            </w:r>
          </w:p>
        </w:tc>
        <w:tc>
          <w:tcPr>
            <w:tcW w:w="1983" w:type="dxa"/>
          </w:tcPr>
          <w:p>
            <w:pPr>
              <w:pStyle w:val="TableParagraph"/>
              <w:spacing w:before="171"/>
              <w:ind w:left="107"/>
              <w:rPr>
                <w:sz w:val="22"/>
              </w:rPr>
            </w:pPr>
            <w:r>
              <w:rPr>
                <w:spacing w:val="-2"/>
                <w:sz w:val="22"/>
              </w:rPr>
              <w:t>（十三）</w:t>
            </w:r>
            <w:r>
              <w:rPr>
                <w:spacing w:val="-4"/>
                <w:sz w:val="22"/>
              </w:rPr>
              <w:t>双耳失聪</w:t>
            </w:r>
          </w:p>
        </w:tc>
        <w:tc>
          <w:tcPr>
            <w:tcW w:w="1843" w:type="dxa"/>
          </w:tcPr>
          <w:p>
            <w:pPr>
              <w:pStyle w:val="TableParagraph"/>
              <w:spacing w:before="15"/>
              <w:ind w:left="109"/>
              <w:rPr>
                <w:sz w:val="22"/>
              </w:rPr>
            </w:pPr>
            <w:r>
              <w:rPr>
                <w:spacing w:val="-2"/>
                <w:sz w:val="22"/>
              </w:rPr>
              <w:t>（四十一）</w:t>
            </w:r>
            <w:r>
              <w:rPr>
                <w:spacing w:val="-6"/>
                <w:sz w:val="22"/>
              </w:rPr>
              <w:t>严重</w:t>
            </w:r>
          </w:p>
          <w:p>
            <w:pPr>
              <w:pStyle w:val="TableParagraph"/>
              <w:spacing w:line="277" w:lineRule="exact" w:before="30"/>
              <w:ind w:left="109"/>
              <w:rPr>
                <w:sz w:val="22"/>
              </w:rPr>
            </w:pPr>
            <w:r>
              <w:rPr>
                <w:spacing w:val="-4"/>
                <w:sz w:val="22"/>
              </w:rPr>
              <w:t>脊髓灰质炎</w:t>
            </w:r>
          </w:p>
        </w:tc>
        <w:tc>
          <w:tcPr>
            <w:tcW w:w="1760" w:type="dxa"/>
          </w:tcPr>
          <w:p>
            <w:pPr>
              <w:pStyle w:val="TableParagraph"/>
              <w:spacing w:before="15"/>
              <w:ind w:left="110"/>
              <w:rPr>
                <w:sz w:val="22"/>
              </w:rPr>
            </w:pPr>
            <w:r>
              <w:rPr>
                <w:spacing w:val="-2"/>
                <w:sz w:val="22"/>
              </w:rPr>
              <w:t>（三十八）</w:t>
            </w:r>
            <w:r>
              <w:rPr>
                <w:spacing w:val="-6"/>
                <w:sz w:val="22"/>
              </w:rPr>
              <w:t>严重</w:t>
            </w:r>
          </w:p>
          <w:p>
            <w:pPr>
              <w:pStyle w:val="TableParagraph"/>
              <w:spacing w:line="277" w:lineRule="exact" w:before="30"/>
              <w:ind w:left="110"/>
              <w:rPr>
                <w:sz w:val="22"/>
              </w:rPr>
            </w:pPr>
            <w:r>
              <w:rPr>
                <w:spacing w:val="-4"/>
                <w:sz w:val="22"/>
              </w:rPr>
              <w:t>类风湿性关节炎</w:t>
            </w:r>
          </w:p>
        </w:tc>
      </w:tr>
      <w:tr>
        <w:trPr>
          <w:trHeight w:val="937" w:hRule="atLeast"/>
        </w:trPr>
        <w:tc>
          <w:tcPr>
            <w:tcW w:w="1817" w:type="dxa"/>
          </w:tcPr>
          <w:p>
            <w:pPr>
              <w:pStyle w:val="TableParagraph"/>
              <w:spacing w:line="266" w:lineRule="auto" w:before="173"/>
              <w:ind w:left="110" w:right="151"/>
              <w:rPr>
                <w:sz w:val="22"/>
              </w:rPr>
            </w:pPr>
            <w:r>
              <w:rPr>
                <w:spacing w:val="-2"/>
                <w:sz w:val="22"/>
              </w:rPr>
              <w:t>（二十四）重型</w:t>
            </w:r>
            <w:r>
              <w:rPr>
                <w:spacing w:val="-4"/>
                <w:sz w:val="22"/>
              </w:rPr>
              <w:t>再生障碍性贫血</w:t>
            </w:r>
          </w:p>
        </w:tc>
        <w:tc>
          <w:tcPr>
            <w:tcW w:w="1844" w:type="dxa"/>
          </w:tcPr>
          <w:p>
            <w:pPr>
              <w:pStyle w:val="TableParagraph"/>
              <w:spacing w:line="266" w:lineRule="auto" w:before="173"/>
              <w:ind w:left="107" w:right="181"/>
              <w:rPr>
                <w:sz w:val="22"/>
              </w:rPr>
            </w:pPr>
            <w:r>
              <w:rPr>
                <w:spacing w:val="-2"/>
                <w:sz w:val="22"/>
              </w:rPr>
              <w:t>（三十四）原发</w:t>
            </w:r>
            <w:r>
              <w:rPr>
                <w:spacing w:val="-4"/>
                <w:sz w:val="22"/>
              </w:rPr>
              <w:t>性心肌病</w:t>
            </w:r>
          </w:p>
        </w:tc>
        <w:tc>
          <w:tcPr>
            <w:tcW w:w="1983" w:type="dxa"/>
          </w:tcPr>
          <w:p>
            <w:pPr>
              <w:pStyle w:val="TableParagraph"/>
              <w:spacing w:before="9"/>
              <w:rPr>
                <w:sz w:val="25"/>
              </w:rPr>
            </w:pPr>
          </w:p>
          <w:p>
            <w:pPr>
              <w:pStyle w:val="TableParagraph"/>
              <w:ind w:left="107"/>
              <w:rPr>
                <w:sz w:val="22"/>
              </w:rPr>
            </w:pPr>
            <w:r>
              <w:rPr>
                <w:spacing w:val="-2"/>
                <w:sz w:val="22"/>
              </w:rPr>
              <w:t>（十五）</w:t>
            </w:r>
            <w:r>
              <w:rPr>
                <w:spacing w:val="-6"/>
                <w:sz w:val="22"/>
              </w:rPr>
              <w:t>瘫痪</w:t>
            </w:r>
          </w:p>
        </w:tc>
        <w:tc>
          <w:tcPr>
            <w:tcW w:w="1843" w:type="dxa"/>
          </w:tcPr>
          <w:p>
            <w:pPr>
              <w:pStyle w:val="TableParagraph"/>
              <w:spacing w:line="266" w:lineRule="auto" w:before="173"/>
              <w:ind w:left="109" w:right="178"/>
              <w:rPr>
                <w:sz w:val="22"/>
              </w:rPr>
            </w:pPr>
            <w:r>
              <w:rPr>
                <w:spacing w:val="-2"/>
                <w:sz w:val="22"/>
              </w:rPr>
              <w:t>（四十五）埃博</w:t>
            </w:r>
            <w:r>
              <w:rPr>
                <w:spacing w:val="-2"/>
                <w:sz w:val="22"/>
              </w:rPr>
              <w:t>拉病毒感染</w:t>
            </w:r>
          </w:p>
        </w:tc>
        <w:tc>
          <w:tcPr>
            <w:tcW w:w="1760" w:type="dxa"/>
          </w:tcPr>
          <w:p>
            <w:pPr>
              <w:pStyle w:val="TableParagraph"/>
              <w:spacing w:before="17"/>
              <w:ind w:left="110"/>
              <w:rPr>
                <w:sz w:val="22"/>
              </w:rPr>
            </w:pPr>
            <w:r>
              <w:rPr>
                <w:spacing w:val="-2"/>
                <w:sz w:val="22"/>
              </w:rPr>
              <w:t>（五十）</w:t>
            </w:r>
            <w:r>
              <w:rPr>
                <w:spacing w:val="-5"/>
                <w:sz w:val="22"/>
              </w:rPr>
              <w:t>溶血性</w:t>
            </w:r>
          </w:p>
          <w:p>
            <w:pPr>
              <w:pStyle w:val="TableParagraph"/>
              <w:spacing w:line="310" w:lineRule="atLeast"/>
              <w:ind w:left="110" w:right="94"/>
              <w:rPr>
                <w:sz w:val="22"/>
              </w:rPr>
            </w:pPr>
            <w:r>
              <w:rPr>
                <w:spacing w:val="-2"/>
                <w:sz w:val="22"/>
              </w:rPr>
              <w:t>链球菌引起的坏</w:t>
            </w:r>
            <w:r>
              <w:rPr>
                <w:spacing w:val="-10"/>
                <w:sz w:val="22"/>
              </w:rPr>
              <w:t>疽</w:t>
            </w:r>
          </w:p>
        </w:tc>
      </w:tr>
      <w:tr>
        <w:trPr>
          <w:trHeight w:val="935" w:hRule="atLeast"/>
        </w:trPr>
        <w:tc>
          <w:tcPr>
            <w:tcW w:w="1817" w:type="dxa"/>
          </w:tcPr>
          <w:p>
            <w:pPr>
              <w:pStyle w:val="TableParagraph"/>
              <w:spacing w:line="266" w:lineRule="auto" w:before="171"/>
              <w:ind w:left="110" w:right="151"/>
              <w:rPr>
                <w:sz w:val="22"/>
              </w:rPr>
            </w:pPr>
            <w:r>
              <w:rPr>
                <w:spacing w:val="-2"/>
                <w:sz w:val="22"/>
              </w:rPr>
              <w:t>（二十六）严重</w:t>
            </w:r>
            <w:r>
              <w:rPr>
                <w:spacing w:val="-2"/>
                <w:sz w:val="22"/>
              </w:rPr>
              <w:t>慢性呼吸衰竭</w:t>
            </w:r>
          </w:p>
        </w:tc>
        <w:tc>
          <w:tcPr>
            <w:tcW w:w="1844" w:type="dxa"/>
          </w:tcPr>
          <w:p>
            <w:pPr>
              <w:pStyle w:val="TableParagraph"/>
              <w:spacing w:line="266" w:lineRule="auto" w:before="171"/>
              <w:ind w:left="107" w:right="181"/>
              <w:rPr>
                <w:sz w:val="22"/>
              </w:rPr>
            </w:pPr>
            <w:r>
              <w:rPr>
                <w:spacing w:val="-2"/>
                <w:sz w:val="22"/>
              </w:rPr>
              <w:t>（四十三）严重</w:t>
            </w:r>
            <w:r>
              <w:rPr>
                <w:spacing w:val="-6"/>
                <w:sz w:val="22"/>
              </w:rPr>
              <w:t>哮喘</w:t>
            </w:r>
          </w:p>
        </w:tc>
        <w:tc>
          <w:tcPr>
            <w:tcW w:w="1983" w:type="dxa"/>
          </w:tcPr>
          <w:p>
            <w:pPr>
              <w:pStyle w:val="TableParagraph"/>
              <w:spacing w:line="266" w:lineRule="auto" w:before="171"/>
              <w:ind w:left="107" w:right="102"/>
              <w:rPr>
                <w:sz w:val="22"/>
              </w:rPr>
            </w:pPr>
            <w:r>
              <w:rPr>
                <w:spacing w:val="-2"/>
                <w:sz w:val="22"/>
              </w:rPr>
              <w:t>（十七）严重阿尔</w:t>
            </w:r>
            <w:r>
              <w:rPr>
                <w:spacing w:val="-4"/>
                <w:sz w:val="22"/>
              </w:rPr>
              <w:t>茨海默病</w:t>
            </w:r>
          </w:p>
        </w:tc>
        <w:tc>
          <w:tcPr>
            <w:tcW w:w="1843" w:type="dxa"/>
          </w:tcPr>
          <w:p>
            <w:pPr>
              <w:pStyle w:val="TableParagraph"/>
              <w:spacing w:before="15"/>
              <w:ind w:left="109"/>
              <w:rPr>
                <w:sz w:val="22"/>
              </w:rPr>
            </w:pPr>
            <w:r>
              <w:rPr>
                <w:spacing w:val="-2"/>
                <w:sz w:val="22"/>
              </w:rPr>
              <w:t>（五十三）</w:t>
            </w:r>
            <w:r>
              <w:rPr>
                <w:spacing w:val="-6"/>
                <w:sz w:val="22"/>
              </w:rPr>
              <w:t>严重</w:t>
            </w:r>
          </w:p>
          <w:p>
            <w:pPr>
              <w:pStyle w:val="TableParagraph"/>
              <w:spacing w:line="310" w:lineRule="atLeast"/>
              <w:ind w:left="109" w:right="178"/>
              <w:rPr>
                <w:sz w:val="22"/>
              </w:rPr>
            </w:pPr>
            <w:r>
              <w:rPr>
                <w:spacing w:val="-2"/>
                <w:sz w:val="22"/>
              </w:rPr>
              <w:t>慢性复发性胰腺</w:t>
            </w:r>
            <w:r>
              <w:rPr>
                <w:spacing w:val="-10"/>
                <w:sz w:val="22"/>
              </w:rPr>
              <w:t>炎</w:t>
            </w:r>
          </w:p>
        </w:tc>
        <w:tc>
          <w:tcPr>
            <w:tcW w:w="1760" w:type="dxa"/>
          </w:tcPr>
          <w:p>
            <w:pPr>
              <w:pStyle w:val="TableParagraph"/>
              <w:spacing w:line="266" w:lineRule="auto" w:before="171"/>
              <w:ind w:left="110" w:right="94"/>
              <w:rPr>
                <w:sz w:val="22"/>
              </w:rPr>
            </w:pPr>
            <w:r>
              <w:rPr>
                <w:spacing w:val="-2"/>
                <w:sz w:val="22"/>
              </w:rPr>
              <w:t>（五十四）严重</w:t>
            </w:r>
            <w:r>
              <w:rPr>
                <w:spacing w:val="-4"/>
                <w:sz w:val="22"/>
              </w:rPr>
              <w:t>面部烧伤</w:t>
            </w:r>
          </w:p>
        </w:tc>
      </w:tr>
      <w:tr>
        <w:trPr>
          <w:trHeight w:val="1248" w:hRule="atLeast"/>
        </w:trPr>
        <w:tc>
          <w:tcPr>
            <w:tcW w:w="1817" w:type="dxa"/>
          </w:tcPr>
          <w:p>
            <w:pPr>
              <w:pStyle w:val="TableParagraph"/>
              <w:spacing w:line="266" w:lineRule="auto" w:before="15"/>
              <w:ind w:left="110" w:right="151"/>
              <w:jc w:val="both"/>
              <w:rPr>
                <w:sz w:val="22"/>
              </w:rPr>
            </w:pPr>
            <w:r>
              <w:rPr>
                <w:spacing w:val="-2"/>
                <w:sz w:val="22"/>
              </w:rPr>
              <w:t>（三十）经输血</w:t>
            </w:r>
            <w:r>
              <w:rPr>
                <w:spacing w:val="-2"/>
                <w:sz w:val="22"/>
              </w:rPr>
              <w:t>导致的感染艾滋</w:t>
            </w:r>
            <w:r>
              <w:rPr>
                <w:spacing w:val="-4"/>
                <w:sz w:val="22"/>
              </w:rPr>
              <w:t>病病毒或患艾滋</w:t>
            </w:r>
          </w:p>
          <w:p>
            <w:pPr>
              <w:pStyle w:val="TableParagraph"/>
              <w:spacing w:line="274" w:lineRule="exact"/>
              <w:ind w:left="110"/>
              <w:rPr>
                <w:sz w:val="22"/>
              </w:rPr>
            </w:pPr>
            <w:r>
              <w:rPr>
                <w:w w:val="100"/>
                <w:sz w:val="22"/>
              </w:rPr>
              <w:t>病</w:t>
            </w:r>
          </w:p>
        </w:tc>
        <w:tc>
          <w:tcPr>
            <w:tcW w:w="1844" w:type="dxa"/>
          </w:tcPr>
          <w:p>
            <w:pPr>
              <w:pStyle w:val="TableParagraph"/>
              <w:spacing w:before="6"/>
              <w:rPr>
                <w:sz w:val="25"/>
              </w:rPr>
            </w:pPr>
          </w:p>
          <w:p>
            <w:pPr>
              <w:pStyle w:val="TableParagraph"/>
              <w:spacing w:line="266" w:lineRule="auto"/>
              <w:ind w:left="107" w:right="181"/>
              <w:rPr>
                <w:sz w:val="22"/>
              </w:rPr>
            </w:pPr>
            <w:r>
              <w:rPr>
                <w:spacing w:val="-2"/>
                <w:sz w:val="22"/>
              </w:rPr>
              <w:t>（四十七）肺源</w:t>
            </w:r>
            <w:r>
              <w:rPr>
                <w:spacing w:val="-4"/>
                <w:sz w:val="22"/>
              </w:rPr>
              <w:t>性心脏病</w:t>
            </w:r>
          </w:p>
        </w:tc>
        <w:tc>
          <w:tcPr>
            <w:tcW w:w="1983" w:type="dxa"/>
          </w:tcPr>
          <w:p>
            <w:pPr>
              <w:pStyle w:val="TableParagraph"/>
              <w:spacing w:before="6"/>
              <w:rPr>
                <w:sz w:val="25"/>
              </w:rPr>
            </w:pPr>
          </w:p>
          <w:p>
            <w:pPr>
              <w:pStyle w:val="TableParagraph"/>
              <w:spacing w:line="266" w:lineRule="auto"/>
              <w:ind w:left="107" w:right="102"/>
              <w:rPr>
                <w:sz w:val="22"/>
              </w:rPr>
            </w:pPr>
            <w:r>
              <w:rPr>
                <w:spacing w:val="-2"/>
                <w:sz w:val="22"/>
              </w:rPr>
              <w:t>（十八）严重脑损</w:t>
            </w:r>
            <w:r>
              <w:rPr>
                <w:spacing w:val="-10"/>
                <w:sz w:val="22"/>
              </w:rPr>
              <w:t>伤</w:t>
            </w:r>
          </w:p>
        </w:tc>
        <w:tc>
          <w:tcPr>
            <w:tcW w:w="1843" w:type="dxa"/>
          </w:tcPr>
          <w:p>
            <w:pPr>
              <w:pStyle w:val="TableParagraph"/>
              <w:spacing w:before="6"/>
              <w:rPr>
                <w:sz w:val="25"/>
              </w:rPr>
            </w:pPr>
          </w:p>
          <w:p>
            <w:pPr>
              <w:pStyle w:val="TableParagraph"/>
              <w:spacing w:line="266" w:lineRule="auto"/>
              <w:ind w:left="109" w:right="178"/>
              <w:rPr>
                <w:sz w:val="22"/>
              </w:rPr>
            </w:pPr>
            <w:r>
              <w:rPr>
                <w:spacing w:val="-2"/>
                <w:sz w:val="22"/>
              </w:rPr>
              <w:t>（五十七）胰腺</w:t>
            </w:r>
            <w:r>
              <w:rPr>
                <w:spacing w:val="-6"/>
                <w:sz w:val="22"/>
              </w:rPr>
              <w:t>移植</w:t>
            </w:r>
          </w:p>
        </w:tc>
        <w:tc>
          <w:tcPr>
            <w:tcW w:w="1760" w:type="dxa"/>
          </w:tcPr>
          <w:p>
            <w:pPr>
              <w:pStyle w:val="TableParagraph"/>
              <w:spacing w:before="6"/>
              <w:rPr>
                <w:sz w:val="25"/>
              </w:rPr>
            </w:pPr>
          </w:p>
          <w:p>
            <w:pPr>
              <w:pStyle w:val="TableParagraph"/>
              <w:spacing w:line="266" w:lineRule="auto"/>
              <w:ind w:left="110" w:right="94"/>
              <w:rPr>
                <w:sz w:val="22"/>
              </w:rPr>
            </w:pPr>
            <w:r>
              <w:rPr>
                <w:spacing w:val="-2"/>
                <w:sz w:val="22"/>
              </w:rPr>
              <w:t>（五十六）象皮</w:t>
            </w:r>
            <w:r>
              <w:rPr>
                <w:spacing w:val="-10"/>
                <w:sz w:val="22"/>
              </w:rPr>
              <w:t>病</w:t>
            </w:r>
          </w:p>
        </w:tc>
      </w:tr>
    </w:tbl>
    <w:p>
      <w:pPr>
        <w:spacing w:after="0" w:line="266" w:lineRule="auto"/>
        <w:rPr>
          <w:sz w:val="22"/>
        </w:rPr>
        <w:sectPr>
          <w:pgSz w:w="11910" w:h="16840"/>
          <w:pgMar w:header="0" w:footer="857" w:top="1420" w:bottom="1180" w:left="1100" w:right="260"/>
        </w:sectPr>
      </w:pPr>
    </w:p>
    <w:tbl>
      <w:tblPr>
        <w:tblW w:w="0" w:type="auto"/>
        <w:jc w:val="left"/>
        <w:tblInd w:w="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17"/>
        <w:gridCol w:w="1844"/>
        <w:gridCol w:w="1983"/>
        <w:gridCol w:w="1843"/>
        <w:gridCol w:w="1760"/>
      </w:tblGrid>
      <w:tr>
        <w:trPr>
          <w:trHeight w:val="935" w:hRule="atLeast"/>
        </w:trPr>
        <w:tc>
          <w:tcPr>
            <w:tcW w:w="1817" w:type="dxa"/>
          </w:tcPr>
          <w:p>
            <w:pPr>
              <w:pStyle w:val="TableParagraph"/>
              <w:spacing w:before="15"/>
              <w:ind w:left="110"/>
              <w:rPr>
                <w:sz w:val="22"/>
              </w:rPr>
            </w:pPr>
            <w:r>
              <w:rPr>
                <w:spacing w:val="-2"/>
                <w:sz w:val="22"/>
              </w:rPr>
              <w:t>（三十二）</w:t>
            </w:r>
            <w:r>
              <w:rPr>
                <w:spacing w:val="-6"/>
                <w:sz w:val="22"/>
              </w:rPr>
              <w:t>严重</w:t>
            </w:r>
          </w:p>
          <w:p>
            <w:pPr>
              <w:pStyle w:val="TableParagraph"/>
              <w:spacing w:line="310" w:lineRule="atLeast"/>
              <w:ind w:left="110" w:right="151"/>
              <w:rPr>
                <w:sz w:val="22"/>
              </w:rPr>
            </w:pPr>
            <w:r>
              <w:rPr>
                <w:spacing w:val="-2"/>
                <w:sz w:val="22"/>
              </w:rPr>
              <w:t>系统性红斑狼疮</w:t>
            </w:r>
            <w:r>
              <w:rPr>
                <w:spacing w:val="-4"/>
                <w:sz w:val="22"/>
              </w:rPr>
              <w:t>性肾炎</w:t>
            </w:r>
          </w:p>
        </w:tc>
        <w:tc>
          <w:tcPr>
            <w:tcW w:w="1844" w:type="dxa"/>
          </w:tcPr>
          <w:p>
            <w:pPr>
              <w:pStyle w:val="TableParagraph"/>
              <w:spacing w:line="266" w:lineRule="auto" w:before="171"/>
              <w:ind w:left="107" w:right="181"/>
              <w:rPr>
                <w:sz w:val="22"/>
              </w:rPr>
            </w:pPr>
            <w:r>
              <w:rPr>
                <w:spacing w:val="-2"/>
                <w:sz w:val="22"/>
              </w:rPr>
              <w:t>（四十九）严重</w:t>
            </w:r>
            <w:r>
              <w:rPr>
                <w:spacing w:val="-4"/>
                <w:sz w:val="22"/>
              </w:rPr>
              <w:t>感染性心内膜炎</w:t>
            </w:r>
          </w:p>
        </w:tc>
        <w:tc>
          <w:tcPr>
            <w:tcW w:w="1983" w:type="dxa"/>
          </w:tcPr>
          <w:p>
            <w:pPr>
              <w:pStyle w:val="TableParagraph"/>
              <w:spacing w:line="266" w:lineRule="auto" w:before="171"/>
              <w:ind w:left="107" w:right="102"/>
              <w:rPr>
                <w:sz w:val="22"/>
              </w:rPr>
            </w:pPr>
            <w:r>
              <w:rPr>
                <w:spacing w:val="-2"/>
                <w:sz w:val="22"/>
              </w:rPr>
              <w:t>（十九）严重原发</w:t>
            </w:r>
            <w:r>
              <w:rPr>
                <w:spacing w:val="-2"/>
                <w:sz w:val="22"/>
              </w:rPr>
              <w:t>性帕金森病</w:t>
            </w:r>
          </w:p>
        </w:tc>
        <w:tc>
          <w:tcPr>
            <w:tcW w:w="1843" w:type="dxa"/>
          </w:tcPr>
          <w:p>
            <w:pPr>
              <w:pStyle w:val="TableParagraph"/>
              <w:spacing w:line="266" w:lineRule="auto" w:before="171"/>
              <w:ind w:left="109" w:right="178"/>
              <w:rPr>
                <w:sz w:val="22"/>
              </w:rPr>
            </w:pPr>
            <w:r>
              <w:rPr>
                <w:spacing w:val="-2"/>
                <w:sz w:val="22"/>
              </w:rPr>
              <w:t>（六十三）严重</w:t>
            </w:r>
            <w:r>
              <w:rPr>
                <w:spacing w:val="-4"/>
                <w:sz w:val="22"/>
              </w:rPr>
              <w:t>肠道疾病并发症</w:t>
            </w:r>
          </w:p>
        </w:tc>
        <w:tc>
          <w:tcPr>
            <w:tcW w:w="1760" w:type="dxa"/>
          </w:tcPr>
          <w:p>
            <w:pPr>
              <w:pStyle w:val="TableParagraph"/>
              <w:spacing w:line="266" w:lineRule="auto" w:before="171"/>
              <w:ind w:left="110" w:right="94"/>
              <w:rPr>
                <w:sz w:val="22"/>
              </w:rPr>
            </w:pPr>
            <w:r>
              <w:rPr>
                <w:spacing w:val="-2"/>
                <w:sz w:val="22"/>
              </w:rPr>
              <w:t>（六十一）失去</w:t>
            </w:r>
            <w:r>
              <w:rPr>
                <w:spacing w:val="-2"/>
                <w:sz w:val="22"/>
              </w:rPr>
              <w:t>一肢及一眼</w:t>
            </w:r>
          </w:p>
        </w:tc>
      </w:tr>
      <w:tr>
        <w:trPr>
          <w:trHeight w:val="623" w:hRule="atLeast"/>
        </w:trPr>
        <w:tc>
          <w:tcPr>
            <w:tcW w:w="1817" w:type="dxa"/>
          </w:tcPr>
          <w:p>
            <w:pPr>
              <w:pStyle w:val="TableParagraph"/>
              <w:spacing w:before="15"/>
              <w:ind w:left="110"/>
              <w:rPr>
                <w:sz w:val="22"/>
              </w:rPr>
            </w:pPr>
            <w:r>
              <w:rPr>
                <w:spacing w:val="-2"/>
                <w:sz w:val="22"/>
              </w:rPr>
              <w:t>（四十）</w:t>
            </w:r>
            <w:r>
              <w:rPr>
                <w:spacing w:val="-5"/>
                <w:sz w:val="22"/>
              </w:rPr>
              <w:t>系统性</w:t>
            </w:r>
          </w:p>
          <w:p>
            <w:pPr>
              <w:pStyle w:val="TableParagraph"/>
              <w:spacing w:line="277" w:lineRule="exact" w:before="30"/>
              <w:ind w:left="110"/>
              <w:rPr>
                <w:sz w:val="22"/>
              </w:rPr>
            </w:pPr>
            <w:r>
              <w:rPr>
                <w:spacing w:val="-4"/>
                <w:sz w:val="22"/>
              </w:rPr>
              <w:t>硬皮病</w:t>
            </w:r>
          </w:p>
        </w:tc>
        <w:tc>
          <w:tcPr>
            <w:tcW w:w="1844" w:type="dxa"/>
          </w:tcPr>
          <w:p>
            <w:pPr>
              <w:pStyle w:val="TableParagraph"/>
              <w:spacing w:before="15"/>
              <w:ind w:left="107"/>
              <w:rPr>
                <w:sz w:val="22"/>
              </w:rPr>
            </w:pPr>
            <w:r>
              <w:rPr>
                <w:spacing w:val="-2"/>
                <w:sz w:val="22"/>
              </w:rPr>
              <w:t>（五十八）</w:t>
            </w:r>
            <w:r>
              <w:rPr>
                <w:spacing w:val="-6"/>
                <w:sz w:val="22"/>
              </w:rPr>
              <w:t>严重</w:t>
            </w:r>
          </w:p>
          <w:p>
            <w:pPr>
              <w:pStyle w:val="TableParagraph"/>
              <w:spacing w:line="277" w:lineRule="exact" w:before="30"/>
              <w:ind w:left="107"/>
              <w:rPr>
                <w:sz w:val="22"/>
              </w:rPr>
            </w:pPr>
            <w:r>
              <w:rPr>
                <w:spacing w:val="-4"/>
                <w:sz w:val="22"/>
              </w:rPr>
              <w:t>川崎病</w:t>
            </w:r>
          </w:p>
        </w:tc>
        <w:tc>
          <w:tcPr>
            <w:tcW w:w="1983" w:type="dxa"/>
          </w:tcPr>
          <w:p>
            <w:pPr>
              <w:pStyle w:val="TableParagraph"/>
              <w:spacing w:before="15"/>
              <w:ind w:left="107"/>
              <w:rPr>
                <w:sz w:val="22"/>
              </w:rPr>
            </w:pPr>
            <w:r>
              <w:rPr>
                <w:spacing w:val="-2"/>
                <w:sz w:val="22"/>
              </w:rPr>
              <w:t>（二十二）</w:t>
            </w:r>
            <w:r>
              <w:rPr>
                <w:spacing w:val="-5"/>
                <w:sz w:val="22"/>
              </w:rPr>
              <w:t>严重运</w:t>
            </w:r>
          </w:p>
          <w:p>
            <w:pPr>
              <w:pStyle w:val="TableParagraph"/>
              <w:spacing w:line="277" w:lineRule="exact" w:before="30"/>
              <w:ind w:left="107"/>
              <w:rPr>
                <w:sz w:val="22"/>
              </w:rPr>
            </w:pPr>
            <w:r>
              <w:rPr>
                <w:spacing w:val="-4"/>
                <w:sz w:val="22"/>
              </w:rPr>
              <w:t>动神经元病</w:t>
            </w:r>
          </w:p>
        </w:tc>
        <w:tc>
          <w:tcPr>
            <w:tcW w:w="1843" w:type="dxa"/>
          </w:tcPr>
          <w:p>
            <w:pPr>
              <w:pStyle w:val="TableParagraph"/>
              <w:spacing w:before="15"/>
              <w:ind w:left="109"/>
              <w:rPr>
                <w:sz w:val="22"/>
              </w:rPr>
            </w:pPr>
            <w:r>
              <w:rPr>
                <w:spacing w:val="-2"/>
                <w:sz w:val="22"/>
              </w:rPr>
              <w:t>（九十三）</w:t>
            </w:r>
            <w:r>
              <w:rPr>
                <w:spacing w:val="-6"/>
                <w:sz w:val="22"/>
              </w:rPr>
              <w:t>狂犬</w:t>
            </w:r>
          </w:p>
          <w:p>
            <w:pPr>
              <w:pStyle w:val="TableParagraph"/>
              <w:spacing w:line="277" w:lineRule="exact" w:before="30"/>
              <w:ind w:left="109"/>
              <w:rPr>
                <w:sz w:val="22"/>
              </w:rPr>
            </w:pPr>
            <w:r>
              <w:rPr>
                <w:w w:val="100"/>
                <w:sz w:val="22"/>
              </w:rPr>
              <w:t>病</w:t>
            </w:r>
          </w:p>
        </w:tc>
        <w:tc>
          <w:tcPr>
            <w:tcW w:w="1760" w:type="dxa"/>
          </w:tcPr>
          <w:p>
            <w:pPr>
              <w:pStyle w:val="TableParagraph"/>
              <w:spacing w:before="15"/>
              <w:ind w:left="110"/>
              <w:rPr>
                <w:sz w:val="22"/>
              </w:rPr>
            </w:pPr>
            <w:r>
              <w:rPr>
                <w:spacing w:val="-2"/>
                <w:sz w:val="22"/>
              </w:rPr>
              <w:t>（七十）</w:t>
            </w:r>
            <w:r>
              <w:rPr>
                <w:spacing w:val="-5"/>
                <w:sz w:val="22"/>
              </w:rPr>
              <w:t>重症手</w:t>
            </w:r>
          </w:p>
          <w:p>
            <w:pPr>
              <w:pStyle w:val="TableParagraph"/>
              <w:spacing w:line="277" w:lineRule="exact" w:before="30"/>
              <w:ind w:left="110"/>
              <w:rPr>
                <w:sz w:val="22"/>
              </w:rPr>
            </w:pPr>
            <w:r>
              <w:rPr>
                <w:spacing w:val="-4"/>
                <w:sz w:val="22"/>
              </w:rPr>
              <w:t>足口病</w:t>
            </w:r>
          </w:p>
        </w:tc>
      </w:tr>
      <w:tr>
        <w:trPr>
          <w:trHeight w:val="1247" w:hRule="atLeast"/>
        </w:trPr>
        <w:tc>
          <w:tcPr>
            <w:tcW w:w="1817" w:type="dxa"/>
          </w:tcPr>
          <w:p>
            <w:pPr>
              <w:pStyle w:val="TableParagraph"/>
              <w:spacing w:line="266" w:lineRule="auto" w:before="15"/>
              <w:ind w:left="110" w:right="151"/>
              <w:jc w:val="both"/>
              <w:rPr>
                <w:sz w:val="22"/>
              </w:rPr>
            </w:pPr>
            <w:r>
              <w:rPr>
                <w:spacing w:val="-2"/>
                <w:sz w:val="22"/>
              </w:rPr>
              <w:t>（四十二）因职</w:t>
            </w:r>
            <w:r>
              <w:rPr>
                <w:spacing w:val="-2"/>
                <w:sz w:val="22"/>
              </w:rPr>
              <w:t>业关系导致的感</w:t>
            </w:r>
            <w:r>
              <w:rPr>
                <w:spacing w:val="-4"/>
                <w:sz w:val="22"/>
              </w:rPr>
              <w:t>染艾滋病病毒或</w:t>
            </w:r>
          </w:p>
          <w:p>
            <w:pPr>
              <w:pStyle w:val="TableParagraph"/>
              <w:spacing w:line="274" w:lineRule="exact"/>
              <w:ind w:left="110"/>
              <w:rPr>
                <w:sz w:val="22"/>
              </w:rPr>
            </w:pPr>
            <w:r>
              <w:rPr>
                <w:spacing w:val="-3"/>
                <w:sz w:val="22"/>
              </w:rPr>
              <w:t>患艾滋病</w:t>
            </w:r>
          </w:p>
        </w:tc>
        <w:tc>
          <w:tcPr>
            <w:tcW w:w="1844" w:type="dxa"/>
          </w:tcPr>
          <w:p>
            <w:pPr>
              <w:pStyle w:val="TableParagraph"/>
              <w:spacing w:before="6"/>
              <w:rPr>
                <w:sz w:val="25"/>
              </w:rPr>
            </w:pPr>
          </w:p>
          <w:p>
            <w:pPr>
              <w:pStyle w:val="TableParagraph"/>
              <w:spacing w:line="266" w:lineRule="auto"/>
              <w:ind w:left="107" w:right="181"/>
              <w:rPr>
                <w:sz w:val="22"/>
              </w:rPr>
            </w:pPr>
            <w:r>
              <w:rPr>
                <w:spacing w:val="-2"/>
                <w:sz w:val="22"/>
              </w:rPr>
              <w:t>（六十二）嗜铬</w:t>
            </w:r>
            <w:r>
              <w:rPr>
                <w:spacing w:val="-4"/>
                <w:sz w:val="22"/>
              </w:rPr>
              <w:t>细胞瘤</w:t>
            </w:r>
          </w:p>
        </w:tc>
        <w:tc>
          <w:tcPr>
            <w:tcW w:w="1983" w:type="dxa"/>
          </w:tcPr>
          <w:p>
            <w:pPr>
              <w:pStyle w:val="TableParagraph"/>
              <w:spacing w:before="6"/>
              <w:rPr>
                <w:sz w:val="25"/>
              </w:rPr>
            </w:pPr>
          </w:p>
          <w:p>
            <w:pPr>
              <w:pStyle w:val="TableParagraph"/>
              <w:spacing w:line="266" w:lineRule="auto"/>
              <w:ind w:left="107" w:right="102"/>
              <w:rPr>
                <w:sz w:val="22"/>
              </w:rPr>
            </w:pPr>
            <w:r>
              <w:rPr>
                <w:spacing w:val="-2"/>
                <w:sz w:val="22"/>
              </w:rPr>
              <w:t>（二十三）语言能</w:t>
            </w:r>
            <w:r>
              <w:rPr>
                <w:spacing w:val="-4"/>
                <w:sz w:val="22"/>
              </w:rPr>
              <w:t>力丧失</w:t>
            </w:r>
          </w:p>
        </w:tc>
        <w:tc>
          <w:tcPr>
            <w:tcW w:w="1843" w:type="dxa"/>
          </w:tcPr>
          <w:p>
            <w:pPr>
              <w:pStyle w:val="TableParagraph"/>
              <w:spacing w:line="278" w:lineRule="auto" w:before="178"/>
              <w:ind w:left="109" w:right="91"/>
              <w:rPr>
                <w:sz w:val="21"/>
              </w:rPr>
            </w:pPr>
            <w:r>
              <w:rPr>
                <w:spacing w:val="-2"/>
                <w:sz w:val="21"/>
              </w:rPr>
              <w:t>（一百零五</w:t>
            </w:r>
            <w:r>
              <w:rPr>
                <w:spacing w:val="-56"/>
                <w:sz w:val="21"/>
              </w:rPr>
              <w:t>）</w:t>
            </w:r>
            <w:r>
              <w:rPr>
                <w:spacing w:val="-2"/>
                <w:sz w:val="21"/>
              </w:rPr>
              <w:t>原发</w:t>
            </w:r>
            <w:r>
              <w:rPr>
                <w:spacing w:val="-2"/>
                <w:sz w:val="21"/>
              </w:rPr>
              <w:t>性脊柱侧弯矫正</w:t>
            </w:r>
            <w:r>
              <w:rPr>
                <w:spacing w:val="-6"/>
                <w:sz w:val="21"/>
              </w:rPr>
              <w:t>手术</w:t>
            </w:r>
          </w:p>
        </w:tc>
        <w:tc>
          <w:tcPr>
            <w:tcW w:w="1760" w:type="dxa"/>
          </w:tcPr>
          <w:p>
            <w:pPr>
              <w:pStyle w:val="TableParagraph"/>
              <w:spacing w:before="1"/>
              <w:rPr>
                <w:sz w:val="26"/>
              </w:rPr>
            </w:pPr>
          </w:p>
          <w:p>
            <w:pPr>
              <w:pStyle w:val="TableParagraph"/>
              <w:spacing w:line="278" w:lineRule="auto"/>
              <w:ind w:left="110" w:right="163"/>
              <w:rPr>
                <w:sz w:val="21"/>
              </w:rPr>
            </w:pPr>
            <w:r>
              <w:rPr>
                <w:spacing w:val="-2"/>
                <w:sz w:val="21"/>
              </w:rPr>
              <w:t>（七十八）成骨</w:t>
            </w:r>
            <w:r>
              <w:rPr>
                <w:spacing w:val="-2"/>
                <w:sz w:val="21"/>
              </w:rPr>
              <w:t>不全症第三型</w:t>
            </w:r>
          </w:p>
        </w:tc>
      </w:tr>
      <w:tr>
        <w:trPr>
          <w:trHeight w:val="936" w:hRule="atLeast"/>
        </w:trPr>
        <w:tc>
          <w:tcPr>
            <w:tcW w:w="1817" w:type="dxa"/>
          </w:tcPr>
          <w:p>
            <w:pPr>
              <w:pStyle w:val="TableParagraph"/>
              <w:spacing w:line="266" w:lineRule="auto" w:before="15"/>
              <w:ind w:left="110" w:right="151"/>
              <w:rPr>
                <w:sz w:val="22"/>
              </w:rPr>
            </w:pPr>
            <w:r>
              <w:rPr>
                <w:spacing w:val="-2"/>
                <w:sz w:val="22"/>
              </w:rPr>
              <w:t>（四十六）侵蚀</w:t>
            </w:r>
            <w:r>
              <w:rPr>
                <w:spacing w:val="-2"/>
                <w:sz w:val="22"/>
              </w:rPr>
              <w:t>性葡萄胎（</w:t>
            </w:r>
            <w:r>
              <w:rPr>
                <w:spacing w:val="-6"/>
                <w:sz w:val="22"/>
              </w:rPr>
              <w:t>或称</w:t>
            </w:r>
          </w:p>
          <w:p>
            <w:pPr>
              <w:pStyle w:val="TableParagraph"/>
              <w:spacing w:line="275" w:lineRule="exact"/>
              <w:ind w:left="110"/>
              <w:rPr>
                <w:sz w:val="22"/>
              </w:rPr>
            </w:pPr>
            <w:r>
              <w:rPr>
                <w:spacing w:val="-2"/>
                <w:sz w:val="22"/>
              </w:rPr>
              <w:t>恶性葡萄胎</w:t>
            </w:r>
            <w:r>
              <w:rPr>
                <w:spacing w:val="-10"/>
                <w:sz w:val="22"/>
              </w:rPr>
              <w:t>）</w:t>
            </w:r>
          </w:p>
        </w:tc>
        <w:tc>
          <w:tcPr>
            <w:tcW w:w="1844" w:type="dxa"/>
          </w:tcPr>
          <w:p>
            <w:pPr>
              <w:pStyle w:val="TableParagraph"/>
              <w:spacing w:line="266" w:lineRule="auto" w:before="15"/>
              <w:ind w:left="107" w:right="181"/>
              <w:rPr>
                <w:sz w:val="22"/>
              </w:rPr>
            </w:pPr>
            <w:r>
              <w:rPr>
                <w:spacing w:val="-2"/>
                <w:sz w:val="22"/>
              </w:rPr>
              <w:t>（六十六）严重</w:t>
            </w:r>
            <w:r>
              <w:rPr>
                <w:spacing w:val="-4"/>
                <w:sz w:val="22"/>
              </w:rPr>
              <w:t>慢性缩窄型心包</w:t>
            </w:r>
          </w:p>
          <w:p>
            <w:pPr>
              <w:pStyle w:val="TableParagraph"/>
              <w:spacing w:line="275" w:lineRule="exact"/>
              <w:ind w:left="107"/>
              <w:rPr>
                <w:sz w:val="22"/>
              </w:rPr>
            </w:pPr>
            <w:r>
              <w:rPr>
                <w:w w:val="100"/>
                <w:sz w:val="22"/>
              </w:rPr>
              <w:t>炎</w:t>
            </w:r>
          </w:p>
        </w:tc>
        <w:tc>
          <w:tcPr>
            <w:tcW w:w="1983" w:type="dxa"/>
          </w:tcPr>
          <w:p>
            <w:pPr>
              <w:pStyle w:val="TableParagraph"/>
              <w:spacing w:line="266" w:lineRule="auto" w:before="171"/>
              <w:ind w:left="107" w:right="102"/>
              <w:rPr>
                <w:sz w:val="22"/>
              </w:rPr>
            </w:pPr>
            <w:r>
              <w:rPr>
                <w:spacing w:val="-2"/>
                <w:sz w:val="22"/>
              </w:rPr>
              <w:t>（二十九）多发性</w:t>
            </w:r>
            <w:r>
              <w:rPr>
                <w:spacing w:val="-4"/>
                <w:sz w:val="22"/>
              </w:rPr>
              <w:t>硬化症</w:t>
            </w:r>
          </w:p>
        </w:tc>
        <w:tc>
          <w:tcPr>
            <w:tcW w:w="1843" w:type="dxa"/>
          </w:tcPr>
          <w:p>
            <w:pPr>
              <w:pStyle w:val="TableParagraph"/>
              <w:rPr>
                <w:rFonts w:ascii="Times New Roman"/>
                <w:sz w:val="20"/>
              </w:rPr>
            </w:pPr>
          </w:p>
        </w:tc>
        <w:tc>
          <w:tcPr>
            <w:tcW w:w="1760" w:type="dxa"/>
          </w:tcPr>
          <w:p>
            <w:pPr>
              <w:pStyle w:val="TableParagraph"/>
              <w:spacing w:line="266" w:lineRule="auto" w:before="15"/>
              <w:ind w:left="110" w:right="94"/>
              <w:rPr>
                <w:sz w:val="22"/>
              </w:rPr>
            </w:pPr>
            <w:r>
              <w:rPr>
                <w:spacing w:val="-2"/>
                <w:sz w:val="22"/>
              </w:rPr>
              <w:t>（八十一）多处</w:t>
            </w:r>
            <w:r>
              <w:rPr>
                <w:spacing w:val="-4"/>
                <w:sz w:val="22"/>
              </w:rPr>
              <w:t>臂丛神经根性撕</w:t>
            </w:r>
          </w:p>
          <w:p>
            <w:pPr>
              <w:pStyle w:val="TableParagraph"/>
              <w:spacing w:line="275" w:lineRule="exact"/>
              <w:ind w:left="110"/>
              <w:rPr>
                <w:sz w:val="22"/>
              </w:rPr>
            </w:pPr>
            <w:r>
              <w:rPr>
                <w:w w:val="100"/>
                <w:sz w:val="22"/>
              </w:rPr>
              <w:t>脱</w:t>
            </w:r>
          </w:p>
        </w:tc>
      </w:tr>
      <w:tr>
        <w:trPr>
          <w:trHeight w:val="623" w:hRule="atLeast"/>
        </w:trPr>
        <w:tc>
          <w:tcPr>
            <w:tcW w:w="1817" w:type="dxa"/>
          </w:tcPr>
          <w:p>
            <w:pPr>
              <w:pStyle w:val="TableParagraph"/>
              <w:spacing w:before="15"/>
              <w:ind w:left="110"/>
              <w:rPr>
                <w:sz w:val="22"/>
              </w:rPr>
            </w:pPr>
            <w:r>
              <w:rPr>
                <w:spacing w:val="-2"/>
                <w:sz w:val="22"/>
              </w:rPr>
              <w:t>（四十八）</w:t>
            </w:r>
            <w:r>
              <w:rPr>
                <w:spacing w:val="-6"/>
                <w:sz w:val="22"/>
              </w:rPr>
              <w:t>原发</w:t>
            </w:r>
          </w:p>
          <w:p>
            <w:pPr>
              <w:pStyle w:val="TableParagraph"/>
              <w:spacing w:line="277" w:lineRule="exact" w:before="30"/>
              <w:ind w:left="110"/>
              <w:rPr>
                <w:sz w:val="22"/>
              </w:rPr>
            </w:pPr>
            <w:r>
              <w:rPr>
                <w:spacing w:val="-4"/>
                <w:sz w:val="22"/>
              </w:rPr>
              <w:t>性硬化性胆管炎</w:t>
            </w:r>
          </w:p>
        </w:tc>
        <w:tc>
          <w:tcPr>
            <w:tcW w:w="1844" w:type="dxa"/>
          </w:tcPr>
          <w:p>
            <w:pPr>
              <w:pStyle w:val="TableParagraph"/>
              <w:spacing w:before="15"/>
              <w:ind w:left="107"/>
              <w:rPr>
                <w:sz w:val="22"/>
              </w:rPr>
            </w:pPr>
            <w:r>
              <w:rPr>
                <w:spacing w:val="-2"/>
                <w:sz w:val="22"/>
              </w:rPr>
              <w:t>（八十二）</w:t>
            </w:r>
            <w:r>
              <w:rPr>
                <w:spacing w:val="-6"/>
                <w:sz w:val="22"/>
              </w:rPr>
              <w:t>严重</w:t>
            </w:r>
          </w:p>
          <w:p>
            <w:pPr>
              <w:pStyle w:val="TableParagraph"/>
              <w:spacing w:line="277" w:lineRule="exact" w:before="30"/>
              <w:ind w:left="107"/>
              <w:rPr>
                <w:sz w:val="22"/>
              </w:rPr>
            </w:pPr>
            <w:r>
              <w:rPr>
                <w:spacing w:val="-4"/>
                <w:sz w:val="22"/>
              </w:rPr>
              <w:t>心肌炎</w:t>
            </w:r>
          </w:p>
        </w:tc>
        <w:tc>
          <w:tcPr>
            <w:tcW w:w="1983" w:type="dxa"/>
          </w:tcPr>
          <w:p>
            <w:pPr>
              <w:pStyle w:val="TableParagraph"/>
              <w:spacing w:before="15"/>
              <w:ind w:left="107"/>
              <w:rPr>
                <w:sz w:val="22"/>
              </w:rPr>
            </w:pPr>
            <w:r>
              <w:rPr>
                <w:spacing w:val="-2"/>
                <w:sz w:val="22"/>
              </w:rPr>
              <w:t>（三十一）</w:t>
            </w:r>
            <w:r>
              <w:rPr>
                <w:spacing w:val="-5"/>
                <w:sz w:val="22"/>
              </w:rPr>
              <w:t>持续植</w:t>
            </w:r>
          </w:p>
          <w:p>
            <w:pPr>
              <w:pStyle w:val="TableParagraph"/>
              <w:spacing w:line="277" w:lineRule="exact" w:before="30"/>
              <w:ind w:left="107"/>
              <w:rPr>
                <w:sz w:val="22"/>
              </w:rPr>
            </w:pPr>
            <w:r>
              <w:rPr>
                <w:spacing w:val="-3"/>
                <w:sz w:val="22"/>
              </w:rPr>
              <w:t>物人状态</w:t>
            </w:r>
          </w:p>
        </w:tc>
        <w:tc>
          <w:tcPr>
            <w:tcW w:w="1843" w:type="dxa"/>
          </w:tcPr>
          <w:p>
            <w:pPr>
              <w:pStyle w:val="TableParagraph"/>
              <w:rPr>
                <w:rFonts w:ascii="Times New Roman"/>
                <w:sz w:val="20"/>
              </w:rPr>
            </w:pPr>
          </w:p>
        </w:tc>
        <w:tc>
          <w:tcPr>
            <w:tcW w:w="1760" w:type="dxa"/>
          </w:tcPr>
          <w:p>
            <w:pPr>
              <w:pStyle w:val="TableParagraph"/>
              <w:spacing w:before="15"/>
              <w:ind w:left="110"/>
              <w:rPr>
                <w:sz w:val="22"/>
              </w:rPr>
            </w:pPr>
            <w:r>
              <w:rPr>
                <w:spacing w:val="-2"/>
                <w:sz w:val="22"/>
              </w:rPr>
              <w:t>（八十四）</w:t>
            </w:r>
            <w:r>
              <w:rPr>
                <w:spacing w:val="-6"/>
                <w:sz w:val="22"/>
              </w:rPr>
              <w:t>大面</w:t>
            </w:r>
          </w:p>
          <w:p>
            <w:pPr>
              <w:pStyle w:val="TableParagraph"/>
              <w:spacing w:line="277" w:lineRule="exact" w:before="30"/>
              <w:ind w:left="110"/>
              <w:rPr>
                <w:sz w:val="22"/>
              </w:rPr>
            </w:pPr>
            <w:r>
              <w:rPr>
                <w:spacing w:val="-4"/>
                <w:sz w:val="22"/>
              </w:rPr>
              <w:t>积植皮手术</w:t>
            </w:r>
          </w:p>
        </w:tc>
      </w:tr>
      <w:tr>
        <w:trPr>
          <w:trHeight w:val="625" w:hRule="atLeast"/>
        </w:trPr>
        <w:tc>
          <w:tcPr>
            <w:tcW w:w="1817" w:type="dxa"/>
          </w:tcPr>
          <w:p>
            <w:pPr>
              <w:pStyle w:val="TableParagraph"/>
              <w:spacing w:before="17"/>
              <w:ind w:left="110"/>
              <w:rPr>
                <w:sz w:val="22"/>
              </w:rPr>
            </w:pPr>
            <w:r>
              <w:rPr>
                <w:spacing w:val="-2"/>
                <w:sz w:val="22"/>
              </w:rPr>
              <w:t>（五十二）</w:t>
            </w:r>
            <w:r>
              <w:rPr>
                <w:spacing w:val="-6"/>
                <w:sz w:val="22"/>
              </w:rPr>
              <w:t>肺泡</w:t>
            </w:r>
          </w:p>
          <w:p>
            <w:pPr>
              <w:pStyle w:val="TableParagraph"/>
              <w:spacing w:line="277" w:lineRule="exact" w:before="30"/>
              <w:ind w:left="110"/>
              <w:rPr>
                <w:sz w:val="22"/>
              </w:rPr>
            </w:pPr>
            <w:r>
              <w:rPr>
                <w:spacing w:val="-4"/>
                <w:sz w:val="22"/>
              </w:rPr>
              <w:t>蛋白质沉积症</w:t>
            </w:r>
          </w:p>
        </w:tc>
        <w:tc>
          <w:tcPr>
            <w:tcW w:w="1844" w:type="dxa"/>
          </w:tcPr>
          <w:p>
            <w:pPr>
              <w:pStyle w:val="TableParagraph"/>
              <w:spacing w:before="17"/>
              <w:ind w:left="107"/>
              <w:rPr>
                <w:sz w:val="22"/>
              </w:rPr>
            </w:pPr>
            <w:r>
              <w:rPr>
                <w:spacing w:val="-2"/>
                <w:sz w:val="22"/>
              </w:rPr>
              <w:t>（八十五）</w:t>
            </w:r>
            <w:r>
              <w:rPr>
                <w:spacing w:val="-6"/>
                <w:sz w:val="22"/>
              </w:rPr>
              <w:t>心脏</w:t>
            </w:r>
          </w:p>
          <w:p>
            <w:pPr>
              <w:pStyle w:val="TableParagraph"/>
              <w:spacing w:line="277" w:lineRule="exact" w:before="30"/>
              <w:ind w:left="107"/>
              <w:rPr>
                <w:sz w:val="22"/>
              </w:rPr>
            </w:pPr>
            <w:r>
              <w:rPr>
                <w:spacing w:val="-4"/>
                <w:sz w:val="22"/>
              </w:rPr>
              <w:t>黏液瘤</w:t>
            </w:r>
          </w:p>
        </w:tc>
        <w:tc>
          <w:tcPr>
            <w:tcW w:w="1983" w:type="dxa"/>
          </w:tcPr>
          <w:p>
            <w:pPr>
              <w:pStyle w:val="TableParagraph"/>
              <w:spacing w:before="17"/>
              <w:ind w:left="107"/>
              <w:rPr>
                <w:sz w:val="22"/>
              </w:rPr>
            </w:pPr>
            <w:r>
              <w:rPr>
                <w:spacing w:val="-2"/>
                <w:sz w:val="22"/>
              </w:rPr>
              <w:t>（三十五）</w:t>
            </w:r>
            <w:r>
              <w:rPr>
                <w:spacing w:val="-5"/>
                <w:sz w:val="22"/>
              </w:rPr>
              <w:t>重症肌</w:t>
            </w:r>
          </w:p>
          <w:p>
            <w:pPr>
              <w:pStyle w:val="TableParagraph"/>
              <w:spacing w:line="277" w:lineRule="exact" w:before="30"/>
              <w:ind w:left="107"/>
              <w:rPr>
                <w:sz w:val="22"/>
              </w:rPr>
            </w:pPr>
            <w:r>
              <w:rPr>
                <w:spacing w:val="-5"/>
                <w:sz w:val="22"/>
              </w:rPr>
              <w:t>无力</w:t>
            </w:r>
          </w:p>
        </w:tc>
        <w:tc>
          <w:tcPr>
            <w:tcW w:w="1843" w:type="dxa"/>
          </w:tcPr>
          <w:p>
            <w:pPr>
              <w:pStyle w:val="TableParagraph"/>
              <w:rPr>
                <w:rFonts w:ascii="Times New Roman"/>
                <w:sz w:val="20"/>
              </w:rPr>
            </w:pPr>
          </w:p>
        </w:tc>
        <w:tc>
          <w:tcPr>
            <w:tcW w:w="1760" w:type="dxa"/>
          </w:tcPr>
          <w:p>
            <w:pPr>
              <w:pStyle w:val="TableParagraph"/>
              <w:spacing w:before="17"/>
              <w:ind w:left="110"/>
              <w:rPr>
                <w:sz w:val="22"/>
              </w:rPr>
            </w:pPr>
            <w:r>
              <w:rPr>
                <w:spacing w:val="-2"/>
                <w:sz w:val="22"/>
              </w:rPr>
              <w:t>（八十七）</w:t>
            </w:r>
            <w:r>
              <w:rPr>
                <w:spacing w:val="-6"/>
                <w:sz w:val="22"/>
              </w:rPr>
              <w:t>严重</w:t>
            </w:r>
          </w:p>
          <w:p>
            <w:pPr>
              <w:pStyle w:val="TableParagraph"/>
              <w:spacing w:line="277" w:lineRule="exact" w:before="30"/>
              <w:ind w:left="110"/>
              <w:rPr>
                <w:sz w:val="22"/>
              </w:rPr>
            </w:pPr>
            <w:r>
              <w:rPr>
                <w:spacing w:val="-4"/>
                <w:sz w:val="22"/>
              </w:rPr>
              <w:t>巨细胞动脉炎</w:t>
            </w:r>
          </w:p>
        </w:tc>
      </w:tr>
      <w:tr>
        <w:trPr>
          <w:trHeight w:val="935" w:hRule="atLeast"/>
        </w:trPr>
        <w:tc>
          <w:tcPr>
            <w:tcW w:w="1817" w:type="dxa"/>
          </w:tcPr>
          <w:p>
            <w:pPr>
              <w:pStyle w:val="TableParagraph"/>
              <w:spacing w:line="266" w:lineRule="auto" w:before="171"/>
              <w:ind w:left="110" w:right="151"/>
              <w:rPr>
                <w:sz w:val="22"/>
              </w:rPr>
            </w:pPr>
            <w:r>
              <w:rPr>
                <w:spacing w:val="-2"/>
                <w:sz w:val="22"/>
              </w:rPr>
              <w:t>（五十五）肺淋</w:t>
            </w:r>
            <w:r>
              <w:rPr>
                <w:spacing w:val="-2"/>
                <w:sz w:val="22"/>
              </w:rPr>
              <w:t>巴管肌瘤病</w:t>
            </w:r>
          </w:p>
        </w:tc>
        <w:tc>
          <w:tcPr>
            <w:tcW w:w="1844" w:type="dxa"/>
          </w:tcPr>
          <w:p>
            <w:pPr>
              <w:pStyle w:val="TableParagraph"/>
              <w:spacing w:line="266" w:lineRule="auto" w:before="171"/>
              <w:ind w:left="107" w:right="235"/>
              <w:rPr>
                <w:sz w:val="22"/>
              </w:rPr>
            </w:pPr>
            <w:r>
              <w:rPr>
                <w:spacing w:val="-2"/>
                <w:sz w:val="22"/>
              </w:rPr>
              <w:t>（八十九） Brugada</w:t>
            </w:r>
            <w:r>
              <w:rPr>
                <w:spacing w:val="-17"/>
                <w:sz w:val="22"/>
              </w:rPr>
              <w:t> 综合征</w:t>
            </w:r>
          </w:p>
        </w:tc>
        <w:tc>
          <w:tcPr>
            <w:tcW w:w="1983" w:type="dxa"/>
          </w:tcPr>
          <w:p>
            <w:pPr>
              <w:pStyle w:val="TableParagraph"/>
              <w:spacing w:line="266" w:lineRule="auto" w:before="15"/>
              <w:ind w:left="107" w:right="102"/>
              <w:rPr>
                <w:sz w:val="22"/>
              </w:rPr>
            </w:pPr>
            <w:r>
              <w:rPr>
                <w:spacing w:val="-2"/>
                <w:sz w:val="22"/>
              </w:rPr>
              <w:t>（三十九）非阿尔</w:t>
            </w:r>
            <w:r>
              <w:rPr>
                <w:spacing w:val="-4"/>
                <w:sz w:val="22"/>
              </w:rPr>
              <w:t>茨海默病所致严重</w:t>
            </w:r>
          </w:p>
          <w:p>
            <w:pPr>
              <w:pStyle w:val="TableParagraph"/>
              <w:spacing w:line="275" w:lineRule="exact"/>
              <w:ind w:left="107"/>
              <w:rPr>
                <w:sz w:val="22"/>
              </w:rPr>
            </w:pPr>
            <w:r>
              <w:rPr>
                <w:spacing w:val="-5"/>
                <w:sz w:val="22"/>
              </w:rPr>
              <w:t>痴呆</w:t>
            </w:r>
          </w:p>
        </w:tc>
        <w:tc>
          <w:tcPr>
            <w:tcW w:w="1843" w:type="dxa"/>
          </w:tcPr>
          <w:p>
            <w:pPr>
              <w:pStyle w:val="TableParagraph"/>
              <w:rPr>
                <w:rFonts w:ascii="Times New Roman"/>
                <w:sz w:val="20"/>
              </w:rPr>
            </w:pPr>
          </w:p>
        </w:tc>
        <w:tc>
          <w:tcPr>
            <w:tcW w:w="1760" w:type="dxa"/>
          </w:tcPr>
          <w:p>
            <w:pPr>
              <w:pStyle w:val="TableParagraph"/>
              <w:spacing w:line="266" w:lineRule="auto" w:before="171"/>
              <w:ind w:left="110" w:right="94"/>
              <w:rPr>
                <w:sz w:val="22"/>
              </w:rPr>
            </w:pPr>
            <w:r>
              <w:rPr>
                <w:spacing w:val="-2"/>
                <w:sz w:val="22"/>
              </w:rPr>
              <w:t>（九十二）严重</w:t>
            </w:r>
            <w:r>
              <w:rPr>
                <w:spacing w:val="-2"/>
                <w:sz w:val="22"/>
              </w:rPr>
              <w:t>强直性脊柱炎</w:t>
            </w:r>
          </w:p>
        </w:tc>
      </w:tr>
      <w:tr>
        <w:trPr>
          <w:trHeight w:val="936" w:hRule="atLeast"/>
        </w:trPr>
        <w:tc>
          <w:tcPr>
            <w:tcW w:w="1817" w:type="dxa"/>
          </w:tcPr>
          <w:p>
            <w:pPr>
              <w:pStyle w:val="TableParagraph"/>
              <w:spacing w:line="266" w:lineRule="auto" w:before="171"/>
              <w:ind w:left="110" w:right="151"/>
              <w:rPr>
                <w:sz w:val="22"/>
              </w:rPr>
            </w:pPr>
            <w:r>
              <w:rPr>
                <w:spacing w:val="-2"/>
                <w:sz w:val="22"/>
              </w:rPr>
              <w:t>（五十九）肾髓</w:t>
            </w:r>
            <w:r>
              <w:rPr>
                <w:spacing w:val="-4"/>
                <w:sz w:val="22"/>
              </w:rPr>
              <w:t>质囊性病</w:t>
            </w:r>
          </w:p>
        </w:tc>
        <w:tc>
          <w:tcPr>
            <w:tcW w:w="1844" w:type="dxa"/>
          </w:tcPr>
          <w:p>
            <w:pPr>
              <w:pStyle w:val="TableParagraph"/>
              <w:spacing w:line="278" w:lineRule="auto" w:before="22"/>
              <w:ind w:left="107" w:right="94"/>
              <w:rPr>
                <w:sz w:val="21"/>
              </w:rPr>
            </w:pPr>
            <w:r>
              <w:rPr>
                <w:spacing w:val="-2"/>
                <w:sz w:val="21"/>
              </w:rPr>
              <w:t>（一百零一</w:t>
            </w:r>
            <w:r>
              <w:rPr>
                <w:spacing w:val="-56"/>
                <w:sz w:val="21"/>
              </w:rPr>
              <w:t>）</w:t>
            </w:r>
            <w:r>
              <w:rPr>
                <w:spacing w:val="-2"/>
                <w:sz w:val="21"/>
              </w:rPr>
              <w:t>动脉</w:t>
            </w:r>
            <w:r>
              <w:rPr>
                <w:spacing w:val="-2"/>
                <w:sz w:val="21"/>
              </w:rPr>
              <w:t>硬化性闭塞症坏</w:t>
            </w:r>
          </w:p>
          <w:p>
            <w:pPr>
              <w:pStyle w:val="TableParagraph"/>
              <w:ind w:left="107"/>
              <w:rPr>
                <w:sz w:val="21"/>
              </w:rPr>
            </w:pPr>
            <w:r>
              <w:rPr>
                <w:spacing w:val="-5"/>
                <w:sz w:val="21"/>
              </w:rPr>
              <w:t>死期</w:t>
            </w:r>
          </w:p>
        </w:tc>
        <w:tc>
          <w:tcPr>
            <w:tcW w:w="1983" w:type="dxa"/>
          </w:tcPr>
          <w:p>
            <w:pPr>
              <w:pStyle w:val="TableParagraph"/>
              <w:spacing w:line="266" w:lineRule="auto" w:before="15"/>
              <w:ind w:left="107" w:right="102"/>
              <w:rPr>
                <w:sz w:val="22"/>
              </w:rPr>
            </w:pPr>
            <w:r>
              <w:rPr>
                <w:spacing w:val="-2"/>
                <w:sz w:val="22"/>
              </w:rPr>
              <w:t>（四十四）特发性</w:t>
            </w:r>
            <w:r>
              <w:rPr>
                <w:spacing w:val="-4"/>
                <w:sz w:val="22"/>
              </w:rPr>
              <w:t>慢性肾上腺皮质功</w:t>
            </w:r>
          </w:p>
          <w:p>
            <w:pPr>
              <w:pStyle w:val="TableParagraph"/>
              <w:spacing w:line="275" w:lineRule="exact"/>
              <w:ind w:left="107"/>
              <w:rPr>
                <w:sz w:val="22"/>
              </w:rPr>
            </w:pPr>
            <w:r>
              <w:rPr>
                <w:spacing w:val="-4"/>
                <w:sz w:val="22"/>
              </w:rPr>
              <w:t>能减退</w:t>
            </w:r>
          </w:p>
        </w:tc>
        <w:tc>
          <w:tcPr>
            <w:tcW w:w="1843" w:type="dxa"/>
          </w:tcPr>
          <w:p>
            <w:pPr>
              <w:pStyle w:val="TableParagraph"/>
              <w:rPr>
                <w:rFonts w:ascii="Times New Roman"/>
                <w:sz w:val="20"/>
              </w:rPr>
            </w:pPr>
          </w:p>
        </w:tc>
        <w:tc>
          <w:tcPr>
            <w:tcW w:w="1760" w:type="dxa"/>
          </w:tcPr>
          <w:p>
            <w:pPr>
              <w:pStyle w:val="TableParagraph"/>
              <w:spacing w:line="266" w:lineRule="auto" w:before="171"/>
              <w:ind w:left="110" w:right="94"/>
              <w:rPr>
                <w:sz w:val="22"/>
              </w:rPr>
            </w:pPr>
            <w:r>
              <w:rPr>
                <w:spacing w:val="-2"/>
                <w:sz w:val="22"/>
              </w:rPr>
              <w:t>（九十七）严重</w:t>
            </w:r>
            <w:r>
              <w:rPr>
                <w:spacing w:val="-4"/>
                <w:sz w:val="22"/>
              </w:rPr>
              <w:t>气性坏疽</w:t>
            </w:r>
          </w:p>
        </w:tc>
      </w:tr>
      <w:tr>
        <w:trPr>
          <w:trHeight w:val="935" w:hRule="atLeast"/>
        </w:trPr>
        <w:tc>
          <w:tcPr>
            <w:tcW w:w="1817" w:type="dxa"/>
          </w:tcPr>
          <w:p>
            <w:pPr>
              <w:pStyle w:val="TableParagraph"/>
              <w:spacing w:line="266" w:lineRule="auto" w:before="171"/>
              <w:ind w:left="110" w:right="151"/>
              <w:rPr>
                <w:sz w:val="22"/>
              </w:rPr>
            </w:pPr>
            <w:r>
              <w:rPr>
                <w:spacing w:val="-2"/>
                <w:sz w:val="22"/>
              </w:rPr>
              <w:t>（六十五）严重</w:t>
            </w:r>
            <w:r>
              <w:rPr>
                <w:spacing w:val="-4"/>
                <w:sz w:val="22"/>
              </w:rPr>
              <w:t>自身免疫性肝炎</w:t>
            </w:r>
          </w:p>
        </w:tc>
        <w:tc>
          <w:tcPr>
            <w:tcW w:w="1844" w:type="dxa"/>
          </w:tcPr>
          <w:p>
            <w:pPr>
              <w:pStyle w:val="TableParagraph"/>
              <w:spacing w:line="278" w:lineRule="auto" w:before="178"/>
              <w:ind w:left="107" w:right="94"/>
              <w:rPr>
                <w:sz w:val="21"/>
              </w:rPr>
            </w:pPr>
            <w:r>
              <w:rPr>
                <w:spacing w:val="-2"/>
                <w:sz w:val="21"/>
              </w:rPr>
              <w:t>（一百零三</w:t>
            </w:r>
            <w:r>
              <w:rPr>
                <w:spacing w:val="-56"/>
                <w:sz w:val="21"/>
              </w:rPr>
              <w:t>）</w:t>
            </w:r>
            <w:r>
              <w:rPr>
                <w:spacing w:val="-2"/>
                <w:sz w:val="21"/>
              </w:rPr>
              <w:t>艾森</w:t>
            </w:r>
            <w:r>
              <w:rPr>
                <w:spacing w:val="-2"/>
                <w:sz w:val="21"/>
              </w:rPr>
              <w:t>门格综合征</w:t>
            </w:r>
          </w:p>
        </w:tc>
        <w:tc>
          <w:tcPr>
            <w:tcW w:w="1983" w:type="dxa"/>
          </w:tcPr>
          <w:p>
            <w:pPr>
              <w:pStyle w:val="TableParagraph"/>
              <w:spacing w:line="266" w:lineRule="auto" w:before="171"/>
              <w:ind w:left="107" w:right="-15"/>
              <w:rPr>
                <w:sz w:val="22"/>
              </w:rPr>
            </w:pPr>
            <w:r>
              <w:rPr>
                <w:spacing w:val="-2"/>
                <w:sz w:val="22"/>
              </w:rPr>
              <w:t>（五十一）进行性</w:t>
            </w:r>
            <w:r>
              <w:rPr>
                <w:spacing w:val="-2"/>
                <w:sz w:val="22"/>
              </w:rPr>
              <w:t>核上性麻痹</w:t>
            </w:r>
            <w:r>
              <w:rPr>
                <w:spacing w:val="-2"/>
                <w:sz w:val="22"/>
              </w:rPr>
              <w:t>（PSP）</w:t>
            </w:r>
          </w:p>
        </w:tc>
        <w:tc>
          <w:tcPr>
            <w:tcW w:w="1843" w:type="dxa"/>
          </w:tcPr>
          <w:p>
            <w:pPr>
              <w:pStyle w:val="TableParagraph"/>
              <w:rPr>
                <w:rFonts w:ascii="Times New Roman"/>
                <w:sz w:val="20"/>
              </w:rPr>
            </w:pPr>
          </w:p>
        </w:tc>
        <w:tc>
          <w:tcPr>
            <w:tcW w:w="1760" w:type="dxa"/>
          </w:tcPr>
          <w:p>
            <w:pPr>
              <w:pStyle w:val="TableParagraph"/>
              <w:spacing w:before="22"/>
              <w:ind w:left="110"/>
              <w:rPr>
                <w:sz w:val="21"/>
              </w:rPr>
            </w:pPr>
            <w:r>
              <w:rPr>
                <w:spacing w:val="-2"/>
                <w:sz w:val="21"/>
              </w:rPr>
              <w:t>（一百零九）</w:t>
            </w:r>
            <w:r>
              <w:rPr>
                <w:spacing w:val="-12"/>
                <w:sz w:val="21"/>
              </w:rPr>
              <w:t>严</w:t>
            </w:r>
          </w:p>
          <w:p>
            <w:pPr>
              <w:pStyle w:val="TableParagraph"/>
              <w:spacing w:line="310" w:lineRule="atLeast" w:before="2"/>
              <w:ind w:left="110" w:right="163"/>
              <w:rPr>
                <w:sz w:val="21"/>
              </w:rPr>
            </w:pPr>
            <w:r>
              <w:rPr>
                <w:spacing w:val="-2"/>
                <w:sz w:val="21"/>
              </w:rPr>
              <w:t>重幼年型类风湿</w:t>
            </w:r>
            <w:r>
              <w:rPr>
                <w:spacing w:val="-4"/>
                <w:sz w:val="21"/>
              </w:rPr>
              <w:t>性关节炎</w:t>
            </w:r>
          </w:p>
        </w:tc>
      </w:tr>
      <w:tr>
        <w:trPr>
          <w:trHeight w:val="935" w:hRule="atLeast"/>
        </w:trPr>
        <w:tc>
          <w:tcPr>
            <w:tcW w:w="1817" w:type="dxa"/>
          </w:tcPr>
          <w:p>
            <w:pPr>
              <w:pStyle w:val="TableParagraph"/>
              <w:spacing w:line="266" w:lineRule="auto" w:before="15"/>
              <w:ind w:left="110" w:right="151"/>
              <w:rPr>
                <w:sz w:val="22"/>
              </w:rPr>
            </w:pPr>
            <w:r>
              <w:rPr>
                <w:spacing w:val="-2"/>
                <w:sz w:val="22"/>
              </w:rPr>
              <w:t>（六十七）严重</w:t>
            </w:r>
            <w:r>
              <w:rPr>
                <w:spacing w:val="-4"/>
                <w:sz w:val="22"/>
              </w:rPr>
              <w:t>的骨髓增生异常</w:t>
            </w:r>
          </w:p>
          <w:p>
            <w:pPr>
              <w:pStyle w:val="TableParagraph"/>
              <w:spacing w:line="275" w:lineRule="exact"/>
              <w:ind w:left="110"/>
              <w:rPr>
                <w:sz w:val="22"/>
              </w:rPr>
            </w:pPr>
            <w:r>
              <w:rPr>
                <w:spacing w:val="-4"/>
                <w:sz w:val="22"/>
              </w:rPr>
              <w:t>综合征</w:t>
            </w:r>
          </w:p>
        </w:tc>
        <w:tc>
          <w:tcPr>
            <w:tcW w:w="1844" w:type="dxa"/>
          </w:tcPr>
          <w:p>
            <w:pPr>
              <w:pStyle w:val="TableParagraph"/>
              <w:spacing w:line="266" w:lineRule="auto" w:before="15"/>
              <w:ind w:left="107" w:right="181"/>
              <w:rPr>
                <w:sz w:val="22"/>
              </w:rPr>
            </w:pPr>
            <w:r>
              <w:rPr>
                <w:spacing w:val="-2"/>
                <w:sz w:val="22"/>
              </w:rPr>
              <w:t>（一百零六）</w:t>
            </w:r>
            <w:r>
              <w:rPr>
                <w:spacing w:val="-2"/>
                <w:sz w:val="22"/>
              </w:rPr>
              <w:t>风</w:t>
            </w:r>
            <w:r>
              <w:rPr>
                <w:spacing w:val="-4"/>
                <w:sz w:val="22"/>
              </w:rPr>
              <w:t>湿热导致的心脏</w:t>
            </w:r>
          </w:p>
          <w:p>
            <w:pPr>
              <w:pStyle w:val="TableParagraph"/>
              <w:spacing w:line="275" w:lineRule="exact"/>
              <w:ind w:left="107"/>
              <w:rPr>
                <w:sz w:val="22"/>
              </w:rPr>
            </w:pPr>
            <w:r>
              <w:rPr>
                <w:spacing w:val="-3"/>
                <w:sz w:val="22"/>
              </w:rPr>
              <w:t>瓣膜疾病</w:t>
            </w:r>
          </w:p>
        </w:tc>
        <w:tc>
          <w:tcPr>
            <w:tcW w:w="1983" w:type="dxa"/>
          </w:tcPr>
          <w:p>
            <w:pPr>
              <w:pStyle w:val="TableParagraph"/>
              <w:spacing w:before="6"/>
              <w:rPr>
                <w:sz w:val="25"/>
              </w:rPr>
            </w:pPr>
          </w:p>
          <w:p>
            <w:pPr>
              <w:pStyle w:val="TableParagraph"/>
              <w:ind w:left="107"/>
              <w:rPr>
                <w:sz w:val="22"/>
              </w:rPr>
            </w:pPr>
            <w:r>
              <w:rPr>
                <w:spacing w:val="-2"/>
                <w:sz w:val="22"/>
              </w:rPr>
              <w:t>（六十）</w:t>
            </w:r>
            <w:r>
              <w:rPr>
                <w:spacing w:val="-4"/>
                <w:sz w:val="22"/>
              </w:rPr>
              <w:t>克雅氏病</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1248" w:hRule="atLeast"/>
        </w:trPr>
        <w:tc>
          <w:tcPr>
            <w:tcW w:w="1817" w:type="dxa"/>
          </w:tcPr>
          <w:p>
            <w:pPr>
              <w:pStyle w:val="TableParagraph"/>
              <w:spacing w:line="278" w:lineRule="auto" w:before="178"/>
              <w:ind w:left="110" w:right="91"/>
              <w:rPr>
                <w:sz w:val="21"/>
              </w:rPr>
            </w:pPr>
            <w:r>
              <w:rPr>
                <w:spacing w:val="-2"/>
                <w:sz w:val="21"/>
              </w:rPr>
              <w:t>（七十一</w:t>
            </w:r>
            <w:r>
              <w:rPr>
                <w:spacing w:val="-80"/>
                <w:sz w:val="21"/>
              </w:rPr>
              <w:t>）</w:t>
            </w:r>
            <w:r>
              <w:rPr>
                <w:spacing w:val="-2"/>
                <w:sz w:val="21"/>
              </w:rPr>
              <w:t>严重肝</w:t>
            </w:r>
            <w:r>
              <w:rPr>
                <w:spacing w:val="-2"/>
                <w:sz w:val="21"/>
              </w:rPr>
              <w:t>豆状核变性</w:t>
            </w:r>
          </w:p>
          <w:p>
            <w:pPr>
              <w:pStyle w:val="TableParagraph"/>
              <w:spacing w:line="269" w:lineRule="exact"/>
              <w:ind w:left="110"/>
              <w:rPr>
                <w:sz w:val="21"/>
              </w:rPr>
            </w:pPr>
            <w:r>
              <w:rPr>
                <w:spacing w:val="-2"/>
                <w:sz w:val="21"/>
              </w:rPr>
              <w:t>（Wilson</w:t>
            </w:r>
            <w:r>
              <w:rPr>
                <w:spacing w:val="-24"/>
                <w:sz w:val="21"/>
              </w:rPr>
              <w:t> 病</w:t>
            </w:r>
            <w:r>
              <w:rPr>
                <w:spacing w:val="-10"/>
                <w:sz w:val="21"/>
              </w:rPr>
              <w:t>）</w:t>
            </w:r>
          </w:p>
        </w:tc>
        <w:tc>
          <w:tcPr>
            <w:tcW w:w="1844" w:type="dxa"/>
          </w:tcPr>
          <w:p>
            <w:pPr>
              <w:pStyle w:val="TableParagraph"/>
              <w:spacing w:line="278" w:lineRule="auto" w:before="178"/>
              <w:ind w:left="107" w:right="94"/>
              <w:rPr>
                <w:sz w:val="21"/>
              </w:rPr>
            </w:pPr>
            <w:r>
              <w:rPr>
                <w:spacing w:val="-2"/>
                <w:sz w:val="21"/>
              </w:rPr>
              <w:t>（一百零七</w:t>
            </w:r>
            <w:r>
              <w:rPr>
                <w:spacing w:val="-56"/>
                <w:sz w:val="21"/>
              </w:rPr>
              <w:t>）</w:t>
            </w:r>
            <w:r>
              <w:rPr>
                <w:spacing w:val="-2"/>
                <w:sz w:val="21"/>
              </w:rPr>
              <w:t>破裂</w:t>
            </w:r>
            <w:r>
              <w:rPr>
                <w:spacing w:val="-2"/>
                <w:sz w:val="21"/>
              </w:rPr>
              <w:t>脑动脉瘤夹闭手</w:t>
            </w:r>
            <w:r>
              <w:rPr>
                <w:spacing w:val="-10"/>
                <w:sz w:val="21"/>
              </w:rPr>
              <w:t>术</w:t>
            </w:r>
          </w:p>
        </w:tc>
        <w:tc>
          <w:tcPr>
            <w:tcW w:w="1983" w:type="dxa"/>
          </w:tcPr>
          <w:p>
            <w:pPr>
              <w:pStyle w:val="TableParagraph"/>
              <w:spacing w:line="266" w:lineRule="auto" w:before="15"/>
              <w:ind w:left="107" w:right="92"/>
              <w:jc w:val="both"/>
              <w:rPr>
                <w:sz w:val="22"/>
              </w:rPr>
            </w:pPr>
            <w:r>
              <w:rPr>
                <w:spacing w:val="-2"/>
                <w:sz w:val="22"/>
              </w:rPr>
              <w:t>（六十四）严重瑞</w:t>
            </w:r>
            <w:r>
              <w:rPr>
                <w:spacing w:val="-26"/>
                <w:sz w:val="22"/>
              </w:rPr>
              <w:t>氏综合征</w:t>
            </w:r>
            <w:r>
              <w:rPr>
                <w:sz w:val="22"/>
              </w:rPr>
              <w:t>（Reye</w:t>
            </w:r>
            <w:r>
              <w:rPr>
                <w:spacing w:val="-14"/>
                <w:sz w:val="22"/>
              </w:rPr>
              <w:t> 综</w:t>
            </w:r>
            <w:r>
              <w:rPr>
                <w:spacing w:val="-4"/>
                <w:sz w:val="22"/>
              </w:rPr>
              <w:t>合征，也称赖氏综</w:t>
            </w:r>
          </w:p>
          <w:p>
            <w:pPr>
              <w:pStyle w:val="TableParagraph"/>
              <w:spacing w:line="275" w:lineRule="exact"/>
              <w:ind w:left="107" w:right="-29"/>
              <w:rPr>
                <w:sz w:val="22"/>
              </w:rPr>
            </w:pPr>
            <w:r>
              <w:rPr>
                <w:spacing w:val="-16"/>
                <w:sz w:val="22"/>
              </w:rPr>
              <w:t>合征、雷氏综合征</w:t>
            </w:r>
            <w:r>
              <w:rPr>
                <w:spacing w:val="-10"/>
                <w:sz w:val="22"/>
              </w:rPr>
              <w:t>）</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5" w:hRule="atLeast"/>
        </w:trPr>
        <w:tc>
          <w:tcPr>
            <w:tcW w:w="1817" w:type="dxa"/>
          </w:tcPr>
          <w:p>
            <w:pPr>
              <w:pStyle w:val="TableParagraph"/>
              <w:spacing w:before="17"/>
              <w:ind w:left="110"/>
              <w:rPr>
                <w:sz w:val="22"/>
              </w:rPr>
            </w:pPr>
            <w:r>
              <w:rPr>
                <w:spacing w:val="-2"/>
                <w:sz w:val="22"/>
              </w:rPr>
              <w:t>（七十二）</w:t>
            </w:r>
            <w:r>
              <w:rPr>
                <w:spacing w:val="-6"/>
                <w:sz w:val="22"/>
              </w:rPr>
              <w:t>原发</w:t>
            </w:r>
          </w:p>
          <w:p>
            <w:pPr>
              <w:pStyle w:val="TableParagraph"/>
              <w:spacing w:line="277" w:lineRule="exact" w:before="30"/>
              <w:ind w:left="110"/>
              <w:rPr>
                <w:sz w:val="22"/>
              </w:rPr>
            </w:pPr>
            <w:r>
              <w:rPr>
                <w:spacing w:val="-4"/>
                <w:sz w:val="22"/>
              </w:rPr>
              <w:t>性骨髓纤维化</w:t>
            </w:r>
          </w:p>
        </w:tc>
        <w:tc>
          <w:tcPr>
            <w:tcW w:w="1844" w:type="dxa"/>
          </w:tcPr>
          <w:p>
            <w:pPr>
              <w:pStyle w:val="TableParagraph"/>
              <w:spacing w:before="17"/>
              <w:ind w:left="107"/>
              <w:rPr>
                <w:sz w:val="21"/>
              </w:rPr>
            </w:pPr>
            <w:r>
              <w:rPr>
                <w:spacing w:val="-2"/>
                <w:sz w:val="22"/>
              </w:rPr>
              <w:t>（一百零八）</w:t>
            </w:r>
            <w:r>
              <w:rPr>
                <w:spacing w:val="-10"/>
                <w:sz w:val="21"/>
              </w:rPr>
              <w:t>室</w:t>
            </w:r>
          </w:p>
          <w:p>
            <w:pPr>
              <w:pStyle w:val="TableParagraph"/>
              <w:spacing w:before="38"/>
              <w:ind w:left="107"/>
              <w:rPr>
                <w:sz w:val="21"/>
              </w:rPr>
            </w:pPr>
            <w:r>
              <w:rPr>
                <w:spacing w:val="-4"/>
                <w:sz w:val="21"/>
              </w:rPr>
              <w:t>壁瘤切除术</w:t>
            </w:r>
          </w:p>
        </w:tc>
        <w:tc>
          <w:tcPr>
            <w:tcW w:w="1983" w:type="dxa"/>
          </w:tcPr>
          <w:p>
            <w:pPr>
              <w:pStyle w:val="TableParagraph"/>
              <w:spacing w:before="17"/>
              <w:ind w:left="107"/>
              <w:rPr>
                <w:sz w:val="22"/>
              </w:rPr>
            </w:pPr>
            <w:r>
              <w:rPr>
                <w:spacing w:val="-2"/>
                <w:sz w:val="22"/>
              </w:rPr>
              <w:t>（六十八）</w:t>
            </w:r>
            <w:r>
              <w:rPr>
                <w:spacing w:val="-5"/>
                <w:sz w:val="22"/>
              </w:rPr>
              <w:t>脑桥中</w:t>
            </w:r>
          </w:p>
          <w:p>
            <w:pPr>
              <w:pStyle w:val="TableParagraph"/>
              <w:spacing w:line="277" w:lineRule="exact" w:before="30"/>
              <w:ind w:left="107"/>
              <w:rPr>
                <w:sz w:val="22"/>
              </w:rPr>
            </w:pPr>
            <w:r>
              <w:rPr>
                <w:spacing w:val="-4"/>
                <w:sz w:val="22"/>
              </w:rPr>
              <w:t>央髓鞘溶解症</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1247" w:hRule="atLeast"/>
        </w:trPr>
        <w:tc>
          <w:tcPr>
            <w:tcW w:w="1817" w:type="dxa"/>
          </w:tcPr>
          <w:p>
            <w:pPr>
              <w:pStyle w:val="TableParagraph"/>
              <w:spacing w:line="266" w:lineRule="auto" w:before="15"/>
              <w:ind w:left="110" w:right="151"/>
              <w:jc w:val="both"/>
              <w:rPr>
                <w:sz w:val="22"/>
              </w:rPr>
            </w:pPr>
            <w:r>
              <w:rPr>
                <w:spacing w:val="-2"/>
                <w:sz w:val="22"/>
              </w:rPr>
              <w:t>（七十七）因器</w:t>
            </w:r>
            <w:r>
              <w:rPr>
                <w:spacing w:val="-2"/>
                <w:sz w:val="22"/>
              </w:rPr>
              <w:t>官移植导致的感</w:t>
            </w:r>
            <w:r>
              <w:rPr>
                <w:spacing w:val="-4"/>
                <w:sz w:val="22"/>
              </w:rPr>
              <w:t>染艾滋病病毒或</w:t>
            </w:r>
          </w:p>
          <w:p>
            <w:pPr>
              <w:pStyle w:val="TableParagraph"/>
              <w:spacing w:line="274" w:lineRule="exact"/>
              <w:ind w:left="110"/>
              <w:rPr>
                <w:sz w:val="22"/>
              </w:rPr>
            </w:pPr>
            <w:r>
              <w:rPr>
                <w:spacing w:val="-3"/>
                <w:sz w:val="22"/>
              </w:rPr>
              <w:t>患艾滋病</w:t>
            </w:r>
          </w:p>
        </w:tc>
        <w:tc>
          <w:tcPr>
            <w:tcW w:w="1844" w:type="dxa"/>
          </w:tcPr>
          <w:p>
            <w:pPr>
              <w:pStyle w:val="TableParagraph"/>
              <w:spacing w:line="278" w:lineRule="auto" w:before="178"/>
              <w:ind w:left="107" w:right="94"/>
              <w:rPr>
                <w:sz w:val="21"/>
              </w:rPr>
            </w:pPr>
            <w:r>
              <w:rPr>
                <w:spacing w:val="-2"/>
                <w:sz w:val="21"/>
              </w:rPr>
              <w:t>（一百一十</w:t>
            </w:r>
            <w:r>
              <w:rPr>
                <w:spacing w:val="-56"/>
                <w:sz w:val="21"/>
              </w:rPr>
              <w:t>）</w:t>
            </w:r>
            <w:r>
              <w:rPr>
                <w:spacing w:val="-2"/>
                <w:sz w:val="21"/>
              </w:rPr>
              <w:t>严重</w:t>
            </w:r>
            <w:r>
              <w:rPr>
                <w:spacing w:val="-4"/>
                <w:sz w:val="21"/>
              </w:rPr>
              <w:t>心脏衰竭 </w:t>
            </w:r>
            <w:r>
              <w:rPr>
                <w:sz w:val="21"/>
              </w:rPr>
              <w:t>CRT</w:t>
            </w:r>
            <w:r>
              <w:rPr>
                <w:spacing w:val="-11"/>
                <w:sz w:val="21"/>
              </w:rPr>
              <w:t> 心</w:t>
            </w:r>
            <w:r>
              <w:rPr>
                <w:spacing w:val="-2"/>
                <w:sz w:val="21"/>
              </w:rPr>
              <w:t>脏再同步治疗</w:t>
            </w:r>
          </w:p>
        </w:tc>
        <w:tc>
          <w:tcPr>
            <w:tcW w:w="1983" w:type="dxa"/>
          </w:tcPr>
          <w:p>
            <w:pPr>
              <w:pStyle w:val="TableParagraph"/>
              <w:spacing w:before="6"/>
              <w:rPr>
                <w:sz w:val="25"/>
              </w:rPr>
            </w:pPr>
          </w:p>
          <w:p>
            <w:pPr>
              <w:pStyle w:val="TableParagraph"/>
              <w:spacing w:line="266" w:lineRule="auto"/>
              <w:ind w:left="107" w:right="102"/>
              <w:rPr>
                <w:sz w:val="22"/>
              </w:rPr>
            </w:pPr>
            <w:r>
              <w:rPr>
                <w:spacing w:val="-2"/>
                <w:sz w:val="22"/>
              </w:rPr>
              <w:t>（六十九）同心圆</w:t>
            </w:r>
            <w:r>
              <w:rPr>
                <w:spacing w:val="-6"/>
                <w:sz w:val="22"/>
              </w:rPr>
              <w:t>硬化</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spacing w:before="15"/>
              <w:ind w:left="110"/>
              <w:rPr>
                <w:sz w:val="22"/>
              </w:rPr>
            </w:pPr>
            <w:r>
              <w:rPr>
                <w:spacing w:val="-2"/>
                <w:sz w:val="22"/>
              </w:rPr>
              <w:t>（八十）</w:t>
            </w:r>
            <w:r>
              <w:rPr>
                <w:spacing w:val="-5"/>
                <w:sz w:val="22"/>
              </w:rPr>
              <w:t>肺孢子</w:t>
            </w:r>
          </w:p>
          <w:p>
            <w:pPr>
              <w:pStyle w:val="TableParagraph"/>
              <w:spacing w:line="277" w:lineRule="exact" w:before="30"/>
              <w:ind w:left="110"/>
              <w:rPr>
                <w:sz w:val="22"/>
              </w:rPr>
            </w:pPr>
            <w:r>
              <w:rPr>
                <w:spacing w:val="-4"/>
                <w:sz w:val="22"/>
              </w:rPr>
              <w:t>菌肺炎</w:t>
            </w: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（七十三）</w:t>
            </w:r>
            <w:r>
              <w:rPr>
                <w:spacing w:val="-5"/>
                <w:sz w:val="22"/>
              </w:rPr>
              <w:t>弥漫性</w:t>
            </w:r>
          </w:p>
          <w:p>
            <w:pPr>
              <w:pStyle w:val="TableParagraph"/>
              <w:spacing w:line="277" w:lineRule="exact" w:before="30"/>
              <w:ind w:left="107"/>
              <w:rPr>
                <w:sz w:val="22"/>
              </w:rPr>
            </w:pPr>
            <w:r>
              <w:rPr>
                <w:spacing w:val="-5"/>
                <w:sz w:val="22"/>
              </w:rPr>
              <w:t>硬化</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4" w:hRule="atLeast"/>
        </w:trPr>
        <w:tc>
          <w:tcPr>
            <w:tcW w:w="1817" w:type="dxa"/>
          </w:tcPr>
          <w:p>
            <w:pPr>
              <w:pStyle w:val="TableParagraph"/>
              <w:spacing w:before="15"/>
              <w:ind w:left="110"/>
              <w:rPr>
                <w:sz w:val="22"/>
              </w:rPr>
            </w:pPr>
            <w:r>
              <w:rPr>
                <w:spacing w:val="-2"/>
                <w:sz w:val="22"/>
              </w:rPr>
              <w:t>（八十三）</w:t>
            </w:r>
            <w:r>
              <w:rPr>
                <w:spacing w:val="-6"/>
                <w:sz w:val="22"/>
              </w:rPr>
              <w:t>范可</w:t>
            </w:r>
          </w:p>
          <w:p>
            <w:pPr>
              <w:pStyle w:val="TableParagraph"/>
              <w:spacing w:line="277" w:lineRule="exact" w:before="30"/>
              <w:ind w:left="110"/>
              <w:rPr>
                <w:sz w:val="22"/>
              </w:rPr>
            </w:pPr>
            <w:r>
              <w:rPr>
                <w:spacing w:val="-3"/>
                <w:sz w:val="22"/>
              </w:rPr>
              <w:t>尼综合征</w:t>
            </w: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（七十四）</w:t>
            </w:r>
            <w:r>
              <w:rPr>
                <w:spacing w:val="-5"/>
                <w:sz w:val="22"/>
              </w:rPr>
              <w:t>进行性</w:t>
            </w:r>
          </w:p>
          <w:p>
            <w:pPr>
              <w:pStyle w:val="TableParagraph"/>
              <w:spacing w:line="277" w:lineRule="exact" w:before="30"/>
              <w:ind w:left="107"/>
              <w:rPr>
                <w:sz w:val="22"/>
              </w:rPr>
            </w:pPr>
            <w:r>
              <w:rPr>
                <w:spacing w:val="-4"/>
                <w:sz w:val="22"/>
              </w:rPr>
              <w:t>多灶性白质脑病</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spacing w:before="15"/>
              <w:ind w:left="110"/>
              <w:rPr>
                <w:sz w:val="22"/>
              </w:rPr>
            </w:pPr>
            <w:r>
              <w:rPr>
                <w:spacing w:val="-2"/>
                <w:sz w:val="22"/>
              </w:rPr>
              <w:t>（九十六）</w:t>
            </w:r>
            <w:r>
              <w:rPr>
                <w:spacing w:val="-6"/>
                <w:sz w:val="22"/>
              </w:rPr>
              <w:t>溶血</w:t>
            </w:r>
          </w:p>
          <w:p>
            <w:pPr>
              <w:pStyle w:val="TableParagraph"/>
              <w:spacing w:line="277" w:lineRule="exact" w:before="30"/>
              <w:ind w:left="110"/>
              <w:rPr>
                <w:sz w:val="22"/>
              </w:rPr>
            </w:pPr>
            <w:r>
              <w:rPr>
                <w:spacing w:val="-4"/>
                <w:sz w:val="22"/>
              </w:rPr>
              <w:t>性尿毒综合征</w:t>
            </w: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（七十五）</w:t>
            </w:r>
            <w:r>
              <w:rPr>
                <w:spacing w:val="-5"/>
                <w:sz w:val="22"/>
              </w:rPr>
              <w:t>脊髓小</w:t>
            </w:r>
          </w:p>
          <w:p>
            <w:pPr>
              <w:pStyle w:val="TableParagraph"/>
              <w:spacing w:line="277" w:lineRule="exact" w:before="30"/>
              <w:ind w:left="107"/>
              <w:rPr>
                <w:sz w:val="22"/>
              </w:rPr>
            </w:pPr>
            <w:r>
              <w:rPr>
                <w:spacing w:val="-3"/>
                <w:sz w:val="22"/>
              </w:rPr>
              <w:t>脑变性症</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bl>
    <w:p>
      <w:pPr>
        <w:spacing w:after="0"/>
        <w:rPr>
          <w:rFonts w:ascii="Times New Roman"/>
          <w:sz w:val="20"/>
        </w:rPr>
        <w:sectPr>
          <w:type w:val="continuous"/>
          <w:pgSz w:w="11910" w:h="16840"/>
          <w:pgMar w:header="0" w:footer="857" w:top="1440" w:bottom="1180" w:left="1100" w:right="260"/>
        </w:sectPr>
      </w:pPr>
    </w:p>
    <w:tbl>
      <w:tblPr>
        <w:tblW w:w="0" w:type="auto"/>
        <w:jc w:val="left"/>
        <w:tblInd w:w="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17"/>
        <w:gridCol w:w="1844"/>
        <w:gridCol w:w="1983"/>
        <w:gridCol w:w="1843"/>
        <w:gridCol w:w="1760"/>
      </w:tblGrid>
      <w:tr>
        <w:trPr>
          <w:trHeight w:val="624" w:hRule="atLeast"/>
        </w:trPr>
        <w:tc>
          <w:tcPr>
            <w:tcW w:w="1817" w:type="dxa"/>
          </w:tcPr>
          <w:p>
            <w:pPr>
              <w:pStyle w:val="TableParagraph"/>
              <w:spacing w:before="15"/>
              <w:ind w:left="110"/>
              <w:rPr>
                <w:sz w:val="22"/>
              </w:rPr>
            </w:pPr>
            <w:r>
              <w:rPr>
                <w:spacing w:val="-2"/>
                <w:sz w:val="22"/>
              </w:rPr>
              <w:t>（九十八）</w:t>
            </w:r>
            <w:r>
              <w:rPr>
                <w:spacing w:val="-6"/>
                <w:sz w:val="22"/>
              </w:rPr>
              <w:t>弥漫</w:t>
            </w:r>
          </w:p>
          <w:p>
            <w:pPr>
              <w:pStyle w:val="TableParagraph"/>
              <w:spacing w:line="277" w:lineRule="exact" w:before="30"/>
              <w:ind w:left="110"/>
              <w:rPr>
                <w:sz w:val="22"/>
              </w:rPr>
            </w:pPr>
            <w:r>
              <w:rPr>
                <w:spacing w:val="-4"/>
                <w:sz w:val="22"/>
              </w:rPr>
              <w:t>性血管内凝血</w:t>
            </w: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（七十六）</w:t>
            </w:r>
            <w:r>
              <w:rPr>
                <w:spacing w:val="-5"/>
                <w:sz w:val="22"/>
              </w:rPr>
              <w:t>严重肌</w:t>
            </w:r>
          </w:p>
          <w:p>
            <w:pPr>
              <w:pStyle w:val="TableParagraph"/>
              <w:spacing w:line="277" w:lineRule="exact" w:before="30"/>
              <w:ind w:left="107"/>
              <w:rPr>
                <w:sz w:val="22"/>
              </w:rPr>
            </w:pPr>
            <w:r>
              <w:rPr>
                <w:spacing w:val="-4"/>
                <w:sz w:val="22"/>
              </w:rPr>
              <w:t>营养不良症</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（七十九）</w:t>
            </w:r>
            <w:r>
              <w:rPr>
                <w:spacing w:val="-5"/>
                <w:sz w:val="22"/>
              </w:rPr>
              <w:t>皮质基</w:t>
            </w:r>
          </w:p>
          <w:p>
            <w:pPr>
              <w:pStyle w:val="TableParagraph"/>
              <w:spacing w:line="277" w:lineRule="exact" w:before="30"/>
              <w:ind w:left="107"/>
              <w:rPr>
                <w:sz w:val="22"/>
              </w:rPr>
            </w:pPr>
            <w:r>
              <w:rPr>
                <w:spacing w:val="-3"/>
                <w:sz w:val="22"/>
              </w:rPr>
              <w:t>底节变性</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（八十六）</w:t>
            </w:r>
            <w:r>
              <w:rPr>
                <w:spacing w:val="-5"/>
                <w:sz w:val="22"/>
              </w:rPr>
              <w:t>严重癫</w:t>
            </w:r>
          </w:p>
          <w:p>
            <w:pPr>
              <w:pStyle w:val="TableParagraph"/>
              <w:spacing w:line="277" w:lineRule="exact" w:before="30"/>
              <w:ind w:left="107"/>
              <w:rPr>
                <w:sz w:val="22"/>
              </w:rPr>
            </w:pPr>
            <w:r>
              <w:rPr>
                <w:w w:val="100"/>
                <w:sz w:val="22"/>
              </w:rPr>
              <w:t>痫</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（八十八）</w:t>
            </w:r>
            <w:r>
              <w:rPr>
                <w:spacing w:val="-5"/>
                <w:sz w:val="22"/>
              </w:rPr>
              <w:t>脊髓空</w:t>
            </w:r>
          </w:p>
          <w:p>
            <w:pPr>
              <w:pStyle w:val="TableParagraph"/>
              <w:spacing w:line="277" w:lineRule="exact" w:before="30"/>
              <w:ind w:left="107"/>
              <w:rPr>
                <w:sz w:val="22"/>
              </w:rPr>
            </w:pPr>
            <w:r>
              <w:rPr>
                <w:spacing w:val="-5"/>
                <w:sz w:val="22"/>
              </w:rPr>
              <w:t>洞症</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（九十）</w:t>
            </w:r>
            <w:r>
              <w:rPr>
                <w:spacing w:val="-4"/>
                <w:sz w:val="22"/>
              </w:rPr>
              <w:t>神经白塞</w:t>
            </w:r>
          </w:p>
          <w:p>
            <w:pPr>
              <w:pStyle w:val="TableParagraph"/>
              <w:spacing w:line="277" w:lineRule="exact" w:before="30"/>
              <w:ind w:left="107"/>
              <w:rPr>
                <w:sz w:val="22"/>
              </w:rPr>
            </w:pPr>
            <w:r>
              <w:rPr>
                <w:w w:val="100"/>
                <w:sz w:val="22"/>
              </w:rPr>
              <w:t>病</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6"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7"/>
              <w:ind w:left="107"/>
              <w:rPr>
                <w:sz w:val="22"/>
              </w:rPr>
            </w:pPr>
            <w:r>
              <w:rPr>
                <w:spacing w:val="-2"/>
                <w:sz w:val="22"/>
              </w:rPr>
              <w:t>（九十一）</w:t>
            </w:r>
            <w:r>
              <w:rPr>
                <w:spacing w:val="-5"/>
                <w:sz w:val="22"/>
              </w:rPr>
              <w:t>亚历山</w:t>
            </w:r>
          </w:p>
          <w:p>
            <w:pPr>
              <w:pStyle w:val="TableParagraph"/>
              <w:spacing w:line="277" w:lineRule="exact" w:before="31"/>
              <w:ind w:left="107"/>
              <w:rPr>
                <w:sz w:val="22"/>
              </w:rPr>
            </w:pPr>
            <w:r>
              <w:rPr>
                <w:spacing w:val="-5"/>
                <w:sz w:val="22"/>
              </w:rPr>
              <w:t>大病</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（九十四）</w:t>
            </w:r>
            <w:r>
              <w:rPr>
                <w:spacing w:val="-5"/>
                <w:sz w:val="22"/>
              </w:rPr>
              <w:t>肾上腺</w:t>
            </w:r>
          </w:p>
          <w:p>
            <w:pPr>
              <w:pStyle w:val="TableParagraph"/>
              <w:spacing w:line="277" w:lineRule="exact" w:before="30"/>
              <w:ind w:left="107"/>
              <w:rPr>
                <w:sz w:val="22"/>
              </w:rPr>
            </w:pPr>
            <w:r>
              <w:rPr>
                <w:spacing w:val="-4"/>
                <w:sz w:val="22"/>
              </w:rPr>
              <w:t>脑白质营养不良</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（九十五）</w:t>
            </w:r>
            <w:r>
              <w:rPr>
                <w:spacing w:val="-5"/>
                <w:sz w:val="22"/>
              </w:rPr>
              <w:t>异染性</w:t>
            </w:r>
          </w:p>
          <w:p>
            <w:pPr>
              <w:pStyle w:val="TableParagraph"/>
              <w:spacing w:line="277" w:lineRule="exact" w:before="30"/>
              <w:ind w:left="107"/>
              <w:rPr>
                <w:sz w:val="22"/>
              </w:rPr>
            </w:pPr>
            <w:r>
              <w:rPr>
                <w:spacing w:val="-4"/>
                <w:sz w:val="22"/>
              </w:rPr>
              <w:t>脑白质营养不良</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（九十九）</w:t>
            </w:r>
            <w:r>
              <w:rPr>
                <w:spacing w:val="-5"/>
                <w:sz w:val="22"/>
              </w:rPr>
              <w:t>横贯性</w:t>
            </w:r>
          </w:p>
          <w:p>
            <w:pPr>
              <w:pStyle w:val="TableParagraph"/>
              <w:spacing w:line="277" w:lineRule="exact" w:before="30"/>
              <w:ind w:left="107"/>
              <w:rPr>
                <w:sz w:val="22"/>
              </w:rPr>
            </w:pPr>
            <w:r>
              <w:rPr>
                <w:spacing w:val="-4"/>
                <w:sz w:val="22"/>
              </w:rPr>
              <w:t>脊髓炎后遗症</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311"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line="277" w:lineRule="exact" w:before="15"/>
              <w:ind w:left="107"/>
              <w:rPr>
                <w:sz w:val="22"/>
              </w:rPr>
            </w:pPr>
            <w:r>
              <w:rPr>
                <w:spacing w:val="-2"/>
                <w:sz w:val="22"/>
              </w:rPr>
              <w:t>（一百）</w:t>
            </w:r>
            <w:r>
              <w:rPr>
                <w:spacing w:val="-4"/>
                <w:sz w:val="22"/>
              </w:rPr>
              <w:t>脑型疟疾</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3"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5"/>
              <w:ind w:left="107"/>
              <w:rPr>
                <w:sz w:val="22"/>
              </w:rPr>
            </w:pPr>
            <w:r>
              <w:rPr>
                <w:spacing w:val="-2"/>
                <w:sz w:val="22"/>
              </w:rPr>
              <w:t>（一百零二）</w:t>
            </w:r>
            <w:r>
              <w:rPr>
                <w:spacing w:val="-6"/>
                <w:sz w:val="22"/>
              </w:rPr>
              <w:t>亚急</w:t>
            </w:r>
          </w:p>
          <w:p>
            <w:pPr>
              <w:pStyle w:val="TableParagraph"/>
              <w:spacing w:line="277" w:lineRule="exact" w:before="30"/>
              <w:ind w:left="107"/>
              <w:rPr>
                <w:sz w:val="22"/>
              </w:rPr>
            </w:pPr>
            <w:r>
              <w:rPr>
                <w:spacing w:val="-4"/>
                <w:sz w:val="22"/>
              </w:rPr>
              <w:t>性坏死性脊髓炎</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r>
        <w:trPr>
          <w:trHeight w:val="626" w:hRule="atLeast"/>
        </w:trPr>
        <w:tc>
          <w:tcPr>
            <w:tcW w:w="1817" w:type="dxa"/>
          </w:tcPr>
          <w:p>
            <w:pPr>
              <w:pStyle w:val="TableParagraph"/>
              <w:rPr>
                <w:rFonts w:ascii="Times New Roman"/>
                <w:sz w:val="20"/>
              </w:rPr>
            </w:pPr>
          </w:p>
        </w:tc>
        <w:tc>
          <w:tcPr>
            <w:tcW w:w="1844" w:type="dxa"/>
          </w:tcPr>
          <w:p>
            <w:pPr>
              <w:pStyle w:val="TableParagraph"/>
              <w:rPr>
                <w:rFonts w:ascii="Times New Roman"/>
                <w:sz w:val="20"/>
              </w:rPr>
            </w:pPr>
          </w:p>
        </w:tc>
        <w:tc>
          <w:tcPr>
            <w:tcW w:w="1983" w:type="dxa"/>
          </w:tcPr>
          <w:p>
            <w:pPr>
              <w:pStyle w:val="TableParagraph"/>
              <w:spacing w:before="17"/>
              <w:ind w:left="107"/>
              <w:rPr>
                <w:sz w:val="22"/>
              </w:rPr>
            </w:pPr>
            <w:r>
              <w:rPr>
                <w:spacing w:val="-2"/>
                <w:sz w:val="22"/>
              </w:rPr>
              <w:t>（一百零四）</w:t>
            </w:r>
            <w:r>
              <w:rPr>
                <w:spacing w:val="-6"/>
                <w:sz w:val="22"/>
              </w:rPr>
              <w:t>多系</w:t>
            </w:r>
          </w:p>
          <w:p>
            <w:pPr>
              <w:pStyle w:val="TableParagraph"/>
              <w:spacing w:line="277" w:lineRule="exact" w:before="31"/>
              <w:ind w:left="107"/>
              <w:rPr>
                <w:sz w:val="22"/>
              </w:rPr>
            </w:pPr>
            <w:r>
              <w:rPr>
                <w:sz w:val="22"/>
              </w:rPr>
              <w:t>统萎缩</w:t>
            </w:r>
            <w:r>
              <w:rPr>
                <w:spacing w:val="-2"/>
                <w:sz w:val="22"/>
              </w:rPr>
              <w:t>（MSA）</w:t>
            </w:r>
          </w:p>
        </w:tc>
        <w:tc>
          <w:tcPr>
            <w:tcW w:w="1843" w:type="dxa"/>
          </w:tcPr>
          <w:p>
            <w:pPr>
              <w:pStyle w:val="TableParagraph"/>
              <w:rPr>
                <w:rFonts w:ascii="Times New Roman"/>
                <w:sz w:val="20"/>
              </w:rPr>
            </w:pPr>
          </w:p>
        </w:tc>
        <w:tc>
          <w:tcPr>
            <w:tcW w:w="1760" w:type="dxa"/>
          </w:tcPr>
          <w:p>
            <w:pPr>
              <w:pStyle w:val="TableParagraph"/>
              <w:rPr>
                <w:rFonts w:ascii="Times New Roman"/>
                <w:sz w:val="20"/>
              </w:rPr>
            </w:pPr>
          </w:p>
        </w:tc>
      </w:tr>
    </w:tbl>
    <w:p>
      <w:pPr>
        <w:pStyle w:val="BodyText"/>
        <w:spacing w:line="297" w:lineRule="auto" w:before="89"/>
        <w:ind w:left="2990" w:right="1039" w:hanging="2766"/>
        <w:jc w:val="both"/>
      </w:pPr>
      <w:r>
        <w:rPr/>
        <w:t>（一）恶性肿瘤——重度 指恶性细胞不受控制的进行性增长和扩散，浸润和破坏周围正常组织，</w:t>
      </w:r>
      <w:r>
        <w:rPr>
          <w:spacing w:val="-2"/>
        </w:rPr>
        <w:t>可以经血管、淋巴管和体腔扩散转移到身体其他部位，病灶经</w:t>
      </w:r>
      <w:r>
        <w:rPr>
          <w:color w:val="000000"/>
          <w:spacing w:val="-2"/>
          <w:shd w:fill="BEBEBE" w:color="auto" w:val="clear"/>
        </w:rPr>
        <w:t>组织病理</w:t>
      </w:r>
      <w:r>
        <w:rPr>
          <w:color w:val="000000"/>
          <w:spacing w:val="40"/>
          <w:shd w:fill="BEBEBE" w:color="auto" w:val="clear"/>
        </w:rPr>
        <w:t> </w:t>
      </w:r>
      <w:r>
        <w:rPr>
          <w:color w:val="000000"/>
          <w:spacing w:val="-2"/>
          <w:shd w:fill="BEBEBE" w:color="auto" w:val="clear"/>
        </w:rPr>
        <w:t>学检查</w:t>
      </w:r>
      <w:r>
        <w:rPr>
          <w:color w:val="000000"/>
          <w:spacing w:val="-2"/>
        </w:rPr>
        <w:t>（见8.23）（涵盖骨髓病理学检查）结果明确诊断，临床诊断属</w:t>
      </w:r>
      <w:r>
        <w:rPr>
          <w:color w:val="000000"/>
        </w:rPr>
        <w:t>于世界卫生组织（WHO，World</w:t>
      </w:r>
      <w:r>
        <w:rPr>
          <w:color w:val="000000"/>
          <w:spacing w:val="-15"/>
        </w:rPr>
        <w:t> </w:t>
      </w:r>
      <w:r>
        <w:rPr>
          <w:color w:val="000000"/>
        </w:rPr>
        <w:t>Health</w:t>
      </w:r>
      <w:r>
        <w:rPr>
          <w:color w:val="000000"/>
          <w:spacing w:val="-15"/>
        </w:rPr>
        <w:t> </w:t>
      </w:r>
      <w:r>
        <w:rPr>
          <w:color w:val="000000"/>
        </w:rPr>
        <w:t>Organization）《疾病和有关健</w:t>
      </w:r>
      <w:r>
        <w:rPr>
          <w:color w:val="000000"/>
          <w:spacing w:val="-2"/>
        </w:rPr>
        <w:t>康问题的国际统计分类》第十次修订版（</w:t>
      </w:r>
      <w:r>
        <w:rPr>
          <w:color w:val="000000"/>
          <w:spacing w:val="-2"/>
          <w:shd w:fill="BEBEBE" w:color="auto" w:val="clear"/>
        </w:rPr>
        <w:t>ICD-10</w:t>
      </w:r>
      <w:r>
        <w:rPr>
          <w:color w:val="000000"/>
          <w:spacing w:val="-2"/>
        </w:rPr>
        <w:t>）（见8.24）的恶性肿</w:t>
      </w:r>
      <w:r>
        <w:rPr>
          <w:color w:val="000000"/>
          <w:spacing w:val="-2"/>
        </w:rPr>
        <w:t>瘤类别及《国际疾病分类肿瘤学专辑》第三版（</w:t>
      </w:r>
      <w:r>
        <w:rPr>
          <w:color w:val="000000"/>
          <w:spacing w:val="-2"/>
          <w:shd w:fill="BEBEBE" w:color="auto" w:val="clear"/>
        </w:rPr>
        <w:t>ICD-O-3</w:t>
      </w:r>
      <w:r>
        <w:rPr>
          <w:color w:val="000000"/>
          <w:spacing w:val="-2"/>
        </w:rPr>
        <w:t>）（见8.24）</w:t>
      </w:r>
      <w:r>
        <w:rPr>
          <w:color w:val="000000"/>
          <w:spacing w:val="-2"/>
        </w:rPr>
        <w:t>的肿瘤形态学编码属于3、6、9（恶性肿瘤）范畴的疾病。</w:t>
      </w:r>
    </w:p>
    <w:p>
      <w:pPr>
        <w:spacing w:before="5"/>
        <w:ind w:left="2990" w:right="0" w:firstLine="0"/>
        <w:jc w:val="left"/>
        <w:rPr>
          <w:b/>
          <w:sz w:val="21"/>
        </w:rPr>
      </w:pPr>
      <w:r>
        <w:rPr>
          <w:b/>
          <w:spacing w:val="-3"/>
          <w:sz w:val="21"/>
        </w:rPr>
        <w:t>下列疾病不属于“恶性肿瘤——重度”，不在本保障范围内：</w:t>
      </w:r>
    </w:p>
    <w:p>
      <w:pPr>
        <w:pStyle w:val="ListParagraph"/>
        <w:numPr>
          <w:ilvl w:val="2"/>
          <w:numId w:val="13"/>
        </w:numPr>
        <w:tabs>
          <w:tab w:pos="3520" w:val="left" w:leader="none"/>
        </w:tabs>
        <w:spacing w:line="297" w:lineRule="auto" w:before="65" w:after="0"/>
        <w:ind w:left="2990" w:right="982" w:firstLine="0"/>
        <w:jc w:val="left"/>
        <w:rPr>
          <w:b/>
          <w:sz w:val="19"/>
        </w:rPr>
      </w:pPr>
      <w:r>
        <w:rPr>
          <w:b/>
          <w:spacing w:val="-2"/>
          <w:sz w:val="21"/>
        </w:rPr>
        <w:t>ICD-O-3</w:t>
      </w:r>
      <w:r>
        <w:rPr>
          <w:b/>
          <w:spacing w:val="-2"/>
          <w:sz w:val="21"/>
        </w:rPr>
        <w:t>肿瘤形态学编码属于0（良性肿瘤</w:t>
      </w:r>
      <w:r>
        <w:rPr>
          <w:b/>
          <w:spacing w:val="-65"/>
          <w:sz w:val="21"/>
        </w:rPr>
        <w:t>）、</w:t>
      </w:r>
      <w:r>
        <w:rPr>
          <w:b/>
          <w:spacing w:val="-2"/>
          <w:sz w:val="21"/>
        </w:rPr>
        <w:t>1（动态未定性肿瘤</w:t>
      </w:r>
      <w:r>
        <w:rPr>
          <w:b/>
          <w:spacing w:val="-65"/>
          <w:sz w:val="21"/>
        </w:rPr>
        <w:t>）</w:t>
      </w:r>
      <w:r>
        <w:rPr>
          <w:b/>
          <w:sz w:val="21"/>
        </w:rPr>
        <w:t>、 2（原位癌和非侵袭性癌）范畴的疾病，如：</w:t>
      </w:r>
    </w:p>
    <w:p>
      <w:pPr>
        <w:pStyle w:val="ListParagraph"/>
        <w:numPr>
          <w:ilvl w:val="0"/>
          <w:numId w:val="14"/>
        </w:numPr>
        <w:tabs>
          <w:tab w:pos="3203" w:val="left" w:leader="none"/>
        </w:tabs>
        <w:spacing w:line="297" w:lineRule="auto" w:before="2" w:after="0"/>
        <w:ind w:left="2990" w:right="1085" w:firstLine="0"/>
        <w:jc w:val="left"/>
        <w:rPr>
          <w:b/>
          <w:sz w:val="21"/>
        </w:rPr>
      </w:pPr>
      <w:r>
        <w:rPr>
          <w:b/>
          <w:spacing w:val="-4"/>
          <w:sz w:val="21"/>
        </w:rPr>
        <w:t>原位癌，癌前病变，非浸润性癌，非侵袭性癌，肿瘤细胞未侵犯基底</w:t>
      </w:r>
      <w:r>
        <w:rPr>
          <w:b/>
          <w:spacing w:val="-2"/>
          <w:sz w:val="21"/>
        </w:rPr>
        <w:t>层，上皮内瘤变，细胞不典型性增生等；</w:t>
      </w:r>
    </w:p>
    <w:p>
      <w:pPr>
        <w:pStyle w:val="ListParagraph"/>
        <w:numPr>
          <w:ilvl w:val="0"/>
          <w:numId w:val="14"/>
        </w:numPr>
        <w:tabs>
          <w:tab w:pos="3203" w:val="left" w:leader="none"/>
        </w:tabs>
        <w:spacing w:line="297" w:lineRule="auto" w:before="0" w:after="0"/>
        <w:ind w:left="2990" w:right="1085" w:firstLine="0"/>
        <w:jc w:val="left"/>
        <w:rPr>
          <w:b/>
          <w:sz w:val="21"/>
        </w:rPr>
      </w:pPr>
      <w:r>
        <w:rPr>
          <w:b/>
          <w:spacing w:val="-4"/>
          <w:sz w:val="21"/>
        </w:rPr>
        <w:t>交界性肿瘤，交界恶性肿瘤，肿瘤低度恶性潜能，潜在低度恶性肿瘤</w:t>
      </w:r>
      <w:r>
        <w:rPr>
          <w:b/>
          <w:spacing w:val="-6"/>
          <w:sz w:val="21"/>
        </w:rPr>
        <w:t>等；</w:t>
      </w:r>
    </w:p>
    <w:p>
      <w:pPr>
        <w:pStyle w:val="ListParagraph"/>
        <w:numPr>
          <w:ilvl w:val="2"/>
          <w:numId w:val="13"/>
        </w:numPr>
        <w:tabs>
          <w:tab w:pos="3520" w:val="left" w:leader="none"/>
        </w:tabs>
        <w:spacing w:line="240" w:lineRule="auto" w:before="0" w:after="0"/>
        <w:ind w:left="3519" w:right="0" w:hanging="530"/>
        <w:jc w:val="left"/>
        <w:rPr>
          <w:b/>
          <w:sz w:val="19"/>
        </w:rPr>
      </w:pPr>
      <w:r>
        <w:rPr>
          <w:b/>
          <w:color w:val="000000"/>
          <w:w w:val="95"/>
          <w:sz w:val="21"/>
          <w:shd w:fill="BEBEBE" w:color="auto" w:val="clear"/>
        </w:rPr>
        <w:t>TNM</w:t>
      </w:r>
      <w:r>
        <w:rPr>
          <w:b/>
          <w:color w:val="000000"/>
          <w:w w:val="95"/>
          <w:sz w:val="21"/>
          <w:shd w:fill="BEBEBE" w:color="auto" w:val="clear"/>
        </w:rPr>
        <w:t>分</w:t>
      </w:r>
      <w:r>
        <w:rPr>
          <w:b/>
          <w:color w:val="000000"/>
          <w:w w:val="95"/>
          <w:sz w:val="21"/>
          <w:shd w:fill="BEBEBE" w:color="auto" w:val="clear"/>
        </w:rPr>
        <w:t>期</w:t>
      </w:r>
      <w:r>
        <w:rPr>
          <w:b/>
          <w:color w:val="000000"/>
          <w:w w:val="95"/>
          <w:sz w:val="21"/>
        </w:rPr>
        <w:t>（</w:t>
      </w:r>
      <w:r>
        <w:rPr>
          <w:b/>
          <w:color w:val="000000"/>
          <w:w w:val="95"/>
          <w:sz w:val="21"/>
        </w:rPr>
        <w:t>见</w:t>
      </w:r>
      <w:r>
        <w:rPr>
          <w:b/>
          <w:color w:val="000000"/>
          <w:w w:val="95"/>
          <w:sz w:val="21"/>
        </w:rPr>
        <w:t>8.25）</w:t>
      </w:r>
      <w:r>
        <w:rPr>
          <w:b/>
          <w:color w:val="000000"/>
          <w:w w:val="95"/>
          <w:sz w:val="21"/>
        </w:rPr>
        <w:t>为</w:t>
      </w:r>
      <w:r>
        <w:rPr>
          <w:b/>
          <w:color w:val="000000"/>
          <w:w w:val="95"/>
          <w:sz w:val="21"/>
        </w:rPr>
        <w:t>Ⅰ</w:t>
      </w:r>
      <w:r>
        <w:rPr>
          <w:b/>
          <w:color w:val="000000"/>
          <w:w w:val="95"/>
          <w:sz w:val="21"/>
        </w:rPr>
        <w:t>期</w:t>
      </w:r>
      <w:r>
        <w:rPr>
          <w:b/>
          <w:color w:val="000000"/>
          <w:w w:val="95"/>
          <w:sz w:val="21"/>
        </w:rPr>
        <w:t>或</w:t>
      </w:r>
      <w:r>
        <w:rPr>
          <w:b/>
          <w:color w:val="000000"/>
          <w:w w:val="95"/>
          <w:sz w:val="21"/>
        </w:rPr>
        <w:t>更</w:t>
      </w:r>
      <w:r>
        <w:rPr>
          <w:b/>
          <w:color w:val="000000"/>
          <w:w w:val="95"/>
          <w:sz w:val="21"/>
        </w:rPr>
        <w:t>轻</w:t>
      </w:r>
      <w:r>
        <w:rPr>
          <w:b/>
          <w:color w:val="000000"/>
          <w:w w:val="95"/>
          <w:sz w:val="21"/>
        </w:rPr>
        <w:t>分</w:t>
      </w:r>
      <w:r>
        <w:rPr>
          <w:b/>
          <w:color w:val="000000"/>
          <w:w w:val="95"/>
          <w:sz w:val="21"/>
        </w:rPr>
        <w:t>期</w:t>
      </w:r>
      <w:r>
        <w:rPr>
          <w:b/>
          <w:color w:val="000000"/>
          <w:w w:val="95"/>
          <w:sz w:val="21"/>
        </w:rPr>
        <w:t>的甲状</w:t>
      </w:r>
      <w:r>
        <w:rPr>
          <w:b/>
          <w:color w:val="000000"/>
          <w:w w:val="95"/>
          <w:sz w:val="21"/>
        </w:rPr>
        <w:t>腺</w:t>
      </w:r>
      <w:r>
        <w:rPr>
          <w:b/>
          <w:color w:val="000000"/>
          <w:w w:val="95"/>
          <w:sz w:val="21"/>
        </w:rPr>
        <w:t>癌</w:t>
      </w:r>
      <w:r>
        <w:rPr>
          <w:b/>
          <w:color w:val="000000"/>
          <w:spacing w:val="-10"/>
          <w:w w:val="95"/>
          <w:sz w:val="21"/>
        </w:rPr>
        <w:t>；</w:t>
      </w:r>
    </w:p>
    <w:p>
      <w:pPr>
        <w:pStyle w:val="ListParagraph"/>
        <w:numPr>
          <w:ilvl w:val="2"/>
          <w:numId w:val="13"/>
        </w:numPr>
        <w:tabs>
          <w:tab w:pos="3520" w:val="left" w:leader="none"/>
        </w:tabs>
        <w:spacing w:line="240" w:lineRule="auto" w:before="67" w:after="0"/>
        <w:ind w:left="3519" w:right="0" w:hanging="530"/>
        <w:jc w:val="left"/>
        <w:rPr>
          <w:b/>
          <w:sz w:val="19"/>
        </w:rPr>
      </w:pPr>
      <w:r>
        <w:rPr>
          <w:b/>
          <w:w w:val="95"/>
          <w:position w:val="1"/>
          <w:sz w:val="21"/>
        </w:rPr>
        <w:t>TNM</w:t>
      </w:r>
      <w:r>
        <w:rPr>
          <w:b/>
          <w:w w:val="95"/>
          <w:position w:val="1"/>
          <w:sz w:val="21"/>
        </w:rPr>
        <w:t>分</w:t>
      </w:r>
      <w:r>
        <w:rPr>
          <w:b/>
          <w:w w:val="95"/>
          <w:position w:val="1"/>
          <w:sz w:val="21"/>
        </w:rPr>
        <w:t>期</w:t>
      </w:r>
      <w:r>
        <w:rPr>
          <w:b/>
          <w:w w:val="95"/>
          <w:position w:val="1"/>
          <w:sz w:val="21"/>
        </w:rPr>
        <w:t>为</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spacing w:val="-5"/>
          <w:w w:val="95"/>
          <w:position w:val="1"/>
          <w:sz w:val="21"/>
        </w:rPr>
        <w:t>癌；</w:t>
      </w:r>
    </w:p>
    <w:p>
      <w:pPr>
        <w:pStyle w:val="ListParagraph"/>
        <w:numPr>
          <w:ilvl w:val="2"/>
          <w:numId w:val="13"/>
        </w:numPr>
        <w:tabs>
          <w:tab w:pos="3520" w:val="left" w:leader="none"/>
        </w:tabs>
        <w:spacing w:line="240" w:lineRule="auto" w:before="65" w:after="0"/>
        <w:ind w:left="3519" w:right="0" w:hanging="530"/>
        <w:jc w:val="left"/>
        <w:rPr>
          <w:b/>
          <w:sz w:val="19"/>
        </w:rPr>
      </w:pPr>
      <w:r>
        <w:rPr>
          <w:b/>
          <w:spacing w:val="-3"/>
          <w:sz w:val="21"/>
        </w:rPr>
        <w:t>黑色素瘤以外的未发生淋巴结和远处转移的皮肤恶性肿瘤；</w:t>
      </w:r>
    </w:p>
    <w:p>
      <w:pPr>
        <w:pStyle w:val="ListParagraph"/>
        <w:numPr>
          <w:ilvl w:val="2"/>
          <w:numId w:val="13"/>
        </w:numPr>
        <w:tabs>
          <w:tab w:pos="3520" w:val="left" w:leader="none"/>
        </w:tabs>
        <w:spacing w:line="240" w:lineRule="auto" w:before="65" w:after="0"/>
        <w:ind w:left="3519" w:right="0" w:hanging="530"/>
        <w:jc w:val="left"/>
        <w:rPr>
          <w:b/>
          <w:sz w:val="19"/>
        </w:rPr>
      </w:pPr>
      <w:r>
        <w:rPr>
          <w:b/>
          <w:w w:val="95"/>
          <w:sz w:val="21"/>
        </w:rPr>
        <w:t>相</w:t>
      </w:r>
      <w:r>
        <w:rPr>
          <w:b/>
          <w:w w:val="95"/>
          <w:sz w:val="21"/>
        </w:rPr>
        <w:t>当</w:t>
      </w:r>
      <w:r>
        <w:rPr>
          <w:b/>
          <w:w w:val="95"/>
          <w:sz w:val="21"/>
        </w:rPr>
        <w:t>于</w:t>
      </w:r>
      <w:r>
        <w:rPr>
          <w:b/>
          <w:w w:val="95"/>
          <w:sz w:val="21"/>
        </w:rPr>
        <w:t>Binet</w:t>
      </w:r>
      <w:r>
        <w:rPr>
          <w:b/>
          <w:w w:val="95"/>
          <w:sz w:val="21"/>
        </w:rPr>
        <w:t>分</w:t>
      </w:r>
      <w:r>
        <w:rPr>
          <w:b/>
          <w:w w:val="95"/>
          <w:sz w:val="21"/>
        </w:rPr>
        <w:t>期</w:t>
      </w:r>
      <w:r>
        <w:rPr>
          <w:b/>
          <w:w w:val="95"/>
          <w:sz w:val="21"/>
        </w:rPr>
        <w:t>方案A</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细胞</w:t>
      </w:r>
      <w:r>
        <w:rPr>
          <w:b/>
          <w:w w:val="95"/>
          <w:sz w:val="21"/>
        </w:rPr>
        <w:t>白</w:t>
      </w:r>
      <w:r>
        <w:rPr>
          <w:b/>
          <w:w w:val="95"/>
          <w:sz w:val="21"/>
        </w:rPr>
        <w:t>血</w:t>
      </w:r>
      <w:r>
        <w:rPr>
          <w:b/>
          <w:w w:val="95"/>
          <w:sz w:val="21"/>
        </w:rPr>
        <w:t>病</w:t>
      </w:r>
      <w:r>
        <w:rPr>
          <w:b/>
          <w:spacing w:val="-10"/>
          <w:w w:val="95"/>
          <w:sz w:val="21"/>
        </w:rPr>
        <w:t>；</w:t>
      </w:r>
    </w:p>
    <w:p>
      <w:pPr>
        <w:pStyle w:val="ListParagraph"/>
        <w:numPr>
          <w:ilvl w:val="2"/>
          <w:numId w:val="13"/>
        </w:numPr>
        <w:tabs>
          <w:tab w:pos="3520" w:val="left" w:leader="none"/>
        </w:tabs>
        <w:spacing w:line="240" w:lineRule="auto" w:before="64" w:after="0"/>
        <w:ind w:left="3519" w:right="0" w:hanging="530"/>
        <w:jc w:val="left"/>
        <w:rPr>
          <w:b/>
          <w:sz w:val="19"/>
        </w:rPr>
      </w:pPr>
      <w:r>
        <w:rPr>
          <w:b/>
          <w:sz w:val="21"/>
        </w:rPr>
        <w:t>相当于Ann</w:t>
      </w:r>
      <w:r>
        <w:rPr>
          <w:b/>
          <w:spacing w:val="-16"/>
          <w:sz w:val="21"/>
        </w:rPr>
        <w:t> </w:t>
      </w:r>
      <w:r>
        <w:rPr>
          <w:b/>
          <w:sz w:val="21"/>
        </w:rPr>
        <w:t>Arbor</w:t>
      </w:r>
      <w:r>
        <w:rPr>
          <w:b/>
          <w:spacing w:val="-1"/>
          <w:sz w:val="21"/>
        </w:rPr>
        <w:t>分期方案Ⅰ期程度的何杰金氏病；</w:t>
      </w:r>
    </w:p>
    <w:p>
      <w:pPr>
        <w:spacing w:after="0" w:line="240" w:lineRule="auto"/>
        <w:jc w:val="left"/>
        <w:rPr>
          <w:sz w:val="19"/>
        </w:rPr>
        <w:sectPr>
          <w:type w:val="continuous"/>
          <w:pgSz w:w="11910" w:h="16840"/>
          <w:pgMar w:header="0" w:footer="857" w:top="1440" w:bottom="1180" w:left="1100" w:right="260"/>
        </w:sectPr>
      </w:pPr>
    </w:p>
    <w:p>
      <w:pPr>
        <w:pStyle w:val="ListParagraph"/>
        <w:numPr>
          <w:ilvl w:val="2"/>
          <w:numId w:val="13"/>
        </w:numPr>
        <w:tabs>
          <w:tab w:pos="3533" w:val="left" w:leader="none"/>
        </w:tabs>
        <w:spacing w:line="297" w:lineRule="auto" w:before="55" w:after="0"/>
        <w:ind w:left="2990" w:right="1089" w:firstLine="0"/>
        <w:jc w:val="left"/>
        <w:rPr>
          <w:b/>
          <w:sz w:val="19"/>
        </w:rPr>
      </w:pPr>
      <w:r>
        <w:rPr>
          <w:b/>
          <w:spacing w:val="-2"/>
          <w:sz w:val="21"/>
        </w:rPr>
        <w:t>未发生淋巴结和远处转移且WHO</w:t>
      </w:r>
      <w:r>
        <w:rPr>
          <w:b/>
          <w:spacing w:val="-2"/>
          <w:sz w:val="21"/>
        </w:rPr>
        <w:t>分级为G1</w:t>
      </w:r>
      <w:r>
        <w:rPr>
          <w:b/>
          <w:spacing w:val="-2"/>
          <w:sz w:val="21"/>
        </w:rPr>
        <w:t>级别（核分裂像&lt;10/50 HPF和ki-67≤2%）或更轻分级的神经内分泌肿瘤。</w:t>
      </w:r>
    </w:p>
    <w:p>
      <w:pPr>
        <w:pStyle w:val="BodyText"/>
        <w:spacing w:before="11"/>
        <w:rPr>
          <w:b/>
          <w:sz w:val="22"/>
        </w:rPr>
      </w:pPr>
    </w:p>
    <w:p>
      <w:pPr>
        <w:pStyle w:val="BodyText"/>
        <w:spacing w:line="297" w:lineRule="auto"/>
        <w:ind w:left="2990" w:right="1080" w:hanging="2766"/>
        <w:jc w:val="both"/>
      </w:pPr>
      <w:r>
        <w:rPr/>
        <w:t>（二）较重急性心肌梗死 急性心肌梗死指由于冠状动脉闭塞或梗阻引起部分心肌严重的持久性</w:t>
      </w:r>
      <w:r>
        <w:rPr>
          <w:spacing w:val="-2"/>
        </w:rPr>
        <w:t>缺血造成急性心肌坏死。急性心肌梗死的诊断必须依据国际国内诊断标</w:t>
      </w:r>
      <w:r>
        <w:rPr>
          <w:spacing w:val="-2"/>
        </w:rPr>
        <w:t>准，符合（1）检测到肌酸激酶同工酶（CK-MB）或肌钙蛋白（cTn）</w:t>
      </w:r>
      <w:r>
        <w:rPr>
          <w:spacing w:val="-2"/>
        </w:rPr>
        <w:t>升高和/或降低的动态变化，至少一次达到或超过心肌梗死的临床诊断标准；（2）同时存在下列之一的证据，包括：缺血性胸痛症状、新发生的缺血性心电图改变、新生成的病理性Q波、影像学证据显示有新出现</w:t>
      </w:r>
      <w:r>
        <w:rPr>
          <w:spacing w:val="-2"/>
        </w:rPr>
        <w:t>的心肌活性丧失或新出现局部室壁运动异常、冠脉造影证实存在冠状动</w:t>
      </w:r>
      <w:r>
        <w:rPr>
          <w:spacing w:val="-4"/>
        </w:rPr>
        <w:t>脉血栓。</w:t>
      </w:r>
    </w:p>
    <w:p>
      <w:pPr>
        <w:pStyle w:val="BodyText"/>
        <w:spacing w:line="300" w:lineRule="auto" w:before="2"/>
        <w:ind w:left="2990" w:right="1084"/>
      </w:pPr>
      <w:r>
        <w:rPr>
          <w:spacing w:val="-2"/>
        </w:rPr>
        <w:t>较重急性心肌梗死指依照上述标准被明确诊断为急性心肌梗死，并且必</w:t>
      </w:r>
      <w:r>
        <w:rPr>
          <w:spacing w:val="-2"/>
        </w:rPr>
        <w:t>须同时满足下列至少一项条件：</w:t>
      </w:r>
    </w:p>
    <w:p>
      <w:pPr>
        <w:pStyle w:val="ListParagraph"/>
        <w:numPr>
          <w:ilvl w:val="0"/>
          <w:numId w:val="15"/>
        </w:numPr>
        <w:tabs>
          <w:tab w:pos="3520" w:val="left" w:leader="none"/>
        </w:tabs>
        <w:spacing w:line="297" w:lineRule="auto" w:before="0" w:after="0"/>
        <w:ind w:left="2990" w:right="1084" w:firstLine="0"/>
        <w:jc w:val="left"/>
        <w:rPr>
          <w:sz w:val="21"/>
        </w:rPr>
      </w:pPr>
      <w:r>
        <w:rPr>
          <w:spacing w:val="-2"/>
          <w:sz w:val="21"/>
        </w:rPr>
        <w:t>心肌损伤标志物肌钙蛋白（cTn）升高，至少一次检测结果达到该</w:t>
      </w:r>
      <w:r>
        <w:rPr>
          <w:spacing w:val="-2"/>
          <w:sz w:val="21"/>
        </w:rPr>
        <w:t>检验正常参考值上限的15倍（含）以上；</w:t>
      </w:r>
    </w:p>
    <w:p>
      <w:pPr>
        <w:pStyle w:val="ListParagraph"/>
        <w:numPr>
          <w:ilvl w:val="0"/>
          <w:numId w:val="15"/>
        </w:numPr>
        <w:tabs>
          <w:tab w:pos="3520" w:val="left" w:leader="none"/>
        </w:tabs>
        <w:spacing w:line="297" w:lineRule="auto" w:before="0" w:after="0"/>
        <w:ind w:left="2990" w:right="1084" w:firstLine="0"/>
        <w:jc w:val="left"/>
        <w:rPr>
          <w:sz w:val="21"/>
        </w:rPr>
      </w:pPr>
      <w:r>
        <w:rPr>
          <w:spacing w:val="-5"/>
          <w:w w:val="100"/>
          <w:sz w:val="21"/>
        </w:rPr>
        <w:t>肌酸激酶同工酶</w:t>
      </w:r>
      <w:r>
        <w:rPr>
          <w:spacing w:val="-1"/>
          <w:w w:val="100"/>
          <w:sz w:val="21"/>
        </w:rPr>
        <w:t>（</w:t>
      </w:r>
      <w:r>
        <w:rPr>
          <w:w w:val="100"/>
          <w:sz w:val="21"/>
        </w:rPr>
        <w:t>C</w:t>
      </w:r>
      <w:r>
        <w:rPr>
          <w:spacing w:val="-2"/>
          <w:w w:val="100"/>
          <w:sz w:val="21"/>
        </w:rPr>
        <w:t>K</w:t>
      </w:r>
      <w:r>
        <w:rPr>
          <w:w w:val="100"/>
          <w:sz w:val="21"/>
        </w:rPr>
        <w:t>-MB</w:t>
      </w:r>
      <w:r>
        <w:rPr>
          <w:spacing w:val="-15"/>
          <w:w w:val="100"/>
          <w:sz w:val="21"/>
        </w:rPr>
        <w:t>）</w:t>
      </w:r>
      <w:r>
        <w:rPr>
          <w:spacing w:val="-4"/>
          <w:w w:val="100"/>
          <w:sz w:val="21"/>
        </w:rPr>
        <w:t>升高，至少一次检测结果达到该检验</w:t>
      </w:r>
      <w:r>
        <w:rPr>
          <w:spacing w:val="-3"/>
          <w:w w:val="100"/>
          <w:sz w:val="21"/>
        </w:rPr>
        <w:t>正常参考值上限的</w:t>
      </w:r>
      <w:r>
        <w:rPr>
          <w:w w:val="100"/>
          <w:sz w:val="21"/>
        </w:rPr>
        <w:t>2</w:t>
      </w:r>
      <w:r>
        <w:rPr>
          <w:spacing w:val="-3"/>
          <w:w w:val="100"/>
          <w:sz w:val="21"/>
        </w:rPr>
        <w:t>倍</w:t>
      </w:r>
      <w:r>
        <w:rPr>
          <w:w w:val="100"/>
          <w:sz w:val="21"/>
        </w:rPr>
        <w:t>（</w:t>
      </w:r>
      <w:r>
        <w:rPr>
          <w:spacing w:val="-3"/>
          <w:w w:val="100"/>
          <w:sz w:val="21"/>
        </w:rPr>
        <w:t>含）</w:t>
      </w:r>
      <w:r>
        <w:rPr>
          <w:w w:val="100"/>
          <w:sz w:val="21"/>
        </w:rPr>
        <w:t>以上；</w:t>
      </w:r>
    </w:p>
    <w:p>
      <w:pPr>
        <w:pStyle w:val="ListParagraph"/>
        <w:numPr>
          <w:ilvl w:val="0"/>
          <w:numId w:val="15"/>
        </w:numPr>
        <w:tabs>
          <w:tab w:pos="3533" w:val="left" w:leader="none"/>
        </w:tabs>
        <w:spacing w:line="240" w:lineRule="auto" w:before="0" w:after="0"/>
        <w:ind w:left="3532" w:right="0" w:hanging="543"/>
        <w:jc w:val="left"/>
        <w:rPr>
          <w:sz w:val="21"/>
        </w:rPr>
      </w:pPr>
      <w:r>
        <w:rPr>
          <w:sz w:val="21"/>
        </w:rPr>
        <w:t>出现左心室收缩功能下降，在确诊6</w:t>
      </w:r>
      <w:r>
        <w:rPr>
          <w:spacing w:val="-1"/>
          <w:sz w:val="21"/>
        </w:rPr>
        <w:t>周以后，检测左室射血分数</w:t>
      </w:r>
    </w:p>
    <w:p>
      <w:pPr>
        <w:pStyle w:val="BodyText"/>
        <w:spacing w:before="64"/>
        <w:ind w:left="2990"/>
      </w:pPr>
      <w:r>
        <w:rPr>
          <w:spacing w:val="-2"/>
        </w:rPr>
        <w:t>（LVEF）低于50%（不含</w:t>
      </w:r>
      <w:r>
        <w:rPr>
          <w:spacing w:val="-5"/>
        </w:rPr>
        <w:t>）；</w:t>
      </w:r>
    </w:p>
    <w:p>
      <w:pPr>
        <w:pStyle w:val="ListParagraph"/>
        <w:numPr>
          <w:ilvl w:val="0"/>
          <w:numId w:val="15"/>
        </w:numPr>
        <w:tabs>
          <w:tab w:pos="3545" w:val="left" w:leader="none"/>
        </w:tabs>
        <w:spacing w:line="240" w:lineRule="auto" w:before="65" w:after="0"/>
        <w:ind w:left="3544" w:right="0" w:hanging="555"/>
        <w:jc w:val="left"/>
        <w:rPr>
          <w:sz w:val="21"/>
        </w:rPr>
      </w:pPr>
      <w:r>
        <w:rPr>
          <w:spacing w:val="-1"/>
          <w:sz w:val="21"/>
        </w:rPr>
        <w:t>影像学检查证实存在新发的乳头肌功能失调或断裂引起的中度</w:t>
      </w:r>
    </w:p>
    <w:p>
      <w:pPr>
        <w:pStyle w:val="BodyText"/>
        <w:spacing w:before="65"/>
        <w:ind w:left="2990"/>
      </w:pPr>
      <w:r>
        <w:rPr>
          <w:spacing w:val="-2"/>
        </w:rPr>
        <w:t>（含）</w:t>
      </w:r>
      <w:r>
        <w:rPr>
          <w:spacing w:val="-3"/>
        </w:rPr>
        <w:t>以上的二尖瓣反流；</w:t>
      </w:r>
    </w:p>
    <w:p>
      <w:pPr>
        <w:pStyle w:val="ListParagraph"/>
        <w:numPr>
          <w:ilvl w:val="0"/>
          <w:numId w:val="15"/>
        </w:numPr>
        <w:tabs>
          <w:tab w:pos="3520" w:val="left" w:leader="none"/>
        </w:tabs>
        <w:spacing w:line="240" w:lineRule="auto" w:before="64" w:after="0"/>
        <w:ind w:left="3519" w:right="0" w:hanging="530"/>
        <w:jc w:val="left"/>
        <w:rPr>
          <w:sz w:val="21"/>
        </w:rPr>
      </w:pPr>
      <w:r>
        <w:rPr>
          <w:spacing w:val="-3"/>
          <w:sz w:val="21"/>
        </w:rPr>
        <w:t>影像学检查证实存在新出现的室壁瘤；</w:t>
      </w:r>
    </w:p>
    <w:p>
      <w:pPr>
        <w:pStyle w:val="ListParagraph"/>
        <w:numPr>
          <w:ilvl w:val="0"/>
          <w:numId w:val="15"/>
        </w:numPr>
        <w:tabs>
          <w:tab w:pos="3520" w:val="left" w:leader="none"/>
        </w:tabs>
        <w:spacing w:line="240" w:lineRule="auto" w:before="67" w:after="0"/>
        <w:ind w:left="3519" w:right="0" w:hanging="530"/>
        <w:jc w:val="left"/>
        <w:rPr>
          <w:sz w:val="21"/>
        </w:rPr>
      </w:pPr>
      <w:r>
        <w:rPr>
          <w:spacing w:val="-3"/>
          <w:sz w:val="21"/>
        </w:rPr>
        <w:t>出现室性心动过速、心室颤动或心源性休克。</w:t>
      </w:r>
    </w:p>
    <w:p>
      <w:pPr>
        <w:spacing w:line="297" w:lineRule="auto" w:before="65"/>
        <w:ind w:left="2990" w:right="1087" w:firstLine="0"/>
        <w:jc w:val="left"/>
        <w:rPr>
          <w:b/>
          <w:sz w:val="21"/>
        </w:rPr>
      </w:pPr>
      <w:r>
        <w:rPr>
          <w:b/>
          <w:spacing w:val="-2"/>
          <w:sz w:val="21"/>
        </w:rPr>
        <w:t>其他非冠状动脉阻塞性疾病所引起的肌钙蛋白（cTn）升高不在本保障</w:t>
      </w:r>
      <w:r>
        <w:rPr>
          <w:b/>
          <w:spacing w:val="-4"/>
          <w:sz w:val="21"/>
        </w:rPr>
        <w:t>范围内。</w:t>
      </w:r>
    </w:p>
    <w:p>
      <w:pPr>
        <w:pStyle w:val="BodyText"/>
        <w:spacing w:before="2"/>
        <w:rPr>
          <w:b/>
          <w:sz w:val="26"/>
        </w:rPr>
      </w:pPr>
    </w:p>
    <w:p>
      <w:pPr>
        <w:pStyle w:val="BodyText"/>
        <w:spacing w:line="297" w:lineRule="auto"/>
        <w:ind w:left="2990" w:right="1084" w:hanging="2766"/>
        <w:jc w:val="both"/>
      </w:pPr>
      <w:r>
        <w:rPr/>
        <w:t>（三）严重脑中风后遗症 指因脑血管的突发病变引起脑血管出血、栓塞或梗塞，须由头颅断层扫</w:t>
      </w:r>
      <w:r>
        <w:rPr>
          <w:spacing w:val="-6"/>
        </w:rPr>
        <w:t>描</w:t>
      </w:r>
      <w:r>
        <w:rPr>
          <w:spacing w:val="21"/>
        </w:rPr>
        <w:t>（C</w:t>
      </w:r>
      <w:r>
        <w:rPr>
          <w:spacing w:val="18"/>
        </w:rPr>
        <w:t>T</w:t>
      </w:r>
      <w:r>
        <w:rPr>
          <w:spacing w:val="-85"/>
        </w:rPr>
        <w:t>）</w:t>
      </w:r>
      <w:r>
        <w:rPr>
          <w:spacing w:val="-6"/>
        </w:rPr>
        <w:t>、核磁共振检查（MRI）等影像学检查证实，并导致神经系统永</w:t>
      </w:r>
      <w:r>
        <w:rPr>
          <w:spacing w:val="-2"/>
        </w:rPr>
        <w:t>久性的功能障碍。神经系统永久性的功能障碍，指疾病确诊180天后，</w:t>
      </w:r>
      <w:r>
        <w:rPr>
          <w:spacing w:val="-2"/>
        </w:rPr>
        <w:t>仍遗留下列至少一种障碍：</w:t>
      </w:r>
    </w:p>
    <w:p>
      <w:pPr>
        <w:pStyle w:val="BodyText"/>
        <w:spacing w:before="1"/>
        <w:ind w:left="2990"/>
      </w:pPr>
      <w:r>
        <w:rPr>
          <w:spacing w:val="-6"/>
        </w:rPr>
        <w:t>（1）一肢（含）以上</w:t>
      </w:r>
      <w:r>
        <w:rPr>
          <w:color w:val="000000"/>
          <w:spacing w:val="-6"/>
          <w:shd w:fill="BEBEBE" w:color="auto" w:val="clear"/>
        </w:rPr>
        <w:t>肢体</w:t>
      </w:r>
      <w:r>
        <w:rPr>
          <w:color w:val="000000"/>
          <w:spacing w:val="-6"/>
        </w:rPr>
        <w:t>（</w:t>
      </w:r>
      <w:r>
        <w:rPr>
          <w:color w:val="000000"/>
        </w:rPr>
        <w:t>见 </w:t>
      </w:r>
      <w:r>
        <w:rPr>
          <w:color w:val="000000"/>
          <w:spacing w:val="-6"/>
        </w:rPr>
        <w:t>8.26）</w:t>
      </w:r>
      <w:r>
        <w:rPr>
          <w:color w:val="000000"/>
          <w:spacing w:val="-6"/>
          <w:shd w:fill="BEBEBE" w:color="auto" w:val="clear"/>
        </w:rPr>
        <w:t>肌力</w:t>
      </w:r>
      <w:r>
        <w:rPr>
          <w:color w:val="000000"/>
          <w:spacing w:val="-6"/>
        </w:rPr>
        <w:t>（</w:t>
      </w:r>
      <w:r>
        <w:rPr>
          <w:color w:val="000000"/>
        </w:rPr>
        <w:t>见 </w:t>
      </w:r>
      <w:r>
        <w:rPr>
          <w:color w:val="000000"/>
          <w:spacing w:val="-6"/>
        </w:rPr>
        <w:t>8.27）2级（含）</w:t>
      </w:r>
      <w:r>
        <w:rPr>
          <w:color w:val="000000"/>
          <w:spacing w:val="-8"/>
        </w:rPr>
        <w:t>以下；</w:t>
      </w:r>
    </w:p>
    <w:p>
      <w:pPr>
        <w:pStyle w:val="ListParagraph"/>
        <w:numPr>
          <w:ilvl w:val="0"/>
          <w:numId w:val="16"/>
        </w:numPr>
        <w:tabs>
          <w:tab w:pos="3520" w:val="left" w:leader="none"/>
        </w:tabs>
        <w:spacing w:line="240" w:lineRule="auto" w:before="67" w:after="0"/>
        <w:ind w:left="3519" w:right="0" w:hanging="530"/>
        <w:jc w:val="left"/>
        <w:rPr>
          <w:sz w:val="21"/>
        </w:rPr>
      </w:pPr>
      <w:r>
        <w:rPr>
          <w:color w:val="000000"/>
          <w:spacing w:val="-2"/>
          <w:sz w:val="21"/>
          <w:shd w:fill="BEBEBE" w:color="auto" w:val="clear"/>
        </w:rPr>
        <w:t>语言能力完全丧失，或严重咀嚼吞咽功能障碍</w:t>
      </w:r>
      <w:r>
        <w:rPr>
          <w:color w:val="000000"/>
          <w:spacing w:val="-2"/>
          <w:sz w:val="21"/>
        </w:rPr>
        <w:t>（</w:t>
      </w:r>
      <w:r>
        <w:rPr>
          <w:color w:val="000000"/>
          <w:spacing w:val="5"/>
          <w:sz w:val="21"/>
        </w:rPr>
        <w:t>见 </w:t>
      </w:r>
      <w:r>
        <w:rPr>
          <w:color w:val="000000"/>
          <w:spacing w:val="-2"/>
          <w:sz w:val="21"/>
        </w:rPr>
        <w:t>8.28）；</w:t>
      </w:r>
    </w:p>
    <w:p>
      <w:pPr>
        <w:pStyle w:val="ListParagraph"/>
        <w:numPr>
          <w:ilvl w:val="0"/>
          <w:numId w:val="16"/>
        </w:numPr>
        <w:tabs>
          <w:tab w:pos="3520" w:val="left" w:leader="none"/>
        </w:tabs>
        <w:spacing w:line="297" w:lineRule="auto" w:before="64" w:after="0"/>
        <w:ind w:left="2990" w:right="1089" w:firstLine="0"/>
        <w:jc w:val="left"/>
        <w:rPr>
          <w:sz w:val="21"/>
        </w:rPr>
      </w:pPr>
      <w:r>
        <w:rPr>
          <w:spacing w:val="-8"/>
          <w:w w:val="100"/>
          <w:sz w:val="21"/>
        </w:rPr>
        <w:t>自主生活能力完全丧失，无法独立完成</w:t>
      </w:r>
      <w:r>
        <w:rPr>
          <w:color w:val="000000"/>
          <w:spacing w:val="-8"/>
          <w:w w:val="100"/>
          <w:sz w:val="21"/>
          <w:shd w:fill="BEBEBE" w:color="auto" w:val="clear"/>
        </w:rPr>
        <w:t>六项基本日常生活活动</w:t>
      </w:r>
      <w:r>
        <w:rPr>
          <w:color w:val="000000"/>
          <w:spacing w:val="-3"/>
          <w:w w:val="100"/>
          <w:sz w:val="21"/>
          <w:shd w:fill="BEBEBE" w:color="auto" w:val="clear"/>
        </w:rPr>
        <w:t>（</w:t>
      </w:r>
      <w:r>
        <w:rPr>
          <w:color w:val="000000"/>
          <w:spacing w:val="-3"/>
          <w:w w:val="100"/>
          <w:sz w:val="21"/>
        </w:rPr>
        <w:t>见 </w:t>
      </w:r>
      <w:r>
        <w:rPr>
          <w:color w:val="000000"/>
          <w:w w:val="100"/>
          <w:sz w:val="21"/>
        </w:rPr>
        <w:t>8.29</w:t>
      </w:r>
      <w:r>
        <w:rPr>
          <w:color w:val="000000"/>
          <w:spacing w:val="-3"/>
          <w:w w:val="100"/>
          <w:sz w:val="21"/>
        </w:rPr>
        <w:t>）中的三项或三项以上。</w:t>
      </w:r>
    </w:p>
    <w:p>
      <w:pPr>
        <w:pStyle w:val="BodyText"/>
        <w:spacing w:before="6"/>
        <w:rPr>
          <w:sz w:val="20"/>
        </w:rPr>
      </w:pPr>
    </w:p>
    <w:p>
      <w:pPr>
        <w:spacing w:after="0"/>
        <w:rPr>
          <w:sz w:val="20"/>
        </w:rPr>
        <w:sectPr>
          <w:pgSz w:w="11910" w:h="16840"/>
          <w:pgMar w:header="0" w:footer="857" w:top="1380" w:bottom="1180" w:left="1100" w:right="260"/>
        </w:sectPr>
      </w:pPr>
    </w:p>
    <w:p>
      <w:pPr>
        <w:pStyle w:val="BodyText"/>
        <w:spacing w:line="300" w:lineRule="auto" w:before="72"/>
        <w:ind w:left="225"/>
      </w:pPr>
      <w:r>
        <w:rPr>
          <w:spacing w:val="-2"/>
        </w:rPr>
        <w:t>（四）重大器官移植术或造</w:t>
      </w:r>
      <w:r>
        <w:rPr>
          <w:spacing w:val="-2"/>
        </w:rPr>
        <w:t>血干细胞移植术</w:t>
      </w:r>
    </w:p>
    <w:p>
      <w:pPr>
        <w:pStyle w:val="BodyText"/>
        <w:spacing w:line="300" w:lineRule="auto" w:before="72"/>
        <w:ind w:left="178" w:right="1084"/>
      </w:pPr>
      <w:r>
        <w:rPr/>
        <w:br w:type="column"/>
      </w:r>
      <w:r>
        <w:rPr>
          <w:spacing w:val="-2"/>
        </w:rPr>
        <w:t>重大器官移植术，指因相应器官功能衰竭，已经实施了肾脏、肝脏、心</w:t>
      </w:r>
      <w:r>
        <w:rPr>
          <w:spacing w:val="-2"/>
        </w:rPr>
        <w:t>脏、肺脏或小肠的异体移植手术。</w:t>
      </w:r>
    </w:p>
    <w:p>
      <w:pPr>
        <w:pStyle w:val="BodyText"/>
        <w:spacing w:line="297" w:lineRule="auto"/>
        <w:ind w:left="178" w:right="1084"/>
        <w:jc w:val="both"/>
      </w:pPr>
      <w:r>
        <w:rPr>
          <w:spacing w:val="-2"/>
        </w:rPr>
        <w:t>造血干细胞移植术，指因造血功能损害或造血系统恶性肿瘤，已经实施</w:t>
      </w:r>
      <w:r>
        <w:rPr>
          <w:spacing w:val="-2"/>
        </w:rPr>
        <w:t>了造血干细胞（包括骨髓造血干细胞、外周血造血干细胞和脐血造血干</w:t>
      </w:r>
      <w:r>
        <w:rPr>
          <w:spacing w:val="-2"/>
        </w:rPr>
        <w:t>细胞）的移植手术。</w:t>
      </w:r>
    </w:p>
    <w:p>
      <w:pPr>
        <w:spacing w:after="0" w:line="297" w:lineRule="auto"/>
        <w:jc w:val="both"/>
        <w:sectPr>
          <w:type w:val="continuous"/>
          <w:pgSz w:w="11910" w:h="16840"/>
          <w:pgMar w:header="0" w:footer="857" w:top="320" w:bottom="1040" w:left="1100" w:right="260"/>
          <w:cols w:num="2" w:equalWidth="0">
            <w:col w:w="2773" w:space="40"/>
            <w:col w:w="7737"/>
          </w:cols>
        </w:sectPr>
      </w:pPr>
    </w:p>
    <w:p>
      <w:pPr>
        <w:pStyle w:val="BodyText"/>
        <w:spacing w:before="5"/>
        <w:rPr>
          <w:sz w:val="20"/>
        </w:rPr>
      </w:pPr>
    </w:p>
    <w:p>
      <w:pPr>
        <w:pStyle w:val="BodyText"/>
        <w:spacing w:before="72"/>
        <w:ind w:left="225"/>
      </w:pPr>
      <w:r>
        <w:rPr/>
        <w:t>（五）冠状动脉搭桥术（</w:t>
      </w:r>
      <w:r>
        <w:rPr>
          <w:spacing w:val="-1"/>
        </w:rPr>
        <w:t>或 指为治疗严重的冠心病，已经实施了切开心包进行的冠状动脉血管旁路</w:t>
      </w:r>
    </w:p>
    <w:p>
      <w:pPr>
        <w:spacing w:after="0"/>
        <w:sectPr>
          <w:type w:val="continuous"/>
          <w:pgSz w:w="11910" w:h="16840"/>
          <w:pgMar w:header="0" w:footer="857" w:top="320" w:bottom="1040" w:left="1100" w:right="260"/>
        </w:sectPr>
      </w:pPr>
    </w:p>
    <w:p>
      <w:pPr>
        <w:pStyle w:val="BodyText"/>
        <w:tabs>
          <w:tab w:pos="2990" w:val="left" w:leader="none"/>
        </w:tabs>
        <w:spacing w:before="55"/>
        <w:ind w:left="225"/>
      </w:pPr>
      <w:r>
        <w:rPr>
          <w:spacing w:val="-2"/>
        </w:rPr>
        <w:t>称</w:t>
      </w:r>
      <w:r>
        <w:rPr>
          <w:spacing w:val="-2"/>
        </w:rPr>
        <w:t>冠</w:t>
      </w:r>
      <w:r>
        <w:rPr>
          <w:spacing w:val="-2"/>
        </w:rPr>
        <w:t>状动脉旁路移植</w:t>
      </w:r>
      <w:r>
        <w:rPr>
          <w:spacing w:val="-2"/>
        </w:rPr>
        <w:t>术</w:t>
      </w:r>
      <w:r>
        <w:rPr>
          <w:spacing w:val="-10"/>
        </w:rPr>
        <w:t>）</w:t>
      </w:r>
      <w:r>
        <w:rPr/>
        <w:tab/>
      </w:r>
      <w:r>
        <w:rPr>
          <w:spacing w:val="-2"/>
        </w:rPr>
        <w:t>移</w:t>
      </w:r>
      <w:r>
        <w:rPr>
          <w:spacing w:val="-2"/>
        </w:rPr>
        <w:t>植</w:t>
      </w:r>
      <w:r>
        <w:rPr>
          <w:spacing w:val="-2"/>
        </w:rPr>
        <w:t>的手术</w:t>
      </w:r>
      <w:r>
        <w:rPr>
          <w:spacing w:val="-10"/>
        </w:rPr>
        <w:t>。</w:t>
      </w:r>
    </w:p>
    <w:p>
      <w:pPr>
        <w:spacing w:before="64"/>
        <w:ind w:left="2990" w:right="0" w:firstLine="0"/>
        <w:jc w:val="left"/>
        <w:rPr>
          <w:b/>
          <w:sz w:val="21"/>
        </w:rPr>
      </w:pPr>
      <w:r>
        <w:rPr>
          <w:b/>
          <w:spacing w:val="-3"/>
          <w:sz w:val="21"/>
        </w:rPr>
        <w:t>所有未切开心包的冠状动脉介入治疗不在本保障范围内。</w:t>
      </w:r>
    </w:p>
    <w:p>
      <w:pPr>
        <w:pStyle w:val="BodyText"/>
        <w:rPr>
          <w:b/>
          <w:sz w:val="20"/>
        </w:rPr>
      </w:pPr>
    </w:p>
    <w:p>
      <w:pPr>
        <w:pStyle w:val="BodyText"/>
        <w:spacing w:line="297" w:lineRule="auto" w:before="142"/>
        <w:ind w:left="2990" w:right="1084" w:hanging="2766"/>
        <w:jc w:val="both"/>
      </w:pPr>
      <w:r>
        <w:rPr/>
        <w:t>（六）</w:t>
      </w:r>
      <w:r>
        <w:rPr>
          <w:spacing w:val="6"/>
        </w:rPr>
        <w:t>严重慢性肾衰竭 指双肾功能慢性不可逆性衰竭，依据肾脏病预后质量倡议</w:t>
      </w:r>
      <w:r>
        <w:rPr/>
        <w:t>（K/DOQI）制</w:t>
      </w:r>
      <w:r>
        <w:rPr>
          <w:spacing w:val="-2"/>
        </w:rPr>
        <w:t>定的指南，分期达到慢性肾脏病 </w:t>
      </w:r>
      <w:r>
        <w:rPr/>
        <w:t>5</w:t>
      </w:r>
      <w:r>
        <w:rPr>
          <w:spacing w:val="-7"/>
        </w:rPr>
        <w:t> 期，且经诊断后已经进行了至少 </w:t>
      </w:r>
      <w:r>
        <w:rPr/>
        <w:t>90</w:t>
      </w:r>
      <w:r>
        <w:rPr>
          <w:spacing w:val="-2"/>
        </w:rPr>
        <w:t>天的规律性透析治疗。规律性透析是指每周进行血液透析或每天进行腹</w:t>
      </w:r>
      <w:r>
        <w:rPr>
          <w:spacing w:val="-4"/>
        </w:rPr>
        <w:t>膜透析。</w:t>
      </w:r>
    </w:p>
    <w:p>
      <w:pPr>
        <w:pStyle w:val="BodyText"/>
        <w:spacing w:before="3"/>
        <w:rPr>
          <w:sz w:val="26"/>
        </w:rPr>
      </w:pPr>
    </w:p>
    <w:p>
      <w:pPr>
        <w:pStyle w:val="BodyText"/>
        <w:tabs>
          <w:tab w:pos="2990" w:val="left" w:leader="none"/>
        </w:tabs>
        <w:ind w:left="225"/>
      </w:pPr>
      <w:r>
        <w:rPr>
          <w:spacing w:val="-2"/>
        </w:rPr>
        <w:t>（</w:t>
      </w:r>
      <w:r>
        <w:rPr>
          <w:spacing w:val="-2"/>
        </w:rPr>
        <w:t>七</w:t>
      </w:r>
      <w:r>
        <w:rPr>
          <w:spacing w:val="-2"/>
        </w:rPr>
        <w:t>）多个肢体</w:t>
      </w:r>
      <w:r>
        <w:rPr>
          <w:spacing w:val="-2"/>
        </w:rPr>
        <w:t>缺</w:t>
      </w:r>
      <w:r>
        <w:rPr>
          <w:spacing w:val="-10"/>
        </w:rPr>
        <w:t>失</w:t>
      </w:r>
      <w:r>
        <w:rPr/>
        <w:tab/>
        <w:t>指</w:t>
      </w:r>
      <w:r>
        <w:rPr/>
        <w:t>因</w:t>
      </w:r>
      <w:r>
        <w:rPr/>
        <w:t>疾</w:t>
      </w:r>
      <w:r>
        <w:rPr/>
        <w:t>病</w:t>
      </w:r>
      <w:r>
        <w:rPr/>
        <w:t>或</w:t>
      </w:r>
      <w:r>
        <w:rPr/>
        <w:t>意</w:t>
      </w:r>
      <w:r>
        <w:rPr/>
        <w:t>外</w:t>
      </w:r>
      <w:r>
        <w:rPr/>
        <w:t>伤</w:t>
      </w:r>
      <w:r>
        <w:rPr/>
        <w:t>害</w:t>
      </w:r>
      <w:r>
        <w:rPr/>
        <w:t>导</w:t>
      </w:r>
      <w:r>
        <w:rPr/>
        <w:t>致</w:t>
      </w:r>
      <w:r>
        <w:rPr/>
        <w:t>两</w:t>
      </w:r>
      <w:r>
        <w:rPr/>
        <w:t>个</w:t>
      </w:r>
      <w:r>
        <w:rPr/>
        <w:t>或</w:t>
      </w:r>
      <w:r>
        <w:rPr/>
        <w:t>两</w:t>
      </w:r>
      <w:r>
        <w:rPr/>
        <w:t>个</w:t>
      </w:r>
      <w:r>
        <w:rPr/>
        <w:t>以</w:t>
      </w:r>
      <w:r>
        <w:rPr/>
        <w:t>上</w:t>
      </w:r>
      <w:r>
        <w:rPr/>
        <w:t>肢</w:t>
      </w:r>
      <w:r>
        <w:rPr/>
        <w:t>体</w:t>
      </w:r>
      <w:r>
        <w:rPr/>
        <w:t>自</w:t>
      </w:r>
      <w:r>
        <w:rPr/>
        <w:t>腕</w:t>
      </w:r>
      <w:r>
        <w:rPr/>
        <w:t>关</w:t>
      </w:r>
      <w:r>
        <w:rPr/>
        <w:t>节</w:t>
      </w:r>
      <w:r>
        <w:rPr/>
        <w:t>或</w:t>
      </w:r>
      <w:r>
        <w:rPr/>
        <w:t>踝</w:t>
      </w:r>
      <w:r>
        <w:rPr/>
        <w:t>关</w:t>
      </w:r>
      <w:r>
        <w:rPr/>
        <w:t>节</w:t>
      </w:r>
      <w:r>
        <w:rPr/>
        <w:t>近</w:t>
      </w:r>
      <w:r>
        <w:rPr>
          <w:spacing w:val="-10"/>
        </w:rPr>
        <w:t>端</w:t>
      </w:r>
    </w:p>
    <w:p>
      <w:pPr>
        <w:pStyle w:val="BodyText"/>
        <w:spacing w:before="67"/>
        <w:ind w:left="2990"/>
      </w:pPr>
      <w:r>
        <w:rPr>
          <w:spacing w:val="-2"/>
        </w:rPr>
        <w:t>（靠近躯干端）</w:t>
      </w:r>
      <w:r>
        <w:rPr>
          <w:spacing w:val="-4"/>
        </w:rPr>
        <w:t>以上完全性断离。</w:t>
      </w:r>
    </w:p>
    <w:p>
      <w:pPr>
        <w:pStyle w:val="BodyText"/>
        <w:spacing w:before="7"/>
        <w:rPr>
          <w:sz w:val="25"/>
        </w:rPr>
      </w:pPr>
    </w:p>
    <w:p>
      <w:pPr>
        <w:spacing w:after="0"/>
        <w:rPr>
          <w:sz w:val="25"/>
        </w:rPr>
        <w:sectPr>
          <w:pgSz w:w="11910" w:h="16840"/>
          <w:pgMar w:header="0" w:footer="857" w:top="1380" w:bottom="1180" w:left="1100" w:right="260"/>
        </w:sectPr>
      </w:pPr>
    </w:p>
    <w:p>
      <w:pPr>
        <w:pStyle w:val="BodyText"/>
        <w:spacing w:line="297" w:lineRule="auto" w:before="71"/>
        <w:ind w:left="225"/>
      </w:pPr>
      <w:r>
        <w:rPr>
          <w:spacing w:val="-2"/>
        </w:rPr>
        <w:t>（八）急性重症肝炎或亚急</w:t>
      </w:r>
      <w:r>
        <w:rPr>
          <w:spacing w:val="-2"/>
        </w:rPr>
        <w:t>性重症肝炎</w:t>
      </w:r>
    </w:p>
    <w:p>
      <w:pPr>
        <w:pStyle w:val="BodyText"/>
        <w:spacing w:line="297" w:lineRule="auto" w:before="71"/>
        <w:ind w:left="178" w:right="1084"/>
      </w:pPr>
      <w:r>
        <w:rPr/>
        <w:br w:type="column"/>
      </w:r>
      <w:r>
        <w:rPr>
          <w:spacing w:val="-2"/>
        </w:rPr>
        <w:t>指因肝炎病毒感染引起肝脏组织弥漫性坏死，导致急性肝功能衰竭，且</w:t>
      </w:r>
      <w:r>
        <w:rPr>
          <w:spacing w:val="-2"/>
        </w:rPr>
        <w:t>经血清学或病毒学检查证实，并须满足下列全部条件：</w:t>
      </w:r>
    </w:p>
    <w:p>
      <w:pPr>
        <w:pStyle w:val="ListParagraph"/>
        <w:numPr>
          <w:ilvl w:val="0"/>
          <w:numId w:val="17"/>
        </w:numPr>
        <w:tabs>
          <w:tab w:pos="708" w:val="left" w:leader="none"/>
        </w:tabs>
        <w:spacing w:line="240" w:lineRule="auto" w:before="3" w:after="0"/>
        <w:ind w:left="707" w:right="0" w:hanging="530"/>
        <w:jc w:val="left"/>
        <w:rPr>
          <w:sz w:val="21"/>
        </w:rPr>
      </w:pPr>
      <w:r>
        <w:rPr>
          <w:spacing w:val="-3"/>
          <w:sz w:val="21"/>
        </w:rPr>
        <w:t>重度黄疸或黄疸迅速加重；</w:t>
      </w:r>
    </w:p>
    <w:p>
      <w:pPr>
        <w:pStyle w:val="ListParagraph"/>
        <w:numPr>
          <w:ilvl w:val="0"/>
          <w:numId w:val="17"/>
        </w:numPr>
        <w:tabs>
          <w:tab w:pos="708" w:val="left" w:leader="none"/>
        </w:tabs>
        <w:spacing w:line="240" w:lineRule="auto" w:before="64" w:after="0"/>
        <w:ind w:left="707" w:right="0" w:hanging="530"/>
        <w:jc w:val="left"/>
        <w:rPr>
          <w:sz w:val="21"/>
        </w:rPr>
      </w:pPr>
      <w:r>
        <w:rPr>
          <w:spacing w:val="-4"/>
          <w:sz w:val="21"/>
        </w:rPr>
        <w:t>肝性脑病；</w:t>
      </w:r>
    </w:p>
    <w:p>
      <w:pPr>
        <w:pStyle w:val="ListParagraph"/>
        <w:numPr>
          <w:ilvl w:val="0"/>
          <w:numId w:val="17"/>
        </w:numPr>
        <w:tabs>
          <w:tab w:pos="708" w:val="left" w:leader="none"/>
        </w:tabs>
        <w:spacing w:line="240" w:lineRule="auto" w:before="65" w:after="0"/>
        <w:ind w:left="707" w:right="0" w:hanging="530"/>
        <w:jc w:val="left"/>
        <w:rPr>
          <w:sz w:val="21"/>
        </w:rPr>
      </w:pPr>
      <w:r>
        <w:rPr>
          <w:spacing w:val="-2"/>
          <w:sz w:val="21"/>
        </w:rPr>
        <w:t>B</w:t>
      </w:r>
      <w:r>
        <w:rPr>
          <w:spacing w:val="-3"/>
          <w:sz w:val="21"/>
        </w:rPr>
        <w:t>超或其他影像学检查显示肝脏体积急速萎缩；</w:t>
      </w:r>
    </w:p>
    <w:p>
      <w:pPr>
        <w:pStyle w:val="ListParagraph"/>
        <w:numPr>
          <w:ilvl w:val="0"/>
          <w:numId w:val="17"/>
        </w:numPr>
        <w:tabs>
          <w:tab w:pos="708" w:val="left" w:leader="none"/>
        </w:tabs>
        <w:spacing w:line="240" w:lineRule="auto" w:before="64" w:after="0"/>
        <w:ind w:left="707" w:right="0" w:hanging="530"/>
        <w:jc w:val="left"/>
        <w:rPr>
          <w:sz w:val="21"/>
        </w:rPr>
      </w:pPr>
      <w:r>
        <w:rPr>
          <w:spacing w:val="-3"/>
          <w:sz w:val="21"/>
        </w:rPr>
        <w:t>肝功能指标进行性恶化。</w:t>
      </w:r>
    </w:p>
    <w:p>
      <w:pPr>
        <w:spacing w:after="0" w:line="240"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9"/>
        <w:rPr>
          <w:sz w:val="25"/>
        </w:rPr>
      </w:pPr>
    </w:p>
    <w:p>
      <w:pPr>
        <w:pStyle w:val="BodyText"/>
        <w:spacing w:line="297" w:lineRule="auto" w:before="72"/>
        <w:ind w:left="2990" w:right="1039" w:hanging="2766"/>
        <w:jc w:val="both"/>
      </w:pPr>
      <w:r>
        <w:rPr/>
        <w:t>（九）严重非恶性颅内肿瘤 指起源于脑、脑神经、脑被膜的非恶性肿瘤，ICD-O-3肿瘤形态学编码</w:t>
      </w:r>
      <w:r>
        <w:rPr>
          <w:spacing w:val="-2"/>
        </w:rPr>
        <w:t>属于0（良性肿瘤</w:t>
      </w:r>
      <w:r>
        <w:rPr>
          <w:spacing w:val="-106"/>
        </w:rPr>
        <w:t>）</w:t>
      </w:r>
      <w:r>
        <w:rPr>
          <w:spacing w:val="-2"/>
        </w:rPr>
        <w:t>、1（动态未定性肿瘤）范畴，并已经引起颅内压升</w:t>
      </w:r>
      <w:r>
        <w:rPr>
          <w:spacing w:val="-2"/>
        </w:rPr>
        <w:t>高或神经系统功能损害，出现视乳头水肿或视觉受损、听觉受损、面部</w:t>
      </w:r>
      <w:r>
        <w:rPr>
          <w:spacing w:val="-4"/>
        </w:rPr>
        <w:t>或肢体瘫痪、癫痫等，须由头颅断层扫描</w:t>
      </w:r>
      <w:r>
        <w:rPr>
          <w:spacing w:val="22"/>
        </w:rPr>
        <w:t>（</w:t>
      </w:r>
      <w:r>
        <w:rPr>
          <w:spacing w:val="23"/>
        </w:rPr>
        <w:t>C</w:t>
      </w:r>
      <w:r>
        <w:rPr>
          <w:spacing w:val="20"/>
        </w:rPr>
        <w:t>T</w:t>
      </w:r>
      <w:r>
        <w:rPr>
          <w:spacing w:val="-83"/>
        </w:rPr>
        <w:t>）</w:t>
      </w:r>
      <w:r>
        <w:rPr>
          <w:spacing w:val="-4"/>
        </w:rPr>
        <w:t>、核磁共振检查（MRI）</w:t>
      </w:r>
      <w:r>
        <w:rPr>
          <w:spacing w:val="-2"/>
        </w:rPr>
        <w:t>或正电子发射断层扫描（PET）等影像学检查证实，且须满足下列至少</w:t>
      </w:r>
      <w:r>
        <w:rPr>
          <w:spacing w:val="-4"/>
        </w:rPr>
        <w:t>一项条件：</w:t>
      </w:r>
    </w:p>
    <w:p>
      <w:pPr>
        <w:pStyle w:val="ListParagraph"/>
        <w:numPr>
          <w:ilvl w:val="1"/>
          <w:numId w:val="17"/>
        </w:numPr>
        <w:tabs>
          <w:tab w:pos="3520" w:val="left" w:leader="none"/>
        </w:tabs>
        <w:spacing w:line="240" w:lineRule="auto" w:before="2" w:after="0"/>
        <w:ind w:left="3519" w:right="0" w:hanging="530"/>
        <w:jc w:val="left"/>
        <w:rPr>
          <w:sz w:val="21"/>
        </w:rPr>
      </w:pPr>
      <w:r>
        <w:rPr>
          <w:spacing w:val="-3"/>
          <w:sz w:val="21"/>
        </w:rPr>
        <w:t>已经实施了开颅进行的颅内肿瘤完全或部分切除手术；</w:t>
      </w:r>
    </w:p>
    <w:p>
      <w:pPr>
        <w:pStyle w:val="ListParagraph"/>
        <w:numPr>
          <w:ilvl w:val="1"/>
          <w:numId w:val="17"/>
        </w:numPr>
        <w:tabs>
          <w:tab w:pos="3524" w:val="left" w:leader="none"/>
        </w:tabs>
        <w:spacing w:line="297" w:lineRule="auto" w:before="65" w:after="0"/>
        <w:ind w:left="2990" w:right="1086" w:firstLine="0"/>
        <w:jc w:val="left"/>
        <w:rPr>
          <w:sz w:val="21"/>
        </w:rPr>
      </w:pPr>
      <w:r>
        <w:rPr>
          <w:spacing w:val="-2"/>
          <w:sz w:val="21"/>
        </w:rPr>
        <w:t>已经实施了针对颅内肿瘤的放射治疗，如γ刀、质子重离子治疗</w:t>
      </w:r>
      <w:r>
        <w:rPr>
          <w:spacing w:val="-6"/>
          <w:sz w:val="21"/>
        </w:rPr>
        <w:t>等。</w:t>
      </w:r>
    </w:p>
    <w:p>
      <w:pPr>
        <w:spacing w:before="0"/>
        <w:ind w:left="2990" w:right="0" w:firstLine="0"/>
        <w:jc w:val="left"/>
        <w:rPr>
          <w:b/>
          <w:sz w:val="21"/>
        </w:rPr>
      </w:pPr>
      <w:r>
        <w:rPr>
          <w:b/>
          <w:spacing w:val="-3"/>
          <w:sz w:val="21"/>
        </w:rPr>
        <w:t>下列疾病不在本保障范围内：</w:t>
      </w:r>
    </w:p>
    <w:p>
      <w:pPr>
        <w:pStyle w:val="ListParagraph"/>
        <w:numPr>
          <w:ilvl w:val="0"/>
          <w:numId w:val="18"/>
        </w:numPr>
        <w:tabs>
          <w:tab w:pos="3520" w:val="left" w:leader="none"/>
        </w:tabs>
        <w:spacing w:line="240" w:lineRule="auto" w:before="67" w:after="0"/>
        <w:ind w:left="3519" w:right="0" w:hanging="530"/>
        <w:jc w:val="left"/>
        <w:rPr>
          <w:b/>
          <w:sz w:val="21"/>
        </w:rPr>
      </w:pPr>
      <w:r>
        <w:rPr>
          <w:b/>
          <w:spacing w:val="-2"/>
          <w:sz w:val="21"/>
        </w:rPr>
        <w:t>脑垂体瘤；</w:t>
      </w:r>
    </w:p>
    <w:p>
      <w:pPr>
        <w:pStyle w:val="ListParagraph"/>
        <w:numPr>
          <w:ilvl w:val="0"/>
          <w:numId w:val="18"/>
        </w:numPr>
        <w:tabs>
          <w:tab w:pos="3520" w:val="left" w:leader="none"/>
        </w:tabs>
        <w:spacing w:line="240" w:lineRule="auto" w:before="64" w:after="0"/>
        <w:ind w:left="3519" w:right="0" w:hanging="530"/>
        <w:jc w:val="left"/>
        <w:rPr>
          <w:b/>
          <w:sz w:val="21"/>
        </w:rPr>
      </w:pPr>
      <w:r>
        <w:rPr>
          <w:b/>
          <w:spacing w:val="-3"/>
          <w:sz w:val="21"/>
        </w:rPr>
        <w:t>脑囊肿；</w:t>
      </w:r>
    </w:p>
    <w:p>
      <w:pPr>
        <w:pStyle w:val="ListParagraph"/>
        <w:numPr>
          <w:ilvl w:val="0"/>
          <w:numId w:val="18"/>
        </w:numPr>
        <w:tabs>
          <w:tab w:pos="3524" w:val="left" w:leader="none"/>
        </w:tabs>
        <w:spacing w:line="297" w:lineRule="auto" w:before="65" w:after="0"/>
        <w:ind w:left="2990" w:right="1092" w:firstLine="0"/>
        <w:jc w:val="left"/>
        <w:rPr>
          <w:b/>
          <w:sz w:val="21"/>
        </w:rPr>
      </w:pPr>
      <w:r>
        <w:rPr>
          <w:b/>
          <w:spacing w:val="-2"/>
          <w:sz w:val="21"/>
        </w:rPr>
        <w:t>颅内血管性疾病（如脑动脉瘤、脑动静脉畸形、海绵状血管瘤、</w:t>
      </w:r>
      <w:r>
        <w:rPr>
          <w:b/>
          <w:spacing w:val="-2"/>
          <w:sz w:val="21"/>
        </w:rPr>
        <w:t>毛细血管扩张症等</w:t>
      </w:r>
      <w:r>
        <w:rPr>
          <w:b/>
          <w:spacing w:val="-106"/>
          <w:sz w:val="21"/>
        </w:rPr>
        <w:t>）</w:t>
      </w:r>
      <w:r>
        <w:rPr>
          <w:b/>
          <w:spacing w:val="-2"/>
          <w:sz w:val="21"/>
        </w:rPr>
        <w:t>。</w:t>
      </w:r>
    </w:p>
    <w:p>
      <w:pPr>
        <w:pStyle w:val="BodyText"/>
        <w:spacing w:before="3"/>
        <w:rPr>
          <w:b/>
          <w:sz w:val="26"/>
        </w:rPr>
      </w:pPr>
    </w:p>
    <w:p>
      <w:pPr>
        <w:pStyle w:val="BodyText"/>
        <w:tabs>
          <w:tab w:pos="2990" w:val="left" w:leader="none"/>
        </w:tabs>
        <w:ind w:left="225"/>
      </w:pPr>
      <w:r>
        <w:rPr>
          <w:spacing w:val="-2"/>
        </w:rPr>
        <w:t>（</w:t>
      </w:r>
      <w:r>
        <w:rPr>
          <w:spacing w:val="-2"/>
        </w:rPr>
        <w:t>十</w:t>
      </w:r>
      <w:r>
        <w:rPr>
          <w:spacing w:val="-2"/>
        </w:rPr>
        <w:t>）严重慢性肝衰</w:t>
      </w:r>
      <w:r>
        <w:rPr>
          <w:spacing w:val="-10"/>
        </w:rPr>
        <w:t>竭</w:t>
      </w:r>
      <w:r>
        <w:rPr/>
        <w:tab/>
      </w:r>
      <w:r>
        <w:rPr>
          <w:spacing w:val="-2"/>
        </w:rPr>
        <w:t>指</w:t>
      </w:r>
      <w:r>
        <w:rPr>
          <w:spacing w:val="-2"/>
        </w:rPr>
        <w:t>因</w:t>
      </w:r>
      <w:r>
        <w:rPr>
          <w:spacing w:val="-2"/>
        </w:rPr>
        <w:t>慢性肝脏疾病导致的</w:t>
      </w:r>
      <w:r>
        <w:rPr>
          <w:spacing w:val="-2"/>
        </w:rPr>
        <w:t>肝</w:t>
      </w:r>
      <w:r>
        <w:rPr>
          <w:spacing w:val="-2"/>
        </w:rPr>
        <w:t>衰</w:t>
      </w:r>
      <w:r>
        <w:rPr>
          <w:spacing w:val="-2"/>
        </w:rPr>
        <w:t>竭，且须满足下列全</w:t>
      </w:r>
      <w:r>
        <w:rPr>
          <w:spacing w:val="-2"/>
        </w:rPr>
        <w:t>部</w:t>
      </w:r>
      <w:r>
        <w:rPr>
          <w:spacing w:val="-2"/>
        </w:rPr>
        <w:t>条</w:t>
      </w:r>
      <w:r>
        <w:rPr>
          <w:spacing w:val="-2"/>
        </w:rPr>
        <w:t>件</w:t>
      </w:r>
      <w:r>
        <w:rPr>
          <w:spacing w:val="-10"/>
        </w:rPr>
        <w:t>：</w:t>
      </w:r>
    </w:p>
    <w:p>
      <w:pPr>
        <w:pStyle w:val="BodyText"/>
        <w:spacing w:before="65"/>
        <w:ind w:left="2990"/>
      </w:pPr>
      <w:r>
        <w:rPr>
          <w:spacing w:val="-2"/>
        </w:rPr>
        <w:t>（1）</w:t>
      </w:r>
      <w:r>
        <w:rPr>
          <w:spacing w:val="-4"/>
        </w:rPr>
        <w:t>持续性黄疸；</w:t>
      </w:r>
    </w:p>
    <w:p>
      <w:pPr>
        <w:pStyle w:val="BodyText"/>
        <w:spacing w:before="64"/>
        <w:ind w:left="2990"/>
      </w:pPr>
      <w:r>
        <w:rPr>
          <w:spacing w:val="-2"/>
        </w:rPr>
        <w:t>（2）</w:t>
      </w:r>
      <w:r>
        <w:rPr>
          <w:spacing w:val="-5"/>
        </w:rPr>
        <w:t>腹水；</w:t>
      </w:r>
    </w:p>
    <w:p>
      <w:pPr>
        <w:pStyle w:val="ListParagraph"/>
        <w:numPr>
          <w:ilvl w:val="0"/>
          <w:numId w:val="19"/>
        </w:numPr>
        <w:tabs>
          <w:tab w:pos="3520" w:val="left" w:leader="none"/>
        </w:tabs>
        <w:spacing w:line="240" w:lineRule="auto" w:before="65" w:after="0"/>
        <w:ind w:left="3519" w:right="0" w:hanging="530"/>
        <w:jc w:val="left"/>
        <w:rPr>
          <w:sz w:val="21"/>
        </w:rPr>
      </w:pPr>
      <w:r>
        <w:rPr>
          <w:spacing w:val="-4"/>
          <w:sz w:val="21"/>
        </w:rPr>
        <w:t>肝性脑病；</w:t>
      </w:r>
    </w:p>
    <w:p>
      <w:pPr>
        <w:pStyle w:val="ListParagraph"/>
        <w:numPr>
          <w:ilvl w:val="0"/>
          <w:numId w:val="19"/>
        </w:numPr>
        <w:tabs>
          <w:tab w:pos="3520" w:val="left" w:leader="none"/>
        </w:tabs>
        <w:spacing w:line="300" w:lineRule="auto" w:before="64" w:after="0"/>
        <w:ind w:left="2990" w:right="2404" w:firstLine="0"/>
        <w:jc w:val="left"/>
        <w:rPr>
          <w:b/>
          <w:sz w:val="21"/>
        </w:rPr>
      </w:pPr>
      <w:r>
        <w:rPr>
          <w:spacing w:val="-2"/>
          <w:sz w:val="21"/>
        </w:rPr>
        <w:t>充血性脾肿大伴脾功能亢进或食管胃底静脉曲张。</w:t>
      </w:r>
      <w:r>
        <w:rPr>
          <w:b/>
          <w:spacing w:val="-2"/>
          <w:sz w:val="21"/>
        </w:rPr>
        <w:t>因酗酒或药物滥用导致的肝衰竭不在本保障范围内。</w:t>
      </w:r>
    </w:p>
    <w:p>
      <w:pPr>
        <w:pStyle w:val="BodyText"/>
        <w:spacing w:before="11"/>
        <w:rPr>
          <w:b/>
          <w:sz w:val="25"/>
        </w:rPr>
      </w:pPr>
    </w:p>
    <w:p>
      <w:pPr>
        <w:pStyle w:val="BodyText"/>
        <w:ind w:left="225"/>
      </w:pPr>
      <w:r>
        <w:rPr/>
        <w:t>（十一）</w:t>
      </w:r>
      <w:r>
        <w:rPr>
          <w:spacing w:val="-1"/>
        </w:rPr>
        <w:t>严重脑炎后遗症或 指因患脑炎或脑膜炎导致的神经系统永久性的功能障碍。神经系统永久</w:t>
      </w:r>
    </w:p>
    <w:p>
      <w:pPr>
        <w:spacing w:after="0"/>
        <w:sectPr>
          <w:type w:val="continuous"/>
          <w:pgSz w:w="11910" w:h="16840"/>
          <w:pgMar w:header="0" w:footer="857" w:top="320" w:bottom="1040" w:left="1100" w:right="260"/>
        </w:sectPr>
      </w:pPr>
    </w:p>
    <w:p>
      <w:pPr>
        <w:pStyle w:val="BodyText"/>
        <w:tabs>
          <w:tab w:pos="2990" w:val="left" w:leader="none"/>
        </w:tabs>
        <w:spacing w:line="297" w:lineRule="auto" w:before="55"/>
        <w:ind w:left="2990" w:right="1085" w:hanging="2766"/>
      </w:pPr>
      <w:r>
        <w:rPr>
          <w:spacing w:val="-2"/>
        </w:rPr>
        <w:t>严</w:t>
      </w:r>
      <w:r>
        <w:rPr>
          <w:spacing w:val="-2"/>
        </w:rPr>
        <w:t>重</w:t>
      </w:r>
      <w:r>
        <w:rPr>
          <w:spacing w:val="-2"/>
        </w:rPr>
        <w:t>脑膜炎后遗症</w:t>
      </w:r>
      <w:r>
        <w:rPr/>
        <w:tab/>
      </w:r>
      <w:r>
        <w:rPr>
          <w:spacing w:val="-2"/>
        </w:rPr>
        <w:t>性</w:t>
      </w:r>
      <w:r>
        <w:rPr>
          <w:spacing w:val="-2"/>
        </w:rPr>
        <w:t>的</w:t>
      </w:r>
      <w:r>
        <w:rPr>
          <w:spacing w:val="-2"/>
        </w:rPr>
        <w:t>功能障碍，指经相关</w:t>
      </w:r>
      <w:r>
        <w:rPr>
          <w:spacing w:val="-2"/>
        </w:rPr>
        <w:t>专</w:t>
      </w:r>
      <w:r>
        <w:rPr>
          <w:spacing w:val="-2"/>
        </w:rPr>
        <w:t>科</w:t>
      </w:r>
      <w:r>
        <w:rPr>
          <w:spacing w:val="-2"/>
        </w:rPr>
        <w:t>医生确诊疾病</w:t>
      </w:r>
      <w:r>
        <w:rPr>
          <w:spacing w:val="-53"/>
        </w:rPr>
        <w:t> </w:t>
      </w:r>
      <w:r>
        <w:rPr>
          <w:spacing w:val="-2"/>
        </w:rPr>
        <w:t>180</w:t>
      </w:r>
      <w:r>
        <w:rPr>
          <w:spacing w:val="-53"/>
        </w:rPr>
        <w:t> </w:t>
      </w:r>
      <w:r>
        <w:rPr>
          <w:spacing w:val="-2"/>
        </w:rPr>
        <w:t>天后，仍遗留下列</w:t>
      </w:r>
      <w:r>
        <w:rPr>
          <w:spacing w:val="-2"/>
        </w:rPr>
        <w:t>至</w:t>
      </w:r>
      <w:r>
        <w:rPr>
          <w:spacing w:val="-2"/>
        </w:rPr>
        <w:t>少</w:t>
      </w:r>
      <w:r>
        <w:rPr>
          <w:spacing w:val="-4"/>
        </w:rPr>
        <w:t>一</w:t>
      </w:r>
      <w:r>
        <w:rPr>
          <w:spacing w:val="-4"/>
        </w:rPr>
        <w:t>种</w:t>
      </w:r>
      <w:r>
        <w:rPr>
          <w:spacing w:val="-4"/>
        </w:rPr>
        <w:t>障</w:t>
      </w:r>
      <w:r>
        <w:rPr>
          <w:spacing w:val="-4"/>
        </w:rPr>
        <w:t>碍</w:t>
      </w:r>
      <w:r>
        <w:rPr>
          <w:spacing w:val="-4"/>
        </w:rPr>
        <w:t>：</w:t>
      </w:r>
    </w:p>
    <w:p>
      <w:pPr>
        <w:pStyle w:val="ListParagraph"/>
        <w:numPr>
          <w:ilvl w:val="0"/>
          <w:numId w:val="20"/>
        </w:numPr>
        <w:tabs>
          <w:tab w:pos="3520" w:val="left" w:leader="none"/>
        </w:tabs>
        <w:spacing w:line="240" w:lineRule="auto" w:before="0" w:after="0"/>
        <w:ind w:left="3519"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20"/>
        </w:numPr>
        <w:tabs>
          <w:tab w:pos="3520" w:val="left" w:leader="none"/>
        </w:tabs>
        <w:spacing w:line="240" w:lineRule="auto" w:before="64" w:after="0"/>
        <w:ind w:left="3519" w:right="0" w:hanging="530"/>
        <w:jc w:val="left"/>
        <w:rPr>
          <w:sz w:val="21"/>
        </w:rPr>
      </w:pPr>
      <w:r>
        <w:rPr>
          <w:spacing w:val="-3"/>
          <w:sz w:val="21"/>
        </w:rPr>
        <w:t>语言能力完全丧失，或严重咀嚼吞咽功能障碍；</w:t>
      </w:r>
    </w:p>
    <w:p>
      <w:pPr>
        <w:pStyle w:val="ListParagraph"/>
        <w:numPr>
          <w:ilvl w:val="0"/>
          <w:numId w:val="20"/>
        </w:numPr>
        <w:tabs>
          <w:tab w:pos="3520" w:val="left" w:leader="none"/>
        </w:tabs>
        <w:spacing w:line="297" w:lineRule="auto" w:before="67" w:after="0"/>
        <w:ind w:left="2990" w:right="1086" w:firstLine="0"/>
        <w:jc w:val="left"/>
        <w:rPr>
          <w:sz w:val="21"/>
        </w:rPr>
      </w:pPr>
      <w:r>
        <w:rPr>
          <w:spacing w:val="-6"/>
          <w:sz w:val="21"/>
        </w:rPr>
        <w:t>由具有评估资格的专科医生根据临床痴呆评定量表</w:t>
      </w:r>
      <w:r>
        <w:rPr>
          <w:sz w:val="21"/>
        </w:rPr>
        <w:t>（CDR，Clinical Dementia Rating）</w:t>
      </w:r>
      <w:r>
        <w:rPr>
          <w:spacing w:val="-8"/>
          <w:sz w:val="21"/>
        </w:rPr>
        <w:t>评估结果为 </w:t>
      </w:r>
      <w:r>
        <w:rPr>
          <w:sz w:val="21"/>
        </w:rPr>
        <w:t>3</w:t>
      </w:r>
      <w:r>
        <w:rPr>
          <w:spacing w:val="-15"/>
          <w:sz w:val="21"/>
        </w:rPr>
        <w:t> 分；</w:t>
      </w:r>
    </w:p>
    <w:p>
      <w:pPr>
        <w:pStyle w:val="ListParagraph"/>
        <w:numPr>
          <w:ilvl w:val="0"/>
          <w:numId w:val="20"/>
        </w:numPr>
        <w:tabs>
          <w:tab w:pos="3524" w:val="left" w:leader="none"/>
        </w:tabs>
        <w:spacing w:line="297" w:lineRule="auto" w:before="0" w:after="0"/>
        <w:ind w:left="2990" w:right="1088" w:firstLine="0"/>
        <w:jc w:val="left"/>
        <w:rPr>
          <w:sz w:val="21"/>
        </w:rPr>
      </w:pPr>
      <w:r>
        <w:rPr>
          <w:spacing w:val="-2"/>
          <w:sz w:val="21"/>
        </w:rPr>
        <w:t>自主生活能力完全丧失，无法独立完成六项基本日常生活活动中</w:t>
      </w:r>
      <w:r>
        <w:rPr>
          <w:spacing w:val="-2"/>
          <w:sz w:val="21"/>
        </w:rPr>
        <w:t>的三项或三项以上。</w:t>
      </w:r>
    </w:p>
    <w:p>
      <w:pPr>
        <w:pStyle w:val="BodyText"/>
        <w:spacing w:before="3"/>
        <w:rPr>
          <w:sz w:val="26"/>
        </w:rPr>
      </w:pPr>
    </w:p>
    <w:p>
      <w:pPr>
        <w:pStyle w:val="BodyText"/>
        <w:spacing w:line="297" w:lineRule="auto"/>
        <w:ind w:left="2990" w:right="981" w:hanging="2766"/>
        <w:jc w:val="both"/>
        <w:rPr>
          <w:b/>
        </w:rPr>
      </w:pPr>
      <w:r>
        <w:rPr/>
        <w:t>（十二）深度昏迷</w:t>
      </w:r>
      <w:r>
        <w:rPr>
          <w:spacing w:val="977"/>
        </w:rPr>
        <w:t> </w:t>
      </w:r>
      <w:r>
        <w:rPr/>
        <w:t>指因疾病或意外伤害导致意识丧失，对外界刺激和体内需求均无反应，昏迷程度按照格拉斯哥昏迷分级（GCS，Glasgow Coma Scale）结果为5</w:t>
      </w:r>
      <w:r>
        <w:rPr>
          <w:spacing w:val="-2"/>
        </w:rPr>
        <w:t>分或5分以下，且已经持续使用呼吸机及其他生命维持系统96小时以上。</w:t>
      </w:r>
      <w:r>
        <w:rPr>
          <w:b/>
          <w:spacing w:val="-2"/>
        </w:rPr>
        <w:t>因酗酒或药物滥用导致的深度昏迷不在本保障范围内。</w:t>
      </w:r>
    </w:p>
    <w:p>
      <w:pPr>
        <w:pStyle w:val="BodyText"/>
        <w:spacing w:before="3"/>
        <w:rPr>
          <w:b/>
          <w:sz w:val="26"/>
        </w:rPr>
      </w:pPr>
    </w:p>
    <w:p>
      <w:pPr>
        <w:pStyle w:val="BodyText"/>
        <w:spacing w:line="297" w:lineRule="auto"/>
        <w:ind w:left="2990" w:right="1084" w:hanging="2766"/>
        <w:jc w:val="both"/>
      </w:pPr>
      <w:r>
        <w:rPr/>
        <w:t>（十三）双耳失聪</w:t>
      </w:r>
      <w:r>
        <w:rPr>
          <w:spacing w:val="80"/>
          <w:w w:val="150"/>
        </w:rPr>
        <w:t>    </w:t>
      </w:r>
      <w:r>
        <w:rPr/>
        <w:t>指因疾病或意外伤害导致双耳听力</w:t>
      </w:r>
      <w:r>
        <w:rPr>
          <w:color w:val="000000"/>
          <w:shd w:fill="BEBEBE" w:color="auto" w:val="clear"/>
        </w:rPr>
        <w:t>永久不可逆</w:t>
      </w:r>
      <w:r>
        <w:rPr>
          <w:color w:val="000000"/>
        </w:rPr>
        <w:t>（见 8.30）性丧失，在 </w:t>
      </w:r>
      <w:r>
        <w:rPr>
          <w:color w:val="000000"/>
          <w:w w:val="95"/>
        </w:rPr>
        <w:t>500</w:t>
      </w:r>
      <w:r>
        <w:rPr>
          <w:color w:val="000000"/>
          <w:spacing w:val="-3"/>
          <w:w w:val="95"/>
        </w:rPr>
        <w:t> 赫兹、</w:t>
      </w:r>
      <w:r>
        <w:rPr>
          <w:color w:val="000000"/>
          <w:w w:val="95"/>
        </w:rPr>
        <w:t>1000</w:t>
      </w:r>
      <w:r>
        <w:rPr>
          <w:color w:val="000000"/>
          <w:spacing w:val="-4"/>
          <w:w w:val="95"/>
        </w:rPr>
        <w:t> 赫兹和 </w:t>
      </w:r>
      <w:r>
        <w:rPr>
          <w:color w:val="000000"/>
          <w:w w:val="95"/>
        </w:rPr>
        <w:t>2000</w:t>
      </w:r>
      <w:r>
        <w:rPr>
          <w:color w:val="000000"/>
          <w:spacing w:val="-2"/>
          <w:w w:val="95"/>
        </w:rPr>
        <w:t> 赫兹语音频率下，平均听</w:t>
      </w:r>
      <w:r>
        <w:rPr>
          <w:color w:val="000000"/>
          <w:w w:val="95"/>
        </w:rPr>
        <w:t>阈</w:t>
      </w:r>
      <w:r>
        <w:rPr>
          <w:color w:val="000000"/>
          <w:w w:val="95"/>
        </w:rPr>
        <w:t>大</w:t>
      </w:r>
      <w:r>
        <w:rPr>
          <w:color w:val="000000"/>
          <w:w w:val="95"/>
        </w:rPr>
        <w:t>于</w:t>
      </w:r>
      <w:r>
        <w:rPr>
          <w:color w:val="000000"/>
          <w:w w:val="95"/>
        </w:rPr>
        <w:t>等</w:t>
      </w:r>
      <w:r>
        <w:rPr>
          <w:color w:val="000000"/>
          <w:spacing w:val="-4"/>
          <w:w w:val="95"/>
        </w:rPr>
        <w:t>于 </w:t>
      </w:r>
      <w:r>
        <w:rPr>
          <w:color w:val="000000"/>
          <w:w w:val="95"/>
        </w:rPr>
        <w:t>91</w:t>
      </w:r>
      <w:r>
        <w:rPr>
          <w:color w:val="000000"/>
          <w:spacing w:val="-11"/>
          <w:w w:val="95"/>
        </w:rPr>
        <w:t> </w:t>
      </w:r>
      <w:r>
        <w:rPr>
          <w:color w:val="000000"/>
          <w:w w:val="95"/>
        </w:rPr>
        <w:t>分</w:t>
      </w:r>
      <w:r>
        <w:rPr>
          <w:color w:val="000000"/>
          <w:spacing w:val="-2"/>
        </w:rPr>
        <w:t>贝，且经纯音听力测试、声导抗检测或听觉诱发电位检测等证实。</w:t>
      </w:r>
    </w:p>
    <w:p>
      <w:pPr>
        <w:spacing w:before="0"/>
        <w:ind w:left="2990" w:right="0" w:firstLine="0"/>
        <w:jc w:val="both"/>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38"/>
          <w:w w:val="150"/>
          <w:sz w:val="21"/>
        </w:rPr>
        <w:t> </w:t>
      </w:r>
      <w:r>
        <w:rPr>
          <w:b/>
          <w:w w:val="95"/>
          <w:sz w:val="21"/>
        </w:rPr>
        <w:t>3</w:t>
      </w:r>
      <w:r>
        <w:rPr>
          <w:b/>
          <w:spacing w:val="38"/>
          <w:w w:val="150"/>
          <w:sz w:val="21"/>
        </w:rPr>
        <w:t> </w:t>
      </w:r>
      <w:r>
        <w:rPr>
          <w:b/>
          <w:w w:val="95"/>
          <w:sz w:val="21"/>
        </w:rPr>
        <w:t>周</w:t>
      </w:r>
      <w:r>
        <w:rPr>
          <w:b/>
          <w:w w:val="95"/>
          <w:sz w:val="21"/>
        </w:rPr>
        <w:t>岁</w:t>
      </w:r>
      <w:r>
        <w:rPr>
          <w:b/>
          <w:w w:val="95"/>
          <w:sz w:val="21"/>
        </w:rPr>
        <w:t>之</w:t>
      </w:r>
      <w:r>
        <w:rPr>
          <w:b/>
          <w:w w:val="95"/>
          <w:sz w:val="21"/>
        </w:rPr>
        <w:t>前</w:t>
      </w:r>
      <w:r>
        <w:rPr>
          <w:b/>
          <w:w w:val="95"/>
          <w:sz w:val="21"/>
        </w:rPr>
        <w:t>因</w:t>
      </w:r>
      <w:r>
        <w:rPr>
          <w:b/>
          <w:w w:val="95"/>
          <w:sz w:val="21"/>
        </w:rPr>
        <w:t>疾</w:t>
      </w:r>
      <w:r>
        <w:rPr>
          <w:b/>
          <w:w w:val="95"/>
          <w:sz w:val="21"/>
        </w:rPr>
        <w:t>病</w:t>
      </w:r>
      <w:r>
        <w:rPr>
          <w:b/>
          <w:w w:val="95"/>
          <w:sz w:val="21"/>
        </w:rPr>
        <w:t>导</w:t>
      </w:r>
      <w:r>
        <w:rPr>
          <w:b/>
          <w:w w:val="95"/>
          <w:sz w:val="21"/>
        </w:rPr>
        <w:t>致</w:t>
      </w:r>
      <w:r>
        <w:rPr>
          <w:b/>
          <w:w w:val="95"/>
          <w:sz w:val="21"/>
        </w:rPr>
        <w:t>双</w:t>
      </w:r>
      <w:r>
        <w:rPr>
          <w:b/>
          <w:w w:val="95"/>
          <w:sz w:val="21"/>
        </w:rPr>
        <w:t>耳</w:t>
      </w:r>
      <w:r>
        <w:rPr>
          <w:b/>
          <w:w w:val="95"/>
          <w:sz w:val="21"/>
        </w:rPr>
        <w:t>失</w:t>
      </w:r>
      <w:r>
        <w:rPr>
          <w:b/>
          <w:w w:val="95"/>
          <w:sz w:val="21"/>
        </w:rPr>
        <w:t>聪</w:t>
      </w:r>
      <w:r>
        <w:rPr>
          <w:b/>
          <w:w w:val="95"/>
          <w:sz w:val="21"/>
        </w:rPr>
        <w:t>，我们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pStyle w:val="BodyText"/>
        <w:rPr>
          <w:b/>
          <w:sz w:val="20"/>
        </w:rPr>
      </w:pPr>
    </w:p>
    <w:p>
      <w:pPr>
        <w:pStyle w:val="BodyText"/>
        <w:tabs>
          <w:tab w:pos="2990" w:val="left" w:leader="none"/>
        </w:tabs>
        <w:spacing w:line="297" w:lineRule="auto" w:before="145"/>
        <w:ind w:left="2990" w:right="1084" w:hanging="2766"/>
      </w:pPr>
      <w:r>
        <w:rPr>
          <w:spacing w:val="-2"/>
        </w:rPr>
        <w:t>（</w:t>
      </w:r>
      <w:r>
        <w:rPr>
          <w:spacing w:val="-2"/>
        </w:rPr>
        <w:t>十</w:t>
      </w:r>
      <w:r>
        <w:rPr>
          <w:spacing w:val="-2"/>
        </w:rPr>
        <w:t>四）双目失明</w:t>
      </w:r>
      <w:r>
        <w:rPr/>
        <w:tab/>
      </w:r>
      <w:r>
        <w:rPr>
          <w:spacing w:val="-2"/>
        </w:rPr>
        <w:t>指</w:t>
      </w:r>
      <w:r>
        <w:rPr>
          <w:spacing w:val="-2"/>
        </w:rPr>
        <w:t>因</w:t>
      </w:r>
      <w:r>
        <w:rPr>
          <w:spacing w:val="-2"/>
        </w:rPr>
        <w:t>疾病或意外伤害导致</w:t>
      </w:r>
      <w:r>
        <w:rPr>
          <w:spacing w:val="-2"/>
        </w:rPr>
        <w:t>双</w:t>
      </w:r>
      <w:r>
        <w:rPr>
          <w:spacing w:val="-2"/>
        </w:rPr>
        <w:t>眼</w:t>
      </w:r>
      <w:r>
        <w:rPr>
          <w:spacing w:val="-2"/>
        </w:rPr>
        <w:t>视力永久不可逆性丧失，双眼中较好眼</w:t>
      </w:r>
      <w:r>
        <w:rPr>
          <w:spacing w:val="-2"/>
        </w:rPr>
        <w:t>须</w:t>
      </w:r>
      <w:r>
        <w:rPr>
          <w:spacing w:val="-2"/>
        </w:rPr>
        <w:t>满</w:t>
      </w:r>
      <w:r>
        <w:rPr>
          <w:spacing w:val="-2"/>
        </w:rPr>
        <w:t>足</w:t>
      </w:r>
      <w:r>
        <w:rPr>
          <w:spacing w:val="-2"/>
        </w:rPr>
        <w:t>下列至少一项条</w:t>
      </w:r>
      <w:r>
        <w:rPr>
          <w:spacing w:val="-2"/>
        </w:rPr>
        <w:t>件</w:t>
      </w:r>
      <w:r>
        <w:rPr>
          <w:spacing w:val="-2"/>
        </w:rPr>
        <w:t>：</w:t>
      </w:r>
    </w:p>
    <w:p>
      <w:pPr>
        <w:pStyle w:val="ListParagraph"/>
        <w:numPr>
          <w:ilvl w:val="0"/>
          <w:numId w:val="21"/>
        </w:numPr>
        <w:tabs>
          <w:tab w:pos="3520" w:val="left" w:leader="none"/>
        </w:tabs>
        <w:spacing w:line="240" w:lineRule="auto" w:before="0" w:after="0"/>
        <w:ind w:left="3519" w:right="0" w:hanging="530"/>
        <w:jc w:val="left"/>
        <w:rPr>
          <w:sz w:val="21"/>
        </w:rPr>
      </w:pPr>
      <w:r>
        <w:rPr>
          <w:spacing w:val="-4"/>
          <w:sz w:val="21"/>
        </w:rPr>
        <w:t>眼球缺失或摘除；</w:t>
      </w:r>
    </w:p>
    <w:p>
      <w:pPr>
        <w:pStyle w:val="ListParagraph"/>
        <w:numPr>
          <w:ilvl w:val="0"/>
          <w:numId w:val="21"/>
        </w:numPr>
        <w:tabs>
          <w:tab w:pos="3520" w:val="left" w:leader="none"/>
        </w:tabs>
        <w:spacing w:line="300" w:lineRule="auto" w:before="64" w:after="0"/>
        <w:ind w:left="2990" w:right="1084" w:firstLine="0"/>
        <w:jc w:val="left"/>
        <w:rPr>
          <w:sz w:val="21"/>
        </w:rPr>
      </w:pPr>
      <w:r>
        <w:rPr>
          <w:spacing w:val="-6"/>
          <w:sz w:val="21"/>
        </w:rPr>
        <w:t>矫正视力低于 </w:t>
      </w:r>
      <w:r>
        <w:rPr>
          <w:spacing w:val="-2"/>
          <w:sz w:val="21"/>
        </w:rPr>
        <w:t>0.02（采用国际标准视力表，如果使用其他视力表</w:t>
      </w:r>
      <w:r>
        <w:rPr>
          <w:spacing w:val="-2"/>
          <w:sz w:val="21"/>
        </w:rPr>
        <w:t>应进行换算</w:t>
      </w:r>
      <w:r>
        <w:rPr>
          <w:spacing w:val="-106"/>
          <w:sz w:val="21"/>
        </w:rPr>
        <w:t>）</w:t>
      </w:r>
      <w:r>
        <w:rPr>
          <w:sz w:val="21"/>
        </w:rPr>
        <w:t>；</w:t>
      </w:r>
    </w:p>
    <w:p>
      <w:pPr>
        <w:pStyle w:val="ListParagraph"/>
        <w:numPr>
          <w:ilvl w:val="0"/>
          <w:numId w:val="21"/>
        </w:numPr>
        <w:tabs>
          <w:tab w:pos="3520" w:val="left" w:leader="none"/>
        </w:tabs>
        <w:spacing w:line="266" w:lineRule="exact" w:before="0" w:after="0"/>
        <w:ind w:left="3519" w:right="0" w:hanging="530"/>
        <w:jc w:val="left"/>
        <w:rPr>
          <w:sz w:val="21"/>
        </w:rPr>
      </w:pPr>
      <w:r>
        <w:rPr>
          <w:spacing w:val="-10"/>
          <w:sz w:val="21"/>
        </w:rPr>
        <w:t>视野半径小于 </w:t>
      </w:r>
      <w:r>
        <w:rPr>
          <w:spacing w:val="-2"/>
          <w:sz w:val="21"/>
        </w:rPr>
        <w:t>5</w:t>
      </w:r>
      <w:r>
        <w:rPr>
          <w:spacing w:val="-21"/>
          <w:sz w:val="21"/>
        </w:rPr>
        <w:t> 度。</w:t>
      </w:r>
    </w:p>
    <w:p>
      <w:pPr>
        <w:spacing w:before="65"/>
        <w:ind w:left="2990" w:right="0" w:firstLine="0"/>
        <w:jc w:val="left"/>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38"/>
          <w:w w:val="150"/>
          <w:sz w:val="21"/>
        </w:rPr>
        <w:t> </w:t>
      </w:r>
      <w:r>
        <w:rPr>
          <w:b/>
          <w:w w:val="95"/>
          <w:sz w:val="21"/>
        </w:rPr>
        <w:t>3</w:t>
      </w:r>
      <w:r>
        <w:rPr>
          <w:b/>
          <w:spacing w:val="38"/>
          <w:w w:val="150"/>
          <w:sz w:val="21"/>
        </w:rPr>
        <w:t> </w:t>
      </w:r>
      <w:r>
        <w:rPr>
          <w:b/>
          <w:w w:val="95"/>
          <w:sz w:val="21"/>
        </w:rPr>
        <w:t>周</w:t>
      </w:r>
      <w:r>
        <w:rPr>
          <w:b/>
          <w:w w:val="95"/>
          <w:sz w:val="21"/>
        </w:rPr>
        <w:t>岁</w:t>
      </w:r>
      <w:r>
        <w:rPr>
          <w:b/>
          <w:w w:val="95"/>
          <w:sz w:val="21"/>
        </w:rPr>
        <w:t>之</w:t>
      </w:r>
      <w:r>
        <w:rPr>
          <w:b/>
          <w:w w:val="95"/>
          <w:sz w:val="21"/>
        </w:rPr>
        <w:t>前</w:t>
      </w:r>
      <w:r>
        <w:rPr>
          <w:b/>
          <w:w w:val="95"/>
          <w:sz w:val="21"/>
        </w:rPr>
        <w:t>因</w:t>
      </w:r>
      <w:r>
        <w:rPr>
          <w:b/>
          <w:w w:val="95"/>
          <w:sz w:val="21"/>
        </w:rPr>
        <w:t>疾</w:t>
      </w:r>
      <w:r>
        <w:rPr>
          <w:b/>
          <w:w w:val="95"/>
          <w:sz w:val="21"/>
        </w:rPr>
        <w:t>病</w:t>
      </w:r>
      <w:r>
        <w:rPr>
          <w:b/>
          <w:w w:val="95"/>
          <w:sz w:val="21"/>
        </w:rPr>
        <w:t>导</w:t>
      </w:r>
      <w:r>
        <w:rPr>
          <w:b/>
          <w:w w:val="95"/>
          <w:sz w:val="21"/>
        </w:rPr>
        <w:t>致</w:t>
      </w:r>
      <w:r>
        <w:rPr>
          <w:b/>
          <w:w w:val="95"/>
          <w:sz w:val="21"/>
        </w:rPr>
        <w:t>双</w:t>
      </w:r>
      <w:r>
        <w:rPr>
          <w:b/>
          <w:w w:val="95"/>
          <w:sz w:val="21"/>
        </w:rPr>
        <w:t>目</w:t>
      </w:r>
      <w:r>
        <w:rPr>
          <w:b/>
          <w:w w:val="95"/>
          <w:sz w:val="21"/>
        </w:rPr>
        <w:t>失</w:t>
      </w:r>
      <w:r>
        <w:rPr>
          <w:b/>
          <w:w w:val="95"/>
          <w:sz w:val="21"/>
        </w:rPr>
        <w:t>明</w:t>
      </w:r>
      <w:r>
        <w:rPr>
          <w:b/>
          <w:w w:val="95"/>
          <w:sz w:val="21"/>
        </w:rPr>
        <w:t>，我们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pStyle w:val="BodyText"/>
        <w:spacing w:before="9"/>
        <w:rPr>
          <w:b/>
          <w:sz w:val="28"/>
        </w:rPr>
      </w:pPr>
    </w:p>
    <w:p>
      <w:pPr>
        <w:pStyle w:val="BodyText"/>
        <w:tabs>
          <w:tab w:pos="2990" w:val="left" w:leader="none"/>
        </w:tabs>
        <w:spacing w:line="235" w:lineRule="auto"/>
        <w:ind w:left="2990" w:right="1080" w:hanging="2766"/>
      </w:pPr>
      <w:r>
        <w:rPr>
          <w:w w:val="100"/>
          <w:position w:val="-2"/>
        </w:rPr>
        <w:t>（十</w:t>
      </w:r>
      <w:r>
        <w:rPr>
          <w:spacing w:val="-3"/>
          <w:w w:val="100"/>
          <w:position w:val="-2"/>
        </w:rPr>
        <w:t>五</w:t>
      </w:r>
      <w:r>
        <w:rPr>
          <w:w w:val="100"/>
          <w:position w:val="-2"/>
        </w:rPr>
        <w:t>）</w:t>
      </w:r>
      <w:r>
        <w:rPr>
          <w:spacing w:val="-3"/>
          <w:w w:val="100"/>
          <w:position w:val="-2"/>
        </w:rPr>
        <w:t>瘫</w:t>
      </w:r>
      <w:r>
        <w:rPr>
          <w:w w:val="100"/>
          <w:position w:val="-2"/>
        </w:rPr>
        <w:t>痪</w:t>
      </w:r>
      <w:r>
        <w:rPr>
          <w:position w:val="-2"/>
        </w:rPr>
        <w:tab/>
      </w:r>
      <w:r>
        <w:rPr>
          <w:spacing w:val="4"/>
          <w:w w:val="100"/>
        </w:rPr>
        <w:t>指因疾病或意外伤害导</w:t>
      </w:r>
      <w:r>
        <w:rPr>
          <w:spacing w:val="2"/>
          <w:w w:val="100"/>
        </w:rPr>
        <w:t>致</w:t>
      </w:r>
      <w:r>
        <w:rPr>
          <w:spacing w:val="4"/>
          <w:w w:val="100"/>
        </w:rPr>
        <w:t>两肢或两肢以上肢体</w:t>
      </w:r>
      <w:r>
        <w:rPr>
          <w:spacing w:val="2"/>
          <w:w w:val="100"/>
        </w:rPr>
        <w:t>随意</w:t>
      </w:r>
      <w:r>
        <w:rPr>
          <w:spacing w:val="4"/>
          <w:w w:val="100"/>
        </w:rPr>
        <w:t>运动功能永久完全</w:t>
      </w:r>
      <w:r>
        <w:rPr>
          <w:w w:val="100"/>
        </w:rPr>
        <w:t>丧失</w:t>
      </w:r>
      <w:r>
        <w:rPr>
          <w:spacing w:val="-27"/>
          <w:w w:val="100"/>
        </w:rPr>
        <w:t>。</w:t>
      </w:r>
      <w:r>
        <w:rPr>
          <w:w w:val="100"/>
        </w:rPr>
        <w:t>肢</w:t>
      </w:r>
      <w:r>
        <w:rPr>
          <w:spacing w:val="-3"/>
          <w:w w:val="100"/>
        </w:rPr>
        <w:t>体</w:t>
      </w:r>
      <w:r>
        <w:rPr>
          <w:w w:val="100"/>
        </w:rPr>
        <w:t>随</w:t>
      </w:r>
      <w:r>
        <w:rPr>
          <w:spacing w:val="-3"/>
          <w:w w:val="100"/>
        </w:rPr>
        <w:t>意</w:t>
      </w:r>
      <w:r>
        <w:rPr>
          <w:w w:val="100"/>
        </w:rPr>
        <w:t>运</w:t>
      </w:r>
      <w:r>
        <w:rPr>
          <w:spacing w:val="-3"/>
          <w:w w:val="100"/>
        </w:rPr>
        <w:t>动</w:t>
      </w:r>
      <w:r>
        <w:rPr>
          <w:w w:val="100"/>
        </w:rPr>
        <w:t>功</w:t>
      </w:r>
      <w:r>
        <w:rPr>
          <w:spacing w:val="-3"/>
          <w:w w:val="100"/>
        </w:rPr>
        <w:t>能</w:t>
      </w:r>
      <w:r>
        <w:rPr>
          <w:w w:val="100"/>
        </w:rPr>
        <w:t>永久</w:t>
      </w:r>
      <w:r>
        <w:rPr>
          <w:spacing w:val="-3"/>
          <w:w w:val="100"/>
        </w:rPr>
        <w:t>完</w:t>
      </w:r>
      <w:r>
        <w:rPr>
          <w:w w:val="100"/>
        </w:rPr>
        <w:t>全</w:t>
      </w:r>
      <w:r>
        <w:rPr>
          <w:spacing w:val="-3"/>
          <w:w w:val="100"/>
        </w:rPr>
        <w:t>丧</w:t>
      </w:r>
      <w:r>
        <w:rPr>
          <w:w w:val="100"/>
        </w:rPr>
        <w:t>失</w:t>
      </w:r>
      <w:r>
        <w:rPr>
          <w:spacing w:val="-27"/>
          <w:w w:val="100"/>
        </w:rPr>
        <w:t>，</w:t>
      </w:r>
      <w:r>
        <w:rPr>
          <w:w w:val="100"/>
        </w:rPr>
        <w:t>指</w:t>
      </w:r>
      <w:r>
        <w:rPr>
          <w:spacing w:val="-3"/>
          <w:w w:val="100"/>
        </w:rPr>
        <w:t>疾</w:t>
      </w:r>
      <w:r>
        <w:rPr>
          <w:w w:val="100"/>
        </w:rPr>
        <w:t>病</w:t>
      </w:r>
      <w:r>
        <w:rPr>
          <w:spacing w:val="-3"/>
          <w:w w:val="100"/>
        </w:rPr>
        <w:t>确</w:t>
      </w:r>
      <w:r>
        <w:rPr>
          <w:w w:val="100"/>
        </w:rPr>
        <w:t>诊</w:t>
      </w:r>
      <w:r>
        <w:rPr>
          <w:spacing w:val="-52"/>
        </w:rPr>
        <w:t> </w:t>
      </w:r>
      <w:r>
        <w:rPr>
          <w:w w:val="100"/>
        </w:rPr>
        <w:t>180</w:t>
      </w:r>
      <w:r>
        <w:rPr>
          <w:spacing w:val="-55"/>
        </w:rPr>
        <w:t> </w:t>
      </w:r>
      <w:r>
        <w:rPr>
          <w:w w:val="100"/>
        </w:rPr>
        <w:t>天</w:t>
      </w:r>
      <w:r>
        <w:rPr>
          <w:spacing w:val="-3"/>
          <w:w w:val="100"/>
        </w:rPr>
        <w:t>后</w:t>
      </w:r>
      <w:r>
        <w:rPr>
          <w:w w:val="100"/>
        </w:rPr>
        <w:t>或</w:t>
      </w:r>
      <w:r>
        <w:rPr>
          <w:spacing w:val="-3"/>
          <w:w w:val="100"/>
        </w:rPr>
        <w:t>意</w:t>
      </w:r>
      <w:r>
        <w:rPr>
          <w:w w:val="100"/>
        </w:rPr>
        <w:t>外伤</w:t>
      </w:r>
    </w:p>
    <w:p>
      <w:pPr>
        <w:pStyle w:val="BodyText"/>
        <w:spacing w:before="23"/>
        <w:ind w:left="2990"/>
      </w:pPr>
      <w:r>
        <w:rPr>
          <w:spacing w:val="-13"/>
        </w:rPr>
        <w:t>害发生 </w:t>
      </w:r>
      <w:r>
        <w:rPr>
          <w:spacing w:val="-4"/>
        </w:rPr>
        <w:t>180</w:t>
      </w:r>
      <w:r>
        <w:rPr>
          <w:spacing w:val="-10"/>
        </w:rPr>
        <w:t> 天后，每肢三大关节中的两大关节仍然完全僵硬，或肢体肌</w:t>
      </w:r>
    </w:p>
    <w:p>
      <w:pPr>
        <w:pStyle w:val="BodyText"/>
        <w:spacing w:before="24"/>
        <w:ind w:left="2990"/>
      </w:pPr>
      <w:r>
        <w:rPr>
          <w:spacing w:val="-19"/>
        </w:rPr>
        <w:t>力在 </w:t>
      </w:r>
      <w:r>
        <w:rPr>
          <w:spacing w:val="-2"/>
        </w:rPr>
        <w:t>2</w:t>
      </w:r>
      <w:r>
        <w:rPr>
          <w:spacing w:val="-26"/>
        </w:rPr>
        <w:t> 级</w:t>
      </w:r>
      <w:r>
        <w:rPr>
          <w:spacing w:val="-2"/>
        </w:rPr>
        <w:t>（含）</w:t>
      </w:r>
      <w:r>
        <w:rPr>
          <w:spacing w:val="-5"/>
        </w:rPr>
        <w:t>以下。</w:t>
      </w:r>
    </w:p>
    <w:p>
      <w:pPr>
        <w:pStyle w:val="BodyText"/>
        <w:spacing w:before="1"/>
        <w:rPr>
          <w:sz w:val="27"/>
        </w:rPr>
      </w:pPr>
    </w:p>
    <w:p>
      <w:pPr>
        <w:pStyle w:val="BodyText"/>
        <w:tabs>
          <w:tab w:pos="2990" w:val="left" w:leader="none"/>
        </w:tabs>
        <w:spacing w:line="297" w:lineRule="auto" w:before="1"/>
        <w:ind w:left="2990" w:right="1084" w:hanging="2766"/>
      </w:pPr>
      <w:r>
        <w:rPr>
          <w:spacing w:val="-2"/>
        </w:rPr>
        <w:t>（</w:t>
      </w:r>
      <w:r>
        <w:rPr>
          <w:spacing w:val="-2"/>
        </w:rPr>
        <w:t>十</w:t>
      </w:r>
      <w:r>
        <w:rPr>
          <w:spacing w:val="-2"/>
        </w:rPr>
        <w:t>六）心脏瓣膜手术</w:t>
      </w:r>
      <w:r>
        <w:rPr/>
        <w:tab/>
      </w:r>
      <w:r>
        <w:rPr>
          <w:spacing w:val="-2"/>
        </w:rPr>
        <w:t>指</w:t>
      </w:r>
      <w:r>
        <w:rPr>
          <w:spacing w:val="-2"/>
        </w:rPr>
        <w:t>为</w:t>
      </w:r>
      <w:r>
        <w:rPr>
          <w:spacing w:val="-2"/>
        </w:rPr>
        <w:t>治疗心脏瓣膜</w:t>
      </w:r>
      <w:r>
        <w:rPr>
          <w:spacing w:val="-2"/>
        </w:rPr>
        <w:t>疾</w:t>
      </w:r>
      <w:r>
        <w:rPr>
          <w:spacing w:val="-2"/>
        </w:rPr>
        <w:t>病</w:t>
      </w:r>
      <w:r>
        <w:rPr>
          <w:spacing w:val="-2"/>
        </w:rPr>
        <w:t>，</w:t>
      </w:r>
      <w:r>
        <w:rPr>
          <w:spacing w:val="-2"/>
        </w:rPr>
        <w:t>已</w:t>
      </w:r>
      <w:r>
        <w:rPr>
          <w:spacing w:val="-2"/>
        </w:rPr>
        <w:t>经</w:t>
      </w:r>
      <w:r>
        <w:rPr>
          <w:spacing w:val="-2"/>
        </w:rPr>
        <w:t>实施了切开心脏进行</w:t>
      </w:r>
      <w:r>
        <w:rPr>
          <w:spacing w:val="-2"/>
        </w:rPr>
        <w:t>的</w:t>
      </w:r>
      <w:r>
        <w:rPr>
          <w:spacing w:val="-2"/>
        </w:rPr>
        <w:t>心</w:t>
      </w:r>
      <w:r>
        <w:rPr>
          <w:spacing w:val="-2"/>
        </w:rPr>
        <w:t>脏瓣膜置换</w:t>
      </w:r>
      <w:r>
        <w:rPr>
          <w:spacing w:val="-2"/>
        </w:rPr>
        <w:t>或</w:t>
      </w:r>
      <w:r>
        <w:rPr>
          <w:spacing w:val="-2"/>
        </w:rPr>
        <w:t>修</w:t>
      </w:r>
      <w:r>
        <w:rPr>
          <w:spacing w:val="-4"/>
        </w:rPr>
        <w:t>复</w:t>
      </w:r>
      <w:r>
        <w:rPr>
          <w:spacing w:val="-4"/>
        </w:rPr>
        <w:t>的</w:t>
      </w:r>
      <w:r>
        <w:rPr>
          <w:spacing w:val="-4"/>
        </w:rPr>
        <w:t>手</w:t>
      </w:r>
      <w:r>
        <w:rPr>
          <w:spacing w:val="-4"/>
        </w:rPr>
        <w:t>术</w:t>
      </w:r>
      <w:r>
        <w:rPr>
          <w:spacing w:val="-4"/>
        </w:rPr>
        <w:t>。</w:t>
      </w:r>
    </w:p>
    <w:p>
      <w:pPr>
        <w:spacing w:before="0"/>
        <w:ind w:left="2990" w:right="0" w:firstLine="0"/>
        <w:jc w:val="left"/>
        <w:rPr>
          <w:b/>
          <w:sz w:val="21"/>
        </w:rPr>
      </w:pPr>
      <w:r>
        <w:rPr>
          <w:b/>
          <w:spacing w:val="-3"/>
          <w:sz w:val="21"/>
        </w:rPr>
        <w:t>所有未切开心脏的心脏瓣膜介入手术不在本保障范围内。</w:t>
      </w:r>
    </w:p>
    <w:p>
      <w:pPr>
        <w:pStyle w:val="BodyText"/>
        <w:rPr>
          <w:b/>
          <w:sz w:val="20"/>
        </w:rPr>
      </w:pPr>
    </w:p>
    <w:p>
      <w:pPr>
        <w:pStyle w:val="BodyText"/>
        <w:spacing w:line="297" w:lineRule="auto" w:before="144"/>
        <w:ind w:left="2990" w:right="1039" w:hanging="2766"/>
        <w:jc w:val="both"/>
      </w:pPr>
      <w:r>
        <w:rPr/>
        <w:t>（十七）严重阿尔茨海默病 指因大脑进行性、不可逆性改变导致智能严重衰退或丧失，临床表现为</w:t>
      </w:r>
      <w:r>
        <w:rPr>
          <w:spacing w:val="-2"/>
        </w:rPr>
        <w:t>严重的认知功能障碍、精神行为异常和社交能力减退等，其日常生活必</w:t>
      </w:r>
      <w:r>
        <w:rPr>
          <w:spacing w:val="-4"/>
        </w:rPr>
        <w:t>须持续受到他人监护。须由头颅断层扫描</w:t>
      </w:r>
      <w:r>
        <w:rPr>
          <w:spacing w:val="22"/>
        </w:rPr>
        <w:t>（</w:t>
      </w:r>
      <w:r>
        <w:rPr>
          <w:spacing w:val="23"/>
        </w:rPr>
        <w:t>C</w:t>
      </w:r>
      <w:r>
        <w:rPr>
          <w:spacing w:val="20"/>
        </w:rPr>
        <w:t>T</w:t>
      </w:r>
      <w:r>
        <w:rPr>
          <w:spacing w:val="-83"/>
        </w:rPr>
        <w:t>）</w:t>
      </w:r>
      <w:r>
        <w:rPr>
          <w:spacing w:val="-4"/>
        </w:rPr>
        <w:t>、核磁共振检查（MRI）</w:t>
      </w:r>
      <w:r>
        <w:rPr>
          <w:spacing w:val="-2"/>
        </w:rPr>
        <w:t>或正电子发射断层扫描（PET）等影像学检查证实，并经相关专科医生</w:t>
      </w:r>
      <w:r>
        <w:rPr>
          <w:spacing w:val="-2"/>
        </w:rPr>
        <w:t>确诊，且须满足下列至少一项条件：</w:t>
      </w:r>
    </w:p>
    <w:p>
      <w:pPr>
        <w:pStyle w:val="ListParagraph"/>
        <w:numPr>
          <w:ilvl w:val="0"/>
          <w:numId w:val="22"/>
        </w:numPr>
        <w:tabs>
          <w:tab w:pos="3520" w:val="left" w:leader="none"/>
        </w:tabs>
        <w:spacing w:line="240" w:lineRule="auto" w:before="3" w:after="0"/>
        <w:ind w:left="3519" w:right="0" w:hanging="530"/>
        <w:jc w:val="left"/>
        <w:rPr>
          <w:sz w:val="21"/>
        </w:rPr>
      </w:pPr>
      <w:r>
        <w:rPr>
          <w:spacing w:val="-6"/>
          <w:sz w:val="21"/>
        </w:rPr>
        <w:t>由具有评估资格的专科医生根据临床痴呆评定量表</w:t>
      </w:r>
      <w:r>
        <w:rPr>
          <w:spacing w:val="-2"/>
          <w:sz w:val="21"/>
        </w:rPr>
        <w:t>（CDR，Clinical</w:t>
      </w:r>
    </w:p>
    <w:p>
      <w:pPr>
        <w:spacing w:after="0" w:line="240" w:lineRule="auto"/>
        <w:jc w:val="left"/>
        <w:rPr>
          <w:sz w:val="21"/>
        </w:rPr>
        <w:sectPr>
          <w:pgSz w:w="11910" w:h="16840"/>
          <w:pgMar w:header="0" w:footer="857" w:top="1380" w:bottom="1180" w:left="1100" w:right="260"/>
        </w:sectPr>
      </w:pPr>
    </w:p>
    <w:p>
      <w:pPr>
        <w:pStyle w:val="BodyText"/>
        <w:spacing w:before="55"/>
        <w:ind w:left="2990"/>
      </w:pPr>
      <w:r>
        <w:rPr/>
        <w:t>Dementia</w:t>
      </w:r>
      <w:r>
        <w:rPr>
          <w:spacing w:val="-24"/>
        </w:rPr>
        <w:t> </w:t>
      </w:r>
      <w:r>
        <w:rPr/>
        <w:t>Rating）评估结果为3</w:t>
      </w:r>
      <w:r>
        <w:rPr>
          <w:spacing w:val="-5"/>
        </w:rPr>
        <w:t>分；</w:t>
      </w:r>
    </w:p>
    <w:p>
      <w:pPr>
        <w:pStyle w:val="ListParagraph"/>
        <w:numPr>
          <w:ilvl w:val="0"/>
          <w:numId w:val="22"/>
        </w:numPr>
        <w:tabs>
          <w:tab w:pos="3524" w:val="left" w:leader="none"/>
        </w:tabs>
        <w:spacing w:line="297" w:lineRule="auto" w:before="64" w:after="0"/>
        <w:ind w:left="2990" w:right="1088" w:firstLine="0"/>
        <w:jc w:val="left"/>
        <w:rPr>
          <w:sz w:val="21"/>
        </w:rPr>
      </w:pPr>
      <w:r>
        <w:rPr>
          <w:spacing w:val="-2"/>
          <w:sz w:val="21"/>
        </w:rPr>
        <w:t>自主生活能力完全丧失，无法独立完成六项基本日常生活活动中</w:t>
      </w:r>
      <w:r>
        <w:rPr>
          <w:spacing w:val="-2"/>
          <w:sz w:val="21"/>
        </w:rPr>
        <w:t>的三项或三项以上。</w:t>
      </w:r>
    </w:p>
    <w:p>
      <w:pPr>
        <w:spacing w:before="0"/>
        <w:ind w:left="2990" w:right="0" w:firstLine="0"/>
        <w:jc w:val="left"/>
        <w:rPr>
          <w:b/>
          <w:sz w:val="21"/>
        </w:rPr>
      </w:pPr>
      <w:r>
        <w:rPr>
          <w:b/>
          <w:spacing w:val="-3"/>
          <w:sz w:val="21"/>
        </w:rPr>
        <w:t>阿尔茨海默病之外的其他类型痴呆不在本保障范围内。</w:t>
      </w:r>
    </w:p>
    <w:p>
      <w:pPr>
        <w:pStyle w:val="BodyText"/>
        <w:rPr>
          <w:b/>
          <w:sz w:val="20"/>
        </w:rPr>
      </w:pPr>
    </w:p>
    <w:p>
      <w:pPr>
        <w:pStyle w:val="BodyText"/>
        <w:tabs>
          <w:tab w:pos="2990" w:val="left" w:leader="none"/>
        </w:tabs>
        <w:spacing w:line="297" w:lineRule="auto" w:before="145"/>
        <w:ind w:left="2990" w:right="979" w:hanging="2766"/>
      </w:pPr>
      <w:r>
        <w:rPr>
          <w:spacing w:val="-2"/>
        </w:rPr>
        <w:t>（</w:t>
      </w:r>
      <w:r>
        <w:rPr>
          <w:spacing w:val="-2"/>
        </w:rPr>
        <w:t>十</w:t>
      </w:r>
      <w:r>
        <w:rPr>
          <w:spacing w:val="-2"/>
        </w:rPr>
        <w:t>八）严重脑</w:t>
      </w:r>
      <w:r>
        <w:rPr>
          <w:spacing w:val="-2"/>
        </w:rPr>
        <w:t>损</w:t>
      </w:r>
      <w:r>
        <w:rPr>
          <w:spacing w:val="-2"/>
        </w:rPr>
        <w:t>伤</w:t>
      </w:r>
      <w:r>
        <w:rPr/>
        <w:tab/>
      </w:r>
      <w:r>
        <w:rPr>
          <w:spacing w:val="-2"/>
        </w:rPr>
        <w:t>指</w:t>
      </w:r>
      <w:r>
        <w:rPr>
          <w:spacing w:val="-2"/>
        </w:rPr>
        <w:t>因</w:t>
      </w:r>
      <w:r>
        <w:rPr>
          <w:spacing w:val="-2"/>
        </w:rPr>
        <w:t>头部遭受机械性外力，引起脑重要部位损伤，</w:t>
      </w:r>
      <w:r>
        <w:rPr>
          <w:spacing w:val="-2"/>
        </w:rPr>
        <w:t>导</w:t>
      </w:r>
      <w:r>
        <w:rPr>
          <w:spacing w:val="-2"/>
        </w:rPr>
        <w:t>致</w:t>
      </w:r>
      <w:r>
        <w:rPr>
          <w:spacing w:val="-2"/>
        </w:rPr>
        <w:t>神经系统永</w:t>
      </w:r>
      <w:r>
        <w:rPr>
          <w:spacing w:val="-2"/>
        </w:rPr>
        <w:t>久</w:t>
      </w:r>
      <w:r>
        <w:rPr>
          <w:spacing w:val="-2"/>
        </w:rPr>
        <w:t>性</w:t>
      </w:r>
      <w:r>
        <w:rPr>
          <w:spacing w:val="-2"/>
        </w:rPr>
        <w:t>的</w:t>
      </w:r>
      <w:r>
        <w:rPr>
          <w:spacing w:val="-2"/>
        </w:rPr>
        <w:t>功</w:t>
      </w:r>
      <w:r>
        <w:rPr>
          <w:spacing w:val="-2"/>
        </w:rPr>
        <w:t>能障碍。须由头颅断</w:t>
      </w:r>
      <w:r>
        <w:rPr>
          <w:spacing w:val="-2"/>
        </w:rPr>
        <w:t>层</w:t>
      </w:r>
      <w:r>
        <w:rPr>
          <w:spacing w:val="-2"/>
        </w:rPr>
        <w:t>扫</w:t>
      </w:r>
      <w:r>
        <w:rPr>
          <w:spacing w:val="-2"/>
        </w:rPr>
        <w:t>描</w:t>
      </w:r>
      <w:r>
        <w:rPr>
          <w:spacing w:val="24"/>
        </w:rPr>
        <w:t>（</w:t>
      </w:r>
      <w:r>
        <w:rPr>
          <w:spacing w:val="25"/>
        </w:rPr>
        <w:t>C</w:t>
      </w:r>
      <w:r>
        <w:rPr>
          <w:spacing w:val="22"/>
        </w:rPr>
        <w:t>T</w:t>
      </w:r>
      <w:r>
        <w:rPr>
          <w:spacing w:val="-81"/>
        </w:rPr>
        <w:t>）</w:t>
      </w:r>
      <w:r>
        <w:rPr>
          <w:spacing w:val="-2"/>
        </w:rPr>
        <w:t>、核磁共振检查（MRI）或正电</w:t>
      </w:r>
      <w:r>
        <w:rPr>
          <w:spacing w:val="-2"/>
        </w:rPr>
        <w:t>子</w:t>
      </w:r>
      <w:r>
        <w:rPr>
          <w:spacing w:val="-2"/>
        </w:rPr>
        <w:t>发</w:t>
      </w:r>
      <w:r>
        <w:rPr>
          <w:spacing w:val="-2"/>
        </w:rPr>
        <w:t>射</w:t>
      </w:r>
      <w:r>
        <w:rPr>
          <w:spacing w:val="-2"/>
        </w:rPr>
        <w:t>断层扫描（PET）等影</w:t>
      </w:r>
      <w:r>
        <w:rPr>
          <w:spacing w:val="-2"/>
        </w:rPr>
        <w:t>像</w:t>
      </w:r>
      <w:r>
        <w:rPr>
          <w:spacing w:val="-2"/>
        </w:rPr>
        <w:t>学</w:t>
      </w:r>
      <w:r>
        <w:rPr>
          <w:spacing w:val="-2"/>
        </w:rPr>
        <w:t>检查</w:t>
      </w:r>
      <w:r>
        <w:rPr>
          <w:spacing w:val="-2"/>
        </w:rPr>
        <w:t>证</w:t>
      </w:r>
      <w:r>
        <w:rPr>
          <w:spacing w:val="-2"/>
        </w:rPr>
        <w:t>实</w:t>
      </w:r>
      <w:r>
        <w:rPr>
          <w:spacing w:val="-2"/>
        </w:rPr>
        <w:t>。神经</w:t>
      </w:r>
      <w:r>
        <w:rPr>
          <w:spacing w:val="-2"/>
        </w:rPr>
        <w:t>系</w:t>
      </w:r>
      <w:r>
        <w:rPr>
          <w:spacing w:val="-2"/>
        </w:rPr>
        <w:t>统</w:t>
      </w:r>
      <w:r>
        <w:rPr>
          <w:spacing w:val="-2"/>
        </w:rPr>
        <w:t>永</w:t>
      </w:r>
      <w:r>
        <w:rPr>
          <w:spacing w:val="-2"/>
        </w:rPr>
        <w:t>久</w:t>
      </w:r>
      <w:r>
        <w:rPr>
          <w:spacing w:val="-2"/>
        </w:rPr>
        <w:t>性的功能障</w:t>
      </w:r>
      <w:r>
        <w:rPr>
          <w:spacing w:val="-2"/>
        </w:rPr>
        <w:t>碍</w:t>
      </w:r>
      <w:r>
        <w:rPr>
          <w:spacing w:val="-2"/>
        </w:rPr>
        <w:t>，</w:t>
      </w:r>
      <w:r>
        <w:rPr>
          <w:spacing w:val="-2"/>
        </w:rPr>
        <w:t>指</w:t>
      </w:r>
      <w:r>
        <w:rPr>
          <w:spacing w:val="-2"/>
        </w:rPr>
        <w:t>脑</w:t>
      </w:r>
      <w:r>
        <w:rPr>
          <w:spacing w:val="-2"/>
        </w:rPr>
        <w:t>损伤180天后，仍</w:t>
      </w:r>
      <w:r>
        <w:rPr>
          <w:spacing w:val="-2"/>
        </w:rPr>
        <w:t>遗</w:t>
      </w:r>
      <w:r>
        <w:rPr>
          <w:spacing w:val="-2"/>
        </w:rPr>
        <w:t>留</w:t>
      </w:r>
      <w:r>
        <w:rPr>
          <w:spacing w:val="-2"/>
        </w:rPr>
        <w:t>下</w:t>
      </w:r>
      <w:r>
        <w:rPr>
          <w:spacing w:val="-2"/>
        </w:rPr>
        <w:t>列</w:t>
      </w:r>
      <w:r>
        <w:rPr>
          <w:spacing w:val="-2"/>
        </w:rPr>
        <w:t>至少一种障</w:t>
      </w:r>
      <w:r>
        <w:rPr>
          <w:spacing w:val="-2"/>
        </w:rPr>
        <w:t>碍</w:t>
      </w:r>
      <w:r>
        <w:rPr>
          <w:spacing w:val="-2"/>
        </w:rPr>
        <w:t>：</w:t>
      </w:r>
    </w:p>
    <w:p>
      <w:pPr>
        <w:pStyle w:val="ListParagraph"/>
        <w:numPr>
          <w:ilvl w:val="0"/>
          <w:numId w:val="23"/>
        </w:numPr>
        <w:tabs>
          <w:tab w:pos="3520" w:val="left" w:leader="none"/>
        </w:tabs>
        <w:spacing w:line="240" w:lineRule="auto" w:before="2" w:after="0"/>
        <w:ind w:left="3519" w:right="0" w:hanging="530"/>
        <w:jc w:val="left"/>
        <w:rPr>
          <w:sz w:val="21"/>
        </w:rPr>
      </w:pPr>
      <w:r>
        <w:rPr>
          <w:spacing w:val="-2"/>
          <w:sz w:val="21"/>
        </w:rPr>
        <w:t>一肢（含）以上肢体肌力2级（含）</w:t>
      </w:r>
      <w:r>
        <w:rPr>
          <w:spacing w:val="-5"/>
          <w:sz w:val="21"/>
        </w:rPr>
        <w:t>以下；</w:t>
      </w:r>
    </w:p>
    <w:p>
      <w:pPr>
        <w:pStyle w:val="ListParagraph"/>
        <w:numPr>
          <w:ilvl w:val="0"/>
          <w:numId w:val="23"/>
        </w:numPr>
        <w:tabs>
          <w:tab w:pos="3520" w:val="left" w:leader="none"/>
        </w:tabs>
        <w:spacing w:line="240" w:lineRule="auto" w:before="65" w:after="0"/>
        <w:ind w:left="3519" w:right="0" w:hanging="530"/>
        <w:jc w:val="left"/>
        <w:rPr>
          <w:sz w:val="21"/>
        </w:rPr>
      </w:pPr>
      <w:r>
        <w:rPr>
          <w:spacing w:val="-3"/>
          <w:sz w:val="21"/>
        </w:rPr>
        <w:t>语言能力完全丧失，或严重咀嚼吞咽功能障碍；</w:t>
      </w:r>
    </w:p>
    <w:p>
      <w:pPr>
        <w:pStyle w:val="ListParagraph"/>
        <w:numPr>
          <w:ilvl w:val="0"/>
          <w:numId w:val="23"/>
        </w:numPr>
        <w:tabs>
          <w:tab w:pos="3524" w:val="left" w:leader="none"/>
        </w:tabs>
        <w:spacing w:line="297" w:lineRule="auto" w:before="65" w:after="0"/>
        <w:ind w:left="2990" w:right="1088" w:firstLine="0"/>
        <w:jc w:val="left"/>
        <w:rPr>
          <w:sz w:val="21"/>
        </w:rPr>
      </w:pPr>
      <w:r>
        <w:rPr>
          <w:spacing w:val="-2"/>
          <w:sz w:val="21"/>
        </w:rPr>
        <w:t>自主生活能力完全丧失，无法独立完成六项基本日常生活活动中</w:t>
      </w:r>
      <w:r>
        <w:rPr>
          <w:spacing w:val="-2"/>
          <w:sz w:val="21"/>
        </w:rPr>
        <w:t>的三项或三项以上。</w:t>
      </w:r>
    </w:p>
    <w:p>
      <w:pPr>
        <w:pStyle w:val="BodyText"/>
        <w:spacing w:before="8"/>
        <w:rPr>
          <w:sz w:val="20"/>
        </w:rPr>
      </w:pPr>
    </w:p>
    <w:p>
      <w:pPr>
        <w:spacing w:after="0"/>
        <w:rPr>
          <w:sz w:val="20"/>
        </w:rPr>
        <w:sectPr>
          <w:pgSz w:w="11910" w:h="16840"/>
          <w:pgMar w:header="0" w:footer="857" w:top="1380" w:bottom="1180" w:left="1100" w:right="260"/>
        </w:sectPr>
      </w:pPr>
    </w:p>
    <w:p>
      <w:pPr>
        <w:pStyle w:val="BodyText"/>
        <w:spacing w:line="297" w:lineRule="auto" w:before="71"/>
        <w:ind w:left="225"/>
      </w:pPr>
      <w:r>
        <w:rPr>
          <w:spacing w:val="-2"/>
        </w:rPr>
        <w:t>（十九）严重原发性帕金森</w:t>
      </w:r>
      <w:r>
        <w:rPr>
          <w:spacing w:val="-10"/>
        </w:rPr>
        <w:t>病</w:t>
      </w:r>
    </w:p>
    <w:p>
      <w:pPr>
        <w:pStyle w:val="BodyText"/>
        <w:spacing w:line="297" w:lineRule="auto" w:before="71"/>
        <w:ind w:left="178" w:right="1039"/>
        <w:jc w:val="both"/>
      </w:pPr>
      <w:r>
        <w:rPr/>
        <w:br w:type="column"/>
      </w:r>
      <w:r>
        <w:rPr>
          <w:spacing w:val="-2"/>
        </w:rPr>
        <w:t>是一种中枢神经系统的退行性疾病，临床表现为运动迟缓、静止性震颤</w:t>
      </w:r>
      <w:r>
        <w:rPr>
          <w:spacing w:val="-2"/>
        </w:rPr>
        <w:t>或肌强直等，经相关专科医生确诊，且须满足自主生活能力完全丧失，</w:t>
      </w:r>
      <w:r>
        <w:rPr>
          <w:spacing w:val="-2"/>
        </w:rPr>
        <w:t>无法独立完成六项基本日常生活活动中的三项或三项以上。</w:t>
      </w:r>
    </w:p>
    <w:p>
      <w:pPr>
        <w:spacing w:before="0"/>
        <w:ind w:left="178" w:right="0" w:firstLine="0"/>
        <w:jc w:val="left"/>
        <w:rPr>
          <w:b/>
          <w:sz w:val="21"/>
        </w:rPr>
      </w:pPr>
      <w:r>
        <w:rPr>
          <w:b/>
          <w:spacing w:val="-3"/>
          <w:sz w:val="21"/>
        </w:rPr>
        <w:t>继发性帕金森综合征、帕金森叠加综合征不在本保障范围内。</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spacing w:before="9"/>
        <w:rPr>
          <w:b/>
          <w:sz w:val="25"/>
        </w:rPr>
      </w:pPr>
    </w:p>
    <w:p>
      <w:pPr>
        <w:pStyle w:val="BodyText"/>
        <w:tabs>
          <w:tab w:pos="2990" w:val="left" w:leader="none"/>
        </w:tabs>
        <w:spacing w:line="297" w:lineRule="auto" w:before="71"/>
        <w:ind w:left="2990" w:right="1084" w:hanging="2766"/>
      </w:pPr>
      <w:r>
        <w:rPr>
          <w:spacing w:val="-2"/>
        </w:rPr>
        <w:t>（</w:t>
      </w:r>
      <w:r>
        <w:rPr>
          <w:spacing w:val="-2"/>
        </w:rPr>
        <w:t>二</w:t>
      </w:r>
      <w:r>
        <w:rPr>
          <w:spacing w:val="-2"/>
        </w:rPr>
        <w:t>十）严重Ⅲ度烧伤</w:t>
      </w:r>
      <w:r>
        <w:rPr/>
        <w:tab/>
        <w:t>指烧伤程度为Ⅲ度</w:t>
      </w:r>
      <w:r>
        <w:rPr>
          <w:spacing w:val="-108"/>
        </w:rPr>
        <w:t>，</w:t>
      </w:r>
      <w:r>
        <w:rPr/>
        <w:t>且Ⅲ</w:t>
      </w:r>
      <w:r>
        <w:rPr/>
        <w:t>度</w:t>
      </w:r>
      <w:r>
        <w:rPr/>
        <w:t>烧伤的面积达到全身体表</w:t>
      </w:r>
      <w:r>
        <w:rPr/>
        <w:t>面积</w:t>
      </w:r>
      <w:r>
        <w:rPr>
          <w:spacing w:val="22"/>
        </w:rPr>
        <w:t>的</w:t>
      </w:r>
      <w:r>
        <w:rPr/>
        <w:t>20％</w:t>
      </w:r>
      <w:r>
        <w:rPr>
          <w:spacing w:val="22"/>
        </w:rPr>
        <w:t>或</w:t>
      </w:r>
      <w:r>
        <w:rPr/>
        <w:t>20％</w:t>
      </w:r>
      <w:r>
        <w:rPr>
          <w:spacing w:val="-2"/>
        </w:rPr>
        <w:t>以</w:t>
      </w:r>
      <w:r>
        <w:rPr>
          <w:spacing w:val="-2"/>
        </w:rPr>
        <w:t>上</w:t>
      </w:r>
      <w:r>
        <w:rPr>
          <w:spacing w:val="-2"/>
        </w:rPr>
        <w:t>。体表面积根据《中</w:t>
      </w:r>
      <w:r>
        <w:rPr>
          <w:spacing w:val="-2"/>
        </w:rPr>
        <w:t>国</w:t>
      </w:r>
      <w:r>
        <w:rPr>
          <w:spacing w:val="-2"/>
        </w:rPr>
        <w:t>新</w:t>
      </w:r>
      <w:r>
        <w:rPr>
          <w:spacing w:val="-2"/>
        </w:rPr>
        <w:t>九分法》计</w:t>
      </w:r>
      <w:r>
        <w:rPr>
          <w:spacing w:val="-2"/>
        </w:rPr>
        <w:t>算</w:t>
      </w:r>
      <w:r>
        <w:rPr>
          <w:spacing w:val="-2"/>
        </w:rPr>
        <w:t>。</w:t>
      </w:r>
    </w:p>
    <w:p>
      <w:pPr>
        <w:pStyle w:val="BodyText"/>
        <w:spacing w:before="6"/>
        <w:rPr>
          <w:sz w:val="20"/>
        </w:rPr>
      </w:pPr>
    </w:p>
    <w:p>
      <w:pPr>
        <w:spacing w:after="0"/>
        <w:rPr>
          <w:sz w:val="20"/>
        </w:rPr>
        <w:sectPr>
          <w:type w:val="continuous"/>
          <w:pgSz w:w="11910" w:h="16840"/>
          <w:pgMar w:header="0" w:footer="857" w:top="320" w:bottom="1040" w:left="1100" w:right="260"/>
        </w:sectPr>
      </w:pPr>
    </w:p>
    <w:p>
      <w:pPr>
        <w:pStyle w:val="BodyText"/>
        <w:spacing w:line="300" w:lineRule="auto" w:before="72"/>
        <w:ind w:left="225"/>
      </w:pPr>
      <w:r>
        <w:rPr>
          <w:spacing w:val="-2"/>
        </w:rPr>
        <w:t>（二十一）严重特发性肺动</w:t>
      </w:r>
      <w:r>
        <w:rPr>
          <w:spacing w:val="-4"/>
        </w:rPr>
        <w:t>脉高压</w:t>
      </w:r>
    </w:p>
    <w:p>
      <w:pPr>
        <w:pStyle w:val="BodyText"/>
        <w:spacing w:line="300" w:lineRule="auto" w:before="72"/>
        <w:ind w:left="178" w:right="1039"/>
      </w:pPr>
      <w:r>
        <w:rPr/>
        <w:br w:type="column"/>
      </w:r>
      <w:r>
        <w:rPr>
          <w:spacing w:val="-2"/>
        </w:rPr>
        <w:t>指不明原因的肺动脉压力持续性增高，进行性发展而导致的慢性疾病，</w:t>
      </w:r>
      <w:r>
        <w:rPr>
          <w:spacing w:val="-2"/>
        </w:rPr>
        <w:t>已经造成永久不可逆性的体力活动能力受限，达到</w:t>
      </w:r>
      <w:r>
        <w:rPr>
          <w:color w:val="000000"/>
          <w:spacing w:val="-2"/>
          <w:shd w:fill="BEBEBE" w:color="auto" w:val="clear"/>
        </w:rPr>
        <w:t>美国纽约心脏病学会</w:t>
      </w:r>
    </w:p>
    <w:p>
      <w:pPr>
        <w:pStyle w:val="BodyText"/>
        <w:spacing w:line="297" w:lineRule="auto"/>
        <w:ind w:left="178" w:right="1084"/>
      </w:pPr>
      <w:r>
        <w:rPr>
          <w:color w:val="000000"/>
          <w:shd w:fill="BEBEBE" w:color="auto" w:val="clear"/>
        </w:rPr>
        <w:t>（New York Heart Association，NYHA）心功能状态分级</w:t>
      </w:r>
      <w:r>
        <w:rPr>
          <w:color w:val="000000"/>
        </w:rPr>
        <w:t>（见 8.31） </w:t>
      </w:r>
      <w:r>
        <w:rPr>
          <w:color w:val="000000"/>
          <w:spacing w:val="-2"/>
        </w:rPr>
        <w:t>IV级，且静息状态下肺动脉平均压在36mmHg（含）以上。</w:t>
      </w:r>
    </w:p>
    <w:p>
      <w:pPr>
        <w:spacing w:after="0" w:line="297" w:lineRule="auto"/>
        <w:sectPr>
          <w:type w:val="continuous"/>
          <w:pgSz w:w="11910" w:h="16840"/>
          <w:pgMar w:header="0" w:footer="857" w:top="320" w:bottom="1040" w:left="1100" w:right="260"/>
          <w:cols w:num="2" w:equalWidth="0">
            <w:col w:w="2773" w:space="40"/>
            <w:col w:w="7737"/>
          </w:cols>
        </w:sectPr>
      </w:pPr>
    </w:p>
    <w:p>
      <w:pPr>
        <w:pStyle w:val="BodyText"/>
        <w:spacing w:before="3"/>
        <w:rPr>
          <w:sz w:val="20"/>
        </w:rPr>
      </w:pPr>
    </w:p>
    <w:p>
      <w:pPr>
        <w:spacing w:after="0"/>
        <w:rPr>
          <w:sz w:val="20"/>
        </w:rPr>
        <w:sectPr>
          <w:type w:val="continuous"/>
          <w:pgSz w:w="11910" w:h="16840"/>
          <w:pgMar w:header="0" w:footer="857" w:top="320" w:bottom="1040" w:left="1100" w:right="260"/>
        </w:sectPr>
      </w:pPr>
    </w:p>
    <w:p>
      <w:pPr>
        <w:pStyle w:val="BodyText"/>
        <w:spacing w:line="300" w:lineRule="auto" w:before="71"/>
        <w:ind w:left="225"/>
      </w:pPr>
      <w:r>
        <w:rPr>
          <w:spacing w:val="-2"/>
        </w:rPr>
        <w:t>（二十二）严重运动神经元</w:t>
      </w:r>
      <w:r>
        <w:rPr>
          <w:spacing w:val="-10"/>
        </w:rPr>
        <w:t>病</w:t>
      </w:r>
    </w:p>
    <w:p>
      <w:pPr>
        <w:pStyle w:val="BodyText"/>
        <w:spacing w:line="297" w:lineRule="auto" w:before="71"/>
        <w:ind w:left="178" w:right="1084"/>
        <w:jc w:val="both"/>
      </w:pPr>
      <w:r>
        <w:rPr/>
        <w:br w:type="column"/>
      </w:r>
      <w:r>
        <w:rPr>
          <w:spacing w:val="-2"/>
        </w:rPr>
        <w:t>是一组中枢神经系统运动神经元的进行性变性疾病，包括进行性脊肌萎缩症、进行性延髓麻痹症、原发性侧索硬化症、肌萎缩性侧索硬化症,</w:t>
      </w:r>
      <w:r>
        <w:rPr>
          <w:spacing w:val="-2"/>
        </w:rPr>
        <w:t>经相关专科医生确诊，且须满足下列至少一项条件：</w:t>
      </w:r>
    </w:p>
    <w:p>
      <w:pPr>
        <w:pStyle w:val="ListParagraph"/>
        <w:numPr>
          <w:ilvl w:val="0"/>
          <w:numId w:val="24"/>
        </w:numPr>
        <w:tabs>
          <w:tab w:pos="708" w:val="left" w:leader="none"/>
        </w:tabs>
        <w:spacing w:line="240" w:lineRule="auto" w:before="3" w:after="0"/>
        <w:ind w:left="707" w:right="0" w:hanging="530"/>
        <w:jc w:val="left"/>
        <w:rPr>
          <w:sz w:val="21"/>
        </w:rPr>
      </w:pPr>
      <w:r>
        <w:rPr>
          <w:spacing w:val="-3"/>
          <w:sz w:val="21"/>
        </w:rPr>
        <w:t>严重咀嚼吞咽功能障碍；</w:t>
      </w:r>
    </w:p>
    <w:p>
      <w:pPr>
        <w:pStyle w:val="ListParagraph"/>
        <w:numPr>
          <w:ilvl w:val="0"/>
          <w:numId w:val="24"/>
        </w:numPr>
        <w:tabs>
          <w:tab w:pos="708" w:val="left" w:leader="none"/>
        </w:tabs>
        <w:spacing w:line="297" w:lineRule="auto" w:before="65" w:after="0"/>
        <w:ind w:left="178" w:right="1039" w:firstLine="0"/>
        <w:jc w:val="left"/>
        <w:rPr>
          <w:sz w:val="21"/>
        </w:rPr>
      </w:pPr>
      <w:r>
        <w:rPr>
          <w:spacing w:val="-2"/>
          <w:sz w:val="21"/>
        </w:rPr>
        <w:t>呼吸肌麻痹导致严重呼吸困难，且已经持续使用呼吸机7天（含）</w:t>
      </w:r>
      <w:r>
        <w:rPr>
          <w:spacing w:val="-4"/>
          <w:sz w:val="21"/>
        </w:rPr>
        <w:t>以上；</w:t>
      </w:r>
    </w:p>
    <w:p>
      <w:pPr>
        <w:pStyle w:val="ListParagraph"/>
        <w:numPr>
          <w:ilvl w:val="0"/>
          <w:numId w:val="24"/>
        </w:numPr>
        <w:tabs>
          <w:tab w:pos="711" w:val="left" w:leader="none"/>
        </w:tabs>
        <w:spacing w:line="297" w:lineRule="auto" w:before="2" w:after="0"/>
        <w:ind w:left="178" w:right="1085" w:firstLine="0"/>
        <w:jc w:val="left"/>
        <w:rPr>
          <w:sz w:val="21"/>
        </w:rPr>
      </w:pPr>
      <w:r>
        <w:rPr>
          <w:spacing w:val="-2"/>
          <w:sz w:val="21"/>
        </w:rPr>
        <w:t>自主生活能力完全丧失，无法独立完成六项基本日常生活活动中</w:t>
      </w:r>
      <w:r>
        <w:rPr>
          <w:spacing w:val="-2"/>
          <w:sz w:val="21"/>
        </w:rPr>
        <w:t>的三项或三项以上。</w:t>
      </w:r>
    </w:p>
    <w:p>
      <w:pPr>
        <w:spacing w:after="0" w:line="297"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6"/>
        <w:rPr>
          <w:sz w:val="20"/>
        </w:rPr>
      </w:pPr>
    </w:p>
    <w:p>
      <w:pPr>
        <w:pStyle w:val="BodyText"/>
        <w:tabs>
          <w:tab w:pos="2990" w:val="left" w:leader="none"/>
        </w:tabs>
        <w:spacing w:before="71"/>
        <w:ind w:left="225"/>
      </w:pPr>
      <w:r>
        <w:rPr>
          <w:spacing w:val="-2"/>
        </w:rPr>
        <w:t>（</w:t>
      </w:r>
      <w:r>
        <w:rPr>
          <w:spacing w:val="-2"/>
        </w:rPr>
        <w:t>二</w:t>
      </w:r>
      <w:r>
        <w:rPr>
          <w:spacing w:val="-2"/>
        </w:rPr>
        <w:t>十三）语言能力</w:t>
      </w:r>
      <w:r>
        <w:rPr>
          <w:spacing w:val="-2"/>
        </w:rPr>
        <w:t>丧</w:t>
      </w:r>
      <w:r>
        <w:rPr>
          <w:spacing w:val="-10"/>
        </w:rPr>
        <w:t>失</w:t>
      </w:r>
      <w:r>
        <w:rPr/>
        <w:tab/>
      </w:r>
      <w:r>
        <w:rPr>
          <w:spacing w:val="-4"/>
        </w:rPr>
        <w:t>指</w:t>
      </w:r>
      <w:r>
        <w:rPr>
          <w:spacing w:val="-4"/>
        </w:rPr>
        <w:t>因</w:t>
      </w:r>
      <w:r>
        <w:rPr>
          <w:spacing w:val="-4"/>
        </w:rPr>
        <w:t>疾病或意外伤害导致</w:t>
      </w:r>
      <w:r>
        <w:rPr>
          <w:spacing w:val="-4"/>
        </w:rPr>
        <w:t>语</w:t>
      </w:r>
      <w:r>
        <w:rPr>
          <w:spacing w:val="-4"/>
        </w:rPr>
        <w:t>言</w:t>
      </w:r>
      <w:r>
        <w:rPr>
          <w:spacing w:val="-4"/>
        </w:rPr>
        <w:t>能力完全</w:t>
      </w:r>
      <w:r>
        <w:rPr>
          <w:spacing w:val="-4"/>
        </w:rPr>
        <w:t>丧</w:t>
      </w:r>
      <w:r>
        <w:rPr>
          <w:spacing w:val="-4"/>
        </w:rPr>
        <w:t>失</w:t>
      </w:r>
      <w:r>
        <w:rPr>
          <w:spacing w:val="-4"/>
        </w:rPr>
        <w:t>，</w:t>
      </w:r>
      <w:r>
        <w:rPr>
          <w:spacing w:val="-4"/>
        </w:rPr>
        <w:t>经</w:t>
      </w:r>
      <w:r>
        <w:rPr>
          <w:spacing w:val="-4"/>
        </w:rPr>
        <w:t>过</w:t>
      </w:r>
      <w:r>
        <w:rPr>
          <w:spacing w:val="-4"/>
        </w:rPr>
        <w:t>积</w:t>
      </w:r>
      <w:r>
        <w:rPr>
          <w:spacing w:val="-4"/>
        </w:rPr>
        <w:t>极</w:t>
      </w:r>
      <w:r>
        <w:rPr>
          <w:spacing w:val="-4"/>
        </w:rPr>
        <w:t>治疗至</w:t>
      </w:r>
      <w:r>
        <w:rPr>
          <w:spacing w:val="-4"/>
        </w:rPr>
        <w:t>少</w:t>
      </w:r>
      <w:r>
        <w:rPr>
          <w:spacing w:val="-4"/>
        </w:rPr>
        <w:t>12</w:t>
      </w:r>
      <w:r>
        <w:rPr>
          <w:spacing w:val="-4"/>
        </w:rPr>
        <w:t>个</w:t>
      </w:r>
      <w:r>
        <w:rPr>
          <w:spacing w:val="-10"/>
        </w:rPr>
        <w:t>月</w:t>
      </w:r>
    </w:p>
    <w:p>
      <w:pPr>
        <w:spacing w:line="300" w:lineRule="auto" w:before="65"/>
        <w:ind w:left="2990" w:right="1353" w:firstLine="0"/>
        <w:jc w:val="left"/>
        <w:rPr>
          <w:b/>
          <w:sz w:val="21"/>
        </w:rPr>
      </w:pPr>
      <w:r>
        <w:rPr>
          <w:spacing w:val="-2"/>
          <w:sz w:val="21"/>
        </w:rPr>
        <w:t>（声带完全切除不受此时间限制</w:t>
      </w:r>
      <w:r>
        <w:rPr>
          <w:spacing w:val="-106"/>
          <w:sz w:val="21"/>
        </w:rPr>
        <w:t>）</w:t>
      </w:r>
      <w:r>
        <w:rPr>
          <w:spacing w:val="-3"/>
          <w:sz w:val="21"/>
        </w:rPr>
        <w:t>，仍无法通过现有医疗手段恢复。</w:t>
      </w:r>
      <w:r>
        <w:rPr>
          <w:b/>
          <w:spacing w:val="-2"/>
          <w:sz w:val="21"/>
        </w:rPr>
        <w:t>精神心理因素所致的语言能力丧失不在本保障范围内。</w:t>
      </w:r>
    </w:p>
    <w:p>
      <w:pPr>
        <w:spacing w:line="266" w:lineRule="exact" w:before="0"/>
        <w:ind w:left="2990" w:right="0" w:firstLine="0"/>
        <w:jc w:val="left"/>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w w:val="95"/>
          <w:sz w:val="21"/>
        </w:rPr>
        <w:t>3</w:t>
      </w:r>
      <w:r>
        <w:rPr>
          <w:b/>
          <w:w w:val="95"/>
          <w:sz w:val="21"/>
        </w:rPr>
        <w:t>周</w:t>
      </w:r>
      <w:r>
        <w:rPr>
          <w:b/>
          <w:w w:val="95"/>
          <w:sz w:val="21"/>
        </w:rPr>
        <w:t>岁</w:t>
      </w:r>
      <w:r>
        <w:rPr>
          <w:b/>
          <w:w w:val="95"/>
          <w:sz w:val="21"/>
        </w:rPr>
        <w:t>之</w:t>
      </w:r>
      <w:r>
        <w:rPr>
          <w:b/>
          <w:w w:val="95"/>
          <w:sz w:val="21"/>
        </w:rPr>
        <w:t>前</w:t>
      </w:r>
      <w:r>
        <w:rPr>
          <w:b/>
          <w:w w:val="95"/>
          <w:sz w:val="21"/>
        </w:rPr>
        <w:t>因</w:t>
      </w:r>
      <w:r>
        <w:rPr>
          <w:b/>
          <w:w w:val="95"/>
          <w:sz w:val="21"/>
        </w:rPr>
        <w:t>疾</w:t>
      </w:r>
      <w:r>
        <w:rPr>
          <w:b/>
          <w:w w:val="95"/>
          <w:sz w:val="21"/>
        </w:rPr>
        <w:t>病</w:t>
      </w:r>
      <w:r>
        <w:rPr>
          <w:b/>
          <w:w w:val="95"/>
          <w:sz w:val="21"/>
        </w:rPr>
        <w:t>导</w:t>
      </w:r>
      <w:r>
        <w:rPr>
          <w:b/>
          <w:w w:val="95"/>
          <w:sz w:val="21"/>
        </w:rPr>
        <w:t>致</w:t>
      </w:r>
      <w:r>
        <w:rPr>
          <w:b/>
          <w:w w:val="95"/>
          <w:sz w:val="21"/>
        </w:rPr>
        <w:t>语</w:t>
      </w:r>
      <w:r>
        <w:rPr>
          <w:b/>
          <w:w w:val="95"/>
          <w:sz w:val="21"/>
        </w:rPr>
        <w:t>言</w:t>
      </w:r>
      <w:r>
        <w:rPr>
          <w:b/>
          <w:w w:val="95"/>
          <w:sz w:val="21"/>
        </w:rPr>
        <w:t>能</w:t>
      </w:r>
      <w:r>
        <w:rPr>
          <w:b/>
          <w:w w:val="95"/>
          <w:sz w:val="21"/>
        </w:rPr>
        <w:t>力</w:t>
      </w:r>
      <w:r>
        <w:rPr>
          <w:b/>
          <w:w w:val="95"/>
          <w:sz w:val="21"/>
        </w:rPr>
        <w:t>丧</w:t>
      </w:r>
      <w:r>
        <w:rPr>
          <w:b/>
          <w:w w:val="95"/>
          <w:sz w:val="21"/>
        </w:rPr>
        <w:t>失</w:t>
      </w:r>
      <w:r>
        <w:rPr>
          <w:b/>
          <w:spacing w:val="-38"/>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spacing w:after="0" w:line="266" w:lineRule="exact"/>
        <w:jc w:val="left"/>
        <w:rPr>
          <w:sz w:val="21"/>
        </w:rPr>
        <w:sectPr>
          <w:type w:val="continuous"/>
          <w:pgSz w:w="11910" w:h="16840"/>
          <w:pgMar w:header="0" w:footer="857" w:top="320" w:bottom="1040" w:left="1100" w:right="260"/>
        </w:sectPr>
      </w:pPr>
    </w:p>
    <w:p>
      <w:pPr>
        <w:pStyle w:val="BodyText"/>
        <w:spacing w:line="297" w:lineRule="auto" w:before="55"/>
        <w:ind w:left="225"/>
      </w:pPr>
      <w:r>
        <w:rPr>
          <w:spacing w:val="-2"/>
        </w:rPr>
        <w:t>（二十四）重型再生障碍性</w:t>
      </w:r>
      <w:r>
        <w:rPr>
          <w:spacing w:val="-6"/>
        </w:rPr>
        <w:t>贫血</w:t>
      </w:r>
    </w:p>
    <w:p>
      <w:pPr>
        <w:pStyle w:val="BodyText"/>
        <w:spacing w:line="297" w:lineRule="auto" w:before="55"/>
        <w:ind w:left="178" w:right="1084"/>
      </w:pPr>
      <w:r>
        <w:rPr/>
        <w:br w:type="column"/>
      </w:r>
      <w:r>
        <w:rPr>
          <w:spacing w:val="-2"/>
        </w:rPr>
        <w:t>指因骨髓造血功能慢性持续性衰竭导致的贫血、中性粒细胞减少及血小</w:t>
      </w:r>
      <w:r>
        <w:rPr>
          <w:spacing w:val="-2"/>
        </w:rPr>
        <w:t>板减少，且须满足下列全部条件：</w:t>
      </w:r>
    </w:p>
    <w:p>
      <w:pPr>
        <w:pStyle w:val="ListParagraph"/>
        <w:numPr>
          <w:ilvl w:val="0"/>
          <w:numId w:val="25"/>
        </w:numPr>
        <w:tabs>
          <w:tab w:pos="708" w:val="left" w:leader="none"/>
        </w:tabs>
        <w:spacing w:line="297" w:lineRule="auto" w:before="0" w:after="0"/>
        <w:ind w:left="178" w:right="1084" w:firstLine="0"/>
        <w:jc w:val="left"/>
        <w:rPr>
          <w:sz w:val="21"/>
        </w:rPr>
      </w:pPr>
      <w:r>
        <w:rPr>
          <w:sz w:val="21"/>
        </w:rPr>
        <w:t>骨髓穿刺检查或骨髓活检结果支持诊断: 骨髓细胞增生程度&lt;正</w:t>
      </w:r>
      <w:r>
        <w:rPr>
          <w:spacing w:val="-2"/>
          <w:sz w:val="21"/>
        </w:rPr>
        <w:t>常的25%；如≥正常的25%但&lt;50%，则残存的造血细胞应&lt;30%；</w:t>
      </w:r>
    </w:p>
    <w:p>
      <w:pPr>
        <w:pStyle w:val="ListParagraph"/>
        <w:numPr>
          <w:ilvl w:val="0"/>
          <w:numId w:val="25"/>
        </w:numPr>
        <w:tabs>
          <w:tab w:pos="708" w:val="left" w:leader="none"/>
        </w:tabs>
        <w:spacing w:line="240" w:lineRule="auto" w:before="2" w:after="0"/>
        <w:ind w:left="707" w:right="0" w:hanging="530"/>
        <w:jc w:val="left"/>
        <w:rPr>
          <w:sz w:val="21"/>
        </w:rPr>
      </w:pPr>
      <w:r>
        <w:rPr>
          <w:spacing w:val="-3"/>
          <w:sz w:val="21"/>
        </w:rPr>
        <w:t>外周血象须具备以下三项条件中的两项：</w:t>
      </w:r>
    </w:p>
    <w:p>
      <w:pPr>
        <w:pStyle w:val="BodyText"/>
        <w:spacing w:before="66"/>
        <w:ind w:left="598"/>
      </w:pPr>
      <w:r>
        <w:rPr>
          <w:spacing w:val="-5"/>
        </w:rPr>
        <w:t>① 中性粒细胞绝对值＜</w:t>
      </w:r>
      <w:r>
        <w:rPr/>
        <w:t>0.5×</w:t>
      </w:r>
      <w:r>
        <w:rPr>
          <w:rFonts w:ascii="Times New Roman" w:hAnsi="Times New Roman" w:eastAsia="Times New Roman"/>
          <w:sz w:val="24"/>
        </w:rPr>
        <w:t>10</w:t>
      </w:r>
      <w:r>
        <w:rPr>
          <w:rFonts w:ascii="Times New Roman" w:hAnsi="Times New Roman" w:eastAsia="Times New Roman"/>
          <w:sz w:val="24"/>
          <w:vertAlign w:val="superscript"/>
        </w:rPr>
        <w:t>9</w:t>
      </w:r>
      <w:r>
        <w:rPr>
          <w:rFonts w:ascii="Times New Roman" w:hAnsi="Times New Roman" w:eastAsia="Times New Roman"/>
          <w:spacing w:val="-21"/>
          <w:sz w:val="24"/>
          <w:vertAlign w:val="baseline"/>
        </w:rPr>
        <w:t> </w:t>
      </w:r>
      <w:r>
        <w:rPr>
          <w:spacing w:val="-5"/>
          <w:vertAlign w:val="baseline"/>
        </w:rPr>
        <w:t>/L；</w:t>
      </w:r>
    </w:p>
    <w:p>
      <w:pPr>
        <w:pStyle w:val="BodyText"/>
        <w:spacing w:before="58"/>
        <w:ind w:left="598"/>
      </w:pPr>
      <w:r>
        <w:rPr>
          <w:spacing w:val="-5"/>
        </w:rPr>
        <w:t>② 网织红细胞计数</w:t>
      </w:r>
      <w:r>
        <w:rPr/>
        <w:t>＜20×</w:t>
      </w:r>
      <w:r>
        <w:rPr>
          <w:rFonts w:ascii="Times New Roman" w:hAnsi="Times New Roman" w:eastAsia="Times New Roman"/>
          <w:sz w:val="24"/>
        </w:rPr>
        <w:t>10</w:t>
      </w:r>
      <w:r>
        <w:rPr>
          <w:rFonts w:ascii="Times New Roman" w:hAnsi="Times New Roman" w:eastAsia="Times New Roman"/>
          <w:sz w:val="24"/>
          <w:vertAlign w:val="superscript"/>
        </w:rPr>
        <w:t>9</w:t>
      </w:r>
      <w:r>
        <w:rPr>
          <w:rFonts w:ascii="Times New Roman" w:hAnsi="Times New Roman" w:eastAsia="Times New Roman"/>
          <w:spacing w:val="-22"/>
          <w:sz w:val="24"/>
          <w:vertAlign w:val="baseline"/>
        </w:rPr>
        <w:t> </w:t>
      </w:r>
      <w:r>
        <w:rPr>
          <w:spacing w:val="-5"/>
          <w:vertAlign w:val="baseline"/>
        </w:rPr>
        <w:t>/L；</w:t>
      </w:r>
    </w:p>
    <w:p>
      <w:pPr>
        <w:spacing w:before="55"/>
        <w:ind w:left="598" w:right="0" w:firstLine="0"/>
        <w:jc w:val="left"/>
        <w:rPr>
          <w:sz w:val="21"/>
        </w:rPr>
      </w:pPr>
      <w:r>
        <w:rPr>
          <w:spacing w:val="-5"/>
          <w:sz w:val="21"/>
        </w:rPr>
        <w:t>③ 血小板绝对值＜</w:t>
      </w:r>
      <w:r>
        <w:rPr>
          <w:sz w:val="21"/>
        </w:rPr>
        <w:t>20×</w:t>
      </w:r>
      <w:r>
        <w:rPr>
          <w:rFonts w:ascii="Times New Roman" w:hAnsi="Times New Roman" w:eastAsia="Times New Roman"/>
          <w:sz w:val="24"/>
        </w:rPr>
        <w:t>10</w:t>
      </w:r>
      <w:r>
        <w:rPr>
          <w:rFonts w:ascii="Times New Roman" w:hAnsi="Times New Roman" w:eastAsia="Times New Roman"/>
          <w:sz w:val="24"/>
          <w:vertAlign w:val="superscript"/>
        </w:rPr>
        <w:t>9</w:t>
      </w:r>
      <w:r>
        <w:rPr>
          <w:rFonts w:ascii="Times New Roman" w:hAnsi="Times New Roman" w:eastAsia="Times New Roman"/>
          <w:spacing w:val="-21"/>
          <w:sz w:val="24"/>
          <w:vertAlign w:val="baseline"/>
        </w:rPr>
        <w:t> </w:t>
      </w:r>
      <w:r>
        <w:rPr>
          <w:sz w:val="21"/>
          <w:vertAlign w:val="baseline"/>
        </w:rPr>
        <w:t>/L</w:t>
      </w:r>
      <w:r>
        <w:rPr>
          <w:spacing w:val="-10"/>
          <w:sz w:val="21"/>
          <w:vertAlign w:val="baseline"/>
        </w:rPr>
        <w:t>。</w:t>
      </w:r>
    </w:p>
    <w:p>
      <w:pPr>
        <w:spacing w:after="0"/>
        <w:jc w:val="left"/>
        <w:rPr>
          <w:sz w:val="21"/>
        </w:rPr>
        <w:sectPr>
          <w:pgSz w:w="11910" w:h="16840"/>
          <w:pgMar w:header="0" w:footer="857" w:top="1380" w:bottom="1180" w:left="1100" w:right="260"/>
          <w:cols w:num="2" w:equalWidth="0">
            <w:col w:w="2773" w:space="40"/>
            <w:col w:w="7737"/>
          </w:cols>
        </w:sectPr>
      </w:pPr>
    </w:p>
    <w:p>
      <w:pPr>
        <w:pStyle w:val="BodyText"/>
        <w:spacing w:before="6"/>
      </w:pPr>
    </w:p>
    <w:p>
      <w:pPr>
        <w:pStyle w:val="BodyText"/>
        <w:tabs>
          <w:tab w:pos="2990" w:val="left" w:leader="none"/>
        </w:tabs>
        <w:spacing w:line="297" w:lineRule="auto" w:before="72"/>
        <w:ind w:left="2990" w:right="979" w:hanging="2766"/>
        <w:rPr>
          <w:b/>
        </w:rPr>
      </w:pPr>
      <w:r>
        <w:rPr>
          <w:spacing w:val="-2"/>
        </w:rPr>
        <w:t>（</w:t>
      </w:r>
      <w:r>
        <w:rPr>
          <w:spacing w:val="-2"/>
        </w:rPr>
        <w:t>二</w:t>
      </w:r>
      <w:r>
        <w:rPr>
          <w:spacing w:val="-2"/>
        </w:rPr>
        <w:t>十五）主动脉手术</w:t>
      </w:r>
      <w:r>
        <w:rPr/>
        <w:tab/>
      </w:r>
      <w:r>
        <w:rPr>
          <w:spacing w:val="-2"/>
        </w:rPr>
        <w:t>指</w:t>
      </w:r>
      <w:r>
        <w:rPr>
          <w:spacing w:val="-2"/>
        </w:rPr>
        <w:t>为</w:t>
      </w:r>
      <w:r>
        <w:rPr>
          <w:spacing w:val="-2"/>
        </w:rPr>
        <w:t>治疗主动脉疾病或主</w:t>
      </w:r>
      <w:r>
        <w:rPr>
          <w:spacing w:val="-2"/>
        </w:rPr>
        <w:t>动</w:t>
      </w:r>
      <w:r>
        <w:rPr>
          <w:spacing w:val="-2"/>
        </w:rPr>
        <w:t>脉</w:t>
      </w:r>
      <w:r>
        <w:rPr>
          <w:spacing w:val="-2"/>
        </w:rPr>
        <w:t>创</w:t>
      </w:r>
      <w:r>
        <w:rPr>
          <w:spacing w:val="-2"/>
        </w:rPr>
        <w:t>伤</w:t>
      </w:r>
      <w:r>
        <w:rPr>
          <w:spacing w:val="-2"/>
        </w:rPr>
        <w:t>，已经实施</w:t>
      </w:r>
      <w:r>
        <w:rPr>
          <w:spacing w:val="-2"/>
        </w:rPr>
        <w:t>了</w:t>
      </w:r>
      <w:r>
        <w:rPr>
          <w:spacing w:val="-2"/>
        </w:rPr>
        <w:t>开</w:t>
      </w:r>
      <w:r>
        <w:rPr>
          <w:spacing w:val="-2"/>
        </w:rPr>
        <w:t>胸（含胸腔</w:t>
      </w:r>
      <w:r>
        <w:rPr>
          <w:spacing w:val="-2"/>
        </w:rPr>
        <w:t>镜</w:t>
      </w:r>
      <w:r>
        <w:rPr>
          <w:spacing w:val="-2"/>
        </w:rPr>
        <w:t>下</w:t>
      </w:r>
      <w:r>
        <w:rPr>
          <w:spacing w:val="-2"/>
        </w:rPr>
        <w:t>）</w:t>
      </w:r>
      <w:r>
        <w:rPr>
          <w:spacing w:val="-2"/>
        </w:rPr>
        <w:t>或</w:t>
      </w:r>
      <w:r>
        <w:rPr>
          <w:spacing w:val="-2"/>
        </w:rPr>
        <w:t>开</w:t>
      </w:r>
      <w:r>
        <w:rPr>
          <w:spacing w:val="-2"/>
        </w:rPr>
        <w:t>腹（含腹腔镜下）进行</w:t>
      </w:r>
      <w:r>
        <w:rPr>
          <w:spacing w:val="-2"/>
        </w:rPr>
        <w:t>的</w:t>
      </w:r>
      <w:r>
        <w:rPr>
          <w:spacing w:val="-2"/>
        </w:rPr>
        <w:t>切</w:t>
      </w:r>
      <w:r>
        <w:rPr>
          <w:spacing w:val="-2"/>
        </w:rPr>
        <w:t>除、置换、修补病损</w:t>
      </w:r>
      <w:r>
        <w:rPr>
          <w:spacing w:val="-2"/>
        </w:rPr>
        <w:t>主</w:t>
      </w:r>
      <w:r>
        <w:rPr>
          <w:spacing w:val="-2"/>
        </w:rPr>
        <w:t>动</w:t>
      </w:r>
      <w:r>
        <w:rPr>
          <w:spacing w:val="-2"/>
        </w:rPr>
        <w:t>脉血管、主</w:t>
      </w:r>
      <w:r>
        <w:rPr>
          <w:spacing w:val="-2"/>
        </w:rPr>
        <w:t>动</w:t>
      </w:r>
      <w:r>
        <w:rPr>
          <w:spacing w:val="-2"/>
        </w:rPr>
        <w:t>脉</w:t>
      </w:r>
      <w:r>
        <w:rPr>
          <w:spacing w:val="-2"/>
        </w:rPr>
        <w:t>创</w:t>
      </w:r>
      <w:r>
        <w:rPr>
          <w:spacing w:val="-2"/>
        </w:rPr>
        <w:t>伤</w:t>
      </w:r>
      <w:r>
        <w:rPr>
          <w:spacing w:val="-2"/>
        </w:rPr>
        <w:t>后修复的</w:t>
      </w:r>
      <w:r>
        <w:rPr>
          <w:spacing w:val="-2"/>
        </w:rPr>
        <w:t>手</w:t>
      </w:r>
      <w:r>
        <w:rPr>
          <w:spacing w:val="-2"/>
        </w:rPr>
        <w:t>术</w:t>
      </w:r>
      <w:r>
        <w:rPr>
          <w:spacing w:val="-2"/>
        </w:rPr>
        <w:t>。</w:t>
      </w:r>
      <w:r>
        <w:rPr>
          <w:spacing w:val="-2"/>
        </w:rPr>
        <w:t>主</w:t>
      </w:r>
      <w:r>
        <w:rPr>
          <w:spacing w:val="-2"/>
        </w:rPr>
        <w:t>动</w:t>
      </w:r>
      <w:r>
        <w:rPr>
          <w:spacing w:val="-2"/>
        </w:rPr>
        <w:t>脉</w:t>
      </w:r>
      <w:r>
        <w:rPr>
          <w:spacing w:val="-2"/>
        </w:rPr>
        <w:t>指</w:t>
      </w:r>
      <w:r>
        <w:rPr>
          <w:spacing w:val="-2"/>
        </w:rPr>
        <w:t>升主</w:t>
      </w:r>
      <w:r>
        <w:rPr>
          <w:spacing w:val="-2"/>
        </w:rPr>
        <w:t>动</w:t>
      </w:r>
      <w:r>
        <w:rPr>
          <w:spacing w:val="-2"/>
        </w:rPr>
        <w:t>脉</w:t>
      </w:r>
      <w:r>
        <w:rPr>
          <w:spacing w:val="-2"/>
        </w:rPr>
        <w:t>、主动</w:t>
      </w:r>
      <w:r>
        <w:rPr>
          <w:spacing w:val="-2"/>
        </w:rPr>
        <w:t>脉</w:t>
      </w:r>
      <w:r>
        <w:rPr>
          <w:spacing w:val="-2"/>
        </w:rPr>
        <w:t>弓</w:t>
      </w:r>
      <w:r>
        <w:rPr>
          <w:spacing w:val="-2"/>
        </w:rPr>
        <w:t>和</w:t>
      </w:r>
      <w:r>
        <w:rPr>
          <w:spacing w:val="-2"/>
        </w:rPr>
        <w:t>降</w:t>
      </w:r>
      <w:r>
        <w:rPr>
          <w:spacing w:val="-2"/>
        </w:rPr>
        <w:t>主动脉（含胸</w:t>
      </w:r>
      <w:r>
        <w:rPr>
          <w:spacing w:val="-2"/>
        </w:rPr>
        <w:t>主</w:t>
      </w:r>
      <w:r>
        <w:rPr>
          <w:spacing w:val="-2"/>
        </w:rPr>
        <w:t>动</w:t>
      </w:r>
      <w:r>
        <w:rPr>
          <w:spacing w:val="-2"/>
        </w:rPr>
        <w:t>脉</w:t>
      </w:r>
      <w:r>
        <w:rPr>
          <w:spacing w:val="-2"/>
        </w:rPr>
        <w:t>和腹主动脉</w:t>
      </w:r>
      <w:r>
        <w:rPr>
          <w:spacing w:val="-66"/>
        </w:rPr>
        <w:t>），</w:t>
      </w:r>
      <w:r>
        <w:rPr>
          <w:spacing w:val="-2"/>
        </w:rPr>
        <w:t>不包括</w:t>
      </w:r>
      <w:r>
        <w:rPr>
          <w:spacing w:val="-2"/>
        </w:rPr>
        <w:t>升</w:t>
      </w:r>
      <w:r>
        <w:rPr>
          <w:spacing w:val="-2"/>
        </w:rPr>
        <w:t>主</w:t>
      </w:r>
      <w:r>
        <w:rPr>
          <w:spacing w:val="-2"/>
        </w:rPr>
        <w:t>动脉、主动脉弓和降</w:t>
      </w:r>
      <w:r>
        <w:rPr>
          <w:spacing w:val="-2"/>
        </w:rPr>
        <w:t>主</w:t>
      </w:r>
      <w:r>
        <w:rPr>
          <w:spacing w:val="-2"/>
        </w:rPr>
        <w:t>动</w:t>
      </w:r>
      <w:r>
        <w:rPr>
          <w:spacing w:val="-2"/>
        </w:rPr>
        <w:t>脉的分支血</w:t>
      </w:r>
      <w:r>
        <w:rPr>
          <w:spacing w:val="-2"/>
        </w:rPr>
        <w:t>管</w:t>
      </w:r>
      <w:r>
        <w:rPr>
          <w:spacing w:val="-2"/>
        </w:rPr>
        <w:t>。</w:t>
      </w:r>
      <w:r>
        <w:rPr>
          <w:b/>
          <w:spacing w:val="-2"/>
        </w:rPr>
        <w:t>所</w:t>
      </w:r>
      <w:r>
        <w:rPr>
          <w:b/>
          <w:spacing w:val="-2"/>
        </w:rPr>
        <w:t>有</w:t>
      </w:r>
      <w:r>
        <w:rPr>
          <w:b/>
          <w:spacing w:val="-2"/>
        </w:rPr>
        <w:t>未</w:t>
      </w:r>
      <w:r>
        <w:rPr>
          <w:b/>
          <w:spacing w:val="-2"/>
        </w:rPr>
        <w:t>实</w:t>
      </w:r>
      <w:r>
        <w:rPr>
          <w:b/>
          <w:spacing w:val="-2"/>
        </w:rPr>
        <w:t>施</w:t>
      </w:r>
      <w:r>
        <w:rPr>
          <w:b/>
          <w:spacing w:val="-2"/>
        </w:rPr>
        <w:t>开</w:t>
      </w:r>
      <w:r>
        <w:rPr>
          <w:b/>
          <w:spacing w:val="-2"/>
        </w:rPr>
        <w:t>胸</w:t>
      </w:r>
      <w:r>
        <w:rPr>
          <w:b/>
          <w:spacing w:val="-2"/>
        </w:rPr>
        <w:t>或</w:t>
      </w:r>
      <w:r>
        <w:rPr>
          <w:b/>
          <w:spacing w:val="-2"/>
        </w:rPr>
        <w:t>开腹的</w:t>
      </w:r>
      <w:r>
        <w:rPr>
          <w:b/>
          <w:spacing w:val="-2"/>
        </w:rPr>
        <w:t>动</w:t>
      </w:r>
      <w:r>
        <w:rPr>
          <w:b/>
          <w:spacing w:val="-2"/>
        </w:rPr>
        <w:t>脉</w:t>
      </w:r>
      <w:r>
        <w:rPr>
          <w:b/>
          <w:spacing w:val="-2"/>
        </w:rPr>
        <w:t>内</w:t>
      </w:r>
      <w:r>
        <w:rPr>
          <w:b/>
          <w:spacing w:val="-2"/>
        </w:rPr>
        <w:t>介</w:t>
      </w:r>
      <w:r>
        <w:rPr>
          <w:b/>
          <w:spacing w:val="-2"/>
        </w:rPr>
        <w:t>入</w:t>
      </w:r>
      <w:r>
        <w:rPr>
          <w:b/>
          <w:spacing w:val="-2"/>
        </w:rPr>
        <w:t>治</w:t>
      </w:r>
      <w:r>
        <w:rPr>
          <w:b/>
          <w:spacing w:val="-2"/>
        </w:rPr>
        <w:t>疗</w:t>
      </w:r>
      <w:r>
        <w:rPr>
          <w:b/>
          <w:spacing w:val="-2"/>
        </w:rPr>
        <w:t>不</w:t>
      </w:r>
      <w:r>
        <w:rPr>
          <w:b/>
          <w:spacing w:val="-2"/>
        </w:rPr>
        <w:t>在本保</w:t>
      </w:r>
      <w:r>
        <w:rPr>
          <w:b/>
          <w:spacing w:val="-2"/>
        </w:rPr>
        <w:t>障</w:t>
      </w:r>
      <w:r>
        <w:rPr>
          <w:b/>
          <w:spacing w:val="-2"/>
        </w:rPr>
        <w:t>范</w:t>
      </w:r>
      <w:r>
        <w:rPr>
          <w:b/>
          <w:spacing w:val="-2"/>
        </w:rPr>
        <w:t>围</w:t>
      </w:r>
      <w:r>
        <w:rPr>
          <w:b/>
          <w:spacing w:val="-2"/>
        </w:rPr>
        <w:t>内</w:t>
      </w:r>
      <w:r>
        <w:rPr>
          <w:b/>
          <w:spacing w:val="-2"/>
        </w:rPr>
        <w:t>。</w:t>
      </w:r>
    </w:p>
    <w:p>
      <w:pPr>
        <w:pStyle w:val="BodyText"/>
        <w:spacing w:before="11"/>
        <w:rPr>
          <w:b/>
          <w:sz w:val="20"/>
        </w:rPr>
      </w:pPr>
    </w:p>
    <w:p>
      <w:pPr>
        <w:spacing w:after="0"/>
        <w:rPr>
          <w:sz w:val="20"/>
        </w:rPr>
        <w:sectPr>
          <w:type w:val="continuous"/>
          <w:pgSz w:w="11910" w:h="16840"/>
          <w:pgMar w:header="0" w:footer="857" w:top="320" w:bottom="1040" w:left="1100" w:right="260"/>
        </w:sectPr>
      </w:pPr>
    </w:p>
    <w:p>
      <w:pPr>
        <w:pStyle w:val="BodyText"/>
        <w:spacing w:line="297" w:lineRule="auto" w:before="71"/>
        <w:ind w:left="225"/>
      </w:pPr>
      <w:r>
        <w:rPr>
          <w:spacing w:val="-2"/>
        </w:rPr>
        <w:t>（二十六）严重慢性呼吸衰</w:t>
      </w:r>
      <w:r>
        <w:rPr>
          <w:spacing w:val="-10"/>
        </w:rPr>
        <w:t>竭</w:t>
      </w:r>
    </w:p>
    <w:p>
      <w:pPr>
        <w:pStyle w:val="BodyText"/>
        <w:spacing w:line="297" w:lineRule="auto" w:before="71"/>
        <w:ind w:left="177" w:right="1080"/>
      </w:pPr>
      <w:r>
        <w:rPr/>
        <w:br w:type="column"/>
      </w:r>
      <w:r>
        <w:rPr>
          <w:spacing w:val="-2"/>
        </w:rPr>
        <w:t>指因慢性呼吸系统疾病导致永久不可逆性的呼吸衰竭，经过积极治疗</w:t>
      </w:r>
      <w:r>
        <w:rPr>
          <w:spacing w:val="-2"/>
        </w:rPr>
        <w:t> 180天后满足以下所有条件：</w:t>
      </w:r>
    </w:p>
    <w:p>
      <w:pPr>
        <w:pStyle w:val="ListParagraph"/>
        <w:numPr>
          <w:ilvl w:val="0"/>
          <w:numId w:val="26"/>
        </w:numPr>
        <w:tabs>
          <w:tab w:pos="707" w:val="left" w:leader="none"/>
        </w:tabs>
        <w:spacing w:line="240" w:lineRule="auto" w:before="0" w:after="0"/>
        <w:ind w:left="706" w:right="0" w:hanging="530"/>
        <w:jc w:val="left"/>
        <w:rPr>
          <w:sz w:val="21"/>
        </w:rPr>
      </w:pPr>
      <w:r>
        <w:rPr>
          <w:spacing w:val="-3"/>
          <w:sz w:val="21"/>
        </w:rPr>
        <w:t>静息时出现呼吸困难；</w:t>
      </w:r>
    </w:p>
    <w:p>
      <w:pPr>
        <w:pStyle w:val="ListParagraph"/>
        <w:numPr>
          <w:ilvl w:val="0"/>
          <w:numId w:val="26"/>
        </w:numPr>
        <w:tabs>
          <w:tab w:pos="707" w:val="left" w:leader="none"/>
        </w:tabs>
        <w:spacing w:line="240" w:lineRule="auto" w:before="64" w:after="0"/>
        <w:ind w:left="706"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26"/>
        </w:numPr>
        <w:tabs>
          <w:tab w:pos="707" w:val="left" w:leader="none"/>
        </w:tabs>
        <w:spacing w:line="240" w:lineRule="auto" w:before="65" w:after="0"/>
        <w:ind w:left="706"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857" w:top="320" w:bottom="1040" w:left="1100" w:right="260"/>
          <w:cols w:num="2" w:equalWidth="0">
            <w:col w:w="2774" w:space="40"/>
            <w:col w:w="7736"/>
          </w:cols>
        </w:sectPr>
      </w:pPr>
    </w:p>
    <w:p>
      <w:pPr>
        <w:pStyle w:val="BodyText"/>
        <w:spacing w:before="9"/>
        <w:rPr>
          <w:sz w:val="25"/>
        </w:rPr>
      </w:pPr>
    </w:p>
    <w:p>
      <w:pPr>
        <w:pStyle w:val="BodyText"/>
        <w:spacing w:line="297" w:lineRule="auto" w:before="72"/>
        <w:ind w:left="2990" w:right="1084" w:hanging="2766"/>
        <w:jc w:val="both"/>
      </w:pPr>
      <w:r>
        <w:rPr/>
        <w:t>（二十七）严重克罗恩病  指一种慢性肉芽肿性肠炎，具有特征性的克罗恩病（Crohn病）病理组</w:t>
      </w:r>
      <w:r>
        <w:rPr>
          <w:spacing w:val="-2"/>
        </w:rPr>
        <w:t>织学变化，须根据组织病理学特点诊断，且已经造成瘘管形成并伴有肠</w:t>
      </w:r>
      <w:r>
        <w:rPr>
          <w:spacing w:val="-2"/>
        </w:rPr>
        <w:t>梗阻或肠穿孔。</w:t>
      </w:r>
    </w:p>
    <w:p>
      <w:pPr>
        <w:pStyle w:val="BodyText"/>
        <w:spacing w:before="8"/>
        <w:rPr>
          <w:sz w:val="20"/>
        </w:rPr>
      </w:pPr>
    </w:p>
    <w:p>
      <w:pPr>
        <w:spacing w:after="0"/>
        <w:rPr>
          <w:sz w:val="20"/>
        </w:rPr>
        <w:sectPr>
          <w:type w:val="continuous"/>
          <w:pgSz w:w="11910" w:h="16840"/>
          <w:pgMar w:header="0" w:footer="857" w:top="320" w:bottom="1040" w:left="1100" w:right="260"/>
        </w:sectPr>
      </w:pPr>
    </w:p>
    <w:p>
      <w:pPr>
        <w:pStyle w:val="BodyText"/>
        <w:spacing w:line="297" w:lineRule="auto" w:before="71"/>
        <w:ind w:left="225"/>
      </w:pPr>
      <w:r>
        <w:rPr>
          <w:spacing w:val="-2"/>
        </w:rPr>
        <w:t>（二十八）严重溃疡性结肠</w:t>
      </w:r>
      <w:r>
        <w:rPr>
          <w:spacing w:val="-10"/>
        </w:rPr>
        <w:t>炎</w:t>
      </w:r>
    </w:p>
    <w:p>
      <w:pPr>
        <w:pStyle w:val="BodyText"/>
        <w:spacing w:line="297" w:lineRule="auto" w:before="71"/>
        <w:ind w:left="178" w:right="1084"/>
        <w:jc w:val="both"/>
      </w:pPr>
      <w:r>
        <w:rPr/>
        <w:br w:type="column"/>
      </w:r>
      <w:r>
        <w:rPr>
          <w:spacing w:val="-2"/>
        </w:rPr>
        <w:t>指伴有致命性电解质紊乱的急性暴发性溃疡性结肠炎，病变已经累及全</w:t>
      </w:r>
      <w:r>
        <w:rPr>
          <w:spacing w:val="-2"/>
        </w:rPr>
        <w:t>结肠，表现为严重的血便和系统性症状体征，须根据组织病理学特点诊</w:t>
      </w:r>
      <w:r>
        <w:rPr>
          <w:spacing w:val="-2"/>
        </w:rPr>
        <w:t>断，且已经实施了结肠切除或回肠造瘘术。</w:t>
      </w:r>
    </w:p>
    <w:p>
      <w:pPr>
        <w:spacing w:after="0" w:line="297" w:lineRule="auto"/>
        <w:jc w:val="both"/>
        <w:sectPr>
          <w:type w:val="continuous"/>
          <w:pgSz w:w="11910" w:h="16840"/>
          <w:pgMar w:header="0" w:footer="857" w:top="320" w:bottom="1040" w:left="1100" w:right="260"/>
          <w:cols w:num="2" w:equalWidth="0">
            <w:col w:w="2773" w:space="40"/>
            <w:col w:w="7737"/>
          </w:cols>
        </w:sectPr>
      </w:pPr>
    </w:p>
    <w:p>
      <w:pPr>
        <w:pStyle w:val="BodyText"/>
        <w:spacing w:before="6"/>
        <w:rPr>
          <w:sz w:val="20"/>
        </w:rPr>
      </w:pPr>
    </w:p>
    <w:p>
      <w:pPr>
        <w:pStyle w:val="BodyText"/>
        <w:spacing w:line="300" w:lineRule="auto" w:before="72"/>
        <w:ind w:left="2990" w:right="1039" w:hanging="2766"/>
        <w:jc w:val="both"/>
      </w:pPr>
      <w:r>
        <w:rPr/>
        <w:t>（二十九）多发性硬化症 被保险人因脑及脊髓内的脱髓鞘病变而出现神经系统多灶性（多发性）</w:t>
      </w:r>
      <w:r>
        <w:rPr>
          <w:spacing w:val="-2"/>
        </w:rPr>
        <w:t>多时相（</w:t>
      </w:r>
      <w:r>
        <w:rPr>
          <w:spacing w:val="-10"/>
        </w:rPr>
        <w:t>至少 </w:t>
      </w:r>
      <w:r>
        <w:rPr>
          <w:spacing w:val="-2"/>
        </w:rPr>
        <w:t>6</w:t>
      </w:r>
      <w:r>
        <w:rPr>
          <w:spacing w:val="-7"/>
        </w:rPr>
        <w:t> 个月以内有两次或以上的发作</w:t>
      </w:r>
      <w:r>
        <w:rPr>
          <w:spacing w:val="-2"/>
        </w:rPr>
        <w:t>）的病变，须由计算机断层扫描</w:t>
      </w:r>
      <w:r>
        <w:rPr>
          <w:spacing w:val="25"/>
        </w:rPr>
        <w:t>（</w:t>
      </w:r>
      <w:r>
        <w:rPr>
          <w:spacing w:val="23"/>
        </w:rPr>
        <w:t>CT</w:t>
      </w:r>
      <w:r>
        <w:rPr>
          <w:spacing w:val="-81"/>
        </w:rPr>
        <w:t>）</w:t>
      </w:r>
      <w:r>
        <w:rPr>
          <w:spacing w:val="-2"/>
        </w:rPr>
        <w:t>、核磁共振检查（MRI）或正电子发射断层扫描（PET）等</w:t>
      </w:r>
      <w:r>
        <w:rPr>
          <w:spacing w:val="-2"/>
        </w:rPr>
        <w:t>影像学检查证实，且已经造成自主生活能力完全丧失，无法独立完成六</w:t>
      </w:r>
      <w:r>
        <w:rPr>
          <w:spacing w:val="-1"/>
        </w:rPr>
        <w:t>项基本日常生活活动中的三项或三项以上，持续至少 </w:t>
      </w:r>
      <w:r>
        <w:rPr/>
        <w:t>180</w:t>
      </w:r>
      <w:r>
        <w:rPr>
          <w:spacing w:val="-9"/>
        </w:rPr>
        <w:t> 天。</w:t>
      </w:r>
    </w:p>
    <w:p>
      <w:pPr>
        <w:pStyle w:val="BodyText"/>
        <w:spacing w:before="4"/>
        <w:rPr>
          <w:sz w:val="17"/>
        </w:rPr>
      </w:pPr>
    </w:p>
    <w:p>
      <w:pPr>
        <w:spacing w:after="0"/>
        <w:rPr>
          <w:sz w:val="17"/>
        </w:rPr>
        <w:sectPr>
          <w:type w:val="continuous"/>
          <w:pgSz w:w="11910" w:h="16840"/>
          <w:pgMar w:header="0" w:footer="857" w:top="320" w:bottom="1040" w:left="1100" w:right="260"/>
        </w:sectPr>
      </w:pPr>
    </w:p>
    <w:p>
      <w:pPr>
        <w:pStyle w:val="BodyText"/>
        <w:spacing w:line="300" w:lineRule="auto" w:before="72"/>
        <w:ind w:left="225"/>
      </w:pPr>
      <w:r>
        <w:rPr>
          <w:spacing w:val="-2"/>
        </w:rPr>
        <w:t>（三十）经输血导致的感染</w:t>
      </w:r>
      <w:r>
        <w:rPr>
          <w:spacing w:val="-2"/>
        </w:rPr>
        <w:t>艾滋病病毒或患艾滋病</w:t>
      </w:r>
    </w:p>
    <w:p>
      <w:pPr>
        <w:pStyle w:val="BodyText"/>
        <w:spacing w:before="72"/>
        <w:ind w:left="177"/>
      </w:pPr>
      <w:r>
        <w:rPr/>
        <w:br w:type="column"/>
      </w:r>
      <w:r>
        <w:rPr>
          <w:spacing w:val="-3"/>
        </w:rPr>
        <w:t>是指被保险人感染艾滋病病毒或者患艾滋病并且符合下列所有条件：</w:t>
      </w:r>
    </w:p>
    <w:p>
      <w:pPr>
        <w:pStyle w:val="ListParagraph"/>
        <w:numPr>
          <w:ilvl w:val="0"/>
          <w:numId w:val="27"/>
        </w:numPr>
        <w:tabs>
          <w:tab w:pos="707" w:val="left" w:leader="none"/>
        </w:tabs>
        <w:spacing w:line="240" w:lineRule="auto" w:before="69" w:after="0"/>
        <w:ind w:left="706" w:right="0" w:hanging="530"/>
        <w:jc w:val="left"/>
        <w:rPr>
          <w:sz w:val="21"/>
        </w:rPr>
      </w:pPr>
      <w:r>
        <w:rPr>
          <w:spacing w:val="-5"/>
          <w:sz w:val="21"/>
        </w:rPr>
        <w:t>被保险人因治疗必需而接受输血，并且因输血而感染艾滋病病毒；</w:t>
      </w:r>
    </w:p>
    <w:p>
      <w:pPr>
        <w:pStyle w:val="ListParagraph"/>
        <w:numPr>
          <w:ilvl w:val="0"/>
          <w:numId w:val="27"/>
        </w:numPr>
        <w:tabs>
          <w:tab w:pos="710" w:val="left" w:leader="none"/>
        </w:tabs>
        <w:spacing w:line="300" w:lineRule="auto" w:before="67" w:after="0"/>
        <w:ind w:left="177" w:right="1084" w:firstLine="0"/>
        <w:jc w:val="both"/>
        <w:rPr>
          <w:sz w:val="21"/>
        </w:rPr>
      </w:pPr>
      <w:r>
        <w:rPr>
          <w:spacing w:val="-2"/>
          <w:sz w:val="21"/>
        </w:rPr>
        <w:t>提供输血治疗的输血中心或我们认可的医院出具该项输血感染属</w:t>
      </w:r>
      <w:r>
        <w:rPr>
          <w:spacing w:val="-2"/>
          <w:sz w:val="21"/>
        </w:rPr>
        <w:t>医疗责任事故的报告，或者法院终审裁定为医疗责任并且已经发生法律</w:t>
      </w:r>
      <w:r>
        <w:rPr>
          <w:spacing w:val="-4"/>
          <w:sz w:val="21"/>
        </w:rPr>
        <w:t>效力的；</w:t>
      </w:r>
    </w:p>
    <w:p>
      <w:pPr>
        <w:pStyle w:val="ListParagraph"/>
        <w:numPr>
          <w:ilvl w:val="0"/>
          <w:numId w:val="27"/>
        </w:numPr>
        <w:tabs>
          <w:tab w:pos="710" w:val="left" w:leader="none"/>
        </w:tabs>
        <w:spacing w:line="300" w:lineRule="auto" w:before="2" w:after="0"/>
        <w:ind w:left="177" w:right="1086" w:firstLine="0"/>
        <w:jc w:val="left"/>
        <w:rPr>
          <w:sz w:val="21"/>
        </w:rPr>
      </w:pPr>
      <w:r>
        <w:rPr>
          <w:spacing w:val="-2"/>
          <w:sz w:val="21"/>
        </w:rPr>
        <w:t>提供输血治疗的输血中心或我们认可的医院必须拥有合法经营执</w:t>
      </w:r>
      <w:r>
        <w:rPr>
          <w:spacing w:val="-6"/>
          <w:sz w:val="21"/>
        </w:rPr>
        <w:t>照；</w:t>
      </w:r>
    </w:p>
    <w:p>
      <w:pPr>
        <w:spacing w:after="0" w:line="300" w:lineRule="auto"/>
        <w:jc w:val="left"/>
        <w:rPr>
          <w:sz w:val="21"/>
        </w:rPr>
        <w:sectPr>
          <w:type w:val="continuous"/>
          <w:pgSz w:w="11910" w:h="16840"/>
          <w:pgMar w:header="0" w:footer="857" w:top="320" w:bottom="1040" w:left="1100" w:right="260"/>
          <w:cols w:num="2" w:equalWidth="0">
            <w:col w:w="2774" w:space="40"/>
            <w:col w:w="7736"/>
          </w:cols>
        </w:sectPr>
      </w:pPr>
    </w:p>
    <w:p>
      <w:pPr>
        <w:pStyle w:val="ListParagraph"/>
        <w:numPr>
          <w:ilvl w:val="0"/>
          <w:numId w:val="27"/>
        </w:numPr>
        <w:tabs>
          <w:tab w:pos="3520" w:val="left" w:leader="none"/>
        </w:tabs>
        <w:spacing w:line="240" w:lineRule="auto" w:before="55" w:after="0"/>
        <w:ind w:left="3519" w:right="0" w:hanging="530"/>
        <w:jc w:val="left"/>
        <w:rPr>
          <w:sz w:val="21"/>
        </w:rPr>
      </w:pPr>
      <w:r>
        <w:rPr>
          <w:spacing w:val="-3"/>
          <w:sz w:val="21"/>
        </w:rPr>
        <w:t>受感染的被保险人不是血友病患者。</w:t>
      </w:r>
    </w:p>
    <w:p>
      <w:pPr>
        <w:spacing w:line="300" w:lineRule="auto" w:before="67"/>
        <w:ind w:left="2990" w:right="1088" w:firstLine="0"/>
        <w:jc w:val="left"/>
        <w:rPr>
          <w:b/>
          <w:sz w:val="21"/>
        </w:rPr>
      </w:pPr>
      <w:r>
        <w:rPr>
          <w:b/>
          <w:spacing w:val="-4"/>
          <w:sz w:val="21"/>
        </w:rPr>
        <w:t>任何因其他传播方式（包括：性传播或静脉注射毒品）导致的感染艾滋</w:t>
      </w:r>
      <w:r>
        <w:rPr>
          <w:b/>
          <w:spacing w:val="-2"/>
          <w:sz w:val="21"/>
        </w:rPr>
        <w:t>病病毒或者患艾滋病不在本保障范围内。</w:t>
      </w:r>
    </w:p>
    <w:p>
      <w:pPr>
        <w:pStyle w:val="BodyText"/>
        <w:spacing w:line="300" w:lineRule="auto" w:before="2"/>
        <w:ind w:left="2990" w:right="1080"/>
      </w:pPr>
      <w:r>
        <w:rPr>
          <w:spacing w:val="2"/>
          <w:w w:val="100"/>
        </w:rPr>
        <w:t>我们拥有获得使用被保险人的血液样本的权利和能够对这些样本进行</w:t>
      </w:r>
      <w:r>
        <w:rPr>
          <w:spacing w:val="-3"/>
          <w:w w:val="100"/>
        </w:rPr>
        <w:t>独立检验的权利。</w:t>
      </w:r>
    </w:p>
    <w:p>
      <w:pPr>
        <w:spacing w:line="302" w:lineRule="auto" w:before="0"/>
        <w:ind w:left="2990" w:right="1087" w:firstLine="0"/>
        <w:jc w:val="left"/>
        <w:rPr>
          <w:b/>
          <w:sz w:val="21"/>
        </w:rPr>
      </w:pPr>
      <w:r>
        <w:rPr>
          <w:b/>
          <w:spacing w:val="-4"/>
          <w:sz w:val="21"/>
        </w:rPr>
        <w:t>我们公司承担本项疾病责任不受本合同条款 </w:t>
      </w:r>
      <w:r>
        <w:rPr>
          <w:b/>
          <w:spacing w:val="-2"/>
          <w:sz w:val="21"/>
        </w:rPr>
        <w:t>2.6“责任免除”中的“被</w:t>
      </w:r>
      <w:r>
        <w:rPr>
          <w:b/>
          <w:spacing w:val="-2"/>
          <w:sz w:val="21"/>
        </w:rPr>
        <w:t>保险人感染艾滋病病毒或患艾滋病”的限制。</w:t>
      </w:r>
    </w:p>
    <w:p>
      <w:pPr>
        <w:pStyle w:val="BodyText"/>
        <w:spacing w:before="4"/>
        <w:rPr>
          <w:b/>
          <w:sz w:val="22"/>
        </w:rPr>
      </w:pPr>
    </w:p>
    <w:p>
      <w:pPr>
        <w:pStyle w:val="BodyText"/>
        <w:spacing w:line="300" w:lineRule="auto"/>
        <w:ind w:left="2990" w:right="1041" w:hanging="2766"/>
        <w:jc w:val="both"/>
      </w:pPr>
      <w:r>
        <w:rPr/>
        <w:t>（三十一）持续植物人状态</w:t>
      </w:r>
      <w:r>
        <w:rPr>
          <w:spacing w:val="137"/>
          <w:w w:val="150"/>
        </w:rPr>
        <w:t> </w:t>
      </w:r>
      <w:r>
        <w:rPr/>
        <w:t>指因疾病或意外伤害导致被保险人躯体反射和自主反射全部丧失的深</w:t>
      </w:r>
      <w:r>
        <w:rPr>
          <w:spacing w:val="-2"/>
        </w:rPr>
        <w:t>昏迷，但呼吸和心跳是正常的，此时完全依赖支持疗法（如流质食物、</w:t>
      </w:r>
      <w:r>
        <w:rPr>
          <w:spacing w:val="-2"/>
        </w:rPr>
        <w:t>静脉注射营养液等）维持生命的临床状态。且须满足下列全部条件：</w:t>
      </w:r>
    </w:p>
    <w:p>
      <w:pPr>
        <w:pStyle w:val="ListParagraph"/>
        <w:numPr>
          <w:ilvl w:val="0"/>
          <w:numId w:val="28"/>
        </w:numPr>
        <w:tabs>
          <w:tab w:pos="3520" w:val="left" w:leader="none"/>
        </w:tabs>
        <w:spacing w:line="240" w:lineRule="auto" w:before="2" w:after="0"/>
        <w:ind w:left="3519" w:right="0" w:hanging="530"/>
        <w:jc w:val="left"/>
        <w:rPr>
          <w:sz w:val="21"/>
        </w:rPr>
      </w:pPr>
      <w:r>
        <w:rPr>
          <w:spacing w:val="-5"/>
          <w:sz w:val="21"/>
        </w:rPr>
        <w:t>诊断为植物人状态后并继续维持治疗 </w:t>
      </w:r>
      <w:r>
        <w:rPr>
          <w:spacing w:val="-2"/>
          <w:sz w:val="21"/>
        </w:rPr>
        <w:t>30</w:t>
      </w:r>
      <w:r>
        <w:rPr>
          <w:spacing w:val="-14"/>
          <w:sz w:val="21"/>
        </w:rPr>
        <w:t> 天以上；</w:t>
      </w:r>
    </w:p>
    <w:p>
      <w:pPr>
        <w:pStyle w:val="ListParagraph"/>
        <w:numPr>
          <w:ilvl w:val="0"/>
          <w:numId w:val="28"/>
        </w:numPr>
        <w:tabs>
          <w:tab w:pos="3520" w:val="left" w:leader="none"/>
        </w:tabs>
        <w:spacing w:line="240" w:lineRule="auto" w:before="69" w:after="0"/>
        <w:ind w:left="3519" w:right="0" w:hanging="530"/>
        <w:jc w:val="left"/>
        <w:rPr>
          <w:sz w:val="21"/>
        </w:rPr>
      </w:pPr>
      <w:r>
        <w:rPr>
          <w:spacing w:val="-18"/>
          <w:sz w:val="21"/>
        </w:rPr>
        <w:t>治疗 </w:t>
      </w:r>
      <w:r>
        <w:rPr>
          <w:spacing w:val="-2"/>
          <w:sz w:val="21"/>
        </w:rPr>
        <w:t>30</w:t>
      </w:r>
      <w:r>
        <w:rPr>
          <w:spacing w:val="-10"/>
          <w:sz w:val="21"/>
        </w:rPr>
        <w:t> 天前后的脑电图检查呈杂散的波形。</w:t>
      </w:r>
    </w:p>
    <w:p>
      <w:pPr>
        <w:spacing w:before="67"/>
        <w:ind w:left="2990" w:right="0" w:firstLine="0"/>
        <w:jc w:val="left"/>
        <w:rPr>
          <w:b/>
          <w:sz w:val="21"/>
        </w:rPr>
      </w:pPr>
      <w:r>
        <w:rPr>
          <w:b/>
          <w:spacing w:val="-3"/>
          <w:sz w:val="21"/>
        </w:rPr>
        <w:t>由于酗酒或滥用药物所致的植物人状态不在本保障范围内。</w:t>
      </w:r>
    </w:p>
    <w:p>
      <w:pPr>
        <w:pStyle w:val="BodyText"/>
        <w:spacing w:before="9"/>
        <w:rPr>
          <w:b/>
          <w:sz w:val="25"/>
        </w:rPr>
      </w:pPr>
    </w:p>
    <w:p>
      <w:pPr>
        <w:spacing w:after="0"/>
        <w:rPr>
          <w:sz w:val="25"/>
        </w:rPr>
        <w:sectPr>
          <w:pgSz w:w="11910" w:h="16840"/>
          <w:pgMar w:header="0" w:footer="857" w:top="1380" w:bottom="1180" w:left="1100" w:right="260"/>
        </w:sectPr>
      </w:pPr>
    </w:p>
    <w:p>
      <w:pPr>
        <w:pStyle w:val="BodyText"/>
        <w:spacing w:line="300" w:lineRule="auto" w:before="71"/>
        <w:ind w:left="225"/>
      </w:pPr>
      <w:r>
        <w:rPr>
          <w:spacing w:val="-2"/>
        </w:rPr>
        <w:t>（三十二）严重系统性红斑</w:t>
      </w:r>
      <w:r>
        <w:rPr>
          <w:spacing w:val="-2"/>
        </w:rPr>
        <w:t>狼疮性肾炎</w:t>
      </w:r>
    </w:p>
    <w:p>
      <w:pPr>
        <w:pStyle w:val="BodyText"/>
        <w:spacing w:line="300" w:lineRule="auto" w:before="71"/>
        <w:ind w:left="176" w:right="1084"/>
        <w:jc w:val="both"/>
      </w:pPr>
      <w:r>
        <w:rPr/>
        <w:br w:type="column"/>
      </w:r>
      <w:r>
        <w:rPr>
          <w:spacing w:val="-2"/>
        </w:rPr>
        <w:t>狼疮性肾炎是系统性红斑狼疮的一种并发症。系统性红斑狼疮是由多种</w:t>
      </w:r>
      <w:r>
        <w:rPr>
          <w:spacing w:val="-2"/>
        </w:rPr>
        <w:t>因素引起，累及多系统的自身免疫性疾病。其特点是生成自身抗体对抗</w:t>
      </w:r>
      <w:r>
        <w:rPr>
          <w:spacing w:val="-2"/>
        </w:rPr>
        <w:t>多种自身抗原。</w:t>
      </w:r>
    </w:p>
    <w:p>
      <w:pPr>
        <w:spacing w:line="300" w:lineRule="auto" w:before="2"/>
        <w:ind w:left="176" w:right="1015" w:firstLine="0"/>
        <w:jc w:val="both"/>
        <w:rPr>
          <w:sz w:val="21"/>
        </w:rPr>
      </w:pPr>
      <w:r>
        <w:rPr>
          <w:spacing w:val="-2"/>
          <w:sz w:val="21"/>
        </w:rPr>
        <w:t>本合同所指的系统性红斑狼疮仅限于累及肾脏（指经肾脏活检确认的，</w:t>
      </w:r>
      <w:r>
        <w:rPr>
          <w:spacing w:val="-10"/>
          <w:sz w:val="21"/>
        </w:rPr>
        <w:t>符合 </w:t>
      </w:r>
      <w:r>
        <w:rPr>
          <w:spacing w:val="-2"/>
          <w:sz w:val="21"/>
        </w:rPr>
        <w:t>WHO</w:t>
      </w:r>
      <w:r>
        <w:rPr>
          <w:spacing w:val="-7"/>
          <w:sz w:val="21"/>
        </w:rPr>
        <w:t> 诊断标准定义Ⅲ型、Ⅳ型、Ⅴ型和Ⅵ型的狼疮性肾炎</w:t>
      </w:r>
      <w:r>
        <w:rPr>
          <w:spacing w:val="-2"/>
          <w:sz w:val="21"/>
        </w:rPr>
        <w:t>）的系统</w:t>
      </w:r>
      <w:r>
        <w:rPr>
          <w:spacing w:val="-2"/>
          <w:sz w:val="21"/>
        </w:rPr>
        <w:t>性红斑狼疮。该疾病必须由免疫或风湿科专科医生确诊。</w:t>
      </w:r>
      <w:r>
        <w:rPr>
          <w:b/>
          <w:spacing w:val="-2"/>
          <w:sz w:val="21"/>
        </w:rPr>
        <w:t>其他类型的红</w:t>
      </w:r>
      <w:r>
        <w:rPr>
          <w:b/>
          <w:spacing w:val="-2"/>
          <w:sz w:val="21"/>
        </w:rPr>
        <w:t>斑性狼疮，如盘状狼疮、仅累及血液及关节的狼疮不在本保障范围内。</w:t>
      </w:r>
      <w:r>
        <w:rPr>
          <w:spacing w:val="-2"/>
          <w:sz w:val="21"/>
        </w:rPr>
        <w:t>世界卫生组织（WHO）狼疮性肾炎分型：</w:t>
      </w:r>
    </w:p>
    <w:p>
      <w:pPr>
        <w:pStyle w:val="BodyText"/>
        <w:spacing w:line="300" w:lineRule="auto" w:before="3"/>
        <w:ind w:left="176" w:right="5976"/>
      </w:pPr>
      <w:r>
        <w:rPr>
          <w:spacing w:val="-5"/>
        </w:rPr>
        <w:t>Ⅰ型 微小病变型</w:t>
      </w:r>
      <w:r>
        <w:rPr/>
        <w:t> </w:t>
      </w:r>
      <w:r>
        <w:rPr>
          <w:spacing w:val="-4"/>
        </w:rPr>
        <w:t>Ⅱ型 系膜病变型</w:t>
      </w:r>
    </w:p>
    <w:p>
      <w:pPr>
        <w:pStyle w:val="BodyText"/>
        <w:spacing w:line="300" w:lineRule="auto"/>
        <w:ind w:left="176" w:right="5345"/>
      </w:pPr>
      <w:r>
        <w:rPr>
          <w:spacing w:val="-5"/>
        </w:rPr>
        <w:t>Ⅲ型 局灶及节段增生型</w:t>
      </w:r>
      <w:r>
        <w:rPr/>
        <w:t> Ⅳ型 弥漫增生型</w:t>
      </w:r>
    </w:p>
    <w:p>
      <w:pPr>
        <w:pStyle w:val="BodyText"/>
        <w:spacing w:before="1"/>
        <w:ind w:left="176"/>
      </w:pPr>
      <w:r>
        <w:rPr>
          <w:spacing w:val="-3"/>
        </w:rPr>
        <w:t>Ⅴ型 膜型</w:t>
      </w:r>
    </w:p>
    <w:p>
      <w:pPr>
        <w:pStyle w:val="BodyText"/>
        <w:spacing w:before="67"/>
        <w:ind w:left="176"/>
      </w:pPr>
      <w:r>
        <w:rPr>
          <w:spacing w:val="-4"/>
        </w:rPr>
        <w:t>Ⅵ型 肾小球硬化型</w:t>
      </w:r>
    </w:p>
    <w:p>
      <w:pPr>
        <w:spacing w:after="0"/>
        <w:sectPr>
          <w:type w:val="continuous"/>
          <w:pgSz w:w="11910" w:h="16840"/>
          <w:pgMar w:header="0" w:footer="857" w:top="320" w:bottom="1040" w:left="1100" w:right="260"/>
          <w:cols w:num="2" w:equalWidth="0">
            <w:col w:w="2774" w:space="40"/>
            <w:col w:w="7736"/>
          </w:cols>
        </w:sectPr>
      </w:pPr>
    </w:p>
    <w:p>
      <w:pPr>
        <w:pStyle w:val="BodyText"/>
        <w:spacing w:before="12"/>
        <w:rPr>
          <w:sz w:val="25"/>
        </w:rPr>
      </w:pPr>
    </w:p>
    <w:p>
      <w:pPr>
        <w:spacing w:after="0"/>
        <w:rPr>
          <w:sz w:val="25"/>
        </w:rPr>
        <w:sectPr>
          <w:type w:val="continuous"/>
          <w:pgSz w:w="11910" w:h="16840"/>
          <w:pgMar w:header="0" w:footer="857" w:top="320" w:bottom="1040" w:left="1100" w:right="260"/>
        </w:sectPr>
      </w:pPr>
    </w:p>
    <w:p>
      <w:pPr>
        <w:pStyle w:val="BodyText"/>
        <w:spacing w:line="297" w:lineRule="auto" w:before="72"/>
        <w:ind w:left="225"/>
      </w:pPr>
      <w:r>
        <w:rPr>
          <w:spacing w:val="-2"/>
        </w:rPr>
        <w:t>（三十三）胰岛素依赖型糖</w:t>
      </w:r>
      <w:r>
        <w:rPr>
          <w:spacing w:val="-2"/>
        </w:rPr>
        <w:t>尿病（Ｉ型糖尿病）</w:t>
      </w:r>
    </w:p>
    <w:p>
      <w:pPr>
        <w:pStyle w:val="BodyText"/>
        <w:spacing w:line="300" w:lineRule="auto" w:before="72"/>
        <w:ind w:left="178" w:right="1088"/>
      </w:pPr>
      <w:r>
        <w:rPr/>
        <w:br w:type="column"/>
      </w:r>
      <w:r>
        <w:rPr>
          <w:spacing w:val="-2"/>
        </w:rPr>
        <w:t>经内分泌专科医生明确诊断为胰岛素依赖型糖尿病（Ｉ型糖尿病</w:t>
      </w:r>
      <w:r>
        <w:rPr>
          <w:spacing w:val="-106"/>
        </w:rPr>
        <w:t>）</w:t>
      </w:r>
      <w:r>
        <w:rPr>
          <w:spacing w:val="-1"/>
        </w:rPr>
        <w:t>，且</w:t>
      </w:r>
      <w:r>
        <w:rPr>
          <w:spacing w:val="-2"/>
        </w:rPr>
        <w:t>须同时满足下列条件：</w:t>
      </w:r>
    </w:p>
    <w:p>
      <w:pPr>
        <w:pStyle w:val="ListParagraph"/>
        <w:numPr>
          <w:ilvl w:val="0"/>
          <w:numId w:val="29"/>
        </w:numPr>
        <w:tabs>
          <w:tab w:pos="708" w:val="left" w:leader="none"/>
        </w:tabs>
        <w:spacing w:line="268" w:lineRule="exact" w:before="0" w:after="0"/>
        <w:ind w:left="707" w:right="0" w:hanging="530"/>
        <w:jc w:val="left"/>
        <w:rPr>
          <w:sz w:val="21"/>
        </w:rPr>
      </w:pPr>
      <w:r>
        <w:rPr>
          <w:spacing w:val="-5"/>
          <w:sz w:val="21"/>
        </w:rPr>
        <w:t>必须持续性地依赖外源性胰岛素维持生命至少 </w:t>
      </w:r>
      <w:r>
        <w:rPr>
          <w:spacing w:val="-2"/>
          <w:sz w:val="21"/>
        </w:rPr>
        <w:t>180</w:t>
      </w:r>
      <w:r>
        <w:rPr>
          <w:spacing w:val="-19"/>
          <w:sz w:val="21"/>
        </w:rPr>
        <w:t> 天；</w:t>
      </w:r>
    </w:p>
    <w:p>
      <w:pPr>
        <w:pStyle w:val="ListParagraph"/>
        <w:numPr>
          <w:ilvl w:val="0"/>
          <w:numId w:val="29"/>
        </w:numPr>
        <w:tabs>
          <w:tab w:pos="708" w:val="left" w:leader="none"/>
        </w:tabs>
        <w:spacing w:line="240" w:lineRule="auto" w:before="66" w:after="0"/>
        <w:ind w:left="707" w:right="0" w:hanging="530"/>
        <w:jc w:val="left"/>
        <w:rPr>
          <w:sz w:val="21"/>
        </w:rPr>
      </w:pPr>
      <w:r>
        <w:rPr>
          <w:spacing w:val="3"/>
          <w:sz w:val="21"/>
        </w:rPr>
        <w:t>血胰岛素测定、血</w:t>
      </w:r>
      <w:r>
        <w:rPr>
          <w:sz w:val="21"/>
        </w:rPr>
        <w:t>C</w:t>
      </w:r>
      <w:r>
        <w:rPr>
          <w:spacing w:val="-17"/>
          <w:sz w:val="21"/>
        </w:rPr>
        <w:t> 肽测定或尿 </w:t>
      </w:r>
      <w:r>
        <w:rPr>
          <w:sz w:val="21"/>
        </w:rPr>
        <w:t>C</w:t>
      </w:r>
      <w:r>
        <w:rPr>
          <w:spacing w:val="-9"/>
          <w:sz w:val="21"/>
        </w:rPr>
        <w:t> 肽测定结果异常；</w:t>
      </w:r>
    </w:p>
    <w:p>
      <w:pPr>
        <w:pStyle w:val="ListParagraph"/>
        <w:numPr>
          <w:ilvl w:val="0"/>
          <w:numId w:val="29"/>
        </w:numPr>
        <w:tabs>
          <w:tab w:pos="708" w:val="left" w:leader="none"/>
        </w:tabs>
        <w:spacing w:line="240" w:lineRule="auto" w:before="70" w:after="0"/>
        <w:ind w:left="707" w:right="0" w:hanging="530"/>
        <w:jc w:val="left"/>
        <w:rPr>
          <w:sz w:val="21"/>
        </w:rPr>
      </w:pPr>
      <w:r>
        <w:rPr>
          <w:spacing w:val="-3"/>
          <w:sz w:val="21"/>
        </w:rPr>
        <w:t>出现下述三种并发症之一或一种以上：</w:t>
      </w:r>
    </w:p>
    <w:p>
      <w:pPr>
        <w:pStyle w:val="BodyText"/>
        <w:spacing w:before="67"/>
        <w:ind w:left="598"/>
      </w:pPr>
      <w:r>
        <w:rPr>
          <w:spacing w:val="-1"/>
        </w:rPr>
        <w:t>① 并发增殖性视网膜病变；</w:t>
      </w:r>
    </w:p>
    <w:p>
      <w:pPr>
        <w:pStyle w:val="BodyText"/>
        <w:spacing w:before="67"/>
        <w:ind w:left="598"/>
      </w:pPr>
      <w:r>
        <w:rPr>
          <w:spacing w:val="-1"/>
        </w:rPr>
        <w:t>② 并发心脏病变，并须植入心脏起搏器进行治疗；</w:t>
      </w:r>
    </w:p>
    <w:p>
      <w:pPr>
        <w:pStyle w:val="BodyText"/>
        <w:spacing w:before="69"/>
        <w:ind w:left="598"/>
      </w:pPr>
      <w:r>
        <w:rPr>
          <w:spacing w:val="-1"/>
        </w:rPr>
        <w:t>③ 至少一个脚趾发生坏疽并已达到手术切除指征。</w:t>
      </w:r>
    </w:p>
    <w:p>
      <w:pPr>
        <w:spacing w:after="0"/>
        <w:sectPr>
          <w:type w:val="continuous"/>
          <w:pgSz w:w="11910" w:h="16840"/>
          <w:pgMar w:header="0" w:footer="857" w:top="320" w:bottom="1040" w:left="1100" w:right="260"/>
          <w:cols w:num="2" w:equalWidth="0">
            <w:col w:w="2773" w:space="40"/>
            <w:col w:w="7737"/>
          </w:cols>
        </w:sectPr>
      </w:pPr>
    </w:p>
    <w:p>
      <w:pPr>
        <w:pStyle w:val="BodyText"/>
        <w:spacing w:before="9"/>
        <w:rPr>
          <w:sz w:val="25"/>
        </w:rPr>
      </w:pPr>
    </w:p>
    <w:p>
      <w:pPr>
        <w:pStyle w:val="BodyText"/>
        <w:tabs>
          <w:tab w:pos="2990" w:val="left" w:leader="none"/>
        </w:tabs>
        <w:spacing w:line="300" w:lineRule="auto" w:before="72"/>
        <w:ind w:left="2990" w:right="1039" w:hanging="2766"/>
      </w:pPr>
      <w:r>
        <w:rPr>
          <w:spacing w:val="-2"/>
        </w:rPr>
        <w:t>（</w:t>
      </w:r>
      <w:r>
        <w:rPr>
          <w:spacing w:val="-2"/>
        </w:rPr>
        <w:t>三</w:t>
      </w:r>
      <w:r>
        <w:rPr>
          <w:spacing w:val="-2"/>
        </w:rPr>
        <w:t>十四）原发性心</w:t>
      </w:r>
      <w:r>
        <w:rPr>
          <w:spacing w:val="-2"/>
        </w:rPr>
        <w:t>肌</w:t>
      </w:r>
      <w:r>
        <w:rPr>
          <w:spacing w:val="-2"/>
        </w:rPr>
        <w:t>病</w:t>
      </w:r>
      <w:r>
        <w:rPr/>
        <w:tab/>
      </w:r>
      <w:r>
        <w:rPr>
          <w:spacing w:val="-2"/>
        </w:rPr>
        <w:t>指</w:t>
      </w:r>
      <w:r>
        <w:rPr>
          <w:spacing w:val="-2"/>
        </w:rPr>
        <w:t>不</w:t>
      </w:r>
      <w:r>
        <w:rPr>
          <w:spacing w:val="-2"/>
        </w:rPr>
        <w:t>明原因引起的一类心</w:t>
      </w:r>
      <w:r>
        <w:rPr>
          <w:spacing w:val="-2"/>
        </w:rPr>
        <w:t>肌</w:t>
      </w:r>
      <w:r>
        <w:rPr>
          <w:spacing w:val="-2"/>
        </w:rPr>
        <w:t>病</w:t>
      </w:r>
      <w:r>
        <w:rPr>
          <w:spacing w:val="-2"/>
        </w:rPr>
        <w:t>变，包括原发性扩张</w:t>
      </w:r>
      <w:r>
        <w:rPr>
          <w:spacing w:val="-2"/>
        </w:rPr>
        <w:t>型</w:t>
      </w:r>
      <w:r>
        <w:rPr>
          <w:spacing w:val="-2"/>
        </w:rPr>
        <w:t>心</w:t>
      </w:r>
      <w:r>
        <w:rPr>
          <w:spacing w:val="-2"/>
        </w:rPr>
        <w:t>肌病、原发</w:t>
      </w:r>
      <w:r>
        <w:rPr>
          <w:spacing w:val="-2"/>
        </w:rPr>
        <w:t>性</w:t>
      </w:r>
      <w:r>
        <w:rPr>
          <w:spacing w:val="-2"/>
        </w:rPr>
        <w:t>肥</w:t>
      </w:r>
      <w:r>
        <w:rPr>
          <w:spacing w:val="-2"/>
        </w:rPr>
        <w:t>厚</w:t>
      </w:r>
      <w:r>
        <w:rPr>
          <w:spacing w:val="-2"/>
        </w:rPr>
        <w:t>型</w:t>
      </w:r>
      <w:r>
        <w:rPr>
          <w:spacing w:val="-2"/>
        </w:rPr>
        <w:t>心肌病及原发性限制</w:t>
      </w:r>
      <w:r>
        <w:rPr>
          <w:spacing w:val="-2"/>
        </w:rPr>
        <w:t>型</w:t>
      </w:r>
      <w:r>
        <w:rPr>
          <w:spacing w:val="-2"/>
        </w:rPr>
        <w:t>心</w:t>
      </w:r>
      <w:r>
        <w:rPr>
          <w:spacing w:val="-2"/>
        </w:rPr>
        <w:t>肌病三种，必须经心</w:t>
      </w:r>
      <w:r>
        <w:rPr>
          <w:spacing w:val="-2"/>
        </w:rPr>
        <w:t>电</w:t>
      </w:r>
      <w:r>
        <w:rPr>
          <w:spacing w:val="-2"/>
        </w:rPr>
        <w:t>图</w:t>
      </w:r>
      <w:r>
        <w:rPr>
          <w:spacing w:val="-2"/>
        </w:rPr>
        <w:t>、超声心</w:t>
      </w:r>
      <w:r>
        <w:rPr>
          <w:spacing w:val="-2"/>
        </w:rPr>
        <w:t>动</w:t>
      </w:r>
      <w:r>
        <w:rPr>
          <w:spacing w:val="-2"/>
        </w:rPr>
        <w:t>图</w:t>
      </w:r>
      <w:r>
        <w:rPr>
          <w:spacing w:val="-2"/>
        </w:rPr>
        <w:t>、</w:t>
      </w:r>
    </w:p>
    <w:p>
      <w:pPr>
        <w:spacing w:after="0" w:line="300" w:lineRule="auto"/>
        <w:sectPr>
          <w:type w:val="continuous"/>
          <w:pgSz w:w="11910" w:h="16840"/>
          <w:pgMar w:header="0" w:footer="857" w:top="320" w:bottom="1040" w:left="1100" w:right="260"/>
        </w:sectPr>
      </w:pPr>
    </w:p>
    <w:p>
      <w:pPr>
        <w:pStyle w:val="BodyText"/>
        <w:spacing w:before="55"/>
        <w:ind w:left="2990"/>
        <w:jc w:val="both"/>
      </w:pPr>
      <w:r>
        <w:rPr>
          <w:spacing w:val="-2"/>
        </w:rPr>
        <w:t>X</w:t>
      </w:r>
      <w:r>
        <w:rPr>
          <w:spacing w:val="-9"/>
        </w:rPr>
        <w:t> 线检查等证实符合原发性心肌病表现，且同时满足下列条件：</w:t>
      </w:r>
    </w:p>
    <w:p>
      <w:pPr>
        <w:pStyle w:val="ListParagraph"/>
        <w:numPr>
          <w:ilvl w:val="0"/>
          <w:numId w:val="30"/>
        </w:numPr>
        <w:tabs>
          <w:tab w:pos="3520" w:val="left" w:leader="none"/>
        </w:tabs>
        <w:spacing w:line="240" w:lineRule="auto" w:before="67" w:after="0"/>
        <w:ind w:left="3519" w:right="0" w:hanging="530"/>
        <w:jc w:val="both"/>
        <w:rPr>
          <w:sz w:val="21"/>
        </w:rPr>
      </w:pPr>
      <w:r>
        <w:rPr>
          <w:spacing w:val="-6"/>
          <w:sz w:val="21"/>
        </w:rPr>
        <w:t>左室射血分数持续性低于 </w:t>
      </w:r>
      <w:r>
        <w:rPr>
          <w:spacing w:val="-4"/>
          <w:sz w:val="21"/>
        </w:rPr>
        <w:t>40％；</w:t>
      </w:r>
    </w:p>
    <w:p>
      <w:pPr>
        <w:pStyle w:val="ListParagraph"/>
        <w:numPr>
          <w:ilvl w:val="0"/>
          <w:numId w:val="30"/>
        </w:numPr>
        <w:tabs>
          <w:tab w:pos="3524" w:val="left" w:leader="none"/>
        </w:tabs>
        <w:spacing w:line="300" w:lineRule="auto" w:before="67" w:after="0"/>
        <w:ind w:left="2990" w:right="1082" w:firstLine="0"/>
        <w:jc w:val="both"/>
        <w:rPr>
          <w:sz w:val="21"/>
        </w:rPr>
      </w:pPr>
      <w:r>
        <w:rPr>
          <w:spacing w:val="-2"/>
          <w:sz w:val="21"/>
        </w:rPr>
        <w:t>病变已造成事实上心室功能障碍而出现明显的心功能衰竭，达到</w:t>
      </w:r>
      <w:r>
        <w:rPr>
          <w:sz w:val="21"/>
        </w:rPr>
        <w:t>美国纽约心脏病学会（New</w:t>
      </w:r>
      <w:r>
        <w:rPr>
          <w:spacing w:val="-25"/>
          <w:sz w:val="21"/>
        </w:rPr>
        <w:t> </w:t>
      </w:r>
      <w:r>
        <w:rPr>
          <w:sz w:val="21"/>
        </w:rPr>
        <w:t>York</w:t>
      </w:r>
      <w:r>
        <w:rPr>
          <w:spacing w:val="-25"/>
          <w:sz w:val="21"/>
        </w:rPr>
        <w:t> </w:t>
      </w:r>
      <w:r>
        <w:rPr>
          <w:sz w:val="21"/>
        </w:rPr>
        <w:t>Heart</w:t>
      </w:r>
      <w:r>
        <w:rPr>
          <w:spacing w:val="-25"/>
          <w:sz w:val="21"/>
        </w:rPr>
        <w:t> </w:t>
      </w:r>
      <w:r>
        <w:rPr>
          <w:sz w:val="21"/>
        </w:rPr>
        <w:t>Association，NYHA）心功能状</w:t>
      </w:r>
      <w:r>
        <w:rPr>
          <w:w w:val="95"/>
          <w:sz w:val="21"/>
        </w:rPr>
        <w:t>态分级 IV 级，且有相关住</w:t>
      </w:r>
      <w:r>
        <w:rPr>
          <w:w w:val="95"/>
          <w:sz w:val="21"/>
        </w:rPr>
        <w:t>院</w:t>
      </w:r>
      <w:r>
        <w:rPr>
          <w:w w:val="95"/>
          <w:sz w:val="21"/>
        </w:rPr>
        <w:t>医</w:t>
      </w:r>
      <w:r>
        <w:rPr>
          <w:w w:val="95"/>
          <w:sz w:val="21"/>
        </w:rPr>
        <w:t>疗记录显示 IV 级心功</w:t>
      </w:r>
      <w:r>
        <w:rPr>
          <w:w w:val="95"/>
          <w:sz w:val="21"/>
        </w:rPr>
        <w:t>能</w:t>
      </w:r>
      <w:r>
        <w:rPr>
          <w:w w:val="95"/>
          <w:sz w:val="21"/>
        </w:rPr>
        <w:t>衰</w:t>
      </w:r>
      <w:r>
        <w:rPr>
          <w:w w:val="95"/>
          <w:sz w:val="21"/>
        </w:rPr>
        <w:t>竭状态持续至</w:t>
      </w:r>
      <w:r>
        <w:rPr>
          <w:spacing w:val="-11"/>
          <w:sz w:val="21"/>
        </w:rPr>
        <w:t>少 </w:t>
      </w:r>
      <w:r>
        <w:rPr>
          <w:sz w:val="21"/>
        </w:rPr>
        <w:t>180</w:t>
      </w:r>
      <w:r>
        <w:rPr>
          <w:spacing w:val="-9"/>
          <w:sz w:val="21"/>
        </w:rPr>
        <w:t> 天。</w:t>
      </w:r>
    </w:p>
    <w:p>
      <w:pPr>
        <w:spacing w:line="300" w:lineRule="auto" w:before="3"/>
        <w:ind w:left="2990" w:right="1084" w:firstLine="0"/>
        <w:jc w:val="left"/>
        <w:rPr>
          <w:b/>
          <w:sz w:val="21"/>
        </w:rPr>
      </w:pPr>
      <w:r>
        <w:rPr>
          <w:spacing w:val="-7"/>
          <w:sz w:val="21"/>
        </w:rPr>
        <w:t>本病须经专科医生明确诊断。</w:t>
      </w:r>
      <w:r>
        <w:rPr>
          <w:b/>
          <w:spacing w:val="-2"/>
          <w:sz w:val="21"/>
        </w:rPr>
        <w:t>继发于全身性疾病或其他器官系统疾病造</w:t>
      </w:r>
      <w:r>
        <w:rPr>
          <w:b/>
          <w:spacing w:val="-2"/>
          <w:sz w:val="21"/>
        </w:rPr>
        <w:t>成的心肌病变除外。</w:t>
      </w:r>
    </w:p>
    <w:p>
      <w:pPr>
        <w:pStyle w:val="BodyText"/>
        <w:rPr>
          <w:b/>
          <w:sz w:val="26"/>
        </w:rPr>
      </w:pPr>
    </w:p>
    <w:p>
      <w:pPr>
        <w:pStyle w:val="BodyText"/>
        <w:spacing w:line="300" w:lineRule="auto"/>
        <w:ind w:left="2990" w:right="1084" w:hanging="2766"/>
        <w:jc w:val="both"/>
      </w:pPr>
      <w:r>
        <w:rPr/>
        <w:t>（三十五）</w:t>
      </w:r>
      <w:r>
        <w:rPr>
          <w:spacing w:val="2"/>
        </w:rPr>
        <w:t>重症肌无力 指一种神经与肌肉接头部位传递障碍的自身免疫性疾病，临床特征是局</w:t>
      </w:r>
      <w:r>
        <w:rPr>
          <w:spacing w:val="-2"/>
        </w:rPr>
        <w:t>部或全身横纹肌于活动时易于疲劳无力，颅神经眼外肌最易累及，也可</w:t>
      </w:r>
      <w:r>
        <w:rPr>
          <w:spacing w:val="-2"/>
        </w:rPr>
        <w:t>涉及呼吸肌、下肢近端肌群乃至全身肌肉，须经神经专科医生确诊。其</w:t>
      </w:r>
      <w:r>
        <w:rPr>
          <w:spacing w:val="-2"/>
        </w:rPr>
        <w:t>诊断必须同时具有下列情况：</w:t>
      </w:r>
    </w:p>
    <w:p>
      <w:pPr>
        <w:pStyle w:val="ListParagraph"/>
        <w:numPr>
          <w:ilvl w:val="0"/>
          <w:numId w:val="31"/>
        </w:numPr>
        <w:tabs>
          <w:tab w:pos="3520" w:val="left" w:leader="none"/>
        </w:tabs>
        <w:spacing w:line="240" w:lineRule="auto" w:before="4" w:after="0"/>
        <w:ind w:left="3519" w:right="0" w:hanging="530"/>
        <w:jc w:val="left"/>
        <w:rPr>
          <w:sz w:val="21"/>
        </w:rPr>
      </w:pPr>
      <w:r>
        <w:rPr>
          <w:spacing w:val="-3"/>
          <w:sz w:val="21"/>
        </w:rPr>
        <w:t>经药物治疗和胸腺切除治疗一年以上仍无法控制病情；</w:t>
      </w:r>
    </w:p>
    <w:p>
      <w:pPr>
        <w:pStyle w:val="ListParagraph"/>
        <w:numPr>
          <w:ilvl w:val="0"/>
          <w:numId w:val="31"/>
        </w:numPr>
        <w:tabs>
          <w:tab w:pos="3524" w:val="left" w:leader="none"/>
        </w:tabs>
        <w:spacing w:line="300" w:lineRule="auto" w:before="67" w:after="0"/>
        <w:ind w:left="2990" w:right="1088" w:firstLine="0"/>
        <w:jc w:val="left"/>
        <w:rPr>
          <w:sz w:val="21"/>
        </w:rPr>
      </w:pPr>
      <w:r>
        <w:rPr>
          <w:spacing w:val="-2"/>
          <w:sz w:val="21"/>
        </w:rPr>
        <w:t>自主生活能力完全丧失，无法独立完成六项基本日常生活活动中</w:t>
      </w:r>
      <w:r>
        <w:rPr>
          <w:spacing w:val="-2"/>
          <w:sz w:val="21"/>
        </w:rPr>
        <w:t>的三项或三项以上。</w:t>
      </w:r>
    </w:p>
    <w:p>
      <w:pPr>
        <w:pStyle w:val="BodyText"/>
        <w:spacing w:before="8"/>
        <w:rPr>
          <w:sz w:val="20"/>
        </w:rPr>
      </w:pPr>
    </w:p>
    <w:p>
      <w:pPr>
        <w:spacing w:after="0"/>
        <w:rPr>
          <w:sz w:val="20"/>
        </w:rPr>
        <w:sectPr>
          <w:pgSz w:w="11910" w:h="16840"/>
          <w:pgMar w:header="0" w:footer="857" w:top="1380" w:bottom="1180" w:left="1100" w:right="260"/>
        </w:sectPr>
      </w:pPr>
    </w:p>
    <w:p>
      <w:pPr>
        <w:pStyle w:val="BodyText"/>
        <w:spacing w:line="297" w:lineRule="auto" w:before="71"/>
        <w:ind w:left="225"/>
      </w:pPr>
      <w:r>
        <w:rPr>
          <w:spacing w:val="-2"/>
        </w:rPr>
        <w:t>（三十六）急性坏死性胰腺</w:t>
      </w:r>
      <w:r>
        <w:rPr>
          <w:spacing w:val="-10"/>
        </w:rPr>
        <w:t>炎</w:t>
      </w:r>
    </w:p>
    <w:p>
      <w:pPr>
        <w:pStyle w:val="BodyText"/>
        <w:spacing w:line="300" w:lineRule="auto" w:before="71"/>
        <w:ind w:left="177" w:right="1084"/>
        <w:jc w:val="both"/>
      </w:pPr>
      <w:r>
        <w:rPr/>
        <w:br w:type="column"/>
      </w:r>
      <w:r>
        <w:rPr>
          <w:spacing w:val="-2"/>
        </w:rPr>
        <w:t>指胰酶在胰腺内激活后引起胰腺组织自身消化的急性化学性炎症。该病</w:t>
      </w:r>
      <w:r>
        <w:rPr>
          <w:spacing w:val="-2"/>
        </w:rPr>
        <w:t>须经我们认可的医院的专科医生明确诊断，并已经实际实施了坏死组织</w:t>
      </w:r>
      <w:r>
        <w:rPr>
          <w:spacing w:val="-2"/>
        </w:rPr>
        <w:t>清除、坏死病灶切除或胰腺切除的手术治疗。</w:t>
      </w:r>
    </w:p>
    <w:p>
      <w:pPr>
        <w:spacing w:line="302" w:lineRule="auto" w:before="0"/>
        <w:ind w:left="177" w:right="1082" w:firstLine="0"/>
        <w:jc w:val="left"/>
        <w:rPr>
          <w:b/>
          <w:sz w:val="21"/>
        </w:rPr>
      </w:pPr>
      <w:r>
        <w:rPr>
          <w:b/>
          <w:spacing w:val="2"/>
          <w:w w:val="100"/>
          <w:sz w:val="21"/>
        </w:rPr>
        <w:t>因饮酒所致的急性出血坏死性胰腺炎或经腹腔镜手术进行的治疗不在</w:t>
      </w:r>
      <w:r>
        <w:rPr>
          <w:b/>
          <w:w w:val="100"/>
          <w:sz w:val="21"/>
        </w:rPr>
        <w:t>本保障范围内。</w:t>
      </w:r>
    </w:p>
    <w:p>
      <w:pPr>
        <w:spacing w:after="0" w:line="302" w:lineRule="auto"/>
        <w:jc w:val="left"/>
        <w:rPr>
          <w:sz w:val="21"/>
        </w:rPr>
        <w:sectPr>
          <w:type w:val="continuous"/>
          <w:pgSz w:w="11910" w:h="16840"/>
          <w:pgMar w:header="0" w:footer="857" w:top="320" w:bottom="1040" w:left="1100" w:right="260"/>
          <w:cols w:num="2" w:equalWidth="0">
            <w:col w:w="2774" w:space="40"/>
            <w:col w:w="7736"/>
          </w:cols>
        </w:sectPr>
      </w:pPr>
    </w:p>
    <w:p>
      <w:pPr>
        <w:pStyle w:val="BodyText"/>
        <w:spacing w:before="9"/>
        <w:rPr>
          <w:b/>
          <w:sz w:val="23"/>
        </w:rPr>
      </w:pPr>
    </w:p>
    <w:p>
      <w:pPr>
        <w:pStyle w:val="BodyText"/>
        <w:tabs>
          <w:tab w:pos="2990" w:val="left" w:leader="none"/>
        </w:tabs>
        <w:spacing w:before="71"/>
        <w:ind w:left="225"/>
      </w:pPr>
      <w:r>
        <w:rPr>
          <w:spacing w:val="-2"/>
        </w:rPr>
        <w:t>（</w:t>
      </w:r>
      <w:r>
        <w:rPr>
          <w:spacing w:val="-2"/>
        </w:rPr>
        <w:t>三</w:t>
      </w:r>
      <w:r>
        <w:rPr>
          <w:spacing w:val="-2"/>
        </w:rPr>
        <w:t>十七）坏死性筋</w:t>
      </w:r>
      <w:r>
        <w:rPr>
          <w:spacing w:val="-2"/>
        </w:rPr>
        <w:t>膜</w:t>
      </w:r>
      <w:r>
        <w:rPr>
          <w:spacing w:val="-10"/>
        </w:rPr>
        <w:t>炎</w:t>
      </w:r>
      <w:r>
        <w:rPr/>
        <w:tab/>
      </w:r>
      <w:r>
        <w:rPr>
          <w:spacing w:val="-2"/>
        </w:rPr>
        <w:t>坏</w:t>
      </w:r>
      <w:r>
        <w:rPr>
          <w:spacing w:val="-2"/>
        </w:rPr>
        <w:t>死</w:t>
      </w:r>
      <w:r>
        <w:rPr>
          <w:spacing w:val="-2"/>
        </w:rPr>
        <w:t>性筋膜炎的诊断须同</w:t>
      </w:r>
      <w:r>
        <w:rPr>
          <w:spacing w:val="-2"/>
        </w:rPr>
        <w:t>时</w:t>
      </w:r>
      <w:r>
        <w:rPr>
          <w:spacing w:val="-2"/>
        </w:rPr>
        <w:t>符</w:t>
      </w:r>
      <w:r>
        <w:rPr>
          <w:spacing w:val="-2"/>
        </w:rPr>
        <w:t>合下列要求</w:t>
      </w:r>
      <w:r>
        <w:rPr>
          <w:spacing w:val="-10"/>
        </w:rPr>
        <w:t>：</w:t>
      </w:r>
    </w:p>
    <w:p>
      <w:pPr>
        <w:pStyle w:val="ListParagraph"/>
        <w:numPr>
          <w:ilvl w:val="0"/>
          <w:numId w:val="32"/>
        </w:numPr>
        <w:tabs>
          <w:tab w:pos="3520" w:val="left" w:leader="none"/>
        </w:tabs>
        <w:spacing w:line="240" w:lineRule="auto" w:before="67" w:after="0"/>
        <w:ind w:left="3519" w:right="0" w:hanging="530"/>
        <w:jc w:val="left"/>
        <w:rPr>
          <w:sz w:val="21"/>
        </w:rPr>
      </w:pPr>
      <w:r>
        <w:rPr>
          <w:spacing w:val="-3"/>
          <w:sz w:val="21"/>
        </w:rPr>
        <w:t>符合坏死性筋膜炎的一般临床表现；</w:t>
      </w:r>
    </w:p>
    <w:p>
      <w:pPr>
        <w:pStyle w:val="ListParagraph"/>
        <w:numPr>
          <w:ilvl w:val="0"/>
          <w:numId w:val="32"/>
        </w:numPr>
        <w:tabs>
          <w:tab w:pos="3520" w:val="left" w:leader="none"/>
        </w:tabs>
        <w:spacing w:line="240" w:lineRule="auto" w:before="70" w:after="0"/>
        <w:ind w:left="3519" w:right="0" w:hanging="530"/>
        <w:jc w:val="left"/>
        <w:rPr>
          <w:sz w:val="21"/>
        </w:rPr>
      </w:pPr>
      <w:r>
        <w:rPr>
          <w:spacing w:val="-3"/>
          <w:sz w:val="21"/>
        </w:rPr>
        <w:t>细菌培养检出致病菌；</w:t>
      </w:r>
    </w:p>
    <w:p>
      <w:pPr>
        <w:pStyle w:val="ListParagraph"/>
        <w:numPr>
          <w:ilvl w:val="0"/>
          <w:numId w:val="32"/>
        </w:numPr>
        <w:tabs>
          <w:tab w:pos="3526" w:val="left" w:leader="none"/>
        </w:tabs>
        <w:spacing w:line="300" w:lineRule="auto" w:before="67" w:after="0"/>
        <w:ind w:left="2990" w:right="1058" w:firstLine="0"/>
        <w:jc w:val="both"/>
        <w:rPr>
          <w:sz w:val="21"/>
        </w:rPr>
      </w:pPr>
      <w:r>
        <w:rPr>
          <w:spacing w:val="-2"/>
          <w:sz w:val="21"/>
        </w:rPr>
        <w:t>出现广泛性肌肉及软组织坏死，并导致身体受影响部位永久完全</w:t>
      </w:r>
      <w:r>
        <w:rPr>
          <w:spacing w:val="-1"/>
          <w:sz w:val="21"/>
        </w:rPr>
        <w:t>失去功能。所谓永久完全失去功能是指受影响部位的功能丧失超过 </w:t>
      </w:r>
      <w:r>
        <w:rPr>
          <w:sz w:val="21"/>
        </w:rPr>
        <w:t>180</w:t>
      </w:r>
      <w:r>
        <w:rPr>
          <w:spacing w:val="-4"/>
          <w:sz w:val="21"/>
        </w:rPr>
        <w:t>天者。</w:t>
      </w:r>
    </w:p>
    <w:p>
      <w:pPr>
        <w:pStyle w:val="BodyText"/>
        <w:spacing w:before="11"/>
        <w:rPr>
          <w:sz w:val="25"/>
        </w:rPr>
      </w:pPr>
    </w:p>
    <w:p>
      <w:pPr>
        <w:spacing w:after="0"/>
        <w:rPr>
          <w:sz w:val="25"/>
        </w:rPr>
        <w:sectPr>
          <w:type w:val="continuous"/>
          <w:pgSz w:w="11910" w:h="16840"/>
          <w:pgMar w:header="0" w:footer="857" w:top="320" w:bottom="1040" w:left="1100" w:right="260"/>
        </w:sectPr>
      </w:pPr>
    </w:p>
    <w:p>
      <w:pPr>
        <w:pStyle w:val="BodyText"/>
        <w:spacing w:line="297" w:lineRule="auto" w:before="71"/>
        <w:ind w:left="225"/>
      </w:pPr>
      <w:r>
        <w:rPr>
          <w:spacing w:val="-2"/>
        </w:rPr>
        <w:t>（三十八）严重类风湿性关</w:t>
      </w:r>
      <w:r>
        <w:rPr>
          <w:spacing w:val="-6"/>
        </w:rPr>
        <w:t>节炎</w:t>
      </w:r>
    </w:p>
    <w:p>
      <w:pPr>
        <w:pStyle w:val="BodyText"/>
        <w:spacing w:line="300" w:lineRule="auto" w:before="71"/>
        <w:ind w:left="178" w:right="957"/>
      </w:pPr>
      <w:r>
        <w:rPr/>
        <w:br w:type="column"/>
      </w:r>
      <w:r>
        <w:rPr>
          <w:spacing w:val="-2"/>
        </w:rPr>
        <w:t>指广泛分布的慢性进行性多关节病变，表现为关节严重变形，侵犯至少</w:t>
      </w:r>
      <w:r>
        <w:rPr>
          <w:spacing w:val="-2"/>
        </w:rPr>
        <w:t>三个主要关节（腕关节、肘关节、肩关节、踝关节、膝关节、髋关节）</w:t>
      </w:r>
      <w:r>
        <w:rPr>
          <w:spacing w:val="-2"/>
        </w:rPr>
        <w:t>或关节组（如手的多个指间、掌指关节，足的多个足趾、跖趾关节等</w:t>
      </w:r>
      <w:r>
        <w:rPr>
          <w:spacing w:val="-108"/>
        </w:rPr>
        <w:t>）</w:t>
      </w:r>
      <w:r>
        <w:rPr/>
        <w:t>，</w:t>
      </w:r>
      <w:r>
        <w:rPr>
          <w:spacing w:val="-2"/>
        </w:rPr>
        <w:t>且须满足下列全部条件：</w:t>
      </w:r>
    </w:p>
    <w:p>
      <w:pPr>
        <w:pStyle w:val="BodyText"/>
        <w:spacing w:before="1"/>
        <w:ind w:left="178"/>
      </w:pPr>
      <w:r>
        <w:rPr>
          <w:spacing w:val="-2"/>
        </w:rPr>
        <w:t>（1）</w:t>
      </w:r>
      <w:r>
        <w:rPr>
          <w:spacing w:val="-5"/>
        </w:rPr>
        <w:t>晨僵；</w:t>
      </w:r>
    </w:p>
    <w:p>
      <w:pPr>
        <w:pStyle w:val="ListParagraph"/>
        <w:numPr>
          <w:ilvl w:val="0"/>
          <w:numId w:val="33"/>
        </w:numPr>
        <w:tabs>
          <w:tab w:pos="708" w:val="left" w:leader="none"/>
        </w:tabs>
        <w:spacing w:line="240" w:lineRule="auto" w:before="70" w:after="0"/>
        <w:ind w:left="707" w:right="0" w:hanging="530"/>
        <w:jc w:val="left"/>
        <w:rPr>
          <w:sz w:val="21"/>
        </w:rPr>
      </w:pPr>
      <w:r>
        <w:rPr>
          <w:spacing w:val="-4"/>
          <w:sz w:val="21"/>
        </w:rPr>
        <w:t>对称性关节炎；</w:t>
      </w:r>
    </w:p>
    <w:p>
      <w:pPr>
        <w:pStyle w:val="ListParagraph"/>
        <w:numPr>
          <w:ilvl w:val="0"/>
          <w:numId w:val="33"/>
        </w:numPr>
        <w:tabs>
          <w:tab w:pos="708" w:val="left" w:leader="none"/>
        </w:tabs>
        <w:spacing w:line="240" w:lineRule="auto" w:before="67" w:after="0"/>
        <w:ind w:left="707" w:right="0" w:hanging="530"/>
        <w:jc w:val="left"/>
        <w:rPr>
          <w:sz w:val="21"/>
        </w:rPr>
      </w:pPr>
      <w:r>
        <w:rPr>
          <w:spacing w:val="-3"/>
          <w:sz w:val="21"/>
        </w:rPr>
        <w:t>类风湿性皮下结节；</w:t>
      </w:r>
    </w:p>
    <w:p>
      <w:pPr>
        <w:pStyle w:val="ListParagraph"/>
        <w:numPr>
          <w:ilvl w:val="0"/>
          <w:numId w:val="33"/>
        </w:numPr>
        <w:tabs>
          <w:tab w:pos="708" w:val="left" w:leader="none"/>
        </w:tabs>
        <w:spacing w:line="240" w:lineRule="auto" w:before="67" w:after="0"/>
        <w:ind w:left="707" w:right="0" w:hanging="530"/>
        <w:jc w:val="left"/>
        <w:rPr>
          <w:sz w:val="21"/>
        </w:rPr>
      </w:pPr>
      <w:r>
        <w:rPr>
          <w:spacing w:val="-3"/>
          <w:sz w:val="21"/>
        </w:rPr>
        <w:t>类风湿因子滴度升高；</w:t>
      </w:r>
    </w:p>
    <w:p>
      <w:pPr>
        <w:pStyle w:val="BodyText"/>
        <w:spacing w:before="69"/>
        <w:ind w:left="178"/>
      </w:pPr>
      <w:r>
        <w:rPr>
          <w:spacing w:val="-2"/>
        </w:rPr>
        <w:t>（5）X 线显示严重的关节（软骨和骨）</w:t>
      </w:r>
      <w:r>
        <w:rPr>
          <w:spacing w:val="-4"/>
        </w:rPr>
        <w:t>破坏和关节畸形；</w:t>
      </w:r>
    </w:p>
    <w:p>
      <w:pPr>
        <w:pStyle w:val="ListParagraph"/>
        <w:numPr>
          <w:ilvl w:val="0"/>
          <w:numId w:val="34"/>
        </w:numPr>
        <w:tabs>
          <w:tab w:pos="714" w:val="left" w:leader="none"/>
        </w:tabs>
        <w:spacing w:line="300" w:lineRule="auto" w:before="67" w:after="0"/>
        <w:ind w:left="178" w:right="1065" w:firstLine="0"/>
        <w:jc w:val="left"/>
        <w:rPr>
          <w:sz w:val="21"/>
        </w:rPr>
      </w:pPr>
      <w:r>
        <w:rPr>
          <w:spacing w:val="-2"/>
          <w:sz w:val="21"/>
        </w:rPr>
        <w:t>自主生活能力完全丧失，无法独立完成六项基本日常生活活动中</w:t>
      </w:r>
      <w:r>
        <w:rPr>
          <w:spacing w:val="-2"/>
          <w:sz w:val="21"/>
        </w:rPr>
        <w:t>的三项或三项以上。</w:t>
      </w:r>
    </w:p>
    <w:p>
      <w:pPr>
        <w:spacing w:after="0" w:line="300"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9"/>
        <w:rPr>
          <w:sz w:val="18"/>
        </w:rPr>
      </w:pPr>
    </w:p>
    <w:p>
      <w:pPr>
        <w:spacing w:after="0"/>
        <w:rPr>
          <w:sz w:val="18"/>
        </w:rPr>
        <w:sectPr>
          <w:pgSz w:w="11910" w:h="16840"/>
          <w:pgMar w:header="0" w:footer="857" w:top="1580" w:bottom="1180" w:left="1100" w:right="260"/>
        </w:sectPr>
      </w:pPr>
    </w:p>
    <w:p>
      <w:pPr>
        <w:pStyle w:val="BodyText"/>
        <w:spacing w:line="297" w:lineRule="auto" w:before="83"/>
        <w:ind w:left="225"/>
      </w:pPr>
      <w:r>
        <w:rPr>
          <w:spacing w:val="-2"/>
        </w:rPr>
        <w:t>（三十九）非阿尔茨海默病</w:t>
      </w:r>
      <w:r>
        <w:rPr>
          <w:spacing w:val="-2"/>
        </w:rPr>
        <w:t>所致严重痴呆</w:t>
      </w:r>
    </w:p>
    <w:p>
      <w:pPr>
        <w:pStyle w:val="BodyText"/>
        <w:spacing w:line="278" w:lineRule="auto" w:before="71"/>
        <w:ind w:left="178" w:right="1058"/>
        <w:jc w:val="both"/>
      </w:pPr>
      <w:r>
        <w:rPr/>
        <w:br w:type="column"/>
      </w:r>
      <w:r>
        <w:rPr>
          <w:spacing w:val="3"/>
          <w:w w:val="100"/>
        </w:rPr>
        <w:t>指因阿尔茨海默病以外的脑的器质性疾病造成脑功能衰竭导致永久不</w:t>
      </w:r>
      <w:r>
        <w:rPr>
          <w:spacing w:val="-5"/>
          <w:w w:val="100"/>
        </w:rPr>
        <w:t>可逆性的严重痴呆，临床表现为明显的认知能力障碍、行为异常和社交</w:t>
      </w:r>
      <w:r>
        <w:rPr>
          <w:spacing w:val="-7"/>
          <w:w w:val="100"/>
        </w:rPr>
        <w:t>能力减退。被保险人自主生活能力完全丧失，无法独立完成六项基本日常生活活动中的三项或三项以上，日常生活必须持续受到他人监护。导致痴呆的疾病必须明确诊断，并且由完整的临床、实验室和影像学检查</w:t>
      </w:r>
      <w:r>
        <w:rPr>
          <w:spacing w:val="-4"/>
          <w:w w:val="100"/>
        </w:rPr>
        <w:t>结果证实。</w:t>
      </w:r>
    </w:p>
    <w:p>
      <w:pPr>
        <w:spacing w:before="12"/>
        <w:ind w:left="178" w:right="0" w:firstLine="0"/>
        <w:jc w:val="left"/>
        <w:rPr>
          <w:b/>
          <w:sz w:val="21"/>
        </w:rPr>
      </w:pPr>
      <w:r>
        <w:rPr>
          <w:b/>
          <w:spacing w:val="-3"/>
          <w:sz w:val="21"/>
        </w:rPr>
        <w:t>神经官能症，精神疾病及酒精中毒所致脑损害不在本保障范围内。</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pStyle w:val="BodyText"/>
        <w:spacing w:before="4"/>
        <w:rPr>
          <w:b/>
          <w:sz w:val="18"/>
        </w:rPr>
      </w:pPr>
    </w:p>
    <w:p>
      <w:pPr>
        <w:pStyle w:val="BodyText"/>
        <w:spacing w:line="300" w:lineRule="auto"/>
        <w:ind w:left="2990" w:right="1058" w:hanging="2766"/>
        <w:jc w:val="both"/>
      </w:pPr>
      <w:r>
        <w:rPr/>
        <w:t>（四十）</w:t>
      </w:r>
      <w:r>
        <w:rPr>
          <w:spacing w:val="40"/>
        </w:rPr>
        <w:t>系统性硬皮病 系统性硬皮病</w:t>
      </w:r>
      <w:r>
        <w:rPr/>
        <w:t>（须累及内脏器官</w:t>
      </w:r>
      <w:r>
        <w:rPr>
          <w:spacing w:val="-104"/>
        </w:rPr>
        <w:t>）</w:t>
      </w:r>
      <w:r>
        <w:rPr/>
        <w:t>，指一种以局限性或弥漫性皮肤增厚</w:t>
      </w:r>
      <w:r>
        <w:rPr>
          <w:spacing w:val="-2"/>
        </w:rPr>
        <w:t>和皮肤、血管、内脏器官异常纤维化为特征的结缔组织病。须满足下列</w:t>
      </w:r>
      <w:r>
        <w:rPr>
          <w:spacing w:val="-2"/>
        </w:rPr>
        <w:t>至少一项条件：</w:t>
      </w:r>
    </w:p>
    <w:p>
      <w:pPr>
        <w:pStyle w:val="ListParagraph"/>
        <w:numPr>
          <w:ilvl w:val="1"/>
          <w:numId w:val="34"/>
        </w:numPr>
        <w:tabs>
          <w:tab w:pos="3520" w:val="left" w:leader="none"/>
        </w:tabs>
        <w:spacing w:line="240" w:lineRule="auto" w:before="2" w:after="0"/>
        <w:ind w:left="3519" w:right="0" w:hanging="530"/>
        <w:jc w:val="left"/>
        <w:rPr>
          <w:sz w:val="21"/>
        </w:rPr>
      </w:pPr>
      <w:r>
        <w:rPr>
          <w:spacing w:val="-3"/>
          <w:sz w:val="21"/>
        </w:rPr>
        <w:t>肺脏：肺部病变进而发展为肺间质纤维化和肺动脉高压；</w:t>
      </w:r>
    </w:p>
    <w:p>
      <w:pPr>
        <w:pStyle w:val="ListParagraph"/>
        <w:numPr>
          <w:ilvl w:val="1"/>
          <w:numId w:val="34"/>
        </w:numPr>
        <w:tabs>
          <w:tab w:pos="3520" w:val="left" w:leader="none"/>
        </w:tabs>
        <w:spacing w:line="302" w:lineRule="auto" w:before="67" w:after="0"/>
        <w:ind w:left="2990" w:right="1061" w:firstLine="0"/>
        <w:jc w:val="left"/>
        <w:rPr>
          <w:sz w:val="21"/>
        </w:rPr>
      </w:pPr>
      <w:r>
        <w:rPr>
          <w:spacing w:val="-3"/>
          <w:sz w:val="21"/>
        </w:rPr>
        <w:t>心脏：左室腔扩大至少达到正常值上限的 </w:t>
      </w:r>
      <w:r>
        <w:rPr>
          <w:sz w:val="21"/>
        </w:rPr>
        <w:t>120％，左室射血分数</w:t>
      </w:r>
      <w:r>
        <w:rPr>
          <w:spacing w:val="-8"/>
          <w:sz w:val="21"/>
        </w:rPr>
        <w:t>持续性低于 </w:t>
      </w:r>
      <w:r>
        <w:rPr>
          <w:sz w:val="21"/>
        </w:rPr>
        <w:t>40％；</w:t>
      </w:r>
    </w:p>
    <w:p>
      <w:pPr>
        <w:pStyle w:val="ListParagraph"/>
        <w:numPr>
          <w:ilvl w:val="1"/>
          <w:numId w:val="34"/>
        </w:numPr>
        <w:tabs>
          <w:tab w:pos="3526" w:val="left" w:leader="none"/>
        </w:tabs>
        <w:spacing w:line="300" w:lineRule="auto" w:before="0" w:after="0"/>
        <w:ind w:left="2990" w:right="1058" w:firstLine="0"/>
        <w:jc w:val="left"/>
        <w:rPr>
          <w:sz w:val="21"/>
        </w:rPr>
      </w:pPr>
      <w:r>
        <w:rPr>
          <w:spacing w:val="-2"/>
          <w:sz w:val="21"/>
        </w:rPr>
        <w:t>肾脏：肾脏受损导致双肾功能慢性不可逆衰竭，诊断达到尿毒症</w:t>
      </w:r>
      <w:r>
        <w:rPr>
          <w:spacing w:val="-3"/>
          <w:sz w:val="21"/>
        </w:rPr>
        <w:t>期后并继续维持治疗 </w:t>
      </w:r>
      <w:r>
        <w:rPr>
          <w:sz w:val="21"/>
        </w:rPr>
        <w:t>90</w:t>
      </w:r>
      <w:r>
        <w:rPr>
          <w:spacing w:val="-6"/>
          <w:sz w:val="21"/>
        </w:rPr>
        <w:t> 天以上。</w:t>
      </w:r>
    </w:p>
    <w:p>
      <w:pPr>
        <w:spacing w:before="0"/>
        <w:ind w:left="2990" w:right="0" w:firstLine="0"/>
        <w:jc w:val="left"/>
        <w:rPr>
          <w:b/>
          <w:sz w:val="21"/>
        </w:rPr>
      </w:pPr>
      <w:r>
        <w:rPr>
          <w:b/>
          <w:spacing w:val="-3"/>
          <w:sz w:val="21"/>
        </w:rPr>
        <w:t>下列疾病不在本保障范围内：</w:t>
      </w:r>
    </w:p>
    <w:p>
      <w:pPr>
        <w:pStyle w:val="ListParagraph"/>
        <w:numPr>
          <w:ilvl w:val="0"/>
          <w:numId w:val="35"/>
        </w:numPr>
        <w:tabs>
          <w:tab w:pos="3520" w:val="left" w:leader="none"/>
        </w:tabs>
        <w:spacing w:line="240" w:lineRule="auto" w:before="65" w:after="0"/>
        <w:ind w:left="3519" w:right="0" w:hanging="530"/>
        <w:jc w:val="left"/>
        <w:rPr>
          <w:b/>
          <w:sz w:val="21"/>
        </w:rPr>
      </w:pPr>
      <w:r>
        <w:rPr>
          <w:b/>
          <w:spacing w:val="-2"/>
          <w:sz w:val="21"/>
        </w:rPr>
        <w:t>局限性硬皮病（包括带状硬皮病、硬斑病</w:t>
      </w:r>
      <w:r>
        <w:rPr>
          <w:b/>
          <w:spacing w:val="-113"/>
          <w:sz w:val="21"/>
        </w:rPr>
        <w:t>）</w:t>
      </w:r>
      <w:r>
        <w:rPr>
          <w:b/>
          <w:spacing w:val="-5"/>
          <w:sz w:val="21"/>
        </w:rPr>
        <w:t>；</w:t>
      </w:r>
    </w:p>
    <w:p>
      <w:pPr>
        <w:pStyle w:val="ListParagraph"/>
        <w:numPr>
          <w:ilvl w:val="0"/>
          <w:numId w:val="35"/>
        </w:numPr>
        <w:tabs>
          <w:tab w:pos="3520" w:val="left" w:leader="none"/>
        </w:tabs>
        <w:spacing w:line="240" w:lineRule="auto" w:before="67" w:after="0"/>
        <w:ind w:left="3519" w:right="0" w:hanging="530"/>
        <w:jc w:val="left"/>
        <w:rPr>
          <w:b/>
          <w:sz w:val="21"/>
        </w:rPr>
      </w:pPr>
      <w:r>
        <w:rPr>
          <w:b/>
          <w:spacing w:val="-3"/>
          <w:sz w:val="21"/>
        </w:rPr>
        <w:t>嗜酸细胞性筋膜炎；</w:t>
      </w:r>
    </w:p>
    <w:p>
      <w:pPr>
        <w:pStyle w:val="ListParagraph"/>
        <w:numPr>
          <w:ilvl w:val="0"/>
          <w:numId w:val="35"/>
        </w:numPr>
        <w:tabs>
          <w:tab w:pos="3520" w:val="left" w:leader="none"/>
        </w:tabs>
        <w:spacing w:line="240" w:lineRule="auto" w:before="68" w:after="0"/>
        <w:ind w:left="3519" w:right="0" w:hanging="530"/>
        <w:jc w:val="left"/>
        <w:rPr>
          <w:b/>
          <w:sz w:val="21"/>
        </w:rPr>
      </w:pPr>
      <w:r>
        <w:rPr>
          <w:b/>
          <w:w w:val="95"/>
          <w:sz w:val="21"/>
        </w:rPr>
        <w:t>CREST</w:t>
      </w:r>
      <w:r>
        <w:rPr>
          <w:b/>
          <w:spacing w:val="-2"/>
          <w:sz w:val="21"/>
        </w:rPr>
        <w:t> </w:t>
      </w:r>
      <w:r>
        <w:rPr>
          <w:b/>
          <w:w w:val="95"/>
          <w:sz w:val="21"/>
        </w:rPr>
        <w:t>综</w:t>
      </w:r>
      <w:r>
        <w:rPr>
          <w:b/>
          <w:w w:val="95"/>
          <w:sz w:val="21"/>
        </w:rPr>
        <w:t>合</w:t>
      </w:r>
      <w:r>
        <w:rPr>
          <w:b/>
          <w:w w:val="95"/>
          <w:sz w:val="21"/>
        </w:rPr>
        <w:t>征</w:t>
      </w:r>
      <w:r>
        <w:rPr>
          <w:b/>
          <w:spacing w:val="-10"/>
          <w:w w:val="95"/>
          <w:sz w:val="21"/>
        </w:rPr>
        <w:t>。</w:t>
      </w:r>
    </w:p>
    <w:p>
      <w:pPr>
        <w:pStyle w:val="BodyText"/>
        <w:rPr>
          <w:b/>
          <w:sz w:val="20"/>
        </w:rPr>
      </w:pPr>
    </w:p>
    <w:p>
      <w:pPr>
        <w:pStyle w:val="BodyText"/>
        <w:spacing w:before="4"/>
        <w:rPr>
          <w:b/>
          <w:sz w:val="18"/>
        </w:rPr>
      </w:pPr>
    </w:p>
    <w:p>
      <w:pPr>
        <w:spacing w:line="300" w:lineRule="auto" w:before="1"/>
        <w:ind w:left="2990" w:right="1058" w:hanging="2766"/>
        <w:jc w:val="both"/>
        <w:rPr>
          <w:sz w:val="21"/>
        </w:rPr>
      </w:pPr>
      <w:r>
        <w:rPr>
          <w:sz w:val="21"/>
        </w:rPr>
        <w:t>（四十一）严重脊髓灰质炎 脊髓灰质炎是由于脊髓灰质炎病毒感染所致的瘫痪性疾病，临床表现为</w:t>
      </w:r>
      <w:r>
        <w:rPr>
          <w:spacing w:val="-2"/>
          <w:sz w:val="21"/>
        </w:rPr>
        <w:t>运动功能损害或呼吸无力。脊髓灰质炎必须明确诊断，且需提供脊髓灰</w:t>
      </w:r>
      <w:r>
        <w:rPr>
          <w:spacing w:val="-2"/>
          <w:sz w:val="21"/>
        </w:rPr>
        <w:t>质炎病毒检查的证据（如粪便或脑脊液检查，血液中抗体检查</w:t>
      </w:r>
      <w:r>
        <w:rPr>
          <w:spacing w:val="-104"/>
          <w:sz w:val="21"/>
        </w:rPr>
        <w:t>）</w:t>
      </w:r>
      <w:r>
        <w:rPr>
          <w:spacing w:val="-2"/>
          <w:sz w:val="21"/>
        </w:rPr>
        <w:t>。</w:t>
      </w:r>
      <w:r>
        <w:rPr>
          <w:b/>
          <w:spacing w:val="-2"/>
          <w:sz w:val="21"/>
        </w:rPr>
        <w:t>我们</w:t>
      </w:r>
      <w:r>
        <w:rPr>
          <w:b/>
          <w:spacing w:val="-2"/>
          <w:sz w:val="21"/>
        </w:rPr>
        <w:t>仅对脊髓灰质炎造成的神经系统功能损害导致被保险人一肢（含）以上</w:t>
      </w:r>
      <w:r>
        <w:rPr>
          <w:b/>
          <w:spacing w:val="-2"/>
          <w:sz w:val="21"/>
        </w:rPr>
        <w:t>肢体机能永久完全丧失的情况予以理赔</w:t>
      </w:r>
      <w:r>
        <w:rPr>
          <w:spacing w:val="-2"/>
          <w:sz w:val="21"/>
        </w:rPr>
        <w:t>。肢体机能永久完全丧失，指疾</w:t>
      </w:r>
      <w:r>
        <w:rPr>
          <w:spacing w:val="-15"/>
          <w:sz w:val="21"/>
        </w:rPr>
        <w:t>病确诊 </w:t>
      </w:r>
      <w:r>
        <w:rPr>
          <w:spacing w:val="-2"/>
          <w:sz w:val="21"/>
        </w:rPr>
        <w:t>180</w:t>
      </w:r>
      <w:r>
        <w:rPr>
          <w:spacing w:val="-10"/>
          <w:sz w:val="21"/>
        </w:rPr>
        <w:t> 天后，每肢三大关节中的两大关节仍然完全僵硬，或肢体肌</w:t>
      </w:r>
    </w:p>
    <w:p>
      <w:pPr>
        <w:pStyle w:val="BodyText"/>
        <w:spacing w:before="2"/>
        <w:ind w:left="2990"/>
      </w:pPr>
      <w:r>
        <w:rPr>
          <w:spacing w:val="-19"/>
        </w:rPr>
        <w:t>力在 </w:t>
      </w:r>
      <w:r>
        <w:rPr>
          <w:spacing w:val="-2"/>
        </w:rPr>
        <w:t>2</w:t>
      </w:r>
      <w:r>
        <w:rPr>
          <w:spacing w:val="-26"/>
        </w:rPr>
        <w:t> 级</w:t>
      </w:r>
      <w:r>
        <w:rPr>
          <w:spacing w:val="-2"/>
        </w:rPr>
        <w:t>（含）</w:t>
      </w:r>
      <w:r>
        <w:rPr>
          <w:spacing w:val="-5"/>
        </w:rPr>
        <w:t>以下。</w:t>
      </w:r>
    </w:p>
    <w:p>
      <w:pPr>
        <w:spacing w:before="68"/>
        <w:ind w:left="2990" w:right="0" w:firstLine="0"/>
        <w:jc w:val="left"/>
        <w:rPr>
          <w:b/>
          <w:sz w:val="21"/>
        </w:rPr>
      </w:pPr>
      <w:r>
        <w:rPr>
          <w:b/>
          <w:spacing w:val="-3"/>
          <w:sz w:val="21"/>
        </w:rPr>
        <w:t>未导致前述肢体瘫痪者及其他原因导致的瘫痪不在本保障范围内。</w:t>
      </w: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5"/>
        <w:rPr>
          <w:b/>
          <w:sz w:val="18"/>
        </w:rPr>
      </w:pPr>
    </w:p>
    <w:p>
      <w:pPr>
        <w:pStyle w:val="BodyText"/>
        <w:spacing w:line="297" w:lineRule="auto"/>
        <w:ind w:left="225"/>
        <w:jc w:val="both"/>
      </w:pPr>
      <w:r>
        <w:rPr>
          <w:spacing w:val="-2"/>
        </w:rPr>
        <w:t>（四十二）因职业关系导致</w:t>
      </w:r>
      <w:r>
        <w:rPr>
          <w:spacing w:val="-2"/>
        </w:rPr>
        <w:t>的感染艾滋病病毒或患艾滋</w:t>
      </w:r>
      <w:r>
        <w:rPr>
          <w:spacing w:val="-10"/>
        </w:rPr>
        <w:t>病</w:t>
      </w:r>
    </w:p>
    <w:p>
      <w:pPr>
        <w:spacing w:line="240" w:lineRule="auto" w:before="5"/>
        <w:rPr>
          <w:sz w:val="18"/>
        </w:rPr>
      </w:pPr>
      <w:r>
        <w:rPr/>
        <w:br w:type="column"/>
      </w:r>
      <w:r>
        <w:rPr>
          <w:sz w:val="18"/>
        </w:rPr>
      </w:r>
    </w:p>
    <w:p>
      <w:pPr>
        <w:pStyle w:val="BodyText"/>
        <w:spacing w:line="302" w:lineRule="auto"/>
        <w:ind w:left="177" w:right="1058"/>
      </w:pPr>
      <w:r>
        <w:rPr>
          <w:spacing w:val="-2"/>
        </w:rPr>
        <w:t>被保险人在其常规职业工作过程中遭遇外伤，或职业需要处理血液或其</w:t>
      </w:r>
      <w:r>
        <w:rPr>
          <w:spacing w:val="-2"/>
        </w:rPr>
        <w:t>他体液时感染上艾滋病病毒或者患上艾滋病。须满足下列全部条件：</w:t>
      </w:r>
    </w:p>
    <w:p>
      <w:pPr>
        <w:pStyle w:val="ListParagraph"/>
        <w:numPr>
          <w:ilvl w:val="0"/>
          <w:numId w:val="36"/>
        </w:numPr>
        <w:tabs>
          <w:tab w:pos="713" w:val="left" w:leader="none"/>
        </w:tabs>
        <w:spacing w:line="300" w:lineRule="auto" w:before="0" w:after="0"/>
        <w:ind w:left="177" w:right="1060" w:firstLine="0"/>
        <w:jc w:val="both"/>
        <w:rPr>
          <w:b/>
          <w:sz w:val="21"/>
        </w:rPr>
      </w:pPr>
      <w:r>
        <w:rPr>
          <w:spacing w:val="-2"/>
          <w:sz w:val="21"/>
        </w:rPr>
        <w:t>感染必须是在被保险人正在从事其职业工作中发生，该职业必须</w:t>
      </w:r>
      <w:r>
        <w:rPr>
          <w:spacing w:val="-2"/>
          <w:sz w:val="21"/>
        </w:rPr>
        <w:t>属于下列职业之一：医生和牙科医生、护士、实验室工作人员、医院护工、医生助理和牙医助理、救护车工作人员、助产士。</w:t>
      </w:r>
      <w:r>
        <w:rPr>
          <w:b/>
          <w:spacing w:val="-2"/>
          <w:sz w:val="21"/>
        </w:rPr>
        <w:t>其他职业不在本</w:t>
      </w:r>
      <w:r>
        <w:rPr>
          <w:b/>
          <w:spacing w:val="-2"/>
          <w:sz w:val="21"/>
        </w:rPr>
        <w:t>保障范围内。</w:t>
      </w:r>
    </w:p>
    <w:p>
      <w:pPr>
        <w:pStyle w:val="ListParagraph"/>
        <w:numPr>
          <w:ilvl w:val="0"/>
          <w:numId w:val="36"/>
        </w:numPr>
        <w:tabs>
          <w:tab w:pos="707" w:val="left" w:leader="none"/>
        </w:tabs>
        <w:spacing w:line="302" w:lineRule="auto" w:before="0" w:after="0"/>
        <w:ind w:left="177" w:right="955" w:firstLine="0"/>
        <w:jc w:val="both"/>
        <w:rPr>
          <w:sz w:val="21"/>
        </w:rPr>
      </w:pPr>
      <w:r>
        <w:rPr>
          <w:sz w:val="21"/>
        </w:rPr>
        <w:t>必须提供被保险人在所报事故发生后的 5</w:t>
      </w:r>
      <w:r>
        <w:rPr>
          <w:spacing w:val="-5"/>
          <w:sz w:val="21"/>
        </w:rPr>
        <w:t> 天以内进行的检查报告</w:t>
      </w:r>
      <w:r>
        <w:rPr>
          <w:sz w:val="21"/>
        </w:rPr>
        <w:t>，该报告必须显示被保险人血液 HIV 病毒阴性和/或 HIV 抗体阴性；</w:t>
      </w:r>
    </w:p>
    <w:p>
      <w:pPr>
        <w:pStyle w:val="ListParagraph"/>
        <w:numPr>
          <w:ilvl w:val="0"/>
          <w:numId w:val="36"/>
        </w:numPr>
        <w:tabs>
          <w:tab w:pos="707" w:val="left" w:leader="none"/>
        </w:tabs>
        <w:spacing w:line="266" w:lineRule="exact" w:before="0" w:after="0"/>
        <w:ind w:left="706" w:right="0" w:hanging="530"/>
        <w:jc w:val="both"/>
        <w:rPr>
          <w:sz w:val="21"/>
        </w:rPr>
      </w:pPr>
      <w:r>
        <w:rPr>
          <w:spacing w:val="-2"/>
          <w:sz w:val="21"/>
        </w:rPr>
        <w:t>必须在事故发生后的 </w:t>
      </w:r>
      <w:r>
        <w:rPr>
          <w:sz w:val="21"/>
        </w:rPr>
        <w:t>6</w:t>
      </w:r>
      <w:r>
        <w:rPr>
          <w:spacing w:val="-9"/>
          <w:sz w:val="21"/>
        </w:rPr>
        <w:t> 个月内证实被保险人体内存在 </w:t>
      </w:r>
      <w:r>
        <w:rPr>
          <w:sz w:val="21"/>
        </w:rPr>
        <w:t>HIV</w:t>
      </w:r>
      <w:r>
        <w:rPr>
          <w:spacing w:val="-6"/>
          <w:sz w:val="21"/>
        </w:rPr>
        <w:t> 病毒或</w:t>
      </w:r>
    </w:p>
    <w:p>
      <w:pPr>
        <w:spacing w:after="0" w:line="266" w:lineRule="exact"/>
        <w:jc w:val="both"/>
        <w:rPr>
          <w:sz w:val="21"/>
        </w:rPr>
        <w:sectPr>
          <w:type w:val="continuous"/>
          <w:pgSz w:w="11910" w:h="16840"/>
          <w:pgMar w:header="0" w:footer="857" w:top="320" w:bottom="1040" w:left="1100" w:right="260"/>
          <w:cols w:num="2" w:equalWidth="0">
            <w:col w:w="2774" w:space="40"/>
            <w:col w:w="7736"/>
          </w:cols>
        </w:sectPr>
      </w:pPr>
    </w:p>
    <w:p>
      <w:pPr>
        <w:pStyle w:val="BodyText"/>
        <w:spacing w:before="60"/>
        <w:ind w:left="2990"/>
      </w:pPr>
      <w:r>
        <w:rPr>
          <w:spacing w:val="-27"/>
        </w:rPr>
        <w:t>者 </w:t>
      </w:r>
      <w:r>
        <w:rPr/>
        <w:t>HIV</w:t>
      </w:r>
      <w:r>
        <w:rPr>
          <w:spacing w:val="-4"/>
        </w:rPr>
        <w:t> 抗体，即血液 </w:t>
      </w:r>
      <w:r>
        <w:rPr/>
        <w:t>HIV</w:t>
      </w:r>
      <w:r>
        <w:rPr>
          <w:spacing w:val="-3"/>
        </w:rPr>
        <w:t> 病毒阳性和/或 </w:t>
      </w:r>
      <w:r>
        <w:rPr/>
        <w:t>HIV</w:t>
      </w:r>
      <w:r>
        <w:rPr>
          <w:spacing w:val="-4"/>
        </w:rPr>
        <w:t> 抗体阳性。</w:t>
      </w:r>
    </w:p>
    <w:p>
      <w:pPr>
        <w:spacing w:line="297" w:lineRule="auto" w:before="67"/>
        <w:ind w:left="2990" w:right="1061" w:firstLine="0"/>
        <w:jc w:val="left"/>
        <w:rPr>
          <w:b/>
          <w:sz w:val="21"/>
        </w:rPr>
      </w:pPr>
      <w:r>
        <w:rPr>
          <w:b/>
          <w:spacing w:val="-4"/>
          <w:sz w:val="21"/>
        </w:rPr>
        <w:t>我们公司承担本项疾病责任不受本合同条款 </w:t>
      </w:r>
      <w:r>
        <w:rPr>
          <w:b/>
          <w:spacing w:val="-2"/>
          <w:sz w:val="21"/>
        </w:rPr>
        <w:t>2.6“责任免除”中的“被</w:t>
      </w:r>
      <w:r>
        <w:rPr>
          <w:b/>
          <w:spacing w:val="-2"/>
          <w:sz w:val="21"/>
        </w:rPr>
        <w:t>保险人感染艾滋病病毒或患艾滋病”的限制。</w:t>
      </w:r>
    </w:p>
    <w:p>
      <w:pPr>
        <w:pStyle w:val="BodyText"/>
        <w:rPr>
          <w:b/>
          <w:sz w:val="20"/>
        </w:rPr>
      </w:pPr>
    </w:p>
    <w:p>
      <w:pPr>
        <w:pStyle w:val="BodyText"/>
        <w:tabs>
          <w:tab w:pos="2990" w:val="left" w:leader="none"/>
        </w:tabs>
        <w:spacing w:line="300" w:lineRule="auto" w:before="169"/>
        <w:ind w:left="2990" w:right="1060" w:hanging="2766"/>
      </w:pPr>
      <w:r>
        <w:rPr>
          <w:spacing w:val="-2"/>
        </w:rPr>
        <w:t>（</w:t>
      </w:r>
      <w:r>
        <w:rPr>
          <w:spacing w:val="-2"/>
        </w:rPr>
        <w:t>四</w:t>
      </w:r>
      <w:r>
        <w:rPr>
          <w:spacing w:val="-2"/>
        </w:rPr>
        <w:t>十三）严重</w:t>
      </w:r>
      <w:r>
        <w:rPr>
          <w:spacing w:val="-2"/>
        </w:rPr>
        <w:t>哮</w:t>
      </w:r>
      <w:r>
        <w:rPr>
          <w:spacing w:val="-2"/>
        </w:rPr>
        <w:t>喘</w:t>
      </w:r>
      <w:r>
        <w:rPr/>
        <w:tab/>
      </w:r>
      <w:r>
        <w:rPr>
          <w:spacing w:val="-2"/>
        </w:rPr>
        <w:t>指</w:t>
      </w:r>
      <w:r>
        <w:rPr>
          <w:spacing w:val="-2"/>
        </w:rPr>
        <w:t>一</w:t>
      </w:r>
      <w:r>
        <w:rPr>
          <w:spacing w:val="-2"/>
        </w:rPr>
        <w:t>种反复发作的严重支</w:t>
      </w:r>
      <w:r>
        <w:rPr>
          <w:spacing w:val="-2"/>
        </w:rPr>
        <w:t>气</w:t>
      </w:r>
      <w:r>
        <w:rPr>
          <w:spacing w:val="-2"/>
        </w:rPr>
        <w:t>管</w:t>
      </w:r>
      <w:r>
        <w:rPr>
          <w:spacing w:val="-2"/>
        </w:rPr>
        <w:t>阻塞性疾病，经</w:t>
      </w:r>
      <w:r>
        <w:rPr>
          <w:spacing w:val="-2"/>
        </w:rPr>
        <w:t>专</w:t>
      </w:r>
      <w:r>
        <w:rPr>
          <w:spacing w:val="-2"/>
        </w:rPr>
        <w:t>科</w:t>
      </w:r>
      <w:r>
        <w:rPr>
          <w:spacing w:val="-2"/>
        </w:rPr>
        <w:t>医</w:t>
      </w:r>
      <w:r>
        <w:rPr>
          <w:spacing w:val="-2"/>
        </w:rPr>
        <w:t>生</w:t>
      </w:r>
      <w:r>
        <w:rPr>
          <w:spacing w:val="-2"/>
        </w:rPr>
        <w:t>确</w:t>
      </w:r>
      <w:r>
        <w:rPr>
          <w:spacing w:val="-2"/>
        </w:rPr>
        <w:t>诊</w:t>
      </w:r>
      <w:r>
        <w:rPr>
          <w:spacing w:val="-2"/>
        </w:rPr>
        <w:t>，且必须</w:t>
      </w:r>
      <w:r>
        <w:rPr>
          <w:spacing w:val="-2"/>
        </w:rPr>
        <w:t>同</w:t>
      </w:r>
      <w:r>
        <w:rPr>
          <w:spacing w:val="-2"/>
        </w:rPr>
        <w:t>时</w:t>
      </w:r>
      <w:r>
        <w:rPr>
          <w:spacing w:val="-2"/>
        </w:rPr>
        <w:t>符</w:t>
      </w:r>
      <w:r>
        <w:rPr>
          <w:spacing w:val="-2"/>
        </w:rPr>
        <w:t>合下列标准：</w:t>
      </w:r>
    </w:p>
    <w:p>
      <w:pPr>
        <w:pStyle w:val="ListParagraph"/>
        <w:numPr>
          <w:ilvl w:val="1"/>
          <w:numId w:val="36"/>
        </w:numPr>
        <w:tabs>
          <w:tab w:pos="3520" w:val="left" w:leader="none"/>
        </w:tabs>
        <w:spacing w:line="240" w:lineRule="auto" w:before="2" w:after="0"/>
        <w:ind w:left="3519" w:right="0" w:hanging="530"/>
        <w:jc w:val="left"/>
        <w:rPr>
          <w:sz w:val="21"/>
        </w:rPr>
      </w:pPr>
      <w:r>
        <w:rPr>
          <w:spacing w:val="-3"/>
          <w:sz w:val="21"/>
        </w:rPr>
        <w:t>过去两年中曾因哮喘持续状态住院治疗，并提供完整住院记录；</w:t>
      </w:r>
    </w:p>
    <w:p>
      <w:pPr>
        <w:pStyle w:val="ListParagraph"/>
        <w:numPr>
          <w:ilvl w:val="1"/>
          <w:numId w:val="36"/>
        </w:numPr>
        <w:tabs>
          <w:tab w:pos="3520" w:val="left" w:leader="none"/>
        </w:tabs>
        <w:spacing w:line="240" w:lineRule="auto" w:before="67" w:after="0"/>
        <w:ind w:left="3519" w:right="0" w:hanging="530"/>
        <w:jc w:val="left"/>
        <w:rPr>
          <w:sz w:val="21"/>
        </w:rPr>
      </w:pPr>
      <w:r>
        <w:rPr>
          <w:spacing w:val="-3"/>
          <w:sz w:val="21"/>
        </w:rPr>
        <w:t>因慢性过度换气导致胸廓畸形；</w:t>
      </w:r>
    </w:p>
    <w:p>
      <w:pPr>
        <w:pStyle w:val="ListParagraph"/>
        <w:numPr>
          <w:ilvl w:val="1"/>
          <w:numId w:val="36"/>
        </w:numPr>
        <w:tabs>
          <w:tab w:pos="3520" w:val="left" w:leader="none"/>
        </w:tabs>
        <w:spacing w:line="240" w:lineRule="auto" w:before="67" w:after="0"/>
        <w:ind w:left="3519" w:right="0" w:hanging="530"/>
        <w:jc w:val="left"/>
        <w:rPr>
          <w:sz w:val="21"/>
        </w:rPr>
      </w:pPr>
      <w:r>
        <w:rPr>
          <w:spacing w:val="-3"/>
          <w:sz w:val="21"/>
        </w:rPr>
        <w:t>在家中需要医生处方的氧气治疗法；</w:t>
      </w:r>
    </w:p>
    <w:p>
      <w:pPr>
        <w:pStyle w:val="ListParagraph"/>
        <w:numPr>
          <w:ilvl w:val="1"/>
          <w:numId w:val="36"/>
        </w:numPr>
        <w:tabs>
          <w:tab w:pos="3520" w:val="left" w:leader="none"/>
        </w:tabs>
        <w:spacing w:line="302" w:lineRule="auto" w:before="66" w:after="0"/>
        <w:ind w:left="2990" w:right="2193" w:firstLine="0"/>
        <w:jc w:val="left"/>
        <w:rPr>
          <w:b/>
          <w:sz w:val="21"/>
        </w:rPr>
      </w:pPr>
      <w:r>
        <w:rPr>
          <w:spacing w:val="-2"/>
          <w:sz w:val="21"/>
        </w:rPr>
        <w:t>持续日常服用口服类固醇激素治疗持续至少六个月。</w:t>
      </w:r>
      <w:r>
        <w:rPr>
          <w:b/>
          <w:spacing w:val="-2"/>
          <w:sz w:val="21"/>
        </w:rPr>
        <w:t>申请理赔时，被保险人年龄必须在年满 </w:t>
      </w:r>
      <w:r>
        <w:rPr>
          <w:b/>
          <w:sz w:val="21"/>
        </w:rPr>
        <w:t>25</w:t>
      </w:r>
      <w:r>
        <w:rPr>
          <w:b/>
          <w:spacing w:val="-5"/>
          <w:sz w:val="21"/>
        </w:rPr>
        <w:t> 周岁之前。</w:t>
      </w:r>
    </w:p>
    <w:p>
      <w:pPr>
        <w:pStyle w:val="BodyText"/>
        <w:spacing w:before="2"/>
        <w:rPr>
          <w:b/>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（四十四）特发性慢性肾上</w:t>
      </w:r>
      <w:r>
        <w:rPr>
          <w:spacing w:val="-2"/>
        </w:rPr>
        <w:t>腺皮质功能减退</w:t>
      </w:r>
    </w:p>
    <w:p>
      <w:pPr>
        <w:pStyle w:val="BodyText"/>
        <w:spacing w:line="300" w:lineRule="auto" w:before="72"/>
        <w:ind w:left="177" w:right="1058"/>
      </w:pPr>
      <w:r>
        <w:rPr/>
        <w:br w:type="column"/>
      </w:r>
      <w:r>
        <w:rPr>
          <w:spacing w:val="-2"/>
        </w:rPr>
        <w:t>指自身免疫性肾上腺炎（既往称：特发性肾上腺皮质萎缩）导致肾上腺</w:t>
      </w:r>
      <w:r>
        <w:rPr>
          <w:spacing w:val="-2"/>
        </w:rPr>
        <w:t>萎缩和慢性肾上腺皮质功能减退。必须满足所有以下条件：</w:t>
      </w:r>
    </w:p>
    <w:p>
      <w:pPr>
        <w:pStyle w:val="ListParagraph"/>
        <w:numPr>
          <w:ilvl w:val="0"/>
          <w:numId w:val="37"/>
        </w:numPr>
        <w:tabs>
          <w:tab w:pos="707" w:val="left" w:leader="none"/>
        </w:tabs>
        <w:spacing w:line="268" w:lineRule="exact" w:before="0" w:after="0"/>
        <w:ind w:left="706" w:right="0" w:hanging="530"/>
        <w:jc w:val="left"/>
        <w:rPr>
          <w:sz w:val="21"/>
        </w:rPr>
      </w:pPr>
      <w:r>
        <w:rPr>
          <w:spacing w:val="-3"/>
          <w:sz w:val="21"/>
        </w:rPr>
        <w:t>必须由专科医生明确诊断，符合所有以下诊断标准：</w:t>
      </w:r>
    </w:p>
    <w:p>
      <w:pPr>
        <w:pStyle w:val="BodyText"/>
        <w:spacing w:before="69"/>
        <w:ind w:left="597"/>
        <w:jc w:val="both"/>
      </w:pPr>
      <w:r>
        <w:rPr/>
        <w:t>① 血浆促肾上腺皮质激素（ACTH）</w:t>
      </w:r>
      <w:r>
        <w:rPr>
          <w:spacing w:val="-1"/>
        </w:rPr>
        <w:t>水平测定&gt;</w:t>
      </w:r>
      <w:r>
        <w:rPr>
          <w:spacing w:val="-2"/>
        </w:rPr>
        <w:t>100pg/ml；</w:t>
      </w:r>
    </w:p>
    <w:p>
      <w:pPr>
        <w:pStyle w:val="BodyText"/>
        <w:spacing w:line="300" w:lineRule="auto" w:before="67"/>
        <w:ind w:left="957" w:right="1058" w:hanging="360"/>
        <w:jc w:val="both"/>
      </w:pPr>
      <w:r>
        <w:rPr>
          <w:spacing w:val="-1"/>
        </w:rPr>
        <w:t>② 血浆和尿游离皮质醇及尿 </w:t>
      </w:r>
      <w:r>
        <w:rPr/>
        <w:t>17</w:t>
      </w:r>
      <w:r>
        <w:rPr>
          <w:spacing w:val="-11"/>
        </w:rPr>
        <w:t> 羟皮质类固醇、</w:t>
      </w:r>
      <w:r>
        <w:rPr/>
        <w:t>17</w:t>
      </w:r>
      <w:r>
        <w:rPr>
          <w:spacing w:val="-3"/>
        </w:rPr>
        <w:t> 酮皮质类固醇</w:t>
      </w:r>
      <w:r>
        <w:rPr>
          <w:w w:val="95"/>
        </w:rPr>
        <w:t>测</w:t>
      </w:r>
      <w:r>
        <w:rPr>
          <w:w w:val="95"/>
        </w:rPr>
        <w:t>定、血浆肾素活性、血</w:t>
      </w:r>
      <w:r>
        <w:rPr>
          <w:w w:val="95"/>
        </w:rPr>
        <w:t>管</w:t>
      </w:r>
      <w:r>
        <w:rPr>
          <w:w w:val="95"/>
        </w:rPr>
        <w:t>紧</w:t>
      </w:r>
      <w:r>
        <w:rPr>
          <w:w w:val="95"/>
        </w:rPr>
        <w:t>张素 II 和醛固酮</w:t>
      </w:r>
      <w:r>
        <w:rPr>
          <w:w w:val="95"/>
        </w:rPr>
        <w:t>测</w:t>
      </w:r>
      <w:r>
        <w:rPr>
          <w:w w:val="95"/>
        </w:rPr>
        <w:t>定</w:t>
      </w:r>
      <w:r>
        <w:rPr>
          <w:w w:val="95"/>
        </w:rPr>
        <w:t>，显</w:t>
      </w:r>
      <w:r>
        <w:rPr>
          <w:w w:val="95"/>
        </w:rPr>
        <w:t>示</w:t>
      </w:r>
      <w:r>
        <w:rPr>
          <w:w w:val="95"/>
        </w:rPr>
        <w:t>为</w:t>
      </w:r>
      <w:r>
        <w:rPr>
          <w:w w:val="95"/>
        </w:rPr>
        <w:t>原</w:t>
      </w:r>
      <w:r>
        <w:rPr>
          <w:spacing w:val="-2"/>
        </w:rPr>
        <w:t>发性肾上腺皮质功能减退症；</w:t>
      </w:r>
    </w:p>
    <w:p>
      <w:pPr>
        <w:pStyle w:val="BodyText"/>
        <w:spacing w:line="300" w:lineRule="auto" w:before="2"/>
        <w:ind w:left="957" w:right="1062" w:hanging="360"/>
        <w:jc w:val="both"/>
      </w:pPr>
      <w:r>
        <w:rPr/>
        <w:t>③ 促肾上腺皮质激素（ACTH）刺激试验显示为原发性肾上腺皮质</w:t>
      </w:r>
      <w:r>
        <w:rPr>
          <w:spacing w:val="-2"/>
        </w:rPr>
        <w:t>功能减退症。</w:t>
      </w:r>
    </w:p>
    <w:p>
      <w:pPr>
        <w:pStyle w:val="ListParagraph"/>
        <w:numPr>
          <w:ilvl w:val="0"/>
          <w:numId w:val="37"/>
        </w:numPr>
        <w:tabs>
          <w:tab w:pos="707" w:val="left" w:leader="none"/>
        </w:tabs>
        <w:spacing w:line="268" w:lineRule="exact" w:before="0" w:after="0"/>
        <w:ind w:left="706" w:right="0" w:hanging="530"/>
        <w:jc w:val="both"/>
        <w:rPr>
          <w:sz w:val="21"/>
        </w:rPr>
      </w:pPr>
      <w:r>
        <w:rPr>
          <w:spacing w:val="-6"/>
          <w:sz w:val="21"/>
        </w:rPr>
        <w:t>已经采用皮质类固醇替代治疗 </w:t>
      </w:r>
      <w:r>
        <w:rPr>
          <w:spacing w:val="-2"/>
          <w:sz w:val="21"/>
        </w:rPr>
        <w:t>180</w:t>
      </w:r>
      <w:r>
        <w:rPr>
          <w:spacing w:val="-14"/>
          <w:sz w:val="21"/>
        </w:rPr>
        <w:t> 天以上。</w:t>
      </w:r>
    </w:p>
    <w:p>
      <w:pPr>
        <w:spacing w:line="300" w:lineRule="auto" w:before="69"/>
        <w:ind w:left="177" w:right="1061" w:firstLine="0"/>
        <w:jc w:val="both"/>
        <w:rPr>
          <w:b/>
          <w:sz w:val="21"/>
        </w:rPr>
      </w:pPr>
      <w:r>
        <w:rPr>
          <w:b/>
          <w:spacing w:val="-2"/>
          <w:sz w:val="21"/>
        </w:rPr>
        <w:t>肾上腺结核、HIV</w:t>
      </w:r>
      <w:r>
        <w:rPr>
          <w:b/>
          <w:spacing w:val="-6"/>
          <w:sz w:val="21"/>
        </w:rPr>
        <w:t> 感染或艾滋病感染、肿瘤所致的原发性肾上腺皮质功</w:t>
      </w:r>
      <w:r>
        <w:rPr>
          <w:b/>
          <w:spacing w:val="-2"/>
          <w:sz w:val="21"/>
        </w:rPr>
        <w:t>能减退和继发性肾上腺皮质功能减退不在本保障范围内。</w:t>
      </w:r>
    </w:p>
    <w:p>
      <w:pPr>
        <w:spacing w:after="0" w:line="300" w:lineRule="auto"/>
        <w:jc w:val="both"/>
        <w:rPr>
          <w:sz w:val="21"/>
        </w:rPr>
        <w:sectPr>
          <w:type w:val="continuous"/>
          <w:pgSz w:w="11910" w:h="16840"/>
          <w:pgMar w:header="0" w:footer="857" w:top="320" w:bottom="1040" w:left="1100" w:right="260"/>
          <w:cols w:num="2" w:equalWidth="0">
            <w:col w:w="2774" w:space="40"/>
            <w:col w:w="7736"/>
          </w:cols>
        </w:sectPr>
      </w:pPr>
    </w:p>
    <w:p>
      <w:pPr>
        <w:pStyle w:val="BodyText"/>
        <w:spacing w:before="7"/>
        <w:rPr>
          <w:b/>
          <w:sz w:val="27"/>
        </w:rPr>
      </w:pPr>
    </w:p>
    <w:p>
      <w:pPr>
        <w:spacing w:line="300" w:lineRule="auto" w:before="72"/>
        <w:ind w:left="2990" w:right="1058" w:hanging="2766"/>
        <w:jc w:val="both"/>
        <w:rPr>
          <w:b/>
          <w:sz w:val="21"/>
        </w:rPr>
      </w:pPr>
      <w:r>
        <w:rPr>
          <w:sz w:val="21"/>
        </w:rPr>
        <w:t>（四十五）埃博拉病毒感染 受埃博拉病毒感染导致出血性发热。埃博拉病必须经传染病专科医生确</w:t>
      </w:r>
      <w:r>
        <w:rPr>
          <w:spacing w:val="-2"/>
          <w:sz w:val="21"/>
        </w:rPr>
        <w:t>诊，并且埃博拉病毒的存在必须经过实验室检查证实。</w:t>
      </w:r>
      <w:r>
        <w:rPr>
          <w:b/>
          <w:spacing w:val="-2"/>
          <w:sz w:val="21"/>
        </w:rPr>
        <w:t>该病必须从症状</w:t>
      </w:r>
      <w:r>
        <w:rPr>
          <w:b/>
          <w:spacing w:val="-8"/>
          <w:sz w:val="21"/>
        </w:rPr>
        <w:t>开始 </w:t>
      </w:r>
      <w:r>
        <w:rPr>
          <w:b/>
          <w:sz w:val="21"/>
        </w:rPr>
        <w:t>30</w:t>
      </w:r>
      <w:r>
        <w:rPr>
          <w:b/>
          <w:spacing w:val="-5"/>
          <w:sz w:val="21"/>
        </w:rPr>
        <w:t> 天后持续出现并发症。</w:t>
      </w:r>
    </w:p>
    <w:p>
      <w:pPr>
        <w:pStyle w:val="BodyText"/>
        <w:spacing w:before="6"/>
        <w:rPr>
          <w:b/>
          <w:sz w:val="27"/>
        </w:rPr>
      </w:pPr>
    </w:p>
    <w:p>
      <w:pPr>
        <w:spacing w:after="0"/>
        <w:rPr>
          <w:sz w:val="27"/>
        </w:rPr>
        <w:sectPr>
          <w:type w:val="continuous"/>
          <w:pgSz w:w="11910" w:h="16840"/>
          <w:pgMar w:header="0" w:footer="857" w:top="320" w:bottom="1040" w:left="1100" w:right="260"/>
        </w:sectPr>
      </w:pPr>
    </w:p>
    <w:p>
      <w:pPr>
        <w:pStyle w:val="BodyText"/>
        <w:spacing w:line="300" w:lineRule="auto" w:before="72"/>
        <w:ind w:left="225"/>
      </w:pPr>
      <w:r>
        <w:rPr>
          <w:spacing w:val="-2"/>
        </w:rPr>
        <w:t>（四十六</w:t>
      </w:r>
      <w:r>
        <w:rPr>
          <w:spacing w:val="-94"/>
        </w:rPr>
        <w:t>）</w:t>
      </w:r>
      <w:r>
        <w:rPr>
          <w:spacing w:val="-18"/>
        </w:rPr>
        <w:t>侵蚀性葡萄胎</w:t>
      </w:r>
      <w:r>
        <w:rPr>
          <w:spacing w:val="-2"/>
        </w:rPr>
        <w:t>（</w:t>
      </w:r>
      <w:r>
        <w:rPr>
          <w:spacing w:val="-2"/>
        </w:rPr>
        <w:t>或</w:t>
      </w:r>
      <w:r>
        <w:rPr>
          <w:spacing w:val="-2"/>
        </w:rPr>
        <w:t>称恶性葡萄胎）</w:t>
      </w:r>
    </w:p>
    <w:p>
      <w:pPr>
        <w:pStyle w:val="BodyText"/>
        <w:spacing w:line="300" w:lineRule="auto" w:before="72"/>
        <w:ind w:left="176" w:right="1058"/>
        <w:jc w:val="both"/>
      </w:pPr>
      <w:r>
        <w:rPr/>
        <w:br w:type="column"/>
      </w:r>
      <w:r>
        <w:rPr>
          <w:spacing w:val="-2"/>
        </w:rPr>
        <w:t>指异常增生的绒毛组织浸润性生长，侵入子宫肌层引起组织破坏或转移</w:t>
      </w:r>
      <w:r>
        <w:rPr>
          <w:spacing w:val="-2"/>
        </w:rPr>
        <w:t>至其他器官或组织的葡萄胎，经病理学检查结果明确诊断，并须实际实</w:t>
      </w:r>
      <w:r>
        <w:rPr>
          <w:spacing w:val="-2"/>
        </w:rPr>
        <w:t>施了化疗及手术切除治疗。</w:t>
      </w:r>
    </w:p>
    <w:p>
      <w:pPr>
        <w:spacing w:after="0" w:line="300" w:lineRule="auto"/>
        <w:jc w:val="both"/>
        <w:sectPr>
          <w:type w:val="continuous"/>
          <w:pgSz w:w="11910" w:h="16840"/>
          <w:pgMar w:header="0" w:footer="857" w:top="320" w:bottom="1040" w:left="1100" w:right="260"/>
          <w:cols w:num="2" w:equalWidth="0">
            <w:col w:w="2775" w:space="40"/>
            <w:col w:w="7735"/>
          </w:cols>
        </w:sectPr>
      </w:pPr>
    </w:p>
    <w:p>
      <w:pPr>
        <w:pStyle w:val="BodyText"/>
        <w:spacing w:before="9"/>
        <w:rPr>
          <w:sz w:val="27"/>
        </w:rPr>
      </w:pPr>
    </w:p>
    <w:p>
      <w:pPr>
        <w:pStyle w:val="BodyText"/>
        <w:spacing w:line="300" w:lineRule="auto" w:before="71"/>
        <w:ind w:left="2990" w:right="1058" w:hanging="2766"/>
        <w:jc w:val="both"/>
      </w:pPr>
      <w:r>
        <w:rPr/>
        <w:t>（四十七）肺源性心脏病</w:t>
      </w:r>
      <w:r>
        <w:rPr>
          <w:spacing w:val="80"/>
          <w:w w:val="150"/>
        </w:rPr>
        <w:t>  </w:t>
      </w:r>
      <w:r>
        <w:rPr/>
        <w:t>指被保险人因慢性肺部疾病导致慢性心功能损害造成永久不可逆性的</w:t>
      </w:r>
      <w:r>
        <w:rPr>
          <w:spacing w:val="-2"/>
        </w:rPr>
        <w:t>心功能衰竭。已经造成永久不可逆性的体力活动能力受限，达到美国纽</w:t>
      </w:r>
      <w:r>
        <w:rPr/>
        <w:t>约心脏病学会（New</w:t>
      </w:r>
      <w:r>
        <w:rPr>
          <w:spacing w:val="-15"/>
        </w:rPr>
        <w:t> </w:t>
      </w:r>
      <w:r>
        <w:rPr/>
        <w:t>York</w:t>
      </w:r>
      <w:r>
        <w:rPr>
          <w:spacing w:val="-17"/>
        </w:rPr>
        <w:t> </w:t>
      </w:r>
      <w:r>
        <w:rPr/>
        <w:t>Heart</w:t>
      </w:r>
      <w:r>
        <w:rPr>
          <w:spacing w:val="-17"/>
        </w:rPr>
        <w:t> </w:t>
      </w:r>
      <w:r>
        <w:rPr/>
        <w:t>Association，NYHA）心功能状态分级 IV</w:t>
      </w:r>
      <w:r>
        <w:rPr>
          <w:spacing w:val="-6"/>
        </w:rPr>
        <w:t> 级，且静息状态下肺动脉平均压在 </w:t>
      </w:r>
      <w:r>
        <w:rPr/>
        <w:t>36mmHg（含）以上。</w:t>
      </w:r>
    </w:p>
    <w:p>
      <w:pPr>
        <w:pStyle w:val="BodyText"/>
        <w:rPr>
          <w:sz w:val="20"/>
        </w:rPr>
      </w:pPr>
    </w:p>
    <w:p>
      <w:pPr>
        <w:pStyle w:val="BodyText"/>
        <w:spacing w:before="170"/>
        <w:ind w:left="225"/>
      </w:pPr>
      <w:r>
        <w:rPr/>
        <w:t>（四十八）</w:t>
      </w:r>
      <w:r>
        <w:rPr>
          <w:spacing w:val="-1"/>
        </w:rPr>
        <w:t>原发性硬化性胆 指一种胆汁淤积综合征，其特征是肝内、肝外胆道因纤维化性炎症逐渐</w:t>
      </w:r>
    </w:p>
    <w:p>
      <w:pPr>
        <w:spacing w:after="0"/>
        <w:sectPr>
          <w:type w:val="continuous"/>
          <w:pgSz w:w="11910" w:h="16840"/>
          <w:pgMar w:header="0" w:footer="857" w:top="320" w:bottom="1040" w:left="1100" w:right="260"/>
        </w:sectPr>
      </w:pPr>
    </w:p>
    <w:p>
      <w:pPr>
        <w:pStyle w:val="BodyText"/>
        <w:tabs>
          <w:tab w:pos="2990" w:val="left" w:leader="none"/>
        </w:tabs>
        <w:spacing w:line="300" w:lineRule="auto" w:before="60"/>
        <w:ind w:left="2990" w:right="1060" w:hanging="2766"/>
      </w:pPr>
      <w:r>
        <w:rPr>
          <w:spacing w:val="-6"/>
        </w:rPr>
        <w:t>管</w:t>
      </w:r>
      <w:r>
        <w:rPr>
          <w:spacing w:val="-6"/>
        </w:rPr>
        <w:t>炎</w:t>
      </w:r>
      <w:r>
        <w:rPr/>
        <w:tab/>
      </w:r>
      <w:r>
        <w:rPr>
          <w:spacing w:val="-2"/>
        </w:rPr>
        <w:t>狭窄，并最终导致完</w:t>
      </w:r>
      <w:r>
        <w:rPr>
          <w:spacing w:val="-2"/>
        </w:rPr>
        <w:t>全</w:t>
      </w:r>
      <w:r>
        <w:rPr>
          <w:spacing w:val="-2"/>
        </w:rPr>
        <w:t>阻</w:t>
      </w:r>
      <w:r>
        <w:rPr>
          <w:spacing w:val="-2"/>
        </w:rPr>
        <w:t>塞</w:t>
      </w:r>
      <w:r>
        <w:rPr>
          <w:spacing w:val="-2"/>
        </w:rPr>
        <w:t>而</w:t>
      </w:r>
      <w:r>
        <w:rPr>
          <w:spacing w:val="-2"/>
        </w:rPr>
        <w:t>发展为肝</w:t>
      </w:r>
      <w:r>
        <w:rPr>
          <w:spacing w:val="-2"/>
        </w:rPr>
        <w:t>硬</w:t>
      </w:r>
      <w:r>
        <w:rPr>
          <w:spacing w:val="-2"/>
        </w:rPr>
        <w:t>化</w:t>
      </w:r>
      <w:r>
        <w:rPr>
          <w:spacing w:val="-2"/>
        </w:rPr>
        <w:t>。</w:t>
      </w:r>
      <w:r>
        <w:rPr>
          <w:spacing w:val="-2"/>
        </w:rPr>
        <w:t>本</w:t>
      </w:r>
      <w:r>
        <w:rPr>
          <w:spacing w:val="-2"/>
        </w:rPr>
        <w:t>病</w:t>
      </w:r>
      <w:r>
        <w:rPr>
          <w:spacing w:val="-2"/>
        </w:rPr>
        <w:t>须</w:t>
      </w:r>
      <w:r>
        <w:rPr>
          <w:spacing w:val="-2"/>
        </w:rPr>
        <w:t>经</w:t>
      </w:r>
      <w:r>
        <w:rPr>
          <w:spacing w:val="-2"/>
        </w:rPr>
        <w:t>内镜逆行胰</w:t>
      </w:r>
      <w:r>
        <w:rPr>
          <w:spacing w:val="-2"/>
        </w:rPr>
        <w:t>胆</w:t>
      </w:r>
      <w:r>
        <w:rPr>
          <w:spacing w:val="-2"/>
        </w:rPr>
        <w:t>管</w:t>
      </w:r>
      <w:r>
        <w:rPr>
          <w:spacing w:val="-2"/>
        </w:rPr>
        <w:t>造</w:t>
      </w:r>
      <w:r>
        <w:rPr>
          <w:spacing w:val="-2"/>
        </w:rPr>
        <w:t>影</w:t>
      </w:r>
      <w:r>
        <w:rPr>
          <w:spacing w:val="-2"/>
        </w:rPr>
        <w:t>等影像学检查证实，</w:t>
      </w:r>
      <w:r>
        <w:rPr>
          <w:spacing w:val="-2"/>
        </w:rPr>
        <w:t>并</w:t>
      </w:r>
      <w:r>
        <w:rPr>
          <w:spacing w:val="-2"/>
        </w:rPr>
        <w:t>须</w:t>
      </w:r>
      <w:r>
        <w:rPr>
          <w:spacing w:val="-2"/>
        </w:rPr>
        <w:t>满足下列全部条</w:t>
      </w:r>
      <w:r>
        <w:rPr>
          <w:spacing w:val="-2"/>
        </w:rPr>
        <w:t>件</w:t>
      </w:r>
      <w:r>
        <w:rPr>
          <w:spacing w:val="-2"/>
        </w:rPr>
        <w:t>：</w:t>
      </w:r>
    </w:p>
    <w:p>
      <w:pPr>
        <w:pStyle w:val="ListParagraph"/>
        <w:numPr>
          <w:ilvl w:val="1"/>
          <w:numId w:val="37"/>
        </w:numPr>
        <w:tabs>
          <w:tab w:pos="3520" w:val="left" w:leader="none"/>
        </w:tabs>
        <w:spacing w:line="268" w:lineRule="exact" w:before="0" w:after="0"/>
        <w:ind w:left="3519" w:right="0" w:hanging="530"/>
        <w:jc w:val="left"/>
        <w:rPr>
          <w:sz w:val="21"/>
        </w:rPr>
      </w:pPr>
      <w:r>
        <w:rPr>
          <w:spacing w:val="1"/>
          <w:sz w:val="21"/>
        </w:rPr>
        <w:t>总胆红素和直接胆红素同时升高，血清</w:t>
      </w:r>
      <w:r>
        <w:rPr>
          <w:spacing w:val="-2"/>
          <w:sz w:val="21"/>
        </w:rPr>
        <w:t>ALP&gt;200U/L；</w:t>
      </w:r>
    </w:p>
    <w:p>
      <w:pPr>
        <w:pStyle w:val="ListParagraph"/>
        <w:numPr>
          <w:ilvl w:val="1"/>
          <w:numId w:val="37"/>
        </w:numPr>
        <w:tabs>
          <w:tab w:pos="3520" w:val="left" w:leader="none"/>
        </w:tabs>
        <w:spacing w:line="240" w:lineRule="auto" w:before="67" w:after="0"/>
        <w:ind w:left="3519" w:right="0" w:hanging="530"/>
        <w:jc w:val="left"/>
        <w:rPr>
          <w:sz w:val="21"/>
        </w:rPr>
      </w:pPr>
      <w:r>
        <w:rPr>
          <w:spacing w:val="-4"/>
          <w:sz w:val="21"/>
        </w:rPr>
        <w:t>持续性黄疸病史；</w:t>
      </w:r>
    </w:p>
    <w:p>
      <w:pPr>
        <w:pStyle w:val="ListParagraph"/>
        <w:numPr>
          <w:ilvl w:val="1"/>
          <w:numId w:val="37"/>
        </w:numPr>
        <w:tabs>
          <w:tab w:pos="3520" w:val="left" w:leader="none"/>
        </w:tabs>
        <w:spacing w:line="240" w:lineRule="auto" w:before="70" w:after="0"/>
        <w:ind w:left="3519" w:right="0" w:hanging="530"/>
        <w:jc w:val="left"/>
        <w:rPr>
          <w:sz w:val="21"/>
        </w:rPr>
      </w:pPr>
      <w:r>
        <w:rPr>
          <w:spacing w:val="-3"/>
          <w:sz w:val="21"/>
        </w:rPr>
        <w:t>出现胆汁性肝硬化或门脉高压。</w:t>
      </w:r>
    </w:p>
    <w:p>
      <w:pPr>
        <w:spacing w:before="67"/>
        <w:ind w:left="2990" w:right="0" w:firstLine="0"/>
        <w:jc w:val="left"/>
        <w:rPr>
          <w:b/>
          <w:sz w:val="21"/>
        </w:rPr>
      </w:pPr>
      <w:r>
        <w:rPr>
          <w:b/>
          <w:spacing w:val="-3"/>
          <w:sz w:val="21"/>
        </w:rPr>
        <w:t>因肿瘤或胆管损伤等继发性的硬化性胆管炎不在本保障范围内。</w:t>
      </w:r>
    </w:p>
    <w:p>
      <w:pPr>
        <w:pStyle w:val="BodyText"/>
        <w:rPr>
          <w:b/>
          <w:sz w:val="20"/>
        </w:rPr>
      </w:pPr>
    </w:p>
    <w:p>
      <w:pPr>
        <w:spacing w:after="0"/>
        <w:rPr>
          <w:sz w:val="20"/>
        </w:rPr>
        <w:sectPr>
          <w:pgSz w:w="11910" w:h="16840"/>
          <w:pgMar w:header="0" w:footer="857" w:top="1420" w:bottom="1180" w:left="1100" w:right="260"/>
        </w:sectPr>
      </w:pPr>
    </w:p>
    <w:p>
      <w:pPr>
        <w:pStyle w:val="BodyText"/>
        <w:spacing w:before="4"/>
        <w:rPr>
          <w:b/>
          <w:sz w:val="18"/>
        </w:rPr>
      </w:pPr>
    </w:p>
    <w:p>
      <w:pPr>
        <w:pStyle w:val="BodyText"/>
        <w:spacing w:line="297" w:lineRule="auto" w:before="1"/>
        <w:ind w:left="225"/>
      </w:pPr>
      <w:r>
        <w:rPr>
          <w:spacing w:val="-2"/>
        </w:rPr>
        <w:t>（四十九）严重感染性心内</w:t>
      </w:r>
      <w:r>
        <w:rPr>
          <w:spacing w:val="-6"/>
        </w:rPr>
        <w:t>膜炎</w:t>
      </w:r>
    </w:p>
    <w:p>
      <w:pPr>
        <w:spacing w:line="240" w:lineRule="auto" w:before="4"/>
        <w:rPr>
          <w:sz w:val="18"/>
        </w:rPr>
      </w:pPr>
      <w:r>
        <w:rPr/>
        <w:br w:type="column"/>
      </w:r>
      <w:r>
        <w:rPr>
          <w:sz w:val="18"/>
        </w:rPr>
      </w:r>
    </w:p>
    <w:p>
      <w:pPr>
        <w:pStyle w:val="BodyText"/>
        <w:spacing w:line="297" w:lineRule="auto" w:before="1"/>
        <w:ind w:left="178" w:right="955"/>
      </w:pPr>
      <w:r>
        <w:rPr>
          <w:spacing w:val="-4"/>
        </w:rPr>
        <w:t>指因细菌、真菌和其他微生物（如病毒、立克次体、衣原体、螺旋体等）</w:t>
      </w:r>
      <w:r>
        <w:rPr>
          <w:spacing w:val="-2"/>
        </w:rPr>
        <w:t>直接感染而产生心瓣膜或心室壁内膜的炎症，须经心脏专科医生确诊，</w:t>
      </w:r>
      <w:r>
        <w:rPr>
          <w:spacing w:val="-2"/>
        </w:rPr>
        <w:t>并符合以下所有条件：</w:t>
      </w:r>
    </w:p>
    <w:p>
      <w:pPr>
        <w:pStyle w:val="ListParagraph"/>
        <w:numPr>
          <w:ilvl w:val="0"/>
          <w:numId w:val="38"/>
        </w:numPr>
        <w:tabs>
          <w:tab w:pos="708" w:val="left" w:leader="none"/>
        </w:tabs>
        <w:spacing w:line="240" w:lineRule="auto" w:before="2" w:after="0"/>
        <w:ind w:left="707" w:right="0" w:hanging="530"/>
        <w:jc w:val="left"/>
        <w:rPr>
          <w:sz w:val="21"/>
        </w:rPr>
      </w:pPr>
      <w:r>
        <w:rPr>
          <w:spacing w:val="-3"/>
          <w:sz w:val="21"/>
        </w:rPr>
        <w:t>血液培养测试结果为阳性，并至少符合以下条件之一：</w:t>
      </w:r>
    </w:p>
    <w:p>
      <w:pPr>
        <w:pStyle w:val="BodyText"/>
        <w:spacing w:line="297" w:lineRule="auto" w:before="65"/>
        <w:ind w:left="178" w:right="1058"/>
      </w:pPr>
      <w:r>
        <w:rPr>
          <w:spacing w:val="-2"/>
        </w:rPr>
        <w:t>①微生物：在赘生物，栓塞的赘生物或心脏内脓肿培养或组织检查证实</w:t>
      </w:r>
      <w:r>
        <w:rPr>
          <w:spacing w:val="-2"/>
        </w:rPr>
        <w:t>有微生物；</w:t>
      </w:r>
    </w:p>
    <w:p>
      <w:pPr>
        <w:pStyle w:val="BodyText"/>
        <w:ind w:left="178"/>
      </w:pPr>
      <w:r>
        <w:rPr>
          <w:spacing w:val="-3"/>
        </w:rPr>
        <w:t>②病理性病灶：组织检查证实赘生物或心脏内脓肿有活动性心内膜炎；</w:t>
      </w:r>
    </w:p>
    <w:p>
      <w:pPr>
        <w:pStyle w:val="BodyText"/>
        <w:spacing w:before="64"/>
        <w:ind w:left="178"/>
      </w:pPr>
      <w:r>
        <w:rPr>
          <w:spacing w:val="-3"/>
        </w:rPr>
        <w:t>③分别两次血液培养证实有典型的微生物且与心内膜炎符合；</w:t>
      </w:r>
    </w:p>
    <w:p>
      <w:pPr>
        <w:pStyle w:val="BodyText"/>
        <w:spacing w:before="67"/>
        <w:ind w:left="178"/>
      </w:pPr>
      <w:r>
        <w:rPr>
          <w:spacing w:val="-3"/>
        </w:rPr>
        <w:t>④持续血液培养证实有微生物阳性反应，且与心内膜炎符合。</w:t>
      </w:r>
    </w:p>
    <w:p>
      <w:pPr>
        <w:pStyle w:val="ListParagraph"/>
        <w:numPr>
          <w:ilvl w:val="0"/>
          <w:numId w:val="38"/>
        </w:numPr>
        <w:tabs>
          <w:tab w:pos="708" w:val="left" w:leader="none"/>
        </w:tabs>
        <w:spacing w:line="297" w:lineRule="auto" w:before="65" w:after="0"/>
        <w:ind w:left="178" w:right="1058" w:firstLine="0"/>
        <w:jc w:val="left"/>
        <w:rPr>
          <w:sz w:val="21"/>
        </w:rPr>
      </w:pPr>
      <w:r>
        <w:rPr>
          <w:sz w:val="21"/>
        </w:rPr>
        <w:t>心内膜炎引起中度心瓣膜关闭不全（</w:t>
      </w:r>
      <w:r>
        <w:rPr>
          <w:spacing w:val="-7"/>
          <w:sz w:val="21"/>
        </w:rPr>
        <w:t>指返流指数 </w:t>
      </w:r>
      <w:r>
        <w:rPr>
          <w:sz w:val="21"/>
        </w:rPr>
        <w:t>20%或以上）或</w:t>
      </w:r>
      <w:r>
        <w:rPr>
          <w:spacing w:val="-2"/>
          <w:sz w:val="21"/>
        </w:rPr>
        <w:t>中度心瓣膜狭窄（</w:t>
      </w:r>
      <w:r>
        <w:rPr>
          <w:spacing w:val="-5"/>
          <w:sz w:val="21"/>
        </w:rPr>
        <w:t>指心瓣膜开口范围小于或等于正常的 </w:t>
      </w:r>
      <w:r>
        <w:rPr>
          <w:spacing w:val="41"/>
          <w:sz w:val="21"/>
        </w:rPr>
        <w:t>30</w:t>
      </w:r>
      <w:r>
        <w:rPr>
          <w:spacing w:val="38"/>
          <w:sz w:val="21"/>
        </w:rPr>
        <w:t>%</w:t>
      </w:r>
      <w:r>
        <w:rPr>
          <w:spacing w:val="-65"/>
          <w:sz w:val="21"/>
        </w:rPr>
        <w:t>）；</w:t>
      </w:r>
    </w:p>
    <w:p>
      <w:pPr>
        <w:pStyle w:val="ListParagraph"/>
        <w:numPr>
          <w:ilvl w:val="0"/>
          <w:numId w:val="38"/>
        </w:numPr>
        <w:tabs>
          <w:tab w:pos="708" w:val="left" w:leader="none"/>
        </w:tabs>
        <w:spacing w:line="240" w:lineRule="auto" w:before="0" w:after="0"/>
        <w:ind w:left="707" w:right="0" w:hanging="530"/>
        <w:jc w:val="left"/>
        <w:rPr>
          <w:sz w:val="21"/>
        </w:rPr>
      </w:pPr>
      <w:r>
        <w:rPr>
          <w:spacing w:val="-3"/>
          <w:sz w:val="21"/>
        </w:rPr>
        <w:t>心内膜炎及心瓣膜损毁程度需经由心脏专科医生确诊。</w:t>
      </w:r>
    </w:p>
    <w:p>
      <w:pPr>
        <w:spacing w:after="0" w:line="240" w:lineRule="auto"/>
        <w:jc w:val="left"/>
        <w:rPr>
          <w:sz w:val="21"/>
        </w:rPr>
        <w:sectPr>
          <w:type w:val="continuous"/>
          <w:pgSz w:w="11910" w:h="16840"/>
          <w:pgMar w:header="0" w:footer="857" w:top="320" w:bottom="1040" w:left="1100" w:right="260"/>
          <w:cols w:num="2" w:equalWidth="0">
            <w:col w:w="2773" w:space="40"/>
            <w:col w:w="7737"/>
          </w:cols>
        </w:sectPr>
      </w:pPr>
    </w:p>
    <w:p>
      <w:pPr>
        <w:pStyle w:val="BodyText"/>
        <w:rPr>
          <w:sz w:val="20"/>
        </w:rPr>
      </w:pPr>
    </w:p>
    <w:p>
      <w:pPr>
        <w:spacing w:after="0"/>
        <w:rPr>
          <w:sz w:val="20"/>
        </w:rPr>
        <w:sectPr>
          <w:type w:val="continuous"/>
          <w:pgSz w:w="11910" w:h="16840"/>
          <w:pgMar w:header="0" w:footer="857" w:top="320" w:bottom="1040" w:left="1100" w:right="260"/>
        </w:sectPr>
      </w:pPr>
    </w:p>
    <w:p>
      <w:pPr>
        <w:pStyle w:val="BodyText"/>
        <w:spacing w:before="3"/>
        <w:rPr>
          <w:sz w:val="18"/>
        </w:rPr>
      </w:pPr>
    </w:p>
    <w:p>
      <w:pPr>
        <w:pStyle w:val="BodyText"/>
        <w:spacing w:line="297" w:lineRule="auto"/>
        <w:ind w:left="225"/>
      </w:pPr>
      <w:r>
        <w:rPr>
          <w:spacing w:val="-2"/>
        </w:rPr>
        <w:t>（五十）溶血性链球菌引起</w:t>
      </w:r>
      <w:r>
        <w:rPr>
          <w:spacing w:val="-4"/>
        </w:rPr>
        <w:t>的坏疽</w:t>
      </w:r>
    </w:p>
    <w:p>
      <w:pPr>
        <w:spacing w:line="240" w:lineRule="auto" w:before="3"/>
        <w:rPr>
          <w:sz w:val="18"/>
        </w:rPr>
      </w:pPr>
      <w:r>
        <w:rPr/>
        <w:br w:type="column"/>
      </w:r>
      <w:r>
        <w:rPr>
          <w:sz w:val="18"/>
        </w:rPr>
      </w:r>
    </w:p>
    <w:p>
      <w:pPr>
        <w:pStyle w:val="BodyText"/>
        <w:spacing w:line="297" w:lineRule="auto"/>
        <w:ind w:left="177" w:right="1058"/>
        <w:jc w:val="both"/>
      </w:pPr>
      <w:r>
        <w:rPr>
          <w:spacing w:val="-2"/>
        </w:rPr>
        <w:t>指包围肢体或躯干的浅筋膜或深筋膜受到溶血性链球菌的感染，病情在</w:t>
      </w:r>
      <w:r>
        <w:rPr>
          <w:spacing w:val="-2"/>
        </w:rPr>
        <w:t>短时间内急剧恶化，且已经立刻进行了手术及清创术。最后的诊断必须</w:t>
      </w:r>
      <w:r>
        <w:rPr>
          <w:spacing w:val="-2"/>
        </w:rPr>
        <w:t>由微生物或病理学专家进行相关检查后证实。</w:t>
      </w:r>
    </w:p>
    <w:p>
      <w:pPr>
        <w:spacing w:after="0" w:line="297" w:lineRule="auto"/>
        <w:jc w:val="both"/>
        <w:sectPr>
          <w:type w:val="continuous"/>
          <w:pgSz w:w="11910" w:h="16840"/>
          <w:pgMar w:header="0" w:footer="857" w:top="320" w:bottom="1040" w:left="1100" w:right="260"/>
          <w:cols w:num="2" w:equalWidth="0">
            <w:col w:w="2774" w:space="40"/>
            <w:col w:w="7736"/>
          </w:cols>
        </w:sectPr>
      </w:pPr>
    </w:p>
    <w:p>
      <w:pPr>
        <w:pStyle w:val="BodyText"/>
        <w:spacing w:before="9"/>
        <w:rPr>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（五十一）进行性核上性麻</w:t>
      </w:r>
      <w:r>
        <w:rPr>
          <w:spacing w:val="-2"/>
        </w:rPr>
        <w:t>痹（PSP）</w:t>
      </w:r>
    </w:p>
    <w:p>
      <w:pPr>
        <w:pStyle w:val="BodyText"/>
        <w:spacing w:line="300" w:lineRule="auto" w:before="72"/>
        <w:ind w:left="178" w:right="1058"/>
        <w:jc w:val="both"/>
      </w:pPr>
      <w:r>
        <w:rPr/>
        <w:br w:type="column"/>
      </w:r>
      <w:r>
        <w:rPr>
          <w:spacing w:val="-10"/>
        </w:rPr>
        <w:t>又称 </w:t>
      </w:r>
      <w:r>
        <w:rPr>
          <w:spacing w:val="-2"/>
        </w:rPr>
        <w:t>Steele-Rchardson—Olszewski</w:t>
      </w:r>
      <w:r>
        <w:rPr>
          <w:spacing w:val="-7"/>
        </w:rPr>
        <w:t> 综合征，是一种少见的神经系统变</w:t>
      </w:r>
      <w:r>
        <w:rPr>
          <w:spacing w:val="-2"/>
        </w:rPr>
        <w:t>性疾病，以假球麻痹、垂直性核上性眼肌麻痹、锥体外系肌僵直、步态</w:t>
      </w:r>
      <w:r>
        <w:rPr/>
        <w:t>共济失调和轻度痴呆为主要临床特征。PSP</w:t>
      </w:r>
      <w:r>
        <w:rPr>
          <w:spacing w:val="-6"/>
        </w:rPr>
        <w:t> 必须由三级甲等医院的神经</w:t>
      </w:r>
      <w:r>
        <w:rPr>
          <w:spacing w:val="-2"/>
        </w:rPr>
        <w:t>内科专科医生确诊，并且被保险人自主生活能力完全丧失，无法独立完</w:t>
      </w:r>
      <w:r>
        <w:rPr>
          <w:spacing w:val="-2"/>
        </w:rPr>
        <w:t>成六项基本日常生活活动中的三项或三项以上。</w:t>
      </w:r>
    </w:p>
    <w:p>
      <w:pPr>
        <w:spacing w:after="0" w:line="300" w:lineRule="auto"/>
        <w:jc w:val="both"/>
        <w:sectPr>
          <w:type w:val="continuous"/>
          <w:pgSz w:w="11910" w:h="16840"/>
          <w:pgMar w:header="0" w:footer="857" w:top="320" w:bottom="1040" w:left="1100" w:right="260"/>
          <w:cols w:num="2" w:equalWidth="0">
            <w:col w:w="2773" w:space="40"/>
            <w:col w:w="7737"/>
          </w:cols>
        </w:sectPr>
      </w:pPr>
    </w:p>
    <w:p>
      <w:pPr>
        <w:pStyle w:val="BodyText"/>
        <w:spacing w:before="8"/>
        <w:rPr>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（五十二）肺泡蛋白质沉积</w:t>
      </w:r>
      <w:r>
        <w:rPr>
          <w:spacing w:val="-10"/>
        </w:rPr>
        <w:t>症</w:t>
      </w:r>
    </w:p>
    <w:p>
      <w:pPr>
        <w:pStyle w:val="BodyText"/>
        <w:spacing w:line="300" w:lineRule="auto" w:before="72"/>
        <w:ind w:left="176" w:right="1058"/>
        <w:jc w:val="both"/>
      </w:pPr>
      <w:r>
        <w:rPr/>
        <w:br w:type="column"/>
      </w:r>
      <w:r>
        <w:rPr>
          <w:w w:val="95"/>
        </w:rPr>
        <w:t>指</w:t>
      </w:r>
      <w:r>
        <w:rPr>
          <w:w w:val="95"/>
        </w:rPr>
        <w:t>肺</w:t>
      </w:r>
      <w:r>
        <w:rPr>
          <w:w w:val="95"/>
        </w:rPr>
        <w:t>泡和细支气管腔内充</w:t>
      </w:r>
      <w:r>
        <w:rPr>
          <w:w w:val="95"/>
        </w:rPr>
        <w:t>满</w:t>
      </w:r>
      <w:r>
        <w:rPr>
          <w:w w:val="95"/>
        </w:rPr>
        <w:t>不</w:t>
      </w:r>
      <w:r>
        <w:rPr>
          <w:w w:val="95"/>
        </w:rPr>
        <w:t>可溶性富磷脂蛋白的疾病，胸部</w:t>
      </w:r>
      <w:r>
        <w:rPr>
          <w:spacing w:val="35"/>
        </w:rPr>
        <w:t> </w:t>
      </w:r>
      <w:r>
        <w:rPr>
          <w:w w:val="95"/>
        </w:rPr>
        <w:t>X</w:t>
      </w:r>
      <w:r>
        <w:rPr/>
        <w:t> </w:t>
      </w:r>
      <w:r>
        <w:rPr>
          <w:w w:val="95"/>
        </w:rPr>
        <w:t>线呈双</w:t>
      </w:r>
      <w:r>
        <w:rPr>
          <w:spacing w:val="-2"/>
        </w:rPr>
        <w:t>肺弥漫性肺部磨玻璃影，病理学检查肺泡内充满有过碘酸雪夫</w:t>
      </w:r>
      <w:r>
        <w:rPr>
          <w:spacing w:val="-2"/>
        </w:rPr>
        <w:t>（PAS）</w:t>
      </w:r>
      <w:r>
        <w:rPr>
          <w:spacing w:val="-2"/>
        </w:rPr>
        <w:t>染色阳性的蛋白样物质，并且接受了肺灌洗治疗。</w:t>
      </w:r>
    </w:p>
    <w:p>
      <w:pPr>
        <w:spacing w:after="0" w:line="300" w:lineRule="auto"/>
        <w:jc w:val="both"/>
        <w:sectPr>
          <w:type w:val="continuous"/>
          <w:pgSz w:w="11910" w:h="16840"/>
          <w:pgMar w:header="0" w:footer="857" w:top="320" w:bottom="1040" w:left="1100" w:right="260"/>
          <w:cols w:num="2" w:equalWidth="0">
            <w:col w:w="2775" w:space="40"/>
            <w:col w:w="7735"/>
          </w:cols>
        </w:sectPr>
      </w:pPr>
    </w:p>
    <w:p>
      <w:pPr>
        <w:pStyle w:val="BodyText"/>
        <w:spacing w:before="6"/>
        <w:rPr>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（五十三）严重慢性复发性</w:t>
      </w:r>
      <w:r>
        <w:rPr>
          <w:spacing w:val="-4"/>
        </w:rPr>
        <w:t>胰腺炎</w:t>
      </w:r>
    </w:p>
    <w:p>
      <w:pPr>
        <w:pStyle w:val="BodyText"/>
        <w:spacing w:line="300" w:lineRule="auto" w:before="72"/>
        <w:ind w:left="178" w:right="1038"/>
        <w:jc w:val="both"/>
      </w:pPr>
      <w:r>
        <w:rPr/>
        <w:br w:type="column"/>
      </w:r>
      <w:r>
        <w:rPr>
          <w:spacing w:val="-2"/>
        </w:rPr>
        <w:t>指有腹痛等典型症状的胰腺炎反复发作，导致胰腺进行性破坏，并导致</w:t>
      </w:r>
      <w:r>
        <w:rPr>
          <w:spacing w:val="-4"/>
        </w:rPr>
        <w:t>胰腺功能紊乱而导致严重糖尿病以及营养不良、恶液质。CT</w:t>
      </w:r>
      <w:r>
        <w:rPr>
          <w:spacing w:val="-6"/>
        </w:rPr>
        <w:t> 检查证实胰</w:t>
      </w:r>
      <w:r>
        <w:rPr>
          <w:spacing w:val="-3"/>
        </w:rPr>
        <w:t>腺存在广泛钙化，且必须接受酶替代以及胰岛素替代治疗 </w:t>
      </w:r>
      <w:r>
        <w:rPr>
          <w:spacing w:val="-2"/>
        </w:rPr>
        <w:t>6</w:t>
      </w:r>
      <w:r>
        <w:rPr>
          <w:spacing w:val="-7"/>
        </w:rPr>
        <w:t> 个月以上。</w:t>
      </w:r>
      <w:r>
        <w:rPr>
          <w:spacing w:val="-2"/>
        </w:rPr>
        <w:t>诊断必须由消化科专科医生确诊。</w:t>
      </w:r>
    </w:p>
    <w:p>
      <w:pPr>
        <w:spacing w:before="1"/>
        <w:ind w:left="178" w:right="0" w:firstLine="0"/>
        <w:jc w:val="left"/>
        <w:rPr>
          <w:sz w:val="21"/>
        </w:rPr>
      </w:pPr>
      <w:r>
        <w:rPr>
          <w:b/>
          <w:spacing w:val="-2"/>
          <w:sz w:val="21"/>
        </w:rPr>
        <w:t>酒精导致的慢性复发性胰腺炎不在本保障范围内</w:t>
      </w:r>
      <w:r>
        <w:rPr>
          <w:spacing w:val="-10"/>
          <w:sz w:val="21"/>
        </w:rPr>
        <w:t>。</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spacing w:line="300" w:lineRule="auto" w:before="60"/>
        <w:ind w:left="2990" w:right="1058" w:hanging="2766"/>
        <w:jc w:val="both"/>
      </w:pPr>
      <w:r>
        <w:rPr/>
        <w:t>（五十四）严重面部烧伤 指烧伤程度为Ⅲ度，且Ⅲ度烧伤的面积达到面部表面积的 80％</w:t>
      </w:r>
      <w:r>
        <w:rPr>
          <w:spacing w:val="-7"/>
        </w:rPr>
        <w:t>或 </w:t>
      </w:r>
      <w:r>
        <w:rPr/>
        <w:t>80％</w:t>
      </w:r>
      <w:r>
        <w:rPr>
          <w:spacing w:val="-4"/>
        </w:rPr>
        <w:t>以上。</w:t>
      </w:r>
    </w:p>
    <w:p>
      <w:pPr>
        <w:pStyle w:val="BodyText"/>
        <w:rPr>
          <w:sz w:val="20"/>
        </w:rPr>
      </w:pPr>
    </w:p>
    <w:p>
      <w:pPr>
        <w:pStyle w:val="BodyText"/>
        <w:spacing w:line="300" w:lineRule="auto" w:before="168"/>
        <w:ind w:left="2990" w:right="1060" w:hanging="2766"/>
        <w:jc w:val="both"/>
      </w:pPr>
      <w:r>
        <w:rPr/>
        <w:t>（五十五）肺淋巴管肌瘤病 肺淋巴管肌瘤病是一种弥漫性肺部疾病，主要病理改变为肺间质、支气</w:t>
      </w:r>
      <w:r>
        <w:rPr>
          <w:spacing w:val="-2"/>
        </w:rPr>
        <w:t>管、血管和淋巴管内出现未成熟的平滑肌异常增生，同时需满足下列条</w:t>
      </w:r>
      <w:r>
        <w:rPr>
          <w:spacing w:val="-6"/>
        </w:rPr>
        <w:t>件：</w:t>
      </w:r>
    </w:p>
    <w:p>
      <w:pPr>
        <w:pStyle w:val="ListParagraph"/>
        <w:numPr>
          <w:ilvl w:val="1"/>
          <w:numId w:val="38"/>
        </w:numPr>
        <w:tabs>
          <w:tab w:pos="3520" w:val="left" w:leader="none"/>
        </w:tabs>
        <w:spacing w:line="240" w:lineRule="auto" w:before="2" w:after="0"/>
        <w:ind w:left="3519" w:right="0" w:hanging="530"/>
        <w:jc w:val="left"/>
        <w:rPr>
          <w:sz w:val="21"/>
        </w:rPr>
      </w:pPr>
      <w:r>
        <w:rPr>
          <w:spacing w:val="-3"/>
          <w:sz w:val="21"/>
        </w:rPr>
        <w:t>经组织病理学诊断；</w:t>
      </w:r>
    </w:p>
    <w:p>
      <w:pPr>
        <w:pStyle w:val="ListParagraph"/>
        <w:numPr>
          <w:ilvl w:val="1"/>
          <w:numId w:val="38"/>
        </w:numPr>
        <w:tabs>
          <w:tab w:pos="3520" w:val="left" w:leader="none"/>
        </w:tabs>
        <w:spacing w:line="240" w:lineRule="auto" w:before="67" w:after="0"/>
        <w:ind w:left="3519" w:right="0" w:hanging="530"/>
        <w:jc w:val="left"/>
        <w:rPr>
          <w:sz w:val="21"/>
        </w:rPr>
      </w:pPr>
      <w:r>
        <w:rPr>
          <w:spacing w:val="-2"/>
          <w:sz w:val="21"/>
        </w:rPr>
        <w:t>CT</w:t>
      </w:r>
      <w:r>
        <w:rPr>
          <w:spacing w:val="-10"/>
          <w:sz w:val="21"/>
        </w:rPr>
        <w:t> 显示双肺弥漫性囊性改变；</w:t>
      </w:r>
    </w:p>
    <w:p>
      <w:pPr>
        <w:pStyle w:val="ListParagraph"/>
        <w:numPr>
          <w:ilvl w:val="1"/>
          <w:numId w:val="38"/>
        </w:numPr>
        <w:tabs>
          <w:tab w:pos="3520" w:val="left" w:leader="none"/>
        </w:tabs>
        <w:spacing w:line="240" w:lineRule="auto" w:before="67" w:after="0"/>
        <w:ind w:left="3519" w:right="0" w:hanging="530"/>
        <w:jc w:val="left"/>
        <w:rPr>
          <w:sz w:val="21"/>
        </w:rPr>
      </w:pPr>
      <w:r>
        <w:rPr>
          <w:spacing w:val="-3"/>
          <w:sz w:val="21"/>
        </w:rPr>
        <w:t>血气提示低氧血症。</w:t>
      </w:r>
    </w:p>
    <w:p>
      <w:pPr>
        <w:pStyle w:val="BodyText"/>
        <w:rPr>
          <w:sz w:val="20"/>
        </w:rPr>
      </w:pPr>
    </w:p>
    <w:p>
      <w:pPr>
        <w:pStyle w:val="BodyText"/>
        <w:spacing w:before="5"/>
        <w:rPr>
          <w:sz w:val="18"/>
        </w:rPr>
      </w:pPr>
    </w:p>
    <w:p>
      <w:pPr>
        <w:spacing w:line="300" w:lineRule="auto" w:before="0"/>
        <w:ind w:left="2990" w:right="1059" w:hanging="2766"/>
        <w:jc w:val="both"/>
        <w:rPr>
          <w:b/>
          <w:sz w:val="21"/>
        </w:rPr>
      </w:pPr>
      <w:r>
        <w:rPr>
          <w:sz w:val="21"/>
        </w:rPr>
        <w:t>（五十六）象皮病</w:t>
      </w:r>
      <w:r>
        <w:rPr>
          <w:spacing w:val="931"/>
          <w:sz w:val="21"/>
        </w:rPr>
        <w:t> </w:t>
      </w:r>
      <w:r>
        <w:rPr>
          <w:sz w:val="21"/>
        </w:rPr>
        <w:t>指末期丝虫病，按国际淋巴学会分级为三度淋巴液肿，其临床表现为肢</w:t>
      </w:r>
      <w:r>
        <w:rPr>
          <w:spacing w:val="-2"/>
          <w:sz w:val="21"/>
        </w:rPr>
        <w:t>体非凹陷性水肿伴畸形增大、硬皮症和疣状增生</w:t>
      </w:r>
      <w:r>
        <w:rPr>
          <w:b/>
          <w:spacing w:val="-2"/>
          <w:sz w:val="21"/>
        </w:rPr>
        <w:t>。此病症须经相关专科</w:t>
      </w:r>
      <w:r>
        <w:rPr>
          <w:b/>
          <w:spacing w:val="-2"/>
          <w:sz w:val="21"/>
        </w:rPr>
        <w:t>医生根据临床表现和微丝蚴的化验结果确诊。</w:t>
      </w:r>
    </w:p>
    <w:p>
      <w:pPr>
        <w:pStyle w:val="BodyText"/>
        <w:rPr>
          <w:b/>
          <w:sz w:val="20"/>
        </w:rPr>
      </w:pPr>
    </w:p>
    <w:p>
      <w:pPr>
        <w:pStyle w:val="BodyText"/>
        <w:tabs>
          <w:tab w:pos="2990" w:val="left" w:leader="none"/>
        </w:tabs>
        <w:spacing w:line="300" w:lineRule="auto" w:before="170"/>
        <w:ind w:left="2990" w:right="1058" w:hanging="2766"/>
      </w:pPr>
      <w:r>
        <w:rPr>
          <w:spacing w:val="-2"/>
        </w:rPr>
        <w:t>（</w:t>
      </w:r>
      <w:r>
        <w:rPr>
          <w:spacing w:val="-2"/>
        </w:rPr>
        <w:t>五</w:t>
      </w:r>
      <w:r>
        <w:rPr>
          <w:spacing w:val="-2"/>
        </w:rPr>
        <w:t>十七）胰腺</w:t>
      </w:r>
      <w:r>
        <w:rPr>
          <w:spacing w:val="-2"/>
        </w:rPr>
        <w:t>移</w:t>
      </w:r>
      <w:r>
        <w:rPr>
          <w:spacing w:val="-2"/>
        </w:rPr>
        <w:t>植</w:t>
      </w:r>
      <w:r>
        <w:rPr/>
        <w:tab/>
      </w:r>
      <w:r>
        <w:rPr>
          <w:spacing w:val="-2"/>
        </w:rPr>
        <w:t>指</w:t>
      </w:r>
      <w:r>
        <w:rPr>
          <w:spacing w:val="-2"/>
        </w:rPr>
        <w:t>因</w:t>
      </w:r>
      <w:r>
        <w:rPr>
          <w:spacing w:val="-2"/>
        </w:rPr>
        <w:t>胰腺功能</w:t>
      </w:r>
      <w:r>
        <w:rPr>
          <w:spacing w:val="-2"/>
        </w:rPr>
        <w:t>衰</w:t>
      </w:r>
      <w:r>
        <w:rPr>
          <w:spacing w:val="-2"/>
        </w:rPr>
        <w:t>竭</w:t>
      </w:r>
      <w:r>
        <w:rPr>
          <w:spacing w:val="-2"/>
        </w:rPr>
        <w:t>，</w:t>
      </w:r>
      <w:r>
        <w:rPr>
          <w:spacing w:val="-2"/>
        </w:rPr>
        <w:t>已</w:t>
      </w:r>
      <w:r>
        <w:rPr>
          <w:spacing w:val="-2"/>
        </w:rPr>
        <w:t>经</w:t>
      </w:r>
      <w:r>
        <w:rPr>
          <w:spacing w:val="-2"/>
        </w:rPr>
        <w:t>实</w:t>
      </w:r>
      <w:r>
        <w:rPr>
          <w:spacing w:val="-2"/>
        </w:rPr>
        <w:t>施</w:t>
      </w:r>
      <w:r>
        <w:rPr>
          <w:spacing w:val="-2"/>
        </w:rPr>
        <w:t>了在全身麻醉下进行</w:t>
      </w:r>
      <w:r>
        <w:rPr>
          <w:spacing w:val="-2"/>
        </w:rPr>
        <w:t>的</w:t>
      </w:r>
      <w:r>
        <w:rPr>
          <w:spacing w:val="-2"/>
        </w:rPr>
        <w:t>胰</w:t>
      </w:r>
      <w:r>
        <w:rPr>
          <w:spacing w:val="-2"/>
        </w:rPr>
        <w:t>腺的异体器</w:t>
      </w:r>
      <w:r>
        <w:rPr>
          <w:spacing w:val="-2"/>
        </w:rPr>
        <w:t>官</w:t>
      </w:r>
      <w:r>
        <w:rPr>
          <w:spacing w:val="-2"/>
        </w:rPr>
        <w:t>移</w:t>
      </w:r>
      <w:r>
        <w:rPr>
          <w:spacing w:val="-2"/>
        </w:rPr>
        <w:t>植</w:t>
      </w:r>
      <w:r>
        <w:rPr>
          <w:spacing w:val="-2"/>
        </w:rPr>
        <w:t>手</w:t>
      </w:r>
      <w:r>
        <w:rPr>
          <w:spacing w:val="-2"/>
        </w:rPr>
        <w:t>术（供体必须是人体</w:t>
      </w:r>
      <w:r>
        <w:rPr>
          <w:spacing w:val="-2"/>
        </w:rPr>
        <w:t>器</w:t>
      </w:r>
      <w:r>
        <w:rPr>
          <w:spacing w:val="-2"/>
        </w:rPr>
        <w:t>官</w:t>
      </w:r>
      <w:r>
        <w:rPr>
          <w:spacing w:val="-108"/>
        </w:rPr>
        <w:t>）</w:t>
      </w:r>
      <w:r>
        <w:rPr>
          <w:spacing w:val="-2"/>
        </w:rPr>
        <w:t>。</w:t>
      </w:r>
    </w:p>
    <w:p>
      <w:pPr>
        <w:spacing w:line="268" w:lineRule="exact" w:before="0"/>
        <w:ind w:left="2990" w:right="0" w:firstLine="0"/>
        <w:jc w:val="left"/>
        <w:rPr>
          <w:sz w:val="21"/>
        </w:rPr>
      </w:pPr>
      <w:r>
        <w:rPr>
          <w:b/>
          <w:spacing w:val="-2"/>
          <w:sz w:val="21"/>
        </w:rPr>
        <w:t>单纯胰岛移植、部分胰腺组织或细胞的移植不在本保障范围内</w:t>
      </w:r>
      <w:r>
        <w:rPr>
          <w:spacing w:val="-10"/>
          <w:sz w:val="21"/>
        </w:rPr>
        <w:t>。</w:t>
      </w:r>
    </w:p>
    <w:p>
      <w:pPr>
        <w:pStyle w:val="BodyText"/>
        <w:rPr>
          <w:sz w:val="20"/>
        </w:rPr>
      </w:pPr>
    </w:p>
    <w:p>
      <w:pPr>
        <w:pStyle w:val="BodyText"/>
        <w:spacing w:before="5"/>
        <w:rPr>
          <w:sz w:val="18"/>
        </w:rPr>
      </w:pPr>
    </w:p>
    <w:p>
      <w:pPr>
        <w:pStyle w:val="BodyText"/>
        <w:spacing w:line="300" w:lineRule="auto"/>
        <w:ind w:left="2990" w:right="1060" w:hanging="2766"/>
        <w:jc w:val="both"/>
      </w:pPr>
      <w:r>
        <w:rPr/>
        <w:t>（五十八）</w:t>
      </w:r>
      <w:r>
        <w:rPr>
          <w:spacing w:val="4"/>
        </w:rPr>
        <w:t>严重川崎病 是一种血管炎综合征，临床表现为急性发热，皮肤粘膜病损和淋巴结肿</w:t>
      </w:r>
      <w:r>
        <w:rPr>
          <w:spacing w:val="-2"/>
        </w:rPr>
        <w:t>大。本病须经专科医生明确诊断，同时须由血管造影或超声心动图检查</w:t>
      </w:r>
      <w:r>
        <w:rPr>
          <w:spacing w:val="-2"/>
        </w:rPr>
        <w:t>证实，满足下列至少一项条件：</w:t>
      </w:r>
    </w:p>
    <w:p>
      <w:pPr>
        <w:pStyle w:val="ListParagraph"/>
        <w:numPr>
          <w:ilvl w:val="0"/>
          <w:numId w:val="39"/>
        </w:numPr>
        <w:tabs>
          <w:tab w:pos="3526" w:val="left" w:leader="none"/>
        </w:tabs>
        <w:spacing w:line="302" w:lineRule="auto" w:before="2" w:after="0"/>
        <w:ind w:left="2990" w:right="1060" w:firstLine="0"/>
        <w:jc w:val="left"/>
        <w:rPr>
          <w:sz w:val="21"/>
        </w:rPr>
      </w:pPr>
      <w:r>
        <w:rPr>
          <w:sz w:val="21"/>
        </w:rPr>
        <w:t>伴有冠状动脉瘤，且冠状动脉瘤于最初急性发病后持续至少 </w:t>
      </w:r>
      <w:r>
        <w:rPr>
          <w:sz w:val="21"/>
        </w:rPr>
        <w:t>180</w:t>
      </w:r>
      <w:r>
        <w:rPr>
          <w:spacing w:val="-6"/>
          <w:sz w:val="21"/>
        </w:rPr>
        <w:t>天；</w:t>
      </w:r>
    </w:p>
    <w:p>
      <w:pPr>
        <w:pStyle w:val="ListParagraph"/>
        <w:numPr>
          <w:ilvl w:val="0"/>
          <w:numId w:val="39"/>
        </w:numPr>
        <w:tabs>
          <w:tab w:pos="3520" w:val="left" w:leader="none"/>
        </w:tabs>
        <w:spacing w:line="265" w:lineRule="exact" w:before="0" w:after="0"/>
        <w:ind w:left="3519" w:right="0" w:hanging="530"/>
        <w:jc w:val="left"/>
        <w:rPr>
          <w:sz w:val="21"/>
        </w:rPr>
      </w:pPr>
      <w:r>
        <w:rPr>
          <w:spacing w:val="-3"/>
          <w:sz w:val="21"/>
        </w:rPr>
        <w:t>伴有冠状动脉瘤，且实际接受了对冠状动脉瘤进行的手术治疗。</w:t>
      </w:r>
    </w:p>
    <w:p>
      <w:pPr>
        <w:pStyle w:val="BodyText"/>
        <w:rPr>
          <w:sz w:val="20"/>
        </w:rPr>
      </w:pPr>
    </w:p>
    <w:p>
      <w:pPr>
        <w:pStyle w:val="BodyText"/>
        <w:spacing w:before="4"/>
        <w:rPr>
          <w:sz w:val="18"/>
        </w:rPr>
      </w:pPr>
    </w:p>
    <w:p>
      <w:pPr>
        <w:pStyle w:val="BodyText"/>
        <w:tabs>
          <w:tab w:pos="2990" w:val="left" w:leader="none"/>
        </w:tabs>
        <w:spacing w:before="1"/>
        <w:ind w:left="225"/>
      </w:pPr>
      <w:r>
        <w:rPr>
          <w:spacing w:val="-2"/>
        </w:rPr>
        <w:t>（</w:t>
      </w:r>
      <w:r>
        <w:rPr>
          <w:spacing w:val="-2"/>
        </w:rPr>
        <w:t>五</w:t>
      </w:r>
      <w:r>
        <w:rPr>
          <w:spacing w:val="-2"/>
        </w:rPr>
        <w:t>十九）肾髓质囊</w:t>
      </w:r>
      <w:r>
        <w:rPr>
          <w:spacing w:val="-2"/>
        </w:rPr>
        <w:t>性</w:t>
      </w:r>
      <w:r>
        <w:rPr>
          <w:spacing w:val="-10"/>
        </w:rPr>
        <w:t>病</w:t>
      </w:r>
      <w:r>
        <w:rPr/>
        <w:tab/>
      </w:r>
      <w:r>
        <w:rPr>
          <w:spacing w:val="-2"/>
        </w:rPr>
        <w:t>肾</w:t>
      </w:r>
      <w:r>
        <w:rPr>
          <w:spacing w:val="-2"/>
        </w:rPr>
        <w:t>髓</w:t>
      </w:r>
      <w:r>
        <w:rPr>
          <w:spacing w:val="-2"/>
        </w:rPr>
        <w:t>质囊性病的诊断须同</w:t>
      </w:r>
      <w:r>
        <w:rPr>
          <w:spacing w:val="-2"/>
        </w:rPr>
        <w:t>时</w:t>
      </w:r>
      <w:r>
        <w:rPr>
          <w:spacing w:val="-2"/>
        </w:rPr>
        <w:t>符</w:t>
      </w:r>
      <w:r>
        <w:rPr>
          <w:spacing w:val="-2"/>
        </w:rPr>
        <w:t>合下列要求</w:t>
      </w:r>
      <w:r>
        <w:rPr>
          <w:spacing w:val="-10"/>
        </w:rPr>
        <w:t>：</w:t>
      </w:r>
    </w:p>
    <w:p>
      <w:pPr>
        <w:pStyle w:val="ListParagraph"/>
        <w:numPr>
          <w:ilvl w:val="0"/>
          <w:numId w:val="40"/>
        </w:numPr>
        <w:tabs>
          <w:tab w:pos="3520" w:val="left" w:leader="none"/>
        </w:tabs>
        <w:spacing w:line="240" w:lineRule="auto" w:before="67" w:after="0"/>
        <w:ind w:left="3519" w:right="0" w:hanging="530"/>
        <w:jc w:val="left"/>
        <w:rPr>
          <w:sz w:val="21"/>
        </w:rPr>
      </w:pPr>
      <w:r>
        <w:rPr>
          <w:spacing w:val="-3"/>
          <w:sz w:val="21"/>
        </w:rPr>
        <w:t>肾髓质有囊肿、肾小管萎缩及间质纤维化等病理改变；</w:t>
      </w:r>
    </w:p>
    <w:p>
      <w:pPr>
        <w:pStyle w:val="ListParagraph"/>
        <w:numPr>
          <w:ilvl w:val="0"/>
          <w:numId w:val="40"/>
        </w:numPr>
        <w:tabs>
          <w:tab w:pos="3520" w:val="left" w:leader="none"/>
        </w:tabs>
        <w:spacing w:line="240" w:lineRule="auto" w:before="67" w:after="0"/>
        <w:ind w:left="3519" w:right="0" w:hanging="530"/>
        <w:jc w:val="left"/>
        <w:rPr>
          <w:sz w:val="21"/>
        </w:rPr>
      </w:pPr>
      <w:r>
        <w:rPr>
          <w:spacing w:val="-3"/>
          <w:sz w:val="21"/>
        </w:rPr>
        <w:t>贫血、多尿及肾功能衰竭等临床表现；</w:t>
      </w:r>
    </w:p>
    <w:p>
      <w:pPr>
        <w:pStyle w:val="ListParagraph"/>
        <w:numPr>
          <w:ilvl w:val="0"/>
          <w:numId w:val="40"/>
        </w:numPr>
        <w:tabs>
          <w:tab w:pos="3520" w:val="left" w:leader="none"/>
        </w:tabs>
        <w:spacing w:line="240" w:lineRule="auto" w:before="69" w:after="0"/>
        <w:ind w:left="3519" w:right="0" w:hanging="530"/>
        <w:jc w:val="left"/>
        <w:rPr>
          <w:sz w:val="21"/>
        </w:rPr>
      </w:pPr>
      <w:r>
        <w:rPr>
          <w:spacing w:val="-3"/>
          <w:sz w:val="21"/>
        </w:rPr>
        <w:t>诊断须由肾组织活检确定。</w:t>
      </w:r>
    </w:p>
    <w:p>
      <w:pPr>
        <w:spacing w:before="67"/>
        <w:ind w:left="2990" w:right="0" w:firstLine="0"/>
        <w:jc w:val="left"/>
        <w:rPr>
          <w:b/>
          <w:sz w:val="21"/>
        </w:rPr>
      </w:pPr>
      <w:r>
        <w:rPr>
          <w:b/>
          <w:spacing w:val="-3"/>
          <w:sz w:val="21"/>
        </w:rPr>
        <w:t>单独或良性肾囊肿则不在本保障范围内。</w:t>
      </w:r>
    </w:p>
    <w:p>
      <w:pPr>
        <w:pStyle w:val="BodyText"/>
        <w:rPr>
          <w:b/>
          <w:sz w:val="20"/>
        </w:rPr>
      </w:pPr>
    </w:p>
    <w:p>
      <w:pPr>
        <w:pStyle w:val="BodyText"/>
        <w:spacing w:before="5"/>
        <w:rPr>
          <w:b/>
          <w:sz w:val="18"/>
        </w:rPr>
      </w:pPr>
    </w:p>
    <w:p>
      <w:pPr>
        <w:pStyle w:val="BodyText"/>
        <w:tabs>
          <w:tab w:pos="2990" w:val="left" w:leader="none"/>
        </w:tabs>
        <w:ind w:left="225"/>
      </w:pPr>
      <w:r>
        <w:rPr>
          <w:spacing w:val="-2"/>
        </w:rPr>
        <w:t>（</w:t>
      </w:r>
      <w:r>
        <w:rPr>
          <w:spacing w:val="-2"/>
        </w:rPr>
        <w:t>六</w:t>
      </w:r>
      <w:r>
        <w:rPr>
          <w:spacing w:val="-2"/>
        </w:rPr>
        <w:t>十）克雅氏</w:t>
      </w:r>
      <w:r>
        <w:rPr>
          <w:spacing w:val="-10"/>
        </w:rPr>
        <w:t>病</w:t>
      </w:r>
      <w:r>
        <w:rPr/>
        <w:tab/>
      </w:r>
      <w:r>
        <w:rPr>
          <w:spacing w:val="-2"/>
        </w:rPr>
        <w:t>神</w:t>
      </w:r>
      <w:r>
        <w:rPr>
          <w:spacing w:val="-2"/>
        </w:rPr>
        <w:t>经</w:t>
      </w:r>
      <w:r>
        <w:rPr>
          <w:spacing w:val="-2"/>
        </w:rPr>
        <w:t>系统疾病及致命的成</w:t>
      </w:r>
      <w:r>
        <w:rPr>
          <w:spacing w:val="-2"/>
        </w:rPr>
        <w:t>胶</w:t>
      </w:r>
      <w:r>
        <w:rPr>
          <w:spacing w:val="-2"/>
        </w:rPr>
        <w:t>质</w:t>
      </w:r>
      <w:r>
        <w:rPr>
          <w:spacing w:val="-2"/>
        </w:rPr>
        <w:t>状脑病，并有以下症</w:t>
      </w:r>
      <w:r>
        <w:rPr>
          <w:spacing w:val="-2"/>
        </w:rPr>
        <w:t>状</w:t>
      </w:r>
      <w:r>
        <w:rPr>
          <w:spacing w:val="-10"/>
        </w:rPr>
        <w:t>：</w:t>
      </w:r>
    </w:p>
    <w:p>
      <w:pPr>
        <w:pStyle w:val="ListParagraph"/>
        <w:numPr>
          <w:ilvl w:val="0"/>
          <w:numId w:val="41"/>
        </w:numPr>
        <w:tabs>
          <w:tab w:pos="3520" w:val="left" w:leader="none"/>
        </w:tabs>
        <w:spacing w:line="240" w:lineRule="auto" w:before="67" w:after="0"/>
        <w:ind w:left="3519" w:right="0" w:hanging="530"/>
        <w:jc w:val="left"/>
        <w:rPr>
          <w:sz w:val="21"/>
        </w:rPr>
      </w:pPr>
      <w:r>
        <w:rPr>
          <w:spacing w:val="-3"/>
          <w:sz w:val="21"/>
        </w:rPr>
        <w:t>不能控制的肌肉痉挛及震颤；</w:t>
      </w:r>
    </w:p>
    <w:p>
      <w:pPr>
        <w:pStyle w:val="ListParagraph"/>
        <w:numPr>
          <w:ilvl w:val="0"/>
          <w:numId w:val="41"/>
        </w:numPr>
        <w:tabs>
          <w:tab w:pos="3520" w:val="left" w:leader="none"/>
        </w:tabs>
        <w:spacing w:line="240" w:lineRule="auto" w:before="70" w:after="0"/>
        <w:ind w:left="3519" w:right="0" w:hanging="530"/>
        <w:jc w:val="left"/>
        <w:rPr>
          <w:sz w:val="21"/>
        </w:rPr>
      </w:pPr>
      <w:r>
        <w:rPr>
          <w:spacing w:val="-4"/>
          <w:sz w:val="21"/>
        </w:rPr>
        <w:t>逐渐痴呆；</w:t>
      </w:r>
    </w:p>
    <w:p>
      <w:pPr>
        <w:pStyle w:val="ListParagraph"/>
        <w:numPr>
          <w:ilvl w:val="0"/>
          <w:numId w:val="41"/>
        </w:numPr>
        <w:tabs>
          <w:tab w:pos="3520" w:val="left" w:leader="none"/>
        </w:tabs>
        <w:spacing w:line="240" w:lineRule="auto" w:before="66" w:after="0"/>
        <w:ind w:left="3519" w:right="0" w:hanging="530"/>
        <w:jc w:val="left"/>
        <w:rPr>
          <w:sz w:val="21"/>
        </w:rPr>
      </w:pPr>
      <w:r>
        <w:rPr>
          <w:spacing w:val="-3"/>
          <w:sz w:val="21"/>
        </w:rPr>
        <w:t>小脑功能不良，共济失调；</w:t>
      </w:r>
    </w:p>
    <w:p>
      <w:pPr>
        <w:pStyle w:val="ListParagraph"/>
        <w:numPr>
          <w:ilvl w:val="0"/>
          <w:numId w:val="41"/>
        </w:numPr>
        <w:tabs>
          <w:tab w:pos="3520" w:val="left" w:leader="none"/>
        </w:tabs>
        <w:spacing w:line="240" w:lineRule="auto" w:before="67" w:after="0"/>
        <w:ind w:left="3519" w:right="0" w:hanging="530"/>
        <w:jc w:val="left"/>
        <w:rPr>
          <w:sz w:val="21"/>
        </w:rPr>
      </w:pPr>
      <w:r>
        <w:rPr>
          <w:spacing w:val="-4"/>
          <w:sz w:val="21"/>
        </w:rPr>
        <w:t>手足徐动症。</w:t>
      </w:r>
    </w:p>
    <w:p>
      <w:pPr>
        <w:pStyle w:val="BodyText"/>
        <w:spacing w:line="300" w:lineRule="auto" w:before="70"/>
        <w:ind w:left="2990" w:right="952"/>
      </w:pPr>
      <w:r>
        <w:rPr>
          <w:spacing w:val="-8"/>
        </w:rPr>
        <w:t>诊断必须经神经专科医生基于以下检查报告作出：脑电图、脑脊液报告、</w:t>
      </w:r>
      <w:r>
        <w:rPr>
          <w:spacing w:val="-2"/>
        </w:rPr>
        <w:t>计算机断层扫描（CT）及核磁共振</w:t>
      </w:r>
      <w:r>
        <w:rPr>
          <w:spacing w:val="17"/>
        </w:rPr>
        <w:t>（</w:t>
      </w:r>
      <w:r>
        <w:rPr>
          <w:spacing w:val="20"/>
        </w:rPr>
        <w:t>MRI</w:t>
      </w:r>
      <w:r>
        <w:rPr>
          <w:spacing w:val="-88"/>
        </w:rPr>
        <w:t>）</w:t>
      </w:r>
      <w:r>
        <w:rPr>
          <w:spacing w:val="-2"/>
        </w:rPr>
        <w:t>。</w:t>
      </w:r>
    </w:p>
    <w:p>
      <w:pPr>
        <w:spacing w:after="0" w:line="300" w:lineRule="auto"/>
        <w:sectPr>
          <w:pgSz w:w="11910" w:h="16840"/>
          <w:pgMar w:header="0" w:footer="857" w:top="1420" w:bottom="1180" w:left="1100" w:right="260"/>
        </w:sectPr>
      </w:pPr>
    </w:p>
    <w:p>
      <w:pPr>
        <w:pStyle w:val="BodyText"/>
        <w:spacing w:line="300" w:lineRule="auto" w:before="60"/>
        <w:ind w:left="2990" w:right="1064" w:hanging="2766"/>
      </w:pPr>
      <w:r>
        <w:rPr/>
        <w:t>（六十一）失去一肢及一眼</w:t>
      </w:r>
      <w:r>
        <w:rPr>
          <w:spacing w:val="80"/>
          <w:w w:val="150"/>
        </w:rPr>
        <w:t> </w:t>
      </w:r>
      <w:r>
        <w:rPr/>
        <w:t>因疾病或意外伤害导致单眼视力丧失及任何一肢自腕关节或踝关节近</w:t>
      </w:r>
      <w:r>
        <w:rPr>
          <w:spacing w:val="-2"/>
        </w:rPr>
        <w:t>端（靠近躯干端）以上完全性断离。</w:t>
      </w:r>
    </w:p>
    <w:p>
      <w:pPr>
        <w:pStyle w:val="BodyText"/>
        <w:spacing w:line="300" w:lineRule="auto"/>
        <w:ind w:left="2990" w:right="1058"/>
      </w:pPr>
      <w:r>
        <w:rPr>
          <w:spacing w:val="-2"/>
        </w:rPr>
        <w:t>单眼视力丧失指单眼视力永久不可逆性丧失，患眼须满足下列至少一项</w:t>
      </w:r>
      <w:r>
        <w:rPr>
          <w:spacing w:val="-4"/>
        </w:rPr>
        <w:t>条件：</w:t>
      </w:r>
    </w:p>
    <w:p>
      <w:pPr>
        <w:pStyle w:val="ListParagraph"/>
        <w:numPr>
          <w:ilvl w:val="0"/>
          <w:numId w:val="42"/>
        </w:numPr>
        <w:tabs>
          <w:tab w:pos="3520" w:val="left" w:leader="none"/>
        </w:tabs>
        <w:spacing w:line="240" w:lineRule="auto" w:before="2" w:after="0"/>
        <w:ind w:left="3519" w:right="0" w:hanging="530"/>
        <w:jc w:val="left"/>
        <w:rPr>
          <w:sz w:val="21"/>
        </w:rPr>
      </w:pPr>
      <w:r>
        <w:rPr>
          <w:spacing w:val="-4"/>
          <w:sz w:val="21"/>
        </w:rPr>
        <w:t>眼球缺失或摘除；</w:t>
      </w:r>
    </w:p>
    <w:p>
      <w:pPr>
        <w:pStyle w:val="ListParagraph"/>
        <w:numPr>
          <w:ilvl w:val="0"/>
          <w:numId w:val="42"/>
        </w:numPr>
        <w:tabs>
          <w:tab w:pos="3520" w:val="left" w:leader="none"/>
        </w:tabs>
        <w:spacing w:line="300" w:lineRule="auto" w:before="67" w:after="0"/>
        <w:ind w:left="2990" w:right="1058" w:firstLine="0"/>
        <w:jc w:val="left"/>
        <w:rPr>
          <w:sz w:val="21"/>
        </w:rPr>
      </w:pPr>
      <w:r>
        <w:rPr>
          <w:spacing w:val="-4"/>
          <w:sz w:val="21"/>
        </w:rPr>
        <w:t>矫正视力低于 </w:t>
      </w:r>
      <w:r>
        <w:rPr>
          <w:sz w:val="21"/>
        </w:rPr>
        <w:t>0.02（采用国际标准视力表，如果使用其他视力表</w:t>
      </w:r>
      <w:r>
        <w:rPr>
          <w:spacing w:val="-2"/>
          <w:sz w:val="21"/>
        </w:rPr>
        <w:t>应进行换算</w:t>
      </w:r>
      <w:r>
        <w:rPr>
          <w:spacing w:val="-106"/>
          <w:sz w:val="21"/>
        </w:rPr>
        <w:t>）</w:t>
      </w:r>
      <w:r>
        <w:rPr>
          <w:sz w:val="21"/>
        </w:rPr>
        <w:t>；</w:t>
      </w:r>
    </w:p>
    <w:p>
      <w:pPr>
        <w:pStyle w:val="ListParagraph"/>
        <w:numPr>
          <w:ilvl w:val="0"/>
          <w:numId w:val="42"/>
        </w:numPr>
        <w:tabs>
          <w:tab w:pos="3520" w:val="left" w:leader="none"/>
        </w:tabs>
        <w:spacing w:line="240" w:lineRule="auto" w:before="1" w:after="0"/>
        <w:ind w:left="3519" w:right="0" w:hanging="530"/>
        <w:jc w:val="left"/>
        <w:rPr>
          <w:sz w:val="21"/>
        </w:rPr>
      </w:pPr>
      <w:r>
        <w:rPr>
          <w:spacing w:val="-8"/>
          <w:sz w:val="21"/>
        </w:rPr>
        <w:t>视野半径小于 </w:t>
      </w:r>
      <w:r>
        <w:rPr>
          <w:sz w:val="21"/>
        </w:rPr>
        <w:t>5</w:t>
      </w:r>
      <w:r>
        <w:rPr>
          <w:spacing w:val="-7"/>
          <w:sz w:val="21"/>
        </w:rPr>
        <w:t> 度。</w:t>
      </w:r>
    </w:p>
    <w:p>
      <w:pPr>
        <w:spacing w:before="67"/>
        <w:ind w:left="2990" w:right="0" w:firstLine="0"/>
        <w:jc w:val="left"/>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38"/>
          <w:w w:val="150"/>
          <w:sz w:val="21"/>
        </w:rPr>
        <w:t> </w:t>
      </w:r>
      <w:r>
        <w:rPr>
          <w:b/>
          <w:w w:val="95"/>
          <w:sz w:val="21"/>
        </w:rPr>
        <w:t>3</w:t>
      </w:r>
      <w:r>
        <w:rPr>
          <w:b/>
          <w:spacing w:val="38"/>
          <w:w w:val="150"/>
          <w:sz w:val="21"/>
        </w:rPr>
        <w:t> </w:t>
      </w:r>
      <w:r>
        <w:rPr>
          <w:b/>
          <w:w w:val="95"/>
          <w:sz w:val="21"/>
        </w:rPr>
        <w:t>周</w:t>
      </w:r>
      <w:r>
        <w:rPr>
          <w:b/>
          <w:w w:val="95"/>
          <w:sz w:val="21"/>
        </w:rPr>
        <w:t>岁</w:t>
      </w:r>
      <w:r>
        <w:rPr>
          <w:b/>
          <w:w w:val="95"/>
          <w:sz w:val="21"/>
        </w:rPr>
        <w:t>之</w:t>
      </w:r>
      <w:r>
        <w:rPr>
          <w:b/>
          <w:w w:val="95"/>
          <w:sz w:val="21"/>
        </w:rPr>
        <w:t>前</w:t>
      </w:r>
      <w:r>
        <w:rPr>
          <w:b/>
          <w:w w:val="95"/>
          <w:sz w:val="21"/>
        </w:rPr>
        <w:t>因</w:t>
      </w:r>
      <w:r>
        <w:rPr>
          <w:b/>
          <w:w w:val="95"/>
          <w:sz w:val="21"/>
        </w:rPr>
        <w:t>疾</w:t>
      </w:r>
      <w:r>
        <w:rPr>
          <w:b/>
          <w:w w:val="95"/>
          <w:sz w:val="21"/>
        </w:rPr>
        <w:t>病</w:t>
      </w:r>
      <w:r>
        <w:rPr>
          <w:b/>
          <w:w w:val="95"/>
          <w:sz w:val="21"/>
        </w:rPr>
        <w:t>导</w:t>
      </w:r>
      <w:r>
        <w:rPr>
          <w:b/>
          <w:w w:val="95"/>
          <w:sz w:val="21"/>
        </w:rPr>
        <w:t>致</w:t>
      </w:r>
      <w:r>
        <w:rPr>
          <w:b/>
          <w:w w:val="95"/>
          <w:sz w:val="21"/>
        </w:rPr>
        <w:t>单</w:t>
      </w:r>
      <w:r>
        <w:rPr>
          <w:b/>
          <w:w w:val="95"/>
          <w:sz w:val="21"/>
        </w:rPr>
        <w:t>眼</w:t>
      </w:r>
      <w:r>
        <w:rPr>
          <w:b/>
          <w:w w:val="95"/>
          <w:sz w:val="21"/>
        </w:rPr>
        <w:t>视</w:t>
      </w:r>
      <w:r>
        <w:rPr>
          <w:b/>
          <w:w w:val="95"/>
          <w:sz w:val="21"/>
        </w:rPr>
        <w:t>力</w:t>
      </w:r>
      <w:r>
        <w:rPr>
          <w:b/>
          <w:w w:val="95"/>
          <w:sz w:val="21"/>
        </w:rPr>
        <w:t>丧失不</w:t>
      </w:r>
      <w:r>
        <w:rPr>
          <w:b/>
          <w:w w:val="95"/>
          <w:sz w:val="21"/>
        </w:rPr>
        <w:t>在</w:t>
      </w:r>
      <w:r>
        <w:rPr>
          <w:b/>
          <w:w w:val="95"/>
          <w:sz w:val="21"/>
        </w:rPr>
        <w:t>本</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rPr>
          <w:b/>
          <w:sz w:val="20"/>
        </w:rPr>
      </w:pPr>
    </w:p>
    <w:p>
      <w:pPr>
        <w:pStyle w:val="BodyText"/>
        <w:spacing w:before="5"/>
        <w:rPr>
          <w:b/>
          <w:sz w:val="18"/>
        </w:rPr>
      </w:pPr>
    </w:p>
    <w:p>
      <w:pPr>
        <w:pStyle w:val="BodyText"/>
        <w:tabs>
          <w:tab w:pos="2990" w:val="left" w:leader="none"/>
        </w:tabs>
        <w:spacing w:line="300" w:lineRule="auto" w:before="1"/>
        <w:ind w:left="2990" w:right="1039" w:hanging="2766"/>
      </w:pPr>
      <w:r>
        <w:rPr>
          <w:spacing w:val="-2"/>
        </w:rPr>
        <w:t>（</w:t>
      </w:r>
      <w:r>
        <w:rPr>
          <w:spacing w:val="-2"/>
        </w:rPr>
        <w:t>六</w:t>
      </w:r>
      <w:r>
        <w:rPr>
          <w:spacing w:val="-2"/>
        </w:rPr>
        <w:t>十二）嗜铬细胞瘤</w:t>
      </w:r>
      <w:r>
        <w:rPr/>
        <w:tab/>
      </w:r>
      <w:r>
        <w:rPr>
          <w:spacing w:val="-2"/>
        </w:rPr>
        <w:t>指</w:t>
      </w:r>
      <w:r>
        <w:rPr>
          <w:spacing w:val="-2"/>
        </w:rPr>
        <w:t>肾</w:t>
      </w:r>
      <w:r>
        <w:rPr>
          <w:spacing w:val="-2"/>
        </w:rPr>
        <w:t>上腺或肾上腺外组织</w:t>
      </w:r>
      <w:r>
        <w:rPr>
          <w:spacing w:val="-2"/>
        </w:rPr>
        <w:t>出</w:t>
      </w:r>
      <w:r>
        <w:rPr>
          <w:spacing w:val="-2"/>
        </w:rPr>
        <w:t>现</w:t>
      </w:r>
      <w:r>
        <w:rPr>
          <w:spacing w:val="-2"/>
        </w:rPr>
        <w:t>嗜铬细胞瘤，并分泌</w:t>
      </w:r>
      <w:r>
        <w:rPr>
          <w:spacing w:val="-2"/>
        </w:rPr>
        <w:t>过</w:t>
      </w:r>
      <w:r>
        <w:rPr>
          <w:spacing w:val="-2"/>
        </w:rPr>
        <w:t>多</w:t>
      </w:r>
      <w:r>
        <w:rPr>
          <w:spacing w:val="-2"/>
        </w:rPr>
        <w:t>的儿茶酚</w:t>
      </w:r>
      <w:r>
        <w:rPr>
          <w:spacing w:val="-2"/>
        </w:rPr>
        <w:t>胺</w:t>
      </w:r>
      <w:r>
        <w:rPr>
          <w:spacing w:val="-2"/>
        </w:rPr>
        <w:t>类</w:t>
      </w:r>
      <w:r>
        <w:rPr>
          <w:spacing w:val="-2"/>
        </w:rPr>
        <w:t>，</w:t>
      </w:r>
      <w:r>
        <w:rPr>
          <w:spacing w:val="-2"/>
        </w:rPr>
        <w:t>并</w:t>
      </w:r>
      <w:r>
        <w:rPr>
          <w:spacing w:val="-2"/>
        </w:rPr>
        <w:t>确</w:t>
      </w:r>
      <w:r>
        <w:rPr>
          <w:spacing w:val="-2"/>
        </w:rPr>
        <w:t>已实施手术以切除肿</w:t>
      </w:r>
      <w:r>
        <w:rPr>
          <w:spacing w:val="-2"/>
        </w:rPr>
        <w:t>瘤</w:t>
      </w:r>
      <w:r>
        <w:rPr>
          <w:spacing w:val="-2"/>
        </w:rPr>
        <w:t>。</w:t>
      </w:r>
    </w:p>
    <w:p>
      <w:pPr>
        <w:pStyle w:val="BodyText"/>
        <w:spacing w:before="6"/>
        <w:rPr>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（六十三）严重肠道疾病并</w:t>
      </w:r>
      <w:r>
        <w:rPr>
          <w:spacing w:val="-6"/>
        </w:rPr>
        <w:t>发症</w:t>
      </w:r>
    </w:p>
    <w:p>
      <w:pPr>
        <w:pStyle w:val="BodyText"/>
        <w:spacing w:before="72"/>
        <w:ind w:left="176"/>
      </w:pPr>
      <w:r>
        <w:rPr/>
        <w:br w:type="column"/>
      </w:r>
      <w:r>
        <w:rPr>
          <w:spacing w:val="-3"/>
        </w:rPr>
        <w:t>严重肠道疾病或外伤导致小肠损害并发症，必须满足以下所有条件：</w:t>
      </w:r>
    </w:p>
    <w:p>
      <w:pPr>
        <w:pStyle w:val="ListParagraph"/>
        <w:numPr>
          <w:ilvl w:val="0"/>
          <w:numId w:val="43"/>
        </w:numPr>
        <w:tabs>
          <w:tab w:pos="706" w:val="left" w:leader="none"/>
        </w:tabs>
        <w:spacing w:line="240" w:lineRule="auto" w:before="67" w:after="0"/>
        <w:ind w:left="705" w:right="0" w:hanging="530"/>
        <w:jc w:val="left"/>
        <w:rPr>
          <w:sz w:val="21"/>
        </w:rPr>
      </w:pPr>
      <w:r>
        <w:rPr>
          <w:spacing w:val="-3"/>
          <w:sz w:val="21"/>
        </w:rPr>
        <w:t>至少切除了三分之二小肠；</w:t>
      </w:r>
    </w:p>
    <w:p>
      <w:pPr>
        <w:pStyle w:val="ListParagraph"/>
        <w:numPr>
          <w:ilvl w:val="0"/>
          <w:numId w:val="43"/>
        </w:numPr>
        <w:tabs>
          <w:tab w:pos="706" w:val="left" w:leader="none"/>
        </w:tabs>
        <w:spacing w:line="240" w:lineRule="auto" w:before="69" w:after="0"/>
        <w:ind w:left="705" w:right="0" w:hanging="530"/>
        <w:jc w:val="left"/>
        <w:rPr>
          <w:sz w:val="21"/>
        </w:rPr>
      </w:pPr>
      <w:r>
        <w:rPr>
          <w:spacing w:val="-8"/>
          <w:sz w:val="21"/>
        </w:rPr>
        <w:t>完全肠外营养支持 </w:t>
      </w:r>
      <w:r>
        <w:rPr>
          <w:spacing w:val="-2"/>
          <w:sz w:val="21"/>
        </w:rPr>
        <w:t>3</w:t>
      </w:r>
      <w:r>
        <w:rPr>
          <w:spacing w:val="-12"/>
          <w:sz w:val="21"/>
        </w:rPr>
        <w:t> 个月以上。</w:t>
      </w:r>
    </w:p>
    <w:p>
      <w:pPr>
        <w:spacing w:before="67"/>
        <w:ind w:left="176" w:right="0" w:firstLine="0"/>
        <w:jc w:val="left"/>
        <w:rPr>
          <w:b/>
          <w:sz w:val="21"/>
        </w:rPr>
      </w:pPr>
      <w:r>
        <w:rPr>
          <w:b/>
          <w:w w:val="95"/>
          <w:sz w:val="21"/>
        </w:rPr>
        <w:t>仅</w:t>
      </w:r>
      <w:r>
        <w:rPr>
          <w:b/>
          <w:w w:val="95"/>
          <w:sz w:val="21"/>
        </w:rPr>
        <w:t>对</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满</w:t>
      </w:r>
      <w:r>
        <w:rPr>
          <w:b/>
          <w:spacing w:val="66"/>
          <w:sz w:val="21"/>
        </w:rPr>
        <w:t> </w:t>
      </w:r>
      <w:r>
        <w:rPr>
          <w:b/>
          <w:w w:val="95"/>
          <w:sz w:val="21"/>
        </w:rPr>
        <w:t>18</w:t>
      </w:r>
      <w:r>
        <w:rPr>
          <w:b/>
          <w:spacing w:val="67"/>
          <w:sz w:val="21"/>
        </w:rPr>
        <w:t> </w:t>
      </w:r>
      <w:r>
        <w:rPr>
          <w:b/>
          <w:w w:val="95"/>
          <w:sz w:val="21"/>
        </w:rPr>
        <w:t>周岁</w:t>
      </w:r>
      <w:r>
        <w:rPr>
          <w:b/>
          <w:w w:val="95"/>
          <w:sz w:val="21"/>
        </w:rPr>
        <w:t>前</w:t>
      </w:r>
      <w:r>
        <w:rPr>
          <w:b/>
          <w:w w:val="95"/>
          <w:sz w:val="21"/>
        </w:rPr>
        <w:t>确</w:t>
      </w:r>
      <w:r>
        <w:rPr>
          <w:b/>
          <w:w w:val="95"/>
          <w:sz w:val="21"/>
        </w:rPr>
        <w:t>诊</w:t>
      </w:r>
      <w:r>
        <w:rPr>
          <w:b/>
          <w:w w:val="95"/>
          <w:sz w:val="21"/>
        </w:rPr>
        <w:t>本</w:t>
      </w:r>
      <w:r>
        <w:rPr>
          <w:b/>
          <w:w w:val="95"/>
          <w:sz w:val="21"/>
        </w:rPr>
        <w:t>项</w:t>
      </w:r>
      <w:r>
        <w:rPr>
          <w:b/>
          <w:w w:val="95"/>
          <w:sz w:val="21"/>
        </w:rPr>
        <w:t>疾</w:t>
      </w:r>
      <w:r>
        <w:rPr>
          <w:b/>
          <w:w w:val="95"/>
          <w:sz w:val="21"/>
        </w:rPr>
        <w:t>病</w:t>
      </w:r>
      <w:r>
        <w:rPr>
          <w:b/>
          <w:w w:val="95"/>
          <w:sz w:val="21"/>
        </w:rPr>
        <w:t>承</w:t>
      </w:r>
      <w:r>
        <w:rPr>
          <w:b/>
          <w:w w:val="95"/>
          <w:sz w:val="21"/>
        </w:rPr>
        <w:t>担保险</w:t>
      </w:r>
      <w:r>
        <w:rPr>
          <w:b/>
          <w:w w:val="95"/>
          <w:sz w:val="21"/>
        </w:rPr>
        <w:t>责</w:t>
      </w:r>
      <w:r>
        <w:rPr>
          <w:b/>
          <w:w w:val="95"/>
          <w:sz w:val="21"/>
        </w:rPr>
        <w:t>任</w:t>
      </w:r>
      <w:r>
        <w:rPr>
          <w:b/>
          <w:spacing w:val="-10"/>
          <w:w w:val="95"/>
          <w:sz w:val="21"/>
        </w:rPr>
        <w:t>。</w:t>
      </w:r>
    </w:p>
    <w:p>
      <w:pPr>
        <w:spacing w:after="0"/>
        <w:jc w:val="left"/>
        <w:rPr>
          <w:sz w:val="21"/>
        </w:rPr>
        <w:sectPr>
          <w:type w:val="continuous"/>
          <w:pgSz w:w="11910" w:h="16840"/>
          <w:pgMar w:header="0" w:footer="857" w:top="320" w:bottom="1040" w:left="1100" w:right="260"/>
          <w:cols w:num="2" w:equalWidth="0">
            <w:col w:w="2775" w:space="40"/>
            <w:col w:w="7735"/>
          </w:cols>
        </w:sectPr>
      </w:pP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5"/>
        <w:rPr>
          <w:b/>
          <w:sz w:val="18"/>
        </w:rPr>
      </w:pPr>
    </w:p>
    <w:p>
      <w:pPr>
        <w:pStyle w:val="BodyText"/>
        <w:ind w:left="225"/>
      </w:pPr>
      <w:r>
        <w:rPr/>
        <w:t>（六十四）</w:t>
      </w:r>
      <w:r>
        <w:rPr>
          <w:spacing w:val="-2"/>
        </w:rPr>
        <w:t>严重瑞氏综合征</w:t>
      </w:r>
    </w:p>
    <w:p>
      <w:pPr>
        <w:pStyle w:val="BodyText"/>
        <w:spacing w:line="297" w:lineRule="auto" w:before="65"/>
        <w:ind w:left="225"/>
      </w:pPr>
      <w:r>
        <w:rPr/>
        <w:t>（Reye</w:t>
      </w:r>
      <w:r>
        <w:rPr>
          <w:spacing w:val="-13"/>
        </w:rPr>
        <w:t> 综合征，也称赖氏综</w:t>
      </w:r>
      <w:r>
        <w:rPr>
          <w:spacing w:val="-2"/>
        </w:rPr>
        <w:t>合征、雷氏综合征）</w:t>
      </w:r>
    </w:p>
    <w:p>
      <w:pPr>
        <w:spacing w:line="240" w:lineRule="auto" w:before="5"/>
        <w:rPr>
          <w:sz w:val="18"/>
        </w:rPr>
      </w:pPr>
      <w:r>
        <w:rPr/>
        <w:br w:type="column"/>
      </w:r>
      <w:r>
        <w:rPr>
          <w:sz w:val="18"/>
        </w:rPr>
      </w:r>
    </w:p>
    <w:p>
      <w:pPr>
        <w:pStyle w:val="BodyText"/>
        <w:spacing w:line="300" w:lineRule="auto"/>
        <w:ind w:left="176" w:right="1039"/>
        <w:jc w:val="both"/>
      </w:pPr>
      <w:r>
        <w:rPr>
          <w:spacing w:val="-2"/>
        </w:rPr>
        <w:t>瑞氏综合征是线粒体功能障碍性疾病。导致脂肪代谢障碍，引起短链脂</w:t>
      </w:r>
      <w:r>
        <w:rPr>
          <w:spacing w:val="-2"/>
        </w:rPr>
        <w:t>肪酸、血氨升高，造成脑水肿。主要临床表现为急性发热、反复呕吐、</w:t>
      </w:r>
      <w:r>
        <w:rPr>
          <w:spacing w:val="-2"/>
        </w:rPr>
        <w:t>惊厥及意识障碍等。瑞氏综合征需由三级医院的儿科专科医生确诊，并</w:t>
      </w:r>
      <w:r>
        <w:rPr>
          <w:spacing w:val="-2"/>
        </w:rPr>
        <w:t>符合下列所有条件：</w:t>
      </w:r>
    </w:p>
    <w:p>
      <w:pPr>
        <w:pStyle w:val="ListParagraph"/>
        <w:numPr>
          <w:ilvl w:val="0"/>
          <w:numId w:val="44"/>
        </w:numPr>
        <w:tabs>
          <w:tab w:pos="706" w:val="left" w:leader="none"/>
        </w:tabs>
        <w:spacing w:line="240" w:lineRule="auto" w:before="1" w:after="0"/>
        <w:ind w:left="705" w:right="0" w:hanging="530"/>
        <w:jc w:val="left"/>
        <w:rPr>
          <w:sz w:val="21"/>
        </w:rPr>
      </w:pPr>
      <w:r>
        <w:rPr>
          <w:spacing w:val="-3"/>
          <w:sz w:val="21"/>
        </w:rPr>
        <w:t>有脑水肿和颅内压升高的脑脊液检查和影像学检查证据；</w:t>
      </w:r>
    </w:p>
    <w:p>
      <w:pPr>
        <w:pStyle w:val="ListParagraph"/>
        <w:numPr>
          <w:ilvl w:val="0"/>
          <w:numId w:val="44"/>
        </w:numPr>
        <w:tabs>
          <w:tab w:pos="706" w:val="left" w:leader="none"/>
        </w:tabs>
        <w:spacing w:line="240" w:lineRule="auto" w:before="67" w:after="0"/>
        <w:ind w:left="705"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44"/>
        </w:numPr>
        <w:tabs>
          <w:tab w:pos="706" w:val="left" w:leader="none"/>
        </w:tabs>
        <w:spacing w:line="240" w:lineRule="auto" w:before="70" w:after="0"/>
        <w:ind w:left="705" w:right="0" w:hanging="530"/>
        <w:jc w:val="left"/>
        <w:rPr>
          <w:sz w:val="21"/>
        </w:rPr>
      </w:pPr>
      <w:r>
        <w:rPr>
          <w:spacing w:val="-5"/>
          <w:sz w:val="21"/>
        </w:rPr>
        <w:t>临床出现昏迷，病程至少达到疾病分期第 </w:t>
      </w:r>
      <w:r>
        <w:rPr>
          <w:spacing w:val="-2"/>
          <w:sz w:val="21"/>
        </w:rPr>
        <w:t>3</w:t>
      </w:r>
      <w:r>
        <w:rPr>
          <w:spacing w:val="-20"/>
          <w:sz w:val="21"/>
        </w:rPr>
        <w:t> 期；</w:t>
      </w:r>
    </w:p>
    <w:p>
      <w:pPr>
        <w:pStyle w:val="ListParagraph"/>
        <w:numPr>
          <w:ilvl w:val="0"/>
          <w:numId w:val="44"/>
        </w:numPr>
        <w:tabs>
          <w:tab w:pos="706" w:val="left" w:leader="none"/>
        </w:tabs>
        <w:spacing w:line="240" w:lineRule="auto" w:before="67" w:after="0"/>
        <w:ind w:left="705" w:right="0" w:hanging="530"/>
        <w:jc w:val="left"/>
        <w:rPr>
          <w:sz w:val="21"/>
        </w:rPr>
      </w:pPr>
      <w:r>
        <w:rPr>
          <w:spacing w:val="-3"/>
          <w:sz w:val="21"/>
        </w:rPr>
        <w:t>瑞氏综合征的诊断必须经肝脏活检确诊。</w:t>
      </w:r>
    </w:p>
    <w:p>
      <w:pPr>
        <w:spacing w:after="0" w:line="240" w:lineRule="auto"/>
        <w:jc w:val="left"/>
        <w:rPr>
          <w:sz w:val="21"/>
        </w:rPr>
        <w:sectPr>
          <w:type w:val="continuous"/>
          <w:pgSz w:w="11910" w:h="16840"/>
          <w:pgMar w:header="0" w:footer="857" w:top="320" w:bottom="1040" w:left="1100" w:right="260"/>
          <w:cols w:num="2" w:equalWidth="0">
            <w:col w:w="2775" w:space="40"/>
            <w:col w:w="7735"/>
          </w:cols>
        </w:sectPr>
      </w:pPr>
    </w:p>
    <w:p>
      <w:pPr>
        <w:pStyle w:val="BodyText"/>
        <w:rPr>
          <w:sz w:val="20"/>
        </w:rPr>
      </w:pPr>
    </w:p>
    <w:p>
      <w:pPr>
        <w:spacing w:after="0"/>
        <w:rPr>
          <w:sz w:val="20"/>
        </w:rPr>
        <w:sectPr>
          <w:type w:val="continuous"/>
          <w:pgSz w:w="11910" w:h="16840"/>
          <w:pgMar w:header="0" w:footer="857" w:top="320" w:bottom="1040" w:left="1100" w:right="260"/>
        </w:sectPr>
      </w:pPr>
    </w:p>
    <w:p>
      <w:pPr>
        <w:pStyle w:val="BodyText"/>
        <w:spacing w:before="4"/>
        <w:rPr>
          <w:sz w:val="18"/>
        </w:rPr>
      </w:pPr>
    </w:p>
    <w:p>
      <w:pPr>
        <w:pStyle w:val="BodyText"/>
        <w:spacing w:line="297" w:lineRule="auto" w:before="1"/>
        <w:ind w:left="225"/>
      </w:pPr>
      <w:r>
        <w:rPr>
          <w:spacing w:val="-2"/>
        </w:rPr>
        <w:t>（六十五）严重自身免疫性</w:t>
      </w:r>
      <w:r>
        <w:rPr>
          <w:spacing w:val="-6"/>
        </w:rPr>
        <w:t>肝炎</w:t>
      </w:r>
    </w:p>
    <w:p>
      <w:pPr>
        <w:spacing w:line="240" w:lineRule="auto" w:before="4"/>
        <w:rPr>
          <w:sz w:val="18"/>
        </w:rPr>
      </w:pPr>
      <w:r>
        <w:rPr/>
        <w:br w:type="column"/>
      </w:r>
      <w:r>
        <w:rPr>
          <w:sz w:val="18"/>
        </w:rPr>
      </w:r>
    </w:p>
    <w:p>
      <w:pPr>
        <w:pStyle w:val="BodyText"/>
        <w:spacing w:line="300" w:lineRule="auto" w:before="1"/>
        <w:ind w:left="178" w:right="1058"/>
        <w:jc w:val="both"/>
      </w:pPr>
      <w:r>
        <w:rPr>
          <w:spacing w:val="-2"/>
        </w:rPr>
        <w:t>自身免疫性肝炎是一种原因不明的慢性肝脏的坏死性炎性疾病，机体免</w:t>
      </w:r>
      <w:r>
        <w:rPr>
          <w:spacing w:val="-2"/>
        </w:rPr>
        <w:t>疫机制被破坏，产生针对肝脏自身抗原的抗体导致自身免疫反应，从而</w:t>
      </w:r>
      <w:r>
        <w:rPr>
          <w:spacing w:val="-2"/>
        </w:rPr>
        <w:t>破坏肝细胞造成肝脏炎症坏死，进而发展为肝硬化。必须满足所有以下</w:t>
      </w:r>
      <w:r>
        <w:rPr>
          <w:spacing w:val="-4"/>
        </w:rPr>
        <w:t>条件：</w:t>
      </w:r>
    </w:p>
    <w:p>
      <w:pPr>
        <w:pStyle w:val="ListParagraph"/>
        <w:numPr>
          <w:ilvl w:val="0"/>
          <w:numId w:val="45"/>
        </w:numPr>
        <w:tabs>
          <w:tab w:pos="708" w:val="left" w:leader="none"/>
        </w:tabs>
        <w:spacing w:line="240" w:lineRule="auto" w:before="1" w:after="0"/>
        <w:ind w:left="707" w:right="0" w:hanging="530"/>
        <w:jc w:val="left"/>
        <w:rPr>
          <w:sz w:val="21"/>
        </w:rPr>
      </w:pPr>
      <w:r>
        <w:rPr>
          <w:spacing w:val="-2"/>
          <w:sz w:val="21"/>
        </w:rPr>
        <w:t>高γ</w:t>
      </w:r>
      <w:r>
        <w:rPr>
          <w:spacing w:val="-4"/>
          <w:sz w:val="21"/>
        </w:rPr>
        <w:t>球蛋白血症；</w:t>
      </w:r>
    </w:p>
    <w:p>
      <w:pPr>
        <w:pStyle w:val="ListParagraph"/>
        <w:numPr>
          <w:ilvl w:val="0"/>
          <w:numId w:val="45"/>
        </w:numPr>
        <w:tabs>
          <w:tab w:pos="708" w:val="left" w:leader="none"/>
        </w:tabs>
        <w:spacing w:line="300" w:lineRule="auto" w:before="70" w:after="0"/>
        <w:ind w:left="178" w:right="1060" w:firstLine="0"/>
        <w:jc w:val="left"/>
        <w:rPr>
          <w:sz w:val="21"/>
        </w:rPr>
      </w:pPr>
      <w:r>
        <w:rPr>
          <w:spacing w:val="-3"/>
          <w:sz w:val="21"/>
        </w:rPr>
        <w:t>血液中存在高水平的自身免疫抗体，如 </w:t>
      </w:r>
      <w:r>
        <w:rPr>
          <w:sz w:val="21"/>
        </w:rPr>
        <w:t>ANA（抗核抗体</w:t>
      </w:r>
      <w:r>
        <w:rPr>
          <w:spacing w:val="-106"/>
          <w:sz w:val="21"/>
        </w:rPr>
        <w:t>）</w:t>
      </w:r>
      <w:r>
        <w:rPr>
          <w:sz w:val="21"/>
        </w:rPr>
        <w:t>、SMA（抗平滑肌抗体</w:t>
      </w:r>
      <w:r>
        <w:rPr>
          <w:spacing w:val="-106"/>
          <w:sz w:val="21"/>
        </w:rPr>
        <w:t>）</w:t>
      </w:r>
      <w:r>
        <w:rPr>
          <w:spacing w:val="-5"/>
          <w:sz w:val="21"/>
        </w:rPr>
        <w:t>、抗 </w:t>
      </w:r>
      <w:r>
        <w:rPr>
          <w:sz w:val="21"/>
        </w:rPr>
        <w:t>LKM1</w:t>
      </w:r>
      <w:r>
        <w:rPr>
          <w:spacing w:val="-4"/>
          <w:sz w:val="21"/>
        </w:rPr>
        <w:t> 抗体或抗-</w:t>
      </w:r>
      <w:r>
        <w:rPr>
          <w:sz w:val="21"/>
        </w:rPr>
        <w:t>SLA/LP</w:t>
      </w:r>
      <w:r>
        <w:rPr>
          <w:spacing w:val="-6"/>
          <w:sz w:val="21"/>
        </w:rPr>
        <w:t> 抗体；</w:t>
      </w:r>
    </w:p>
    <w:p>
      <w:pPr>
        <w:pStyle w:val="ListParagraph"/>
        <w:numPr>
          <w:ilvl w:val="0"/>
          <w:numId w:val="45"/>
        </w:numPr>
        <w:tabs>
          <w:tab w:pos="708" w:val="left" w:leader="none"/>
        </w:tabs>
        <w:spacing w:line="268" w:lineRule="exact" w:before="0" w:after="0"/>
        <w:ind w:left="707" w:right="0" w:hanging="530"/>
        <w:jc w:val="left"/>
        <w:rPr>
          <w:sz w:val="21"/>
        </w:rPr>
      </w:pPr>
      <w:r>
        <w:rPr>
          <w:spacing w:val="-3"/>
          <w:sz w:val="21"/>
        </w:rPr>
        <w:t>肝脏活检证实免疫性肝炎；</w:t>
      </w:r>
    </w:p>
    <w:p>
      <w:pPr>
        <w:pStyle w:val="ListParagraph"/>
        <w:numPr>
          <w:ilvl w:val="0"/>
          <w:numId w:val="45"/>
        </w:numPr>
        <w:tabs>
          <w:tab w:pos="708" w:val="left" w:leader="none"/>
        </w:tabs>
        <w:spacing w:line="240" w:lineRule="auto" w:before="66" w:after="0"/>
        <w:ind w:left="707"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857" w:top="320" w:bottom="1040" w:left="1100" w:right="260"/>
          <w:cols w:num="2" w:equalWidth="0">
            <w:col w:w="2773" w:space="40"/>
            <w:col w:w="7737"/>
          </w:cols>
        </w:sectPr>
      </w:pPr>
    </w:p>
    <w:p>
      <w:pPr>
        <w:pStyle w:val="BodyText"/>
        <w:rPr>
          <w:sz w:val="20"/>
        </w:rPr>
      </w:pPr>
    </w:p>
    <w:p>
      <w:pPr>
        <w:spacing w:after="0"/>
        <w:rPr>
          <w:sz w:val="20"/>
        </w:rPr>
        <w:sectPr>
          <w:type w:val="continuous"/>
          <w:pgSz w:w="11910" w:h="16840"/>
          <w:pgMar w:header="0" w:footer="857" w:top="320" w:bottom="1040" w:left="1100" w:right="260"/>
        </w:sectPr>
      </w:pPr>
    </w:p>
    <w:p>
      <w:pPr>
        <w:pStyle w:val="BodyText"/>
        <w:spacing w:before="5"/>
        <w:rPr>
          <w:sz w:val="18"/>
        </w:rPr>
      </w:pPr>
    </w:p>
    <w:p>
      <w:pPr>
        <w:pStyle w:val="BodyText"/>
        <w:spacing w:line="300" w:lineRule="auto"/>
        <w:ind w:left="225"/>
      </w:pPr>
      <w:r>
        <w:rPr>
          <w:spacing w:val="-2"/>
        </w:rPr>
        <w:t>（六十六）严重慢性缩窄型</w:t>
      </w:r>
      <w:r>
        <w:rPr>
          <w:spacing w:val="-4"/>
        </w:rPr>
        <w:t>心包炎</w:t>
      </w:r>
    </w:p>
    <w:p>
      <w:pPr>
        <w:spacing w:line="240" w:lineRule="auto" w:before="5"/>
        <w:rPr>
          <w:sz w:val="18"/>
        </w:rPr>
      </w:pPr>
      <w:r>
        <w:rPr/>
        <w:br w:type="column"/>
      </w:r>
      <w:r>
        <w:rPr>
          <w:sz w:val="18"/>
        </w:rPr>
      </w:r>
    </w:p>
    <w:p>
      <w:pPr>
        <w:pStyle w:val="BodyText"/>
        <w:spacing w:line="300" w:lineRule="auto"/>
        <w:ind w:left="178" w:right="1058"/>
        <w:jc w:val="both"/>
      </w:pPr>
      <w:r>
        <w:rPr>
          <w:spacing w:val="-2"/>
        </w:rPr>
        <w:t>由于慢性心包炎症导致心包脏层和壁层广泛瘢痕粘连、增厚和钙化，心</w:t>
      </w:r>
      <w:r>
        <w:rPr>
          <w:spacing w:val="-2"/>
        </w:rPr>
        <w:t>包腔闭塞，形成一个纤维瘢痕外壳，使心脏和大血管根部受压，阻碍心</w:t>
      </w:r>
      <w:r>
        <w:rPr>
          <w:spacing w:val="-5"/>
        </w:rPr>
        <w:t>脏的舒张。被保险人被明确诊断为慢性缩窄性心包炎且必须满足以下所</w:t>
      </w:r>
    </w:p>
    <w:p>
      <w:pPr>
        <w:spacing w:after="0" w:line="300" w:lineRule="auto"/>
        <w:jc w:val="both"/>
        <w:sectPr>
          <w:type w:val="continuous"/>
          <w:pgSz w:w="11910" w:h="16840"/>
          <w:pgMar w:header="0" w:footer="857" w:top="320" w:bottom="1040" w:left="1100" w:right="260"/>
          <w:cols w:num="2" w:equalWidth="0">
            <w:col w:w="2773" w:space="40"/>
            <w:col w:w="7737"/>
          </w:cols>
        </w:sectPr>
      </w:pPr>
    </w:p>
    <w:p>
      <w:pPr>
        <w:pStyle w:val="BodyText"/>
        <w:spacing w:before="60"/>
        <w:ind w:left="2990"/>
      </w:pPr>
      <w:r>
        <w:rPr>
          <w:spacing w:val="-4"/>
        </w:rPr>
        <w:t>有条件：</w:t>
      </w:r>
    </w:p>
    <w:p>
      <w:pPr>
        <w:pStyle w:val="BodyText"/>
        <w:spacing w:line="300" w:lineRule="auto" w:before="67"/>
        <w:ind w:left="2990"/>
      </w:pPr>
      <w:r>
        <w:rPr/>
        <w:t>（</w:t>
      </w:r>
      <w:r>
        <w:rPr>
          <w:spacing w:val="-65"/>
        </w:rPr>
        <w:t> </w:t>
      </w:r>
      <w:r>
        <w:rPr/>
        <w:t>1</w:t>
      </w:r>
      <w:r>
        <w:rPr>
          <w:spacing w:val="-65"/>
        </w:rPr>
        <w:t> </w:t>
      </w:r>
      <w:r>
        <w:rPr/>
        <w:t>）</w:t>
      </w:r>
      <w:r>
        <w:rPr>
          <w:spacing w:val="29"/>
        </w:rPr>
        <w:t> 心功能衰竭达到美国纽约心脏病学会</w:t>
      </w:r>
      <w:r>
        <w:rPr/>
        <w:t>（</w:t>
      </w:r>
      <w:r>
        <w:rPr>
          <w:spacing w:val="-62"/>
        </w:rPr>
        <w:t> </w:t>
      </w:r>
      <w:r>
        <w:rPr/>
        <w:t>New</w:t>
      </w:r>
      <w:r>
        <w:rPr>
          <w:spacing w:val="40"/>
        </w:rPr>
        <w:t> </w:t>
      </w:r>
      <w:r>
        <w:rPr/>
        <w:t>York</w:t>
      </w:r>
      <w:r>
        <w:rPr>
          <w:spacing w:val="40"/>
        </w:rPr>
        <w:t> </w:t>
      </w:r>
      <w:r>
        <w:rPr/>
        <w:t>Heart Association，NYHA）</w:t>
      </w:r>
      <w:r>
        <w:rPr>
          <w:spacing w:val="-2"/>
        </w:rPr>
        <w:t>心功能状态分级 </w:t>
      </w:r>
      <w:r>
        <w:rPr/>
        <w:t>IV</w:t>
      </w:r>
      <w:r>
        <w:rPr>
          <w:spacing w:val="-5"/>
        </w:rPr>
        <w:t> 级，并持续 </w:t>
      </w:r>
      <w:r>
        <w:rPr/>
        <w:t>180</w:t>
      </w:r>
      <w:r>
        <w:rPr>
          <w:spacing w:val="-4"/>
        </w:rPr>
        <w:t> 天以上；</w:t>
      </w:r>
    </w:p>
    <w:p>
      <w:pPr>
        <w:pStyle w:val="BodyText"/>
        <w:spacing w:line="302" w:lineRule="auto"/>
        <w:ind w:left="2990" w:right="1058"/>
      </w:pPr>
      <w:r>
        <w:rPr>
          <w:spacing w:val="-2"/>
        </w:rPr>
        <w:t>（2）实际接受了以下任何一种手术路径的心包剥脱或心包切除手术：</w:t>
      </w:r>
      <w:r>
        <w:rPr>
          <w:spacing w:val="-2"/>
        </w:rPr>
        <w:t>胸骨正中切口；双侧前胸切口；左前胸肋间切口。</w:t>
      </w:r>
    </w:p>
    <w:p>
      <w:pPr>
        <w:spacing w:line="265" w:lineRule="exact" w:before="0"/>
        <w:ind w:left="2990" w:right="0" w:firstLine="0"/>
        <w:jc w:val="left"/>
        <w:rPr>
          <w:b/>
          <w:sz w:val="21"/>
        </w:rPr>
      </w:pPr>
      <w:r>
        <w:rPr>
          <w:b/>
          <w:spacing w:val="-16"/>
          <w:sz w:val="21"/>
        </w:rPr>
        <w:t>经胸腔镜、胸壁打孔进行的手术、心包粘连松解手术不在本保障范围内。</w:t>
      </w:r>
    </w:p>
    <w:p>
      <w:pPr>
        <w:pStyle w:val="BodyText"/>
        <w:rPr>
          <w:b/>
          <w:sz w:val="20"/>
        </w:rPr>
      </w:pPr>
    </w:p>
    <w:p>
      <w:pPr>
        <w:spacing w:after="0"/>
        <w:rPr>
          <w:sz w:val="20"/>
        </w:rPr>
        <w:sectPr>
          <w:pgSz w:w="11910" w:h="16840"/>
          <w:pgMar w:header="0" w:footer="857" w:top="1420" w:bottom="1180" w:left="1100" w:right="260"/>
        </w:sectPr>
      </w:pPr>
    </w:p>
    <w:p>
      <w:pPr>
        <w:pStyle w:val="BodyText"/>
        <w:spacing w:before="4"/>
        <w:rPr>
          <w:b/>
          <w:sz w:val="18"/>
        </w:rPr>
      </w:pPr>
    </w:p>
    <w:p>
      <w:pPr>
        <w:pStyle w:val="BodyText"/>
        <w:spacing w:line="297" w:lineRule="auto" w:before="1"/>
        <w:ind w:left="225"/>
      </w:pPr>
      <w:r>
        <w:rPr>
          <w:spacing w:val="-2"/>
        </w:rPr>
        <w:t>（六十七）严重的骨髓增生</w:t>
      </w:r>
      <w:r>
        <w:rPr>
          <w:spacing w:val="-2"/>
        </w:rPr>
        <w:t>异常综合征</w:t>
      </w:r>
    </w:p>
    <w:p>
      <w:pPr>
        <w:spacing w:line="240" w:lineRule="auto" w:before="4"/>
        <w:rPr>
          <w:sz w:val="18"/>
        </w:rPr>
      </w:pPr>
      <w:r>
        <w:rPr/>
        <w:br w:type="column"/>
      </w:r>
      <w:r>
        <w:rPr>
          <w:sz w:val="18"/>
        </w:rPr>
      </w:r>
    </w:p>
    <w:p>
      <w:pPr>
        <w:pStyle w:val="BodyText"/>
        <w:spacing w:line="300" w:lineRule="auto" w:before="1"/>
        <w:ind w:left="178" w:right="1060"/>
        <w:jc w:val="both"/>
      </w:pPr>
      <w:r>
        <w:rPr/>
        <w:t>骨髓增生异常综合征（Myelodysplastic</w:t>
      </w:r>
      <w:r>
        <w:rPr>
          <w:spacing w:val="-27"/>
        </w:rPr>
        <w:t> </w:t>
      </w:r>
      <w:r>
        <w:rPr/>
        <w:t>Syndromes，MDS）是起源于造</w:t>
      </w:r>
      <w:r>
        <w:rPr>
          <w:spacing w:val="-2"/>
        </w:rPr>
        <w:t>血干细胞的一组异质性髓系克隆性疾病，特点是髓系细胞发育异常，表</w:t>
      </w:r>
      <w:r>
        <w:rPr>
          <w:spacing w:val="-2"/>
        </w:rPr>
        <w:t>现为无效造血、难治性血细胞减少，本合同所指的严重的骨髓增生异常</w:t>
      </w:r>
      <w:r>
        <w:rPr>
          <w:spacing w:val="-2"/>
        </w:rPr>
        <w:t>综合征需满足下列所有条件：</w:t>
      </w:r>
    </w:p>
    <w:p>
      <w:pPr>
        <w:pStyle w:val="ListParagraph"/>
        <w:numPr>
          <w:ilvl w:val="0"/>
          <w:numId w:val="46"/>
        </w:numPr>
        <w:tabs>
          <w:tab w:pos="714" w:val="left" w:leader="none"/>
        </w:tabs>
        <w:spacing w:line="300" w:lineRule="auto" w:before="1" w:after="0"/>
        <w:ind w:left="178" w:right="1059" w:firstLine="0"/>
        <w:jc w:val="left"/>
        <w:rPr>
          <w:sz w:val="21"/>
        </w:rPr>
      </w:pPr>
      <w:r>
        <w:rPr>
          <w:spacing w:val="-2"/>
          <w:sz w:val="21"/>
        </w:rPr>
        <w:t>由设有专门血液病专科的公立三级甲等医院血液病专科的主治级</w:t>
      </w:r>
      <w:r>
        <w:rPr>
          <w:spacing w:val="-2"/>
          <w:sz w:val="21"/>
        </w:rPr>
        <w:t>别以上的专科医生确诊；</w:t>
      </w:r>
    </w:p>
    <w:p>
      <w:pPr>
        <w:pStyle w:val="ListParagraph"/>
        <w:numPr>
          <w:ilvl w:val="0"/>
          <w:numId w:val="46"/>
        </w:numPr>
        <w:tabs>
          <w:tab w:pos="760" w:val="left" w:leader="none"/>
        </w:tabs>
        <w:spacing w:line="300" w:lineRule="auto" w:before="2" w:after="0"/>
        <w:ind w:left="178" w:right="1059" w:firstLine="0"/>
        <w:jc w:val="left"/>
        <w:rPr>
          <w:sz w:val="21"/>
        </w:rPr>
      </w:pPr>
      <w:r>
        <w:rPr>
          <w:spacing w:val="16"/>
          <w:w w:val="100"/>
          <w:sz w:val="21"/>
        </w:rPr>
        <w:t>）</w:t>
      </w:r>
      <w:r>
        <w:rPr>
          <w:spacing w:val="15"/>
          <w:w w:val="100"/>
          <w:sz w:val="21"/>
        </w:rPr>
        <w:t>骨髓涂片检查同时符合发育异常细胞比例&gt;</w:t>
      </w:r>
      <w:r>
        <w:rPr>
          <w:w w:val="100"/>
          <w:sz w:val="21"/>
        </w:rPr>
        <w:t>10</w:t>
      </w:r>
      <w:r>
        <w:rPr>
          <w:spacing w:val="16"/>
          <w:w w:val="100"/>
          <w:sz w:val="21"/>
        </w:rPr>
        <w:t>%、原始细</w:t>
      </w:r>
      <w:r>
        <w:rPr>
          <w:spacing w:val="5"/>
          <w:w w:val="100"/>
          <w:sz w:val="21"/>
        </w:rPr>
        <w:t>胞比例</w:t>
      </w:r>
      <w:r>
        <w:rPr>
          <w:w w:val="100"/>
          <w:sz w:val="21"/>
        </w:rPr>
        <w:t>&gt;15</w:t>
      </w:r>
      <w:r>
        <w:rPr>
          <w:spacing w:val="-2"/>
          <w:w w:val="100"/>
          <w:sz w:val="21"/>
        </w:rPr>
        <w:t>%；</w:t>
      </w:r>
    </w:p>
    <w:p>
      <w:pPr>
        <w:pStyle w:val="ListParagraph"/>
        <w:numPr>
          <w:ilvl w:val="0"/>
          <w:numId w:val="46"/>
        </w:numPr>
        <w:tabs>
          <w:tab w:pos="708" w:val="left" w:leader="none"/>
        </w:tabs>
        <w:spacing w:line="268" w:lineRule="exact" w:before="0" w:after="0"/>
        <w:ind w:left="707" w:right="0" w:hanging="530"/>
        <w:jc w:val="left"/>
        <w:rPr>
          <w:sz w:val="21"/>
        </w:rPr>
      </w:pPr>
      <w:r>
        <w:rPr>
          <w:spacing w:val="-3"/>
          <w:sz w:val="21"/>
        </w:rPr>
        <w:t>已接受至少累计三十日的化疗或已接受骨髓移植治疗。</w:t>
      </w:r>
    </w:p>
    <w:p>
      <w:pPr>
        <w:spacing w:line="300" w:lineRule="auto" w:before="69"/>
        <w:ind w:left="178" w:right="1437" w:firstLine="0"/>
        <w:jc w:val="left"/>
        <w:rPr>
          <w:sz w:val="21"/>
        </w:rPr>
      </w:pPr>
      <w:r>
        <w:rPr>
          <w:b/>
          <w:spacing w:val="-2"/>
          <w:sz w:val="21"/>
        </w:rPr>
        <w:t>化疗日数的计算以被保险人实际服用、注射化疗药物的天数为准</w:t>
      </w:r>
      <w:r>
        <w:rPr>
          <w:spacing w:val="-2"/>
          <w:sz w:val="21"/>
        </w:rPr>
        <w:t>。</w:t>
      </w:r>
      <w:r>
        <w:rPr>
          <w:b/>
          <w:spacing w:val="-2"/>
          <w:sz w:val="21"/>
        </w:rPr>
        <w:t>疑似病例不在本保障范围内</w:t>
      </w:r>
      <w:r>
        <w:rPr>
          <w:spacing w:val="-2"/>
          <w:sz w:val="21"/>
        </w:rPr>
        <w:t>。</w:t>
      </w:r>
    </w:p>
    <w:p>
      <w:pPr>
        <w:spacing w:after="0" w:line="300"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7"/>
        <w:rPr>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（六十八）脑桥中央髓鞘溶</w:t>
      </w:r>
      <w:r>
        <w:rPr>
          <w:spacing w:val="-6"/>
        </w:rPr>
        <w:t>解症</w:t>
      </w:r>
    </w:p>
    <w:p>
      <w:pPr>
        <w:pStyle w:val="BodyText"/>
        <w:spacing w:line="297" w:lineRule="auto" w:before="72"/>
        <w:ind w:left="178" w:right="1058"/>
        <w:jc w:val="both"/>
        <w:rPr>
          <w:sz w:val="22"/>
        </w:rPr>
      </w:pPr>
      <w:r>
        <w:rPr/>
        <w:br w:type="column"/>
      </w:r>
      <w:r>
        <w:rPr>
          <w:w w:val="95"/>
        </w:rPr>
        <w:t>脑</w:t>
      </w:r>
      <w:r>
        <w:rPr>
          <w:w w:val="95"/>
        </w:rPr>
        <w:t>桥</w:t>
      </w:r>
      <w:r>
        <w:rPr>
          <w:w w:val="95"/>
        </w:rPr>
        <w:t>中央髓鞘溶解症（CPM）是一种代谢性脱</w:t>
      </w:r>
      <w:r>
        <w:rPr>
          <w:w w:val="95"/>
        </w:rPr>
        <w:t>髓</w:t>
      </w:r>
      <w:r>
        <w:rPr>
          <w:w w:val="95"/>
        </w:rPr>
        <w:t>鞘</w:t>
      </w:r>
      <w:r>
        <w:rPr>
          <w:w w:val="95"/>
        </w:rPr>
        <w:t>疾病。CPM 由 Adams </w:t>
      </w:r>
      <w:r>
        <w:rPr>
          <w:w w:val="95"/>
        </w:rPr>
        <w:t>首</w:t>
      </w:r>
      <w:r>
        <w:rPr>
          <w:spacing w:val="-2"/>
        </w:rPr>
        <w:t>次提出，病理学上表现为髓鞘脱失不伴炎症反应。临床常见症状为突发</w:t>
      </w:r>
      <w:r>
        <w:rPr>
          <w:spacing w:val="-2"/>
        </w:rPr>
        <w:t>四肢弛缓性瘫，咀嚼、吞咽及言语障碍，眼震及眼球凝视障碍等。须经</w:t>
      </w:r>
      <w:r>
        <w:rPr>
          <w:spacing w:val="-3"/>
        </w:rPr>
        <w:t>明确诊断，疾病确诊 </w:t>
      </w:r>
      <w:r>
        <w:rPr/>
        <w:t>180</w:t>
      </w:r>
      <w:r>
        <w:rPr>
          <w:spacing w:val="-7"/>
        </w:rPr>
        <w:t> 天后，</w:t>
      </w:r>
      <w:r>
        <w:rPr>
          <w:sz w:val="22"/>
        </w:rPr>
        <w:t>仍遗留下列至少一种障碍：</w:t>
      </w:r>
    </w:p>
    <w:p>
      <w:pPr>
        <w:pStyle w:val="ListParagraph"/>
        <w:numPr>
          <w:ilvl w:val="0"/>
          <w:numId w:val="47"/>
        </w:numPr>
        <w:tabs>
          <w:tab w:pos="732" w:val="left" w:leader="none"/>
        </w:tabs>
        <w:spacing w:line="270" w:lineRule="exact" w:before="0" w:after="0"/>
        <w:ind w:left="731" w:right="0" w:hanging="554"/>
        <w:jc w:val="both"/>
        <w:rPr>
          <w:sz w:val="20"/>
        </w:rPr>
      </w:pPr>
      <w:r>
        <w:rPr>
          <w:spacing w:val="-2"/>
          <w:sz w:val="22"/>
        </w:rPr>
        <w:t>一肢（含）</w:t>
      </w:r>
      <w:r>
        <w:rPr>
          <w:spacing w:val="-9"/>
          <w:sz w:val="22"/>
        </w:rPr>
        <w:t>以上肢体肌力 </w:t>
      </w:r>
      <w:r>
        <w:rPr>
          <w:spacing w:val="-2"/>
          <w:sz w:val="22"/>
        </w:rPr>
        <w:t>2</w:t>
      </w:r>
      <w:r>
        <w:rPr>
          <w:spacing w:val="-25"/>
          <w:sz w:val="22"/>
        </w:rPr>
        <w:t> 级</w:t>
      </w:r>
      <w:r>
        <w:rPr>
          <w:spacing w:val="-2"/>
          <w:sz w:val="22"/>
        </w:rPr>
        <w:t>（含）</w:t>
      </w:r>
      <w:r>
        <w:rPr>
          <w:spacing w:val="-5"/>
          <w:sz w:val="22"/>
        </w:rPr>
        <w:t>以下；</w:t>
      </w:r>
    </w:p>
    <w:p>
      <w:pPr>
        <w:pStyle w:val="ListParagraph"/>
        <w:numPr>
          <w:ilvl w:val="0"/>
          <w:numId w:val="47"/>
        </w:numPr>
        <w:tabs>
          <w:tab w:pos="732" w:val="left" w:leader="none"/>
        </w:tabs>
        <w:spacing w:line="240" w:lineRule="auto" w:before="54" w:after="0"/>
        <w:ind w:left="731" w:right="0" w:hanging="554"/>
        <w:jc w:val="left"/>
        <w:rPr>
          <w:sz w:val="20"/>
        </w:rPr>
      </w:pPr>
      <w:r>
        <w:rPr>
          <w:spacing w:val="-3"/>
          <w:sz w:val="22"/>
        </w:rPr>
        <w:t>语言能力完全丧失，或严重咀嚼吞咽功能障碍；</w:t>
      </w:r>
    </w:p>
    <w:p>
      <w:pPr>
        <w:pStyle w:val="ListParagraph"/>
        <w:numPr>
          <w:ilvl w:val="0"/>
          <w:numId w:val="47"/>
        </w:numPr>
        <w:tabs>
          <w:tab w:pos="714" w:val="left" w:leader="none"/>
        </w:tabs>
        <w:spacing w:line="300" w:lineRule="auto" w:before="64" w:after="0"/>
        <w:ind w:left="178" w:right="1065" w:firstLine="0"/>
        <w:jc w:val="left"/>
        <w:rPr>
          <w:sz w:val="19"/>
        </w:rPr>
      </w:pPr>
      <w:r>
        <w:rPr>
          <w:spacing w:val="-2"/>
          <w:sz w:val="21"/>
        </w:rPr>
        <w:t>自主生活能力完全丧失，无法独立完成六项基本日常生活活动中</w:t>
      </w:r>
      <w:r>
        <w:rPr>
          <w:spacing w:val="-2"/>
          <w:sz w:val="21"/>
        </w:rPr>
        <w:t>的三项或三项以上。</w:t>
      </w:r>
    </w:p>
    <w:p>
      <w:pPr>
        <w:spacing w:line="268" w:lineRule="exact" w:before="0"/>
        <w:ind w:left="178" w:right="0" w:firstLine="0"/>
        <w:jc w:val="left"/>
        <w:rPr>
          <w:b/>
          <w:sz w:val="21"/>
        </w:rPr>
      </w:pPr>
      <w:r>
        <w:rPr>
          <w:b/>
          <w:spacing w:val="-3"/>
          <w:sz w:val="21"/>
        </w:rPr>
        <w:t>因酗酒导致的脑桥中央髓鞘溶解症不在本保障范围内。</w:t>
      </w:r>
    </w:p>
    <w:p>
      <w:pPr>
        <w:spacing w:after="0" w:line="268" w:lineRule="exact"/>
        <w:jc w:val="left"/>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pStyle w:val="BodyText"/>
        <w:spacing w:before="3"/>
        <w:rPr>
          <w:b/>
          <w:sz w:val="18"/>
        </w:rPr>
      </w:pPr>
    </w:p>
    <w:p>
      <w:pPr>
        <w:pStyle w:val="BodyText"/>
        <w:spacing w:line="297" w:lineRule="auto"/>
        <w:ind w:left="2990" w:right="1058" w:hanging="2766"/>
        <w:jc w:val="both"/>
        <w:rPr>
          <w:sz w:val="22"/>
        </w:rPr>
      </w:pPr>
      <w:r>
        <w:rPr/>
        <w:t>（六十九）</w:t>
      </w:r>
      <w:r>
        <w:rPr>
          <w:spacing w:val="4"/>
        </w:rPr>
        <w:t>同心圆硬化 是具有特征性病理改变的大脑白质脱髓鞘疾病，即病灶内髓鞘脱失带与</w:t>
      </w:r>
      <w:r>
        <w:rPr>
          <w:spacing w:val="-2"/>
        </w:rPr>
        <w:t>髓鞘保存带呈同心圆层状交互排列，形成树木年轮状改变。须经明确诊</w:t>
      </w:r>
      <w:r>
        <w:rPr>
          <w:spacing w:val="-4"/>
        </w:rPr>
        <w:t>断，疾病确诊 </w:t>
      </w:r>
      <w:r>
        <w:rPr/>
        <w:t>180</w:t>
      </w:r>
      <w:r>
        <w:rPr>
          <w:spacing w:val="-5"/>
        </w:rPr>
        <w:t> 天后，仍遗留下列</w:t>
      </w:r>
      <w:r>
        <w:rPr>
          <w:sz w:val="22"/>
        </w:rPr>
        <w:t>至少一种障碍：</w:t>
      </w:r>
    </w:p>
    <w:p>
      <w:pPr>
        <w:pStyle w:val="ListParagraph"/>
        <w:numPr>
          <w:ilvl w:val="1"/>
          <w:numId w:val="47"/>
        </w:numPr>
        <w:tabs>
          <w:tab w:pos="3544" w:val="left" w:leader="none"/>
        </w:tabs>
        <w:spacing w:line="268" w:lineRule="exact" w:before="0" w:after="0"/>
        <w:ind w:left="3543" w:right="0" w:hanging="554"/>
        <w:jc w:val="left"/>
        <w:rPr>
          <w:sz w:val="22"/>
        </w:rPr>
      </w:pPr>
      <w:r>
        <w:rPr>
          <w:spacing w:val="-2"/>
          <w:sz w:val="22"/>
        </w:rPr>
        <w:t>一肢（含）</w:t>
      </w:r>
      <w:r>
        <w:rPr>
          <w:spacing w:val="-9"/>
          <w:sz w:val="22"/>
        </w:rPr>
        <w:t>以上肢体肌力 </w:t>
      </w:r>
      <w:r>
        <w:rPr>
          <w:spacing w:val="-2"/>
          <w:sz w:val="22"/>
        </w:rPr>
        <w:t>2</w:t>
      </w:r>
      <w:r>
        <w:rPr>
          <w:spacing w:val="-25"/>
          <w:sz w:val="22"/>
        </w:rPr>
        <w:t> 级</w:t>
      </w:r>
      <w:r>
        <w:rPr>
          <w:spacing w:val="-2"/>
          <w:sz w:val="22"/>
        </w:rPr>
        <w:t>（含）</w:t>
      </w:r>
      <w:r>
        <w:rPr>
          <w:spacing w:val="-5"/>
          <w:sz w:val="22"/>
        </w:rPr>
        <w:t>以下；</w:t>
      </w:r>
    </w:p>
    <w:p>
      <w:pPr>
        <w:pStyle w:val="ListParagraph"/>
        <w:numPr>
          <w:ilvl w:val="1"/>
          <w:numId w:val="47"/>
        </w:numPr>
        <w:tabs>
          <w:tab w:pos="3544" w:val="left" w:leader="none"/>
        </w:tabs>
        <w:spacing w:line="240" w:lineRule="auto" w:before="54" w:after="0"/>
        <w:ind w:left="3543" w:right="0" w:hanging="554"/>
        <w:jc w:val="left"/>
        <w:rPr>
          <w:sz w:val="22"/>
        </w:rPr>
      </w:pPr>
      <w:r>
        <w:rPr>
          <w:spacing w:val="-3"/>
          <w:sz w:val="22"/>
        </w:rPr>
        <w:t>语言能力完全丧失，或严重咀嚼吞咽功能障碍；</w:t>
      </w:r>
    </w:p>
    <w:p>
      <w:pPr>
        <w:pStyle w:val="ListParagraph"/>
        <w:numPr>
          <w:ilvl w:val="1"/>
          <w:numId w:val="47"/>
        </w:numPr>
        <w:tabs>
          <w:tab w:pos="3549" w:val="left" w:leader="none"/>
        </w:tabs>
        <w:spacing w:line="290" w:lineRule="auto" w:before="57" w:after="0"/>
        <w:ind w:left="2990" w:right="1064" w:firstLine="0"/>
        <w:jc w:val="left"/>
        <w:rPr>
          <w:sz w:val="21"/>
        </w:rPr>
      </w:pPr>
      <w:r>
        <w:rPr>
          <w:spacing w:val="-2"/>
          <w:sz w:val="21"/>
        </w:rPr>
        <w:t>自主生活能力完全丧失，无法独立完成六项基本日常生活活动中</w:t>
      </w:r>
      <w:r>
        <w:rPr>
          <w:spacing w:val="-2"/>
          <w:sz w:val="21"/>
        </w:rPr>
        <w:t>的三项或三项以上。</w:t>
      </w:r>
    </w:p>
    <w:p>
      <w:pPr>
        <w:pStyle w:val="BodyText"/>
        <w:rPr>
          <w:sz w:val="20"/>
        </w:rPr>
      </w:pPr>
    </w:p>
    <w:p>
      <w:pPr>
        <w:pStyle w:val="BodyText"/>
        <w:spacing w:line="300" w:lineRule="auto" w:before="177"/>
        <w:ind w:left="2990" w:right="1058" w:hanging="2766"/>
        <w:jc w:val="both"/>
      </w:pPr>
      <w:r>
        <w:rPr/>
        <w:t>（七十）</w:t>
      </w:r>
      <w:r>
        <w:rPr>
          <w:spacing w:val="3"/>
        </w:rPr>
        <w:t>重症手足口病 由肠道病毒引起的急性传染病，主要症状表现为手、足、口腔等部位的</w:t>
      </w:r>
      <w:r>
        <w:rPr>
          <w:spacing w:val="-2"/>
        </w:rPr>
        <w:t>斑丘疹、疱疹。经我们认可的医院的专科医生确诊为患有手足口病，并</w:t>
      </w:r>
      <w:r>
        <w:rPr>
          <w:spacing w:val="-2"/>
        </w:rPr>
        <w:t>伴有下列三项中的任意一项并发症：</w:t>
      </w:r>
    </w:p>
    <w:p>
      <w:pPr>
        <w:spacing w:after="0" w:line="300" w:lineRule="auto"/>
        <w:jc w:val="both"/>
        <w:sectPr>
          <w:type w:val="continuous"/>
          <w:pgSz w:w="11910" w:h="16840"/>
          <w:pgMar w:header="0" w:footer="857" w:top="320" w:bottom="1040" w:left="1100" w:right="260"/>
        </w:sectPr>
      </w:pPr>
    </w:p>
    <w:p>
      <w:pPr>
        <w:pStyle w:val="ListParagraph"/>
        <w:numPr>
          <w:ilvl w:val="0"/>
          <w:numId w:val="48"/>
        </w:numPr>
        <w:tabs>
          <w:tab w:pos="3526" w:val="left" w:leader="none"/>
        </w:tabs>
        <w:spacing w:line="300" w:lineRule="auto" w:before="60" w:after="0"/>
        <w:ind w:left="2990" w:right="1064" w:firstLine="0"/>
        <w:jc w:val="left"/>
        <w:rPr>
          <w:sz w:val="21"/>
        </w:rPr>
      </w:pPr>
      <w:r>
        <w:rPr>
          <w:spacing w:val="-2"/>
          <w:sz w:val="21"/>
        </w:rPr>
        <w:t>有脑膜炎或脑炎并发症，且导致意识障碍或瘫痪的临床表现及实</w:t>
      </w:r>
      <w:r>
        <w:rPr>
          <w:spacing w:val="-2"/>
          <w:sz w:val="21"/>
        </w:rPr>
        <w:t>验室检查证据；</w:t>
      </w:r>
    </w:p>
    <w:p>
      <w:pPr>
        <w:pStyle w:val="ListParagraph"/>
        <w:numPr>
          <w:ilvl w:val="0"/>
          <w:numId w:val="48"/>
        </w:numPr>
        <w:tabs>
          <w:tab w:pos="3526" w:val="left" w:leader="none"/>
        </w:tabs>
        <w:spacing w:line="300" w:lineRule="auto" w:before="0" w:after="0"/>
        <w:ind w:left="2990" w:right="1064" w:firstLine="0"/>
        <w:jc w:val="left"/>
        <w:rPr>
          <w:sz w:val="21"/>
        </w:rPr>
      </w:pPr>
      <w:r>
        <w:rPr>
          <w:spacing w:val="-2"/>
          <w:sz w:val="21"/>
        </w:rPr>
        <w:t>有肺炎或肺水肿并发症，且导致呼吸衰竭的临床表现及实验室检</w:t>
      </w:r>
      <w:r>
        <w:rPr>
          <w:spacing w:val="-4"/>
          <w:sz w:val="21"/>
        </w:rPr>
        <w:t>查证据；</w:t>
      </w:r>
    </w:p>
    <w:p>
      <w:pPr>
        <w:pStyle w:val="ListParagraph"/>
        <w:numPr>
          <w:ilvl w:val="0"/>
          <w:numId w:val="48"/>
        </w:numPr>
        <w:tabs>
          <w:tab w:pos="3526" w:val="left" w:leader="none"/>
        </w:tabs>
        <w:spacing w:line="300" w:lineRule="auto" w:before="2" w:after="0"/>
        <w:ind w:left="2990" w:right="1058" w:firstLine="0"/>
        <w:jc w:val="left"/>
        <w:rPr>
          <w:sz w:val="21"/>
        </w:rPr>
      </w:pPr>
      <w:r>
        <w:rPr>
          <w:spacing w:val="-2"/>
          <w:sz w:val="21"/>
        </w:rPr>
        <w:t>有心肌炎并发症，且导致心脏扩大或心力衰竭的临床表现及实验</w:t>
      </w:r>
      <w:r>
        <w:rPr>
          <w:spacing w:val="-2"/>
          <w:sz w:val="21"/>
        </w:rPr>
        <w:t>室检查证据。</w:t>
      </w:r>
    </w:p>
    <w:p>
      <w:pPr>
        <w:pStyle w:val="BodyText"/>
        <w:spacing w:before="6"/>
        <w:rPr>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（七十一）严重肝豆状核变</w:t>
      </w:r>
      <w:r>
        <w:rPr/>
        <w:t>性（Wilson</w:t>
      </w:r>
      <w:r>
        <w:rPr>
          <w:spacing w:val="-21"/>
        </w:rPr>
        <w:t> 病</w:t>
      </w:r>
      <w:r>
        <w:rPr/>
        <w:t>）</w:t>
      </w:r>
    </w:p>
    <w:p>
      <w:pPr>
        <w:pStyle w:val="BodyText"/>
        <w:spacing w:line="300" w:lineRule="auto" w:before="72"/>
        <w:ind w:left="178" w:right="1058"/>
        <w:jc w:val="both"/>
      </w:pPr>
      <w:r>
        <w:rPr/>
        <w:br w:type="column"/>
      </w:r>
      <w:r>
        <w:rPr>
          <w:spacing w:val="-2"/>
        </w:rPr>
        <w:t>肝豆状核变性是一种可能危及生命的铜代谢疾病，以铜沉积造成的渐进</w:t>
      </w:r>
      <w:r>
        <w:rPr>
          <w:spacing w:val="-2"/>
        </w:rPr>
        <w:t>性肝功能损害及/或神经功能恶化为特征。必须由我们认可的医院的专</w:t>
      </w:r>
      <w:r>
        <w:rPr>
          <w:spacing w:val="-1"/>
        </w:rPr>
        <w:t>科医生通过肝脏活组织检查结果确定诊断并配合螯合剂治疗持续至少 </w:t>
      </w:r>
      <w:r>
        <w:rPr/>
        <w:t>6</w:t>
      </w:r>
      <w:r>
        <w:rPr>
          <w:spacing w:val="-4"/>
        </w:rPr>
        <w:t>个月。</w:t>
      </w:r>
    </w:p>
    <w:p>
      <w:pPr>
        <w:spacing w:line="300" w:lineRule="auto" w:before="1"/>
        <w:ind w:left="178" w:right="1060" w:firstLine="0"/>
        <w:jc w:val="both"/>
        <w:rPr>
          <w:b/>
          <w:sz w:val="21"/>
        </w:rPr>
      </w:pPr>
      <w:r>
        <w:rPr>
          <w:b/>
          <w:spacing w:val="-3"/>
          <w:sz w:val="21"/>
        </w:rPr>
        <w:t>我们公司承担本项疾病责任不受本合同条款 </w:t>
      </w:r>
      <w:r>
        <w:rPr>
          <w:b/>
          <w:spacing w:val="-2"/>
          <w:sz w:val="21"/>
        </w:rPr>
        <w:t>2.6“责任免除”中的“遗</w:t>
      </w:r>
      <w:r>
        <w:rPr>
          <w:b/>
          <w:spacing w:val="-2"/>
          <w:sz w:val="21"/>
        </w:rPr>
        <w:t>传性疾病，先天性畸形、变形或染色体异常”的限制。</w:t>
      </w:r>
    </w:p>
    <w:p>
      <w:pPr>
        <w:spacing w:after="0" w:line="300" w:lineRule="auto"/>
        <w:jc w:val="both"/>
        <w:rPr>
          <w:sz w:val="21"/>
        </w:rPr>
        <w:sectPr>
          <w:type w:val="continuous"/>
          <w:pgSz w:w="11910" w:h="16840"/>
          <w:pgMar w:header="0" w:footer="857" w:top="320" w:bottom="1040" w:left="1100" w:right="260"/>
          <w:cols w:num="2" w:equalWidth="0">
            <w:col w:w="2773" w:space="40"/>
            <w:col w:w="7737"/>
          </w:cols>
        </w:sectPr>
      </w:pPr>
    </w:p>
    <w:p>
      <w:pPr>
        <w:pStyle w:val="BodyText"/>
        <w:spacing w:before="7"/>
        <w:rPr>
          <w:b/>
          <w:sz w:val="27"/>
        </w:rPr>
      </w:pPr>
    </w:p>
    <w:p>
      <w:pPr>
        <w:spacing w:after="0"/>
        <w:rPr>
          <w:sz w:val="27"/>
        </w:rPr>
        <w:sectPr>
          <w:type w:val="continuous"/>
          <w:pgSz w:w="11910" w:h="16840"/>
          <w:pgMar w:header="0" w:footer="857" w:top="320" w:bottom="1040" w:left="1100" w:right="260"/>
        </w:sectPr>
      </w:pPr>
    </w:p>
    <w:p>
      <w:pPr>
        <w:pStyle w:val="BodyText"/>
        <w:spacing w:line="300" w:lineRule="auto" w:before="72"/>
        <w:ind w:left="225"/>
      </w:pPr>
      <w:r>
        <w:rPr>
          <w:spacing w:val="-2"/>
        </w:rPr>
        <w:t>（七十二）原发性骨髓纤维</w:t>
      </w:r>
      <w:r>
        <w:rPr>
          <w:spacing w:val="-10"/>
        </w:rPr>
        <w:t>化</w:t>
      </w:r>
    </w:p>
    <w:p>
      <w:pPr>
        <w:pStyle w:val="BodyText"/>
        <w:spacing w:line="300" w:lineRule="auto" w:before="72"/>
        <w:ind w:left="178" w:right="1058"/>
        <w:jc w:val="both"/>
      </w:pPr>
      <w:r>
        <w:rPr/>
        <w:br w:type="column"/>
      </w:r>
      <w:r>
        <w:rPr>
          <w:spacing w:val="3"/>
          <w:w w:val="100"/>
        </w:rPr>
        <w:t>原发性骨髓纤维化是一种原因不明的克隆性造血干细胞异常所致的慢</w:t>
      </w:r>
      <w:r>
        <w:rPr>
          <w:spacing w:val="-5"/>
          <w:w w:val="100"/>
        </w:rPr>
        <w:t>性骨髓增生性疾病，表现为进行性贫血、脾肿大等症状。本病必须根据</w:t>
      </w:r>
      <w:r>
        <w:rPr>
          <w:spacing w:val="-4"/>
          <w:w w:val="100"/>
        </w:rPr>
        <w:t>骨髓的活组织检查和周围血象检查由血液科专科医生明确诊断。</w:t>
      </w:r>
    </w:p>
    <w:p>
      <w:pPr>
        <w:pStyle w:val="BodyText"/>
        <w:spacing w:before="1"/>
        <w:ind w:left="178"/>
      </w:pPr>
      <w:r>
        <w:rPr>
          <w:spacing w:val="-3"/>
        </w:rPr>
        <w:t>诊断标准需要满足下列所有三项条件：</w:t>
      </w:r>
    </w:p>
    <w:p>
      <w:pPr>
        <w:pStyle w:val="ListParagraph"/>
        <w:numPr>
          <w:ilvl w:val="0"/>
          <w:numId w:val="49"/>
        </w:numPr>
        <w:tabs>
          <w:tab w:pos="714" w:val="left" w:leader="none"/>
        </w:tabs>
        <w:spacing w:line="240" w:lineRule="auto" w:before="69" w:after="0"/>
        <w:ind w:left="713" w:right="0" w:hanging="536"/>
        <w:jc w:val="left"/>
        <w:rPr>
          <w:sz w:val="21"/>
        </w:rPr>
      </w:pPr>
      <w:r>
        <w:rPr>
          <w:spacing w:val="-1"/>
          <w:sz w:val="21"/>
        </w:rPr>
        <w:t>骨髓活检可见巨核细胞增生及异型性表现，通常伴随网硬蛋白和</w:t>
      </w:r>
    </w:p>
    <w:p>
      <w:pPr>
        <w:pStyle w:val="BodyText"/>
        <w:spacing w:before="68"/>
        <w:ind w:left="178"/>
      </w:pPr>
      <w:r>
        <w:rPr>
          <w:spacing w:val="-2"/>
        </w:rPr>
        <w:t>（或）</w:t>
      </w:r>
      <w:r>
        <w:rPr>
          <w:spacing w:val="-4"/>
        </w:rPr>
        <w:t>胶原纤维化；</w:t>
      </w:r>
    </w:p>
    <w:p>
      <w:pPr>
        <w:pStyle w:val="ListParagraph"/>
        <w:numPr>
          <w:ilvl w:val="0"/>
          <w:numId w:val="49"/>
        </w:numPr>
        <w:tabs>
          <w:tab w:pos="708" w:val="left" w:leader="none"/>
        </w:tabs>
        <w:spacing w:line="240" w:lineRule="auto" w:before="67" w:after="0"/>
        <w:ind w:left="707" w:right="0" w:hanging="530"/>
        <w:jc w:val="left"/>
        <w:rPr>
          <w:sz w:val="21"/>
        </w:rPr>
      </w:pPr>
      <w:r>
        <w:rPr>
          <w:spacing w:val="-2"/>
          <w:sz w:val="21"/>
        </w:rPr>
        <w:t>Ph</w:t>
      </w:r>
      <w:r>
        <w:rPr>
          <w:spacing w:val="-13"/>
          <w:sz w:val="21"/>
        </w:rPr>
        <w:t> 染色体阴性，不符合 </w:t>
      </w:r>
      <w:r>
        <w:rPr>
          <w:spacing w:val="-2"/>
          <w:sz w:val="21"/>
        </w:rPr>
        <w:t>PV、CML、MDS</w:t>
      </w:r>
      <w:r>
        <w:rPr>
          <w:spacing w:val="-10"/>
          <w:sz w:val="21"/>
        </w:rPr>
        <w:t> 或其他髓系肿瘤表现；</w:t>
      </w:r>
    </w:p>
    <w:p>
      <w:pPr>
        <w:pStyle w:val="ListParagraph"/>
        <w:numPr>
          <w:ilvl w:val="0"/>
          <w:numId w:val="49"/>
        </w:numPr>
        <w:tabs>
          <w:tab w:pos="708" w:val="left" w:leader="none"/>
        </w:tabs>
        <w:spacing w:line="302" w:lineRule="auto" w:before="67" w:after="0"/>
        <w:ind w:left="178" w:right="1058" w:firstLine="0"/>
        <w:jc w:val="left"/>
        <w:rPr>
          <w:sz w:val="21"/>
        </w:rPr>
      </w:pPr>
      <w:r>
        <w:rPr>
          <w:spacing w:val="-8"/>
          <w:sz w:val="21"/>
        </w:rPr>
        <w:t>存在 </w:t>
      </w:r>
      <w:r>
        <w:rPr>
          <w:sz w:val="21"/>
        </w:rPr>
        <w:t>JAK2/V617F</w:t>
      </w:r>
      <w:r>
        <w:rPr>
          <w:spacing w:val="-6"/>
          <w:sz w:val="21"/>
        </w:rPr>
        <w:t> 或其他克隆性标记如 </w:t>
      </w:r>
      <w:r>
        <w:rPr>
          <w:sz w:val="21"/>
        </w:rPr>
        <w:t>MPL、W515K/L；或不存在</w:t>
      </w:r>
      <w:r>
        <w:rPr>
          <w:spacing w:val="-2"/>
          <w:sz w:val="21"/>
        </w:rPr>
        <w:t>克隆性标记，也不存在继发性骨髓纤维化的疾病。</w:t>
      </w:r>
    </w:p>
    <w:p>
      <w:pPr>
        <w:pStyle w:val="BodyText"/>
        <w:spacing w:line="265" w:lineRule="exact"/>
        <w:ind w:left="178"/>
      </w:pPr>
      <w:r>
        <w:rPr>
          <w:spacing w:val="-3"/>
        </w:rPr>
        <w:t>并且需要满足下列所有条件中的两项：</w:t>
      </w:r>
    </w:p>
    <w:p>
      <w:pPr>
        <w:pStyle w:val="ListParagraph"/>
        <w:numPr>
          <w:ilvl w:val="0"/>
          <w:numId w:val="50"/>
        </w:numPr>
        <w:tabs>
          <w:tab w:pos="708" w:val="left" w:leader="none"/>
        </w:tabs>
        <w:spacing w:line="240" w:lineRule="auto" w:before="67" w:after="0"/>
        <w:ind w:left="707" w:right="0" w:hanging="530"/>
        <w:jc w:val="left"/>
        <w:rPr>
          <w:sz w:val="21"/>
        </w:rPr>
      </w:pPr>
      <w:r>
        <w:rPr>
          <w:spacing w:val="-3"/>
          <w:sz w:val="21"/>
        </w:rPr>
        <w:t>外周血出现幼红、幼粒细胞；</w:t>
      </w:r>
    </w:p>
    <w:p>
      <w:pPr>
        <w:pStyle w:val="ListParagraph"/>
        <w:numPr>
          <w:ilvl w:val="0"/>
          <w:numId w:val="50"/>
        </w:numPr>
        <w:tabs>
          <w:tab w:pos="708" w:val="left" w:leader="none"/>
        </w:tabs>
        <w:spacing w:line="240" w:lineRule="auto" w:before="69" w:after="0"/>
        <w:ind w:left="707" w:right="0" w:hanging="530"/>
        <w:jc w:val="left"/>
        <w:rPr>
          <w:sz w:val="21"/>
        </w:rPr>
      </w:pPr>
      <w:r>
        <w:rPr>
          <w:spacing w:val="-2"/>
          <w:sz w:val="21"/>
        </w:rPr>
        <w:t>血清乳酸脱氢酶（LDH）</w:t>
      </w:r>
      <w:r>
        <w:rPr>
          <w:spacing w:val="-4"/>
          <w:sz w:val="21"/>
        </w:rPr>
        <w:t>水平增高；</w:t>
      </w:r>
    </w:p>
    <w:p>
      <w:pPr>
        <w:pStyle w:val="BodyText"/>
        <w:spacing w:before="67"/>
        <w:ind w:left="178"/>
      </w:pPr>
      <w:r>
        <w:rPr>
          <w:spacing w:val="-2"/>
        </w:rPr>
        <w:t>（3）</w:t>
      </w:r>
      <w:r>
        <w:rPr>
          <w:spacing w:val="-5"/>
        </w:rPr>
        <w:t>贫血；</w:t>
      </w:r>
    </w:p>
    <w:p>
      <w:pPr>
        <w:pStyle w:val="ListParagraph"/>
        <w:numPr>
          <w:ilvl w:val="0"/>
          <w:numId w:val="51"/>
        </w:numPr>
        <w:tabs>
          <w:tab w:pos="708" w:val="left" w:leader="none"/>
        </w:tabs>
        <w:spacing w:line="240" w:lineRule="auto" w:before="67" w:after="0"/>
        <w:ind w:left="707" w:right="0" w:hanging="530"/>
        <w:jc w:val="left"/>
        <w:rPr>
          <w:sz w:val="21"/>
        </w:rPr>
      </w:pPr>
      <w:r>
        <w:rPr>
          <w:spacing w:val="-5"/>
          <w:sz w:val="21"/>
        </w:rPr>
        <w:t>脾大。</w:t>
      </w:r>
    </w:p>
    <w:p>
      <w:pPr>
        <w:spacing w:before="69"/>
        <w:ind w:left="178" w:right="0" w:firstLine="0"/>
        <w:jc w:val="left"/>
        <w:rPr>
          <w:b/>
          <w:sz w:val="21"/>
        </w:rPr>
      </w:pPr>
      <w:r>
        <w:rPr>
          <w:b/>
          <w:spacing w:val="-3"/>
          <w:sz w:val="21"/>
        </w:rPr>
        <w:t>任何其他病因导致的继发性骨髓纤维化不在本保障范围内。</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pStyle w:val="BodyText"/>
        <w:spacing w:before="5"/>
        <w:rPr>
          <w:b/>
          <w:sz w:val="18"/>
        </w:rPr>
      </w:pPr>
    </w:p>
    <w:p>
      <w:pPr>
        <w:pStyle w:val="BodyText"/>
        <w:spacing w:line="300" w:lineRule="auto" w:before="1"/>
        <w:ind w:left="2990" w:right="1039" w:hanging="2766"/>
        <w:jc w:val="both"/>
      </w:pPr>
      <w:r>
        <w:rPr/>
        <w:t>（七十三）</w:t>
      </w:r>
      <w:r>
        <w:rPr>
          <w:spacing w:val="4"/>
        </w:rPr>
        <w:t>弥漫性硬化 是一种罕见的、散发的脱髓鞘疾病，主要见于儿童。尸检病理为大脑双</w:t>
      </w:r>
      <w:r>
        <w:rPr>
          <w:spacing w:val="-2"/>
        </w:rPr>
        <w:t>侧半球白质大片脱髓鞘，以及一些小脱髓鞘病灶。病理炎性反应明显而</w:t>
      </w:r>
      <w:r>
        <w:rPr>
          <w:spacing w:val="-2"/>
        </w:rPr>
        <w:t>轴索相对保留。临床表现如双侧视神经受累、颅高压症状体征、失语、</w:t>
      </w:r>
      <w:r>
        <w:rPr>
          <w:spacing w:val="-4"/>
        </w:rPr>
        <w:t>精神症状。须经专科医生明确诊断，疾病确诊 </w:t>
      </w:r>
      <w:r>
        <w:rPr>
          <w:spacing w:val="-2"/>
        </w:rPr>
        <w:t>180</w:t>
      </w:r>
      <w:r>
        <w:rPr>
          <w:spacing w:val="-7"/>
        </w:rPr>
        <w:t> 天后，仍遗留下列至</w:t>
      </w:r>
      <w:r>
        <w:rPr>
          <w:spacing w:val="-2"/>
        </w:rPr>
        <w:t>少一种障碍：</w:t>
      </w:r>
    </w:p>
    <w:p>
      <w:pPr>
        <w:pStyle w:val="ListParagraph"/>
        <w:numPr>
          <w:ilvl w:val="1"/>
          <w:numId w:val="51"/>
        </w:numPr>
        <w:tabs>
          <w:tab w:pos="3520" w:val="left" w:leader="none"/>
        </w:tabs>
        <w:spacing w:line="240" w:lineRule="auto" w:before="0" w:after="0"/>
        <w:ind w:left="3519" w:right="0" w:hanging="530"/>
        <w:jc w:val="left"/>
        <w:rPr>
          <w:sz w:val="19"/>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1"/>
          <w:numId w:val="51"/>
        </w:numPr>
        <w:tabs>
          <w:tab w:pos="3520" w:val="left" w:leader="none"/>
        </w:tabs>
        <w:spacing w:line="240" w:lineRule="auto" w:before="67" w:after="0"/>
        <w:ind w:left="3519" w:right="0" w:hanging="530"/>
        <w:jc w:val="left"/>
        <w:rPr>
          <w:sz w:val="19"/>
        </w:rPr>
      </w:pPr>
      <w:r>
        <w:rPr>
          <w:spacing w:val="-3"/>
          <w:sz w:val="21"/>
        </w:rPr>
        <w:t>语言能力完全丧失，或严重咀嚼吞咽功能障碍；</w:t>
      </w:r>
    </w:p>
    <w:p>
      <w:pPr>
        <w:pStyle w:val="ListParagraph"/>
        <w:numPr>
          <w:ilvl w:val="1"/>
          <w:numId w:val="51"/>
        </w:numPr>
        <w:tabs>
          <w:tab w:pos="3549" w:val="left" w:leader="none"/>
        </w:tabs>
        <w:spacing w:line="292" w:lineRule="auto" w:before="62" w:after="0"/>
        <w:ind w:left="2990" w:right="1062" w:firstLine="0"/>
        <w:jc w:val="left"/>
        <w:rPr>
          <w:sz w:val="20"/>
        </w:rPr>
      </w:pPr>
      <w:r>
        <w:rPr>
          <w:spacing w:val="-2"/>
          <w:sz w:val="21"/>
        </w:rPr>
        <w:t>自主生活能力完全丧失，无法独立完成六项基本日常生活活动中</w:t>
      </w:r>
      <w:r>
        <w:rPr>
          <w:spacing w:val="-2"/>
          <w:sz w:val="21"/>
        </w:rPr>
        <w:t>的三项或三项以上。</w:t>
      </w:r>
    </w:p>
    <w:p>
      <w:pPr>
        <w:spacing w:after="0" w:line="292" w:lineRule="auto"/>
        <w:jc w:val="left"/>
        <w:rPr>
          <w:sz w:val="20"/>
        </w:rPr>
        <w:sectPr>
          <w:type w:val="continuous"/>
          <w:pgSz w:w="11910" w:h="16840"/>
          <w:pgMar w:header="0" w:footer="857" w:top="320" w:bottom="1040" w:left="1100" w:right="260"/>
        </w:sectPr>
      </w:pPr>
    </w:p>
    <w:p>
      <w:pPr>
        <w:pStyle w:val="BodyText"/>
        <w:spacing w:line="297" w:lineRule="auto" w:before="60"/>
        <w:ind w:left="225"/>
      </w:pPr>
      <w:r>
        <w:rPr>
          <w:spacing w:val="-2"/>
        </w:rPr>
        <w:t>（七十四）进行性多灶性白</w:t>
      </w:r>
      <w:r>
        <w:rPr>
          <w:spacing w:val="-4"/>
        </w:rPr>
        <w:t>质脑病</w:t>
      </w:r>
    </w:p>
    <w:p>
      <w:pPr>
        <w:pStyle w:val="BodyText"/>
        <w:spacing w:line="300" w:lineRule="auto" w:before="60"/>
        <w:ind w:left="178" w:right="1058"/>
        <w:jc w:val="both"/>
      </w:pPr>
      <w:r>
        <w:rPr/>
        <w:br w:type="column"/>
      </w:r>
      <w:r>
        <w:rPr>
          <w:spacing w:val="-11"/>
        </w:rPr>
        <w:t>指一种罕见亚急性脱髓鞘疾病，其病原体多为乳头多瘤空泡病毒</w:t>
      </w:r>
      <w:r>
        <w:rPr>
          <w:spacing w:val="15"/>
        </w:rPr>
        <w:t>（</w:t>
      </w:r>
      <w:r>
        <w:rPr>
          <w:spacing w:val="18"/>
        </w:rPr>
        <w:t>JCV</w:t>
      </w:r>
      <w:r>
        <w:rPr>
          <w:spacing w:val="-90"/>
        </w:rPr>
        <w:t>）</w:t>
      </w:r>
      <w:r>
        <w:rPr>
          <w:spacing w:val="-108"/>
        </w:rPr>
        <w:t>。</w:t>
      </w:r>
      <w:r>
        <w:rPr>
          <w:spacing w:val="-2"/>
        </w:rPr>
        <w:t>主要见于自身免疫功能低下的患者，因机会性感染致病。必须由神经科</w:t>
      </w:r>
      <w:r>
        <w:rPr>
          <w:w w:val="95"/>
        </w:rPr>
        <w:t>专</w:t>
      </w:r>
      <w:r>
        <w:rPr>
          <w:w w:val="95"/>
        </w:rPr>
        <w:t>科</w:t>
      </w:r>
      <w:r>
        <w:rPr>
          <w:w w:val="95"/>
        </w:rPr>
        <w:t>医生根据脑组织活检确诊，且疾病</w:t>
      </w:r>
      <w:r>
        <w:rPr>
          <w:w w:val="95"/>
        </w:rPr>
        <w:t>确</w:t>
      </w:r>
      <w:r>
        <w:rPr>
          <w:w w:val="95"/>
        </w:rPr>
        <w:t>诊</w:t>
      </w:r>
      <w:r>
        <w:rPr>
          <w:spacing w:val="32"/>
        </w:rPr>
        <w:t> </w:t>
      </w:r>
      <w:r>
        <w:rPr>
          <w:w w:val="95"/>
        </w:rPr>
        <w:t>180</w:t>
      </w:r>
      <w:r>
        <w:rPr>
          <w:spacing w:val="32"/>
        </w:rPr>
        <w:t> </w:t>
      </w:r>
      <w:r>
        <w:rPr>
          <w:w w:val="95"/>
        </w:rPr>
        <w:t>天</w:t>
      </w:r>
      <w:r>
        <w:rPr>
          <w:w w:val="95"/>
        </w:rPr>
        <w:t>后</w:t>
      </w:r>
      <w:r>
        <w:rPr>
          <w:w w:val="95"/>
        </w:rPr>
        <w:t>仍</w:t>
      </w:r>
      <w:r>
        <w:rPr>
          <w:w w:val="95"/>
        </w:rPr>
        <w:t>遗留下列至</w:t>
      </w:r>
      <w:r>
        <w:rPr>
          <w:w w:val="95"/>
        </w:rPr>
        <w:t>少</w:t>
      </w:r>
      <w:r>
        <w:rPr>
          <w:w w:val="95"/>
        </w:rPr>
        <w:t>一</w:t>
      </w:r>
      <w:r>
        <w:rPr>
          <w:spacing w:val="-4"/>
        </w:rPr>
        <w:t>种障碍：</w:t>
      </w:r>
    </w:p>
    <w:p>
      <w:pPr>
        <w:pStyle w:val="ListParagraph"/>
        <w:numPr>
          <w:ilvl w:val="0"/>
          <w:numId w:val="52"/>
        </w:numPr>
        <w:tabs>
          <w:tab w:pos="708" w:val="left" w:leader="none"/>
        </w:tabs>
        <w:spacing w:line="240" w:lineRule="auto" w:before="2" w:after="0"/>
        <w:ind w:left="707"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2"/>
        </w:numPr>
        <w:tabs>
          <w:tab w:pos="708" w:val="left" w:leader="none"/>
        </w:tabs>
        <w:spacing w:line="240" w:lineRule="auto" w:before="67" w:after="0"/>
        <w:ind w:left="707" w:right="0" w:hanging="530"/>
        <w:jc w:val="left"/>
        <w:rPr>
          <w:sz w:val="21"/>
        </w:rPr>
      </w:pPr>
      <w:r>
        <w:rPr>
          <w:spacing w:val="-3"/>
          <w:sz w:val="21"/>
        </w:rPr>
        <w:t>语言能力完全丧失，或严重咀嚼吞咽功能障碍；</w:t>
      </w:r>
    </w:p>
    <w:p>
      <w:pPr>
        <w:pStyle w:val="ListParagraph"/>
        <w:numPr>
          <w:ilvl w:val="0"/>
          <w:numId w:val="52"/>
        </w:numPr>
        <w:tabs>
          <w:tab w:pos="714" w:val="left" w:leader="none"/>
        </w:tabs>
        <w:spacing w:line="302" w:lineRule="auto" w:before="66" w:after="0"/>
        <w:ind w:left="178" w:right="1065" w:firstLine="0"/>
        <w:jc w:val="left"/>
        <w:rPr>
          <w:sz w:val="21"/>
        </w:rPr>
      </w:pPr>
      <w:r>
        <w:rPr>
          <w:spacing w:val="-2"/>
          <w:sz w:val="21"/>
        </w:rPr>
        <w:t>自主生活能力完全丧失，无法独立完成六项基本日常生活活动中</w:t>
      </w:r>
      <w:r>
        <w:rPr>
          <w:spacing w:val="-2"/>
          <w:sz w:val="21"/>
        </w:rPr>
        <w:t>的三项或三项以上。</w:t>
      </w:r>
    </w:p>
    <w:p>
      <w:pPr>
        <w:spacing w:line="297" w:lineRule="auto" w:before="0"/>
        <w:ind w:left="178" w:right="1063" w:firstLine="0"/>
        <w:jc w:val="left"/>
        <w:rPr>
          <w:b/>
          <w:sz w:val="21"/>
        </w:rPr>
      </w:pPr>
      <w:r>
        <w:rPr>
          <w:b/>
          <w:sz w:val="21"/>
        </w:rPr>
        <w:t>感染艾滋病病毒或患艾滋病期间所患进行性多灶性白质脑病不在本保</w:t>
      </w:r>
      <w:r>
        <w:rPr>
          <w:b/>
          <w:spacing w:val="-2"/>
          <w:sz w:val="21"/>
        </w:rPr>
        <w:t>障范围内。</w:t>
      </w:r>
    </w:p>
    <w:p>
      <w:pPr>
        <w:spacing w:after="0" w:line="297" w:lineRule="auto"/>
        <w:jc w:val="left"/>
        <w:rPr>
          <w:sz w:val="21"/>
        </w:rPr>
        <w:sectPr>
          <w:pgSz w:w="11910" w:h="16840"/>
          <w:pgMar w:header="0" w:footer="857" w:top="1420" w:bottom="1180" w:left="1100" w:right="260"/>
          <w:cols w:num="2" w:equalWidth="0">
            <w:col w:w="2773" w:space="40"/>
            <w:col w:w="7737"/>
          </w:cols>
        </w:sectPr>
      </w:pPr>
    </w:p>
    <w:p>
      <w:pPr>
        <w:pStyle w:val="BodyText"/>
        <w:spacing w:before="5"/>
        <w:rPr>
          <w:b/>
          <w:sz w:val="27"/>
        </w:rPr>
      </w:pPr>
    </w:p>
    <w:p>
      <w:pPr>
        <w:pStyle w:val="BodyText"/>
        <w:spacing w:line="300" w:lineRule="auto" w:before="71"/>
        <w:ind w:left="2990" w:right="1039" w:hanging="2766"/>
      </w:pPr>
      <w:r>
        <w:rPr/>
        <w:t>（七十五）脊髓小脑变性症 脊髓小脑变性症为一组以小脑萎缩和共济失调为主要临床特点的疾病。</w:t>
      </w:r>
      <w:r>
        <w:rPr>
          <w:spacing w:val="-2"/>
        </w:rPr>
        <w:t>必须符合所有以下条件：</w:t>
      </w:r>
    </w:p>
    <w:p>
      <w:pPr>
        <w:pStyle w:val="ListParagraph"/>
        <w:numPr>
          <w:ilvl w:val="1"/>
          <w:numId w:val="52"/>
        </w:numPr>
        <w:tabs>
          <w:tab w:pos="3520" w:val="left" w:leader="none"/>
        </w:tabs>
        <w:spacing w:line="240" w:lineRule="auto" w:before="2" w:after="0"/>
        <w:ind w:left="3519" w:right="0" w:hanging="530"/>
        <w:jc w:val="left"/>
        <w:rPr>
          <w:sz w:val="21"/>
        </w:rPr>
      </w:pPr>
      <w:r>
        <w:rPr>
          <w:spacing w:val="-3"/>
          <w:sz w:val="21"/>
        </w:rPr>
        <w:t>脊髓小脑变性症必须由我们认可的医院诊断，并有以下证据支持：</w:t>
      </w:r>
    </w:p>
    <w:p>
      <w:pPr>
        <w:pStyle w:val="BodyText"/>
        <w:spacing w:before="67"/>
        <w:ind w:left="3096"/>
      </w:pPr>
      <w:r>
        <w:rPr>
          <w:spacing w:val="-6"/>
        </w:rPr>
        <w:t>① 影像学检查证实存在小脑萎缩；</w:t>
      </w:r>
    </w:p>
    <w:p>
      <w:pPr>
        <w:pStyle w:val="BodyText"/>
        <w:spacing w:before="67"/>
        <w:ind w:left="3096"/>
      </w:pPr>
      <w:r>
        <w:rPr>
          <w:spacing w:val="-3"/>
        </w:rPr>
        <w:t>② 临床表现存在共济失调、语言障碍和肌张力异常。</w:t>
      </w:r>
    </w:p>
    <w:p>
      <w:pPr>
        <w:pStyle w:val="ListParagraph"/>
        <w:numPr>
          <w:ilvl w:val="1"/>
          <w:numId w:val="52"/>
        </w:numPr>
        <w:tabs>
          <w:tab w:pos="3526" w:val="left" w:leader="none"/>
        </w:tabs>
        <w:spacing w:line="302" w:lineRule="auto" w:before="67" w:after="0"/>
        <w:ind w:left="2990" w:right="1065" w:firstLine="0"/>
        <w:jc w:val="left"/>
        <w:rPr>
          <w:sz w:val="21"/>
        </w:rPr>
      </w:pPr>
      <w:r>
        <w:rPr>
          <w:spacing w:val="-2"/>
          <w:sz w:val="21"/>
        </w:rPr>
        <w:t>被保险人运动功能严重障碍，自主生活能力完全丧失，无法独立</w:t>
      </w:r>
      <w:r>
        <w:rPr>
          <w:spacing w:val="-2"/>
          <w:sz w:val="21"/>
        </w:rPr>
        <w:t>完成六项基本日常生活活动中的三项或三项以上。</w:t>
      </w:r>
    </w:p>
    <w:p>
      <w:pPr>
        <w:pStyle w:val="BodyText"/>
        <w:spacing w:before="4"/>
        <w:rPr>
          <w:sz w:val="27"/>
        </w:rPr>
      </w:pPr>
    </w:p>
    <w:p>
      <w:pPr>
        <w:spacing w:after="0"/>
        <w:rPr>
          <w:sz w:val="27"/>
        </w:rPr>
        <w:sectPr>
          <w:type w:val="continuous"/>
          <w:pgSz w:w="11910" w:h="16840"/>
          <w:pgMar w:header="0" w:footer="857" w:top="320" w:bottom="1040" w:left="1100" w:right="260"/>
        </w:sectPr>
      </w:pPr>
    </w:p>
    <w:p>
      <w:pPr>
        <w:pStyle w:val="BodyText"/>
        <w:spacing w:line="297" w:lineRule="auto" w:before="71"/>
        <w:ind w:left="225"/>
      </w:pPr>
      <w:r>
        <w:rPr>
          <w:spacing w:val="-2"/>
        </w:rPr>
        <w:t>（七十六）严重肌营养不良</w:t>
      </w:r>
      <w:r>
        <w:rPr>
          <w:spacing w:val="-10"/>
        </w:rPr>
        <w:t>症</w:t>
      </w:r>
    </w:p>
    <w:p>
      <w:pPr>
        <w:pStyle w:val="BodyText"/>
        <w:spacing w:line="300" w:lineRule="auto" w:before="71"/>
        <w:ind w:left="178" w:right="1058"/>
      </w:pPr>
      <w:r>
        <w:rPr/>
        <w:br w:type="column"/>
      </w:r>
      <w:r>
        <w:rPr>
          <w:spacing w:val="-2"/>
        </w:rPr>
        <w:t>指一组原发于肌肉的疾病，临床表现为与神经系统无关的肌肉无力和肌</w:t>
      </w:r>
      <w:r>
        <w:rPr>
          <w:spacing w:val="-2"/>
        </w:rPr>
        <w:t>肉萎缩。且须满足下列全部条件：</w:t>
      </w:r>
    </w:p>
    <w:p>
      <w:pPr>
        <w:pStyle w:val="ListParagraph"/>
        <w:numPr>
          <w:ilvl w:val="0"/>
          <w:numId w:val="53"/>
        </w:numPr>
        <w:tabs>
          <w:tab w:pos="714" w:val="left" w:leader="none"/>
        </w:tabs>
        <w:spacing w:line="302" w:lineRule="auto" w:before="0" w:after="0"/>
        <w:ind w:left="178" w:right="1065" w:firstLine="0"/>
        <w:jc w:val="left"/>
        <w:rPr>
          <w:sz w:val="21"/>
        </w:rPr>
      </w:pPr>
      <w:r>
        <w:rPr>
          <w:spacing w:val="-2"/>
          <w:sz w:val="21"/>
        </w:rPr>
        <w:t>肌肉组织活检结果满足肌营养不良症的肌肉细胞变性、坏死等阳</w:t>
      </w:r>
      <w:r>
        <w:rPr>
          <w:spacing w:val="-4"/>
          <w:sz w:val="21"/>
        </w:rPr>
        <w:t>性改变；</w:t>
      </w:r>
    </w:p>
    <w:p>
      <w:pPr>
        <w:pStyle w:val="ListParagraph"/>
        <w:numPr>
          <w:ilvl w:val="0"/>
          <w:numId w:val="53"/>
        </w:numPr>
        <w:tabs>
          <w:tab w:pos="714" w:val="left" w:leader="none"/>
        </w:tabs>
        <w:spacing w:line="300" w:lineRule="auto" w:before="0" w:after="0"/>
        <w:ind w:left="178" w:right="1065" w:firstLine="0"/>
        <w:jc w:val="left"/>
        <w:rPr>
          <w:sz w:val="21"/>
        </w:rPr>
      </w:pPr>
      <w:r>
        <w:rPr>
          <w:spacing w:val="-2"/>
          <w:sz w:val="21"/>
        </w:rPr>
        <w:t>自主生活能力完全丧失，无法独立完成六项基本日常生活活动中</w:t>
      </w:r>
      <w:r>
        <w:rPr>
          <w:spacing w:val="-2"/>
          <w:sz w:val="21"/>
        </w:rPr>
        <w:t>的三项或三项以上。</w:t>
      </w:r>
    </w:p>
    <w:p>
      <w:pPr>
        <w:spacing w:line="302" w:lineRule="auto" w:before="0"/>
        <w:ind w:left="178" w:right="1060" w:firstLine="0"/>
        <w:jc w:val="left"/>
        <w:rPr>
          <w:b/>
          <w:sz w:val="21"/>
        </w:rPr>
      </w:pPr>
      <w:r>
        <w:rPr>
          <w:b/>
          <w:spacing w:val="-4"/>
          <w:sz w:val="21"/>
        </w:rPr>
        <w:t>我们公司承担本项疾病责任不受本合同条款 </w:t>
      </w:r>
      <w:r>
        <w:rPr>
          <w:b/>
          <w:spacing w:val="-2"/>
          <w:sz w:val="21"/>
        </w:rPr>
        <w:t>2.6“责任免除”中的“遗</w:t>
      </w:r>
      <w:r>
        <w:rPr>
          <w:b/>
          <w:spacing w:val="-2"/>
          <w:sz w:val="21"/>
        </w:rPr>
        <w:t>传性疾病，先天性畸形、变形或染色体异常”的限制。</w:t>
      </w:r>
    </w:p>
    <w:p>
      <w:pPr>
        <w:spacing w:after="0" w:line="302"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12"/>
        <w:rPr>
          <w:b/>
          <w:sz w:val="26"/>
        </w:rPr>
      </w:pPr>
    </w:p>
    <w:p>
      <w:pPr>
        <w:spacing w:after="0"/>
        <w:rPr>
          <w:sz w:val="26"/>
        </w:rPr>
        <w:sectPr>
          <w:type w:val="continuous"/>
          <w:pgSz w:w="11910" w:h="16840"/>
          <w:pgMar w:header="0" w:footer="857" w:top="320" w:bottom="1040" w:left="1100" w:right="260"/>
        </w:sectPr>
      </w:pPr>
    </w:p>
    <w:p>
      <w:pPr>
        <w:pStyle w:val="BodyText"/>
        <w:spacing w:line="297" w:lineRule="auto" w:before="71"/>
        <w:ind w:left="225"/>
        <w:jc w:val="both"/>
      </w:pPr>
      <w:r>
        <w:rPr>
          <w:spacing w:val="-2"/>
        </w:rPr>
        <w:t>（七十七）因器官移植导致</w:t>
      </w:r>
      <w:r>
        <w:rPr>
          <w:spacing w:val="-2"/>
        </w:rPr>
        <w:t>的感染艾滋病病毒或患艾滋</w:t>
      </w:r>
      <w:r>
        <w:rPr>
          <w:spacing w:val="-10"/>
        </w:rPr>
        <w:t>病</w:t>
      </w:r>
    </w:p>
    <w:p>
      <w:pPr>
        <w:pStyle w:val="BodyText"/>
        <w:spacing w:line="300" w:lineRule="auto" w:before="71"/>
        <w:ind w:left="178" w:right="1058"/>
      </w:pPr>
      <w:r>
        <w:rPr/>
        <w:br w:type="column"/>
      </w:r>
      <w:r>
        <w:rPr>
          <w:spacing w:val="-2"/>
        </w:rPr>
        <w:t>指因进行器官移植而感染上艾滋病病毒或患艾滋病，且须满足下列全部</w:t>
      </w:r>
      <w:r>
        <w:rPr>
          <w:spacing w:val="-4"/>
        </w:rPr>
        <w:t>条件：</w:t>
      </w:r>
    </w:p>
    <w:p>
      <w:pPr>
        <w:pStyle w:val="ListParagraph"/>
        <w:numPr>
          <w:ilvl w:val="0"/>
          <w:numId w:val="54"/>
        </w:numPr>
        <w:tabs>
          <w:tab w:pos="714" w:val="left" w:leader="none"/>
        </w:tabs>
        <w:spacing w:line="302" w:lineRule="auto" w:before="0" w:after="0"/>
        <w:ind w:left="178" w:right="1065" w:firstLine="0"/>
        <w:jc w:val="left"/>
        <w:rPr>
          <w:sz w:val="21"/>
        </w:rPr>
      </w:pPr>
      <w:r>
        <w:rPr>
          <w:spacing w:val="-2"/>
          <w:sz w:val="21"/>
        </w:rPr>
        <w:t>被保险人因治疗必需而实施器官移植，并且因器官移植而感染艾</w:t>
      </w:r>
      <w:r>
        <w:rPr>
          <w:spacing w:val="-2"/>
          <w:sz w:val="21"/>
        </w:rPr>
        <w:t>滋病病毒或患艾滋病；</w:t>
      </w:r>
    </w:p>
    <w:p>
      <w:pPr>
        <w:pStyle w:val="ListParagraph"/>
        <w:numPr>
          <w:ilvl w:val="0"/>
          <w:numId w:val="54"/>
        </w:numPr>
        <w:tabs>
          <w:tab w:pos="714" w:val="left" w:leader="none"/>
        </w:tabs>
        <w:spacing w:line="300" w:lineRule="auto" w:before="0" w:after="0"/>
        <w:ind w:left="178" w:right="1059" w:firstLine="0"/>
        <w:jc w:val="both"/>
        <w:rPr>
          <w:sz w:val="21"/>
        </w:rPr>
      </w:pPr>
      <w:r>
        <w:rPr>
          <w:spacing w:val="-2"/>
          <w:sz w:val="21"/>
        </w:rPr>
        <w:t>提供器官移植治疗的器官移植中心或我们认可的医院出具的此次</w:t>
      </w:r>
      <w:r>
        <w:rPr>
          <w:spacing w:val="-2"/>
          <w:sz w:val="21"/>
        </w:rPr>
        <w:t>因器官移植感染艾滋病病毒或患艾滋病，属于医疗事故的报告，或者法</w:t>
      </w:r>
      <w:r>
        <w:rPr>
          <w:spacing w:val="-2"/>
          <w:sz w:val="21"/>
        </w:rPr>
        <w:t>院终审裁定为医疗事故并且已经发生法律效力的；</w:t>
      </w:r>
    </w:p>
    <w:p>
      <w:pPr>
        <w:pStyle w:val="ListParagraph"/>
        <w:numPr>
          <w:ilvl w:val="0"/>
          <w:numId w:val="54"/>
        </w:numPr>
        <w:tabs>
          <w:tab w:pos="714" w:val="left" w:leader="none"/>
        </w:tabs>
        <w:spacing w:line="300" w:lineRule="auto" w:before="0" w:after="0"/>
        <w:ind w:left="178" w:right="1059" w:firstLine="0"/>
        <w:jc w:val="left"/>
        <w:rPr>
          <w:sz w:val="21"/>
        </w:rPr>
      </w:pPr>
      <w:r>
        <w:rPr>
          <w:spacing w:val="-2"/>
          <w:sz w:val="21"/>
        </w:rPr>
        <w:t>提供器官移植治疗的器官移植中心或我们认可的医院必须拥有合</w:t>
      </w:r>
      <w:r>
        <w:rPr>
          <w:spacing w:val="-2"/>
          <w:sz w:val="21"/>
        </w:rPr>
        <w:t>法经营执照。</w:t>
      </w:r>
    </w:p>
    <w:p>
      <w:pPr>
        <w:spacing w:line="302" w:lineRule="auto" w:before="0"/>
        <w:ind w:left="178" w:right="1061" w:firstLine="0"/>
        <w:jc w:val="left"/>
        <w:rPr>
          <w:b/>
          <w:sz w:val="21"/>
        </w:rPr>
      </w:pPr>
      <w:r>
        <w:rPr>
          <w:b/>
          <w:spacing w:val="-2"/>
          <w:sz w:val="21"/>
        </w:rPr>
        <w:t>任何因其他传播方式（包括：性传播或静脉注射毒品）导致的感染艾滋</w:t>
      </w:r>
      <w:r>
        <w:rPr>
          <w:b/>
          <w:spacing w:val="-2"/>
          <w:sz w:val="21"/>
        </w:rPr>
        <w:t>病病毒或患艾滋病不在本保障范围内。</w:t>
      </w:r>
    </w:p>
    <w:p>
      <w:pPr>
        <w:spacing w:line="266" w:lineRule="exact" w:before="0"/>
        <w:ind w:left="178" w:right="0" w:firstLine="0"/>
        <w:jc w:val="left"/>
        <w:rPr>
          <w:b/>
          <w:sz w:val="21"/>
        </w:rPr>
      </w:pPr>
      <w:r>
        <w:rPr>
          <w:b/>
          <w:w w:val="95"/>
          <w:sz w:val="21"/>
        </w:rPr>
        <w:t>我</w:t>
      </w:r>
      <w:r>
        <w:rPr>
          <w:b/>
          <w:w w:val="95"/>
          <w:sz w:val="21"/>
        </w:rPr>
        <w:t>们</w:t>
      </w:r>
      <w:r>
        <w:rPr>
          <w:b/>
          <w:w w:val="95"/>
          <w:sz w:val="21"/>
        </w:rPr>
        <w:t>公</w:t>
      </w:r>
      <w:r>
        <w:rPr>
          <w:b/>
          <w:w w:val="95"/>
          <w:sz w:val="21"/>
        </w:rPr>
        <w:t>司</w:t>
      </w:r>
      <w:r>
        <w:rPr>
          <w:b/>
          <w:w w:val="95"/>
          <w:sz w:val="21"/>
        </w:rPr>
        <w:t>承</w:t>
      </w:r>
      <w:r>
        <w:rPr>
          <w:b/>
          <w:w w:val="95"/>
          <w:sz w:val="21"/>
        </w:rPr>
        <w:t>担</w:t>
      </w:r>
      <w:r>
        <w:rPr>
          <w:b/>
          <w:w w:val="95"/>
          <w:sz w:val="21"/>
        </w:rPr>
        <w:t>本</w:t>
      </w:r>
      <w:r>
        <w:rPr>
          <w:b/>
          <w:w w:val="95"/>
          <w:sz w:val="21"/>
        </w:rPr>
        <w:t>项</w:t>
      </w:r>
      <w:r>
        <w:rPr>
          <w:b/>
          <w:w w:val="95"/>
          <w:sz w:val="21"/>
        </w:rPr>
        <w:t>疾病责</w:t>
      </w:r>
      <w:r>
        <w:rPr>
          <w:b/>
          <w:w w:val="95"/>
          <w:sz w:val="21"/>
        </w:rPr>
        <w:t>任</w:t>
      </w:r>
      <w:r>
        <w:rPr>
          <w:b/>
          <w:w w:val="95"/>
          <w:sz w:val="21"/>
        </w:rPr>
        <w:t>不</w:t>
      </w:r>
      <w:r>
        <w:rPr>
          <w:b/>
          <w:w w:val="95"/>
          <w:sz w:val="21"/>
        </w:rPr>
        <w:t>受</w:t>
      </w:r>
      <w:r>
        <w:rPr>
          <w:b/>
          <w:w w:val="95"/>
          <w:sz w:val="21"/>
        </w:rPr>
        <w:t>本</w:t>
      </w:r>
      <w:r>
        <w:rPr>
          <w:b/>
          <w:w w:val="95"/>
          <w:sz w:val="21"/>
        </w:rPr>
        <w:t>合</w:t>
      </w:r>
      <w:r>
        <w:rPr>
          <w:b/>
          <w:w w:val="95"/>
          <w:sz w:val="21"/>
        </w:rPr>
        <w:t>同</w:t>
      </w:r>
      <w:r>
        <w:rPr>
          <w:b/>
          <w:w w:val="95"/>
          <w:sz w:val="21"/>
        </w:rPr>
        <w:t>条</w:t>
      </w:r>
      <w:r>
        <w:rPr>
          <w:b/>
          <w:w w:val="95"/>
          <w:sz w:val="21"/>
        </w:rPr>
        <w:t>款</w:t>
      </w:r>
      <w:r>
        <w:rPr>
          <w:b/>
          <w:spacing w:val="72"/>
          <w:sz w:val="21"/>
        </w:rPr>
        <w:t>  </w:t>
      </w:r>
      <w:r>
        <w:rPr>
          <w:b/>
          <w:w w:val="95"/>
          <w:sz w:val="21"/>
        </w:rPr>
        <w:t>2.6“</w:t>
      </w:r>
      <w:r>
        <w:rPr>
          <w:b/>
          <w:w w:val="95"/>
          <w:sz w:val="21"/>
        </w:rPr>
        <w:t>责</w:t>
      </w:r>
      <w:r>
        <w:rPr>
          <w:b/>
          <w:w w:val="95"/>
          <w:sz w:val="21"/>
        </w:rPr>
        <w:t>任</w:t>
      </w:r>
      <w:r>
        <w:rPr>
          <w:b/>
          <w:w w:val="95"/>
          <w:sz w:val="21"/>
        </w:rPr>
        <w:t>免</w:t>
      </w:r>
      <w:r>
        <w:rPr>
          <w:b/>
          <w:w w:val="95"/>
          <w:sz w:val="21"/>
        </w:rPr>
        <w:t>除</w:t>
      </w:r>
      <w:r>
        <w:rPr>
          <w:b/>
          <w:w w:val="95"/>
          <w:sz w:val="21"/>
        </w:rPr>
        <w:t>”</w:t>
      </w:r>
      <w:r>
        <w:rPr>
          <w:b/>
          <w:w w:val="95"/>
          <w:sz w:val="21"/>
        </w:rPr>
        <w:t>中</w:t>
      </w:r>
      <w:r>
        <w:rPr>
          <w:b/>
          <w:w w:val="95"/>
          <w:sz w:val="21"/>
        </w:rPr>
        <w:t>的</w:t>
      </w:r>
      <w:r>
        <w:rPr>
          <w:b/>
          <w:w w:val="95"/>
          <w:sz w:val="21"/>
        </w:rPr>
        <w:t>“</w:t>
      </w:r>
      <w:r>
        <w:rPr>
          <w:b/>
          <w:spacing w:val="-10"/>
          <w:w w:val="95"/>
          <w:sz w:val="21"/>
        </w:rPr>
        <w:t>被</w:t>
      </w:r>
    </w:p>
    <w:p>
      <w:pPr>
        <w:spacing w:after="0" w:line="266" w:lineRule="exact"/>
        <w:jc w:val="left"/>
        <w:rPr>
          <w:sz w:val="21"/>
        </w:rPr>
        <w:sectPr>
          <w:type w:val="continuous"/>
          <w:pgSz w:w="11910" w:h="16840"/>
          <w:pgMar w:header="0" w:footer="857" w:top="320" w:bottom="1040" w:left="1100" w:right="260"/>
          <w:cols w:num="2" w:equalWidth="0">
            <w:col w:w="2773" w:space="40"/>
            <w:col w:w="7737"/>
          </w:cols>
        </w:sectPr>
      </w:pPr>
    </w:p>
    <w:p>
      <w:pPr>
        <w:spacing w:before="60"/>
        <w:ind w:left="913" w:right="1256" w:firstLine="0"/>
        <w:jc w:val="center"/>
        <w:rPr>
          <w:b/>
          <w:sz w:val="21"/>
        </w:rPr>
      </w:pPr>
      <w:r>
        <w:rPr>
          <w:b/>
          <w:spacing w:val="-3"/>
          <w:sz w:val="21"/>
        </w:rPr>
        <w:t>保险人感染艾滋病病毒或患艾滋病”的限制。</w:t>
      </w:r>
    </w:p>
    <w:p>
      <w:pPr>
        <w:pStyle w:val="BodyText"/>
        <w:rPr>
          <w:b/>
          <w:sz w:val="20"/>
        </w:rPr>
      </w:pPr>
    </w:p>
    <w:p>
      <w:pPr>
        <w:spacing w:after="0"/>
        <w:rPr>
          <w:sz w:val="20"/>
        </w:rPr>
        <w:sectPr>
          <w:pgSz w:w="11910" w:h="16840"/>
          <w:pgMar w:header="0" w:footer="857" w:top="1420" w:bottom="1180" w:left="1100" w:right="260"/>
        </w:sectPr>
      </w:pPr>
    </w:p>
    <w:p>
      <w:pPr>
        <w:pStyle w:val="BodyText"/>
        <w:spacing w:before="5"/>
        <w:rPr>
          <w:b/>
          <w:sz w:val="18"/>
        </w:rPr>
      </w:pPr>
    </w:p>
    <w:p>
      <w:pPr>
        <w:pStyle w:val="BodyText"/>
        <w:spacing w:line="297" w:lineRule="auto"/>
        <w:ind w:left="225"/>
      </w:pPr>
      <w:r>
        <w:rPr>
          <w:spacing w:val="-2"/>
        </w:rPr>
        <w:t>（七十八）成骨不全症第三</w:t>
      </w:r>
      <w:r>
        <w:rPr>
          <w:spacing w:val="-10"/>
        </w:rPr>
        <w:t>型</w:t>
      </w:r>
    </w:p>
    <w:p>
      <w:pPr>
        <w:spacing w:line="240" w:lineRule="auto" w:before="5"/>
        <w:rPr>
          <w:sz w:val="18"/>
        </w:rPr>
      </w:pPr>
      <w:r>
        <w:rPr/>
        <w:br w:type="column"/>
      </w:r>
      <w:r>
        <w:rPr>
          <w:sz w:val="18"/>
        </w:rPr>
      </w:r>
    </w:p>
    <w:p>
      <w:pPr>
        <w:pStyle w:val="BodyText"/>
        <w:ind w:left="178"/>
      </w:pPr>
      <w:r>
        <w:rPr>
          <w:spacing w:val="-3"/>
        </w:rPr>
        <w:t>成骨不全症第三型须由专科医生明确诊断，同时符合下列所有条件：</w:t>
      </w:r>
    </w:p>
    <w:p>
      <w:pPr>
        <w:pStyle w:val="BodyText"/>
        <w:spacing w:line="300" w:lineRule="auto" w:before="67"/>
        <w:ind w:left="178" w:right="1065"/>
      </w:pPr>
      <w:r>
        <w:rPr>
          <w:spacing w:val="-2"/>
        </w:rPr>
        <w:t>（1）就成骨不全症第三型之诊断进行的皮肤切片的病理检查结果为阳</w:t>
      </w:r>
      <w:r>
        <w:rPr>
          <w:spacing w:val="-6"/>
        </w:rPr>
        <w:t>性；</w:t>
      </w:r>
    </w:p>
    <w:p>
      <w:pPr>
        <w:pStyle w:val="BodyText"/>
        <w:spacing w:line="268" w:lineRule="exact"/>
        <w:ind w:left="178"/>
      </w:pPr>
      <w:r>
        <w:rPr>
          <w:spacing w:val="-2"/>
        </w:rPr>
        <w:t>（2）X</w:t>
      </w:r>
      <w:r>
        <w:rPr>
          <w:spacing w:val="-9"/>
        </w:rPr>
        <w:t> 光片结果显示多处骨折及逐步脊柱后侧凸畸形；</w:t>
      </w:r>
    </w:p>
    <w:p>
      <w:pPr>
        <w:pStyle w:val="ListParagraph"/>
        <w:numPr>
          <w:ilvl w:val="0"/>
          <w:numId w:val="55"/>
        </w:numPr>
        <w:tabs>
          <w:tab w:pos="708" w:val="left" w:leader="none"/>
        </w:tabs>
        <w:spacing w:line="240" w:lineRule="auto" w:before="70" w:after="0"/>
        <w:ind w:left="707" w:right="0" w:hanging="530"/>
        <w:jc w:val="left"/>
        <w:rPr>
          <w:sz w:val="21"/>
        </w:rPr>
      </w:pPr>
      <w:r>
        <w:rPr>
          <w:spacing w:val="-3"/>
          <w:sz w:val="21"/>
        </w:rPr>
        <w:t>有证明是因此疾病引致发育迟缓及听力损伤。</w:t>
      </w:r>
    </w:p>
    <w:p>
      <w:pPr>
        <w:spacing w:before="67"/>
        <w:ind w:left="178" w:right="0" w:firstLine="0"/>
        <w:jc w:val="left"/>
        <w:rPr>
          <w:b/>
          <w:sz w:val="21"/>
        </w:rPr>
      </w:pPr>
      <w:r>
        <w:rPr>
          <w:b/>
          <w:w w:val="95"/>
          <w:sz w:val="21"/>
        </w:rPr>
        <w:t>仅</w:t>
      </w:r>
      <w:r>
        <w:rPr>
          <w:b/>
          <w:w w:val="95"/>
          <w:sz w:val="21"/>
        </w:rPr>
        <w:t>对</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满</w:t>
      </w:r>
      <w:r>
        <w:rPr>
          <w:b/>
          <w:spacing w:val="66"/>
          <w:sz w:val="21"/>
        </w:rPr>
        <w:t> </w:t>
      </w:r>
      <w:r>
        <w:rPr>
          <w:b/>
          <w:w w:val="95"/>
          <w:sz w:val="21"/>
        </w:rPr>
        <w:t>18</w:t>
      </w:r>
      <w:r>
        <w:rPr>
          <w:b/>
          <w:spacing w:val="67"/>
          <w:sz w:val="21"/>
        </w:rPr>
        <w:t> </w:t>
      </w:r>
      <w:r>
        <w:rPr>
          <w:b/>
          <w:w w:val="95"/>
          <w:sz w:val="21"/>
        </w:rPr>
        <w:t>周岁</w:t>
      </w:r>
      <w:r>
        <w:rPr>
          <w:b/>
          <w:w w:val="95"/>
          <w:sz w:val="21"/>
        </w:rPr>
        <w:t>前</w:t>
      </w:r>
      <w:r>
        <w:rPr>
          <w:b/>
          <w:w w:val="95"/>
          <w:sz w:val="21"/>
        </w:rPr>
        <w:t>确</w:t>
      </w:r>
      <w:r>
        <w:rPr>
          <w:b/>
          <w:w w:val="95"/>
          <w:sz w:val="21"/>
        </w:rPr>
        <w:t>诊</w:t>
      </w:r>
      <w:r>
        <w:rPr>
          <w:b/>
          <w:w w:val="95"/>
          <w:sz w:val="21"/>
        </w:rPr>
        <w:t>本</w:t>
      </w:r>
      <w:r>
        <w:rPr>
          <w:b/>
          <w:w w:val="95"/>
          <w:sz w:val="21"/>
        </w:rPr>
        <w:t>项</w:t>
      </w:r>
      <w:r>
        <w:rPr>
          <w:b/>
          <w:w w:val="95"/>
          <w:sz w:val="21"/>
        </w:rPr>
        <w:t>疾</w:t>
      </w:r>
      <w:r>
        <w:rPr>
          <w:b/>
          <w:w w:val="95"/>
          <w:sz w:val="21"/>
        </w:rPr>
        <w:t>病</w:t>
      </w:r>
      <w:r>
        <w:rPr>
          <w:b/>
          <w:w w:val="95"/>
          <w:sz w:val="21"/>
        </w:rPr>
        <w:t>承</w:t>
      </w:r>
      <w:r>
        <w:rPr>
          <w:b/>
          <w:w w:val="95"/>
          <w:sz w:val="21"/>
        </w:rPr>
        <w:t>担保险</w:t>
      </w:r>
      <w:r>
        <w:rPr>
          <w:b/>
          <w:w w:val="95"/>
          <w:sz w:val="21"/>
        </w:rPr>
        <w:t>责</w:t>
      </w:r>
      <w:r>
        <w:rPr>
          <w:b/>
          <w:w w:val="95"/>
          <w:sz w:val="21"/>
        </w:rPr>
        <w:t>任</w:t>
      </w:r>
      <w:r>
        <w:rPr>
          <w:b/>
          <w:spacing w:val="-10"/>
          <w:w w:val="95"/>
          <w:sz w:val="21"/>
        </w:rPr>
        <w:t>。</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pStyle w:val="BodyText"/>
        <w:spacing w:before="5"/>
        <w:rPr>
          <w:b/>
          <w:sz w:val="18"/>
        </w:rPr>
      </w:pPr>
    </w:p>
    <w:p>
      <w:pPr>
        <w:pStyle w:val="BodyText"/>
        <w:spacing w:line="300" w:lineRule="auto"/>
        <w:ind w:left="2990" w:right="1039" w:hanging="2766"/>
        <w:jc w:val="both"/>
      </w:pPr>
      <w:r>
        <w:rPr/>
        <w:t>（七十九）皮质基底节变性 指一种慢性进展性神经变性疾病，以不对称发作的无动性强直综合征、</w:t>
      </w:r>
      <w:r>
        <w:rPr>
          <w:spacing w:val="-2"/>
        </w:rPr>
        <w:t>失用、肌张力障碍及姿势异常为其临床特征。须经临床医生明确诊断，</w:t>
      </w:r>
      <w:r>
        <w:rPr>
          <w:spacing w:val="-2"/>
        </w:rPr>
        <w:t>被保险人自主生活能力完全丧失，无法独立完成六项基本日常生活活动</w:t>
      </w:r>
      <w:r>
        <w:rPr>
          <w:spacing w:val="-2"/>
        </w:rPr>
        <w:t>中的三项或三项以上，日常生活必须持续受到他人监护。</w:t>
      </w:r>
    </w:p>
    <w:p>
      <w:pPr>
        <w:pStyle w:val="BodyText"/>
        <w:rPr>
          <w:sz w:val="20"/>
        </w:rPr>
      </w:pPr>
    </w:p>
    <w:p>
      <w:pPr>
        <w:pStyle w:val="BodyText"/>
        <w:tabs>
          <w:tab w:pos="2990" w:val="left" w:leader="none"/>
        </w:tabs>
        <w:spacing w:before="170"/>
        <w:ind w:left="225"/>
      </w:pPr>
      <w:r>
        <w:rPr>
          <w:spacing w:val="-2"/>
        </w:rPr>
        <w:t>（</w:t>
      </w:r>
      <w:r>
        <w:rPr>
          <w:spacing w:val="-2"/>
        </w:rPr>
        <w:t>八</w:t>
      </w:r>
      <w:r>
        <w:rPr>
          <w:spacing w:val="-2"/>
        </w:rPr>
        <w:t>十）肺孢子菌肺</w:t>
      </w:r>
      <w:r>
        <w:rPr>
          <w:spacing w:val="-10"/>
        </w:rPr>
        <w:t>炎</w:t>
      </w:r>
      <w:r>
        <w:rPr/>
        <w:tab/>
      </w:r>
      <w:r>
        <w:rPr>
          <w:spacing w:val="-2"/>
        </w:rPr>
        <w:t>指</w:t>
      </w:r>
      <w:r>
        <w:rPr>
          <w:spacing w:val="-2"/>
        </w:rPr>
        <w:t>由</w:t>
      </w:r>
      <w:r>
        <w:rPr>
          <w:spacing w:val="-2"/>
        </w:rPr>
        <w:t>肺孢子菌引起的间质</w:t>
      </w:r>
      <w:r>
        <w:rPr>
          <w:spacing w:val="-2"/>
        </w:rPr>
        <w:t>性</w:t>
      </w:r>
      <w:r>
        <w:rPr>
          <w:spacing w:val="-2"/>
        </w:rPr>
        <w:t>浆</w:t>
      </w:r>
      <w:r>
        <w:rPr>
          <w:spacing w:val="-2"/>
        </w:rPr>
        <w:t>细胞性肺炎。并须满</w:t>
      </w:r>
      <w:r>
        <w:rPr>
          <w:spacing w:val="-2"/>
        </w:rPr>
        <w:t>足</w:t>
      </w:r>
      <w:r>
        <w:rPr>
          <w:spacing w:val="-2"/>
        </w:rPr>
        <w:t>下</w:t>
      </w:r>
      <w:r>
        <w:rPr>
          <w:spacing w:val="-2"/>
        </w:rPr>
        <w:t>列全部条件</w:t>
      </w:r>
      <w:r>
        <w:rPr>
          <w:spacing w:val="-10"/>
        </w:rPr>
        <w:t>：</w:t>
      </w:r>
    </w:p>
    <w:p>
      <w:pPr>
        <w:pStyle w:val="ListParagraph"/>
        <w:numPr>
          <w:ilvl w:val="1"/>
          <w:numId w:val="55"/>
        </w:numPr>
        <w:tabs>
          <w:tab w:pos="3520" w:val="left" w:leader="none"/>
        </w:tabs>
        <w:spacing w:line="240" w:lineRule="auto" w:before="66" w:after="0"/>
        <w:ind w:left="3519" w:right="0" w:hanging="530"/>
        <w:jc w:val="left"/>
        <w:rPr>
          <w:sz w:val="21"/>
        </w:rPr>
      </w:pPr>
      <w:r>
        <w:rPr>
          <w:spacing w:val="-2"/>
          <w:position w:val="1"/>
          <w:sz w:val="21"/>
        </w:rPr>
        <w:t>第一秒末用力呼气量（FEV</w:t>
      </w:r>
      <w:r>
        <w:rPr>
          <w:spacing w:val="-2"/>
          <w:sz w:val="11"/>
        </w:rPr>
        <w:t>1</w:t>
      </w:r>
      <w:r>
        <w:rPr>
          <w:spacing w:val="-2"/>
          <w:position w:val="1"/>
          <w:sz w:val="21"/>
        </w:rPr>
        <w:t>）</w:t>
      </w:r>
      <w:r>
        <w:rPr>
          <w:spacing w:val="-18"/>
          <w:position w:val="1"/>
          <w:sz w:val="21"/>
        </w:rPr>
        <w:t>小于 </w:t>
      </w:r>
      <w:r>
        <w:rPr>
          <w:spacing w:val="-2"/>
          <w:position w:val="1"/>
          <w:sz w:val="21"/>
        </w:rPr>
        <w:t>1</w:t>
      </w:r>
      <w:r>
        <w:rPr>
          <w:spacing w:val="-20"/>
          <w:position w:val="1"/>
          <w:sz w:val="21"/>
        </w:rPr>
        <w:t> 升；</w:t>
      </w:r>
    </w:p>
    <w:p>
      <w:pPr>
        <w:pStyle w:val="ListParagraph"/>
        <w:numPr>
          <w:ilvl w:val="1"/>
          <w:numId w:val="55"/>
        </w:numPr>
        <w:tabs>
          <w:tab w:pos="3520" w:val="left" w:leader="none"/>
        </w:tabs>
        <w:spacing w:line="240" w:lineRule="auto" w:before="68" w:after="0"/>
        <w:ind w:left="3519" w:right="0" w:hanging="530"/>
        <w:jc w:val="left"/>
        <w:rPr>
          <w:sz w:val="21"/>
        </w:rPr>
      </w:pPr>
      <w:r>
        <w:rPr>
          <w:spacing w:val="-6"/>
          <w:sz w:val="21"/>
        </w:rPr>
        <w:t>气道内阻力增加，至少达到 </w:t>
      </w:r>
      <w:r>
        <w:rPr>
          <w:spacing w:val="-2"/>
          <w:sz w:val="21"/>
        </w:rPr>
        <w:t>0.5kPa/L/s；</w:t>
      </w:r>
    </w:p>
    <w:p>
      <w:pPr>
        <w:pStyle w:val="ListParagraph"/>
        <w:numPr>
          <w:ilvl w:val="1"/>
          <w:numId w:val="55"/>
        </w:numPr>
        <w:tabs>
          <w:tab w:pos="3520" w:val="left" w:leader="none"/>
        </w:tabs>
        <w:spacing w:line="240" w:lineRule="auto" w:before="69" w:after="0"/>
        <w:ind w:left="3519" w:right="0" w:hanging="530"/>
        <w:jc w:val="left"/>
        <w:rPr>
          <w:sz w:val="21"/>
        </w:rPr>
      </w:pPr>
      <w:r>
        <w:rPr>
          <w:spacing w:val="-2"/>
          <w:sz w:val="21"/>
        </w:rPr>
        <w:t>残气容积占肺总量（TLC）</w:t>
      </w:r>
      <w:r>
        <w:rPr>
          <w:spacing w:val="-22"/>
          <w:sz w:val="21"/>
        </w:rPr>
        <w:t>的 </w:t>
      </w:r>
      <w:r>
        <w:rPr>
          <w:spacing w:val="-2"/>
          <w:sz w:val="21"/>
        </w:rPr>
        <w:t>60</w:t>
      </w:r>
      <w:r>
        <w:rPr>
          <w:spacing w:val="-4"/>
          <w:sz w:val="21"/>
        </w:rPr>
        <w:t>%以上；</w:t>
      </w:r>
    </w:p>
    <w:p>
      <w:pPr>
        <w:pStyle w:val="ListParagraph"/>
        <w:numPr>
          <w:ilvl w:val="1"/>
          <w:numId w:val="55"/>
        </w:numPr>
        <w:tabs>
          <w:tab w:pos="3520" w:val="left" w:leader="none"/>
        </w:tabs>
        <w:spacing w:line="240" w:lineRule="auto" w:before="67" w:after="0"/>
        <w:ind w:left="3519" w:right="0" w:hanging="530"/>
        <w:jc w:val="left"/>
        <w:rPr>
          <w:sz w:val="21"/>
        </w:rPr>
      </w:pPr>
      <w:r>
        <w:rPr>
          <w:spacing w:val="-6"/>
          <w:sz w:val="21"/>
        </w:rPr>
        <w:t>胸内气体容积升高，超过 </w:t>
      </w:r>
      <w:r>
        <w:rPr>
          <w:spacing w:val="-2"/>
          <w:sz w:val="21"/>
        </w:rPr>
        <w:t>170（基值的百分比</w:t>
      </w:r>
      <w:r>
        <w:rPr>
          <w:spacing w:val="-113"/>
          <w:sz w:val="21"/>
        </w:rPr>
        <w:t>）</w:t>
      </w:r>
      <w:r>
        <w:rPr>
          <w:spacing w:val="-5"/>
          <w:sz w:val="21"/>
        </w:rPr>
        <w:t>；</w:t>
      </w:r>
    </w:p>
    <w:p>
      <w:pPr>
        <w:pStyle w:val="ListParagraph"/>
        <w:numPr>
          <w:ilvl w:val="1"/>
          <w:numId w:val="55"/>
        </w:numPr>
        <w:tabs>
          <w:tab w:pos="3622" w:val="left" w:leader="none"/>
        </w:tabs>
        <w:spacing w:line="240" w:lineRule="auto" w:before="67" w:after="0"/>
        <w:ind w:left="3621" w:right="0" w:hanging="632"/>
        <w:jc w:val="left"/>
        <w:rPr>
          <w:sz w:val="21"/>
        </w:rPr>
      </w:pPr>
      <w:r>
        <w:rPr>
          <w:position w:val="1"/>
          <w:sz w:val="21"/>
        </w:rPr>
        <w:t>Pa</w:t>
      </w:r>
      <w:r>
        <w:rPr>
          <w:spacing w:val="-10"/>
          <w:position w:val="1"/>
          <w:sz w:val="21"/>
        </w:rPr>
        <w:t> </w:t>
      </w:r>
      <w:r>
        <w:rPr>
          <w:position w:val="1"/>
          <w:sz w:val="21"/>
        </w:rPr>
        <w:t>O</w:t>
      </w:r>
      <w:r>
        <w:rPr>
          <w:sz w:val="11"/>
        </w:rPr>
        <w:t>2</w:t>
      </w:r>
      <w:r>
        <w:rPr>
          <w:position w:val="1"/>
          <w:sz w:val="21"/>
        </w:rPr>
        <w:t>&lt;60mmHg，Pa</w:t>
      </w:r>
      <w:r>
        <w:rPr>
          <w:spacing w:val="-11"/>
          <w:position w:val="1"/>
          <w:sz w:val="21"/>
        </w:rPr>
        <w:t> </w:t>
      </w:r>
      <w:r>
        <w:rPr>
          <w:position w:val="1"/>
          <w:sz w:val="21"/>
        </w:rPr>
        <w:t>CO</w:t>
      </w:r>
      <w:r>
        <w:rPr>
          <w:sz w:val="11"/>
        </w:rPr>
        <w:t>2</w:t>
      </w:r>
      <w:r>
        <w:rPr>
          <w:position w:val="1"/>
          <w:sz w:val="21"/>
        </w:rPr>
        <w:t>&gt;50mmHg</w:t>
      </w:r>
      <w:r>
        <w:rPr>
          <w:spacing w:val="-10"/>
          <w:position w:val="1"/>
          <w:sz w:val="21"/>
        </w:rPr>
        <w:t>。</w:t>
      </w:r>
    </w:p>
    <w:p>
      <w:pPr>
        <w:spacing w:before="70"/>
        <w:ind w:left="2990" w:right="0" w:firstLine="0"/>
        <w:jc w:val="left"/>
        <w:rPr>
          <w:b/>
          <w:sz w:val="21"/>
        </w:rPr>
      </w:pPr>
      <w:r>
        <w:rPr>
          <w:b/>
          <w:spacing w:val="-3"/>
          <w:sz w:val="21"/>
        </w:rPr>
        <w:t>感染艾滋病病毒或患艾滋病期间所患肺孢子菌肺炎不在本保障范围内。</w:t>
      </w: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4"/>
        <w:rPr>
          <w:b/>
          <w:sz w:val="18"/>
        </w:rPr>
      </w:pPr>
    </w:p>
    <w:p>
      <w:pPr>
        <w:pStyle w:val="BodyText"/>
        <w:spacing w:line="297" w:lineRule="auto"/>
        <w:ind w:left="225"/>
      </w:pPr>
      <w:r>
        <w:rPr>
          <w:spacing w:val="-2"/>
        </w:rPr>
        <w:t>（八十一）多处臂丛神经根</w:t>
      </w:r>
      <w:r>
        <w:rPr>
          <w:spacing w:val="-4"/>
        </w:rPr>
        <w:t>性撕脱</w:t>
      </w:r>
    </w:p>
    <w:p>
      <w:pPr>
        <w:spacing w:line="240" w:lineRule="auto" w:before="4"/>
        <w:rPr>
          <w:sz w:val="18"/>
        </w:rPr>
      </w:pPr>
      <w:r>
        <w:rPr/>
        <w:br w:type="column"/>
      </w:r>
      <w:r>
        <w:rPr>
          <w:sz w:val="18"/>
        </w:rPr>
      </w:r>
    </w:p>
    <w:p>
      <w:pPr>
        <w:pStyle w:val="BodyText"/>
        <w:spacing w:line="300" w:lineRule="auto"/>
        <w:ind w:left="178" w:right="1058"/>
        <w:jc w:val="both"/>
      </w:pPr>
      <w:r>
        <w:rPr>
          <w:spacing w:val="-2"/>
        </w:rPr>
        <w:t>由于疾病或意外伤害导致至少两根臂丛神经根性撕脱，所造成的手臂感</w:t>
      </w:r>
      <w:r>
        <w:rPr>
          <w:spacing w:val="-2"/>
        </w:rPr>
        <w:t>觉功能与运动功能完全永久性丧失。该病必须由我们认可的医院的专科</w:t>
      </w:r>
      <w:r>
        <w:rPr>
          <w:spacing w:val="-2"/>
        </w:rPr>
        <w:t>医生确诊，并且有完整的电生理检查结果证实。</w:t>
      </w:r>
    </w:p>
    <w:p>
      <w:pPr>
        <w:spacing w:after="0" w:line="300" w:lineRule="auto"/>
        <w:jc w:val="both"/>
        <w:sectPr>
          <w:type w:val="continuous"/>
          <w:pgSz w:w="11910" w:h="16840"/>
          <w:pgMar w:header="0" w:footer="857" w:top="320" w:bottom="1040" w:left="1100" w:right="260"/>
          <w:cols w:num="2" w:equalWidth="0">
            <w:col w:w="2773" w:space="40"/>
            <w:col w:w="7737"/>
          </w:cols>
        </w:sectPr>
      </w:pPr>
    </w:p>
    <w:p>
      <w:pPr>
        <w:pStyle w:val="BodyText"/>
        <w:spacing w:before="7"/>
        <w:rPr>
          <w:sz w:val="27"/>
        </w:rPr>
      </w:pPr>
    </w:p>
    <w:p>
      <w:pPr>
        <w:pStyle w:val="BodyText"/>
        <w:spacing w:line="300" w:lineRule="auto" w:before="71"/>
        <w:ind w:left="2990" w:right="1060" w:hanging="2766"/>
        <w:jc w:val="both"/>
      </w:pPr>
      <w:r>
        <w:rPr/>
        <w:t>（八十二）</w:t>
      </w:r>
      <w:r>
        <w:rPr>
          <w:spacing w:val="4"/>
        </w:rPr>
        <w:t>严重心肌炎 指心肌局限性或弥漫性的急性或慢性炎症病变，导致心脏功能障碍，达</w:t>
      </w:r>
      <w:r>
        <w:rPr/>
        <w:t>到美国纽约心脏病学会（New</w:t>
      </w:r>
      <w:r>
        <w:rPr>
          <w:spacing w:val="-17"/>
        </w:rPr>
        <w:t> </w:t>
      </w:r>
      <w:r>
        <w:rPr/>
        <w:t>York</w:t>
      </w:r>
      <w:r>
        <w:rPr>
          <w:spacing w:val="-17"/>
        </w:rPr>
        <w:t> </w:t>
      </w:r>
      <w:r>
        <w:rPr/>
        <w:t>Heart</w:t>
      </w:r>
      <w:r>
        <w:rPr>
          <w:spacing w:val="-17"/>
        </w:rPr>
        <w:t> </w:t>
      </w:r>
      <w:r>
        <w:rPr/>
        <w:t>Association，NYHA）心功能</w:t>
      </w:r>
      <w:r>
        <w:rPr>
          <w:spacing w:val="-3"/>
        </w:rPr>
        <w:t>状态分级 </w:t>
      </w:r>
      <w:r>
        <w:rPr/>
        <w:t>IV</w:t>
      </w:r>
      <w:r>
        <w:rPr>
          <w:spacing w:val="-5"/>
        </w:rPr>
        <w:t> 级，且持续至少 </w:t>
      </w:r>
      <w:r>
        <w:rPr/>
        <w:t>90</w:t>
      </w:r>
      <w:r>
        <w:rPr>
          <w:spacing w:val="-6"/>
        </w:rPr>
        <w:t> 天。</w:t>
      </w:r>
    </w:p>
    <w:p>
      <w:pPr>
        <w:pStyle w:val="BodyText"/>
        <w:rPr>
          <w:sz w:val="20"/>
        </w:rPr>
      </w:pPr>
    </w:p>
    <w:p>
      <w:pPr>
        <w:pStyle w:val="BodyText"/>
        <w:tabs>
          <w:tab w:pos="2990" w:val="left" w:leader="none"/>
        </w:tabs>
        <w:spacing w:line="300" w:lineRule="auto" w:before="171"/>
        <w:ind w:left="2990" w:right="1061" w:hanging="2766"/>
      </w:pPr>
      <w:r>
        <w:rPr>
          <w:spacing w:val="-2"/>
        </w:rPr>
        <w:t>（</w:t>
      </w:r>
      <w:r>
        <w:rPr>
          <w:spacing w:val="-2"/>
        </w:rPr>
        <w:t>八</w:t>
      </w:r>
      <w:r>
        <w:rPr>
          <w:spacing w:val="-2"/>
        </w:rPr>
        <w:t>十三）范可尼综</w:t>
      </w:r>
      <w:r>
        <w:rPr>
          <w:spacing w:val="-2"/>
        </w:rPr>
        <w:t>合</w:t>
      </w:r>
      <w:r>
        <w:rPr>
          <w:spacing w:val="-2"/>
        </w:rPr>
        <w:t>征</w:t>
      </w:r>
      <w:r>
        <w:rPr/>
        <w:tab/>
      </w:r>
      <w:r>
        <w:rPr>
          <w:spacing w:val="-2"/>
        </w:rPr>
        <w:t>也</w:t>
      </w:r>
      <w:r>
        <w:rPr>
          <w:spacing w:val="-2"/>
        </w:rPr>
        <w:t>称</w:t>
      </w:r>
      <w:r>
        <w:rPr>
          <w:spacing w:val="-45"/>
        </w:rPr>
        <w:t> </w:t>
      </w:r>
      <w:r>
        <w:rPr>
          <w:spacing w:val="-2"/>
        </w:rPr>
        <w:t>Fanconi</w:t>
      </w:r>
      <w:r>
        <w:rPr>
          <w:spacing w:val="-45"/>
        </w:rPr>
        <w:t> </w:t>
      </w:r>
      <w:r>
        <w:rPr>
          <w:spacing w:val="-2"/>
        </w:rPr>
        <w:t>综合征，指</w:t>
      </w:r>
      <w:r>
        <w:rPr>
          <w:spacing w:val="-2"/>
        </w:rPr>
        <w:t>近</w:t>
      </w:r>
      <w:r>
        <w:rPr>
          <w:spacing w:val="-2"/>
        </w:rPr>
        <w:t>端</w:t>
      </w:r>
      <w:r>
        <w:rPr>
          <w:spacing w:val="-2"/>
        </w:rPr>
        <w:t>肾小管的功能异常引</w:t>
      </w:r>
      <w:r>
        <w:rPr>
          <w:spacing w:val="-2"/>
        </w:rPr>
        <w:t>起</w:t>
      </w:r>
      <w:r>
        <w:rPr>
          <w:spacing w:val="-2"/>
        </w:rPr>
        <w:t>的</w:t>
      </w:r>
      <w:r>
        <w:rPr>
          <w:spacing w:val="-2"/>
        </w:rPr>
        <w:t>一组症候群。</w:t>
      </w:r>
      <w:r>
        <w:rPr>
          <w:spacing w:val="-2"/>
        </w:rPr>
        <w:t>须</w:t>
      </w:r>
      <w:r>
        <w:rPr>
          <w:spacing w:val="-2"/>
        </w:rPr>
        <w:t>经</w:t>
      </w:r>
      <w:r>
        <w:rPr>
          <w:spacing w:val="-2"/>
        </w:rPr>
        <w:t>专</w:t>
      </w:r>
      <w:r>
        <w:rPr>
          <w:spacing w:val="-2"/>
        </w:rPr>
        <w:t>科医生诊断，且须满</w:t>
      </w:r>
      <w:r>
        <w:rPr>
          <w:spacing w:val="-2"/>
        </w:rPr>
        <w:t>足</w:t>
      </w:r>
      <w:r>
        <w:rPr>
          <w:spacing w:val="-2"/>
        </w:rPr>
        <w:t>下</w:t>
      </w:r>
      <w:r>
        <w:rPr>
          <w:spacing w:val="-2"/>
        </w:rPr>
        <w:t>列至少两项条件：</w:t>
      </w:r>
    </w:p>
    <w:p>
      <w:pPr>
        <w:pStyle w:val="ListParagraph"/>
        <w:numPr>
          <w:ilvl w:val="0"/>
          <w:numId w:val="56"/>
        </w:numPr>
        <w:tabs>
          <w:tab w:pos="3520" w:val="left" w:leader="none"/>
        </w:tabs>
        <w:spacing w:line="268" w:lineRule="exact" w:before="0" w:after="0"/>
        <w:ind w:left="3519" w:right="0" w:hanging="530"/>
        <w:jc w:val="left"/>
        <w:rPr>
          <w:sz w:val="21"/>
        </w:rPr>
      </w:pPr>
      <w:r>
        <w:rPr>
          <w:spacing w:val="-3"/>
          <w:sz w:val="21"/>
        </w:rPr>
        <w:t>尿液检查出现肾性糖尿、全氨基酸糖尿或磷酸盐尿；</w:t>
      </w:r>
    </w:p>
    <w:p>
      <w:pPr>
        <w:pStyle w:val="ListParagraph"/>
        <w:numPr>
          <w:ilvl w:val="0"/>
          <w:numId w:val="56"/>
        </w:numPr>
        <w:tabs>
          <w:tab w:pos="3520" w:val="left" w:leader="none"/>
        </w:tabs>
        <w:spacing w:line="240" w:lineRule="auto" w:before="69" w:after="0"/>
        <w:ind w:left="3519" w:right="0" w:hanging="530"/>
        <w:jc w:val="left"/>
        <w:rPr>
          <w:sz w:val="21"/>
        </w:rPr>
      </w:pPr>
      <w:r>
        <w:rPr>
          <w:spacing w:val="-3"/>
          <w:sz w:val="21"/>
        </w:rPr>
        <w:t>血液检查出现低磷血症、低尿酸血症或近端肾小管酸中毒；</w:t>
      </w:r>
    </w:p>
    <w:p>
      <w:pPr>
        <w:pStyle w:val="ListParagraph"/>
        <w:numPr>
          <w:ilvl w:val="0"/>
          <w:numId w:val="56"/>
        </w:numPr>
        <w:tabs>
          <w:tab w:pos="3520" w:val="left" w:leader="none"/>
        </w:tabs>
        <w:spacing w:line="240" w:lineRule="auto" w:before="67" w:after="0"/>
        <w:ind w:left="3519" w:right="0" w:hanging="530"/>
        <w:jc w:val="left"/>
        <w:rPr>
          <w:sz w:val="21"/>
        </w:rPr>
      </w:pPr>
      <w:r>
        <w:rPr>
          <w:spacing w:val="-3"/>
          <w:sz w:val="21"/>
        </w:rPr>
        <w:t>出现骨质疏松、骨骼畸形或尿路结石；</w:t>
      </w:r>
    </w:p>
    <w:p>
      <w:pPr>
        <w:pStyle w:val="ListParagraph"/>
        <w:numPr>
          <w:ilvl w:val="0"/>
          <w:numId w:val="56"/>
        </w:numPr>
        <w:tabs>
          <w:tab w:pos="3526" w:val="left" w:leader="none"/>
        </w:tabs>
        <w:spacing w:line="302" w:lineRule="auto" w:before="67" w:after="0"/>
        <w:ind w:left="2990" w:right="1064" w:firstLine="0"/>
        <w:jc w:val="left"/>
        <w:rPr>
          <w:sz w:val="21"/>
        </w:rPr>
      </w:pPr>
      <w:r>
        <w:rPr>
          <w:spacing w:val="-2"/>
          <w:sz w:val="21"/>
        </w:rPr>
        <w:t>通过骨髓片、白细胞、直肠黏膜中的结晶分析或裂隙灯检查角膜</w:t>
      </w:r>
      <w:r>
        <w:rPr>
          <w:spacing w:val="-2"/>
          <w:sz w:val="21"/>
        </w:rPr>
        <w:t>有胱氨酸结晶。</w:t>
      </w:r>
    </w:p>
    <w:p>
      <w:pPr>
        <w:spacing w:line="265" w:lineRule="exact" w:before="0"/>
        <w:ind w:left="2990" w:right="0" w:firstLine="0"/>
        <w:jc w:val="left"/>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70"/>
          <w:sz w:val="21"/>
        </w:rPr>
        <w:t> </w:t>
      </w:r>
      <w:r>
        <w:rPr>
          <w:b/>
          <w:w w:val="95"/>
          <w:sz w:val="21"/>
        </w:rPr>
        <w:t>3</w:t>
      </w:r>
      <w:r>
        <w:rPr>
          <w:b/>
          <w:spacing w:val="70"/>
          <w:sz w:val="21"/>
        </w:rPr>
        <w:t> </w:t>
      </w:r>
      <w:r>
        <w:rPr>
          <w:b/>
          <w:w w:val="95"/>
          <w:sz w:val="21"/>
        </w:rPr>
        <w:t>周</w:t>
      </w:r>
      <w:r>
        <w:rPr>
          <w:b/>
          <w:w w:val="95"/>
          <w:sz w:val="21"/>
        </w:rPr>
        <w:t>岁</w:t>
      </w:r>
      <w:r>
        <w:rPr>
          <w:b/>
          <w:w w:val="95"/>
          <w:sz w:val="21"/>
        </w:rPr>
        <w:t>之</w:t>
      </w:r>
      <w:r>
        <w:rPr>
          <w:b/>
          <w:w w:val="95"/>
          <w:sz w:val="21"/>
        </w:rPr>
        <w:t>前</w:t>
      </w:r>
      <w:r>
        <w:rPr>
          <w:b/>
          <w:w w:val="95"/>
          <w:sz w:val="21"/>
        </w:rPr>
        <w:t>罹</w:t>
      </w:r>
      <w:r>
        <w:rPr>
          <w:b/>
          <w:w w:val="95"/>
          <w:sz w:val="21"/>
        </w:rPr>
        <w:t>患</w:t>
      </w:r>
      <w:r>
        <w:rPr>
          <w:b/>
          <w:w w:val="95"/>
          <w:sz w:val="21"/>
        </w:rPr>
        <w:t>该</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不</w:t>
      </w:r>
      <w:r>
        <w:rPr>
          <w:b/>
          <w:w w:val="95"/>
          <w:sz w:val="21"/>
        </w:rPr>
        <w:t>承担保</w:t>
      </w:r>
      <w:r>
        <w:rPr>
          <w:b/>
          <w:w w:val="95"/>
          <w:sz w:val="21"/>
        </w:rPr>
        <w:t>险</w:t>
      </w:r>
      <w:r>
        <w:rPr>
          <w:b/>
          <w:w w:val="95"/>
          <w:sz w:val="21"/>
        </w:rPr>
        <w:t>责</w:t>
      </w:r>
      <w:r>
        <w:rPr>
          <w:b/>
          <w:w w:val="95"/>
          <w:sz w:val="21"/>
        </w:rPr>
        <w:t>任</w:t>
      </w:r>
      <w:r>
        <w:rPr>
          <w:b/>
          <w:spacing w:val="-10"/>
          <w:w w:val="95"/>
          <w:sz w:val="21"/>
        </w:rPr>
        <w:t>。</w:t>
      </w:r>
    </w:p>
    <w:p>
      <w:pPr>
        <w:spacing w:after="0" w:line="265" w:lineRule="exact"/>
        <w:jc w:val="left"/>
        <w:rPr>
          <w:sz w:val="21"/>
        </w:rPr>
        <w:sectPr>
          <w:type w:val="continuous"/>
          <w:pgSz w:w="11910" w:h="16840"/>
          <w:pgMar w:header="0" w:footer="857" w:top="320" w:bottom="1040" w:left="1100" w:right="260"/>
        </w:sectPr>
      </w:pPr>
    </w:p>
    <w:p>
      <w:pPr>
        <w:pStyle w:val="BodyText"/>
        <w:spacing w:line="300" w:lineRule="auto" w:before="60"/>
        <w:ind w:left="2990" w:right="1058" w:hanging="2766"/>
        <w:jc w:val="both"/>
      </w:pPr>
      <w:r>
        <w:rPr/>
        <w:t>（八十四）大面积植皮手术 指为修复皮肤与其下的组织缺损所进行的皮肤移植手术，要求皮肤移植</w:t>
      </w:r>
      <w:r>
        <w:rPr>
          <w:spacing w:val="-2"/>
        </w:rPr>
        <w:t>的面积达到全身体表面积的 </w:t>
      </w:r>
      <w:r>
        <w:rPr/>
        <w:t>30%</w:t>
      </w:r>
      <w:r>
        <w:rPr>
          <w:spacing w:val="-13"/>
        </w:rPr>
        <w:t>或 </w:t>
      </w:r>
      <w:r>
        <w:rPr/>
        <w:t>30%以上。体表面积根据《中国新九</w:t>
      </w:r>
      <w:r>
        <w:rPr>
          <w:spacing w:val="-2"/>
        </w:rPr>
        <w:t>分法》计算。</w:t>
      </w:r>
    </w:p>
    <w:p>
      <w:pPr>
        <w:pStyle w:val="BodyText"/>
        <w:rPr>
          <w:sz w:val="20"/>
        </w:rPr>
      </w:pPr>
    </w:p>
    <w:p>
      <w:pPr>
        <w:pStyle w:val="BodyText"/>
        <w:spacing w:line="300" w:lineRule="auto" w:before="168"/>
        <w:ind w:left="2990" w:right="1058" w:hanging="2766"/>
        <w:jc w:val="both"/>
      </w:pPr>
      <w:r>
        <w:rPr/>
        <w:t>（八十五）</w:t>
      </w:r>
      <w:r>
        <w:rPr>
          <w:spacing w:val="4"/>
        </w:rPr>
        <w:t>心脏黏液瘤 是最常见的心脏原发良性肿瘤，肿瘤长大后可阻塞血流通道，呈现血流</w:t>
      </w:r>
      <w:r>
        <w:rPr>
          <w:spacing w:val="-2"/>
        </w:rPr>
        <w:t>动力学改变全身表现和周围血管栓塞三类症状。移动度较大的黏液瘤如</w:t>
      </w:r>
      <w:r>
        <w:rPr>
          <w:spacing w:val="-2"/>
        </w:rPr>
        <w:t>突然阻塞房室瓣瓣孔，病人可发作昏厥，抽搐，甚或引致猝死。须经专</w:t>
      </w:r>
      <w:r>
        <w:rPr>
          <w:spacing w:val="-2"/>
        </w:rPr>
        <w:t>科医生明确诊断，并实际已经实行了切开心脏手术摘除肿瘤组织。</w:t>
      </w:r>
    </w:p>
    <w:p>
      <w:pPr>
        <w:spacing w:before="1"/>
        <w:ind w:left="2990" w:right="0" w:firstLine="0"/>
        <w:jc w:val="left"/>
        <w:rPr>
          <w:b/>
          <w:sz w:val="21"/>
        </w:rPr>
      </w:pPr>
      <w:r>
        <w:rPr>
          <w:b/>
          <w:spacing w:val="-3"/>
          <w:sz w:val="21"/>
        </w:rPr>
        <w:t>经导管介入手术治疗不在本保障范围内。</w:t>
      </w:r>
    </w:p>
    <w:p>
      <w:pPr>
        <w:pStyle w:val="BodyText"/>
        <w:rPr>
          <w:b/>
          <w:sz w:val="20"/>
        </w:rPr>
      </w:pPr>
    </w:p>
    <w:p>
      <w:pPr>
        <w:pStyle w:val="BodyText"/>
        <w:spacing w:before="5"/>
        <w:rPr>
          <w:b/>
          <w:sz w:val="18"/>
        </w:rPr>
      </w:pPr>
    </w:p>
    <w:p>
      <w:pPr>
        <w:pStyle w:val="BodyText"/>
        <w:spacing w:line="297" w:lineRule="auto" w:before="1"/>
        <w:ind w:left="2990" w:right="1058" w:hanging="2766"/>
        <w:jc w:val="both"/>
      </w:pPr>
      <w:r>
        <w:rPr>
          <w:w w:val="100"/>
        </w:rPr>
        <w:t>（</w:t>
      </w:r>
      <w:r>
        <w:rPr>
          <w:spacing w:val="-2"/>
          <w:w w:val="100"/>
        </w:rPr>
        <w:t>八十六</w:t>
      </w:r>
      <w:r>
        <w:rPr>
          <w:spacing w:val="-3"/>
          <w:w w:val="100"/>
        </w:rPr>
        <w:t>）</w:t>
      </w:r>
      <w:r>
        <w:rPr>
          <w:spacing w:val="-2"/>
          <w:w w:val="100"/>
        </w:rPr>
        <w:t>严重癫痫</w:t>
      </w:r>
      <w:r>
        <w:rPr>
          <w:spacing w:val="3"/>
        </w:rPr>
        <w:t>        </w:t>
      </w:r>
      <w:r>
        <w:rPr>
          <w:spacing w:val="3"/>
          <w:w w:val="100"/>
        </w:rPr>
        <w:t>本病的诊断须由我们认可的医院的神经科或儿科专科医生根据典型临</w:t>
      </w:r>
      <w:r>
        <w:rPr>
          <w:spacing w:val="-2"/>
          <w:w w:val="100"/>
        </w:rPr>
        <w:t>床症状和脑电图及</w:t>
      </w:r>
      <w:r>
        <w:rPr/>
        <w:t> </w:t>
      </w:r>
      <w:r>
        <w:rPr>
          <w:spacing w:val="-3"/>
          <w:w w:val="100"/>
        </w:rPr>
        <w:t>M</w:t>
      </w:r>
      <w:r>
        <w:rPr>
          <w:w w:val="100"/>
        </w:rPr>
        <w:t>R</w:t>
      </w:r>
      <w:r>
        <w:rPr>
          <w:spacing w:val="-1"/>
          <w:w w:val="100"/>
        </w:rPr>
        <w:t>I</w:t>
      </w:r>
      <w:r>
        <w:rPr>
          <w:spacing w:val="-7"/>
          <w:w w:val="100"/>
        </w:rPr>
        <w:t>、</w:t>
      </w:r>
      <w:r>
        <w:rPr>
          <w:spacing w:val="-3"/>
          <w:w w:val="100"/>
        </w:rPr>
        <w:t>P</w:t>
      </w:r>
      <w:r>
        <w:rPr>
          <w:w w:val="100"/>
        </w:rPr>
        <w:t>E</w:t>
      </w:r>
      <w:r>
        <w:rPr>
          <w:spacing w:val="-1"/>
          <w:w w:val="100"/>
        </w:rPr>
        <w:t>T</w:t>
      </w:r>
      <w:r>
        <w:rPr>
          <w:spacing w:val="-8"/>
          <w:w w:val="100"/>
        </w:rPr>
        <w:t>、</w:t>
      </w:r>
      <w:r>
        <w:rPr>
          <w:w w:val="100"/>
        </w:rPr>
        <w:t>CT</w:t>
      </w:r>
      <w:r>
        <w:rPr>
          <w:spacing w:val="-2"/>
        </w:rPr>
        <w:t> </w:t>
      </w:r>
      <w:r>
        <w:rPr>
          <w:spacing w:val="-4"/>
          <w:w w:val="100"/>
        </w:rPr>
        <w:t>等影像学检查做出，须提供六个月以</w:t>
      </w:r>
      <w:r>
        <w:rPr>
          <w:spacing w:val="3"/>
          <w:w w:val="100"/>
        </w:rPr>
        <w:t>上的相关病历记录证明被保险人存在经抗癫痫药物治疗无效而反复发</w:t>
      </w:r>
      <w:r>
        <w:rPr>
          <w:spacing w:val="-3"/>
          <w:w w:val="100"/>
        </w:rPr>
        <w:t>作的强直阵挛性发作或癫痫大发作，且实际实施了神经外科手术。</w:t>
      </w:r>
    </w:p>
    <w:p>
      <w:pPr>
        <w:spacing w:line="297" w:lineRule="auto" w:before="2"/>
        <w:ind w:left="2990" w:right="1061" w:firstLine="0"/>
        <w:jc w:val="left"/>
        <w:rPr>
          <w:b/>
          <w:sz w:val="21"/>
        </w:rPr>
      </w:pPr>
      <w:r>
        <w:rPr>
          <w:b/>
          <w:spacing w:val="-2"/>
          <w:sz w:val="21"/>
        </w:rPr>
        <w:t>发热性惊厥以及没有全身性发作的失神发作（癫痫小发作）不在本保障</w:t>
      </w:r>
      <w:r>
        <w:rPr>
          <w:b/>
          <w:spacing w:val="-4"/>
          <w:sz w:val="21"/>
        </w:rPr>
        <w:t>范围内。</w:t>
      </w:r>
    </w:p>
    <w:p>
      <w:pPr>
        <w:pStyle w:val="BodyText"/>
        <w:spacing w:before="7"/>
        <w:rPr>
          <w:b/>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（八十七）严重巨细胞动脉</w:t>
      </w:r>
      <w:r>
        <w:rPr>
          <w:spacing w:val="-10"/>
        </w:rPr>
        <w:t>炎</w:t>
      </w:r>
    </w:p>
    <w:p>
      <w:pPr>
        <w:pStyle w:val="BodyText"/>
        <w:spacing w:line="300" w:lineRule="auto" w:before="72"/>
        <w:ind w:left="178" w:right="1058"/>
        <w:jc w:val="both"/>
      </w:pPr>
      <w:r>
        <w:rPr/>
        <w:br w:type="column"/>
      </w:r>
      <w:r>
        <w:rPr>
          <w:spacing w:val="-2"/>
        </w:rPr>
        <w:t>巨细胞动脉炎又称颅动脉炎、颞动脉炎、肉芽肿性动脉炎，须经我们认</w:t>
      </w:r>
      <w:r>
        <w:rPr>
          <w:spacing w:val="-2"/>
        </w:rPr>
        <w:t>可的医院的专科医生明确诊断，并造成永久不可逆性的单个肢体功能障</w:t>
      </w:r>
      <w:r>
        <w:rPr>
          <w:spacing w:val="-2"/>
        </w:rPr>
        <w:t>碍或单眼失明。单眼失明指单眼视力永久不可逆性丧失，患眼须满足下</w:t>
      </w:r>
      <w:r>
        <w:rPr>
          <w:spacing w:val="-2"/>
        </w:rPr>
        <w:t>列至少一项条件：</w:t>
      </w:r>
    </w:p>
    <w:p>
      <w:pPr>
        <w:pStyle w:val="ListParagraph"/>
        <w:numPr>
          <w:ilvl w:val="0"/>
          <w:numId w:val="57"/>
        </w:numPr>
        <w:tabs>
          <w:tab w:pos="708" w:val="left" w:leader="none"/>
        </w:tabs>
        <w:spacing w:line="240" w:lineRule="auto" w:before="1" w:after="0"/>
        <w:ind w:left="707" w:right="0" w:hanging="530"/>
        <w:jc w:val="left"/>
        <w:rPr>
          <w:sz w:val="21"/>
        </w:rPr>
      </w:pPr>
      <w:r>
        <w:rPr>
          <w:spacing w:val="-3"/>
          <w:sz w:val="21"/>
        </w:rPr>
        <w:t>眼球缺失或者摘除；</w:t>
      </w:r>
    </w:p>
    <w:p>
      <w:pPr>
        <w:pStyle w:val="ListParagraph"/>
        <w:numPr>
          <w:ilvl w:val="0"/>
          <w:numId w:val="57"/>
        </w:numPr>
        <w:tabs>
          <w:tab w:pos="708" w:val="left" w:leader="none"/>
        </w:tabs>
        <w:spacing w:line="300" w:lineRule="auto" w:before="69" w:after="0"/>
        <w:ind w:left="178" w:right="1058" w:firstLine="0"/>
        <w:jc w:val="left"/>
        <w:rPr>
          <w:sz w:val="21"/>
        </w:rPr>
      </w:pPr>
      <w:r>
        <w:rPr>
          <w:spacing w:val="-4"/>
          <w:sz w:val="21"/>
        </w:rPr>
        <w:t>矫正视力低于 </w:t>
      </w:r>
      <w:r>
        <w:rPr>
          <w:sz w:val="21"/>
        </w:rPr>
        <w:t>0.02（采用国际标准视力表，如果使用其他视力表</w:t>
      </w:r>
      <w:r>
        <w:rPr>
          <w:spacing w:val="-2"/>
          <w:sz w:val="21"/>
        </w:rPr>
        <w:t>应进行换算</w:t>
      </w:r>
      <w:r>
        <w:rPr>
          <w:spacing w:val="-106"/>
          <w:sz w:val="21"/>
        </w:rPr>
        <w:t>）</w:t>
      </w:r>
      <w:r>
        <w:rPr>
          <w:sz w:val="21"/>
        </w:rPr>
        <w:t>；</w:t>
      </w:r>
    </w:p>
    <w:p>
      <w:pPr>
        <w:pStyle w:val="ListParagraph"/>
        <w:numPr>
          <w:ilvl w:val="0"/>
          <w:numId w:val="57"/>
        </w:numPr>
        <w:tabs>
          <w:tab w:pos="708" w:val="left" w:leader="none"/>
        </w:tabs>
        <w:spacing w:line="268" w:lineRule="exact" w:before="0" w:after="0"/>
        <w:ind w:left="707" w:right="0" w:hanging="530"/>
        <w:jc w:val="left"/>
        <w:rPr>
          <w:sz w:val="21"/>
        </w:rPr>
      </w:pPr>
      <w:r>
        <w:rPr>
          <w:spacing w:val="-10"/>
          <w:sz w:val="21"/>
        </w:rPr>
        <w:t>视野半径小于 </w:t>
      </w:r>
      <w:r>
        <w:rPr>
          <w:spacing w:val="-2"/>
          <w:sz w:val="21"/>
        </w:rPr>
        <w:t>5</w:t>
      </w:r>
      <w:r>
        <w:rPr>
          <w:spacing w:val="-21"/>
          <w:sz w:val="21"/>
        </w:rPr>
        <w:t> 度。</w:t>
      </w:r>
    </w:p>
    <w:p>
      <w:pPr>
        <w:spacing w:after="0" w:line="268" w:lineRule="exact"/>
        <w:jc w:val="left"/>
        <w:rPr>
          <w:sz w:val="21"/>
        </w:rPr>
        <w:sectPr>
          <w:type w:val="continuous"/>
          <w:pgSz w:w="11910" w:h="16840"/>
          <w:pgMar w:header="0" w:footer="857" w:top="320" w:bottom="1040" w:left="1100" w:right="260"/>
          <w:cols w:num="2" w:equalWidth="0">
            <w:col w:w="2773" w:space="40"/>
            <w:col w:w="7737"/>
          </w:cols>
        </w:sectPr>
      </w:pPr>
    </w:p>
    <w:p>
      <w:pPr>
        <w:pStyle w:val="BodyText"/>
        <w:rPr>
          <w:sz w:val="20"/>
        </w:rPr>
      </w:pPr>
    </w:p>
    <w:p>
      <w:pPr>
        <w:pStyle w:val="BodyText"/>
        <w:spacing w:before="3"/>
        <w:rPr>
          <w:sz w:val="18"/>
        </w:rPr>
      </w:pPr>
    </w:p>
    <w:p>
      <w:pPr>
        <w:pStyle w:val="BodyText"/>
        <w:tabs>
          <w:tab w:pos="2990" w:val="left" w:leader="none"/>
        </w:tabs>
        <w:spacing w:line="297" w:lineRule="auto"/>
        <w:ind w:left="2990" w:right="953" w:hanging="2766"/>
        <w:rPr>
          <w:sz w:val="22"/>
        </w:rPr>
      </w:pPr>
      <w:r>
        <w:rPr>
          <w:spacing w:val="-2"/>
        </w:rPr>
        <w:t>（</w:t>
      </w:r>
      <w:r>
        <w:rPr>
          <w:spacing w:val="-2"/>
        </w:rPr>
        <w:t>八</w:t>
      </w:r>
      <w:r>
        <w:rPr>
          <w:spacing w:val="-2"/>
        </w:rPr>
        <w:t>十八）脊髓空洞症</w:t>
      </w:r>
      <w:r>
        <w:rPr/>
        <w:tab/>
      </w:r>
      <w:r>
        <w:rPr>
          <w:spacing w:val="-2"/>
        </w:rPr>
        <w:t>是</w:t>
      </w:r>
      <w:r>
        <w:rPr>
          <w:spacing w:val="-2"/>
        </w:rPr>
        <w:t>脊</w:t>
      </w:r>
      <w:r>
        <w:rPr>
          <w:spacing w:val="-2"/>
        </w:rPr>
        <w:t>髓的一种慢性、进行</w:t>
      </w:r>
      <w:r>
        <w:rPr>
          <w:spacing w:val="-2"/>
        </w:rPr>
        <w:t>性</w:t>
      </w:r>
      <w:r>
        <w:rPr>
          <w:spacing w:val="-2"/>
        </w:rPr>
        <w:t>的</w:t>
      </w:r>
      <w:r>
        <w:rPr>
          <w:spacing w:val="-2"/>
        </w:rPr>
        <w:t>病变。其病变特点是</w:t>
      </w:r>
      <w:r>
        <w:rPr>
          <w:spacing w:val="-2"/>
        </w:rPr>
        <w:t>脊</w:t>
      </w:r>
      <w:r>
        <w:rPr>
          <w:spacing w:val="-2"/>
        </w:rPr>
        <w:t>髓</w:t>
      </w:r>
      <w:r>
        <w:rPr>
          <w:spacing w:val="-2"/>
        </w:rPr>
        <w:t>（主要是</w:t>
      </w:r>
      <w:r>
        <w:rPr>
          <w:spacing w:val="-2"/>
        </w:rPr>
        <w:t>灰</w:t>
      </w:r>
      <w:r>
        <w:rPr>
          <w:spacing w:val="-2"/>
        </w:rPr>
        <w:t>质</w:t>
      </w:r>
      <w:r>
        <w:rPr>
          <w:spacing w:val="-2"/>
        </w:rPr>
        <w:t>）</w:t>
      </w:r>
      <w:r>
        <w:rPr>
          <w:spacing w:val="-4"/>
        </w:rPr>
        <w:t>内</w:t>
      </w:r>
      <w:r>
        <w:rPr>
          <w:spacing w:val="-4"/>
        </w:rPr>
        <w:t>形</w:t>
      </w:r>
      <w:r>
        <w:rPr>
          <w:spacing w:val="-4"/>
        </w:rPr>
        <w:t>成管状空腔以及胶质（非神经细胞）增生。须经</w:t>
      </w:r>
      <w:r>
        <w:rPr>
          <w:spacing w:val="-4"/>
        </w:rPr>
        <w:t>专</w:t>
      </w:r>
      <w:r>
        <w:rPr>
          <w:spacing w:val="-4"/>
        </w:rPr>
        <w:t>科</w:t>
      </w:r>
      <w:r>
        <w:rPr>
          <w:spacing w:val="-4"/>
        </w:rPr>
        <w:t>医生明确诊</w:t>
      </w:r>
      <w:r>
        <w:rPr>
          <w:spacing w:val="-4"/>
        </w:rPr>
        <w:t>断</w:t>
      </w:r>
      <w:r>
        <w:rPr>
          <w:spacing w:val="-4"/>
        </w:rPr>
        <w:t>，</w:t>
      </w:r>
      <w:r>
        <w:rPr/>
        <w:t>疾病确诊</w:t>
      </w:r>
      <w:r>
        <w:rPr>
          <w:spacing w:val="-22"/>
        </w:rPr>
        <w:t> </w:t>
      </w:r>
      <w:r>
        <w:rPr/>
        <w:t>180</w:t>
      </w:r>
      <w:r>
        <w:rPr>
          <w:spacing w:val="-22"/>
        </w:rPr>
        <w:t> </w:t>
      </w:r>
      <w:r>
        <w:rPr/>
        <w:t>天后，仍遗</w:t>
      </w:r>
      <w:r>
        <w:rPr/>
        <w:t>留下列</w:t>
      </w:r>
      <w:r>
        <w:rPr>
          <w:sz w:val="22"/>
        </w:rPr>
        <w:t>至少一</w:t>
      </w:r>
      <w:r>
        <w:rPr>
          <w:sz w:val="22"/>
        </w:rPr>
        <w:t>种障碍：</w:t>
      </w:r>
    </w:p>
    <w:p>
      <w:pPr>
        <w:pStyle w:val="ListParagraph"/>
        <w:numPr>
          <w:ilvl w:val="1"/>
          <w:numId w:val="57"/>
        </w:numPr>
        <w:tabs>
          <w:tab w:pos="3544" w:val="left" w:leader="none"/>
        </w:tabs>
        <w:spacing w:line="268" w:lineRule="exact" w:before="0" w:after="0"/>
        <w:ind w:left="3543" w:right="0" w:hanging="554"/>
        <w:jc w:val="left"/>
        <w:rPr>
          <w:sz w:val="20"/>
        </w:rPr>
      </w:pPr>
      <w:r>
        <w:rPr>
          <w:spacing w:val="-2"/>
          <w:sz w:val="22"/>
        </w:rPr>
        <w:t>一肢（含）</w:t>
      </w:r>
      <w:r>
        <w:rPr>
          <w:spacing w:val="-9"/>
          <w:sz w:val="22"/>
        </w:rPr>
        <w:t>以上肢体肌力 </w:t>
      </w:r>
      <w:r>
        <w:rPr>
          <w:spacing w:val="-2"/>
          <w:sz w:val="22"/>
        </w:rPr>
        <w:t>2</w:t>
      </w:r>
      <w:r>
        <w:rPr>
          <w:spacing w:val="-25"/>
          <w:sz w:val="22"/>
        </w:rPr>
        <w:t> 级</w:t>
      </w:r>
      <w:r>
        <w:rPr>
          <w:spacing w:val="-2"/>
          <w:sz w:val="22"/>
        </w:rPr>
        <w:t>（含）</w:t>
      </w:r>
      <w:r>
        <w:rPr>
          <w:spacing w:val="-5"/>
          <w:sz w:val="22"/>
        </w:rPr>
        <w:t>以下；</w:t>
      </w:r>
    </w:p>
    <w:p>
      <w:pPr>
        <w:pStyle w:val="ListParagraph"/>
        <w:numPr>
          <w:ilvl w:val="1"/>
          <w:numId w:val="57"/>
        </w:numPr>
        <w:tabs>
          <w:tab w:pos="3544" w:val="left" w:leader="none"/>
        </w:tabs>
        <w:spacing w:line="240" w:lineRule="auto" w:before="54" w:after="0"/>
        <w:ind w:left="3543" w:right="0" w:hanging="554"/>
        <w:jc w:val="left"/>
        <w:rPr>
          <w:sz w:val="20"/>
        </w:rPr>
      </w:pPr>
      <w:r>
        <w:rPr>
          <w:spacing w:val="-3"/>
          <w:sz w:val="22"/>
        </w:rPr>
        <w:t>语言能力完全丧失，或严重咀嚼吞咽功能障碍；</w:t>
      </w:r>
    </w:p>
    <w:p>
      <w:pPr>
        <w:pStyle w:val="ListParagraph"/>
        <w:numPr>
          <w:ilvl w:val="1"/>
          <w:numId w:val="57"/>
        </w:numPr>
        <w:tabs>
          <w:tab w:pos="3526" w:val="left" w:leader="none"/>
        </w:tabs>
        <w:spacing w:line="300" w:lineRule="auto" w:before="64" w:after="0"/>
        <w:ind w:left="2990" w:right="1065" w:firstLine="0"/>
        <w:jc w:val="left"/>
        <w:rPr>
          <w:sz w:val="19"/>
        </w:rPr>
      </w:pPr>
      <w:r>
        <w:rPr>
          <w:spacing w:val="-2"/>
          <w:sz w:val="21"/>
        </w:rPr>
        <w:t>自主生活能力完全丧失，无法独立完成六项基本日常生活活动中</w:t>
      </w:r>
      <w:r>
        <w:rPr>
          <w:spacing w:val="-2"/>
          <w:sz w:val="21"/>
        </w:rPr>
        <w:t>的三项或三项以上。</w:t>
      </w:r>
    </w:p>
    <w:p>
      <w:pPr>
        <w:pStyle w:val="BodyText"/>
        <w:rPr>
          <w:sz w:val="20"/>
        </w:rPr>
      </w:pPr>
    </w:p>
    <w:p>
      <w:pPr>
        <w:pStyle w:val="BodyText"/>
        <w:tabs>
          <w:tab w:pos="2990" w:val="left" w:leader="none"/>
        </w:tabs>
        <w:spacing w:line="300" w:lineRule="auto" w:before="168"/>
        <w:ind w:left="2990" w:right="1040" w:hanging="2766"/>
      </w:pPr>
      <w:r>
        <w:rPr/>
        <w:t>（八十九）Brugada</w:t>
      </w:r>
      <w:r>
        <w:rPr>
          <w:spacing w:val="-46"/>
        </w:rPr>
        <w:t> </w:t>
      </w:r>
      <w:r>
        <w:rPr/>
        <w:t>综合征</w:t>
        <w:tab/>
      </w:r>
      <w:r>
        <w:rPr>
          <w:spacing w:val="19"/>
        </w:rPr>
        <w:t>由</w:t>
      </w:r>
      <w:r>
        <w:rPr>
          <w:spacing w:val="19"/>
        </w:rPr>
        <w:t>心</w:t>
      </w:r>
      <w:r>
        <w:rPr>
          <w:spacing w:val="19"/>
        </w:rPr>
        <w:t>脏</w:t>
      </w:r>
      <w:r>
        <w:rPr>
          <w:spacing w:val="19"/>
        </w:rPr>
        <w:t>科</w:t>
      </w:r>
      <w:r>
        <w:rPr>
          <w:spacing w:val="19"/>
        </w:rPr>
        <w:t>专</w:t>
      </w:r>
      <w:r>
        <w:rPr>
          <w:spacing w:val="19"/>
        </w:rPr>
        <w:t>科</w:t>
      </w:r>
      <w:r>
        <w:rPr>
          <w:spacing w:val="19"/>
        </w:rPr>
        <w:t>医</w:t>
      </w:r>
      <w:r>
        <w:rPr>
          <w:spacing w:val="19"/>
        </w:rPr>
        <w:t>生</w:t>
      </w:r>
      <w:r>
        <w:rPr>
          <w:spacing w:val="19"/>
        </w:rPr>
        <w:t>根</w:t>
      </w:r>
      <w:r>
        <w:rPr>
          <w:spacing w:val="19"/>
        </w:rPr>
        <w:t>据临</w:t>
      </w:r>
      <w:r>
        <w:rPr>
          <w:spacing w:val="19"/>
        </w:rPr>
        <w:t>床</w:t>
      </w:r>
      <w:r>
        <w:rPr>
          <w:spacing w:val="19"/>
        </w:rPr>
        <w:t>症</w:t>
      </w:r>
      <w:r>
        <w:rPr>
          <w:spacing w:val="19"/>
        </w:rPr>
        <w:t>状</w:t>
      </w:r>
      <w:r>
        <w:rPr>
          <w:spacing w:val="19"/>
        </w:rPr>
        <w:t>和</w:t>
      </w:r>
      <w:r>
        <w:rPr>
          <w:spacing w:val="19"/>
        </w:rPr>
        <w:t>典</w:t>
      </w:r>
      <w:r>
        <w:rPr>
          <w:spacing w:val="19"/>
        </w:rPr>
        <w:t>型</w:t>
      </w:r>
      <w:r>
        <w:rPr>
          <w:spacing w:val="19"/>
        </w:rPr>
        <w:t>心</w:t>
      </w:r>
      <w:r>
        <w:rPr>
          <w:spacing w:val="19"/>
        </w:rPr>
        <w:t>电</w:t>
      </w:r>
      <w:r>
        <w:rPr>
          <w:spacing w:val="19"/>
        </w:rPr>
        <w:t>图表</w:t>
      </w:r>
      <w:r>
        <w:rPr>
          <w:spacing w:val="19"/>
        </w:rPr>
        <w:t>现</w:t>
      </w:r>
      <w:r>
        <w:rPr>
          <w:spacing w:val="19"/>
        </w:rPr>
        <w:t>，</w:t>
      </w:r>
      <w:r>
        <w:rPr>
          <w:spacing w:val="19"/>
        </w:rPr>
        <w:t>明</w:t>
      </w:r>
      <w:r>
        <w:rPr>
          <w:spacing w:val="19"/>
        </w:rPr>
        <w:t>确</w:t>
      </w:r>
      <w:r>
        <w:rPr>
          <w:spacing w:val="19"/>
        </w:rPr>
        <w:t>诊</w:t>
      </w:r>
      <w:r>
        <w:rPr>
          <w:spacing w:val="19"/>
        </w:rPr>
        <w:t>断</w:t>
      </w:r>
      <w:r>
        <w:rPr>
          <w:spacing w:val="19"/>
        </w:rPr>
        <w:t>为</w:t>
      </w:r>
      <w:r>
        <w:rPr>
          <w:spacing w:val="19"/>
        </w:rPr>
        <w:t> </w:t>
      </w:r>
      <w:r>
        <w:rPr/>
        <w:t>Brugada 综合征。</w:t>
      </w:r>
    </w:p>
    <w:p>
      <w:pPr>
        <w:pStyle w:val="BodyText"/>
        <w:spacing w:before="2"/>
        <w:ind w:left="2990"/>
      </w:pPr>
      <w:r>
        <w:rPr>
          <w:spacing w:val="-3"/>
        </w:rPr>
        <w:t>经专科医生判断认为医疗必须安装且实际已安装永久性心脏除颤器。</w:t>
      </w:r>
    </w:p>
    <w:p>
      <w:pPr>
        <w:pStyle w:val="BodyText"/>
        <w:rPr>
          <w:sz w:val="20"/>
        </w:rPr>
      </w:pPr>
    </w:p>
    <w:p>
      <w:pPr>
        <w:pStyle w:val="BodyText"/>
        <w:spacing w:before="5"/>
        <w:rPr>
          <w:sz w:val="18"/>
        </w:rPr>
      </w:pPr>
    </w:p>
    <w:p>
      <w:pPr>
        <w:pStyle w:val="BodyText"/>
        <w:tabs>
          <w:tab w:pos="2990" w:val="left" w:leader="none"/>
        </w:tabs>
        <w:ind w:left="225"/>
      </w:pPr>
      <w:r>
        <w:rPr>
          <w:spacing w:val="-2"/>
        </w:rPr>
        <w:t>（</w:t>
      </w:r>
      <w:r>
        <w:rPr>
          <w:spacing w:val="-2"/>
        </w:rPr>
        <w:t>九</w:t>
      </w:r>
      <w:r>
        <w:rPr>
          <w:spacing w:val="-2"/>
        </w:rPr>
        <w:t>十）神经白</w:t>
      </w:r>
      <w:r>
        <w:rPr>
          <w:spacing w:val="-2"/>
        </w:rPr>
        <w:t>塞</w:t>
      </w:r>
      <w:r>
        <w:rPr>
          <w:spacing w:val="-10"/>
        </w:rPr>
        <w:t>病</w:t>
      </w:r>
      <w:r>
        <w:rPr/>
        <w:tab/>
        <w:t>白塞</w:t>
      </w:r>
      <w:r>
        <w:rPr/>
        <w:t>病</w:t>
      </w:r>
      <w:r>
        <w:rPr/>
        <w:t>是</w:t>
      </w:r>
      <w:r>
        <w:rPr/>
        <w:t>一</w:t>
      </w:r>
      <w:r>
        <w:rPr/>
        <w:t>种</w:t>
      </w:r>
      <w:r>
        <w:rPr/>
        <w:t>慢</w:t>
      </w:r>
      <w:r>
        <w:rPr/>
        <w:t>性</w:t>
      </w:r>
      <w:r>
        <w:rPr/>
        <w:t>全</w:t>
      </w:r>
      <w:r>
        <w:rPr/>
        <w:t>身</w:t>
      </w:r>
      <w:r>
        <w:rPr/>
        <w:t>性</w:t>
      </w:r>
      <w:r>
        <w:rPr/>
        <w:t>血</w:t>
      </w:r>
      <w:r>
        <w:rPr/>
        <w:t>管</w:t>
      </w:r>
      <w:r>
        <w:rPr/>
        <w:t>炎</w:t>
      </w:r>
      <w:r>
        <w:rPr/>
        <w:t>症</w:t>
      </w:r>
      <w:r>
        <w:rPr/>
        <w:t>性</w:t>
      </w:r>
      <w:r>
        <w:rPr/>
        <w:t>疾</w:t>
      </w:r>
      <w:r>
        <w:rPr/>
        <w:t>病</w:t>
      </w:r>
      <w:r>
        <w:rPr/>
        <w:t>，</w:t>
      </w:r>
      <w:r>
        <w:rPr/>
        <w:t>主</w:t>
      </w:r>
      <w:r>
        <w:rPr/>
        <w:t>要</w:t>
      </w:r>
      <w:r>
        <w:rPr/>
        <w:t>表</w:t>
      </w:r>
      <w:r>
        <w:rPr/>
        <w:t>现</w:t>
      </w:r>
      <w:r>
        <w:rPr/>
        <w:t>为</w:t>
      </w:r>
      <w:r>
        <w:rPr/>
        <w:t>复</w:t>
      </w:r>
      <w:r>
        <w:rPr/>
        <w:t>发</w:t>
      </w:r>
      <w:r>
        <w:rPr/>
        <w:t>性</w:t>
      </w:r>
      <w:r>
        <w:rPr/>
        <w:t>口腔</w:t>
      </w:r>
      <w:r>
        <w:rPr>
          <w:spacing w:val="-10"/>
        </w:rPr>
        <w:t>溃</w:t>
      </w:r>
    </w:p>
    <w:p>
      <w:pPr>
        <w:spacing w:after="0"/>
        <w:sectPr>
          <w:type w:val="continuous"/>
          <w:pgSz w:w="11910" w:h="16840"/>
          <w:pgMar w:header="0" w:footer="857" w:top="320" w:bottom="1040" w:left="1100" w:right="260"/>
        </w:sectPr>
      </w:pPr>
    </w:p>
    <w:p>
      <w:pPr>
        <w:pStyle w:val="BodyText"/>
        <w:spacing w:line="300" w:lineRule="auto" w:before="60"/>
        <w:ind w:left="2990" w:right="1058"/>
        <w:jc w:val="both"/>
      </w:pPr>
      <w:r>
        <w:rPr>
          <w:spacing w:val="-2"/>
        </w:rPr>
        <w:t>疡、生殖器溃疡、眼炎及皮肤损害，并可累及大血管、神经系统、消化</w:t>
      </w:r>
      <w:r>
        <w:rPr>
          <w:spacing w:val="-2"/>
        </w:rPr>
        <w:t>道、肺、肾等。累及神经系统损害的白塞病称为神经白塞病。神经白塞</w:t>
      </w:r>
      <w:r>
        <w:rPr>
          <w:spacing w:val="-2"/>
        </w:rPr>
        <w:t>病必须经专科医生明确诊断，并且已经造成永久不可逆的神经系统功能</w:t>
      </w:r>
      <w:r>
        <w:rPr>
          <w:spacing w:val="-5"/>
        </w:rPr>
        <w:t>损害。永久不可逆的神经系统损害指被保险人持续 </w:t>
      </w:r>
      <w:r>
        <w:rPr>
          <w:spacing w:val="-4"/>
        </w:rPr>
        <w:t>180</w:t>
      </w:r>
      <w:r>
        <w:rPr>
          <w:spacing w:val="-6"/>
        </w:rPr>
        <w:t> 天无法独立完成</w:t>
      </w:r>
      <w:r>
        <w:rPr>
          <w:spacing w:val="-2"/>
        </w:rPr>
        <w:t>下列基本日常生活活动之一：</w:t>
      </w:r>
    </w:p>
    <w:p>
      <w:pPr>
        <w:pStyle w:val="ListParagraph"/>
        <w:numPr>
          <w:ilvl w:val="0"/>
          <w:numId w:val="58"/>
        </w:numPr>
        <w:tabs>
          <w:tab w:pos="3520" w:val="left" w:leader="none"/>
        </w:tabs>
        <w:spacing w:line="240" w:lineRule="auto" w:before="1" w:after="0"/>
        <w:ind w:left="3519" w:right="0" w:hanging="530"/>
        <w:jc w:val="left"/>
        <w:rPr>
          <w:sz w:val="21"/>
        </w:rPr>
      </w:pPr>
      <w:r>
        <w:rPr>
          <w:spacing w:val="-3"/>
          <w:sz w:val="21"/>
        </w:rPr>
        <w:t>移动：自己从一个房间到另一个房间；</w:t>
      </w:r>
    </w:p>
    <w:p>
      <w:pPr>
        <w:pStyle w:val="ListParagraph"/>
        <w:numPr>
          <w:ilvl w:val="0"/>
          <w:numId w:val="58"/>
        </w:numPr>
        <w:tabs>
          <w:tab w:pos="3520" w:val="left" w:leader="none"/>
        </w:tabs>
        <w:spacing w:line="240" w:lineRule="auto" w:before="67" w:after="0"/>
        <w:ind w:left="3519" w:right="0" w:hanging="530"/>
        <w:jc w:val="left"/>
        <w:rPr>
          <w:sz w:val="21"/>
        </w:rPr>
      </w:pPr>
      <w:r>
        <w:rPr>
          <w:spacing w:val="-3"/>
          <w:sz w:val="21"/>
        </w:rPr>
        <w:t>进食：自己从已准备好的碗或碟中取食物放入口中。</w:t>
      </w:r>
    </w:p>
    <w:p>
      <w:pPr>
        <w:pStyle w:val="BodyText"/>
        <w:rPr>
          <w:sz w:val="20"/>
        </w:rPr>
      </w:pPr>
    </w:p>
    <w:p>
      <w:pPr>
        <w:pStyle w:val="BodyText"/>
        <w:spacing w:before="5"/>
        <w:rPr>
          <w:sz w:val="18"/>
        </w:rPr>
      </w:pPr>
    </w:p>
    <w:p>
      <w:pPr>
        <w:pStyle w:val="BodyText"/>
        <w:spacing w:line="300" w:lineRule="auto"/>
        <w:ind w:left="2990" w:right="1039" w:hanging="2766"/>
        <w:jc w:val="both"/>
      </w:pPr>
      <w:r>
        <w:rPr/>
        <w:t>（九十一）</w:t>
      </w:r>
      <w:r>
        <w:rPr>
          <w:spacing w:val="49"/>
        </w:rPr>
        <w:t>亚历山大病 亚历山大病</w:t>
      </w:r>
      <w:r>
        <w:rPr/>
        <w:t>（Alexander's Disease）是一种遗传性中枢神经系统退行</w:t>
      </w:r>
      <w:r>
        <w:rPr>
          <w:spacing w:val="-2"/>
        </w:rPr>
        <w:t>性病变，特点为脑白质营养不良性。临床表现为惊厥发作、智力下降、</w:t>
      </w:r>
      <w:r>
        <w:rPr>
          <w:spacing w:val="-2"/>
        </w:rPr>
        <w:t>球麻痹、共济失调、痉性瘫痪。亚历山大病必须经专科医生明确诊断，</w:t>
      </w:r>
      <w:r>
        <w:rPr>
          <w:spacing w:val="-2"/>
        </w:rPr>
        <w:t>并且造成永久性神经系统功能障碍。被保险人自主生活能力完全丧失，</w:t>
      </w:r>
      <w:r>
        <w:rPr>
          <w:spacing w:val="-2"/>
        </w:rPr>
        <w:t>无法独立完成六项基本日常生活活动中的三项或三项以上，日常生活必</w:t>
      </w:r>
      <w:r>
        <w:rPr>
          <w:spacing w:val="-2"/>
        </w:rPr>
        <w:t>须持续接受他人护理。</w:t>
      </w:r>
    </w:p>
    <w:p>
      <w:pPr>
        <w:spacing w:before="3"/>
        <w:ind w:left="2990" w:right="0" w:firstLine="0"/>
        <w:jc w:val="left"/>
        <w:rPr>
          <w:b/>
          <w:sz w:val="21"/>
        </w:rPr>
      </w:pPr>
      <w:r>
        <w:rPr>
          <w:b/>
          <w:spacing w:val="-3"/>
          <w:sz w:val="21"/>
        </w:rPr>
        <w:t>未明确诊断的疑似病例不在本保障范围内。</w:t>
      </w:r>
    </w:p>
    <w:p>
      <w:pPr>
        <w:pStyle w:val="BodyText"/>
        <w:rPr>
          <w:b/>
          <w:sz w:val="20"/>
        </w:rPr>
      </w:pPr>
    </w:p>
    <w:p>
      <w:pPr>
        <w:spacing w:after="0"/>
        <w:rPr>
          <w:sz w:val="20"/>
        </w:rPr>
        <w:sectPr>
          <w:pgSz w:w="11910" w:h="16840"/>
          <w:pgMar w:header="0" w:footer="857" w:top="1420" w:bottom="1180" w:left="1100" w:right="260"/>
        </w:sectPr>
      </w:pPr>
    </w:p>
    <w:p>
      <w:pPr>
        <w:pStyle w:val="BodyText"/>
        <w:spacing w:before="5"/>
        <w:rPr>
          <w:b/>
          <w:sz w:val="18"/>
        </w:rPr>
      </w:pPr>
    </w:p>
    <w:p>
      <w:pPr>
        <w:pStyle w:val="BodyText"/>
        <w:spacing w:line="297" w:lineRule="auto"/>
        <w:ind w:left="225"/>
      </w:pPr>
      <w:r>
        <w:rPr>
          <w:spacing w:val="-2"/>
        </w:rPr>
        <w:t>（九十二）严重强直性脊柱</w:t>
      </w:r>
      <w:r>
        <w:rPr>
          <w:spacing w:val="-10"/>
        </w:rPr>
        <w:t>炎</w:t>
      </w:r>
    </w:p>
    <w:p>
      <w:pPr>
        <w:spacing w:line="240" w:lineRule="auto" w:before="5"/>
        <w:rPr>
          <w:sz w:val="18"/>
        </w:rPr>
      </w:pPr>
      <w:r>
        <w:rPr/>
        <w:br w:type="column"/>
      </w:r>
      <w:r>
        <w:rPr>
          <w:sz w:val="18"/>
        </w:rPr>
      </w:r>
    </w:p>
    <w:p>
      <w:pPr>
        <w:pStyle w:val="BodyText"/>
        <w:spacing w:line="300" w:lineRule="auto"/>
        <w:ind w:left="178" w:right="1064"/>
      </w:pPr>
      <w:r>
        <w:rPr>
          <w:spacing w:val="3"/>
          <w:w w:val="100"/>
        </w:rPr>
        <w:t>强直性脊柱炎是一种慢性全身性炎性疾病，主要侵犯脊柱导致脊柱畸</w:t>
      </w:r>
      <w:r>
        <w:rPr>
          <w:spacing w:val="-3"/>
          <w:w w:val="100"/>
        </w:rPr>
        <w:t>形。强直性脊柱炎必须经专科医生明确诊断并且满足下列所有条件：</w:t>
      </w:r>
    </w:p>
    <w:p>
      <w:pPr>
        <w:pStyle w:val="ListParagraph"/>
        <w:numPr>
          <w:ilvl w:val="0"/>
          <w:numId w:val="59"/>
        </w:numPr>
        <w:tabs>
          <w:tab w:pos="708" w:val="left" w:leader="none"/>
        </w:tabs>
        <w:spacing w:line="240" w:lineRule="auto" w:before="2" w:after="0"/>
        <w:ind w:left="707" w:right="0" w:hanging="530"/>
        <w:jc w:val="left"/>
        <w:rPr>
          <w:sz w:val="21"/>
        </w:rPr>
      </w:pPr>
      <w:r>
        <w:rPr>
          <w:spacing w:val="-4"/>
          <w:sz w:val="21"/>
        </w:rPr>
        <w:t>严重脊柱畸形；</w:t>
      </w:r>
    </w:p>
    <w:p>
      <w:pPr>
        <w:pStyle w:val="ListParagraph"/>
        <w:numPr>
          <w:ilvl w:val="0"/>
          <w:numId w:val="59"/>
        </w:numPr>
        <w:tabs>
          <w:tab w:pos="708" w:val="left" w:leader="none"/>
        </w:tabs>
        <w:spacing w:line="300" w:lineRule="auto" w:before="67" w:after="0"/>
        <w:ind w:left="178" w:right="1061" w:firstLine="0"/>
        <w:jc w:val="left"/>
        <w:rPr>
          <w:sz w:val="21"/>
        </w:rPr>
      </w:pPr>
      <w:r>
        <w:rPr>
          <w:spacing w:val="-2"/>
          <w:sz w:val="21"/>
        </w:rPr>
        <w:t>自主生活能力完全丧失且持续至少 </w:t>
      </w:r>
      <w:r>
        <w:rPr>
          <w:sz w:val="21"/>
        </w:rPr>
        <w:t>180</w:t>
      </w:r>
      <w:r>
        <w:rPr>
          <w:spacing w:val="-5"/>
          <w:sz w:val="21"/>
        </w:rPr>
        <w:t> 天，无法独立完成六项基</w:t>
      </w:r>
      <w:r>
        <w:rPr>
          <w:spacing w:val="-2"/>
          <w:sz w:val="21"/>
        </w:rPr>
        <w:t>本日常生活活动中的三项或三项以上。</w:t>
      </w:r>
    </w:p>
    <w:p>
      <w:pPr>
        <w:spacing w:after="0" w:line="300"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7"/>
        <w:rPr>
          <w:sz w:val="27"/>
        </w:rPr>
      </w:pPr>
    </w:p>
    <w:p>
      <w:pPr>
        <w:pStyle w:val="BodyText"/>
        <w:tabs>
          <w:tab w:pos="2990" w:val="left" w:leader="none"/>
        </w:tabs>
        <w:spacing w:line="300" w:lineRule="auto" w:before="72"/>
        <w:ind w:left="2990" w:right="1058" w:hanging="2766"/>
      </w:pPr>
      <w:r>
        <w:rPr>
          <w:spacing w:val="-2"/>
        </w:rPr>
        <w:t>（</w:t>
      </w:r>
      <w:r>
        <w:rPr>
          <w:spacing w:val="-2"/>
        </w:rPr>
        <w:t>九</w:t>
      </w:r>
      <w:r>
        <w:rPr>
          <w:spacing w:val="-2"/>
        </w:rPr>
        <w:t>十三）狂犬病</w:t>
      </w:r>
      <w:r>
        <w:rPr/>
        <w:tab/>
      </w:r>
      <w:r>
        <w:rPr>
          <w:spacing w:val="-2"/>
        </w:rPr>
        <w:t>指</w:t>
      </w:r>
      <w:r>
        <w:rPr>
          <w:spacing w:val="-2"/>
        </w:rPr>
        <w:t>狂</w:t>
      </w:r>
      <w:r>
        <w:rPr>
          <w:spacing w:val="-2"/>
        </w:rPr>
        <w:t>犬病毒所致的急性传</w:t>
      </w:r>
      <w:r>
        <w:rPr>
          <w:spacing w:val="-2"/>
        </w:rPr>
        <w:t>染</w:t>
      </w:r>
      <w:r>
        <w:rPr>
          <w:spacing w:val="-2"/>
        </w:rPr>
        <w:t>病</w:t>
      </w:r>
      <w:r>
        <w:rPr>
          <w:spacing w:val="-2"/>
        </w:rPr>
        <w:t>。临床表现为特有的</w:t>
      </w:r>
      <w:r>
        <w:rPr>
          <w:spacing w:val="-2"/>
        </w:rPr>
        <w:t>恐</w:t>
      </w:r>
      <w:r>
        <w:rPr>
          <w:spacing w:val="-2"/>
        </w:rPr>
        <w:t>水</w:t>
      </w:r>
      <w:r>
        <w:rPr>
          <w:spacing w:val="-2"/>
        </w:rPr>
        <w:t>、怕风、咽肌</w:t>
      </w:r>
      <w:r>
        <w:rPr>
          <w:spacing w:val="-2"/>
        </w:rPr>
        <w:t>痉</w:t>
      </w:r>
      <w:r>
        <w:rPr>
          <w:spacing w:val="-2"/>
        </w:rPr>
        <w:t>挛</w:t>
      </w:r>
      <w:r>
        <w:rPr>
          <w:spacing w:val="-2"/>
        </w:rPr>
        <w:t>、</w:t>
      </w:r>
      <w:r>
        <w:rPr>
          <w:spacing w:val="-2"/>
        </w:rPr>
        <w:t>进行性瘫痪等。须经</w:t>
      </w:r>
      <w:r>
        <w:rPr>
          <w:spacing w:val="-2"/>
        </w:rPr>
        <w:t>专</w:t>
      </w:r>
      <w:r>
        <w:rPr>
          <w:spacing w:val="-2"/>
        </w:rPr>
        <w:t>科</w:t>
      </w:r>
      <w:r>
        <w:rPr>
          <w:spacing w:val="-2"/>
        </w:rPr>
        <w:t>医生明确诊</w:t>
      </w:r>
      <w:r>
        <w:rPr>
          <w:spacing w:val="-2"/>
        </w:rPr>
        <w:t>断</w:t>
      </w:r>
      <w:r>
        <w:rPr>
          <w:spacing w:val="-2"/>
        </w:rPr>
        <w:t>。</w:t>
      </w:r>
    </w:p>
    <w:p>
      <w:pPr>
        <w:pStyle w:val="BodyText"/>
        <w:spacing w:before="6"/>
        <w:rPr>
          <w:sz w:val="27"/>
        </w:rPr>
      </w:pPr>
    </w:p>
    <w:p>
      <w:pPr>
        <w:spacing w:after="0"/>
        <w:rPr>
          <w:sz w:val="27"/>
        </w:rPr>
        <w:sectPr>
          <w:type w:val="continuous"/>
          <w:pgSz w:w="11910" w:h="16840"/>
          <w:pgMar w:header="0" w:footer="857" w:top="320" w:bottom="1040" w:left="1100" w:right="260"/>
        </w:sectPr>
      </w:pPr>
    </w:p>
    <w:p>
      <w:pPr>
        <w:pStyle w:val="BodyText"/>
        <w:spacing w:line="300" w:lineRule="auto" w:before="72"/>
        <w:ind w:left="225"/>
      </w:pPr>
      <w:r>
        <w:rPr>
          <w:spacing w:val="-2"/>
        </w:rPr>
        <w:t>（九十四）肾上腺脑白质营</w:t>
      </w:r>
      <w:r>
        <w:rPr>
          <w:spacing w:val="-4"/>
        </w:rPr>
        <w:t>养不良</w:t>
      </w:r>
    </w:p>
    <w:p>
      <w:pPr>
        <w:pStyle w:val="BodyText"/>
        <w:spacing w:line="300" w:lineRule="auto" w:before="72"/>
        <w:ind w:left="178" w:right="1044"/>
        <w:jc w:val="both"/>
      </w:pPr>
      <w:r>
        <w:rPr/>
        <w:br w:type="column"/>
      </w:r>
      <w:r>
        <w:rPr>
          <w:spacing w:val="-2"/>
        </w:rPr>
        <w:t>指一种最常见的过氧化物酶体病，主要累及肾上腺和脑白质，主要表现</w:t>
      </w:r>
      <w:r>
        <w:rPr>
          <w:spacing w:val="-2"/>
        </w:rPr>
        <w:t>为进行性的精神运动障碍，视力及听力下降和（或）肾上腺皮质功能低</w:t>
      </w:r>
      <w:r>
        <w:rPr>
          <w:spacing w:val="-2"/>
        </w:rPr>
        <w:t>下等。须经专科医生诊断，且已经造成自主生活能力完全丧失，无法独</w:t>
      </w:r>
      <w:r>
        <w:rPr>
          <w:spacing w:val="-4"/>
        </w:rPr>
        <w:t>立完成六项基本日常生活活动中的三项或三项以上，持续至少 </w:t>
      </w:r>
      <w:r>
        <w:rPr>
          <w:spacing w:val="-2"/>
        </w:rPr>
        <w:t>180</w:t>
      </w:r>
      <w:r>
        <w:rPr>
          <w:spacing w:val="-20"/>
        </w:rPr>
        <w:t> 天。</w:t>
      </w:r>
    </w:p>
    <w:p>
      <w:pPr>
        <w:spacing w:before="4"/>
        <w:ind w:left="178" w:right="0" w:firstLine="0"/>
        <w:jc w:val="both"/>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70"/>
          <w:sz w:val="21"/>
        </w:rPr>
        <w:t> </w:t>
      </w:r>
      <w:r>
        <w:rPr>
          <w:b/>
          <w:w w:val="95"/>
          <w:sz w:val="21"/>
        </w:rPr>
        <w:t>3</w:t>
      </w:r>
      <w:r>
        <w:rPr>
          <w:b/>
          <w:spacing w:val="70"/>
          <w:sz w:val="21"/>
        </w:rPr>
        <w:t> </w:t>
      </w:r>
      <w:r>
        <w:rPr>
          <w:b/>
          <w:w w:val="95"/>
          <w:sz w:val="21"/>
        </w:rPr>
        <w:t>周</w:t>
      </w:r>
      <w:r>
        <w:rPr>
          <w:b/>
          <w:w w:val="95"/>
          <w:sz w:val="21"/>
        </w:rPr>
        <w:t>岁</w:t>
      </w:r>
      <w:r>
        <w:rPr>
          <w:b/>
          <w:w w:val="95"/>
          <w:sz w:val="21"/>
        </w:rPr>
        <w:t>之</w:t>
      </w:r>
      <w:r>
        <w:rPr>
          <w:b/>
          <w:w w:val="95"/>
          <w:sz w:val="21"/>
        </w:rPr>
        <w:t>前</w:t>
      </w:r>
      <w:r>
        <w:rPr>
          <w:b/>
          <w:w w:val="95"/>
          <w:sz w:val="21"/>
        </w:rPr>
        <w:t>罹</w:t>
      </w:r>
      <w:r>
        <w:rPr>
          <w:b/>
          <w:w w:val="95"/>
          <w:sz w:val="21"/>
        </w:rPr>
        <w:t>患</w:t>
      </w:r>
      <w:r>
        <w:rPr>
          <w:b/>
          <w:w w:val="95"/>
          <w:sz w:val="21"/>
        </w:rPr>
        <w:t>该</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不</w:t>
      </w:r>
      <w:r>
        <w:rPr>
          <w:b/>
          <w:w w:val="95"/>
          <w:sz w:val="21"/>
        </w:rPr>
        <w:t>承担保</w:t>
      </w:r>
      <w:r>
        <w:rPr>
          <w:b/>
          <w:w w:val="95"/>
          <w:sz w:val="21"/>
        </w:rPr>
        <w:t>险</w:t>
      </w:r>
      <w:r>
        <w:rPr>
          <w:b/>
          <w:w w:val="95"/>
          <w:sz w:val="21"/>
        </w:rPr>
        <w:t>责</w:t>
      </w:r>
      <w:r>
        <w:rPr>
          <w:b/>
          <w:w w:val="95"/>
          <w:sz w:val="21"/>
        </w:rPr>
        <w:t>任</w:t>
      </w:r>
      <w:r>
        <w:rPr>
          <w:b/>
          <w:spacing w:val="-10"/>
          <w:w w:val="95"/>
          <w:sz w:val="21"/>
        </w:rPr>
        <w:t>。</w:t>
      </w:r>
    </w:p>
    <w:p>
      <w:pPr>
        <w:spacing w:after="0"/>
        <w:jc w:val="both"/>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5"/>
        <w:rPr>
          <w:b/>
          <w:sz w:val="18"/>
        </w:rPr>
      </w:pPr>
    </w:p>
    <w:p>
      <w:pPr>
        <w:pStyle w:val="BodyText"/>
        <w:spacing w:line="297" w:lineRule="auto"/>
        <w:ind w:left="225"/>
      </w:pPr>
      <w:r>
        <w:rPr>
          <w:spacing w:val="-2"/>
        </w:rPr>
        <w:t>（九十五）异染性脑白质营</w:t>
      </w:r>
      <w:r>
        <w:rPr>
          <w:spacing w:val="-4"/>
        </w:rPr>
        <w:t>养不良</w:t>
      </w:r>
    </w:p>
    <w:p>
      <w:pPr>
        <w:spacing w:line="240" w:lineRule="auto" w:before="5"/>
        <w:rPr>
          <w:sz w:val="18"/>
        </w:rPr>
      </w:pPr>
      <w:r>
        <w:rPr/>
        <w:br w:type="column"/>
      </w:r>
      <w:r>
        <w:rPr>
          <w:sz w:val="18"/>
        </w:rPr>
      </w:r>
    </w:p>
    <w:p>
      <w:pPr>
        <w:pStyle w:val="BodyText"/>
        <w:spacing w:line="300" w:lineRule="auto"/>
        <w:ind w:left="178" w:right="1039"/>
        <w:jc w:val="both"/>
      </w:pPr>
      <w:r>
        <w:rPr>
          <w:spacing w:val="-2"/>
        </w:rPr>
        <w:t>指一种最常见的一种严重的神经退化性代谢病，是最常见的溶酶体病，</w:t>
      </w:r>
      <w:r>
        <w:rPr>
          <w:spacing w:val="-2"/>
        </w:rPr>
        <w:t>主要表现为行走困难、智力低下、废用性肌萎缩、四肢痉挛性瘫痪、视</w:t>
      </w:r>
      <w:r>
        <w:rPr>
          <w:spacing w:val="-2"/>
        </w:rPr>
        <w:t>神经萎缩、失语等。须经专科医生诊断，且已经造成自主生活能力完全</w:t>
      </w:r>
      <w:r>
        <w:rPr>
          <w:spacing w:val="-2"/>
        </w:rPr>
        <w:t>丧失，无法独立完成六项基本日常生活活动中的三项或三项以上，持续</w:t>
      </w:r>
      <w:r>
        <w:rPr>
          <w:spacing w:val="-8"/>
        </w:rPr>
        <w:t>至少 </w:t>
      </w:r>
      <w:r>
        <w:rPr/>
        <w:t>180</w:t>
      </w:r>
      <w:r>
        <w:rPr>
          <w:spacing w:val="-8"/>
        </w:rPr>
        <w:t> 天。</w:t>
      </w:r>
    </w:p>
    <w:p>
      <w:pPr>
        <w:spacing w:before="1"/>
        <w:ind w:left="178" w:right="0" w:firstLine="0"/>
        <w:jc w:val="both"/>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spacing w:val="70"/>
          <w:sz w:val="21"/>
        </w:rPr>
        <w:t> </w:t>
      </w:r>
      <w:r>
        <w:rPr>
          <w:b/>
          <w:w w:val="95"/>
          <w:sz w:val="21"/>
        </w:rPr>
        <w:t>3</w:t>
      </w:r>
      <w:r>
        <w:rPr>
          <w:b/>
          <w:spacing w:val="70"/>
          <w:sz w:val="21"/>
        </w:rPr>
        <w:t> </w:t>
      </w:r>
      <w:r>
        <w:rPr>
          <w:b/>
          <w:w w:val="95"/>
          <w:sz w:val="21"/>
        </w:rPr>
        <w:t>周</w:t>
      </w:r>
      <w:r>
        <w:rPr>
          <w:b/>
          <w:w w:val="95"/>
          <w:sz w:val="21"/>
        </w:rPr>
        <w:t>岁</w:t>
      </w:r>
      <w:r>
        <w:rPr>
          <w:b/>
          <w:w w:val="95"/>
          <w:sz w:val="21"/>
        </w:rPr>
        <w:t>之</w:t>
      </w:r>
      <w:r>
        <w:rPr>
          <w:b/>
          <w:w w:val="95"/>
          <w:sz w:val="21"/>
        </w:rPr>
        <w:t>前</w:t>
      </w:r>
      <w:r>
        <w:rPr>
          <w:b/>
          <w:w w:val="95"/>
          <w:sz w:val="21"/>
        </w:rPr>
        <w:t>罹</w:t>
      </w:r>
      <w:r>
        <w:rPr>
          <w:b/>
          <w:w w:val="95"/>
          <w:sz w:val="21"/>
        </w:rPr>
        <w:t>患</w:t>
      </w:r>
      <w:r>
        <w:rPr>
          <w:b/>
          <w:w w:val="95"/>
          <w:sz w:val="21"/>
        </w:rPr>
        <w:t>该</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不</w:t>
      </w:r>
      <w:r>
        <w:rPr>
          <w:b/>
          <w:w w:val="95"/>
          <w:sz w:val="21"/>
        </w:rPr>
        <w:t>承担保</w:t>
      </w:r>
      <w:r>
        <w:rPr>
          <w:b/>
          <w:w w:val="95"/>
          <w:sz w:val="21"/>
        </w:rPr>
        <w:t>险</w:t>
      </w:r>
      <w:r>
        <w:rPr>
          <w:b/>
          <w:w w:val="95"/>
          <w:sz w:val="21"/>
        </w:rPr>
        <w:t>责</w:t>
      </w:r>
      <w:r>
        <w:rPr>
          <w:b/>
          <w:w w:val="95"/>
          <w:sz w:val="21"/>
        </w:rPr>
        <w:t>任</w:t>
      </w:r>
      <w:r>
        <w:rPr>
          <w:b/>
          <w:spacing w:val="-10"/>
          <w:w w:val="95"/>
          <w:sz w:val="21"/>
        </w:rPr>
        <w:t>。</w:t>
      </w:r>
    </w:p>
    <w:p>
      <w:pPr>
        <w:spacing w:after="0"/>
        <w:jc w:val="both"/>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pStyle w:val="BodyText"/>
        <w:spacing w:before="5"/>
        <w:rPr>
          <w:b/>
          <w:sz w:val="18"/>
        </w:rPr>
      </w:pPr>
    </w:p>
    <w:p>
      <w:pPr>
        <w:pStyle w:val="BodyText"/>
        <w:ind w:left="225"/>
      </w:pPr>
      <w:r>
        <w:rPr/>
        <w:t>（九十六）</w:t>
      </w:r>
      <w:r>
        <w:rPr>
          <w:spacing w:val="-1"/>
        </w:rPr>
        <w:t>溶血性尿毒综合 一种由于感染导致的急性综合征，引起红细胞溶血，肾功能衰竭及尿毒</w:t>
      </w:r>
    </w:p>
    <w:p>
      <w:pPr>
        <w:spacing w:after="0"/>
        <w:sectPr>
          <w:type w:val="continuous"/>
          <w:pgSz w:w="11910" w:h="16840"/>
          <w:pgMar w:header="0" w:footer="857" w:top="320" w:bottom="1040" w:left="1100" w:right="260"/>
        </w:sectPr>
      </w:pPr>
    </w:p>
    <w:p>
      <w:pPr>
        <w:pStyle w:val="BodyText"/>
        <w:tabs>
          <w:tab w:pos="2990" w:val="left" w:leader="none"/>
        </w:tabs>
        <w:spacing w:line="300" w:lineRule="auto" w:before="60"/>
        <w:ind w:left="2990" w:right="1062" w:hanging="2766"/>
      </w:pPr>
      <w:r>
        <w:rPr>
          <w:spacing w:val="-10"/>
        </w:rPr>
        <w:t>征</w:t>
      </w:r>
      <w:r>
        <w:rPr/>
        <w:tab/>
      </w:r>
      <w:r>
        <w:rPr>
          <w:spacing w:val="-2"/>
        </w:rPr>
        <w:t>症。溶血性尿毒综合</w:t>
      </w:r>
      <w:r>
        <w:rPr>
          <w:spacing w:val="-2"/>
        </w:rPr>
        <w:t>征</w:t>
      </w:r>
      <w:r>
        <w:rPr>
          <w:spacing w:val="-2"/>
        </w:rPr>
        <w:t>必</w:t>
      </w:r>
      <w:r>
        <w:rPr>
          <w:spacing w:val="-2"/>
        </w:rPr>
        <w:t>须</w:t>
      </w:r>
      <w:r>
        <w:rPr>
          <w:spacing w:val="-2"/>
        </w:rPr>
        <w:t>由</w:t>
      </w:r>
      <w:r>
        <w:rPr>
          <w:spacing w:val="-2"/>
        </w:rPr>
        <w:t>血液和肾脏专科医生诊断，并且符合所</w:t>
      </w:r>
      <w:r>
        <w:rPr>
          <w:spacing w:val="-2"/>
        </w:rPr>
        <w:t>有</w:t>
      </w:r>
      <w:r>
        <w:rPr>
          <w:spacing w:val="-4"/>
        </w:rPr>
        <w:t>以</w:t>
      </w:r>
      <w:r>
        <w:rPr>
          <w:spacing w:val="-4"/>
        </w:rPr>
        <w:t>下</w:t>
      </w:r>
      <w:r>
        <w:rPr>
          <w:spacing w:val="-4"/>
        </w:rPr>
        <w:t>条</w:t>
      </w:r>
      <w:r>
        <w:rPr>
          <w:spacing w:val="-4"/>
        </w:rPr>
        <w:t>件</w:t>
      </w:r>
      <w:r>
        <w:rPr>
          <w:spacing w:val="-4"/>
        </w:rPr>
        <w:t>：</w:t>
      </w:r>
    </w:p>
    <w:p>
      <w:pPr>
        <w:pStyle w:val="ListParagraph"/>
        <w:numPr>
          <w:ilvl w:val="1"/>
          <w:numId w:val="59"/>
        </w:numPr>
        <w:tabs>
          <w:tab w:pos="3526" w:val="left" w:leader="none"/>
        </w:tabs>
        <w:spacing w:line="300" w:lineRule="auto" w:before="0" w:after="0"/>
        <w:ind w:left="2990" w:right="1065" w:firstLine="0"/>
        <w:jc w:val="left"/>
        <w:rPr>
          <w:sz w:val="21"/>
        </w:rPr>
      </w:pPr>
      <w:r>
        <w:rPr>
          <w:spacing w:val="-2"/>
          <w:sz w:val="21"/>
        </w:rPr>
        <w:t>实验室检查确认有溶血性贫血、血尿、尿毒症、血小板减少性紫</w:t>
      </w:r>
      <w:r>
        <w:rPr>
          <w:spacing w:val="-6"/>
          <w:sz w:val="21"/>
        </w:rPr>
        <w:t>癜；</w:t>
      </w:r>
    </w:p>
    <w:p>
      <w:pPr>
        <w:pStyle w:val="ListParagraph"/>
        <w:numPr>
          <w:ilvl w:val="1"/>
          <w:numId w:val="59"/>
        </w:numPr>
        <w:tabs>
          <w:tab w:pos="3520" w:val="left" w:leader="none"/>
        </w:tabs>
        <w:spacing w:line="240" w:lineRule="auto" w:before="2" w:after="0"/>
        <w:ind w:left="3519" w:right="0" w:hanging="530"/>
        <w:jc w:val="left"/>
        <w:rPr>
          <w:sz w:val="21"/>
        </w:rPr>
      </w:pPr>
      <w:r>
        <w:rPr>
          <w:spacing w:val="-3"/>
          <w:sz w:val="21"/>
        </w:rPr>
        <w:t>因肾脏功能衰竭实施了肾脏透析治疗。</w:t>
      </w:r>
    </w:p>
    <w:p>
      <w:pPr>
        <w:spacing w:line="300" w:lineRule="auto" w:before="67"/>
        <w:ind w:left="2990" w:right="1060" w:firstLine="0"/>
        <w:jc w:val="both"/>
        <w:rPr>
          <w:b/>
          <w:sz w:val="21"/>
        </w:rPr>
      </w:pPr>
      <w:r>
        <w:rPr>
          <w:b/>
          <w:spacing w:val="-2"/>
          <w:sz w:val="21"/>
        </w:rPr>
        <w:t>任何非因感染导致的溶血性贫血，如：自身免疫性溶血性贫血、与红细</w:t>
      </w:r>
      <w:r>
        <w:rPr>
          <w:b/>
          <w:spacing w:val="-2"/>
          <w:sz w:val="21"/>
        </w:rPr>
        <w:t>胞末缺陷有关的溶血性贫血、红细胞酶病、血红蛋白病等，不在本保障</w:t>
      </w:r>
      <w:r>
        <w:rPr>
          <w:b/>
          <w:spacing w:val="-4"/>
          <w:sz w:val="21"/>
        </w:rPr>
        <w:t>范围内。</w:t>
      </w:r>
    </w:p>
    <w:p>
      <w:pPr>
        <w:pStyle w:val="BodyText"/>
        <w:rPr>
          <w:b/>
          <w:sz w:val="20"/>
        </w:rPr>
      </w:pPr>
    </w:p>
    <w:p>
      <w:pPr>
        <w:pStyle w:val="BodyText"/>
        <w:tabs>
          <w:tab w:pos="2990" w:val="left" w:leader="none"/>
        </w:tabs>
        <w:spacing w:line="300" w:lineRule="auto" w:before="169"/>
        <w:ind w:left="2990" w:right="1060" w:hanging="2766"/>
      </w:pPr>
      <w:r>
        <w:rPr>
          <w:spacing w:val="-2"/>
        </w:rPr>
        <w:t>（</w:t>
      </w:r>
      <w:r>
        <w:rPr>
          <w:spacing w:val="-2"/>
        </w:rPr>
        <w:t>九</w:t>
      </w:r>
      <w:r>
        <w:rPr>
          <w:spacing w:val="-2"/>
        </w:rPr>
        <w:t>十七）严重气性</w:t>
      </w:r>
      <w:r>
        <w:rPr>
          <w:spacing w:val="-2"/>
        </w:rPr>
        <w:t>坏</w:t>
      </w:r>
      <w:r>
        <w:rPr>
          <w:spacing w:val="-2"/>
        </w:rPr>
        <w:t>疽</w:t>
      </w:r>
      <w:r>
        <w:rPr/>
        <w:tab/>
      </w:r>
      <w:r>
        <w:rPr>
          <w:spacing w:val="-2"/>
        </w:rPr>
        <w:t>指</w:t>
      </w:r>
      <w:r>
        <w:rPr>
          <w:spacing w:val="-2"/>
        </w:rPr>
        <w:t>由</w:t>
      </w:r>
      <w:r>
        <w:rPr>
          <w:spacing w:val="-2"/>
        </w:rPr>
        <w:t>梭状芽胞杆菌所致的</w:t>
      </w:r>
      <w:r>
        <w:rPr>
          <w:spacing w:val="-2"/>
        </w:rPr>
        <w:t>肌</w:t>
      </w:r>
      <w:r>
        <w:rPr>
          <w:spacing w:val="-2"/>
        </w:rPr>
        <w:t>坏</w:t>
      </w:r>
      <w:r>
        <w:rPr>
          <w:spacing w:val="-2"/>
        </w:rPr>
        <w:t>死或</w:t>
      </w:r>
      <w:r>
        <w:rPr>
          <w:spacing w:val="-2"/>
        </w:rPr>
        <w:t>肌</w:t>
      </w:r>
      <w:r>
        <w:rPr>
          <w:spacing w:val="-2"/>
        </w:rPr>
        <w:t>炎</w:t>
      </w:r>
      <w:r>
        <w:rPr>
          <w:spacing w:val="-2"/>
        </w:rPr>
        <w:t>。须经</w:t>
      </w:r>
      <w:r>
        <w:rPr>
          <w:spacing w:val="-2"/>
        </w:rPr>
        <w:t>专</w:t>
      </w:r>
      <w:r>
        <w:rPr>
          <w:spacing w:val="-2"/>
        </w:rPr>
        <w:t>科</w:t>
      </w:r>
      <w:r>
        <w:rPr>
          <w:spacing w:val="-2"/>
        </w:rPr>
        <w:t>医</w:t>
      </w:r>
      <w:r>
        <w:rPr>
          <w:spacing w:val="-2"/>
        </w:rPr>
        <w:t>生</w:t>
      </w:r>
      <w:r>
        <w:rPr>
          <w:spacing w:val="-2"/>
        </w:rPr>
        <w:t>明确</w:t>
      </w:r>
      <w:r>
        <w:rPr>
          <w:spacing w:val="-2"/>
        </w:rPr>
        <w:t>诊</w:t>
      </w:r>
      <w:r>
        <w:rPr>
          <w:spacing w:val="-2"/>
        </w:rPr>
        <w:t>断</w:t>
      </w:r>
      <w:r>
        <w:rPr>
          <w:spacing w:val="-2"/>
        </w:rPr>
        <w:t>，且</w:t>
      </w:r>
      <w:r>
        <w:rPr>
          <w:spacing w:val="-2"/>
        </w:rPr>
        <w:t>须</w:t>
      </w:r>
      <w:r>
        <w:rPr>
          <w:spacing w:val="-2"/>
        </w:rPr>
        <w:t>同</w:t>
      </w:r>
      <w:r>
        <w:rPr>
          <w:spacing w:val="-2"/>
        </w:rPr>
        <w:t>时</w:t>
      </w:r>
      <w:r>
        <w:rPr>
          <w:spacing w:val="-2"/>
        </w:rPr>
        <w:t>符合下列要</w:t>
      </w:r>
      <w:r>
        <w:rPr>
          <w:spacing w:val="-2"/>
        </w:rPr>
        <w:t>求</w:t>
      </w:r>
      <w:r>
        <w:rPr>
          <w:spacing w:val="-2"/>
        </w:rPr>
        <w:t>：</w:t>
      </w:r>
    </w:p>
    <w:p>
      <w:pPr>
        <w:pStyle w:val="ListParagraph"/>
        <w:numPr>
          <w:ilvl w:val="2"/>
          <w:numId w:val="59"/>
        </w:numPr>
        <w:tabs>
          <w:tab w:pos="3626" w:val="left" w:leader="none"/>
        </w:tabs>
        <w:spacing w:line="240" w:lineRule="auto" w:before="0" w:after="0"/>
        <w:ind w:left="3625" w:right="0" w:hanging="530"/>
        <w:jc w:val="left"/>
        <w:rPr>
          <w:sz w:val="21"/>
        </w:rPr>
      </w:pPr>
      <w:r>
        <w:rPr>
          <w:spacing w:val="-3"/>
          <w:sz w:val="21"/>
        </w:rPr>
        <w:t>符合气性坏疽的一般临床表现；</w:t>
      </w:r>
    </w:p>
    <w:p>
      <w:pPr>
        <w:pStyle w:val="ListParagraph"/>
        <w:numPr>
          <w:ilvl w:val="2"/>
          <w:numId w:val="59"/>
        </w:numPr>
        <w:tabs>
          <w:tab w:pos="3626" w:val="left" w:leader="none"/>
        </w:tabs>
        <w:spacing w:line="240" w:lineRule="auto" w:before="67" w:after="0"/>
        <w:ind w:left="3625" w:right="0" w:hanging="530"/>
        <w:jc w:val="left"/>
        <w:rPr>
          <w:sz w:val="21"/>
        </w:rPr>
      </w:pPr>
      <w:r>
        <w:rPr>
          <w:spacing w:val="-3"/>
          <w:sz w:val="21"/>
        </w:rPr>
        <w:t>细菌培养检出致病菌；</w:t>
      </w:r>
    </w:p>
    <w:p>
      <w:pPr>
        <w:pStyle w:val="ListParagraph"/>
        <w:numPr>
          <w:ilvl w:val="2"/>
          <w:numId w:val="59"/>
        </w:numPr>
        <w:tabs>
          <w:tab w:pos="3623" w:val="left" w:leader="none"/>
        </w:tabs>
        <w:spacing w:line="300" w:lineRule="auto" w:before="70" w:after="0"/>
        <w:ind w:left="2990" w:right="1060" w:firstLine="105"/>
        <w:jc w:val="left"/>
        <w:rPr>
          <w:sz w:val="21"/>
        </w:rPr>
      </w:pPr>
      <w:r>
        <w:rPr>
          <w:spacing w:val="-2"/>
          <w:sz w:val="21"/>
        </w:rPr>
        <w:t>出现广泛性肌肉及组织坏死，并确实实施了坏死组织和筋膜以及</w:t>
      </w:r>
      <w:r>
        <w:rPr>
          <w:spacing w:val="-2"/>
          <w:sz w:val="21"/>
        </w:rPr>
        <w:t>肌肉的切除手术。</w:t>
      </w:r>
    </w:p>
    <w:p>
      <w:pPr>
        <w:spacing w:line="268" w:lineRule="exact" w:before="0"/>
        <w:ind w:left="2990" w:right="0" w:firstLine="0"/>
        <w:jc w:val="left"/>
        <w:rPr>
          <w:b/>
          <w:sz w:val="21"/>
        </w:rPr>
      </w:pPr>
      <w:r>
        <w:rPr>
          <w:b/>
          <w:spacing w:val="-3"/>
          <w:sz w:val="21"/>
        </w:rPr>
        <w:t>清创术不在本保障范围内。</w:t>
      </w:r>
    </w:p>
    <w:p>
      <w:pPr>
        <w:pStyle w:val="BodyText"/>
        <w:rPr>
          <w:b/>
          <w:sz w:val="20"/>
        </w:rPr>
      </w:pPr>
    </w:p>
    <w:p>
      <w:pPr>
        <w:spacing w:after="0"/>
        <w:rPr>
          <w:sz w:val="20"/>
        </w:rPr>
        <w:sectPr>
          <w:pgSz w:w="11910" w:h="16840"/>
          <w:pgMar w:header="0" w:footer="857" w:top="1420" w:bottom="1180" w:left="1100" w:right="260"/>
        </w:sectPr>
      </w:pPr>
    </w:p>
    <w:p>
      <w:pPr>
        <w:pStyle w:val="BodyText"/>
        <w:spacing w:before="4"/>
        <w:rPr>
          <w:b/>
          <w:sz w:val="18"/>
        </w:rPr>
      </w:pPr>
    </w:p>
    <w:p>
      <w:pPr>
        <w:pStyle w:val="BodyText"/>
        <w:spacing w:line="300" w:lineRule="auto" w:before="1"/>
        <w:ind w:left="225"/>
      </w:pPr>
      <w:r>
        <w:rPr>
          <w:spacing w:val="-2"/>
        </w:rPr>
        <w:t>（九十八）弥漫性血管内凝</w:t>
      </w:r>
      <w:r>
        <w:rPr>
          <w:spacing w:val="-10"/>
        </w:rPr>
        <w:t>血</w:t>
      </w:r>
    </w:p>
    <w:p>
      <w:pPr>
        <w:spacing w:line="240" w:lineRule="auto" w:before="4"/>
        <w:rPr>
          <w:sz w:val="18"/>
        </w:rPr>
      </w:pPr>
      <w:r>
        <w:rPr/>
        <w:br w:type="column"/>
      </w:r>
      <w:r>
        <w:rPr>
          <w:sz w:val="18"/>
        </w:rPr>
      </w:r>
    </w:p>
    <w:p>
      <w:pPr>
        <w:pStyle w:val="BodyText"/>
        <w:spacing w:line="300" w:lineRule="auto" w:before="1"/>
        <w:ind w:left="178" w:right="1060"/>
        <w:jc w:val="both"/>
      </w:pPr>
      <w:r>
        <w:rPr>
          <w:spacing w:val="-2"/>
        </w:rPr>
        <w:t>指以出血、休克及器官功能衰竭为主要临床症状的综合征。该病是由广</w:t>
      </w:r>
      <w:r>
        <w:rPr>
          <w:spacing w:val="-2"/>
        </w:rPr>
        <w:t>泛微血管血栓形成，导致微循环障碍、凝血因子消耗及继发性纤维蛋白</w:t>
      </w:r>
      <w:r>
        <w:rPr>
          <w:spacing w:val="-2"/>
        </w:rPr>
        <w:t>溶解而引起的。临床上至少具有如下两项表现：</w:t>
      </w:r>
    </w:p>
    <w:p>
      <w:pPr>
        <w:pStyle w:val="ListParagraph"/>
        <w:numPr>
          <w:ilvl w:val="0"/>
          <w:numId w:val="60"/>
        </w:numPr>
        <w:tabs>
          <w:tab w:pos="708" w:val="left" w:leader="none"/>
        </w:tabs>
        <w:spacing w:line="240" w:lineRule="auto" w:before="1" w:after="0"/>
        <w:ind w:left="707" w:right="0" w:hanging="530"/>
        <w:jc w:val="left"/>
        <w:rPr>
          <w:sz w:val="21"/>
        </w:rPr>
      </w:pPr>
      <w:r>
        <w:rPr>
          <w:spacing w:val="-4"/>
          <w:sz w:val="21"/>
        </w:rPr>
        <w:t>严重出血；</w:t>
      </w:r>
    </w:p>
    <w:p>
      <w:pPr>
        <w:pStyle w:val="ListParagraph"/>
        <w:numPr>
          <w:ilvl w:val="0"/>
          <w:numId w:val="60"/>
        </w:numPr>
        <w:tabs>
          <w:tab w:pos="708" w:val="left" w:leader="none"/>
        </w:tabs>
        <w:spacing w:line="240" w:lineRule="auto" w:before="67" w:after="0"/>
        <w:ind w:left="707" w:right="0" w:hanging="530"/>
        <w:jc w:val="left"/>
        <w:rPr>
          <w:sz w:val="21"/>
        </w:rPr>
      </w:pPr>
      <w:r>
        <w:rPr>
          <w:spacing w:val="-4"/>
          <w:sz w:val="21"/>
        </w:rPr>
        <w:t>血栓栓塞；</w:t>
      </w:r>
    </w:p>
    <w:p>
      <w:pPr>
        <w:pStyle w:val="ListParagraph"/>
        <w:numPr>
          <w:ilvl w:val="0"/>
          <w:numId w:val="60"/>
        </w:numPr>
        <w:tabs>
          <w:tab w:pos="708" w:val="left" w:leader="none"/>
        </w:tabs>
        <w:spacing w:line="240" w:lineRule="auto" w:before="70" w:after="0"/>
        <w:ind w:left="707" w:right="0" w:hanging="530"/>
        <w:jc w:val="left"/>
        <w:rPr>
          <w:sz w:val="21"/>
        </w:rPr>
      </w:pPr>
      <w:r>
        <w:rPr>
          <w:spacing w:val="-4"/>
          <w:sz w:val="21"/>
        </w:rPr>
        <w:t>低血压休克；</w:t>
      </w:r>
    </w:p>
    <w:p>
      <w:pPr>
        <w:pStyle w:val="ListParagraph"/>
        <w:numPr>
          <w:ilvl w:val="0"/>
          <w:numId w:val="60"/>
        </w:numPr>
        <w:tabs>
          <w:tab w:pos="708" w:val="left" w:leader="none"/>
        </w:tabs>
        <w:spacing w:line="240" w:lineRule="auto" w:before="67" w:after="0"/>
        <w:ind w:left="707" w:right="0" w:hanging="530"/>
        <w:jc w:val="left"/>
        <w:rPr>
          <w:sz w:val="21"/>
        </w:rPr>
      </w:pPr>
      <w:r>
        <w:rPr>
          <w:spacing w:val="-3"/>
          <w:sz w:val="21"/>
        </w:rPr>
        <w:t>微血管病性溶血性贫血。</w:t>
      </w:r>
    </w:p>
    <w:p>
      <w:pPr>
        <w:spacing w:before="67"/>
        <w:ind w:left="178" w:right="0" w:firstLine="0"/>
        <w:jc w:val="left"/>
        <w:rPr>
          <w:b/>
          <w:sz w:val="21"/>
        </w:rPr>
      </w:pPr>
      <w:r>
        <w:rPr>
          <w:b/>
          <w:spacing w:val="-3"/>
          <w:sz w:val="21"/>
        </w:rPr>
        <w:t>被保险人的上述临床表现须在妊娠期间发生，并经专科医生明确诊断。</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4"/>
        <w:rPr>
          <w:b/>
          <w:sz w:val="18"/>
        </w:rPr>
      </w:pPr>
    </w:p>
    <w:p>
      <w:pPr>
        <w:pStyle w:val="BodyText"/>
        <w:spacing w:line="300" w:lineRule="auto"/>
        <w:ind w:left="225"/>
      </w:pPr>
      <w:r>
        <w:rPr>
          <w:spacing w:val="-2"/>
        </w:rPr>
        <w:t>（九十九）横贯性脊髓炎后</w:t>
      </w:r>
      <w:r>
        <w:rPr>
          <w:spacing w:val="-6"/>
        </w:rPr>
        <w:t>遗症</w:t>
      </w:r>
    </w:p>
    <w:p>
      <w:pPr>
        <w:spacing w:line="240" w:lineRule="auto" w:before="4"/>
        <w:rPr>
          <w:sz w:val="18"/>
        </w:rPr>
      </w:pPr>
      <w:r>
        <w:rPr/>
        <w:br w:type="column"/>
      </w:r>
      <w:r>
        <w:rPr>
          <w:sz w:val="18"/>
        </w:rPr>
      </w:r>
    </w:p>
    <w:p>
      <w:pPr>
        <w:pStyle w:val="BodyText"/>
        <w:spacing w:line="300" w:lineRule="auto"/>
        <w:ind w:left="178" w:right="1058"/>
        <w:jc w:val="both"/>
      </w:pPr>
      <w:r>
        <w:rPr>
          <w:spacing w:val="-5"/>
          <w:w w:val="100"/>
        </w:rPr>
        <w:t>脊髓炎是一种炎症性脊髓疾病。横贯性脊髓炎是指炎症扩展横贯整个脊</w:t>
      </w:r>
      <w:r>
        <w:rPr>
          <w:spacing w:val="-7"/>
          <w:w w:val="100"/>
        </w:rPr>
        <w:t>髓，表现为运动障碍、感觉障碍和自主神经功能障碍。横断性脊髓炎必</w:t>
      </w:r>
      <w:r>
        <w:rPr>
          <w:spacing w:val="3"/>
          <w:w w:val="100"/>
        </w:rPr>
        <w:t>须经专科医生明确诊断，并且已经造成永久不可逆的神经系统功能损</w:t>
      </w:r>
      <w:r>
        <w:rPr>
          <w:spacing w:val="-5"/>
          <w:w w:val="100"/>
        </w:rPr>
        <w:t>害。永久不可逆的神经系统损害指被保险人持续</w:t>
      </w:r>
      <w:r>
        <w:rPr>
          <w:spacing w:val="-53"/>
        </w:rPr>
        <w:t> </w:t>
      </w:r>
      <w:r>
        <w:rPr>
          <w:spacing w:val="-3"/>
          <w:w w:val="100"/>
        </w:rPr>
        <w:t>18</w:t>
      </w:r>
      <w:r>
        <w:rPr>
          <w:w w:val="100"/>
        </w:rPr>
        <w:t>0</w:t>
      </w:r>
      <w:r>
        <w:rPr>
          <w:spacing w:val="-52"/>
        </w:rPr>
        <w:t> </w:t>
      </w:r>
      <w:r>
        <w:rPr>
          <w:spacing w:val="-3"/>
          <w:w w:val="100"/>
        </w:rPr>
        <w:t>天无法独立完成下列任何一项基本日常生活活动：</w:t>
      </w:r>
    </w:p>
    <w:p>
      <w:pPr>
        <w:pStyle w:val="ListParagraph"/>
        <w:numPr>
          <w:ilvl w:val="0"/>
          <w:numId w:val="61"/>
        </w:numPr>
        <w:tabs>
          <w:tab w:pos="708" w:val="left" w:leader="none"/>
        </w:tabs>
        <w:spacing w:line="240" w:lineRule="auto" w:before="4" w:after="0"/>
        <w:ind w:left="707" w:right="0" w:hanging="530"/>
        <w:jc w:val="left"/>
        <w:rPr>
          <w:sz w:val="21"/>
        </w:rPr>
      </w:pPr>
      <w:r>
        <w:rPr>
          <w:spacing w:val="-3"/>
          <w:sz w:val="21"/>
        </w:rPr>
        <w:t>移动：自己从一个房间到另一个房间；</w:t>
      </w:r>
    </w:p>
    <w:p>
      <w:pPr>
        <w:pStyle w:val="ListParagraph"/>
        <w:numPr>
          <w:ilvl w:val="0"/>
          <w:numId w:val="61"/>
        </w:numPr>
        <w:tabs>
          <w:tab w:pos="708" w:val="left" w:leader="none"/>
        </w:tabs>
        <w:spacing w:line="240" w:lineRule="auto" w:before="67" w:after="0"/>
        <w:ind w:left="707" w:right="0" w:hanging="530"/>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857" w:top="320" w:bottom="1040" w:left="1100" w:right="260"/>
          <w:cols w:num="2" w:equalWidth="0">
            <w:col w:w="2773" w:space="40"/>
            <w:col w:w="7737"/>
          </w:cols>
        </w:sectPr>
      </w:pPr>
    </w:p>
    <w:p>
      <w:pPr>
        <w:pStyle w:val="BodyText"/>
        <w:rPr>
          <w:sz w:val="20"/>
        </w:rPr>
      </w:pPr>
    </w:p>
    <w:p>
      <w:pPr>
        <w:pStyle w:val="BodyText"/>
        <w:spacing w:before="5"/>
        <w:rPr>
          <w:sz w:val="18"/>
        </w:rPr>
      </w:pPr>
    </w:p>
    <w:p>
      <w:pPr>
        <w:pStyle w:val="BodyText"/>
        <w:spacing w:line="300" w:lineRule="auto"/>
        <w:ind w:left="2990" w:right="1058" w:hanging="2766"/>
        <w:jc w:val="both"/>
      </w:pPr>
      <w:r>
        <w:rPr/>
        <w:t>（一百）脑型疟疾</w:t>
      </w:r>
      <w:r>
        <w:rPr>
          <w:spacing w:val="932"/>
        </w:rPr>
        <w:t> </w:t>
      </w:r>
      <w:r>
        <w:rPr/>
        <w:t>恶性疟原虫严重感染导致的脑病或脑型疟疾，以昏迷为主要特征。脑型</w:t>
      </w:r>
      <w:r>
        <w:rPr>
          <w:spacing w:val="-2"/>
        </w:rPr>
        <w:t>疟疾的诊断须在我们认可的医院内由专科医生明确诊断，且外周血涂片</w:t>
      </w:r>
      <w:r>
        <w:rPr>
          <w:spacing w:val="-2"/>
        </w:rPr>
        <w:t>存在恶性疟原虫。</w:t>
      </w:r>
    </w:p>
    <w:p>
      <w:pPr>
        <w:spacing w:before="1"/>
        <w:ind w:left="913" w:right="1256" w:firstLine="0"/>
        <w:jc w:val="center"/>
        <w:rPr>
          <w:b/>
          <w:sz w:val="21"/>
        </w:rPr>
      </w:pPr>
      <w:r>
        <w:rPr>
          <w:b/>
          <w:spacing w:val="-3"/>
          <w:sz w:val="21"/>
        </w:rPr>
        <w:t>其他明确病因导致的脑病不在本保障范围内。</w:t>
      </w:r>
    </w:p>
    <w:p>
      <w:pPr>
        <w:pStyle w:val="BodyText"/>
        <w:rPr>
          <w:b/>
          <w:sz w:val="20"/>
        </w:rPr>
      </w:pPr>
    </w:p>
    <w:p>
      <w:pPr>
        <w:pStyle w:val="BodyText"/>
        <w:spacing w:before="3"/>
        <w:rPr>
          <w:b/>
          <w:sz w:val="18"/>
        </w:rPr>
      </w:pPr>
    </w:p>
    <w:p>
      <w:pPr>
        <w:pStyle w:val="BodyText"/>
        <w:ind w:left="225"/>
      </w:pPr>
      <w:r>
        <w:rPr/>
        <w:t>（一百零一）</w:t>
      </w:r>
      <w:r>
        <w:rPr>
          <w:spacing w:val="-1"/>
        </w:rPr>
        <w:t>动脉硬化性闭 动脉硬化性闭塞症是全身性动脉粥样硬化在肢体局部表现，是全身性动</w:t>
      </w:r>
    </w:p>
    <w:p>
      <w:pPr>
        <w:spacing w:after="0"/>
        <w:sectPr>
          <w:type w:val="continuous"/>
          <w:pgSz w:w="11910" w:h="16840"/>
          <w:pgMar w:header="0" w:footer="857" w:top="320" w:bottom="1040" w:left="1100" w:right="260"/>
        </w:sectPr>
      </w:pPr>
    </w:p>
    <w:p>
      <w:pPr>
        <w:pStyle w:val="BodyText"/>
        <w:tabs>
          <w:tab w:pos="2990" w:val="left" w:leader="none"/>
        </w:tabs>
        <w:spacing w:line="300" w:lineRule="auto" w:before="60"/>
        <w:ind w:left="2990" w:right="955" w:hanging="2766"/>
      </w:pPr>
      <w:r>
        <w:rPr>
          <w:spacing w:val="-2"/>
        </w:rPr>
        <w:t>塞</w:t>
      </w:r>
      <w:r>
        <w:rPr>
          <w:spacing w:val="-2"/>
        </w:rPr>
        <w:t>症</w:t>
      </w:r>
      <w:r>
        <w:rPr>
          <w:spacing w:val="-2"/>
        </w:rPr>
        <w:t>坏</w:t>
      </w:r>
      <w:r>
        <w:rPr>
          <w:spacing w:val="-2"/>
        </w:rPr>
        <w:t>死</w:t>
      </w:r>
      <w:r>
        <w:rPr>
          <w:spacing w:val="-2"/>
        </w:rPr>
        <w:t>期</w:t>
      </w:r>
      <w:r>
        <w:rPr/>
        <w:tab/>
      </w:r>
      <w:r>
        <w:rPr>
          <w:spacing w:val="-4"/>
        </w:rPr>
        <w:t>脉</w:t>
      </w:r>
      <w:r>
        <w:rPr>
          <w:spacing w:val="-4"/>
        </w:rPr>
        <w:t>内</w:t>
      </w:r>
      <w:r>
        <w:rPr>
          <w:spacing w:val="-4"/>
        </w:rPr>
        <w:t>膜及其中层呈退行性、增生性改变，使血管</w:t>
      </w:r>
      <w:r>
        <w:rPr>
          <w:spacing w:val="-4"/>
        </w:rPr>
        <w:t>壁</w:t>
      </w:r>
      <w:r>
        <w:rPr>
          <w:spacing w:val="-4"/>
        </w:rPr>
        <w:t>变</w:t>
      </w:r>
      <w:r>
        <w:rPr>
          <w:spacing w:val="-4"/>
        </w:rPr>
        <w:t>硬</w:t>
      </w:r>
      <w:r>
        <w:rPr>
          <w:spacing w:val="-4"/>
        </w:rPr>
        <w:t>缩</w:t>
      </w:r>
      <w:r>
        <w:rPr>
          <w:spacing w:val="-4"/>
        </w:rPr>
        <w:t>小、失去弹性，</w:t>
      </w:r>
      <w:r>
        <w:rPr>
          <w:spacing w:val="-2"/>
        </w:rPr>
        <w:t>从</w:t>
      </w:r>
      <w:r>
        <w:rPr>
          <w:spacing w:val="-2"/>
        </w:rPr>
        <w:t>而</w:t>
      </w:r>
      <w:r>
        <w:rPr>
          <w:spacing w:val="-2"/>
        </w:rPr>
        <w:t>继发血栓形成致使远</w:t>
      </w:r>
      <w:r>
        <w:rPr>
          <w:spacing w:val="-2"/>
        </w:rPr>
        <w:t>端</w:t>
      </w:r>
      <w:r>
        <w:rPr>
          <w:spacing w:val="-2"/>
        </w:rPr>
        <w:t>血</w:t>
      </w:r>
      <w:r>
        <w:rPr>
          <w:spacing w:val="-2"/>
        </w:rPr>
        <w:t>流量进行性减少或中断。可发生于全身</w:t>
      </w:r>
      <w:r>
        <w:rPr>
          <w:spacing w:val="-2"/>
        </w:rPr>
        <w:t>各</w:t>
      </w:r>
      <w:r>
        <w:rPr>
          <w:spacing w:val="-2"/>
        </w:rPr>
        <w:t>主</w:t>
      </w:r>
      <w:r>
        <w:rPr>
          <w:spacing w:val="-2"/>
        </w:rPr>
        <w:t>要</w:t>
      </w:r>
      <w:r>
        <w:rPr>
          <w:spacing w:val="-2"/>
        </w:rPr>
        <w:t>动脉，多见于腹主动</w:t>
      </w:r>
      <w:r>
        <w:rPr>
          <w:spacing w:val="-2"/>
        </w:rPr>
        <w:t>脉</w:t>
      </w:r>
      <w:r>
        <w:rPr>
          <w:spacing w:val="-2"/>
        </w:rPr>
        <w:t>下</w:t>
      </w:r>
      <w:r>
        <w:rPr>
          <w:spacing w:val="-2"/>
        </w:rPr>
        <w:t>端和下肢的大中动脉。</w:t>
      </w:r>
    </w:p>
    <w:p>
      <w:pPr>
        <w:pStyle w:val="BodyText"/>
        <w:spacing w:line="300" w:lineRule="auto"/>
        <w:ind w:left="2990" w:right="1058"/>
        <w:jc w:val="both"/>
      </w:pPr>
      <w:r>
        <w:rPr>
          <w:spacing w:val="-2"/>
        </w:rPr>
        <w:t>须经专科医生确诊，且达到坏死期，动脉完全闭塞，侧支循环所提供的</w:t>
      </w:r>
      <w:r>
        <w:rPr>
          <w:spacing w:val="-2"/>
        </w:rPr>
        <w:t>血液不足以代偿必需的血供，坏死肢端不能存活，导致一个或一个以上</w:t>
      </w:r>
      <w:r>
        <w:rPr>
          <w:spacing w:val="-2"/>
        </w:rPr>
        <w:t>肢体自腕关节或踝关节近端（靠近躯干端）以上完全性切除。</w:t>
      </w:r>
    </w:p>
    <w:p>
      <w:pPr>
        <w:pStyle w:val="BodyText"/>
        <w:spacing w:before="11"/>
        <w:rPr>
          <w:sz w:val="27"/>
        </w:rPr>
      </w:pPr>
    </w:p>
    <w:p>
      <w:pPr>
        <w:spacing w:after="0"/>
        <w:rPr>
          <w:sz w:val="27"/>
        </w:rPr>
        <w:sectPr>
          <w:pgSz w:w="11910" w:h="16840"/>
          <w:pgMar w:header="0" w:footer="857" w:top="1420" w:bottom="1180" w:left="1100" w:right="260"/>
        </w:sectPr>
      </w:pPr>
    </w:p>
    <w:p>
      <w:pPr>
        <w:pStyle w:val="BodyText"/>
        <w:spacing w:line="297" w:lineRule="auto" w:before="71"/>
        <w:ind w:left="225"/>
      </w:pPr>
      <w:r>
        <w:rPr>
          <w:spacing w:val="-2"/>
        </w:rPr>
        <w:t>（一百零二）亚急性坏死性</w:t>
      </w:r>
      <w:r>
        <w:rPr>
          <w:spacing w:val="-4"/>
        </w:rPr>
        <w:t>脊髓炎</w:t>
      </w:r>
    </w:p>
    <w:p>
      <w:pPr>
        <w:pStyle w:val="BodyText"/>
        <w:spacing w:line="300" w:lineRule="auto" w:before="71"/>
        <w:ind w:left="177" w:right="1058"/>
        <w:jc w:val="both"/>
      </w:pPr>
      <w:r>
        <w:rPr/>
        <w:br w:type="column"/>
      </w:r>
      <w:r>
        <w:rPr>
          <w:spacing w:val="-2"/>
        </w:rPr>
        <w:t>是一种特殊类型的慢性脊髓脊神经根炎。临床以脊髓血供障碍造成的进</w:t>
      </w:r>
      <w:r>
        <w:rPr>
          <w:spacing w:val="-2"/>
        </w:rPr>
        <w:t>行性脊髓损伤为特点。最常见的原因可能为硬膜内动静脉畸形。须经专</w:t>
      </w:r>
      <w:r>
        <w:rPr>
          <w:spacing w:val="-2"/>
        </w:rPr>
        <w:t>科医生明确诊断，疾病确诊 </w:t>
      </w:r>
      <w:r>
        <w:rPr/>
        <w:t>180</w:t>
      </w:r>
      <w:r>
        <w:rPr>
          <w:spacing w:val="-5"/>
        </w:rPr>
        <w:t> 天后，仍遗留下列至少一种障碍：</w:t>
      </w:r>
    </w:p>
    <w:p>
      <w:pPr>
        <w:pStyle w:val="ListParagraph"/>
        <w:numPr>
          <w:ilvl w:val="0"/>
          <w:numId w:val="62"/>
        </w:numPr>
        <w:tabs>
          <w:tab w:pos="707" w:val="left" w:leader="none"/>
        </w:tabs>
        <w:spacing w:line="240" w:lineRule="auto" w:before="2" w:after="0"/>
        <w:ind w:left="706"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62"/>
        </w:numPr>
        <w:tabs>
          <w:tab w:pos="707" w:val="left" w:leader="none"/>
        </w:tabs>
        <w:spacing w:line="240" w:lineRule="auto" w:before="67" w:after="0"/>
        <w:ind w:left="706" w:right="0" w:hanging="530"/>
        <w:jc w:val="left"/>
        <w:rPr>
          <w:sz w:val="21"/>
        </w:rPr>
      </w:pPr>
      <w:r>
        <w:rPr>
          <w:spacing w:val="-3"/>
          <w:sz w:val="21"/>
        </w:rPr>
        <w:t>语言能力完全丧失，或严重咀嚼吞咽功能障碍；</w:t>
      </w:r>
    </w:p>
    <w:p>
      <w:pPr>
        <w:pStyle w:val="ListParagraph"/>
        <w:numPr>
          <w:ilvl w:val="0"/>
          <w:numId w:val="62"/>
        </w:numPr>
        <w:tabs>
          <w:tab w:pos="713" w:val="left" w:leader="none"/>
        </w:tabs>
        <w:spacing w:line="300" w:lineRule="auto" w:before="69" w:after="0"/>
        <w:ind w:left="177" w:right="1065" w:firstLine="0"/>
        <w:jc w:val="left"/>
        <w:rPr>
          <w:sz w:val="21"/>
        </w:rPr>
      </w:pPr>
      <w:r>
        <w:rPr>
          <w:spacing w:val="-2"/>
          <w:sz w:val="21"/>
        </w:rPr>
        <w:t>自主生活能力完全丧失，无法独立完成六项基本日常生活活动中</w:t>
      </w:r>
      <w:r>
        <w:rPr>
          <w:spacing w:val="-2"/>
          <w:sz w:val="21"/>
        </w:rPr>
        <w:t>的三项或三项以上。</w:t>
      </w:r>
    </w:p>
    <w:p>
      <w:pPr>
        <w:spacing w:after="0" w:line="300" w:lineRule="auto"/>
        <w:jc w:val="left"/>
        <w:rPr>
          <w:sz w:val="21"/>
        </w:rPr>
        <w:sectPr>
          <w:type w:val="continuous"/>
          <w:pgSz w:w="11910" w:h="16840"/>
          <w:pgMar w:header="0" w:footer="857" w:top="320" w:bottom="1040" w:left="1100" w:right="260"/>
          <w:cols w:num="2" w:equalWidth="0">
            <w:col w:w="2774" w:space="40"/>
            <w:col w:w="7736"/>
          </w:cols>
        </w:sectPr>
      </w:pPr>
    </w:p>
    <w:p>
      <w:pPr>
        <w:pStyle w:val="BodyText"/>
        <w:spacing w:before="10"/>
        <w:rPr>
          <w:sz w:val="26"/>
        </w:rPr>
      </w:pPr>
    </w:p>
    <w:p>
      <w:pPr>
        <w:spacing w:after="0"/>
        <w:rPr>
          <w:sz w:val="26"/>
        </w:rPr>
        <w:sectPr>
          <w:type w:val="continuous"/>
          <w:pgSz w:w="11910" w:h="16840"/>
          <w:pgMar w:header="0" w:footer="857" w:top="320" w:bottom="1040" w:left="1100" w:right="260"/>
        </w:sectPr>
      </w:pPr>
    </w:p>
    <w:p>
      <w:pPr>
        <w:pStyle w:val="BodyText"/>
        <w:spacing w:line="297" w:lineRule="auto" w:before="84"/>
        <w:ind w:left="225"/>
      </w:pPr>
      <w:r>
        <w:rPr>
          <w:spacing w:val="-2"/>
        </w:rPr>
        <w:t>（一百零三）艾森门格综合</w:t>
      </w:r>
      <w:r>
        <w:rPr>
          <w:spacing w:val="-10"/>
        </w:rPr>
        <w:t>征</w:t>
      </w:r>
    </w:p>
    <w:p>
      <w:pPr>
        <w:pStyle w:val="BodyText"/>
        <w:spacing w:line="278" w:lineRule="auto" w:before="72"/>
        <w:ind w:left="177" w:right="1058"/>
      </w:pPr>
      <w:r>
        <w:rPr/>
        <w:br w:type="column"/>
      </w:r>
      <w:r>
        <w:rPr>
          <w:spacing w:val="-2"/>
        </w:rPr>
        <w:t>因心脏病导致的严重肺动脉高压及右向左分流。诊断必须由心脏专科医</w:t>
      </w:r>
      <w:r>
        <w:rPr>
          <w:spacing w:val="-2"/>
        </w:rPr>
        <w:t>生经超声心动图和心导管检查证实及需符合以下所有标准：</w:t>
      </w:r>
    </w:p>
    <w:p>
      <w:pPr>
        <w:pStyle w:val="ListParagraph"/>
        <w:numPr>
          <w:ilvl w:val="0"/>
          <w:numId w:val="63"/>
        </w:numPr>
        <w:tabs>
          <w:tab w:pos="707" w:val="left" w:leader="none"/>
        </w:tabs>
        <w:spacing w:line="269" w:lineRule="exact" w:before="0" w:after="0"/>
        <w:ind w:left="706" w:right="0" w:hanging="530"/>
        <w:jc w:val="left"/>
        <w:rPr>
          <w:sz w:val="21"/>
        </w:rPr>
      </w:pPr>
      <w:r>
        <w:rPr>
          <w:spacing w:val="-8"/>
          <w:sz w:val="21"/>
        </w:rPr>
        <w:t>平均肺动脉压高于 </w:t>
      </w:r>
      <w:r>
        <w:rPr>
          <w:spacing w:val="-2"/>
          <w:sz w:val="21"/>
        </w:rPr>
        <w:t>40mmHg；</w:t>
      </w:r>
    </w:p>
    <w:p>
      <w:pPr>
        <w:pStyle w:val="ListParagraph"/>
        <w:numPr>
          <w:ilvl w:val="0"/>
          <w:numId w:val="63"/>
        </w:numPr>
        <w:tabs>
          <w:tab w:pos="707" w:val="left" w:leader="none"/>
        </w:tabs>
        <w:spacing w:line="240" w:lineRule="auto" w:before="43" w:after="0"/>
        <w:ind w:left="706" w:right="0" w:hanging="530"/>
        <w:jc w:val="left"/>
        <w:rPr>
          <w:sz w:val="21"/>
        </w:rPr>
      </w:pP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p>
      <w:pPr>
        <w:pStyle w:val="ListParagraph"/>
        <w:numPr>
          <w:ilvl w:val="0"/>
          <w:numId w:val="63"/>
        </w:numPr>
        <w:tabs>
          <w:tab w:pos="707" w:val="left" w:leader="none"/>
        </w:tabs>
        <w:spacing w:line="240" w:lineRule="auto" w:before="43" w:after="0"/>
        <w:ind w:left="706" w:right="0" w:hanging="530"/>
        <w:jc w:val="left"/>
        <w:rPr>
          <w:sz w:val="21"/>
        </w:rPr>
      </w:pPr>
      <w:r>
        <w:rPr>
          <w:spacing w:val="-6"/>
          <w:sz w:val="21"/>
        </w:rPr>
        <w:t>正常肺微血管楔压低于 </w:t>
      </w:r>
      <w:r>
        <w:rPr>
          <w:spacing w:val="-2"/>
          <w:sz w:val="21"/>
        </w:rPr>
        <w:t>15mmHg</w:t>
      </w:r>
      <w:r>
        <w:rPr>
          <w:spacing w:val="-10"/>
          <w:sz w:val="21"/>
        </w:rPr>
        <w:t>。</w:t>
      </w:r>
    </w:p>
    <w:p>
      <w:pPr>
        <w:spacing w:line="300" w:lineRule="auto" w:before="55"/>
        <w:ind w:left="177" w:right="1048" w:firstLine="0"/>
        <w:jc w:val="left"/>
        <w:rPr>
          <w:b/>
          <w:sz w:val="21"/>
        </w:rPr>
      </w:pPr>
      <w:r>
        <w:rPr>
          <w:b/>
          <w:spacing w:val="11"/>
          <w:sz w:val="21"/>
        </w:rPr>
        <w:t>我们公司承担本项疾病责任不受本合同条款 </w:t>
      </w:r>
      <w:r>
        <w:rPr>
          <w:b/>
          <w:sz w:val="21"/>
        </w:rPr>
        <w:t>2.6</w:t>
      </w:r>
      <w:r>
        <w:rPr>
          <w:b/>
          <w:spacing w:val="10"/>
          <w:sz w:val="21"/>
        </w:rPr>
        <w:t>“责任免除”中的</w:t>
      </w:r>
      <w:r>
        <w:rPr>
          <w:b/>
          <w:spacing w:val="12"/>
          <w:sz w:val="21"/>
        </w:rPr>
        <w:t> </w:t>
      </w:r>
      <w:r>
        <w:rPr>
          <w:b/>
          <w:spacing w:val="-2"/>
          <w:sz w:val="21"/>
        </w:rPr>
        <w:t>“遗传性疾病，先天性畸形、变形或染色体异常”的限制。</w:t>
      </w:r>
    </w:p>
    <w:p>
      <w:pPr>
        <w:spacing w:after="0" w:line="300" w:lineRule="auto"/>
        <w:jc w:val="left"/>
        <w:rPr>
          <w:sz w:val="21"/>
        </w:rPr>
        <w:sectPr>
          <w:type w:val="continuous"/>
          <w:pgSz w:w="11910" w:h="16840"/>
          <w:pgMar w:header="0" w:footer="857" w:top="320" w:bottom="1040" w:left="1100" w:right="260"/>
          <w:cols w:num="2" w:equalWidth="0">
            <w:col w:w="2774" w:space="40"/>
            <w:col w:w="7736"/>
          </w:cols>
        </w:sectPr>
      </w:pPr>
    </w:p>
    <w:p>
      <w:pPr>
        <w:pStyle w:val="BodyText"/>
        <w:spacing w:before="10"/>
        <w:rPr>
          <w:b/>
          <w:sz w:val="26"/>
        </w:rPr>
      </w:pPr>
    </w:p>
    <w:p>
      <w:pPr>
        <w:spacing w:after="0"/>
        <w:rPr>
          <w:sz w:val="26"/>
        </w:rPr>
        <w:sectPr>
          <w:type w:val="continuous"/>
          <w:pgSz w:w="11910" w:h="16840"/>
          <w:pgMar w:header="0" w:footer="857" w:top="320" w:bottom="1040" w:left="1100" w:right="260"/>
        </w:sectPr>
      </w:pPr>
    </w:p>
    <w:p>
      <w:pPr>
        <w:pStyle w:val="BodyText"/>
        <w:spacing w:before="84"/>
        <w:ind w:left="225"/>
      </w:pPr>
      <w:r>
        <w:rPr/>
        <w:t>（ 一百零四）</w:t>
      </w:r>
      <w:r>
        <w:rPr>
          <w:spacing w:val="-2"/>
        </w:rPr>
        <w:t> 多系统萎缩</w:t>
      </w:r>
    </w:p>
    <w:p>
      <w:pPr>
        <w:pStyle w:val="BodyText"/>
        <w:spacing w:before="64"/>
        <w:ind w:left="225"/>
      </w:pPr>
      <w:r>
        <w:rPr>
          <w:spacing w:val="-2"/>
        </w:rPr>
        <w:t>（MSA）</w:t>
      </w:r>
    </w:p>
    <w:p>
      <w:pPr>
        <w:pStyle w:val="BodyText"/>
        <w:spacing w:line="278" w:lineRule="auto" w:before="72"/>
        <w:ind w:left="177" w:right="1058"/>
        <w:jc w:val="both"/>
      </w:pPr>
      <w:r>
        <w:rPr/>
        <w:br w:type="column"/>
      </w:r>
      <w:r>
        <w:rPr>
          <w:spacing w:val="-2"/>
        </w:rPr>
        <w:t>指一种散发性的神经系统变性疾病，临床表现为不同程度的自主神经功</w:t>
      </w:r>
      <w:r>
        <w:rPr>
          <w:spacing w:val="-2"/>
        </w:rPr>
        <w:t>能障碍、对左旋多巴胺类药物反应不良的帕金森综合征、小脑性共济失</w:t>
      </w:r>
      <w:r>
        <w:rPr>
          <w:spacing w:val="-2"/>
        </w:rPr>
        <w:t>调和锥体束征等症状。被保险人自主生活能力完全丧失，无法独立完成</w:t>
      </w:r>
      <w:r>
        <w:rPr>
          <w:spacing w:val="-2"/>
        </w:rPr>
        <w:t>六项基本日常生活活动中的三项或三项以上，日常生活必须持续受到他</w:t>
      </w:r>
      <w:r>
        <w:rPr>
          <w:spacing w:val="-2"/>
        </w:rPr>
        <w:t>人监护。导致痴呆的疾病必须明确诊断，并且有完整的临床、实验室和</w:t>
      </w:r>
      <w:r>
        <w:rPr>
          <w:spacing w:val="-2"/>
        </w:rPr>
        <w:t>影像学检查结果证实。</w:t>
      </w:r>
    </w:p>
    <w:p>
      <w:pPr>
        <w:spacing w:before="11"/>
        <w:ind w:left="177" w:right="0" w:firstLine="0"/>
        <w:jc w:val="left"/>
        <w:rPr>
          <w:b/>
          <w:sz w:val="21"/>
        </w:rPr>
      </w:pPr>
      <w:r>
        <w:rPr>
          <w:b/>
          <w:spacing w:val="-3"/>
          <w:sz w:val="21"/>
        </w:rPr>
        <w:t>神经官能症，精神疾病及酒精中毒所致脑损害不在本保障范围内。</w:t>
      </w:r>
    </w:p>
    <w:p>
      <w:pPr>
        <w:spacing w:after="0"/>
        <w:jc w:val="left"/>
        <w:rPr>
          <w:sz w:val="21"/>
        </w:rPr>
        <w:sectPr>
          <w:type w:val="continuous"/>
          <w:pgSz w:w="11910" w:h="16840"/>
          <w:pgMar w:header="0" w:footer="857" w:top="320" w:bottom="1040" w:left="1100" w:right="260"/>
          <w:cols w:num="2" w:equalWidth="0">
            <w:col w:w="2774" w:space="40"/>
            <w:col w:w="7736"/>
          </w:cols>
        </w:sectPr>
      </w:pP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8"/>
        <w:rPr>
          <w:b/>
          <w:sz w:val="18"/>
        </w:rPr>
      </w:pPr>
    </w:p>
    <w:p>
      <w:pPr>
        <w:pStyle w:val="BodyText"/>
        <w:spacing w:line="300" w:lineRule="auto"/>
        <w:ind w:left="225"/>
      </w:pPr>
      <w:r>
        <w:rPr>
          <w:spacing w:val="-2"/>
        </w:rPr>
        <w:t>（一百零五）原发性脊柱侧</w:t>
      </w:r>
      <w:r>
        <w:rPr>
          <w:spacing w:val="-2"/>
        </w:rPr>
        <w:t>弯矫正手术</w:t>
      </w:r>
    </w:p>
    <w:p>
      <w:pPr>
        <w:spacing w:line="240" w:lineRule="auto" w:before="8"/>
        <w:rPr>
          <w:sz w:val="17"/>
        </w:rPr>
      </w:pPr>
      <w:r>
        <w:rPr/>
        <w:br w:type="column"/>
      </w:r>
      <w:r>
        <w:rPr>
          <w:sz w:val="17"/>
        </w:rPr>
      </w:r>
    </w:p>
    <w:p>
      <w:pPr>
        <w:spacing w:line="295" w:lineRule="auto" w:before="1"/>
        <w:ind w:left="177" w:right="1065" w:firstLine="0"/>
        <w:jc w:val="left"/>
        <w:rPr>
          <w:b/>
          <w:sz w:val="21"/>
        </w:rPr>
      </w:pPr>
      <w:r>
        <w:rPr>
          <w:spacing w:val="-3"/>
          <w:w w:val="100"/>
          <w:sz w:val="21"/>
        </w:rPr>
        <w:t>指被保险人因原发性脊柱侧弯，实际实施了对该病的矫正外科手术。</w:t>
      </w:r>
      <w:r>
        <w:rPr>
          <w:b/>
          <w:spacing w:val="3"/>
          <w:w w:val="100"/>
          <w:sz w:val="21"/>
        </w:rPr>
        <w:t>由于先天性脊柱侧弯以及其他疾病或意外伤害导致的继发性脊柱侧弯</w:t>
      </w:r>
      <w:r>
        <w:rPr>
          <w:b/>
          <w:w w:val="100"/>
          <w:sz w:val="21"/>
        </w:rPr>
        <w:t>而进行的手术治疗不在本保障范围内。</w:t>
      </w:r>
    </w:p>
    <w:p>
      <w:pPr>
        <w:spacing w:after="0" w:line="295" w:lineRule="auto"/>
        <w:jc w:val="left"/>
        <w:rPr>
          <w:sz w:val="21"/>
        </w:rPr>
        <w:sectPr>
          <w:type w:val="continuous"/>
          <w:pgSz w:w="11910" w:h="16840"/>
          <w:pgMar w:header="0" w:footer="857" w:top="320" w:bottom="1040" w:left="1100" w:right="260"/>
          <w:cols w:num="2" w:equalWidth="0">
            <w:col w:w="2774" w:space="40"/>
            <w:col w:w="7736"/>
          </w:cols>
        </w:sectPr>
      </w:pPr>
    </w:p>
    <w:p>
      <w:pPr>
        <w:pStyle w:val="BodyText"/>
        <w:spacing w:before="2"/>
        <w:rPr>
          <w:b/>
          <w:sz w:val="28"/>
        </w:rPr>
      </w:pPr>
    </w:p>
    <w:p>
      <w:pPr>
        <w:spacing w:after="0"/>
        <w:rPr>
          <w:sz w:val="28"/>
        </w:rPr>
        <w:sectPr>
          <w:type w:val="continuous"/>
          <w:pgSz w:w="11910" w:h="16840"/>
          <w:pgMar w:header="0" w:footer="857" w:top="320" w:bottom="1040" w:left="1100" w:right="260"/>
        </w:sectPr>
      </w:pPr>
    </w:p>
    <w:p>
      <w:pPr>
        <w:pStyle w:val="BodyText"/>
        <w:spacing w:line="297" w:lineRule="auto" w:before="72"/>
        <w:ind w:left="225"/>
      </w:pPr>
      <w:r>
        <w:rPr>
          <w:spacing w:val="-2"/>
        </w:rPr>
        <w:t>（一百零六）风湿热导致的</w:t>
      </w:r>
      <w:r>
        <w:rPr>
          <w:spacing w:val="-2"/>
        </w:rPr>
        <w:t>心脏瓣膜疾病</w:t>
      </w:r>
    </w:p>
    <w:p>
      <w:pPr>
        <w:pStyle w:val="BodyText"/>
        <w:spacing w:line="300" w:lineRule="auto" w:before="72"/>
        <w:ind w:left="177" w:right="1058"/>
        <w:jc w:val="both"/>
        <w:rPr>
          <w:b/>
        </w:rPr>
      </w:pPr>
      <w:r>
        <w:rPr/>
        <w:br w:type="column"/>
      </w:r>
      <w:r>
        <w:rPr/>
        <w:t>指经由专科医生根据已修订的 Jones 标准诊断证实罹患急性风湿热。</w:t>
      </w:r>
      <w:r>
        <w:rPr>
          <w:spacing w:val="-2"/>
        </w:rPr>
        <w:t>且因风湿热所导致一个或以上最少轻度心脏瓣膜关闭不全（即返流部分</w:t>
      </w:r>
      <w:r>
        <w:rPr>
          <w:spacing w:val="-12"/>
        </w:rPr>
        <w:t>达 </w:t>
      </w:r>
      <w:r>
        <w:rPr/>
        <w:t>20%或以上）或狭窄的心瓣损伤（</w:t>
      </w:r>
      <w:r>
        <w:rPr>
          <w:spacing w:val="-3"/>
        </w:rPr>
        <w:t>即心脏瓣面积为正常值的 </w:t>
      </w:r>
      <w:r>
        <w:rPr/>
        <w:t>30%或以</w:t>
      </w:r>
      <w:r>
        <w:rPr>
          <w:spacing w:val="-2"/>
        </w:rPr>
        <w:t>下</w:t>
      </w:r>
      <w:r>
        <w:rPr>
          <w:spacing w:val="-106"/>
        </w:rPr>
        <w:t>）</w:t>
      </w:r>
      <w:r>
        <w:rPr>
          <w:spacing w:val="-2"/>
        </w:rPr>
        <w:t>。</w:t>
      </w:r>
      <w:r>
        <w:rPr>
          <w:b/>
          <w:spacing w:val="-2"/>
        </w:rPr>
        <w:t>有关诊断须由专科医生根据心瓣功能的定量检查证实。</w:t>
      </w:r>
    </w:p>
    <w:p>
      <w:pPr>
        <w:spacing w:after="0" w:line="300" w:lineRule="auto"/>
        <w:jc w:val="both"/>
        <w:sectPr>
          <w:type w:val="continuous"/>
          <w:pgSz w:w="11910" w:h="16840"/>
          <w:pgMar w:header="0" w:footer="857" w:top="320" w:bottom="1040" w:left="1100" w:right="260"/>
          <w:cols w:num="2" w:equalWidth="0">
            <w:col w:w="2774" w:space="40"/>
            <w:col w:w="7736"/>
          </w:cols>
        </w:sectPr>
      </w:pPr>
    </w:p>
    <w:p>
      <w:pPr>
        <w:pStyle w:val="BodyText"/>
        <w:spacing w:line="297" w:lineRule="auto" w:before="60"/>
        <w:ind w:left="225"/>
      </w:pPr>
      <w:r>
        <w:rPr>
          <w:spacing w:val="-2"/>
        </w:rPr>
        <w:t>（一百零七）破裂脑动脉瘤</w:t>
      </w:r>
      <w:r>
        <w:rPr>
          <w:spacing w:val="-4"/>
        </w:rPr>
        <w:t>夹闭手术</w:t>
      </w:r>
    </w:p>
    <w:p>
      <w:pPr>
        <w:pStyle w:val="BodyText"/>
        <w:spacing w:line="278" w:lineRule="auto" w:before="49"/>
        <w:ind w:left="177" w:right="1058"/>
      </w:pPr>
      <w:r>
        <w:rPr/>
        <w:br w:type="column"/>
      </w:r>
      <w:r>
        <w:rPr>
          <w:spacing w:val="-2"/>
        </w:rPr>
        <w:t>指因脑动脉瘤破裂造成蛛网膜下腔出血，被保险人实际接受了在全麻下</w:t>
      </w:r>
      <w:r>
        <w:rPr>
          <w:spacing w:val="-2"/>
        </w:rPr>
        <w:t>进行的开颅动脉瘤夹闭手术。</w:t>
      </w:r>
    </w:p>
    <w:p>
      <w:pPr>
        <w:spacing w:line="300" w:lineRule="auto" w:before="11"/>
        <w:ind w:left="177" w:right="1058" w:firstLine="0"/>
        <w:jc w:val="left"/>
        <w:rPr>
          <w:b/>
          <w:sz w:val="21"/>
        </w:rPr>
      </w:pPr>
      <w:r>
        <w:rPr>
          <w:b/>
          <w:spacing w:val="-2"/>
          <w:sz w:val="21"/>
        </w:rPr>
        <w:t>脑动脉瘤（未破裂）预防性手术、颅骨打孔手术、动脉瘤栓塞手术、血</w:t>
      </w:r>
      <w:r>
        <w:rPr>
          <w:b/>
          <w:spacing w:val="-2"/>
          <w:sz w:val="21"/>
        </w:rPr>
        <w:t>管内手术及其他颅脑手术不在本保障范围内。</w:t>
      </w:r>
    </w:p>
    <w:p>
      <w:pPr>
        <w:spacing w:after="0" w:line="300" w:lineRule="auto"/>
        <w:jc w:val="left"/>
        <w:rPr>
          <w:sz w:val="21"/>
        </w:rPr>
        <w:sectPr>
          <w:pgSz w:w="11910" w:h="16840"/>
          <w:pgMar w:header="0" w:footer="857" w:top="1420" w:bottom="1180" w:left="1100" w:right="260"/>
          <w:cols w:num="2" w:equalWidth="0">
            <w:col w:w="2774" w:space="40"/>
            <w:col w:w="7736"/>
          </w:cols>
        </w:sectPr>
      </w:pPr>
    </w:p>
    <w:p>
      <w:pPr>
        <w:pStyle w:val="BodyText"/>
        <w:spacing w:before="10"/>
        <w:rPr>
          <w:b/>
          <w:sz w:val="26"/>
        </w:rPr>
      </w:pPr>
    </w:p>
    <w:p>
      <w:pPr>
        <w:pStyle w:val="BodyText"/>
        <w:spacing w:line="266" w:lineRule="auto" w:before="74"/>
        <w:ind w:left="2990" w:right="1058" w:hanging="2766"/>
      </w:pPr>
      <w:r>
        <w:rPr/>
        <w:t>（一百零八）</w:t>
      </w:r>
      <w:r>
        <w:rPr>
          <w:spacing w:val="13"/>
        </w:rPr>
        <w:t>室壁瘤切除术 </w:t>
      </w:r>
      <w:r>
        <w:rPr>
          <w:position w:val="1"/>
        </w:rPr>
        <w:t>被保险人被明确诊断为左室室壁瘤，并且实际接受了切开心脏进行的室</w:t>
      </w:r>
      <w:r>
        <w:rPr>
          <w:spacing w:val="-2"/>
        </w:rPr>
        <w:t>壁瘤切除手术治疗。</w:t>
      </w:r>
    </w:p>
    <w:p>
      <w:pPr>
        <w:spacing w:before="26"/>
        <w:ind w:left="2990" w:right="0" w:firstLine="0"/>
        <w:jc w:val="left"/>
        <w:rPr>
          <w:b/>
          <w:sz w:val="21"/>
        </w:rPr>
      </w:pPr>
      <w:r>
        <w:rPr>
          <w:b/>
          <w:spacing w:val="-3"/>
          <w:sz w:val="21"/>
        </w:rPr>
        <w:t>经导管心室内成型手术治疗不在本保障范围内。</w:t>
      </w: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7"/>
        <w:rPr>
          <w:b/>
          <w:sz w:val="18"/>
        </w:rPr>
      </w:pPr>
    </w:p>
    <w:p>
      <w:pPr>
        <w:pStyle w:val="BodyText"/>
        <w:spacing w:line="297" w:lineRule="auto" w:before="1"/>
        <w:ind w:left="225"/>
      </w:pPr>
      <w:r>
        <w:rPr>
          <w:spacing w:val="-2"/>
        </w:rPr>
        <w:t>（一百零九）严重幼年型类</w:t>
      </w:r>
      <w:r>
        <w:rPr>
          <w:spacing w:val="-2"/>
        </w:rPr>
        <w:t>风湿性关节炎</w:t>
      </w:r>
    </w:p>
    <w:p>
      <w:pPr>
        <w:spacing w:line="240" w:lineRule="auto" w:before="7"/>
        <w:rPr>
          <w:sz w:val="18"/>
        </w:rPr>
      </w:pPr>
      <w:r>
        <w:rPr/>
        <w:br w:type="column"/>
      </w:r>
      <w:r>
        <w:rPr>
          <w:sz w:val="18"/>
        </w:rPr>
      </w:r>
    </w:p>
    <w:p>
      <w:pPr>
        <w:pStyle w:val="BodyText"/>
        <w:spacing w:line="300" w:lineRule="auto" w:before="1"/>
        <w:ind w:left="177" w:right="952"/>
        <w:rPr>
          <w:b/>
        </w:rPr>
      </w:pPr>
      <w:r>
        <w:rPr>
          <w:spacing w:val="-2"/>
        </w:rPr>
        <w:t>指小儿及青少年时期的一种全身结缔组织病。可表现为驰张热、皮疹、</w:t>
      </w:r>
      <w:r>
        <w:rPr>
          <w:spacing w:val="-4"/>
        </w:rPr>
        <w:t>关节炎、脾肿大、淋巴结肿大、浆膜炎、体重减轻、中性粒细胞增多等，</w:t>
      </w:r>
      <w:r>
        <w:rPr>
          <w:spacing w:val="-2"/>
        </w:rPr>
        <w:t>全身症状可以先于关节炎出现。本项疾病须经儿科类风湿病专家出具医</w:t>
      </w:r>
      <w:r>
        <w:rPr>
          <w:spacing w:val="-2"/>
        </w:rPr>
        <w:t>学诊断证明，保障仅限于症状持续 </w:t>
      </w:r>
      <w:r>
        <w:rPr/>
        <w:t>6</w:t>
      </w:r>
      <w:r>
        <w:rPr>
          <w:spacing w:val="-5"/>
        </w:rPr>
        <w:t> 个月以上，并因病情严重在专科医</w:t>
      </w:r>
      <w:r>
        <w:rPr>
          <w:spacing w:val="-2"/>
        </w:rPr>
        <w:t>生的建议下已接受以治疗为目的的膝或髋关节的置换手术。</w:t>
      </w:r>
      <w:r>
        <w:rPr>
          <w:b/>
          <w:spacing w:val="-2"/>
        </w:rPr>
        <w:t>其他类型的</w:t>
      </w:r>
      <w:r>
        <w:rPr>
          <w:b/>
          <w:spacing w:val="-2"/>
        </w:rPr>
        <w:t>儿童类风湿性关节炎除外。</w:t>
      </w:r>
    </w:p>
    <w:p>
      <w:pPr>
        <w:spacing w:after="0" w:line="300" w:lineRule="auto"/>
        <w:sectPr>
          <w:type w:val="continuous"/>
          <w:pgSz w:w="11910" w:h="16840"/>
          <w:pgMar w:header="0" w:footer="857" w:top="320" w:bottom="1040" w:left="1100" w:right="260"/>
          <w:cols w:num="2" w:equalWidth="0">
            <w:col w:w="2774" w:space="40"/>
            <w:col w:w="7736"/>
          </w:cols>
        </w:sectPr>
      </w:pPr>
    </w:p>
    <w:p>
      <w:pPr>
        <w:pStyle w:val="BodyText"/>
        <w:spacing w:before="1"/>
        <w:rPr>
          <w:b/>
          <w:sz w:val="27"/>
        </w:rPr>
      </w:pPr>
    </w:p>
    <w:p>
      <w:pPr>
        <w:spacing w:after="0"/>
        <w:rPr>
          <w:sz w:val="27"/>
        </w:rPr>
        <w:sectPr>
          <w:type w:val="continuous"/>
          <w:pgSz w:w="11910" w:h="16840"/>
          <w:pgMar w:header="0" w:footer="857" w:top="320" w:bottom="1040" w:left="1100" w:right="260"/>
        </w:sectPr>
      </w:pPr>
    </w:p>
    <w:p>
      <w:pPr>
        <w:pStyle w:val="BodyText"/>
        <w:spacing w:line="297" w:lineRule="auto" w:before="83"/>
        <w:ind w:left="225"/>
      </w:pPr>
      <w:r>
        <w:rPr>
          <w:spacing w:val="-2"/>
        </w:rPr>
        <w:t>（一百一十）严重心脏衰竭 </w:t>
      </w:r>
      <w:r>
        <w:rPr/>
        <w:t>CRT</w:t>
      </w:r>
      <w:r>
        <w:rPr>
          <w:spacing w:val="-7"/>
        </w:rPr>
        <w:t> 心脏再同步治疗</w:t>
      </w:r>
    </w:p>
    <w:p>
      <w:pPr>
        <w:pStyle w:val="BodyText"/>
        <w:spacing w:line="278" w:lineRule="auto" w:before="71"/>
        <w:ind w:left="177" w:right="1058"/>
        <w:jc w:val="both"/>
      </w:pPr>
      <w:r>
        <w:rPr/>
        <w:br w:type="column"/>
      </w:r>
      <w:r>
        <w:rPr>
          <w:spacing w:val="-2"/>
        </w:rPr>
        <w:t>指因缺血性心脏病或扩张性心肌病导致慢性严重心脏衰竭，被保险人实</w:t>
      </w:r>
      <w:r>
        <w:rPr/>
        <w:t>际接受了 CRT 治疗，以矫正心室收缩不协调和改善心脏功能。接受治</w:t>
      </w:r>
      <w:r>
        <w:rPr>
          <w:spacing w:val="-2"/>
        </w:rPr>
        <w:t>疗之前必须满足下列所有条件：</w:t>
      </w:r>
    </w:p>
    <w:p>
      <w:pPr>
        <w:pStyle w:val="ListParagraph"/>
        <w:numPr>
          <w:ilvl w:val="0"/>
          <w:numId w:val="64"/>
        </w:numPr>
        <w:tabs>
          <w:tab w:pos="765" w:val="left" w:leader="none"/>
        </w:tabs>
        <w:spacing w:line="278" w:lineRule="auto" w:before="0" w:after="0"/>
        <w:ind w:left="177" w:right="1061" w:firstLine="0"/>
        <w:jc w:val="both"/>
        <w:rPr>
          <w:sz w:val="21"/>
        </w:rPr>
      </w:pPr>
      <w:r>
        <w:rPr>
          <w:sz w:val="21"/>
        </w:rPr>
        <w:t>）</w:t>
      </w:r>
      <w:r>
        <w:rPr>
          <w:spacing w:val="13"/>
          <w:sz w:val="21"/>
        </w:rPr>
        <w:t> 心功能衰竭程度达到美国纽约心脏病学会</w:t>
      </w:r>
      <w:r>
        <w:rPr>
          <w:sz w:val="21"/>
        </w:rPr>
        <w:t>（</w:t>
      </w:r>
      <w:r>
        <w:rPr>
          <w:spacing w:val="-26"/>
          <w:sz w:val="21"/>
        </w:rPr>
        <w:t> </w:t>
      </w:r>
      <w:r>
        <w:rPr>
          <w:sz w:val="21"/>
        </w:rPr>
        <w:t>New</w:t>
      </w:r>
      <w:r>
        <w:rPr>
          <w:spacing w:val="80"/>
          <w:sz w:val="21"/>
        </w:rPr>
        <w:t> </w:t>
      </w:r>
      <w:r>
        <w:rPr>
          <w:sz w:val="21"/>
        </w:rPr>
        <w:t>York </w:t>
      </w:r>
      <w:r>
        <w:rPr>
          <w:sz w:val="21"/>
        </w:rPr>
        <w:t>Heart Association，NYHA）心功能状态分级 III 级或 IV 级；</w:t>
      </w:r>
    </w:p>
    <w:p>
      <w:pPr>
        <w:pStyle w:val="ListParagraph"/>
        <w:numPr>
          <w:ilvl w:val="0"/>
          <w:numId w:val="64"/>
        </w:numPr>
        <w:tabs>
          <w:tab w:pos="707" w:val="left" w:leader="none"/>
        </w:tabs>
        <w:spacing w:line="269" w:lineRule="exact" w:before="0" w:after="0"/>
        <w:ind w:left="706" w:right="0" w:hanging="530"/>
        <w:jc w:val="left"/>
        <w:rPr>
          <w:sz w:val="21"/>
        </w:rPr>
      </w:pPr>
      <w:r>
        <w:rPr>
          <w:spacing w:val="-8"/>
          <w:sz w:val="21"/>
        </w:rPr>
        <w:t>左室射血分数低于 </w:t>
      </w:r>
      <w:r>
        <w:rPr>
          <w:spacing w:val="-4"/>
          <w:sz w:val="21"/>
        </w:rPr>
        <w:t>35%；</w:t>
      </w:r>
    </w:p>
    <w:p>
      <w:pPr>
        <w:pStyle w:val="ListParagraph"/>
        <w:numPr>
          <w:ilvl w:val="0"/>
          <w:numId w:val="64"/>
        </w:numPr>
        <w:tabs>
          <w:tab w:pos="707" w:val="left" w:leader="none"/>
        </w:tabs>
        <w:spacing w:line="240" w:lineRule="auto" w:before="43" w:after="0"/>
        <w:ind w:left="706" w:right="0" w:hanging="530"/>
        <w:jc w:val="left"/>
        <w:rPr>
          <w:sz w:val="21"/>
        </w:rPr>
      </w:pPr>
      <w:r>
        <w:rPr>
          <w:spacing w:val="-2"/>
          <w:sz w:val="21"/>
        </w:rPr>
        <w:t>左室舒张末期内径≥55mm；</w:t>
      </w:r>
    </w:p>
    <w:p>
      <w:pPr>
        <w:pStyle w:val="ListParagraph"/>
        <w:numPr>
          <w:ilvl w:val="0"/>
          <w:numId w:val="64"/>
        </w:numPr>
        <w:tabs>
          <w:tab w:pos="707" w:val="left" w:leader="none"/>
        </w:tabs>
        <w:spacing w:line="240" w:lineRule="auto" w:before="43" w:after="0"/>
        <w:ind w:left="706" w:right="0" w:hanging="530"/>
        <w:jc w:val="left"/>
        <w:rPr>
          <w:sz w:val="21"/>
        </w:rPr>
      </w:pPr>
      <w:r>
        <w:rPr>
          <w:spacing w:val="-2"/>
          <w:sz w:val="21"/>
        </w:rPr>
        <w:t>QRS</w:t>
      </w:r>
      <w:r>
        <w:rPr>
          <w:spacing w:val="-15"/>
          <w:sz w:val="21"/>
        </w:rPr>
        <w:t> 时间≥</w:t>
      </w:r>
      <w:r>
        <w:rPr>
          <w:spacing w:val="-2"/>
          <w:sz w:val="21"/>
        </w:rPr>
        <w:t>130msec；</w:t>
      </w:r>
    </w:p>
    <w:p>
      <w:pPr>
        <w:pStyle w:val="ListParagraph"/>
        <w:numPr>
          <w:ilvl w:val="0"/>
          <w:numId w:val="64"/>
        </w:numPr>
        <w:tabs>
          <w:tab w:pos="707" w:val="left" w:leader="none"/>
        </w:tabs>
        <w:spacing w:line="240" w:lineRule="auto" w:before="55" w:after="0"/>
        <w:ind w:left="706" w:right="0" w:hanging="530"/>
        <w:jc w:val="left"/>
        <w:rPr>
          <w:sz w:val="21"/>
        </w:rPr>
      </w:pPr>
      <w:r>
        <w:rPr>
          <w:spacing w:val="-3"/>
          <w:sz w:val="21"/>
        </w:rPr>
        <w:t>药物治疗效果不佳，仍有症状。</w:t>
      </w:r>
    </w:p>
    <w:p>
      <w:pPr>
        <w:spacing w:after="0" w:line="240" w:lineRule="auto"/>
        <w:jc w:val="left"/>
        <w:rPr>
          <w:sz w:val="21"/>
        </w:rPr>
        <w:sectPr>
          <w:type w:val="continuous"/>
          <w:pgSz w:w="11910" w:h="16840"/>
          <w:pgMar w:header="0" w:footer="857" w:top="320" w:bottom="1040" w:left="1100" w:right="260"/>
          <w:cols w:num="2" w:equalWidth="0">
            <w:col w:w="2774" w:space="40"/>
            <w:col w:w="7736"/>
          </w:cols>
        </w:sectPr>
      </w:pPr>
    </w:p>
    <w:p>
      <w:pPr>
        <w:pStyle w:val="BodyText"/>
        <w:rPr>
          <w:sz w:val="20"/>
        </w:rPr>
      </w:pPr>
    </w:p>
    <w:p>
      <w:pPr>
        <w:pStyle w:val="BodyText"/>
        <w:spacing w:before="7"/>
        <w:rPr>
          <w:sz w:val="18"/>
        </w:rPr>
      </w:pPr>
    </w:p>
    <w:p>
      <w:pPr>
        <w:pStyle w:val="ListParagraph"/>
        <w:numPr>
          <w:ilvl w:val="1"/>
          <w:numId w:val="13"/>
        </w:numPr>
        <w:tabs>
          <w:tab w:pos="1408" w:val="left" w:leader="none"/>
          <w:tab w:pos="1409" w:val="left" w:leader="none"/>
          <w:tab w:pos="2990" w:val="left" w:leader="none"/>
        </w:tabs>
        <w:spacing w:line="300" w:lineRule="auto" w:before="0" w:after="0"/>
        <w:ind w:left="2990" w:right="1060" w:hanging="2766"/>
        <w:jc w:val="left"/>
        <w:rPr>
          <w:sz w:val="21"/>
        </w:rPr>
      </w:pPr>
      <w:r>
        <w:rPr>
          <w:spacing w:val="-4"/>
          <w:sz w:val="21"/>
        </w:rPr>
        <w:t>中</w:t>
      </w:r>
      <w:r>
        <w:rPr>
          <w:spacing w:val="-4"/>
          <w:sz w:val="21"/>
        </w:rPr>
        <w:t>度</w:t>
      </w:r>
      <w:r>
        <w:rPr>
          <w:spacing w:val="-4"/>
          <w:sz w:val="21"/>
        </w:rPr>
        <w:t>疾病</w:t>
      </w:r>
      <w:r>
        <w:rPr>
          <w:sz w:val="21"/>
        </w:rPr>
        <w:tab/>
      </w:r>
      <w:r>
        <w:rPr>
          <w:spacing w:val="-2"/>
          <w:sz w:val="21"/>
        </w:rPr>
        <w:t>符</w:t>
      </w:r>
      <w:r>
        <w:rPr>
          <w:spacing w:val="-2"/>
          <w:sz w:val="21"/>
        </w:rPr>
        <w:t>合</w:t>
      </w:r>
      <w:r>
        <w:rPr>
          <w:spacing w:val="-2"/>
          <w:sz w:val="21"/>
        </w:rPr>
        <w:t>以下疾病定义所述条</w:t>
      </w:r>
      <w:r>
        <w:rPr>
          <w:spacing w:val="-2"/>
          <w:sz w:val="21"/>
        </w:rPr>
        <w:t>件</w:t>
      </w:r>
      <w:r>
        <w:rPr>
          <w:spacing w:val="-2"/>
          <w:sz w:val="21"/>
        </w:rPr>
        <w:t>的</w:t>
      </w:r>
      <w:r>
        <w:rPr>
          <w:spacing w:val="-2"/>
          <w:sz w:val="21"/>
        </w:rPr>
        <w:t>疾病，并由专科医生</w:t>
      </w:r>
      <w:r>
        <w:rPr>
          <w:spacing w:val="-2"/>
          <w:sz w:val="21"/>
        </w:rPr>
        <w:t>明</w:t>
      </w:r>
      <w:r>
        <w:rPr>
          <w:spacing w:val="-2"/>
          <w:sz w:val="21"/>
        </w:rPr>
        <w:t>确</w:t>
      </w:r>
      <w:r>
        <w:rPr>
          <w:spacing w:val="-2"/>
          <w:sz w:val="21"/>
        </w:rPr>
        <w:t>诊断，共计三十</w:t>
      </w:r>
      <w:r>
        <w:rPr>
          <w:spacing w:val="-6"/>
          <w:sz w:val="21"/>
        </w:rPr>
        <w:t>种</w:t>
      </w:r>
      <w:r>
        <w:rPr>
          <w:spacing w:val="-6"/>
          <w:sz w:val="21"/>
        </w:rPr>
        <w:t>。</w:t>
      </w:r>
    </w:p>
    <w:p>
      <w:pPr>
        <w:spacing w:line="300" w:lineRule="auto" w:before="91"/>
        <w:ind w:left="2990" w:right="1058" w:hanging="2766"/>
        <w:jc w:val="left"/>
        <w:rPr>
          <w:sz w:val="21"/>
        </w:rPr>
      </w:pPr>
      <w:r>
        <w:rPr>
          <w:sz w:val="21"/>
        </w:rPr>
        <w:t>（一）中度肠道疾病并发症 严重肠道疾病或外伤导致小肠损害并发症，</w:t>
      </w:r>
      <w:r>
        <w:rPr>
          <w:b/>
          <w:sz w:val="21"/>
        </w:rPr>
        <w:t>虽然未达到本合同所指重度</w:t>
      </w:r>
      <w:r>
        <w:rPr>
          <w:b/>
          <w:spacing w:val="-2"/>
          <w:sz w:val="21"/>
        </w:rPr>
        <w:t>疾病“严重肠道疾病并发症”的给付标准</w:t>
      </w:r>
      <w:r>
        <w:rPr>
          <w:spacing w:val="-2"/>
          <w:sz w:val="21"/>
        </w:rPr>
        <w:t>，但须满足以下所有条件：</w:t>
      </w:r>
    </w:p>
    <w:p>
      <w:pPr>
        <w:pStyle w:val="ListParagraph"/>
        <w:numPr>
          <w:ilvl w:val="0"/>
          <w:numId w:val="65"/>
        </w:numPr>
        <w:tabs>
          <w:tab w:pos="3520" w:val="left" w:leader="none"/>
        </w:tabs>
        <w:spacing w:line="240" w:lineRule="auto" w:before="0" w:after="0"/>
        <w:ind w:left="3519" w:right="0" w:hanging="530"/>
        <w:jc w:val="left"/>
        <w:rPr>
          <w:sz w:val="21"/>
        </w:rPr>
      </w:pPr>
      <w:r>
        <w:rPr>
          <w:spacing w:val="-3"/>
          <w:sz w:val="21"/>
        </w:rPr>
        <w:t>至少切除了二分之一小肠；</w:t>
      </w:r>
    </w:p>
    <w:p>
      <w:pPr>
        <w:pStyle w:val="ListParagraph"/>
        <w:numPr>
          <w:ilvl w:val="0"/>
          <w:numId w:val="65"/>
        </w:numPr>
        <w:tabs>
          <w:tab w:pos="3520" w:val="left" w:leader="none"/>
        </w:tabs>
        <w:spacing w:line="240" w:lineRule="auto" w:before="69" w:after="0"/>
        <w:ind w:left="3519" w:right="0" w:hanging="530"/>
        <w:jc w:val="left"/>
        <w:rPr>
          <w:sz w:val="21"/>
        </w:rPr>
      </w:pPr>
      <w:r>
        <w:rPr>
          <w:spacing w:val="-3"/>
          <w:sz w:val="21"/>
        </w:rPr>
        <w:t>完全肠外营养支持二个月以上。</w:t>
      </w:r>
    </w:p>
    <w:p>
      <w:pPr>
        <w:spacing w:before="67"/>
        <w:ind w:left="2990" w:right="0" w:firstLine="0"/>
        <w:jc w:val="left"/>
        <w:rPr>
          <w:b/>
          <w:sz w:val="21"/>
        </w:rPr>
      </w:pPr>
      <w:r>
        <w:rPr>
          <w:b/>
          <w:spacing w:val="-3"/>
          <w:sz w:val="21"/>
        </w:rPr>
        <w:t>因“克罗恩病”所致中度肠道疾病并发症不在本保障范围内。</w:t>
      </w:r>
    </w:p>
    <w:p>
      <w:pPr>
        <w:pStyle w:val="BodyText"/>
        <w:rPr>
          <w:b/>
          <w:sz w:val="20"/>
        </w:rPr>
      </w:pPr>
    </w:p>
    <w:p>
      <w:pPr>
        <w:pStyle w:val="BodyText"/>
        <w:spacing w:before="7"/>
        <w:rPr>
          <w:b/>
          <w:sz w:val="18"/>
        </w:rPr>
      </w:pPr>
    </w:p>
    <w:p>
      <w:pPr>
        <w:pStyle w:val="BodyText"/>
        <w:tabs>
          <w:tab w:pos="2990" w:val="left" w:leader="none"/>
        </w:tabs>
        <w:spacing w:line="300" w:lineRule="auto"/>
        <w:ind w:left="2990" w:right="955" w:hanging="2766"/>
        <w:rPr>
          <w:b/>
        </w:rPr>
      </w:pPr>
      <w:r>
        <w:rPr>
          <w:w w:val="100"/>
        </w:rPr>
        <w:t>（二</w:t>
      </w:r>
      <w:r>
        <w:rPr>
          <w:spacing w:val="-3"/>
          <w:w w:val="100"/>
        </w:rPr>
        <w:t>）</w:t>
      </w:r>
      <w:r>
        <w:rPr>
          <w:w w:val="100"/>
        </w:rPr>
        <w:t>中</w:t>
      </w:r>
      <w:r>
        <w:rPr>
          <w:spacing w:val="-3"/>
          <w:w w:val="100"/>
        </w:rPr>
        <w:t>度</w:t>
      </w:r>
      <w:r>
        <w:rPr>
          <w:w w:val="100"/>
        </w:rPr>
        <w:t>多</w:t>
      </w:r>
      <w:r>
        <w:rPr>
          <w:spacing w:val="-3"/>
          <w:w w:val="100"/>
        </w:rPr>
        <w:t>发</w:t>
      </w:r>
      <w:r>
        <w:rPr>
          <w:w w:val="100"/>
        </w:rPr>
        <w:t>性</w:t>
      </w:r>
      <w:r>
        <w:rPr>
          <w:spacing w:val="-3"/>
          <w:w w:val="100"/>
        </w:rPr>
        <w:t>硬</w:t>
      </w:r>
      <w:r>
        <w:rPr>
          <w:w w:val="100"/>
        </w:rPr>
        <w:t>化症</w:t>
      </w:r>
      <w:r>
        <w:rPr/>
        <w:tab/>
      </w:r>
      <w:r>
        <w:rPr>
          <w:spacing w:val="4"/>
          <w:w w:val="100"/>
        </w:rPr>
        <w:t>指</w:t>
      </w:r>
      <w:r>
        <w:rPr>
          <w:spacing w:val="6"/>
          <w:w w:val="100"/>
        </w:rPr>
        <w:t>被</w:t>
      </w:r>
      <w:r>
        <w:rPr>
          <w:spacing w:val="4"/>
          <w:w w:val="100"/>
        </w:rPr>
        <w:t>保险人</w:t>
      </w:r>
      <w:r>
        <w:rPr>
          <w:spacing w:val="6"/>
          <w:w w:val="100"/>
        </w:rPr>
        <w:t>因</w:t>
      </w:r>
      <w:r>
        <w:rPr>
          <w:spacing w:val="4"/>
          <w:w w:val="100"/>
        </w:rPr>
        <w:t>脑及脊</w:t>
      </w:r>
      <w:r>
        <w:rPr>
          <w:spacing w:val="6"/>
          <w:w w:val="100"/>
        </w:rPr>
        <w:t>髓</w:t>
      </w:r>
      <w:r>
        <w:rPr>
          <w:spacing w:val="4"/>
          <w:w w:val="100"/>
        </w:rPr>
        <w:t>内的</w:t>
      </w:r>
      <w:r>
        <w:rPr>
          <w:spacing w:val="6"/>
          <w:w w:val="100"/>
        </w:rPr>
        <w:t>脱</w:t>
      </w:r>
      <w:r>
        <w:rPr>
          <w:spacing w:val="4"/>
          <w:w w:val="100"/>
        </w:rPr>
        <w:t>髓鞘病</w:t>
      </w:r>
      <w:r>
        <w:rPr>
          <w:spacing w:val="6"/>
          <w:w w:val="100"/>
        </w:rPr>
        <w:t>变</w:t>
      </w:r>
      <w:r>
        <w:rPr>
          <w:spacing w:val="4"/>
          <w:w w:val="100"/>
        </w:rPr>
        <w:t>而出现</w:t>
      </w:r>
      <w:r>
        <w:rPr>
          <w:spacing w:val="6"/>
          <w:w w:val="100"/>
        </w:rPr>
        <w:t>神</w:t>
      </w:r>
      <w:r>
        <w:rPr>
          <w:spacing w:val="4"/>
          <w:w w:val="100"/>
        </w:rPr>
        <w:t>经系</w:t>
      </w:r>
      <w:r>
        <w:rPr>
          <w:spacing w:val="6"/>
          <w:w w:val="100"/>
        </w:rPr>
        <w:t>统</w:t>
      </w:r>
      <w:r>
        <w:rPr>
          <w:spacing w:val="4"/>
          <w:w w:val="100"/>
        </w:rPr>
        <w:t>多灶性</w:t>
      </w:r>
      <w:r>
        <w:rPr>
          <w:spacing w:val="6"/>
          <w:w w:val="100"/>
        </w:rPr>
        <w:t>（</w:t>
      </w:r>
      <w:r>
        <w:rPr>
          <w:spacing w:val="4"/>
          <w:w w:val="100"/>
        </w:rPr>
        <w:t>多</w:t>
      </w:r>
      <w:r>
        <w:rPr>
          <w:w w:val="100"/>
        </w:rPr>
        <w:t>发性</w:t>
      </w:r>
      <w:r>
        <w:rPr>
          <w:spacing w:val="-8"/>
          <w:w w:val="100"/>
        </w:rPr>
        <w:t>）</w:t>
      </w:r>
      <w:r>
        <w:rPr>
          <w:w w:val="100"/>
        </w:rPr>
        <w:t>多</w:t>
      </w:r>
      <w:r>
        <w:rPr>
          <w:spacing w:val="-3"/>
          <w:w w:val="100"/>
        </w:rPr>
        <w:t>时</w:t>
      </w:r>
      <w:r>
        <w:rPr>
          <w:spacing w:val="-5"/>
          <w:w w:val="100"/>
        </w:rPr>
        <w:t>相</w:t>
      </w:r>
      <w:r>
        <w:rPr>
          <w:spacing w:val="-3"/>
          <w:w w:val="100"/>
        </w:rPr>
        <w:t>（</w:t>
      </w:r>
      <w:r>
        <w:rPr>
          <w:w w:val="100"/>
        </w:rPr>
        <w:t>至少</w:t>
      </w:r>
      <w:r>
        <w:rPr>
          <w:spacing w:val="-55"/>
        </w:rPr>
        <w:t> </w:t>
      </w:r>
      <w:r>
        <w:rPr>
          <w:w w:val="100"/>
        </w:rPr>
        <w:t>6</w:t>
      </w:r>
      <w:r>
        <w:rPr>
          <w:spacing w:val="-53"/>
        </w:rPr>
        <w:t> </w:t>
      </w:r>
      <w:r>
        <w:rPr>
          <w:spacing w:val="-3"/>
          <w:w w:val="100"/>
        </w:rPr>
        <w:t>个月</w:t>
      </w:r>
      <w:r>
        <w:rPr>
          <w:w w:val="100"/>
        </w:rPr>
        <w:t>以内</w:t>
      </w:r>
      <w:r>
        <w:rPr>
          <w:spacing w:val="-3"/>
          <w:w w:val="100"/>
        </w:rPr>
        <w:t>有</w:t>
      </w:r>
      <w:r>
        <w:rPr>
          <w:w w:val="100"/>
        </w:rPr>
        <w:t>两</w:t>
      </w:r>
      <w:r>
        <w:rPr>
          <w:spacing w:val="-3"/>
          <w:w w:val="100"/>
        </w:rPr>
        <w:t>次</w:t>
      </w:r>
      <w:r>
        <w:rPr>
          <w:w w:val="100"/>
        </w:rPr>
        <w:t>或</w:t>
      </w:r>
      <w:r>
        <w:rPr>
          <w:spacing w:val="-3"/>
          <w:w w:val="100"/>
        </w:rPr>
        <w:t>以</w:t>
      </w:r>
      <w:r>
        <w:rPr>
          <w:w w:val="100"/>
        </w:rPr>
        <w:t>上</w:t>
      </w:r>
      <w:r>
        <w:rPr>
          <w:spacing w:val="-3"/>
          <w:w w:val="100"/>
        </w:rPr>
        <w:t>的</w:t>
      </w:r>
      <w:r>
        <w:rPr>
          <w:w w:val="100"/>
        </w:rPr>
        <w:t>发</w:t>
      </w:r>
      <w:r>
        <w:rPr>
          <w:spacing w:val="-3"/>
          <w:w w:val="100"/>
        </w:rPr>
        <w:t>作</w:t>
      </w:r>
      <w:r>
        <w:rPr>
          <w:spacing w:val="-5"/>
          <w:w w:val="100"/>
        </w:rPr>
        <w:t>）</w:t>
      </w:r>
      <w:r>
        <w:rPr>
          <w:spacing w:val="-3"/>
          <w:w w:val="100"/>
        </w:rPr>
        <w:t>的</w:t>
      </w:r>
      <w:r>
        <w:rPr>
          <w:w w:val="100"/>
        </w:rPr>
        <w:t>病</w:t>
      </w:r>
      <w:r>
        <w:rPr>
          <w:spacing w:val="-3"/>
          <w:w w:val="100"/>
        </w:rPr>
        <w:t>变</w:t>
      </w:r>
      <w:r>
        <w:rPr>
          <w:spacing w:val="-5"/>
          <w:w w:val="100"/>
        </w:rPr>
        <w:t>，</w:t>
      </w:r>
      <w:r>
        <w:rPr>
          <w:spacing w:val="-3"/>
          <w:w w:val="100"/>
        </w:rPr>
        <w:t>须</w:t>
      </w:r>
      <w:r>
        <w:rPr>
          <w:w w:val="100"/>
        </w:rPr>
        <w:t>由</w:t>
      </w:r>
      <w:r>
        <w:rPr>
          <w:spacing w:val="-3"/>
          <w:w w:val="100"/>
        </w:rPr>
        <w:t>计</w:t>
      </w:r>
      <w:r>
        <w:rPr>
          <w:w w:val="100"/>
        </w:rPr>
        <w:t>算机断</w:t>
      </w:r>
      <w:r>
        <w:rPr>
          <w:spacing w:val="-3"/>
          <w:w w:val="100"/>
        </w:rPr>
        <w:t>层</w:t>
      </w:r>
      <w:r>
        <w:rPr>
          <w:w w:val="100"/>
        </w:rPr>
        <w:t>扫</w:t>
      </w:r>
      <w:r>
        <w:rPr>
          <w:spacing w:val="-8"/>
          <w:w w:val="100"/>
        </w:rPr>
        <w:t>描</w:t>
      </w:r>
      <w:r>
        <w:rPr>
          <w:spacing w:val="-1"/>
          <w:w w:val="100"/>
        </w:rPr>
        <w:t>（</w:t>
      </w:r>
      <w:r>
        <w:rPr>
          <w:w w:val="100"/>
        </w:rPr>
        <w:t>CT</w:t>
      </w:r>
      <w:r>
        <w:rPr>
          <w:spacing w:val="-108"/>
          <w:w w:val="100"/>
        </w:rPr>
        <w:t>）</w:t>
      </w:r>
      <w:r>
        <w:rPr>
          <w:spacing w:val="-5"/>
          <w:w w:val="100"/>
        </w:rPr>
        <w:t>、</w:t>
      </w:r>
      <w:r>
        <w:rPr>
          <w:spacing w:val="-3"/>
          <w:w w:val="100"/>
        </w:rPr>
        <w:t>核</w:t>
      </w:r>
      <w:r>
        <w:rPr>
          <w:w w:val="100"/>
        </w:rPr>
        <w:t>磁</w:t>
      </w:r>
      <w:r>
        <w:rPr>
          <w:spacing w:val="-3"/>
          <w:w w:val="100"/>
        </w:rPr>
        <w:t>共</w:t>
      </w:r>
      <w:r>
        <w:rPr>
          <w:w w:val="100"/>
        </w:rPr>
        <w:t>振检</w:t>
      </w:r>
      <w:r>
        <w:rPr>
          <w:spacing w:val="-8"/>
          <w:w w:val="100"/>
        </w:rPr>
        <w:t>查</w:t>
      </w:r>
      <w:r>
        <w:rPr>
          <w:w w:val="100"/>
        </w:rPr>
        <w:t>（MR</w:t>
      </w:r>
      <w:r>
        <w:rPr>
          <w:spacing w:val="-3"/>
          <w:w w:val="100"/>
        </w:rPr>
        <w:t>I</w:t>
      </w:r>
      <w:r>
        <w:rPr>
          <w:spacing w:val="-5"/>
          <w:w w:val="100"/>
        </w:rPr>
        <w:t>）</w:t>
      </w:r>
      <w:r>
        <w:rPr>
          <w:spacing w:val="-3"/>
          <w:w w:val="100"/>
        </w:rPr>
        <w:t>或</w:t>
      </w:r>
      <w:r>
        <w:rPr>
          <w:w w:val="100"/>
        </w:rPr>
        <w:t>正</w:t>
      </w:r>
      <w:r>
        <w:rPr>
          <w:spacing w:val="-3"/>
          <w:w w:val="100"/>
        </w:rPr>
        <w:t>电</w:t>
      </w:r>
      <w:r>
        <w:rPr>
          <w:w w:val="100"/>
        </w:rPr>
        <w:t>子</w:t>
      </w:r>
      <w:r>
        <w:rPr>
          <w:spacing w:val="-3"/>
          <w:w w:val="100"/>
        </w:rPr>
        <w:t>发</w:t>
      </w:r>
      <w:r>
        <w:rPr>
          <w:w w:val="100"/>
        </w:rPr>
        <w:t>射断</w:t>
      </w:r>
      <w:r>
        <w:rPr>
          <w:spacing w:val="-3"/>
          <w:w w:val="100"/>
        </w:rPr>
        <w:t>层</w:t>
      </w:r>
      <w:r>
        <w:rPr>
          <w:w w:val="100"/>
        </w:rPr>
        <w:t>扫</w:t>
      </w:r>
      <w:r>
        <w:rPr>
          <w:spacing w:val="-8"/>
          <w:w w:val="100"/>
        </w:rPr>
        <w:t>描</w:t>
      </w:r>
      <w:r>
        <w:rPr>
          <w:w w:val="100"/>
        </w:rPr>
        <w:t>（PE</w:t>
      </w:r>
      <w:r>
        <w:rPr>
          <w:spacing w:val="-3"/>
          <w:w w:val="100"/>
        </w:rPr>
        <w:t>T</w:t>
      </w:r>
      <w:r>
        <w:rPr>
          <w:w w:val="100"/>
        </w:rPr>
        <w:t>）等影</w:t>
      </w:r>
      <w:r>
        <w:rPr>
          <w:spacing w:val="-3"/>
          <w:w w:val="100"/>
        </w:rPr>
        <w:t>像</w:t>
      </w:r>
      <w:r>
        <w:rPr>
          <w:w w:val="100"/>
        </w:rPr>
        <w:t>学</w:t>
      </w:r>
      <w:r>
        <w:rPr>
          <w:spacing w:val="-3"/>
          <w:w w:val="100"/>
        </w:rPr>
        <w:t>检</w:t>
      </w:r>
      <w:r>
        <w:rPr>
          <w:spacing w:val="-1"/>
          <w:w w:val="100"/>
        </w:rPr>
        <w:t>查</w:t>
      </w:r>
      <w:r>
        <w:rPr>
          <w:spacing w:val="-3"/>
          <w:w w:val="100"/>
        </w:rPr>
        <w:t>证实</w:t>
      </w:r>
      <w:r>
        <w:rPr>
          <w:spacing w:val="-10"/>
          <w:w w:val="100"/>
        </w:rPr>
        <w:t>，</w:t>
      </w:r>
      <w:r>
        <w:rPr>
          <w:spacing w:val="-3"/>
          <w:w w:val="100"/>
        </w:rPr>
        <w:t>且已</w:t>
      </w:r>
      <w:r>
        <w:rPr>
          <w:w w:val="100"/>
        </w:rPr>
        <w:t>经造</w:t>
      </w:r>
      <w:r>
        <w:rPr>
          <w:spacing w:val="-3"/>
          <w:w w:val="100"/>
        </w:rPr>
        <w:t>成</w:t>
      </w:r>
      <w:r>
        <w:rPr>
          <w:w w:val="100"/>
        </w:rPr>
        <w:t>自</w:t>
      </w:r>
      <w:r>
        <w:rPr>
          <w:spacing w:val="-3"/>
          <w:w w:val="100"/>
        </w:rPr>
        <w:t>主</w:t>
      </w:r>
      <w:r>
        <w:rPr>
          <w:w w:val="100"/>
        </w:rPr>
        <w:t>生</w:t>
      </w:r>
      <w:r>
        <w:rPr>
          <w:spacing w:val="-3"/>
          <w:w w:val="100"/>
        </w:rPr>
        <w:t>活</w:t>
      </w:r>
      <w:r>
        <w:rPr>
          <w:w w:val="100"/>
        </w:rPr>
        <w:t>能</w:t>
      </w:r>
      <w:r>
        <w:rPr>
          <w:spacing w:val="-3"/>
          <w:w w:val="100"/>
        </w:rPr>
        <w:t>力</w:t>
      </w:r>
      <w:r>
        <w:rPr>
          <w:w w:val="100"/>
        </w:rPr>
        <w:t>严</w:t>
      </w:r>
      <w:r>
        <w:rPr>
          <w:spacing w:val="-3"/>
          <w:w w:val="100"/>
        </w:rPr>
        <w:t>重</w:t>
      </w:r>
      <w:r>
        <w:rPr>
          <w:w w:val="100"/>
        </w:rPr>
        <w:t>丧</w:t>
      </w:r>
      <w:r>
        <w:rPr>
          <w:spacing w:val="-3"/>
          <w:w w:val="100"/>
        </w:rPr>
        <w:t>失</w:t>
      </w:r>
      <w:r>
        <w:rPr>
          <w:spacing w:val="-10"/>
          <w:w w:val="100"/>
        </w:rPr>
        <w:t>，</w:t>
      </w:r>
      <w:r>
        <w:rPr>
          <w:spacing w:val="-3"/>
          <w:w w:val="100"/>
        </w:rPr>
        <w:t>无</w:t>
      </w:r>
      <w:r>
        <w:rPr>
          <w:w w:val="100"/>
        </w:rPr>
        <w:t>法</w:t>
      </w:r>
      <w:r>
        <w:rPr>
          <w:spacing w:val="-3"/>
          <w:w w:val="100"/>
        </w:rPr>
        <w:t>独</w:t>
      </w:r>
      <w:r>
        <w:rPr>
          <w:w w:val="100"/>
        </w:rPr>
        <w:t>立</w:t>
      </w:r>
      <w:r>
        <w:rPr>
          <w:spacing w:val="-3"/>
          <w:w w:val="100"/>
        </w:rPr>
        <w:t>完</w:t>
      </w:r>
      <w:r>
        <w:rPr>
          <w:w w:val="100"/>
        </w:rPr>
        <w:t>成六项</w:t>
      </w:r>
      <w:r>
        <w:rPr>
          <w:spacing w:val="-3"/>
          <w:w w:val="100"/>
        </w:rPr>
        <w:t>基</w:t>
      </w:r>
      <w:r>
        <w:rPr>
          <w:w w:val="100"/>
        </w:rPr>
        <w:t>本</w:t>
      </w:r>
      <w:r>
        <w:rPr>
          <w:spacing w:val="-3"/>
          <w:w w:val="100"/>
        </w:rPr>
        <w:t>日</w:t>
      </w:r>
      <w:r>
        <w:rPr>
          <w:w w:val="100"/>
        </w:rPr>
        <w:t>常</w:t>
      </w:r>
      <w:r>
        <w:rPr>
          <w:spacing w:val="-3"/>
          <w:w w:val="100"/>
        </w:rPr>
        <w:t>生</w:t>
      </w:r>
      <w:r>
        <w:rPr>
          <w:w w:val="100"/>
        </w:rPr>
        <w:t>活</w:t>
      </w:r>
      <w:r>
        <w:rPr>
          <w:spacing w:val="-3"/>
          <w:w w:val="100"/>
        </w:rPr>
        <w:t>活</w:t>
      </w:r>
      <w:r>
        <w:rPr>
          <w:w w:val="100"/>
        </w:rPr>
        <w:t>动</w:t>
      </w:r>
      <w:r>
        <w:rPr>
          <w:spacing w:val="-3"/>
          <w:w w:val="100"/>
        </w:rPr>
        <w:t>中</w:t>
      </w:r>
      <w:r>
        <w:rPr>
          <w:w w:val="100"/>
        </w:rPr>
        <w:t>的两</w:t>
      </w:r>
      <w:r>
        <w:rPr>
          <w:spacing w:val="-3"/>
          <w:w w:val="100"/>
        </w:rPr>
        <w:t>项</w:t>
      </w:r>
      <w:r>
        <w:rPr>
          <w:spacing w:val="-15"/>
          <w:w w:val="100"/>
        </w:rPr>
        <w:t>，</w:t>
      </w:r>
      <w:r>
        <w:rPr>
          <w:w w:val="100"/>
        </w:rPr>
        <w:t>持</w:t>
      </w:r>
      <w:r>
        <w:rPr>
          <w:spacing w:val="-3"/>
          <w:w w:val="100"/>
        </w:rPr>
        <w:t>续至</w:t>
      </w:r>
      <w:r>
        <w:rPr>
          <w:w w:val="100"/>
        </w:rPr>
        <w:t>少</w:t>
      </w:r>
      <w:r>
        <w:rPr>
          <w:spacing w:val="-53"/>
        </w:rPr>
        <w:t> </w:t>
      </w:r>
      <w:r>
        <w:rPr>
          <w:w w:val="100"/>
        </w:rPr>
        <w:t>180</w:t>
      </w:r>
      <w:r>
        <w:rPr>
          <w:spacing w:val="-55"/>
        </w:rPr>
        <w:t> </w:t>
      </w:r>
      <w:r>
        <w:rPr>
          <w:spacing w:val="-3"/>
          <w:w w:val="100"/>
        </w:rPr>
        <w:t>天</w:t>
      </w:r>
      <w:r>
        <w:rPr>
          <w:spacing w:val="-14"/>
          <w:w w:val="100"/>
        </w:rPr>
        <w:t>，</w:t>
      </w:r>
      <w:r>
        <w:rPr>
          <w:b/>
          <w:w w:val="100"/>
        </w:rPr>
        <w:t>但未达到本合同所指重度疾病“多发</w:t>
      </w:r>
      <w:r>
        <w:rPr>
          <w:b/>
          <w:spacing w:val="-3"/>
          <w:w w:val="100"/>
        </w:rPr>
        <w:t>性</w:t>
      </w:r>
      <w:r>
        <w:rPr>
          <w:b/>
          <w:w w:val="100"/>
        </w:rPr>
        <w:t>硬</w:t>
      </w:r>
      <w:r>
        <w:rPr>
          <w:b/>
          <w:spacing w:val="-3"/>
          <w:w w:val="100"/>
        </w:rPr>
        <w:t>化</w:t>
      </w:r>
      <w:r>
        <w:rPr>
          <w:b/>
          <w:w w:val="100"/>
        </w:rPr>
        <w:t>症”或“瘫痪”的</w:t>
      </w:r>
      <w:r>
        <w:rPr>
          <w:b/>
          <w:spacing w:val="-3"/>
          <w:w w:val="100"/>
        </w:rPr>
        <w:t>给</w:t>
      </w:r>
      <w:r>
        <w:rPr>
          <w:b/>
          <w:w w:val="100"/>
        </w:rPr>
        <w:t>付</w:t>
      </w:r>
      <w:r>
        <w:rPr>
          <w:b/>
          <w:spacing w:val="-3"/>
          <w:w w:val="100"/>
        </w:rPr>
        <w:t>标</w:t>
      </w:r>
      <w:r>
        <w:rPr>
          <w:b/>
          <w:w w:val="100"/>
        </w:rPr>
        <w:t>准。</w:t>
      </w:r>
    </w:p>
    <w:p>
      <w:pPr>
        <w:spacing w:after="0" w:line="300" w:lineRule="auto"/>
        <w:sectPr>
          <w:type w:val="continuous"/>
          <w:pgSz w:w="11910" w:h="16840"/>
          <w:pgMar w:header="0" w:footer="857" w:top="320" w:bottom="1040" w:left="1100" w:right="260"/>
        </w:sectPr>
      </w:pPr>
    </w:p>
    <w:p>
      <w:pPr>
        <w:pStyle w:val="BodyText"/>
        <w:spacing w:before="10"/>
        <w:rPr>
          <w:b/>
          <w:sz w:val="19"/>
        </w:rPr>
      </w:pPr>
    </w:p>
    <w:p>
      <w:pPr>
        <w:tabs>
          <w:tab w:pos="2990" w:val="left" w:leader="none"/>
        </w:tabs>
        <w:spacing w:line="300" w:lineRule="auto" w:before="72"/>
        <w:ind w:left="2990" w:right="953" w:hanging="2766"/>
        <w:jc w:val="left"/>
        <w:rPr>
          <w:sz w:val="21"/>
        </w:rPr>
      </w:pPr>
      <w:r>
        <w:rPr>
          <w:spacing w:val="-2"/>
          <w:sz w:val="21"/>
        </w:rPr>
        <w:t>（</w:t>
      </w:r>
      <w:r>
        <w:rPr>
          <w:spacing w:val="-2"/>
          <w:sz w:val="21"/>
        </w:rPr>
        <w:t>三</w:t>
      </w:r>
      <w:r>
        <w:rPr>
          <w:spacing w:val="-2"/>
          <w:sz w:val="21"/>
        </w:rPr>
        <w:t>）中度肌营养不</w:t>
      </w:r>
      <w:r>
        <w:rPr>
          <w:spacing w:val="-2"/>
          <w:sz w:val="21"/>
        </w:rPr>
        <w:t>良</w:t>
      </w:r>
      <w:r>
        <w:rPr>
          <w:spacing w:val="-2"/>
          <w:sz w:val="21"/>
        </w:rPr>
        <w:t>症</w:t>
      </w:r>
      <w:r>
        <w:rPr>
          <w:sz w:val="21"/>
        </w:rPr>
        <w:tab/>
      </w:r>
      <w:r>
        <w:rPr>
          <w:spacing w:val="-2"/>
          <w:sz w:val="21"/>
        </w:rPr>
        <w:t>指</w:t>
      </w:r>
      <w:r>
        <w:rPr>
          <w:spacing w:val="-2"/>
          <w:sz w:val="21"/>
        </w:rPr>
        <w:t>一</w:t>
      </w:r>
      <w:r>
        <w:rPr>
          <w:spacing w:val="-2"/>
          <w:sz w:val="21"/>
        </w:rPr>
        <w:t>组原发于肌肉的遗传</w:t>
      </w:r>
      <w:r>
        <w:rPr>
          <w:spacing w:val="-2"/>
          <w:sz w:val="21"/>
        </w:rPr>
        <w:t>性</w:t>
      </w:r>
      <w:r>
        <w:rPr>
          <w:spacing w:val="-2"/>
          <w:sz w:val="21"/>
        </w:rPr>
        <w:t>疾</w:t>
      </w:r>
      <w:r>
        <w:rPr>
          <w:spacing w:val="-2"/>
          <w:sz w:val="21"/>
        </w:rPr>
        <w:t>病，临床表现为</w:t>
      </w:r>
      <w:r>
        <w:rPr>
          <w:spacing w:val="-2"/>
          <w:sz w:val="21"/>
        </w:rPr>
        <w:t>与</w:t>
      </w:r>
      <w:r>
        <w:rPr>
          <w:spacing w:val="-2"/>
          <w:sz w:val="21"/>
        </w:rPr>
        <w:t>神</w:t>
      </w:r>
      <w:r>
        <w:rPr>
          <w:spacing w:val="-2"/>
          <w:sz w:val="21"/>
        </w:rPr>
        <w:t>经</w:t>
      </w:r>
      <w:r>
        <w:rPr>
          <w:spacing w:val="-2"/>
          <w:sz w:val="21"/>
        </w:rPr>
        <w:t>系</w:t>
      </w:r>
      <w:r>
        <w:rPr>
          <w:spacing w:val="-2"/>
          <w:sz w:val="21"/>
        </w:rPr>
        <w:t>统无关的肌</w:t>
      </w:r>
      <w:r>
        <w:rPr>
          <w:spacing w:val="-2"/>
          <w:sz w:val="21"/>
        </w:rPr>
        <w:t>肉</w:t>
      </w:r>
      <w:r>
        <w:rPr>
          <w:spacing w:val="-2"/>
          <w:sz w:val="21"/>
        </w:rPr>
        <w:t>无</w:t>
      </w:r>
      <w:r>
        <w:rPr>
          <w:spacing w:val="-2"/>
          <w:sz w:val="21"/>
        </w:rPr>
        <w:t>力</w:t>
      </w:r>
      <w:r>
        <w:rPr>
          <w:spacing w:val="-2"/>
          <w:sz w:val="21"/>
        </w:rPr>
        <w:t>和</w:t>
      </w:r>
      <w:r>
        <w:rPr>
          <w:spacing w:val="-2"/>
          <w:sz w:val="21"/>
        </w:rPr>
        <w:t>肌肉</w:t>
      </w:r>
      <w:r>
        <w:rPr>
          <w:spacing w:val="-2"/>
          <w:sz w:val="21"/>
        </w:rPr>
        <w:t>萎</w:t>
      </w:r>
      <w:r>
        <w:rPr>
          <w:spacing w:val="-2"/>
          <w:sz w:val="21"/>
        </w:rPr>
        <w:t>缩</w:t>
      </w:r>
      <w:r>
        <w:rPr>
          <w:spacing w:val="-2"/>
          <w:sz w:val="21"/>
        </w:rPr>
        <w:t>，</w:t>
      </w:r>
      <w:r>
        <w:rPr>
          <w:b/>
          <w:spacing w:val="-2"/>
          <w:sz w:val="21"/>
        </w:rPr>
        <w:t>虽</w:t>
      </w:r>
      <w:r>
        <w:rPr>
          <w:b/>
          <w:spacing w:val="-2"/>
          <w:sz w:val="21"/>
        </w:rPr>
        <w:t>然</w:t>
      </w:r>
      <w:r>
        <w:rPr>
          <w:b/>
          <w:spacing w:val="-2"/>
          <w:sz w:val="21"/>
        </w:rPr>
        <w:t>未</w:t>
      </w:r>
      <w:r>
        <w:rPr>
          <w:b/>
          <w:spacing w:val="-2"/>
          <w:sz w:val="21"/>
        </w:rPr>
        <w:t>达</w:t>
      </w:r>
      <w:r>
        <w:rPr>
          <w:b/>
          <w:spacing w:val="-2"/>
          <w:sz w:val="21"/>
        </w:rPr>
        <w:t>到</w:t>
      </w:r>
      <w:r>
        <w:rPr>
          <w:b/>
          <w:spacing w:val="-2"/>
          <w:sz w:val="21"/>
        </w:rPr>
        <w:t>本</w:t>
      </w:r>
      <w:r>
        <w:rPr>
          <w:b/>
          <w:spacing w:val="-2"/>
          <w:sz w:val="21"/>
        </w:rPr>
        <w:t>合</w:t>
      </w:r>
      <w:r>
        <w:rPr>
          <w:b/>
          <w:spacing w:val="-2"/>
          <w:sz w:val="21"/>
        </w:rPr>
        <w:t>同</w:t>
      </w:r>
      <w:r>
        <w:rPr>
          <w:b/>
          <w:spacing w:val="-2"/>
          <w:sz w:val="21"/>
        </w:rPr>
        <w:t>所</w:t>
      </w:r>
      <w:r>
        <w:rPr>
          <w:b/>
          <w:spacing w:val="-2"/>
          <w:sz w:val="21"/>
        </w:rPr>
        <w:t>指</w:t>
      </w:r>
      <w:r>
        <w:rPr>
          <w:b/>
          <w:spacing w:val="-2"/>
          <w:sz w:val="21"/>
        </w:rPr>
        <w:t>重</w:t>
      </w:r>
      <w:r>
        <w:rPr>
          <w:b/>
          <w:spacing w:val="-2"/>
          <w:sz w:val="21"/>
        </w:rPr>
        <w:t>度</w:t>
      </w:r>
      <w:r>
        <w:rPr>
          <w:b/>
          <w:spacing w:val="-2"/>
          <w:sz w:val="21"/>
        </w:rPr>
        <w:t>疾病</w:t>
      </w:r>
      <w:r>
        <w:rPr>
          <w:b/>
          <w:spacing w:val="-7"/>
          <w:sz w:val="21"/>
        </w:rPr>
        <w:t> </w:t>
      </w:r>
      <w:r>
        <w:rPr>
          <w:b/>
          <w:spacing w:val="-2"/>
          <w:sz w:val="21"/>
        </w:rPr>
        <w:t>“</w:t>
      </w:r>
      <w:r>
        <w:rPr>
          <w:b/>
          <w:spacing w:val="-2"/>
          <w:sz w:val="21"/>
        </w:rPr>
        <w:t>严</w:t>
      </w:r>
      <w:r>
        <w:rPr>
          <w:b/>
          <w:spacing w:val="-2"/>
          <w:sz w:val="21"/>
        </w:rPr>
        <w:t>重</w:t>
      </w:r>
      <w:r>
        <w:rPr>
          <w:b/>
          <w:spacing w:val="-2"/>
          <w:sz w:val="21"/>
        </w:rPr>
        <w:t>肌</w:t>
      </w:r>
      <w:r>
        <w:rPr>
          <w:b/>
          <w:spacing w:val="-2"/>
          <w:sz w:val="21"/>
        </w:rPr>
        <w:t>营</w:t>
      </w:r>
      <w:r>
        <w:rPr>
          <w:b/>
          <w:spacing w:val="-2"/>
          <w:sz w:val="21"/>
        </w:rPr>
        <w:t>养</w:t>
      </w:r>
      <w:r>
        <w:rPr>
          <w:b/>
          <w:spacing w:val="-2"/>
          <w:sz w:val="21"/>
        </w:rPr>
        <w:t>不</w:t>
      </w:r>
      <w:r>
        <w:rPr>
          <w:b/>
          <w:spacing w:val="-2"/>
          <w:sz w:val="21"/>
        </w:rPr>
        <w:t>良</w:t>
      </w:r>
      <w:r>
        <w:rPr>
          <w:b/>
          <w:spacing w:val="-2"/>
          <w:sz w:val="21"/>
        </w:rPr>
        <w:t>症</w:t>
      </w:r>
      <w:r>
        <w:rPr>
          <w:b/>
          <w:spacing w:val="-2"/>
          <w:sz w:val="21"/>
        </w:rPr>
        <w:t>”</w:t>
      </w:r>
      <w:r>
        <w:rPr>
          <w:b/>
          <w:spacing w:val="-2"/>
          <w:sz w:val="21"/>
        </w:rPr>
        <w:t>或</w:t>
      </w:r>
      <w:r>
        <w:rPr>
          <w:b/>
          <w:spacing w:val="-2"/>
          <w:sz w:val="21"/>
        </w:rPr>
        <w:t>“</w:t>
      </w:r>
      <w:r>
        <w:rPr>
          <w:b/>
          <w:spacing w:val="-2"/>
          <w:sz w:val="21"/>
        </w:rPr>
        <w:t>瘫</w:t>
      </w:r>
      <w:r>
        <w:rPr>
          <w:b/>
          <w:spacing w:val="-2"/>
          <w:sz w:val="21"/>
        </w:rPr>
        <w:t>痪</w:t>
      </w:r>
      <w:r>
        <w:rPr>
          <w:b/>
          <w:spacing w:val="-2"/>
          <w:sz w:val="21"/>
        </w:rPr>
        <w:t>”</w:t>
      </w:r>
      <w:r>
        <w:rPr>
          <w:b/>
          <w:spacing w:val="-2"/>
          <w:sz w:val="21"/>
        </w:rPr>
        <w:t>的</w:t>
      </w:r>
      <w:r>
        <w:rPr>
          <w:b/>
          <w:spacing w:val="-2"/>
          <w:sz w:val="21"/>
        </w:rPr>
        <w:t>给</w:t>
      </w:r>
      <w:r>
        <w:rPr>
          <w:b/>
          <w:spacing w:val="-2"/>
          <w:sz w:val="21"/>
        </w:rPr>
        <w:t>付</w:t>
      </w:r>
      <w:r>
        <w:rPr>
          <w:b/>
          <w:spacing w:val="-2"/>
          <w:sz w:val="21"/>
        </w:rPr>
        <w:t>标准</w:t>
      </w:r>
      <w:r>
        <w:rPr>
          <w:spacing w:val="-2"/>
          <w:sz w:val="21"/>
        </w:rPr>
        <w:t>，</w:t>
      </w:r>
      <w:r>
        <w:rPr>
          <w:spacing w:val="-2"/>
          <w:sz w:val="21"/>
        </w:rPr>
        <w:t>但</w:t>
      </w:r>
      <w:r>
        <w:rPr>
          <w:spacing w:val="-2"/>
          <w:sz w:val="21"/>
        </w:rPr>
        <w:t>须</w:t>
      </w:r>
      <w:r>
        <w:rPr>
          <w:spacing w:val="-2"/>
          <w:sz w:val="21"/>
        </w:rPr>
        <w:t>满足下列全部条</w:t>
      </w:r>
      <w:r>
        <w:rPr>
          <w:spacing w:val="-2"/>
          <w:sz w:val="21"/>
        </w:rPr>
        <w:t>件</w:t>
      </w:r>
      <w:r>
        <w:rPr>
          <w:spacing w:val="-2"/>
          <w:sz w:val="21"/>
        </w:rPr>
        <w:t>：</w:t>
      </w:r>
    </w:p>
    <w:p>
      <w:pPr>
        <w:pStyle w:val="ListParagraph"/>
        <w:numPr>
          <w:ilvl w:val="0"/>
          <w:numId w:val="66"/>
        </w:numPr>
        <w:tabs>
          <w:tab w:pos="3526" w:val="left" w:leader="none"/>
        </w:tabs>
        <w:spacing w:line="302" w:lineRule="auto" w:before="1" w:after="0"/>
        <w:ind w:left="2990" w:right="1064" w:firstLine="0"/>
        <w:jc w:val="left"/>
        <w:rPr>
          <w:sz w:val="21"/>
        </w:rPr>
      </w:pPr>
      <w:r>
        <w:rPr>
          <w:spacing w:val="-2"/>
          <w:sz w:val="21"/>
        </w:rPr>
        <w:t>肌肉组织活检结果满足肌营养不良症的肌肉细胞变性、坏死等阳</w:t>
      </w:r>
      <w:r>
        <w:rPr>
          <w:spacing w:val="-4"/>
          <w:sz w:val="21"/>
        </w:rPr>
        <w:t>性改变；</w:t>
      </w:r>
    </w:p>
    <w:p>
      <w:pPr>
        <w:pStyle w:val="ListParagraph"/>
        <w:numPr>
          <w:ilvl w:val="0"/>
          <w:numId w:val="66"/>
        </w:numPr>
        <w:tabs>
          <w:tab w:pos="3526" w:val="left" w:leader="none"/>
        </w:tabs>
        <w:spacing w:line="300" w:lineRule="auto" w:before="0" w:after="0"/>
        <w:ind w:left="2990" w:right="1064" w:firstLine="0"/>
        <w:jc w:val="left"/>
        <w:rPr>
          <w:sz w:val="21"/>
        </w:rPr>
      </w:pPr>
      <w:r>
        <w:rPr>
          <w:spacing w:val="-2"/>
          <w:sz w:val="21"/>
        </w:rPr>
        <w:t>自主生活能力严重丧失，无法独立完成六项基本日常生活活动中</w:t>
      </w:r>
      <w:r>
        <w:rPr>
          <w:spacing w:val="-4"/>
          <w:sz w:val="21"/>
        </w:rPr>
        <w:t>的两项。</w:t>
      </w:r>
    </w:p>
    <w:p>
      <w:pPr>
        <w:spacing w:line="302" w:lineRule="auto" w:before="0"/>
        <w:ind w:left="2990" w:right="1060" w:firstLine="0"/>
        <w:jc w:val="left"/>
        <w:rPr>
          <w:b/>
          <w:sz w:val="21"/>
        </w:rPr>
      </w:pPr>
      <w:r>
        <w:rPr>
          <w:b/>
          <w:spacing w:val="-3"/>
          <w:sz w:val="21"/>
        </w:rPr>
        <w:t>我们公司承担本项疾病责任不受本合同条款 </w:t>
      </w:r>
      <w:r>
        <w:rPr>
          <w:b/>
          <w:sz w:val="21"/>
        </w:rPr>
        <w:t>2.6“责任免除”中的“遗</w:t>
      </w:r>
      <w:r>
        <w:rPr>
          <w:b/>
          <w:spacing w:val="-2"/>
          <w:sz w:val="21"/>
        </w:rPr>
        <w:t>传性疾病，先天性畸形、变形或染色体异常”的限制。</w:t>
      </w:r>
    </w:p>
    <w:p>
      <w:pPr>
        <w:pStyle w:val="BodyText"/>
        <w:rPr>
          <w:b/>
          <w:sz w:val="20"/>
        </w:rPr>
      </w:pPr>
    </w:p>
    <w:p>
      <w:pPr>
        <w:spacing w:line="300" w:lineRule="auto" w:before="164"/>
        <w:ind w:left="2990" w:right="1058" w:hanging="2766"/>
        <w:jc w:val="both"/>
        <w:rPr>
          <w:sz w:val="21"/>
        </w:rPr>
      </w:pPr>
      <w:r>
        <w:rPr>
          <w:sz w:val="21"/>
        </w:rPr>
        <w:t>（四）</w:t>
      </w:r>
      <w:r>
        <w:rPr>
          <w:spacing w:val="2"/>
          <w:sz w:val="21"/>
        </w:rPr>
        <w:t>中度重症肌无力 指一种神经与肌肉接头部位传递障碍的自身免疫性疾病，临床特征是局</w:t>
      </w:r>
      <w:r>
        <w:rPr>
          <w:spacing w:val="-2"/>
          <w:sz w:val="21"/>
        </w:rPr>
        <w:t>部或全身肌肉于活动时易于疲劳无力，须经专科医生明确诊断，</w:t>
      </w:r>
      <w:r>
        <w:rPr>
          <w:b/>
          <w:spacing w:val="-2"/>
          <w:sz w:val="21"/>
        </w:rPr>
        <w:t>虽然未</w:t>
      </w:r>
      <w:r>
        <w:rPr>
          <w:b/>
          <w:spacing w:val="-2"/>
          <w:sz w:val="21"/>
        </w:rPr>
        <w:t>达到本合同所指重度疾病“重症肌无力”或“瘫痪”的给付标准</w:t>
      </w:r>
      <w:r>
        <w:rPr>
          <w:spacing w:val="-2"/>
          <w:sz w:val="21"/>
        </w:rPr>
        <w:t>，但须</w:t>
      </w:r>
      <w:r>
        <w:rPr>
          <w:spacing w:val="-2"/>
          <w:sz w:val="21"/>
        </w:rPr>
        <w:t>满足下列全部条件：</w:t>
      </w:r>
    </w:p>
    <w:p>
      <w:pPr>
        <w:pStyle w:val="ListParagraph"/>
        <w:numPr>
          <w:ilvl w:val="0"/>
          <w:numId w:val="67"/>
        </w:numPr>
        <w:tabs>
          <w:tab w:pos="3526" w:val="left" w:leader="none"/>
        </w:tabs>
        <w:spacing w:line="300" w:lineRule="auto" w:before="1" w:after="0"/>
        <w:ind w:left="2990" w:right="1065" w:firstLine="0"/>
        <w:jc w:val="left"/>
        <w:rPr>
          <w:sz w:val="21"/>
        </w:rPr>
      </w:pPr>
      <w:r>
        <w:rPr>
          <w:spacing w:val="-2"/>
          <w:sz w:val="21"/>
        </w:rPr>
        <w:t>经药物治疗或胸腺手术治疗一年以上无法控制病情，症状缓解、</w:t>
      </w:r>
      <w:r>
        <w:rPr>
          <w:spacing w:val="-2"/>
          <w:sz w:val="21"/>
        </w:rPr>
        <w:t>复发及恶化交替出现；</w:t>
      </w:r>
    </w:p>
    <w:p>
      <w:pPr>
        <w:pStyle w:val="ListParagraph"/>
        <w:numPr>
          <w:ilvl w:val="0"/>
          <w:numId w:val="67"/>
        </w:numPr>
        <w:tabs>
          <w:tab w:pos="3526" w:val="left" w:leader="none"/>
        </w:tabs>
        <w:spacing w:line="300" w:lineRule="auto" w:before="2" w:after="0"/>
        <w:ind w:left="2990" w:right="1065" w:firstLine="0"/>
        <w:jc w:val="left"/>
        <w:rPr>
          <w:sz w:val="21"/>
        </w:rPr>
      </w:pPr>
      <w:r>
        <w:rPr>
          <w:spacing w:val="-2"/>
          <w:sz w:val="21"/>
        </w:rPr>
        <w:t>自主生活能力严重丧失，无法独立完成六项基本日常生活活动中</w:t>
      </w:r>
      <w:r>
        <w:rPr>
          <w:spacing w:val="-4"/>
          <w:sz w:val="21"/>
        </w:rPr>
        <w:t>的两项。</w:t>
      </w:r>
    </w:p>
    <w:p>
      <w:pPr>
        <w:pStyle w:val="BodyText"/>
        <w:rPr>
          <w:sz w:val="20"/>
        </w:rPr>
      </w:pPr>
    </w:p>
    <w:p>
      <w:pPr>
        <w:spacing w:line="273" w:lineRule="auto" w:before="160"/>
        <w:ind w:left="2990" w:right="1041" w:hanging="2766"/>
        <w:jc w:val="both"/>
        <w:rPr>
          <w:sz w:val="21"/>
        </w:rPr>
      </w:pPr>
      <w:r>
        <w:rPr>
          <w:sz w:val="21"/>
        </w:rPr>
        <w:t>（五）中度原发性帕金森病 </w:t>
      </w:r>
      <w:r>
        <w:rPr>
          <w:position w:val="1"/>
          <w:sz w:val="21"/>
        </w:rPr>
        <w:t>是一种中枢神经系统的退行性疾病，临床表现为运动迟缓、静止性震颤</w:t>
      </w:r>
      <w:r>
        <w:rPr>
          <w:spacing w:val="-2"/>
          <w:sz w:val="21"/>
        </w:rPr>
        <w:t>或肌强直等。经相关专科医生确诊，且须满足自主生活能力部分丧失，</w:t>
      </w:r>
      <w:r>
        <w:rPr>
          <w:spacing w:val="-2"/>
          <w:sz w:val="21"/>
        </w:rPr>
        <w:t>无法独立完成六项基本日常生活活动中的两项，</w:t>
      </w:r>
      <w:r>
        <w:rPr>
          <w:b/>
          <w:spacing w:val="-2"/>
          <w:sz w:val="21"/>
        </w:rPr>
        <w:t>但未达到本合同所指重</w:t>
      </w:r>
      <w:r>
        <w:rPr>
          <w:b/>
          <w:spacing w:val="-2"/>
          <w:sz w:val="21"/>
        </w:rPr>
        <w:t>度疾病“严重原发性帕金森病”或“瘫痪”的给付标准</w:t>
      </w:r>
      <w:r>
        <w:rPr>
          <w:spacing w:val="-2"/>
          <w:sz w:val="21"/>
        </w:rPr>
        <w:t>。</w:t>
      </w:r>
    </w:p>
    <w:p>
      <w:pPr>
        <w:spacing w:before="9"/>
        <w:ind w:left="2990" w:right="0" w:firstLine="0"/>
        <w:jc w:val="left"/>
        <w:rPr>
          <w:b/>
          <w:sz w:val="21"/>
        </w:rPr>
      </w:pPr>
      <w:r>
        <w:rPr>
          <w:b/>
          <w:spacing w:val="-3"/>
          <w:sz w:val="21"/>
        </w:rPr>
        <w:t>继发性帕金森综合征、帕金森叠加综合征不在本保障范围内。</w:t>
      </w:r>
    </w:p>
    <w:p>
      <w:pPr>
        <w:pStyle w:val="BodyText"/>
        <w:rPr>
          <w:b/>
          <w:sz w:val="20"/>
        </w:rPr>
      </w:pPr>
    </w:p>
    <w:p>
      <w:pPr>
        <w:spacing w:after="0"/>
        <w:rPr>
          <w:sz w:val="20"/>
        </w:rPr>
        <w:sectPr>
          <w:pgSz w:w="11910" w:h="16840"/>
          <w:pgMar w:header="0" w:footer="857" w:top="1580" w:bottom="1180" w:left="1100" w:right="260"/>
        </w:sectPr>
      </w:pPr>
    </w:p>
    <w:p>
      <w:pPr>
        <w:pStyle w:val="BodyText"/>
        <w:spacing w:before="8"/>
        <w:rPr>
          <w:b/>
          <w:sz w:val="17"/>
        </w:rPr>
      </w:pPr>
    </w:p>
    <w:p>
      <w:pPr>
        <w:pStyle w:val="BodyText"/>
        <w:spacing w:line="297" w:lineRule="auto" w:before="1"/>
        <w:ind w:left="225"/>
      </w:pPr>
      <w:r>
        <w:rPr>
          <w:spacing w:val="-2"/>
        </w:rPr>
        <w:t>（六）全身中度面积Ⅲ度烧</w:t>
      </w:r>
      <w:r>
        <w:rPr>
          <w:spacing w:val="-10"/>
        </w:rPr>
        <w:t>伤</w:t>
      </w:r>
    </w:p>
    <w:p>
      <w:pPr>
        <w:spacing w:line="240" w:lineRule="auto" w:before="8"/>
        <w:rPr>
          <w:sz w:val="17"/>
        </w:rPr>
      </w:pPr>
      <w:r>
        <w:rPr/>
        <w:br w:type="column"/>
      </w:r>
      <w:r>
        <w:rPr>
          <w:sz w:val="17"/>
        </w:rPr>
      </w:r>
    </w:p>
    <w:p>
      <w:pPr>
        <w:spacing w:line="300" w:lineRule="auto" w:before="1"/>
        <w:ind w:left="176" w:right="1058" w:firstLine="0"/>
        <w:jc w:val="both"/>
        <w:rPr>
          <w:sz w:val="21"/>
        </w:rPr>
      </w:pPr>
      <w:r>
        <w:rPr>
          <w:spacing w:val="-2"/>
          <w:sz w:val="21"/>
        </w:rPr>
        <w:t>指烧伤程度为Ⅲ度，即全层皮肤烧伤，包括表皮、真皮和皮下组织，且 Ⅲ度烧伤的面积达到全身体表面积的 </w:t>
      </w:r>
      <w:r>
        <w:rPr>
          <w:sz w:val="21"/>
        </w:rPr>
        <w:t>15</w:t>
      </w:r>
      <w:r>
        <w:rPr>
          <w:spacing w:val="-9"/>
          <w:sz w:val="21"/>
        </w:rPr>
        <w:t>%或 </w:t>
      </w:r>
      <w:r>
        <w:rPr>
          <w:sz w:val="21"/>
        </w:rPr>
        <w:t>15%以上，</w:t>
      </w:r>
      <w:r>
        <w:rPr>
          <w:b/>
          <w:sz w:val="21"/>
        </w:rPr>
        <w:t>且未达到本合同</w:t>
      </w:r>
      <w:r>
        <w:rPr>
          <w:b/>
          <w:spacing w:val="-2"/>
          <w:sz w:val="21"/>
        </w:rPr>
        <w:t>所指重度疾病“严重Ⅲ度烧伤”的给付标准</w:t>
      </w:r>
      <w:r>
        <w:rPr>
          <w:spacing w:val="-2"/>
          <w:sz w:val="21"/>
        </w:rPr>
        <w:t>。体表面积根据《中国新九</w:t>
      </w:r>
      <w:r>
        <w:rPr>
          <w:spacing w:val="-2"/>
          <w:sz w:val="21"/>
        </w:rPr>
        <w:t>分法》计算。</w:t>
      </w:r>
    </w:p>
    <w:p>
      <w:pPr>
        <w:spacing w:after="0" w:line="300" w:lineRule="auto"/>
        <w:jc w:val="both"/>
        <w:rPr>
          <w:sz w:val="21"/>
        </w:rPr>
        <w:sectPr>
          <w:type w:val="continuous"/>
          <w:pgSz w:w="11910" w:h="16840"/>
          <w:pgMar w:header="0" w:footer="857" w:top="320" w:bottom="1040" w:left="1100" w:right="260"/>
          <w:cols w:num="2" w:equalWidth="0">
            <w:col w:w="2775" w:space="40"/>
            <w:col w:w="7735"/>
          </w:cols>
        </w:sectPr>
      </w:pPr>
    </w:p>
    <w:p>
      <w:pPr>
        <w:pStyle w:val="BodyText"/>
        <w:spacing w:before="11"/>
        <w:rPr>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（七）可逆性再生障碍性贫</w:t>
      </w:r>
      <w:r>
        <w:rPr>
          <w:spacing w:val="-10"/>
        </w:rPr>
        <w:t>血</w:t>
      </w:r>
    </w:p>
    <w:p>
      <w:pPr>
        <w:spacing w:line="300" w:lineRule="auto" w:before="72"/>
        <w:ind w:left="178" w:right="1058" w:firstLine="0"/>
        <w:jc w:val="both"/>
        <w:rPr>
          <w:sz w:val="21"/>
        </w:rPr>
      </w:pPr>
      <w:r>
        <w:rPr/>
        <w:br w:type="column"/>
      </w:r>
      <w:r>
        <w:rPr>
          <w:spacing w:val="-2"/>
          <w:sz w:val="21"/>
        </w:rPr>
        <w:t>指因急性可逆性的骨髓造血功能衰竭而导致贫血、中性粒细胞减少和血</w:t>
      </w:r>
      <w:r>
        <w:rPr>
          <w:spacing w:val="-2"/>
          <w:sz w:val="21"/>
        </w:rPr>
        <w:t>小板减少，</w:t>
      </w:r>
      <w:r>
        <w:rPr>
          <w:b/>
          <w:spacing w:val="-2"/>
          <w:sz w:val="21"/>
        </w:rPr>
        <w:t>但未达到本合同所指重度疾病“重型再生障碍性贫血”的给</w:t>
      </w:r>
      <w:r>
        <w:rPr>
          <w:b/>
          <w:spacing w:val="-2"/>
          <w:sz w:val="21"/>
        </w:rPr>
        <w:t>付标准</w:t>
      </w:r>
      <w:r>
        <w:rPr>
          <w:spacing w:val="-2"/>
          <w:sz w:val="21"/>
        </w:rPr>
        <w:t>，须骨髓穿刺检查或骨髓活检结果支持诊断且病历资料显示接受</w:t>
      </w:r>
      <w:r>
        <w:rPr>
          <w:spacing w:val="-2"/>
          <w:sz w:val="21"/>
        </w:rPr>
        <w:t>了下列任一治疗：</w:t>
      </w:r>
    </w:p>
    <w:p>
      <w:pPr>
        <w:pStyle w:val="ListParagraph"/>
        <w:numPr>
          <w:ilvl w:val="0"/>
          <w:numId w:val="68"/>
        </w:numPr>
        <w:tabs>
          <w:tab w:pos="708" w:val="left" w:leader="none"/>
        </w:tabs>
        <w:spacing w:line="240" w:lineRule="auto" w:before="1" w:after="0"/>
        <w:ind w:left="707" w:right="0" w:hanging="530"/>
        <w:jc w:val="both"/>
        <w:rPr>
          <w:sz w:val="21"/>
        </w:rPr>
      </w:pPr>
      <w:r>
        <w:rPr>
          <w:spacing w:val="-8"/>
          <w:sz w:val="21"/>
        </w:rPr>
        <w:t>骨髓刺激疗法至少 </w:t>
      </w:r>
      <w:r>
        <w:rPr>
          <w:spacing w:val="-2"/>
          <w:sz w:val="21"/>
        </w:rPr>
        <w:t>1</w:t>
      </w:r>
      <w:r>
        <w:rPr>
          <w:spacing w:val="-16"/>
          <w:sz w:val="21"/>
        </w:rPr>
        <w:t> 个月；</w:t>
      </w:r>
    </w:p>
    <w:p>
      <w:pPr>
        <w:pStyle w:val="ListParagraph"/>
        <w:numPr>
          <w:ilvl w:val="0"/>
          <w:numId w:val="68"/>
        </w:numPr>
        <w:tabs>
          <w:tab w:pos="708" w:val="left" w:leader="none"/>
        </w:tabs>
        <w:spacing w:line="240" w:lineRule="auto" w:before="67" w:after="0"/>
        <w:ind w:left="707" w:right="0" w:hanging="530"/>
        <w:jc w:val="both"/>
        <w:rPr>
          <w:sz w:val="21"/>
        </w:rPr>
      </w:pPr>
      <w:r>
        <w:rPr>
          <w:spacing w:val="-7"/>
          <w:sz w:val="21"/>
        </w:rPr>
        <w:t>免疫抑制剂治疗至少 </w:t>
      </w:r>
      <w:r>
        <w:rPr>
          <w:spacing w:val="-2"/>
          <w:sz w:val="21"/>
        </w:rPr>
        <w:t>1</w:t>
      </w:r>
      <w:r>
        <w:rPr>
          <w:spacing w:val="-16"/>
          <w:sz w:val="21"/>
        </w:rPr>
        <w:t> 个月。</w:t>
      </w:r>
    </w:p>
    <w:p>
      <w:pPr>
        <w:spacing w:after="0" w:line="240" w:lineRule="auto"/>
        <w:jc w:val="both"/>
        <w:rPr>
          <w:sz w:val="21"/>
        </w:rPr>
        <w:sectPr>
          <w:type w:val="continuous"/>
          <w:pgSz w:w="11910" w:h="16840"/>
          <w:pgMar w:header="0" w:footer="857" w:top="320" w:bottom="1040" w:left="1100" w:right="260"/>
          <w:cols w:num="2" w:equalWidth="0">
            <w:col w:w="2773" w:space="40"/>
            <w:col w:w="7737"/>
          </w:cols>
        </w:sectPr>
      </w:pPr>
    </w:p>
    <w:p>
      <w:pPr>
        <w:pStyle w:val="BodyText"/>
        <w:rPr>
          <w:sz w:val="20"/>
        </w:rPr>
      </w:pPr>
    </w:p>
    <w:p>
      <w:pPr>
        <w:pStyle w:val="BodyText"/>
        <w:spacing w:before="7"/>
        <w:rPr>
          <w:sz w:val="18"/>
        </w:rPr>
      </w:pPr>
    </w:p>
    <w:p>
      <w:pPr>
        <w:pStyle w:val="BodyText"/>
        <w:tabs>
          <w:tab w:pos="2990" w:val="left" w:leader="none"/>
        </w:tabs>
        <w:spacing w:line="300" w:lineRule="auto"/>
        <w:ind w:left="2990" w:right="1058" w:hanging="2766"/>
      </w:pPr>
      <w:r>
        <w:rPr>
          <w:spacing w:val="-2"/>
        </w:rPr>
        <w:t>（</w:t>
      </w:r>
      <w:r>
        <w:rPr>
          <w:spacing w:val="-2"/>
        </w:rPr>
        <w:t>八</w:t>
      </w:r>
      <w:r>
        <w:rPr>
          <w:spacing w:val="-2"/>
        </w:rPr>
        <w:t>）席汉氏综</w:t>
      </w:r>
      <w:r>
        <w:rPr>
          <w:spacing w:val="-2"/>
        </w:rPr>
        <w:t>合</w:t>
      </w:r>
      <w:r>
        <w:rPr>
          <w:spacing w:val="-2"/>
        </w:rPr>
        <w:t>症</w:t>
      </w:r>
      <w:r>
        <w:rPr/>
        <w:tab/>
      </w:r>
      <w:r>
        <w:rPr>
          <w:spacing w:val="-2"/>
        </w:rPr>
        <w:t>指</w:t>
      </w:r>
      <w:r>
        <w:rPr>
          <w:spacing w:val="-2"/>
        </w:rPr>
        <w:t>因</w:t>
      </w:r>
      <w:r>
        <w:rPr>
          <w:spacing w:val="-2"/>
        </w:rPr>
        <w:t>产后大出血并发休克、全身循环衰竭、弥</w:t>
      </w:r>
      <w:r>
        <w:rPr>
          <w:spacing w:val="-2"/>
        </w:rPr>
        <w:t>漫</w:t>
      </w:r>
      <w:r>
        <w:rPr>
          <w:spacing w:val="-2"/>
        </w:rPr>
        <w:t>性</w:t>
      </w:r>
      <w:r>
        <w:rPr>
          <w:spacing w:val="-2"/>
        </w:rPr>
        <w:t>血</w:t>
      </w:r>
      <w:r>
        <w:rPr>
          <w:spacing w:val="-2"/>
        </w:rPr>
        <w:t>管</w:t>
      </w:r>
      <w:r>
        <w:rPr>
          <w:spacing w:val="-2"/>
        </w:rPr>
        <w:t>内凝血导致</w:t>
      </w:r>
      <w:r>
        <w:rPr>
          <w:spacing w:val="-2"/>
        </w:rPr>
        <w:t>脑</w:t>
      </w:r>
      <w:r>
        <w:rPr>
          <w:spacing w:val="-2"/>
        </w:rPr>
        <w:t>垂</w:t>
      </w:r>
      <w:r>
        <w:rPr>
          <w:spacing w:val="-4"/>
        </w:rPr>
        <w:t>体</w:t>
      </w:r>
      <w:r>
        <w:rPr>
          <w:spacing w:val="-4"/>
        </w:rPr>
        <w:t>缺</w:t>
      </w:r>
      <w:r>
        <w:rPr>
          <w:spacing w:val="-4"/>
        </w:rPr>
        <w:t>血坏死和垂体分泌激</w:t>
      </w:r>
      <w:r>
        <w:rPr>
          <w:spacing w:val="-4"/>
        </w:rPr>
        <w:t>素</w:t>
      </w:r>
      <w:r>
        <w:rPr>
          <w:spacing w:val="-4"/>
        </w:rPr>
        <w:t>不</w:t>
      </w:r>
      <w:r>
        <w:rPr>
          <w:spacing w:val="-4"/>
        </w:rPr>
        <w:t>足，造成性腺、</w:t>
      </w:r>
      <w:r>
        <w:rPr>
          <w:spacing w:val="-4"/>
        </w:rPr>
        <w:t>甲</w:t>
      </w:r>
      <w:r>
        <w:rPr>
          <w:spacing w:val="-4"/>
        </w:rPr>
        <w:t>状</w:t>
      </w:r>
      <w:r>
        <w:rPr>
          <w:spacing w:val="-4"/>
        </w:rPr>
        <w:t>腺、肾上腺皮质</w:t>
      </w:r>
      <w:r>
        <w:rPr>
          <w:spacing w:val="-4"/>
        </w:rPr>
        <w:t>功</w:t>
      </w:r>
      <w:r>
        <w:rPr>
          <w:spacing w:val="-10"/>
        </w:rPr>
        <w:t>能</w:t>
      </w:r>
    </w:p>
    <w:p>
      <w:pPr>
        <w:spacing w:after="0" w:line="300" w:lineRule="auto"/>
        <w:sectPr>
          <w:type w:val="continuous"/>
          <w:pgSz w:w="11910" w:h="16840"/>
          <w:pgMar w:header="0" w:footer="857" w:top="320" w:bottom="1040" w:left="1100" w:right="260"/>
        </w:sectPr>
      </w:pPr>
    </w:p>
    <w:p>
      <w:pPr>
        <w:pStyle w:val="BodyText"/>
        <w:spacing w:before="60"/>
        <w:ind w:left="2990"/>
      </w:pPr>
      <w:r>
        <w:rPr>
          <w:spacing w:val="-3"/>
        </w:rPr>
        <w:t>减退。必须满足下列所有条件：</w:t>
      </w:r>
    </w:p>
    <w:p>
      <w:pPr>
        <w:pStyle w:val="ListParagraph"/>
        <w:numPr>
          <w:ilvl w:val="1"/>
          <w:numId w:val="68"/>
        </w:numPr>
        <w:tabs>
          <w:tab w:pos="3622" w:val="left" w:leader="none"/>
        </w:tabs>
        <w:spacing w:line="240" w:lineRule="auto" w:before="67" w:after="0"/>
        <w:ind w:left="3621" w:right="0" w:hanging="632"/>
        <w:jc w:val="left"/>
        <w:rPr>
          <w:sz w:val="21"/>
        </w:rPr>
      </w:pPr>
      <w:r>
        <w:rPr>
          <w:spacing w:val="-3"/>
          <w:sz w:val="21"/>
        </w:rPr>
        <w:t>产后大出血休克病史；</w:t>
      </w:r>
    </w:p>
    <w:p>
      <w:pPr>
        <w:pStyle w:val="ListParagraph"/>
        <w:numPr>
          <w:ilvl w:val="1"/>
          <w:numId w:val="68"/>
        </w:numPr>
        <w:tabs>
          <w:tab w:pos="3622" w:val="left" w:leader="none"/>
        </w:tabs>
        <w:spacing w:line="240" w:lineRule="auto" w:before="67" w:after="0"/>
        <w:ind w:left="3621" w:right="0" w:hanging="632"/>
        <w:jc w:val="left"/>
        <w:rPr>
          <w:sz w:val="21"/>
        </w:rPr>
      </w:pPr>
      <w:r>
        <w:rPr>
          <w:spacing w:val="-3"/>
          <w:sz w:val="21"/>
        </w:rPr>
        <w:t>严重腺垂体功能破坏，破坏程度&gt;</w:t>
      </w:r>
      <w:r>
        <w:rPr>
          <w:spacing w:val="-4"/>
          <w:sz w:val="21"/>
        </w:rPr>
        <w:t>95%；</w:t>
      </w:r>
    </w:p>
    <w:p>
      <w:pPr>
        <w:pStyle w:val="ListParagraph"/>
        <w:numPr>
          <w:ilvl w:val="1"/>
          <w:numId w:val="68"/>
        </w:numPr>
        <w:tabs>
          <w:tab w:pos="3622" w:val="left" w:leader="none"/>
        </w:tabs>
        <w:spacing w:line="240" w:lineRule="auto" w:before="67" w:after="0"/>
        <w:ind w:left="3621" w:right="0" w:hanging="632"/>
        <w:jc w:val="left"/>
        <w:rPr>
          <w:sz w:val="21"/>
        </w:rPr>
      </w:pPr>
      <w:r>
        <w:rPr>
          <w:spacing w:val="-3"/>
          <w:sz w:val="21"/>
        </w:rPr>
        <w:t>影像学检查显示脑垂体严重萎缩或消失；</w:t>
      </w:r>
    </w:p>
    <w:p>
      <w:pPr>
        <w:pStyle w:val="ListParagraph"/>
        <w:numPr>
          <w:ilvl w:val="1"/>
          <w:numId w:val="68"/>
        </w:numPr>
        <w:tabs>
          <w:tab w:pos="3622" w:val="left" w:leader="none"/>
        </w:tabs>
        <w:spacing w:line="240" w:lineRule="auto" w:before="70" w:after="0"/>
        <w:ind w:left="3621" w:right="0" w:hanging="632"/>
        <w:jc w:val="left"/>
        <w:rPr>
          <w:sz w:val="21"/>
        </w:rPr>
      </w:pPr>
      <w:r>
        <w:rPr>
          <w:spacing w:val="-4"/>
          <w:sz w:val="21"/>
        </w:rPr>
        <w:t>实验室检查显示：</w:t>
      </w:r>
    </w:p>
    <w:p>
      <w:pPr>
        <w:pStyle w:val="BodyText"/>
        <w:spacing w:line="300" w:lineRule="auto" w:before="67"/>
        <w:ind w:left="2990" w:right="1058" w:firstLine="105"/>
      </w:pPr>
      <w:r>
        <w:rPr>
          <w:spacing w:val="-6"/>
        </w:rPr>
        <w:t>① 垂体前叶激素全面低下</w:t>
      </w:r>
      <w:r>
        <w:rPr/>
        <w:t>（包括生长激素、促甲状腺素、促肾上腺皮</w:t>
      </w:r>
      <w:r>
        <w:rPr>
          <w:spacing w:val="-2"/>
        </w:rPr>
        <w:t>质激素、卵泡刺激素和黄体生成素</w:t>
      </w:r>
      <w:r>
        <w:rPr>
          <w:spacing w:val="-108"/>
        </w:rPr>
        <w:t>）</w:t>
      </w:r>
      <w:r>
        <w:rPr/>
        <w:t>；</w:t>
      </w:r>
    </w:p>
    <w:p>
      <w:pPr>
        <w:pStyle w:val="BodyText"/>
        <w:spacing w:before="1"/>
        <w:ind w:left="3096"/>
      </w:pPr>
      <w:r>
        <w:rPr>
          <w:spacing w:val="-3"/>
        </w:rPr>
        <w:t>② 性激素、甲状腺素、肾上腺皮质激素全面低下。</w:t>
      </w:r>
    </w:p>
    <w:p>
      <w:pPr>
        <w:pStyle w:val="ListParagraph"/>
        <w:numPr>
          <w:ilvl w:val="1"/>
          <w:numId w:val="68"/>
        </w:numPr>
        <w:tabs>
          <w:tab w:pos="3613" w:val="left" w:leader="none"/>
        </w:tabs>
        <w:spacing w:line="300" w:lineRule="auto" w:before="67" w:after="0"/>
        <w:ind w:left="2990" w:right="1060" w:firstLine="0"/>
        <w:jc w:val="left"/>
        <w:rPr>
          <w:sz w:val="21"/>
        </w:rPr>
      </w:pPr>
      <w:r>
        <w:rPr>
          <w:spacing w:val="-2"/>
          <w:sz w:val="21"/>
        </w:rPr>
        <w:t>需要终身激素替代治疗以维持身体功能，持续服用各种替代激素</w:t>
      </w:r>
      <w:r>
        <w:rPr>
          <w:spacing w:val="-2"/>
          <w:sz w:val="21"/>
        </w:rPr>
        <w:t>超过一年。</w:t>
      </w:r>
    </w:p>
    <w:p>
      <w:pPr>
        <w:pStyle w:val="BodyText"/>
        <w:spacing w:before="10"/>
        <w:rPr>
          <w:sz w:val="27"/>
        </w:rPr>
      </w:pPr>
    </w:p>
    <w:p>
      <w:pPr>
        <w:spacing w:after="0"/>
        <w:rPr>
          <w:sz w:val="27"/>
        </w:rPr>
        <w:sectPr>
          <w:pgSz w:w="11910" w:h="16840"/>
          <w:pgMar w:header="0" w:footer="857" w:top="1420" w:bottom="1180" w:left="1100" w:right="260"/>
        </w:sectPr>
      </w:pPr>
    </w:p>
    <w:p>
      <w:pPr>
        <w:pStyle w:val="BodyText"/>
        <w:spacing w:line="297" w:lineRule="auto" w:before="71"/>
        <w:ind w:left="225"/>
      </w:pPr>
      <w:r>
        <w:rPr>
          <w:spacing w:val="-2"/>
        </w:rPr>
        <w:t>（九）强直性脊柱炎的特定</w:t>
      </w:r>
      <w:r>
        <w:rPr>
          <w:spacing w:val="-4"/>
        </w:rPr>
        <w:t>手术治疗</w:t>
      </w:r>
    </w:p>
    <w:p>
      <w:pPr>
        <w:spacing w:line="302" w:lineRule="auto" w:before="71"/>
        <w:ind w:left="178" w:right="1060" w:firstLine="0"/>
        <w:jc w:val="left"/>
        <w:rPr>
          <w:sz w:val="21"/>
        </w:rPr>
      </w:pPr>
      <w:r>
        <w:rPr/>
        <w:br w:type="column"/>
      </w:r>
      <w:r>
        <w:rPr>
          <w:spacing w:val="-2"/>
          <w:sz w:val="21"/>
        </w:rPr>
        <w:t>指诊断为强直性脊柱炎，</w:t>
      </w:r>
      <w:r>
        <w:rPr>
          <w:b/>
          <w:spacing w:val="-2"/>
          <w:sz w:val="21"/>
        </w:rPr>
        <w:t>虽然未达到本合同所指重度疾病“严重强直性</w:t>
      </w:r>
      <w:r>
        <w:rPr>
          <w:b/>
          <w:spacing w:val="-2"/>
          <w:sz w:val="21"/>
        </w:rPr>
        <w:t>脊柱炎”的给付标准</w:t>
      </w:r>
      <w:r>
        <w:rPr>
          <w:spacing w:val="-2"/>
          <w:sz w:val="21"/>
        </w:rPr>
        <w:t>，但须满足下列全部条件：</w:t>
      </w:r>
    </w:p>
    <w:p>
      <w:pPr>
        <w:pStyle w:val="ListParagraph"/>
        <w:numPr>
          <w:ilvl w:val="0"/>
          <w:numId w:val="69"/>
        </w:numPr>
        <w:tabs>
          <w:tab w:pos="810" w:val="left" w:leader="none"/>
        </w:tabs>
        <w:spacing w:line="265" w:lineRule="exact" w:before="0" w:after="0"/>
        <w:ind w:left="809" w:right="0" w:hanging="632"/>
        <w:jc w:val="left"/>
        <w:rPr>
          <w:sz w:val="21"/>
        </w:rPr>
      </w:pPr>
      <w:r>
        <w:rPr>
          <w:spacing w:val="-3"/>
          <w:sz w:val="21"/>
        </w:rPr>
        <w:t>脊柱、髋、膝关节疼痛活动受限；</w:t>
      </w:r>
    </w:p>
    <w:p>
      <w:pPr>
        <w:pStyle w:val="ListParagraph"/>
        <w:numPr>
          <w:ilvl w:val="0"/>
          <w:numId w:val="69"/>
        </w:numPr>
        <w:tabs>
          <w:tab w:pos="810" w:val="left" w:leader="none"/>
        </w:tabs>
        <w:spacing w:line="240" w:lineRule="auto" w:before="67" w:after="0"/>
        <w:ind w:left="809" w:right="0" w:hanging="632"/>
        <w:jc w:val="left"/>
        <w:rPr>
          <w:sz w:val="21"/>
        </w:rPr>
      </w:pPr>
      <w:r>
        <w:rPr>
          <w:spacing w:val="-3"/>
          <w:sz w:val="21"/>
        </w:rPr>
        <w:t>脊柱后凸畸形，髋、膝关节强直；</w:t>
      </w:r>
    </w:p>
    <w:p>
      <w:pPr>
        <w:pStyle w:val="ListParagraph"/>
        <w:numPr>
          <w:ilvl w:val="0"/>
          <w:numId w:val="69"/>
        </w:numPr>
        <w:tabs>
          <w:tab w:pos="810" w:val="left" w:leader="none"/>
        </w:tabs>
        <w:spacing w:line="240" w:lineRule="auto" w:before="67" w:after="0"/>
        <w:ind w:left="809" w:right="0" w:hanging="632"/>
        <w:jc w:val="left"/>
        <w:rPr>
          <w:sz w:val="21"/>
        </w:rPr>
      </w:pPr>
      <w:r>
        <w:rPr>
          <w:sz w:val="21"/>
        </w:rPr>
        <w:t>X</w:t>
      </w:r>
      <w:r>
        <w:rPr>
          <w:spacing w:val="-4"/>
          <w:sz w:val="21"/>
        </w:rPr>
        <w:t> 线关节结构破坏征象；</w:t>
      </w:r>
    </w:p>
    <w:p>
      <w:pPr>
        <w:pStyle w:val="ListParagraph"/>
        <w:numPr>
          <w:ilvl w:val="0"/>
          <w:numId w:val="69"/>
        </w:numPr>
        <w:tabs>
          <w:tab w:pos="810" w:val="left" w:leader="none"/>
        </w:tabs>
        <w:spacing w:line="240" w:lineRule="auto" w:before="70" w:after="0"/>
        <w:ind w:left="809" w:right="0" w:hanging="632"/>
        <w:jc w:val="left"/>
        <w:rPr>
          <w:sz w:val="21"/>
        </w:rPr>
      </w:pPr>
      <w:r>
        <w:rPr>
          <w:spacing w:val="-3"/>
          <w:sz w:val="21"/>
        </w:rPr>
        <w:t>实际实施了下列手术治疗的一项或多项：</w:t>
      </w:r>
    </w:p>
    <w:p>
      <w:pPr>
        <w:pStyle w:val="BodyText"/>
        <w:spacing w:before="67"/>
        <w:ind w:left="283"/>
      </w:pPr>
      <w:r>
        <w:rPr>
          <w:spacing w:val="-4"/>
        </w:rPr>
        <w:t>① 脊柱截骨手术；</w:t>
      </w:r>
    </w:p>
    <w:p>
      <w:pPr>
        <w:pStyle w:val="BodyText"/>
        <w:spacing w:before="67"/>
        <w:ind w:left="283"/>
      </w:pPr>
      <w:r>
        <w:rPr>
          <w:spacing w:val="-5"/>
        </w:rPr>
        <w:t>② 全髋关节置换手术；</w:t>
      </w:r>
    </w:p>
    <w:p>
      <w:pPr>
        <w:pStyle w:val="BodyText"/>
        <w:spacing w:before="69"/>
        <w:ind w:left="283"/>
      </w:pPr>
      <w:r>
        <w:rPr>
          <w:spacing w:val="-5"/>
        </w:rPr>
        <w:t>③ 膝关节置换手术。</w:t>
      </w:r>
    </w:p>
    <w:p>
      <w:pPr>
        <w:spacing w:after="0"/>
        <w:sectPr>
          <w:type w:val="continuous"/>
          <w:pgSz w:w="11910" w:h="16840"/>
          <w:pgMar w:header="0" w:footer="857" w:top="320" w:bottom="1040" w:left="1100" w:right="260"/>
          <w:cols w:num="2" w:equalWidth="0">
            <w:col w:w="2773" w:space="40"/>
            <w:col w:w="7737"/>
          </w:cols>
        </w:sectPr>
      </w:pPr>
    </w:p>
    <w:p>
      <w:pPr>
        <w:pStyle w:val="BodyText"/>
        <w:rPr>
          <w:sz w:val="20"/>
        </w:rPr>
      </w:pPr>
    </w:p>
    <w:p>
      <w:pPr>
        <w:pStyle w:val="BodyText"/>
        <w:spacing w:before="7"/>
        <w:rPr>
          <w:sz w:val="18"/>
        </w:rPr>
      </w:pPr>
    </w:p>
    <w:p>
      <w:pPr>
        <w:pStyle w:val="BodyText"/>
        <w:tabs>
          <w:tab w:pos="2990" w:val="left" w:leader="none"/>
        </w:tabs>
        <w:spacing w:before="1"/>
        <w:ind w:left="225"/>
      </w:pPr>
      <w:r>
        <w:rPr>
          <w:spacing w:val="-2"/>
        </w:rPr>
        <w:t>（</w:t>
      </w:r>
      <w:r>
        <w:rPr>
          <w:spacing w:val="-2"/>
        </w:rPr>
        <w:t>十</w:t>
      </w:r>
      <w:r>
        <w:rPr>
          <w:spacing w:val="-2"/>
        </w:rPr>
        <w:t>）脊髓内肿</w:t>
      </w:r>
      <w:r>
        <w:rPr>
          <w:spacing w:val="-10"/>
        </w:rPr>
        <w:t>瘤</w:t>
      </w:r>
      <w:r>
        <w:rPr/>
        <w:tab/>
      </w:r>
      <w:r>
        <w:rPr>
          <w:spacing w:val="-2"/>
        </w:rPr>
        <w:t>肿</w:t>
      </w:r>
      <w:r>
        <w:rPr>
          <w:spacing w:val="-2"/>
        </w:rPr>
        <w:t>瘤</w:t>
      </w:r>
      <w:r>
        <w:rPr>
          <w:spacing w:val="-2"/>
        </w:rPr>
        <w:t>造成脊髓损害导致瘫</w:t>
      </w:r>
      <w:r>
        <w:rPr>
          <w:spacing w:val="-2"/>
        </w:rPr>
        <w:t>痪</w:t>
      </w:r>
      <w:r>
        <w:rPr>
          <w:spacing w:val="-2"/>
        </w:rPr>
        <w:t>，须满足下列所有条件</w:t>
      </w:r>
      <w:r>
        <w:rPr>
          <w:spacing w:val="-10"/>
        </w:rPr>
        <w:t>：</w:t>
      </w:r>
    </w:p>
    <w:p>
      <w:pPr>
        <w:pStyle w:val="ListParagraph"/>
        <w:numPr>
          <w:ilvl w:val="1"/>
          <w:numId w:val="69"/>
        </w:numPr>
        <w:tabs>
          <w:tab w:pos="3203" w:val="left" w:leader="none"/>
        </w:tabs>
        <w:spacing w:line="240" w:lineRule="auto" w:before="66" w:after="0"/>
        <w:ind w:left="3202" w:right="0" w:hanging="213"/>
        <w:jc w:val="left"/>
        <w:rPr>
          <w:sz w:val="21"/>
        </w:rPr>
      </w:pPr>
      <w:r>
        <w:rPr>
          <w:spacing w:val="-3"/>
          <w:sz w:val="21"/>
        </w:rPr>
        <w:t>被保险人实际接受了肿瘤切除的手术治疗；</w:t>
      </w:r>
    </w:p>
    <w:p>
      <w:pPr>
        <w:pStyle w:val="ListParagraph"/>
        <w:numPr>
          <w:ilvl w:val="1"/>
          <w:numId w:val="69"/>
        </w:numPr>
        <w:tabs>
          <w:tab w:pos="3203" w:val="left" w:leader="none"/>
        </w:tabs>
        <w:spacing w:line="302" w:lineRule="auto" w:before="67" w:after="0"/>
        <w:ind w:left="2990" w:right="1058" w:firstLine="0"/>
        <w:jc w:val="left"/>
        <w:rPr>
          <w:sz w:val="21"/>
        </w:rPr>
      </w:pPr>
      <w:r>
        <w:rPr>
          <w:spacing w:val="-17"/>
          <w:sz w:val="21"/>
        </w:rPr>
        <w:t>手术 </w:t>
      </w:r>
      <w:r>
        <w:rPr>
          <w:spacing w:val="-2"/>
          <w:sz w:val="21"/>
        </w:rPr>
        <w:t>180</w:t>
      </w:r>
      <w:r>
        <w:rPr>
          <w:spacing w:val="-9"/>
          <w:sz w:val="21"/>
        </w:rPr>
        <w:t> 天后遗留下列神经系统损害，无法独立完成下列基本日常生</w:t>
      </w:r>
      <w:r>
        <w:rPr>
          <w:spacing w:val="-2"/>
          <w:sz w:val="21"/>
        </w:rPr>
        <w:t>活活动之一：</w:t>
      </w:r>
    </w:p>
    <w:p>
      <w:pPr>
        <w:pStyle w:val="ListParagraph"/>
        <w:numPr>
          <w:ilvl w:val="0"/>
          <w:numId w:val="70"/>
        </w:numPr>
        <w:tabs>
          <w:tab w:pos="3520" w:val="left" w:leader="none"/>
        </w:tabs>
        <w:spacing w:line="265" w:lineRule="exact" w:before="0" w:after="0"/>
        <w:ind w:left="3519" w:right="0" w:hanging="530"/>
        <w:jc w:val="left"/>
        <w:rPr>
          <w:sz w:val="21"/>
        </w:rPr>
      </w:pPr>
      <w:r>
        <w:rPr>
          <w:spacing w:val="-3"/>
          <w:sz w:val="21"/>
        </w:rPr>
        <w:t>移动：自己从一个房间到另一个房间；</w:t>
      </w:r>
    </w:p>
    <w:p>
      <w:pPr>
        <w:pStyle w:val="ListParagraph"/>
        <w:numPr>
          <w:ilvl w:val="0"/>
          <w:numId w:val="70"/>
        </w:numPr>
        <w:tabs>
          <w:tab w:pos="3520" w:val="left" w:leader="none"/>
        </w:tabs>
        <w:spacing w:line="240" w:lineRule="auto" w:before="67" w:after="0"/>
        <w:ind w:left="3519" w:right="0" w:hanging="530"/>
        <w:jc w:val="left"/>
        <w:rPr>
          <w:sz w:val="21"/>
        </w:rPr>
      </w:pPr>
      <w:r>
        <w:rPr>
          <w:spacing w:val="-3"/>
          <w:sz w:val="21"/>
        </w:rPr>
        <w:t>进食：自己从已准备好的碗或碟中取食物放入口中。</w:t>
      </w:r>
    </w:p>
    <w:p>
      <w:pPr>
        <w:pStyle w:val="BodyText"/>
        <w:rPr>
          <w:sz w:val="20"/>
        </w:rPr>
      </w:pPr>
    </w:p>
    <w:p>
      <w:pPr>
        <w:pStyle w:val="BodyText"/>
        <w:spacing w:before="7"/>
        <w:rPr>
          <w:sz w:val="18"/>
        </w:rPr>
      </w:pPr>
    </w:p>
    <w:p>
      <w:pPr>
        <w:pStyle w:val="BodyText"/>
        <w:spacing w:line="300" w:lineRule="auto" w:before="1"/>
        <w:ind w:left="2990" w:right="1058" w:hanging="2766"/>
        <w:jc w:val="both"/>
      </w:pPr>
      <w:r>
        <w:rPr/>
        <w:t>（十一）</w:t>
      </w:r>
      <w:r>
        <w:rPr>
          <w:spacing w:val="13"/>
        </w:rPr>
        <w:t>中度克罗恩病 是一种慢性肉芽肿性肠炎，具有特征性的克罗恩病</w:t>
      </w:r>
      <w:r>
        <w:rPr/>
        <w:t>（Crohn</w:t>
      </w:r>
      <w:r>
        <w:rPr>
          <w:spacing w:val="-14"/>
        </w:rPr>
        <w:t> 病</w:t>
      </w:r>
      <w:r>
        <w:rPr/>
        <w:t>）病理组</w:t>
      </w:r>
      <w:r>
        <w:rPr>
          <w:spacing w:val="-2"/>
        </w:rPr>
        <w:t>织学变化。诊断必须由专科医生经过病理检查结果证实，被保险人所患</w:t>
      </w:r>
      <w:r>
        <w:rPr>
          <w:w w:val="95"/>
        </w:rPr>
        <w:t>的</w:t>
      </w:r>
      <w:r>
        <w:rPr>
          <w:w w:val="95"/>
        </w:rPr>
        <w:t>克</w:t>
      </w:r>
      <w:r>
        <w:rPr>
          <w:w w:val="95"/>
        </w:rPr>
        <w:t>罗恩症须经肠胃科专</w:t>
      </w:r>
      <w:r>
        <w:rPr>
          <w:w w:val="95"/>
        </w:rPr>
        <w:t>科</w:t>
      </w:r>
      <w:r>
        <w:rPr>
          <w:w w:val="95"/>
        </w:rPr>
        <w:t>医</w:t>
      </w:r>
      <w:r>
        <w:rPr>
          <w:w w:val="95"/>
        </w:rPr>
        <w:t>生以类固醇或免疫抑</w:t>
      </w:r>
      <w:r>
        <w:rPr>
          <w:w w:val="95"/>
        </w:rPr>
        <w:t>制</w:t>
      </w:r>
      <w:r>
        <w:rPr>
          <w:w w:val="95"/>
        </w:rPr>
        <w:t>剂</w:t>
      </w:r>
      <w:r>
        <w:rPr>
          <w:w w:val="95"/>
        </w:rPr>
        <w:t>连续治疗</w:t>
      </w:r>
      <w:r>
        <w:rPr>
          <w:spacing w:val="37"/>
        </w:rPr>
        <w:t> </w:t>
      </w:r>
      <w:r>
        <w:rPr>
          <w:w w:val="95"/>
        </w:rPr>
        <w:t>180</w:t>
      </w:r>
      <w:r>
        <w:rPr/>
        <w:t> </w:t>
      </w:r>
      <w:r>
        <w:rPr>
          <w:w w:val="95"/>
        </w:rPr>
        <w:t>天</w:t>
      </w:r>
      <w:r>
        <w:rPr>
          <w:spacing w:val="-2"/>
        </w:rPr>
        <w:t>以上，</w:t>
      </w:r>
      <w:r>
        <w:rPr>
          <w:b/>
          <w:spacing w:val="-2"/>
        </w:rPr>
        <w:t>且未达到本合同所指重度疾病“严重克罗恩病”的给付标准</w:t>
      </w:r>
      <w:r>
        <w:rPr>
          <w:spacing w:val="-2"/>
        </w:rPr>
        <w:t>。</w:t>
      </w:r>
    </w:p>
    <w:p>
      <w:pPr>
        <w:pStyle w:val="BodyText"/>
        <w:spacing w:before="11"/>
        <w:rPr>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（十二）严重甲型及乙型血</w:t>
      </w:r>
      <w:r>
        <w:rPr>
          <w:spacing w:val="-6"/>
        </w:rPr>
        <w:t>友病</w:t>
      </w:r>
    </w:p>
    <w:p>
      <w:pPr>
        <w:pStyle w:val="BodyText"/>
        <w:spacing w:line="300" w:lineRule="auto" w:before="72"/>
        <w:ind w:left="178" w:right="1058"/>
        <w:jc w:val="both"/>
      </w:pPr>
      <w:r>
        <w:rPr/>
        <w:br w:type="column"/>
      </w:r>
      <w:r>
        <w:rPr>
          <w:spacing w:val="-2"/>
        </w:rPr>
        <w:t>被保险人必须是患上严重甲型血友病（缺乏Ⅷ凝血因子）或严重乙型血</w:t>
      </w:r>
      <w:r>
        <w:rPr>
          <w:spacing w:val="-2"/>
        </w:rPr>
        <w:t>友病（</w:t>
      </w:r>
      <w:r>
        <w:rPr>
          <w:spacing w:val="-10"/>
        </w:rPr>
        <w:t>缺乏 </w:t>
      </w:r>
      <w:r>
        <w:rPr>
          <w:spacing w:val="-2"/>
        </w:rPr>
        <w:t>IX</w:t>
      </w:r>
      <w:r>
        <w:rPr>
          <w:spacing w:val="-6"/>
        </w:rPr>
        <w:t> 凝血因子</w:t>
      </w:r>
      <w:r>
        <w:rPr>
          <w:spacing w:val="-108"/>
        </w:rPr>
        <w:t>）</w:t>
      </w:r>
      <w:r>
        <w:rPr>
          <w:spacing w:val="-4"/>
        </w:rPr>
        <w:t>，而凝血因子Ⅷ或凝血因子 </w:t>
      </w:r>
      <w:r>
        <w:rPr>
          <w:spacing w:val="-2"/>
        </w:rPr>
        <w:t>IX</w:t>
      </w:r>
      <w:r>
        <w:rPr>
          <w:spacing w:val="-7"/>
        </w:rPr>
        <w:t> 的活性水平少</w:t>
      </w:r>
      <w:r>
        <w:rPr>
          <w:spacing w:val="-2"/>
        </w:rPr>
        <w:t>于百分之一。诊断必须由我们认可的医院的血液病专科医生确认。</w:t>
      </w:r>
    </w:p>
    <w:p>
      <w:pPr>
        <w:spacing w:line="300" w:lineRule="auto" w:before="1"/>
        <w:ind w:left="178" w:right="1060" w:firstLine="0"/>
        <w:jc w:val="both"/>
        <w:rPr>
          <w:b/>
          <w:sz w:val="21"/>
        </w:rPr>
      </w:pPr>
      <w:r>
        <w:rPr>
          <w:b/>
          <w:spacing w:val="-3"/>
          <w:sz w:val="21"/>
        </w:rPr>
        <w:t>我们公司承担本项疾病责任不受本合同条款 </w:t>
      </w:r>
      <w:r>
        <w:rPr>
          <w:b/>
          <w:spacing w:val="-2"/>
          <w:sz w:val="21"/>
        </w:rPr>
        <w:t>2.6“</w:t>
      </w:r>
      <w:r>
        <w:rPr>
          <w:b/>
          <w:spacing w:val="-2"/>
          <w:sz w:val="21"/>
        </w:rPr>
        <w:t>责任免除”中的“遗</w:t>
      </w:r>
      <w:r>
        <w:rPr>
          <w:b/>
          <w:spacing w:val="-2"/>
          <w:sz w:val="21"/>
        </w:rPr>
        <w:t>传性疾病，先天性畸形、变形或染色体异常”的限制。</w:t>
      </w:r>
    </w:p>
    <w:p>
      <w:pPr>
        <w:spacing w:after="0" w:line="300" w:lineRule="auto"/>
        <w:jc w:val="both"/>
        <w:rPr>
          <w:sz w:val="21"/>
        </w:rPr>
        <w:sectPr>
          <w:type w:val="continuous"/>
          <w:pgSz w:w="11910" w:h="16840"/>
          <w:pgMar w:header="0" w:footer="857" w:top="320" w:bottom="1040" w:left="1100" w:right="260"/>
          <w:cols w:num="2" w:equalWidth="0">
            <w:col w:w="2773" w:space="40"/>
            <w:col w:w="7737"/>
          </w:cols>
        </w:sectPr>
      </w:pPr>
    </w:p>
    <w:p>
      <w:pPr>
        <w:pStyle w:val="BodyText"/>
        <w:spacing w:before="9"/>
        <w:rPr>
          <w:b/>
          <w:sz w:val="27"/>
        </w:rPr>
      </w:pPr>
    </w:p>
    <w:p>
      <w:pPr>
        <w:pStyle w:val="BodyText"/>
        <w:spacing w:before="72"/>
        <w:ind w:left="225"/>
      </w:pPr>
      <w:r>
        <w:rPr/>
        <w:t>（十三）头臂动脉型多发性 多发性大动脉炎（高安氏动脉炎）</w:t>
      </w:r>
      <w:r>
        <w:rPr>
          <w:spacing w:val="-1"/>
        </w:rPr>
        <w:t>是一种发生在主动脉和其主要分支的</w:t>
      </w:r>
    </w:p>
    <w:p>
      <w:pPr>
        <w:spacing w:after="0"/>
        <w:sectPr>
          <w:type w:val="continuous"/>
          <w:pgSz w:w="11910" w:h="16840"/>
          <w:pgMar w:header="0" w:footer="857" w:top="320" w:bottom="1040" w:left="1100" w:right="260"/>
        </w:sectPr>
      </w:pPr>
    </w:p>
    <w:p>
      <w:pPr>
        <w:tabs>
          <w:tab w:pos="2990" w:val="left" w:leader="none"/>
        </w:tabs>
        <w:spacing w:line="300" w:lineRule="auto" w:before="60"/>
        <w:ind w:left="2990" w:right="955" w:hanging="2766"/>
        <w:jc w:val="left"/>
        <w:rPr>
          <w:b/>
          <w:sz w:val="21"/>
        </w:rPr>
      </w:pPr>
      <w:r>
        <w:rPr>
          <w:w w:val="100"/>
          <w:sz w:val="21"/>
        </w:rPr>
        <w:t>大动</w:t>
      </w:r>
      <w:r>
        <w:rPr>
          <w:spacing w:val="-3"/>
          <w:w w:val="100"/>
          <w:sz w:val="21"/>
        </w:rPr>
        <w:t>脉</w:t>
      </w:r>
      <w:r>
        <w:rPr>
          <w:w w:val="100"/>
          <w:sz w:val="21"/>
        </w:rPr>
        <w:t>炎</w:t>
      </w:r>
      <w:r>
        <w:rPr>
          <w:spacing w:val="-3"/>
          <w:w w:val="100"/>
          <w:sz w:val="21"/>
        </w:rPr>
        <w:t>旁</w:t>
      </w:r>
      <w:r>
        <w:rPr>
          <w:w w:val="100"/>
          <w:sz w:val="21"/>
        </w:rPr>
        <w:t>路</w:t>
      </w:r>
      <w:r>
        <w:rPr>
          <w:spacing w:val="-3"/>
          <w:w w:val="100"/>
          <w:sz w:val="21"/>
        </w:rPr>
        <w:t>移</w:t>
      </w:r>
      <w:r>
        <w:rPr>
          <w:w w:val="100"/>
          <w:sz w:val="21"/>
        </w:rPr>
        <w:t>植</w:t>
      </w:r>
      <w:r>
        <w:rPr>
          <w:spacing w:val="-3"/>
          <w:w w:val="100"/>
          <w:sz w:val="21"/>
        </w:rPr>
        <w:t>手</w:t>
      </w:r>
      <w:r>
        <w:rPr>
          <w:w w:val="100"/>
          <w:sz w:val="21"/>
        </w:rPr>
        <w:t>术</w:t>
      </w:r>
      <w:r>
        <w:rPr>
          <w:sz w:val="21"/>
        </w:rPr>
        <w:tab/>
      </w:r>
      <w:r>
        <w:rPr>
          <w:w w:val="100"/>
          <w:sz w:val="21"/>
        </w:rPr>
        <w:t>慢性</w:t>
      </w:r>
      <w:r>
        <w:rPr>
          <w:spacing w:val="-3"/>
          <w:w w:val="100"/>
          <w:sz w:val="21"/>
        </w:rPr>
        <w:t>炎</w:t>
      </w:r>
      <w:r>
        <w:rPr>
          <w:w w:val="100"/>
          <w:sz w:val="21"/>
        </w:rPr>
        <w:t>症</w:t>
      </w:r>
      <w:r>
        <w:rPr>
          <w:spacing w:val="-3"/>
          <w:w w:val="100"/>
          <w:sz w:val="21"/>
        </w:rPr>
        <w:t>性</w:t>
      </w:r>
      <w:r>
        <w:rPr>
          <w:w w:val="100"/>
          <w:sz w:val="21"/>
        </w:rPr>
        <w:t>动</w:t>
      </w:r>
      <w:r>
        <w:rPr>
          <w:spacing w:val="-3"/>
          <w:w w:val="100"/>
          <w:sz w:val="21"/>
        </w:rPr>
        <w:t>脉</w:t>
      </w:r>
      <w:r>
        <w:rPr>
          <w:w w:val="100"/>
          <w:sz w:val="21"/>
        </w:rPr>
        <w:t>疾</w:t>
      </w:r>
      <w:r>
        <w:rPr>
          <w:spacing w:val="-3"/>
          <w:w w:val="100"/>
          <w:sz w:val="21"/>
        </w:rPr>
        <w:t>病</w:t>
      </w:r>
      <w:r>
        <w:rPr>
          <w:spacing w:val="-13"/>
          <w:w w:val="100"/>
          <w:sz w:val="21"/>
        </w:rPr>
        <w:t>，</w:t>
      </w:r>
      <w:r>
        <w:rPr>
          <w:spacing w:val="-3"/>
          <w:w w:val="100"/>
          <w:sz w:val="21"/>
        </w:rPr>
        <w:t>表</w:t>
      </w:r>
      <w:r>
        <w:rPr>
          <w:w w:val="100"/>
          <w:sz w:val="21"/>
        </w:rPr>
        <w:t>现为</w:t>
      </w:r>
      <w:r>
        <w:rPr>
          <w:spacing w:val="-3"/>
          <w:w w:val="100"/>
          <w:sz w:val="21"/>
        </w:rPr>
        <w:t>受</w:t>
      </w:r>
      <w:r>
        <w:rPr>
          <w:w w:val="100"/>
          <w:sz w:val="21"/>
        </w:rPr>
        <w:t>累</w:t>
      </w:r>
      <w:r>
        <w:rPr>
          <w:spacing w:val="-3"/>
          <w:w w:val="100"/>
          <w:sz w:val="21"/>
        </w:rPr>
        <w:t>动</w:t>
      </w:r>
      <w:r>
        <w:rPr>
          <w:w w:val="100"/>
          <w:sz w:val="21"/>
        </w:rPr>
        <w:t>脉</w:t>
      </w:r>
      <w:r>
        <w:rPr>
          <w:spacing w:val="-3"/>
          <w:w w:val="100"/>
          <w:sz w:val="21"/>
        </w:rPr>
        <w:t>狭</w:t>
      </w:r>
      <w:r>
        <w:rPr>
          <w:w w:val="100"/>
          <w:sz w:val="21"/>
        </w:rPr>
        <w:t>窄</w:t>
      </w:r>
      <w:r>
        <w:rPr>
          <w:spacing w:val="-3"/>
          <w:w w:val="100"/>
          <w:sz w:val="21"/>
        </w:rPr>
        <w:t>或</w:t>
      </w:r>
      <w:r>
        <w:rPr>
          <w:w w:val="100"/>
          <w:sz w:val="21"/>
        </w:rPr>
        <w:t>闭</w:t>
      </w:r>
      <w:r>
        <w:rPr>
          <w:spacing w:val="-3"/>
          <w:w w:val="100"/>
          <w:sz w:val="21"/>
        </w:rPr>
        <w:t>塞</w:t>
      </w:r>
      <w:r>
        <w:rPr>
          <w:spacing w:val="-10"/>
          <w:w w:val="100"/>
          <w:sz w:val="21"/>
        </w:rPr>
        <w:t>。</w:t>
      </w:r>
      <w:r>
        <w:rPr>
          <w:spacing w:val="-3"/>
          <w:w w:val="100"/>
          <w:sz w:val="21"/>
        </w:rPr>
        <w:t>头</w:t>
      </w:r>
      <w:r>
        <w:rPr>
          <w:w w:val="100"/>
          <w:sz w:val="21"/>
        </w:rPr>
        <w:t>臂</w:t>
      </w:r>
      <w:r>
        <w:rPr>
          <w:spacing w:val="-3"/>
          <w:w w:val="100"/>
          <w:sz w:val="21"/>
        </w:rPr>
        <w:t>动</w:t>
      </w:r>
      <w:r>
        <w:rPr>
          <w:w w:val="100"/>
          <w:sz w:val="21"/>
        </w:rPr>
        <w:t>脉</w:t>
      </w:r>
      <w:r>
        <w:rPr>
          <w:spacing w:val="-3"/>
          <w:w w:val="100"/>
          <w:sz w:val="21"/>
        </w:rPr>
        <w:t>型</w:t>
      </w:r>
      <w:r>
        <w:rPr>
          <w:w w:val="100"/>
          <w:sz w:val="21"/>
        </w:rPr>
        <w:t>多</w:t>
      </w:r>
      <w:r>
        <w:rPr>
          <w:spacing w:val="-3"/>
          <w:w w:val="100"/>
          <w:sz w:val="21"/>
        </w:rPr>
        <w:t>发</w:t>
      </w:r>
      <w:r>
        <w:rPr>
          <w:w w:val="100"/>
          <w:sz w:val="21"/>
        </w:rPr>
        <w:t>性大动</w:t>
      </w:r>
      <w:r>
        <w:rPr>
          <w:spacing w:val="-3"/>
          <w:w w:val="100"/>
          <w:sz w:val="21"/>
        </w:rPr>
        <w:t>脉</w:t>
      </w:r>
      <w:r>
        <w:rPr>
          <w:w w:val="100"/>
          <w:sz w:val="21"/>
        </w:rPr>
        <w:t>炎</w:t>
      </w:r>
      <w:r>
        <w:rPr>
          <w:spacing w:val="-3"/>
          <w:w w:val="100"/>
          <w:sz w:val="21"/>
        </w:rPr>
        <w:t>是</w:t>
      </w:r>
      <w:r>
        <w:rPr>
          <w:w w:val="100"/>
          <w:sz w:val="21"/>
        </w:rPr>
        <w:t>指</w:t>
      </w:r>
      <w:r>
        <w:rPr>
          <w:spacing w:val="-3"/>
          <w:w w:val="100"/>
          <w:sz w:val="21"/>
        </w:rPr>
        <w:t>多</w:t>
      </w:r>
      <w:r>
        <w:rPr>
          <w:w w:val="100"/>
          <w:sz w:val="21"/>
        </w:rPr>
        <w:t>发</w:t>
      </w:r>
      <w:r>
        <w:rPr>
          <w:spacing w:val="-3"/>
          <w:w w:val="100"/>
          <w:sz w:val="21"/>
        </w:rPr>
        <w:t>性</w:t>
      </w:r>
      <w:r>
        <w:rPr>
          <w:w w:val="100"/>
          <w:sz w:val="21"/>
        </w:rPr>
        <w:t>大</w:t>
      </w:r>
      <w:r>
        <w:rPr>
          <w:spacing w:val="-3"/>
          <w:w w:val="100"/>
          <w:sz w:val="21"/>
        </w:rPr>
        <w:t>动</w:t>
      </w:r>
      <w:r>
        <w:rPr>
          <w:w w:val="100"/>
          <w:sz w:val="21"/>
        </w:rPr>
        <w:t>脉炎</w:t>
      </w:r>
      <w:r>
        <w:rPr>
          <w:spacing w:val="-3"/>
          <w:w w:val="100"/>
          <w:sz w:val="21"/>
        </w:rPr>
        <w:t>头</w:t>
      </w:r>
      <w:r>
        <w:rPr>
          <w:w w:val="100"/>
          <w:sz w:val="21"/>
        </w:rPr>
        <w:t>臂</w:t>
      </w:r>
      <w:r>
        <w:rPr>
          <w:spacing w:val="-3"/>
          <w:w w:val="100"/>
          <w:sz w:val="21"/>
        </w:rPr>
        <w:t>动</w:t>
      </w:r>
      <w:r>
        <w:rPr>
          <w:w w:val="100"/>
          <w:sz w:val="21"/>
        </w:rPr>
        <w:t>脉</w:t>
      </w:r>
      <w:r>
        <w:rPr>
          <w:spacing w:val="-27"/>
          <w:w w:val="100"/>
          <w:sz w:val="21"/>
        </w:rPr>
        <w:t>型</w:t>
      </w:r>
      <w:r>
        <w:rPr>
          <w:spacing w:val="-1"/>
          <w:w w:val="100"/>
          <w:sz w:val="21"/>
        </w:rPr>
        <w:t>（</w:t>
      </w:r>
      <w:r>
        <w:rPr>
          <w:w w:val="100"/>
          <w:sz w:val="21"/>
        </w:rPr>
        <w:t>I</w:t>
      </w:r>
      <w:r>
        <w:rPr>
          <w:spacing w:val="-55"/>
          <w:sz w:val="21"/>
        </w:rPr>
        <w:t> </w:t>
      </w:r>
      <w:r>
        <w:rPr>
          <w:w w:val="100"/>
          <w:sz w:val="21"/>
        </w:rPr>
        <w:t>型</w:t>
      </w:r>
      <w:r>
        <w:rPr>
          <w:spacing w:val="-108"/>
          <w:w w:val="100"/>
          <w:sz w:val="21"/>
        </w:rPr>
        <w:t>）</w:t>
      </w:r>
      <w:r>
        <w:rPr>
          <w:spacing w:val="-27"/>
          <w:w w:val="100"/>
          <w:sz w:val="21"/>
        </w:rPr>
        <w:t>，</w:t>
      </w:r>
      <w:r>
        <w:rPr>
          <w:w w:val="100"/>
          <w:sz w:val="21"/>
        </w:rPr>
        <w:t>又称</w:t>
      </w:r>
      <w:r>
        <w:rPr>
          <w:spacing w:val="-3"/>
          <w:w w:val="100"/>
          <w:sz w:val="21"/>
        </w:rPr>
        <w:t>为</w:t>
      </w:r>
      <w:r>
        <w:rPr>
          <w:w w:val="100"/>
          <w:sz w:val="21"/>
        </w:rPr>
        <w:t>无</w:t>
      </w:r>
      <w:r>
        <w:rPr>
          <w:spacing w:val="-3"/>
          <w:w w:val="100"/>
          <w:sz w:val="21"/>
        </w:rPr>
        <w:t>脉症</w:t>
      </w:r>
      <w:r>
        <w:rPr>
          <w:spacing w:val="-25"/>
          <w:w w:val="100"/>
          <w:sz w:val="21"/>
        </w:rPr>
        <w:t>。</w:t>
      </w:r>
      <w:r>
        <w:rPr>
          <w:spacing w:val="-3"/>
          <w:w w:val="100"/>
          <w:sz w:val="21"/>
        </w:rPr>
        <w:t>被</w:t>
      </w:r>
      <w:r>
        <w:rPr>
          <w:w w:val="100"/>
          <w:sz w:val="21"/>
        </w:rPr>
        <w:t>保</w:t>
      </w:r>
      <w:r>
        <w:rPr>
          <w:spacing w:val="4"/>
          <w:w w:val="100"/>
          <w:sz w:val="21"/>
        </w:rPr>
        <w:t>险</w:t>
      </w:r>
      <w:r>
        <w:rPr>
          <w:spacing w:val="6"/>
          <w:w w:val="100"/>
          <w:sz w:val="21"/>
        </w:rPr>
        <w:t>人</w:t>
      </w:r>
      <w:r>
        <w:rPr>
          <w:spacing w:val="4"/>
          <w:w w:val="100"/>
          <w:sz w:val="21"/>
        </w:rPr>
        <w:t>被明确</w:t>
      </w:r>
      <w:r>
        <w:rPr>
          <w:spacing w:val="6"/>
          <w:w w:val="100"/>
          <w:sz w:val="21"/>
        </w:rPr>
        <w:t>诊</w:t>
      </w:r>
      <w:r>
        <w:rPr>
          <w:spacing w:val="4"/>
          <w:w w:val="100"/>
          <w:sz w:val="21"/>
        </w:rPr>
        <w:t>断为头</w:t>
      </w:r>
      <w:r>
        <w:rPr>
          <w:spacing w:val="6"/>
          <w:w w:val="100"/>
          <w:sz w:val="21"/>
        </w:rPr>
        <w:t>臂</w:t>
      </w:r>
      <w:r>
        <w:rPr>
          <w:spacing w:val="4"/>
          <w:w w:val="100"/>
          <w:sz w:val="21"/>
        </w:rPr>
        <w:t>动脉</w:t>
      </w:r>
      <w:r>
        <w:rPr>
          <w:spacing w:val="6"/>
          <w:w w:val="100"/>
          <w:sz w:val="21"/>
        </w:rPr>
        <w:t>型</w:t>
      </w:r>
      <w:r>
        <w:rPr>
          <w:spacing w:val="4"/>
          <w:w w:val="100"/>
          <w:sz w:val="21"/>
        </w:rPr>
        <w:t>多发性</w:t>
      </w:r>
      <w:r>
        <w:rPr>
          <w:spacing w:val="6"/>
          <w:w w:val="100"/>
          <w:sz w:val="21"/>
        </w:rPr>
        <w:t>大</w:t>
      </w:r>
      <w:r>
        <w:rPr>
          <w:spacing w:val="4"/>
          <w:w w:val="100"/>
          <w:sz w:val="21"/>
        </w:rPr>
        <w:t>动脉炎</w:t>
      </w:r>
      <w:r>
        <w:rPr>
          <w:spacing w:val="6"/>
          <w:w w:val="100"/>
          <w:sz w:val="21"/>
        </w:rPr>
        <w:t>并</w:t>
      </w:r>
      <w:r>
        <w:rPr>
          <w:spacing w:val="4"/>
          <w:w w:val="100"/>
          <w:sz w:val="21"/>
        </w:rPr>
        <w:t>且实</w:t>
      </w:r>
      <w:r>
        <w:rPr>
          <w:spacing w:val="6"/>
          <w:w w:val="100"/>
          <w:sz w:val="21"/>
        </w:rPr>
        <w:t>际</w:t>
      </w:r>
      <w:r>
        <w:rPr>
          <w:spacing w:val="4"/>
          <w:w w:val="100"/>
          <w:sz w:val="21"/>
        </w:rPr>
        <w:t>接受了</w:t>
      </w:r>
      <w:r>
        <w:rPr>
          <w:spacing w:val="12"/>
          <w:w w:val="100"/>
          <w:sz w:val="21"/>
        </w:rPr>
        <w:t>经</w:t>
      </w:r>
      <w:r>
        <w:rPr>
          <w:spacing w:val="4"/>
          <w:w w:val="100"/>
          <w:sz w:val="21"/>
        </w:rPr>
        <w:t>胸部</w:t>
      </w:r>
      <w:r>
        <w:rPr>
          <w:w w:val="100"/>
          <w:sz w:val="21"/>
        </w:rPr>
        <w:t>切开</w:t>
      </w:r>
      <w:r>
        <w:rPr>
          <w:spacing w:val="-3"/>
          <w:w w:val="100"/>
          <w:sz w:val="21"/>
        </w:rPr>
        <w:t>进</w:t>
      </w:r>
      <w:r>
        <w:rPr>
          <w:w w:val="100"/>
          <w:sz w:val="21"/>
        </w:rPr>
        <w:t>行</w:t>
      </w:r>
      <w:r>
        <w:rPr>
          <w:spacing w:val="-3"/>
          <w:w w:val="100"/>
          <w:sz w:val="21"/>
        </w:rPr>
        <w:t>的</w:t>
      </w:r>
      <w:r>
        <w:rPr>
          <w:w w:val="100"/>
          <w:sz w:val="21"/>
        </w:rPr>
        <w:t>无</w:t>
      </w:r>
      <w:r>
        <w:rPr>
          <w:spacing w:val="-3"/>
          <w:w w:val="100"/>
          <w:sz w:val="21"/>
        </w:rPr>
        <w:t>名</w:t>
      </w:r>
      <w:r>
        <w:rPr>
          <w:w w:val="100"/>
          <w:sz w:val="21"/>
        </w:rPr>
        <w:t>动</w:t>
      </w:r>
      <w:r>
        <w:rPr>
          <w:spacing w:val="-10"/>
          <w:w w:val="100"/>
          <w:sz w:val="21"/>
        </w:rPr>
        <w:t>脉</w:t>
      </w:r>
      <w:r>
        <w:rPr>
          <w:w w:val="100"/>
          <w:sz w:val="21"/>
        </w:rPr>
        <w:t>（</w:t>
      </w:r>
      <w:r>
        <w:rPr>
          <w:spacing w:val="-3"/>
          <w:w w:val="100"/>
          <w:sz w:val="21"/>
        </w:rPr>
        <w:t>头</w:t>
      </w:r>
      <w:r>
        <w:rPr>
          <w:w w:val="100"/>
          <w:sz w:val="21"/>
        </w:rPr>
        <w:t>臂干</w:t>
      </w:r>
      <w:r>
        <w:rPr>
          <w:spacing w:val="-108"/>
          <w:w w:val="100"/>
          <w:sz w:val="21"/>
        </w:rPr>
        <w:t>）</w:t>
      </w:r>
      <w:r>
        <w:rPr>
          <w:spacing w:val="-8"/>
          <w:w w:val="100"/>
          <w:sz w:val="21"/>
        </w:rPr>
        <w:t>、</w:t>
      </w:r>
      <w:r>
        <w:rPr>
          <w:w w:val="100"/>
          <w:sz w:val="21"/>
        </w:rPr>
        <w:t>颈</w:t>
      </w:r>
      <w:r>
        <w:rPr>
          <w:spacing w:val="-3"/>
          <w:w w:val="100"/>
          <w:sz w:val="21"/>
        </w:rPr>
        <w:t>总</w:t>
      </w:r>
      <w:r>
        <w:rPr>
          <w:w w:val="100"/>
          <w:sz w:val="21"/>
        </w:rPr>
        <w:t>动</w:t>
      </w:r>
      <w:r>
        <w:rPr>
          <w:spacing w:val="-3"/>
          <w:w w:val="100"/>
          <w:sz w:val="21"/>
        </w:rPr>
        <w:t>脉</w:t>
      </w:r>
      <w:r>
        <w:rPr>
          <w:spacing w:val="-8"/>
          <w:w w:val="100"/>
          <w:sz w:val="21"/>
        </w:rPr>
        <w:t>、</w:t>
      </w:r>
      <w:r>
        <w:rPr>
          <w:spacing w:val="-3"/>
          <w:w w:val="100"/>
          <w:sz w:val="21"/>
        </w:rPr>
        <w:t>锁</w:t>
      </w:r>
      <w:r>
        <w:rPr>
          <w:w w:val="100"/>
          <w:sz w:val="21"/>
        </w:rPr>
        <w:t>骨</w:t>
      </w:r>
      <w:r>
        <w:rPr>
          <w:spacing w:val="-3"/>
          <w:w w:val="100"/>
          <w:sz w:val="21"/>
        </w:rPr>
        <w:t>下</w:t>
      </w:r>
      <w:r>
        <w:rPr>
          <w:w w:val="100"/>
          <w:sz w:val="21"/>
        </w:rPr>
        <w:t>动脉</w:t>
      </w:r>
      <w:r>
        <w:rPr>
          <w:spacing w:val="-3"/>
          <w:w w:val="100"/>
          <w:sz w:val="21"/>
        </w:rPr>
        <w:t>旁</w:t>
      </w:r>
      <w:r>
        <w:rPr>
          <w:w w:val="100"/>
          <w:sz w:val="21"/>
        </w:rPr>
        <w:t>路</w:t>
      </w:r>
      <w:r>
        <w:rPr>
          <w:spacing w:val="-3"/>
          <w:w w:val="100"/>
          <w:sz w:val="21"/>
        </w:rPr>
        <w:t>移</w:t>
      </w:r>
      <w:r>
        <w:rPr>
          <w:w w:val="100"/>
          <w:sz w:val="21"/>
        </w:rPr>
        <w:t>植</w:t>
      </w:r>
      <w:r>
        <w:rPr>
          <w:spacing w:val="-3"/>
          <w:w w:val="100"/>
          <w:sz w:val="21"/>
        </w:rPr>
        <w:t>手术</w:t>
      </w:r>
      <w:r>
        <w:rPr>
          <w:w w:val="100"/>
          <w:sz w:val="21"/>
        </w:rPr>
        <w:t>。</w:t>
      </w:r>
      <w:r>
        <w:rPr>
          <w:b/>
          <w:w w:val="100"/>
          <w:sz w:val="21"/>
        </w:rPr>
        <w:t>非开胸的血管旁路</w:t>
      </w:r>
      <w:r>
        <w:rPr>
          <w:b/>
          <w:spacing w:val="-3"/>
          <w:w w:val="100"/>
          <w:sz w:val="21"/>
        </w:rPr>
        <w:t>移</w:t>
      </w:r>
      <w:r>
        <w:rPr>
          <w:b/>
          <w:w w:val="100"/>
          <w:sz w:val="21"/>
        </w:rPr>
        <w:t>植</w:t>
      </w:r>
      <w:r>
        <w:rPr>
          <w:b/>
          <w:spacing w:val="-3"/>
          <w:w w:val="100"/>
          <w:sz w:val="21"/>
        </w:rPr>
        <w:t>手</w:t>
      </w:r>
      <w:r>
        <w:rPr>
          <w:b/>
          <w:w w:val="100"/>
          <w:sz w:val="21"/>
        </w:rPr>
        <w:t>术</w:t>
      </w:r>
      <w:r>
        <w:rPr>
          <w:b/>
          <w:spacing w:val="-22"/>
          <w:w w:val="100"/>
          <w:sz w:val="21"/>
        </w:rPr>
        <w:t>、</w:t>
      </w:r>
      <w:r>
        <w:rPr>
          <w:b/>
          <w:w w:val="100"/>
          <w:sz w:val="21"/>
        </w:rPr>
        <w:t>因其他</w:t>
      </w:r>
      <w:r>
        <w:rPr>
          <w:b/>
          <w:spacing w:val="-3"/>
          <w:w w:val="100"/>
          <w:sz w:val="21"/>
        </w:rPr>
        <w:t>病</w:t>
      </w:r>
      <w:r>
        <w:rPr>
          <w:b/>
          <w:w w:val="100"/>
          <w:sz w:val="21"/>
        </w:rPr>
        <w:t>因而进行</w:t>
      </w:r>
      <w:r>
        <w:rPr>
          <w:b/>
          <w:spacing w:val="-3"/>
          <w:w w:val="100"/>
          <w:sz w:val="21"/>
        </w:rPr>
        <w:t>的</w:t>
      </w:r>
      <w:r>
        <w:rPr>
          <w:b/>
          <w:w w:val="100"/>
          <w:sz w:val="21"/>
        </w:rPr>
        <w:t>旁路移植手</w:t>
      </w:r>
      <w:r>
        <w:rPr>
          <w:b/>
          <w:spacing w:val="-3"/>
          <w:w w:val="100"/>
          <w:sz w:val="21"/>
        </w:rPr>
        <w:t>术</w:t>
      </w:r>
      <w:r>
        <w:rPr>
          <w:b/>
          <w:spacing w:val="-22"/>
          <w:w w:val="100"/>
          <w:sz w:val="21"/>
        </w:rPr>
        <w:t>，</w:t>
      </w:r>
      <w:r>
        <w:rPr>
          <w:b/>
          <w:w w:val="100"/>
          <w:sz w:val="21"/>
        </w:rPr>
        <w:t>对其他动脉进行的旁路</w:t>
      </w:r>
      <w:r>
        <w:rPr>
          <w:b/>
          <w:spacing w:val="-3"/>
          <w:w w:val="100"/>
          <w:sz w:val="21"/>
        </w:rPr>
        <w:t>移</w:t>
      </w:r>
      <w:r>
        <w:rPr>
          <w:b/>
          <w:w w:val="100"/>
          <w:sz w:val="21"/>
        </w:rPr>
        <w:t>植</w:t>
      </w:r>
      <w:r>
        <w:rPr>
          <w:b/>
          <w:spacing w:val="-3"/>
          <w:w w:val="100"/>
          <w:sz w:val="21"/>
        </w:rPr>
        <w:t>手</w:t>
      </w:r>
      <w:r>
        <w:rPr>
          <w:b/>
          <w:w w:val="100"/>
          <w:sz w:val="21"/>
        </w:rPr>
        <w:t>术</w:t>
      </w:r>
      <w:r>
        <w:rPr>
          <w:b/>
          <w:spacing w:val="-46"/>
          <w:w w:val="100"/>
          <w:sz w:val="21"/>
        </w:rPr>
        <w:t>，</w:t>
      </w:r>
      <w:r>
        <w:rPr>
          <w:b/>
          <w:w w:val="100"/>
          <w:sz w:val="21"/>
        </w:rPr>
        <w:t>经皮经导管进行</w:t>
      </w:r>
      <w:r>
        <w:rPr>
          <w:b/>
          <w:spacing w:val="-3"/>
          <w:w w:val="100"/>
          <w:sz w:val="21"/>
        </w:rPr>
        <w:t>的血</w:t>
      </w:r>
      <w:r>
        <w:rPr>
          <w:b/>
          <w:w w:val="100"/>
          <w:sz w:val="21"/>
        </w:rPr>
        <w:t>管内手术不在本保障范围内。</w:t>
      </w:r>
    </w:p>
    <w:p>
      <w:pPr>
        <w:pStyle w:val="BodyText"/>
        <w:rPr>
          <w:b/>
          <w:sz w:val="20"/>
        </w:rPr>
      </w:pPr>
    </w:p>
    <w:p>
      <w:pPr>
        <w:pStyle w:val="BodyText"/>
        <w:spacing w:line="302" w:lineRule="auto" w:before="172"/>
        <w:ind w:left="2990" w:right="1058" w:hanging="2766"/>
        <w:jc w:val="both"/>
      </w:pPr>
      <w:r>
        <w:rPr/>
        <w:t>（十四）严重的骨质疏松 由我们认可的医院的专科医生确诊为骨质疏松症合并骨折，并同时符合</w:t>
      </w:r>
      <w:r>
        <w:rPr>
          <w:spacing w:val="-2"/>
        </w:rPr>
        <w:t>下列所有情况：</w:t>
      </w:r>
    </w:p>
    <w:p>
      <w:pPr>
        <w:pStyle w:val="ListParagraph"/>
        <w:numPr>
          <w:ilvl w:val="0"/>
          <w:numId w:val="71"/>
        </w:numPr>
        <w:tabs>
          <w:tab w:pos="3520" w:val="left" w:leader="none"/>
        </w:tabs>
        <w:spacing w:line="266" w:lineRule="exact" w:before="0" w:after="0"/>
        <w:ind w:left="3519" w:right="0" w:hanging="530"/>
        <w:jc w:val="both"/>
        <w:rPr>
          <w:sz w:val="21"/>
        </w:rPr>
      </w:pPr>
      <w:r>
        <w:rPr>
          <w:spacing w:val="-2"/>
          <w:sz w:val="21"/>
        </w:rPr>
        <w:t>因骨质疏松症导致或于骨质疏松症出现时，出现最少 </w:t>
      </w:r>
      <w:r>
        <w:rPr>
          <w:sz w:val="21"/>
        </w:rPr>
        <w:t>1</w:t>
      </w:r>
      <w:r>
        <w:rPr>
          <w:spacing w:val="-8"/>
          <w:sz w:val="21"/>
        </w:rPr>
        <w:t> 处股骨颈</w:t>
      </w:r>
    </w:p>
    <w:p>
      <w:pPr>
        <w:pStyle w:val="BodyText"/>
        <w:spacing w:line="302" w:lineRule="auto" w:before="66"/>
        <w:ind w:left="2990" w:right="1066"/>
        <w:jc w:val="both"/>
      </w:pPr>
      <w:r>
        <w:rPr/>
        <w:t>骨折或 2 处脊椎骨折（如为压缩性骨折，须满足椎体高度或面积减少 </w:t>
      </w:r>
      <w:r>
        <w:rPr>
          <w:spacing w:val="-2"/>
        </w:rPr>
        <w:t>40%及以上</w:t>
      </w:r>
      <w:r>
        <w:rPr>
          <w:spacing w:val="-108"/>
        </w:rPr>
        <w:t>）</w:t>
      </w:r>
      <w:r>
        <w:rPr/>
        <w:t>；</w:t>
      </w:r>
    </w:p>
    <w:p>
      <w:pPr>
        <w:pStyle w:val="ListParagraph"/>
        <w:numPr>
          <w:ilvl w:val="0"/>
          <w:numId w:val="71"/>
        </w:numPr>
        <w:tabs>
          <w:tab w:pos="3526" w:val="left" w:leader="none"/>
        </w:tabs>
        <w:spacing w:line="300" w:lineRule="auto" w:before="0" w:after="0"/>
        <w:ind w:left="2990" w:right="1058" w:firstLine="0"/>
        <w:jc w:val="both"/>
        <w:rPr>
          <w:sz w:val="21"/>
        </w:rPr>
      </w:pPr>
      <w:r>
        <w:rPr>
          <w:sz w:val="21"/>
        </w:rPr>
        <w:t>以双能量 X 光吸收仪或定量电脑断层扫描量度出最少 2 处位置</w:t>
      </w:r>
      <w:r>
        <w:rPr>
          <w:sz w:val="21"/>
        </w:rPr>
        <w:t>的骨骼矿物质密度与严重骨质疏松症的定义一致（即低于-2.5</w:t>
      </w:r>
      <w:r>
        <w:rPr>
          <w:spacing w:val="-12"/>
          <w:sz w:val="21"/>
        </w:rPr>
        <w:t> 的 </w:t>
      </w:r>
      <w:r>
        <w:rPr>
          <w:sz w:val="21"/>
        </w:rPr>
        <w:t>T</w:t>
      </w:r>
      <w:r>
        <w:rPr>
          <w:spacing w:val="-8"/>
          <w:sz w:val="21"/>
        </w:rPr>
        <w:t> 数</w:t>
      </w:r>
      <w:r>
        <w:rPr>
          <w:spacing w:val="-10"/>
          <w:sz w:val="21"/>
        </w:rPr>
        <w:t>值</w:t>
      </w:r>
      <w:r>
        <w:rPr>
          <w:spacing w:val="-106"/>
          <w:sz w:val="21"/>
        </w:rPr>
        <w:t>）</w:t>
      </w:r>
      <w:r>
        <w:rPr>
          <w:sz w:val="21"/>
        </w:rPr>
        <w:t>；</w:t>
      </w:r>
    </w:p>
    <w:p>
      <w:pPr>
        <w:pStyle w:val="ListParagraph"/>
        <w:numPr>
          <w:ilvl w:val="0"/>
          <w:numId w:val="71"/>
        </w:numPr>
        <w:tabs>
          <w:tab w:pos="3520" w:val="left" w:leader="none"/>
        </w:tabs>
        <w:spacing w:line="240" w:lineRule="auto" w:before="0" w:after="0"/>
        <w:ind w:left="3519" w:right="0" w:hanging="530"/>
        <w:jc w:val="left"/>
        <w:rPr>
          <w:sz w:val="21"/>
        </w:rPr>
      </w:pPr>
      <w:r>
        <w:rPr>
          <w:spacing w:val="-3"/>
          <w:sz w:val="21"/>
        </w:rPr>
        <w:t>已经就骨折进行内部固定术或置换术治疗；</w:t>
      </w:r>
    </w:p>
    <w:p>
      <w:pPr>
        <w:pStyle w:val="ListParagraph"/>
        <w:numPr>
          <w:ilvl w:val="0"/>
          <w:numId w:val="71"/>
        </w:numPr>
        <w:tabs>
          <w:tab w:pos="3526" w:val="left" w:leader="none"/>
        </w:tabs>
        <w:spacing w:line="300" w:lineRule="auto" w:before="65" w:after="0"/>
        <w:ind w:left="2990" w:right="1064" w:firstLine="0"/>
        <w:jc w:val="left"/>
        <w:rPr>
          <w:sz w:val="21"/>
        </w:rPr>
      </w:pPr>
      <w:r>
        <w:rPr>
          <w:spacing w:val="-2"/>
          <w:sz w:val="21"/>
        </w:rPr>
        <w:t>诊断及治疗均须在我们认可的医院内由专科医生认为是医疗必需</w:t>
      </w:r>
      <w:r>
        <w:rPr>
          <w:spacing w:val="-2"/>
          <w:sz w:val="21"/>
        </w:rPr>
        <w:t>的情况下进行。</w:t>
      </w:r>
    </w:p>
    <w:p>
      <w:pPr>
        <w:spacing w:before="2"/>
        <w:ind w:left="2990" w:right="0" w:firstLine="0"/>
        <w:jc w:val="left"/>
        <w:rPr>
          <w:b/>
          <w:sz w:val="21"/>
        </w:rPr>
      </w:pPr>
      <w:r>
        <w:rPr>
          <w:b/>
          <w:w w:val="95"/>
          <w:sz w:val="21"/>
        </w:rPr>
        <w:t>仅</w:t>
      </w:r>
      <w:r>
        <w:rPr>
          <w:b/>
          <w:w w:val="95"/>
          <w:sz w:val="21"/>
        </w:rPr>
        <w:t>对</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满</w:t>
      </w:r>
      <w:r>
        <w:rPr>
          <w:b/>
          <w:spacing w:val="66"/>
          <w:sz w:val="21"/>
        </w:rPr>
        <w:t> </w:t>
      </w:r>
      <w:r>
        <w:rPr>
          <w:b/>
          <w:w w:val="95"/>
          <w:sz w:val="21"/>
        </w:rPr>
        <w:t>75</w:t>
      </w:r>
      <w:r>
        <w:rPr>
          <w:b/>
          <w:spacing w:val="67"/>
          <w:sz w:val="21"/>
        </w:rPr>
        <w:t> </w:t>
      </w:r>
      <w:r>
        <w:rPr>
          <w:b/>
          <w:w w:val="95"/>
          <w:sz w:val="21"/>
        </w:rPr>
        <w:t>周岁</w:t>
      </w:r>
      <w:r>
        <w:rPr>
          <w:b/>
          <w:w w:val="95"/>
          <w:sz w:val="21"/>
        </w:rPr>
        <w:t>前</w:t>
      </w:r>
      <w:r>
        <w:rPr>
          <w:b/>
          <w:w w:val="95"/>
          <w:sz w:val="21"/>
        </w:rPr>
        <w:t>确</w:t>
      </w:r>
      <w:r>
        <w:rPr>
          <w:b/>
          <w:w w:val="95"/>
          <w:sz w:val="21"/>
        </w:rPr>
        <w:t>诊</w:t>
      </w:r>
      <w:r>
        <w:rPr>
          <w:b/>
          <w:w w:val="95"/>
          <w:sz w:val="21"/>
        </w:rPr>
        <w:t>本</w:t>
      </w:r>
      <w:r>
        <w:rPr>
          <w:b/>
          <w:w w:val="95"/>
          <w:sz w:val="21"/>
        </w:rPr>
        <w:t>项</w:t>
      </w:r>
      <w:r>
        <w:rPr>
          <w:b/>
          <w:w w:val="95"/>
          <w:sz w:val="21"/>
        </w:rPr>
        <w:t>疾</w:t>
      </w:r>
      <w:r>
        <w:rPr>
          <w:b/>
          <w:w w:val="95"/>
          <w:sz w:val="21"/>
        </w:rPr>
        <w:t>病</w:t>
      </w:r>
      <w:r>
        <w:rPr>
          <w:b/>
          <w:w w:val="95"/>
          <w:sz w:val="21"/>
        </w:rPr>
        <w:t>承</w:t>
      </w:r>
      <w:r>
        <w:rPr>
          <w:b/>
          <w:w w:val="95"/>
          <w:sz w:val="21"/>
        </w:rPr>
        <w:t>担保险</w:t>
      </w:r>
      <w:r>
        <w:rPr>
          <w:b/>
          <w:w w:val="95"/>
          <w:sz w:val="21"/>
        </w:rPr>
        <w:t>责</w:t>
      </w:r>
      <w:r>
        <w:rPr>
          <w:b/>
          <w:w w:val="95"/>
          <w:sz w:val="21"/>
        </w:rPr>
        <w:t>任</w:t>
      </w:r>
      <w:r>
        <w:rPr>
          <w:b/>
          <w:spacing w:val="-10"/>
          <w:w w:val="95"/>
          <w:sz w:val="21"/>
        </w:rPr>
        <w:t>。</w:t>
      </w:r>
    </w:p>
    <w:p>
      <w:pPr>
        <w:pStyle w:val="BodyText"/>
        <w:rPr>
          <w:b/>
          <w:sz w:val="20"/>
        </w:rPr>
      </w:pPr>
    </w:p>
    <w:p>
      <w:pPr>
        <w:pStyle w:val="BodyText"/>
        <w:spacing w:before="7"/>
        <w:rPr>
          <w:b/>
          <w:sz w:val="18"/>
        </w:rPr>
      </w:pPr>
    </w:p>
    <w:p>
      <w:pPr>
        <w:pStyle w:val="BodyText"/>
        <w:spacing w:line="300" w:lineRule="auto" w:before="1"/>
        <w:ind w:left="2990" w:right="953" w:hanging="2766"/>
      </w:pPr>
      <w:r>
        <w:rPr/>
        <w:t>（十五）轻度阿尔茨海默病 指因大脑进行性、不可逆性改变导致智能严重衰退或丧失，临床表现为</w:t>
      </w:r>
      <w:r>
        <w:rPr>
          <w:spacing w:val="-2"/>
        </w:rPr>
        <w:t>明显的认知能力障碍、行为异常和社交能力减退，其日常生活必须持续</w:t>
      </w:r>
      <w:r>
        <w:rPr>
          <w:spacing w:val="-2"/>
        </w:rPr>
        <w:t>受到他人监护。须由头颅断层扫描</w:t>
      </w:r>
      <w:r>
        <w:rPr>
          <w:spacing w:val="25"/>
        </w:rPr>
        <w:t>（</w:t>
      </w:r>
      <w:r>
        <w:rPr>
          <w:spacing w:val="22"/>
        </w:rPr>
        <w:t>C</w:t>
      </w:r>
      <w:r>
        <w:rPr>
          <w:spacing w:val="25"/>
        </w:rPr>
        <w:t>T</w:t>
      </w:r>
      <w:r>
        <w:rPr>
          <w:spacing w:val="-81"/>
        </w:rPr>
        <w:t>）</w:t>
      </w:r>
      <w:r>
        <w:rPr>
          <w:spacing w:val="-2"/>
        </w:rPr>
        <w:t>、核磁共振检查（MRI）或正电</w:t>
      </w:r>
      <w:r>
        <w:rPr>
          <w:spacing w:val="-2"/>
        </w:rPr>
        <w:t>子发射断层扫描（PET）等影像学检查证实，且自主生活能力严重丧失，</w:t>
      </w:r>
      <w:r>
        <w:rPr>
          <w:spacing w:val="-2"/>
        </w:rPr>
        <w:t>无法独立完成六项基本日常生活活动中的两项，</w:t>
      </w:r>
      <w:r>
        <w:rPr>
          <w:b/>
          <w:spacing w:val="-2"/>
        </w:rPr>
        <w:t>但未达到本合同所指重</w:t>
      </w:r>
      <w:r>
        <w:rPr>
          <w:b/>
          <w:spacing w:val="-2"/>
        </w:rPr>
        <w:t>度疾病“严重阿尔茨海默病”或“瘫痪”的给付标准</w:t>
      </w:r>
      <w:r>
        <w:rPr>
          <w:spacing w:val="-2"/>
        </w:rPr>
        <w:t>。</w:t>
      </w:r>
    </w:p>
    <w:p>
      <w:pPr>
        <w:spacing w:before="0"/>
        <w:ind w:left="2990" w:right="0" w:firstLine="0"/>
        <w:jc w:val="left"/>
        <w:rPr>
          <w:b/>
          <w:sz w:val="21"/>
        </w:rPr>
      </w:pPr>
      <w:r>
        <w:rPr>
          <w:b/>
          <w:spacing w:val="-3"/>
          <w:sz w:val="21"/>
        </w:rPr>
        <w:t>神经官能症和精神疾病不在本保障范围内。</w:t>
      </w:r>
    </w:p>
    <w:p>
      <w:pPr>
        <w:pStyle w:val="BodyText"/>
        <w:rPr>
          <w:b/>
          <w:sz w:val="20"/>
        </w:rPr>
      </w:pPr>
    </w:p>
    <w:p>
      <w:pPr>
        <w:pStyle w:val="BodyText"/>
        <w:spacing w:before="8"/>
        <w:rPr>
          <w:b/>
          <w:sz w:val="18"/>
        </w:rPr>
      </w:pPr>
    </w:p>
    <w:p>
      <w:pPr>
        <w:pStyle w:val="BodyText"/>
        <w:ind w:left="225"/>
      </w:pPr>
      <w:r>
        <w:rPr/>
        <w:t>（十六）</w:t>
      </w:r>
      <w:r>
        <w:rPr>
          <w:spacing w:val="-1"/>
        </w:rPr>
        <w:t>植入大脑内分流器 为缓解已升高的脑脊液压力而确实已在脑室进行分流器植入手术。</w:t>
      </w:r>
    </w:p>
    <w:p>
      <w:pPr>
        <w:pStyle w:val="BodyText"/>
        <w:spacing w:line="300" w:lineRule="auto" w:before="69"/>
        <w:ind w:left="2990" w:right="1064"/>
      </w:pPr>
      <w:r>
        <w:rPr>
          <w:spacing w:val="3"/>
          <w:w w:val="100"/>
        </w:rPr>
        <w:t>诊断及治疗均须在我们认可的医院内由脑神经科专科医生认为是医疗</w:t>
      </w:r>
      <w:r>
        <w:rPr>
          <w:spacing w:val="-2"/>
          <w:w w:val="100"/>
        </w:rPr>
        <w:t>必需的情况下进行。</w:t>
      </w:r>
    </w:p>
    <w:p>
      <w:pPr>
        <w:pStyle w:val="BodyText"/>
        <w:spacing w:before="9"/>
        <w:rPr>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（十七）轻度特发性肺动脉</w:t>
      </w:r>
      <w:r>
        <w:rPr>
          <w:spacing w:val="-6"/>
        </w:rPr>
        <w:t>高压</w:t>
      </w:r>
    </w:p>
    <w:p>
      <w:pPr>
        <w:spacing w:line="300" w:lineRule="auto" w:before="72"/>
        <w:ind w:left="178" w:right="1058" w:firstLine="0"/>
        <w:jc w:val="both"/>
        <w:rPr>
          <w:sz w:val="21"/>
        </w:rPr>
      </w:pPr>
      <w:r>
        <w:rPr/>
        <w:br w:type="column"/>
      </w:r>
      <w:r>
        <w:rPr>
          <w:spacing w:val="-2"/>
          <w:sz w:val="21"/>
        </w:rPr>
        <w:t>指由于特发性肺动脉高压进行性发展而导致右心室肥厚，已经造成永久</w:t>
      </w:r>
      <w:r>
        <w:rPr>
          <w:sz w:val="21"/>
        </w:rPr>
        <w:t>不可逆性的体力活动能力受限，达到美国纽约心脏病学会（New York Heart Association，NYHA）心功能状态分级Ⅲ级，且静息状态下肺动</w:t>
      </w:r>
      <w:r>
        <w:rPr>
          <w:spacing w:val="-7"/>
          <w:sz w:val="21"/>
        </w:rPr>
        <w:t>脉平均压超过 </w:t>
      </w:r>
      <w:r>
        <w:rPr>
          <w:spacing w:val="-4"/>
          <w:sz w:val="21"/>
        </w:rPr>
        <w:t>25mmHg，</w:t>
      </w:r>
      <w:r>
        <w:rPr>
          <w:b/>
          <w:spacing w:val="-4"/>
          <w:sz w:val="21"/>
        </w:rPr>
        <w:t>但未达到本合同所指重度疾病“严重特发性肺动</w:t>
      </w:r>
      <w:r>
        <w:rPr>
          <w:b/>
          <w:spacing w:val="-2"/>
          <w:sz w:val="21"/>
        </w:rPr>
        <w:t>脉高压”的给付标准</w:t>
      </w:r>
      <w:r>
        <w:rPr>
          <w:spacing w:val="-2"/>
          <w:sz w:val="21"/>
        </w:rPr>
        <w:t>。</w:t>
      </w:r>
    </w:p>
    <w:p>
      <w:pPr>
        <w:spacing w:after="0" w:line="300" w:lineRule="auto"/>
        <w:jc w:val="both"/>
        <w:rPr>
          <w:sz w:val="21"/>
        </w:rPr>
        <w:sectPr>
          <w:type w:val="continuous"/>
          <w:pgSz w:w="11910" w:h="16840"/>
          <w:pgMar w:header="0" w:footer="857" w:top="320" w:bottom="1040" w:left="1100" w:right="260"/>
          <w:cols w:num="2" w:equalWidth="0">
            <w:col w:w="2773" w:space="40"/>
            <w:col w:w="7737"/>
          </w:cols>
        </w:sectPr>
      </w:pPr>
    </w:p>
    <w:p>
      <w:pPr>
        <w:pStyle w:val="BodyText"/>
        <w:spacing w:before="11"/>
        <w:rPr>
          <w:sz w:val="27"/>
        </w:rPr>
      </w:pPr>
    </w:p>
    <w:p>
      <w:pPr>
        <w:pStyle w:val="BodyText"/>
        <w:spacing w:before="71"/>
        <w:ind w:left="225"/>
      </w:pPr>
      <w:r>
        <w:rPr/>
        <w:t>（十八）</w:t>
      </w:r>
      <w:r>
        <w:rPr>
          <w:spacing w:val="-1"/>
        </w:rPr>
        <w:t>中度系统性红斑狼 本保障所指的系统性红斑狼疮必须符合下列所有理赔条件：</w:t>
      </w:r>
    </w:p>
    <w:p>
      <w:pPr>
        <w:spacing w:after="0"/>
        <w:sectPr>
          <w:type w:val="continuous"/>
          <w:pgSz w:w="11910" w:h="16840"/>
          <w:pgMar w:header="0" w:footer="857" w:top="320" w:bottom="1040" w:left="1100" w:right="260"/>
        </w:sectPr>
      </w:pPr>
    </w:p>
    <w:p>
      <w:pPr>
        <w:pStyle w:val="BodyText"/>
        <w:tabs>
          <w:tab w:pos="2990" w:val="left" w:leader="none"/>
        </w:tabs>
        <w:spacing w:before="60"/>
        <w:ind w:left="225"/>
      </w:pPr>
      <w:r>
        <w:rPr>
          <w:spacing w:val="-10"/>
        </w:rPr>
        <w:t>疮</w:t>
      </w:r>
      <w:r>
        <w:rPr/>
        <w:tab/>
      </w:r>
      <w:r>
        <w:rPr>
          <w:spacing w:val="-2"/>
        </w:rPr>
        <w:t>（1）在下列</w:t>
      </w:r>
      <w:r>
        <w:rPr>
          <w:spacing w:val="-50"/>
        </w:rPr>
        <w:t> </w:t>
      </w:r>
      <w:r>
        <w:rPr>
          <w:spacing w:val="-2"/>
        </w:rPr>
        <w:t>5</w:t>
      </w:r>
      <w:r>
        <w:rPr>
          <w:spacing w:val="-52"/>
        </w:rPr>
        <w:t> </w:t>
      </w:r>
      <w:r>
        <w:rPr>
          <w:spacing w:val="-2"/>
        </w:rPr>
        <w:t>项情况</w:t>
      </w:r>
      <w:r>
        <w:rPr>
          <w:spacing w:val="-2"/>
        </w:rPr>
        <w:t>中</w:t>
      </w:r>
      <w:r>
        <w:rPr>
          <w:spacing w:val="-2"/>
        </w:rPr>
        <w:t>出</w:t>
      </w:r>
      <w:r>
        <w:rPr>
          <w:spacing w:val="-2"/>
        </w:rPr>
        <w:t>现最少</w:t>
      </w:r>
      <w:r>
        <w:rPr>
          <w:spacing w:val="-50"/>
        </w:rPr>
        <w:t> </w:t>
      </w:r>
      <w:r>
        <w:rPr>
          <w:spacing w:val="-2"/>
        </w:rPr>
        <w:t>3</w:t>
      </w:r>
      <w:r>
        <w:rPr>
          <w:spacing w:val="-49"/>
        </w:rPr>
        <w:t> </w:t>
      </w:r>
      <w:r>
        <w:rPr>
          <w:spacing w:val="-2"/>
        </w:rPr>
        <w:t>项</w:t>
      </w:r>
      <w:r>
        <w:rPr>
          <w:spacing w:val="-10"/>
        </w:rPr>
        <w:t>：</w:t>
      </w:r>
    </w:p>
    <w:p>
      <w:pPr>
        <w:pStyle w:val="BodyText"/>
        <w:spacing w:before="67"/>
        <w:ind w:left="3096"/>
      </w:pPr>
      <w:r>
        <w:rPr>
          <w:spacing w:val="-3"/>
        </w:rPr>
        <w:t>① 关节炎：非磨损性关节炎，需涉及两个或以上关节；</w:t>
      </w:r>
    </w:p>
    <w:p>
      <w:pPr>
        <w:pStyle w:val="BodyText"/>
        <w:spacing w:before="67"/>
        <w:ind w:left="3096"/>
      </w:pPr>
      <w:r>
        <w:rPr>
          <w:spacing w:val="-5"/>
        </w:rPr>
        <w:t>② 浆膜炎：胸膜炎或心包炎；</w:t>
      </w:r>
    </w:p>
    <w:p>
      <w:pPr>
        <w:pStyle w:val="BodyText"/>
        <w:spacing w:before="67"/>
        <w:ind w:left="3096"/>
      </w:pPr>
      <w:r>
        <w:rPr>
          <w:spacing w:val="-1"/>
        </w:rPr>
        <w:t>③ 肾病：</w:t>
      </w:r>
      <w:r>
        <w:rPr>
          <w:spacing w:val="-2"/>
        </w:rPr>
        <w:t>24</w:t>
      </w:r>
      <w:r>
        <w:rPr>
          <w:spacing w:val="-14"/>
        </w:rPr>
        <w:t> 小时尿蛋白定量达到 </w:t>
      </w:r>
      <w:r>
        <w:rPr>
          <w:spacing w:val="-2"/>
        </w:rPr>
        <w:t>0.5</w:t>
      </w:r>
      <w:r>
        <w:rPr>
          <w:spacing w:val="-10"/>
        </w:rPr>
        <w:t> 克，或尿液检查出现细胞管型；</w:t>
      </w:r>
    </w:p>
    <w:p>
      <w:pPr>
        <w:pStyle w:val="BodyText"/>
        <w:spacing w:before="70"/>
        <w:ind w:left="3096"/>
      </w:pPr>
      <w:r>
        <w:rPr>
          <w:spacing w:val="-3"/>
        </w:rPr>
        <w:t>④ 血液学异常：溶血性贫血、白细胞减少、或血小板减少；</w:t>
      </w:r>
    </w:p>
    <w:p>
      <w:pPr>
        <w:pStyle w:val="BodyText"/>
        <w:spacing w:before="67"/>
        <w:ind w:left="3096"/>
      </w:pPr>
      <w:r>
        <w:rPr>
          <w:spacing w:val="-9"/>
        </w:rPr>
        <w:t>⑤ 抗核抗体阳性、或抗 </w:t>
      </w:r>
      <w:r>
        <w:rPr/>
        <w:t>dsDNA</w:t>
      </w:r>
      <w:r>
        <w:rPr>
          <w:spacing w:val="-11"/>
        </w:rPr>
        <w:t> 阳性，或抗 </w:t>
      </w:r>
      <w:r>
        <w:rPr/>
        <w:t>Smith</w:t>
      </w:r>
      <w:r>
        <w:rPr>
          <w:spacing w:val="-5"/>
        </w:rPr>
        <w:t> 抗体阳性。</w:t>
      </w:r>
    </w:p>
    <w:p>
      <w:pPr>
        <w:pStyle w:val="BodyText"/>
        <w:spacing w:line="302" w:lineRule="auto" w:before="67"/>
        <w:ind w:left="2990" w:right="1065"/>
      </w:pPr>
      <w:r>
        <w:rPr>
          <w:spacing w:val="-2"/>
        </w:rPr>
        <w:t>（2）系统性红斑狼疮的诊断必须由我们认可的医院的风湿科或免疫系</w:t>
      </w:r>
      <w:r>
        <w:rPr>
          <w:spacing w:val="-2"/>
        </w:rPr>
        <w:t>统专科医生确定。</w:t>
      </w:r>
    </w:p>
    <w:p>
      <w:pPr>
        <w:spacing w:line="300" w:lineRule="auto" w:before="0"/>
        <w:ind w:left="2990" w:right="1058" w:firstLine="0"/>
        <w:jc w:val="left"/>
        <w:rPr>
          <w:b/>
          <w:sz w:val="21"/>
        </w:rPr>
      </w:pPr>
      <w:r>
        <w:rPr>
          <w:b/>
          <w:spacing w:val="4"/>
          <w:w w:val="100"/>
          <w:sz w:val="21"/>
        </w:rPr>
        <w:t>但未达到本合同所指重度疾病“严重系统性红斑狼疮性肾炎”的给付</w:t>
      </w:r>
      <w:r>
        <w:rPr>
          <w:b/>
          <w:w w:val="100"/>
          <w:sz w:val="21"/>
        </w:rPr>
        <w:t>标准。</w:t>
      </w:r>
    </w:p>
    <w:p>
      <w:pPr>
        <w:pStyle w:val="BodyText"/>
        <w:rPr>
          <w:b/>
          <w:sz w:val="20"/>
        </w:rPr>
      </w:pPr>
    </w:p>
    <w:p>
      <w:pPr>
        <w:pStyle w:val="BodyText"/>
        <w:spacing w:line="300" w:lineRule="auto" w:before="167"/>
        <w:ind w:left="2990" w:right="1058" w:hanging="2766"/>
        <w:jc w:val="both"/>
      </w:pPr>
      <w:r>
        <w:rPr/>
        <w:t>（十九）脊髓血管病后遗症 指脊髓血管的突发病变引起脊髓梗塞或脊髓出血，导致永久性不可逆的</w:t>
      </w:r>
      <w:r>
        <w:rPr>
          <w:spacing w:val="-2"/>
        </w:rPr>
        <w:t>神经系统功能损害，表现为截瘫或四肢瘫。神经系统永久性的功能障碍</w:t>
      </w:r>
      <w:r>
        <w:rPr>
          <w:w w:val="95"/>
        </w:rPr>
        <w:t>指</w:t>
      </w:r>
      <w:r>
        <w:rPr>
          <w:w w:val="95"/>
        </w:rPr>
        <w:t>疾</w:t>
      </w:r>
      <w:r>
        <w:rPr>
          <w:w w:val="95"/>
        </w:rPr>
        <w:t>病</w:t>
      </w:r>
      <w:r>
        <w:rPr>
          <w:w w:val="95"/>
        </w:rPr>
        <w:t>确</w:t>
      </w:r>
      <w:r>
        <w:rPr>
          <w:w w:val="95"/>
        </w:rPr>
        <w:t>诊</w:t>
      </w:r>
      <w:r>
        <w:rPr>
          <w:spacing w:val="35"/>
        </w:rPr>
        <w:t> </w:t>
      </w:r>
      <w:r>
        <w:rPr>
          <w:w w:val="95"/>
        </w:rPr>
        <w:t>180</w:t>
      </w:r>
      <w:r>
        <w:rPr/>
        <w:t> </w:t>
      </w:r>
      <w:r>
        <w:rPr>
          <w:w w:val="95"/>
        </w:rPr>
        <w:t>天后，仍</w:t>
      </w:r>
      <w:r>
        <w:rPr>
          <w:w w:val="95"/>
        </w:rPr>
        <w:t>然</w:t>
      </w:r>
      <w:r>
        <w:rPr>
          <w:w w:val="95"/>
        </w:rPr>
        <w:t>遗</w:t>
      </w:r>
      <w:r>
        <w:rPr>
          <w:w w:val="95"/>
        </w:rPr>
        <w:t>留后遗症并且无法独</w:t>
      </w:r>
      <w:r>
        <w:rPr>
          <w:w w:val="95"/>
        </w:rPr>
        <w:t>立</w:t>
      </w:r>
      <w:r>
        <w:rPr>
          <w:w w:val="95"/>
        </w:rPr>
        <w:t>完</w:t>
      </w:r>
      <w:r>
        <w:rPr>
          <w:w w:val="95"/>
        </w:rPr>
        <w:t>成下列基本</w:t>
      </w:r>
      <w:r>
        <w:rPr>
          <w:w w:val="95"/>
        </w:rPr>
        <w:t>日</w:t>
      </w:r>
      <w:r>
        <w:rPr>
          <w:w w:val="95"/>
        </w:rPr>
        <w:t>常</w:t>
      </w:r>
      <w:r>
        <w:rPr>
          <w:spacing w:val="-2"/>
        </w:rPr>
        <w:t>生活活动之一：</w:t>
      </w:r>
    </w:p>
    <w:p>
      <w:pPr>
        <w:pStyle w:val="ListParagraph"/>
        <w:numPr>
          <w:ilvl w:val="0"/>
          <w:numId w:val="72"/>
        </w:numPr>
        <w:tabs>
          <w:tab w:pos="3520" w:val="left" w:leader="none"/>
        </w:tabs>
        <w:spacing w:line="240" w:lineRule="auto" w:before="1" w:after="0"/>
        <w:ind w:left="3519" w:right="0" w:hanging="530"/>
        <w:jc w:val="left"/>
        <w:rPr>
          <w:sz w:val="21"/>
        </w:rPr>
      </w:pPr>
      <w:r>
        <w:rPr>
          <w:spacing w:val="-3"/>
          <w:sz w:val="21"/>
        </w:rPr>
        <w:t>移动：自己从一个房间到另一个房间；</w:t>
      </w:r>
    </w:p>
    <w:p>
      <w:pPr>
        <w:pStyle w:val="ListParagraph"/>
        <w:numPr>
          <w:ilvl w:val="0"/>
          <w:numId w:val="72"/>
        </w:numPr>
        <w:tabs>
          <w:tab w:pos="3520" w:val="left" w:leader="none"/>
        </w:tabs>
        <w:spacing w:line="240" w:lineRule="auto" w:before="69" w:after="0"/>
        <w:ind w:left="3519" w:right="0" w:hanging="530"/>
        <w:jc w:val="left"/>
        <w:rPr>
          <w:sz w:val="21"/>
        </w:rPr>
      </w:pPr>
      <w:r>
        <w:rPr>
          <w:spacing w:val="-3"/>
          <w:sz w:val="21"/>
        </w:rPr>
        <w:t>进食：自己从已准备好的碗或碟中取食物放入口中。</w:t>
      </w:r>
    </w:p>
    <w:p>
      <w:pPr>
        <w:pStyle w:val="BodyText"/>
        <w:rPr>
          <w:sz w:val="20"/>
        </w:rPr>
      </w:pPr>
    </w:p>
    <w:p>
      <w:pPr>
        <w:spacing w:after="0"/>
        <w:rPr>
          <w:sz w:val="20"/>
        </w:rPr>
        <w:sectPr>
          <w:pgSz w:w="11910" w:h="16840"/>
          <w:pgMar w:header="0" w:footer="857" w:top="1420" w:bottom="1180" w:left="1100" w:right="260"/>
        </w:sectPr>
      </w:pPr>
    </w:p>
    <w:p>
      <w:pPr>
        <w:pStyle w:val="BodyText"/>
        <w:spacing w:before="7"/>
        <w:rPr>
          <w:sz w:val="18"/>
        </w:rPr>
      </w:pPr>
    </w:p>
    <w:p>
      <w:pPr>
        <w:pStyle w:val="BodyText"/>
        <w:spacing w:line="297" w:lineRule="auto"/>
        <w:ind w:left="225"/>
      </w:pPr>
      <w:r>
        <w:rPr>
          <w:spacing w:val="-2"/>
        </w:rPr>
        <w:t>（二十）中度类风湿性关节</w:t>
      </w:r>
      <w:r>
        <w:rPr>
          <w:spacing w:val="-10"/>
        </w:rPr>
        <w:t>炎</w:t>
      </w:r>
    </w:p>
    <w:p>
      <w:pPr>
        <w:spacing w:line="240" w:lineRule="auto" w:before="7"/>
        <w:rPr>
          <w:sz w:val="18"/>
        </w:rPr>
      </w:pPr>
      <w:r>
        <w:rPr/>
        <w:br w:type="column"/>
      </w:r>
      <w:r>
        <w:rPr>
          <w:sz w:val="18"/>
        </w:rPr>
      </w:r>
    </w:p>
    <w:p>
      <w:pPr>
        <w:pStyle w:val="BodyText"/>
        <w:spacing w:line="300" w:lineRule="auto"/>
        <w:ind w:left="176" w:right="1058"/>
        <w:jc w:val="both"/>
      </w:pPr>
      <w:r>
        <w:rPr>
          <w:spacing w:val="-2"/>
        </w:rPr>
        <w:t>类风湿性关节炎为广泛分布的慢性进行性多关节病变，表现为关节严重</w:t>
      </w:r>
      <w:r>
        <w:rPr>
          <w:spacing w:val="-8"/>
        </w:rPr>
        <w:t>变形，侵犯两个主要关节或关节组（如：双手（多手指）关节、双足（多</w:t>
      </w:r>
      <w:r>
        <w:rPr>
          <w:spacing w:val="-4"/>
        </w:rPr>
        <w:t>足趾）关节、双腕关节、双膝关节和双髋关节</w:t>
      </w:r>
      <w:r>
        <w:rPr>
          <w:spacing w:val="-106"/>
        </w:rPr>
        <w:t>）</w:t>
      </w:r>
      <w:r>
        <w:rPr>
          <w:spacing w:val="-6"/>
        </w:rPr>
        <w:t>。被保险人满足至少 </w:t>
      </w:r>
      <w:r>
        <w:rPr>
          <w:spacing w:val="-4"/>
        </w:rPr>
        <w:t>180</w:t>
      </w:r>
      <w:r>
        <w:rPr>
          <w:spacing w:val="-2"/>
        </w:rPr>
        <w:t>天无法独立完成六项基本日常生活活动中的两项，</w:t>
      </w:r>
      <w:r>
        <w:rPr>
          <w:b/>
          <w:spacing w:val="-2"/>
        </w:rPr>
        <w:t>且未达到本合同所指</w:t>
      </w:r>
      <w:r>
        <w:rPr>
          <w:b/>
          <w:spacing w:val="-2"/>
        </w:rPr>
        <w:t>重度疾病“严重类风湿性关节炎”的给付标准</w:t>
      </w:r>
      <w:r>
        <w:rPr>
          <w:spacing w:val="-2"/>
        </w:rPr>
        <w:t>。</w:t>
      </w:r>
    </w:p>
    <w:p>
      <w:pPr>
        <w:spacing w:after="0" w:line="300" w:lineRule="auto"/>
        <w:jc w:val="both"/>
        <w:sectPr>
          <w:type w:val="continuous"/>
          <w:pgSz w:w="11910" w:h="16840"/>
          <w:pgMar w:header="0" w:footer="857" w:top="320" w:bottom="1040" w:left="1100" w:right="260"/>
          <w:cols w:num="2" w:equalWidth="0">
            <w:col w:w="2775" w:space="40"/>
            <w:col w:w="7735"/>
          </w:cols>
        </w:sectPr>
      </w:pPr>
    </w:p>
    <w:p>
      <w:pPr>
        <w:pStyle w:val="BodyText"/>
        <w:spacing w:before="11"/>
        <w:rPr>
          <w:sz w:val="27"/>
        </w:rPr>
      </w:pPr>
    </w:p>
    <w:p>
      <w:pPr>
        <w:pStyle w:val="BodyText"/>
        <w:tabs>
          <w:tab w:pos="2990" w:val="left" w:leader="none"/>
        </w:tabs>
        <w:spacing w:line="300" w:lineRule="auto" w:before="72"/>
        <w:ind w:left="2990" w:right="953" w:hanging="2766"/>
      </w:pPr>
      <w:r>
        <w:rPr>
          <w:spacing w:val="-2"/>
        </w:rPr>
        <w:t>（</w:t>
      </w:r>
      <w:r>
        <w:rPr>
          <w:spacing w:val="-2"/>
        </w:rPr>
        <w:t>二</w:t>
      </w:r>
      <w:r>
        <w:rPr>
          <w:spacing w:val="-2"/>
        </w:rPr>
        <w:t>十一）中度脑损伤</w:t>
      </w:r>
      <w:r>
        <w:rPr/>
        <w:tab/>
      </w:r>
      <w:r>
        <w:rPr>
          <w:spacing w:val="-2"/>
        </w:rPr>
        <w:t>指</w:t>
      </w:r>
      <w:r>
        <w:rPr>
          <w:spacing w:val="-2"/>
        </w:rPr>
        <w:t>因</w:t>
      </w:r>
      <w:r>
        <w:rPr>
          <w:spacing w:val="-2"/>
        </w:rPr>
        <w:t>头部遭受机械性外力，引起脑重要部位损伤，</w:t>
      </w:r>
      <w:r>
        <w:rPr>
          <w:spacing w:val="-2"/>
        </w:rPr>
        <w:t>导</w:t>
      </w:r>
      <w:r>
        <w:rPr>
          <w:spacing w:val="-2"/>
        </w:rPr>
        <w:t>致</w:t>
      </w:r>
      <w:r>
        <w:rPr>
          <w:spacing w:val="-2"/>
        </w:rPr>
        <w:t>神经系统永</w:t>
      </w:r>
      <w:r>
        <w:rPr>
          <w:spacing w:val="-2"/>
        </w:rPr>
        <w:t>久</w:t>
      </w:r>
      <w:r>
        <w:rPr>
          <w:spacing w:val="-2"/>
        </w:rPr>
        <w:t>性</w:t>
      </w:r>
      <w:r>
        <w:rPr>
          <w:spacing w:val="-2"/>
        </w:rPr>
        <w:t>的</w:t>
      </w:r>
      <w:r>
        <w:rPr>
          <w:spacing w:val="-2"/>
        </w:rPr>
        <w:t>功</w:t>
      </w:r>
      <w:r>
        <w:rPr>
          <w:spacing w:val="-2"/>
        </w:rPr>
        <w:t>能障碍。须由头颅断</w:t>
      </w:r>
      <w:r>
        <w:rPr>
          <w:spacing w:val="-2"/>
        </w:rPr>
        <w:t>层</w:t>
      </w:r>
      <w:r>
        <w:rPr>
          <w:spacing w:val="-2"/>
        </w:rPr>
        <w:t>扫</w:t>
      </w:r>
      <w:r>
        <w:rPr>
          <w:spacing w:val="-2"/>
        </w:rPr>
        <w:t>描</w:t>
      </w:r>
      <w:r>
        <w:rPr>
          <w:spacing w:val="25"/>
        </w:rPr>
        <w:t>（CT</w:t>
      </w:r>
      <w:r>
        <w:rPr>
          <w:spacing w:val="-83"/>
        </w:rPr>
        <w:t>）</w:t>
      </w:r>
      <w:r>
        <w:rPr>
          <w:spacing w:val="-2"/>
        </w:rPr>
        <w:t>、核磁共振检查（MRI）或正电</w:t>
      </w:r>
      <w:r>
        <w:rPr>
          <w:spacing w:val="-2"/>
        </w:rPr>
        <w:t>子</w:t>
      </w:r>
      <w:r>
        <w:rPr>
          <w:spacing w:val="-2"/>
        </w:rPr>
        <w:t>发</w:t>
      </w:r>
      <w:r>
        <w:rPr>
          <w:spacing w:val="-2"/>
        </w:rPr>
        <w:t>射</w:t>
      </w:r>
      <w:r>
        <w:rPr>
          <w:spacing w:val="-2"/>
        </w:rPr>
        <w:t>断层扫描（PET）等影</w:t>
      </w:r>
      <w:r>
        <w:rPr>
          <w:spacing w:val="-2"/>
        </w:rPr>
        <w:t>像</w:t>
      </w:r>
      <w:r>
        <w:rPr>
          <w:spacing w:val="-2"/>
        </w:rPr>
        <w:t>学</w:t>
      </w:r>
      <w:r>
        <w:rPr>
          <w:spacing w:val="-2"/>
        </w:rPr>
        <w:t>检查证实。神经系统</w:t>
      </w:r>
      <w:r>
        <w:rPr>
          <w:spacing w:val="-2"/>
        </w:rPr>
        <w:t>永</w:t>
      </w:r>
      <w:r>
        <w:rPr>
          <w:spacing w:val="-2"/>
        </w:rPr>
        <w:t>久</w:t>
      </w:r>
      <w:r>
        <w:rPr>
          <w:spacing w:val="-2"/>
        </w:rPr>
        <w:t>性的功能障</w:t>
      </w:r>
      <w:r>
        <w:rPr>
          <w:spacing w:val="-2"/>
        </w:rPr>
        <w:t>碍</w:t>
      </w:r>
      <w:r>
        <w:rPr>
          <w:spacing w:val="-2"/>
        </w:rPr>
        <w:t>，</w:t>
      </w:r>
      <w:r>
        <w:rPr/>
        <w:t>指脑损伤</w:t>
      </w:r>
      <w:r>
        <w:rPr>
          <w:spacing w:val="-25"/>
        </w:rPr>
        <w:t> </w:t>
      </w:r>
      <w:r>
        <w:rPr/>
        <w:t>180</w:t>
      </w:r>
      <w:r>
        <w:rPr>
          <w:spacing w:val="-25"/>
        </w:rPr>
        <w:t> </w:t>
      </w:r>
      <w:r>
        <w:rPr/>
        <w:t>天</w:t>
      </w:r>
      <w:r>
        <w:rPr/>
        <w:t>后</w:t>
      </w:r>
      <w:r>
        <w:rPr/>
        <w:t>，</w:t>
      </w:r>
      <w:r>
        <w:rPr/>
        <w:t>仍</w:t>
      </w:r>
      <w:r>
        <w:rPr/>
        <w:t>严</w:t>
      </w:r>
      <w:r>
        <w:rPr/>
        <w:t>重丧失自主生活能力，无</w:t>
      </w:r>
      <w:r>
        <w:rPr/>
        <w:t>法独立完成六项</w:t>
      </w:r>
      <w:r>
        <w:rPr/>
        <w:t>基本</w:t>
      </w:r>
      <w:r>
        <w:rPr>
          <w:spacing w:val="-2"/>
        </w:rPr>
        <w:t>日</w:t>
      </w:r>
      <w:r>
        <w:rPr>
          <w:spacing w:val="-2"/>
        </w:rPr>
        <w:t>常</w:t>
      </w:r>
      <w:r>
        <w:rPr>
          <w:spacing w:val="-2"/>
        </w:rPr>
        <w:t>生活活动中的</w:t>
      </w:r>
      <w:r>
        <w:rPr>
          <w:spacing w:val="-2"/>
        </w:rPr>
        <w:t>两</w:t>
      </w:r>
      <w:r>
        <w:rPr>
          <w:spacing w:val="-2"/>
        </w:rPr>
        <w:t>项</w:t>
      </w:r>
      <w:r>
        <w:rPr>
          <w:spacing w:val="-2"/>
        </w:rPr>
        <w:t>，</w:t>
      </w:r>
      <w:r>
        <w:rPr>
          <w:b/>
          <w:spacing w:val="-2"/>
        </w:rPr>
        <w:t>且</w:t>
      </w:r>
      <w:r>
        <w:rPr>
          <w:b/>
          <w:spacing w:val="-2"/>
        </w:rPr>
        <w:t>未</w:t>
      </w:r>
      <w:r>
        <w:rPr>
          <w:b/>
          <w:spacing w:val="-2"/>
        </w:rPr>
        <w:t>达</w:t>
      </w:r>
      <w:r>
        <w:rPr>
          <w:b/>
          <w:spacing w:val="-2"/>
        </w:rPr>
        <w:t>到</w:t>
      </w:r>
      <w:r>
        <w:rPr>
          <w:b/>
          <w:spacing w:val="-2"/>
        </w:rPr>
        <w:t>本</w:t>
      </w:r>
      <w:r>
        <w:rPr>
          <w:b/>
          <w:spacing w:val="-2"/>
        </w:rPr>
        <w:t>合</w:t>
      </w:r>
      <w:r>
        <w:rPr>
          <w:b/>
          <w:spacing w:val="-2"/>
        </w:rPr>
        <w:t>同</w:t>
      </w:r>
      <w:r>
        <w:rPr>
          <w:b/>
          <w:spacing w:val="-2"/>
        </w:rPr>
        <w:t>所</w:t>
      </w:r>
      <w:r>
        <w:rPr>
          <w:b/>
          <w:spacing w:val="-2"/>
        </w:rPr>
        <w:t>指重度</w:t>
      </w:r>
      <w:r>
        <w:rPr>
          <w:b/>
          <w:spacing w:val="-2"/>
        </w:rPr>
        <w:t>疾</w:t>
      </w:r>
      <w:r>
        <w:rPr>
          <w:b/>
          <w:spacing w:val="-2"/>
        </w:rPr>
        <w:t>病</w:t>
      </w:r>
      <w:r>
        <w:rPr>
          <w:b/>
          <w:spacing w:val="-2"/>
        </w:rPr>
        <w:t>“</w:t>
      </w:r>
      <w:r>
        <w:rPr>
          <w:b/>
          <w:spacing w:val="-2"/>
        </w:rPr>
        <w:t>严</w:t>
      </w:r>
      <w:r>
        <w:rPr>
          <w:b/>
          <w:spacing w:val="-2"/>
        </w:rPr>
        <w:t>重</w:t>
      </w:r>
      <w:r>
        <w:rPr>
          <w:b/>
          <w:spacing w:val="-2"/>
        </w:rPr>
        <w:t>脑</w:t>
      </w:r>
      <w:r>
        <w:rPr>
          <w:b/>
          <w:spacing w:val="-2"/>
        </w:rPr>
        <w:t>损</w:t>
      </w:r>
      <w:r>
        <w:rPr>
          <w:b/>
          <w:spacing w:val="-2"/>
        </w:rPr>
        <w:t>伤</w:t>
      </w:r>
      <w:r>
        <w:rPr>
          <w:b/>
          <w:spacing w:val="-2"/>
        </w:rPr>
        <w:t>”</w:t>
      </w:r>
      <w:r>
        <w:rPr>
          <w:b/>
          <w:spacing w:val="-2"/>
        </w:rPr>
        <w:t>或</w:t>
      </w:r>
      <w:r>
        <w:rPr>
          <w:b/>
          <w:spacing w:val="-2"/>
        </w:rPr>
        <w:t>“</w:t>
      </w:r>
      <w:r>
        <w:rPr>
          <w:b/>
          <w:spacing w:val="-2"/>
        </w:rPr>
        <w:t>瘫</w:t>
      </w:r>
      <w:r>
        <w:rPr>
          <w:b/>
          <w:spacing w:val="-2"/>
        </w:rPr>
        <w:t>痪</w:t>
      </w:r>
      <w:r>
        <w:rPr>
          <w:b/>
          <w:spacing w:val="-2"/>
        </w:rPr>
        <w:t>”</w:t>
      </w:r>
      <w:r>
        <w:rPr>
          <w:b/>
          <w:spacing w:val="-2"/>
        </w:rPr>
        <w:t>的</w:t>
      </w:r>
      <w:r>
        <w:rPr>
          <w:b/>
          <w:spacing w:val="-2"/>
        </w:rPr>
        <w:t>给</w:t>
      </w:r>
      <w:r>
        <w:rPr>
          <w:b/>
          <w:spacing w:val="-2"/>
        </w:rPr>
        <w:t>付</w:t>
      </w:r>
      <w:r>
        <w:rPr>
          <w:b/>
          <w:spacing w:val="-2"/>
        </w:rPr>
        <w:t>标准</w:t>
      </w:r>
      <w:r>
        <w:rPr>
          <w:spacing w:val="-2"/>
        </w:rPr>
        <w:t>。</w:t>
      </w:r>
    </w:p>
    <w:p>
      <w:pPr>
        <w:pStyle w:val="BodyText"/>
        <w:rPr>
          <w:sz w:val="20"/>
        </w:rPr>
      </w:pPr>
    </w:p>
    <w:p>
      <w:pPr>
        <w:spacing w:line="300" w:lineRule="auto" w:before="174"/>
        <w:ind w:left="2990" w:right="1058" w:hanging="2766"/>
        <w:jc w:val="both"/>
        <w:rPr>
          <w:sz w:val="21"/>
        </w:rPr>
      </w:pPr>
      <w:r>
        <w:rPr>
          <w:sz w:val="21"/>
        </w:rPr>
        <w:t>（二十二）中度血管性痴呆 指由缺血性卒中、出血性卒中和造成记忆、认知和行为等脑区低灌注的</w:t>
      </w:r>
      <w:r>
        <w:rPr>
          <w:spacing w:val="-2"/>
          <w:sz w:val="21"/>
        </w:rPr>
        <w:t>脑血管疾病所致的严重认知功能障碍综合征。被保险人自主生活能力严</w:t>
      </w:r>
      <w:r>
        <w:rPr>
          <w:spacing w:val="-1"/>
          <w:sz w:val="21"/>
        </w:rPr>
        <w:t>重丧失，无法独立完成六项基本日常生活活动中的两项，持续至少 </w:t>
      </w:r>
      <w:r>
        <w:rPr>
          <w:sz w:val="21"/>
        </w:rPr>
        <w:t>180</w:t>
      </w:r>
      <w:r>
        <w:rPr>
          <w:spacing w:val="-2"/>
          <w:sz w:val="21"/>
        </w:rPr>
        <w:t>天，日常生活必须持续受到他人监护，</w:t>
      </w:r>
      <w:r>
        <w:rPr>
          <w:b/>
          <w:spacing w:val="-2"/>
          <w:sz w:val="21"/>
        </w:rPr>
        <w:t>且未达到本合同所指重度疾病 “非阿尔茨海默病所致严重痴呆”的给付标准</w:t>
      </w:r>
      <w:r>
        <w:rPr>
          <w:spacing w:val="-2"/>
          <w:sz w:val="21"/>
        </w:rPr>
        <w:t>。</w:t>
      </w:r>
    </w:p>
    <w:p>
      <w:pPr>
        <w:spacing w:line="300" w:lineRule="auto" w:before="1"/>
        <w:ind w:left="2990" w:right="1061" w:firstLine="0"/>
        <w:jc w:val="left"/>
        <w:rPr>
          <w:b/>
          <w:sz w:val="21"/>
        </w:rPr>
      </w:pPr>
      <w:r>
        <w:rPr>
          <w:b/>
          <w:spacing w:val="-2"/>
          <w:sz w:val="21"/>
        </w:rPr>
        <w:t>导致痴呆的疾病必须明确诊断，并且有完整的临床、实验室和影像学检</w:t>
      </w:r>
      <w:r>
        <w:rPr>
          <w:b/>
          <w:spacing w:val="-2"/>
          <w:sz w:val="21"/>
        </w:rPr>
        <w:t>查结果证实。</w:t>
      </w:r>
    </w:p>
    <w:p>
      <w:pPr>
        <w:pStyle w:val="BodyText"/>
        <w:rPr>
          <w:b/>
          <w:sz w:val="20"/>
        </w:rPr>
      </w:pPr>
    </w:p>
    <w:p>
      <w:pPr>
        <w:pStyle w:val="BodyText"/>
        <w:tabs>
          <w:tab w:pos="2990" w:val="left" w:leader="none"/>
        </w:tabs>
        <w:spacing w:before="171"/>
        <w:ind w:left="225"/>
      </w:pPr>
      <w:r>
        <w:rPr>
          <w:spacing w:val="-2"/>
        </w:rPr>
        <w:t>（</w:t>
      </w:r>
      <w:r>
        <w:rPr>
          <w:spacing w:val="-2"/>
        </w:rPr>
        <w:t>二</w:t>
      </w:r>
      <w:r>
        <w:rPr>
          <w:spacing w:val="-2"/>
        </w:rPr>
        <w:t>十三）中度克雅</w:t>
      </w:r>
      <w:r>
        <w:rPr>
          <w:spacing w:val="-2"/>
        </w:rPr>
        <w:t>氏</w:t>
      </w:r>
      <w:r>
        <w:rPr>
          <w:spacing w:val="-10"/>
        </w:rPr>
        <w:t>病</w:t>
      </w:r>
      <w:r>
        <w:rPr/>
        <w:tab/>
      </w:r>
      <w:r>
        <w:rPr>
          <w:spacing w:val="-4"/>
        </w:rPr>
        <w:t>是</w:t>
      </w:r>
      <w:r>
        <w:rPr>
          <w:spacing w:val="-4"/>
        </w:rPr>
        <w:t>一</w:t>
      </w:r>
      <w:r>
        <w:rPr>
          <w:spacing w:val="-4"/>
        </w:rPr>
        <w:t>种传染性海绵状脑病，临床表现为快速进</w:t>
      </w:r>
      <w:r>
        <w:rPr>
          <w:spacing w:val="-4"/>
        </w:rPr>
        <w:t>行</w:t>
      </w:r>
      <w:r>
        <w:rPr>
          <w:spacing w:val="-4"/>
        </w:rPr>
        <w:t>性</w:t>
      </w:r>
      <w:r>
        <w:rPr>
          <w:spacing w:val="-4"/>
        </w:rPr>
        <w:t>痴呆、肌阵挛和特</w:t>
      </w:r>
      <w:r>
        <w:rPr>
          <w:spacing w:val="-10"/>
        </w:rPr>
        <w:t>征</w:t>
      </w:r>
    </w:p>
    <w:p>
      <w:pPr>
        <w:spacing w:after="0"/>
        <w:sectPr>
          <w:type w:val="continuous"/>
          <w:pgSz w:w="11910" w:h="16840"/>
          <w:pgMar w:header="0" w:footer="857" w:top="320" w:bottom="1040" w:left="1100" w:right="260"/>
        </w:sectPr>
      </w:pPr>
    </w:p>
    <w:p>
      <w:pPr>
        <w:spacing w:line="300" w:lineRule="auto" w:before="60"/>
        <w:ind w:left="2990" w:right="1020" w:firstLine="0"/>
        <w:jc w:val="both"/>
        <w:rPr>
          <w:sz w:val="21"/>
        </w:rPr>
      </w:pPr>
      <w:r>
        <w:rPr>
          <w:spacing w:val="-3"/>
          <w:sz w:val="21"/>
        </w:rPr>
        <w:t>性脑电图变化。须由我们认可的医院的专科医生根据 </w:t>
      </w:r>
      <w:r>
        <w:rPr>
          <w:spacing w:val="-2"/>
          <w:sz w:val="21"/>
        </w:rPr>
        <w:t>WHO</w:t>
      </w:r>
      <w:r>
        <w:rPr>
          <w:spacing w:val="-7"/>
          <w:sz w:val="21"/>
        </w:rPr>
        <w:t> 诊断标准明确</w:t>
      </w:r>
      <w:r>
        <w:rPr>
          <w:spacing w:val="-2"/>
          <w:sz w:val="21"/>
        </w:rPr>
        <w:t>诊断，并且自主生活能力部分丧失，无法独立完成六项基本日常生活活</w:t>
      </w:r>
      <w:r>
        <w:rPr>
          <w:spacing w:val="-2"/>
          <w:sz w:val="21"/>
        </w:rPr>
        <w:t>动中的两项。</w:t>
      </w:r>
      <w:r>
        <w:rPr>
          <w:b/>
          <w:spacing w:val="-2"/>
          <w:sz w:val="21"/>
        </w:rPr>
        <w:t>但未达到本合同所指重度疾病“克雅氏病”的给付标准</w:t>
      </w:r>
      <w:r>
        <w:rPr>
          <w:spacing w:val="-10"/>
          <w:sz w:val="21"/>
        </w:rPr>
        <w:t>。</w:t>
      </w:r>
    </w:p>
    <w:p>
      <w:pPr>
        <w:pStyle w:val="BodyText"/>
        <w:spacing w:before="9"/>
        <w:rPr>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（二十四）中度细菌性脑膜</w:t>
      </w:r>
      <w:r>
        <w:rPr>
          <w:spacing w:val="-10"/>
        </w:rPr>
        <w:t>炎</w:t>
      </w:r>
    </w:p>
    <w:p>
      <w:pPr>
        <w:spacing w:line="300" w:lineRule="auto" w:before="72"/>
        <w:ind w:left="178" w:right="955" w:firstLine="0"/>
        <w:jc w:val="left"/>
        <w:rPr>
          <w:sz w:val="21"/>
        </w:rPr>
      </w:pPr>
      <w:r>
        <w:rPr/>
        <w:br w:type="column"/>
      </w:r>
      <w:r>
        <w:rPr>
          <w:spacing w:val="-4"/>
          <w:sz w:val="21"/>
        </w:rPr>
        <w:t>指细菌感染性脑（脊髓）膜炎导致神经系统永久性的中度功能障碍，即：</w:t>
      </w:r>
      <w:r>
        <w:rPr>
          <w:spacing w:val="-8"/>
          <w:sz w:val="21"/>
        </w:rPr>
        <w:t>疾病首次确诊 </w:t>
      </w:r>
      <w:r>
        <w:rPr>
          <w:sz w:val="21"/>
        </w:rPr>
        <w:t>180 天后，仍遗留下列功能障碍，其自主生活能力部分丧</w:t>
      </w:r>
      <w:r>
        <w:rPr>
          <w:spacing w:val="-2"/>
          <w:sz w:val="21"/>
        </w:rPr>
        <w:t>失，无法独立完成六项基本日常生活活动中的两项，</w:t>
      </w:r>
      <w:r>
        <w:rPr>
          <w:b/>
          <w:spacing w:val="-2"/>
          <w:sz w:val="21"/>
        </w:rPr>
        <w:t>但未达到本合同所</w:t>
      </w:r>
      <w:r>
        <w:rPr>
          <w:b/>
          <w:spacing w:val="-2"/>
          <w:sz w:val="21"/>
        </w:rPr>
        <w:t>指重度疾病“严重脑炎后遗症或严重脑膜炎后遗症”的给付标准</w:t>
      </w:r>
      <w:r>
        <w:rPr>
          <w:spacing w:val="-2"/>
          <w:sz w:val="21"/>
        </w:rPr>
        <w:t>。</w:t>
      </w:r>
    </w:p>
    <w:p>
      <w:pPr>
        <w:spacing w:line="302" w:lineRule="auto" w:before="1"/>
        <w:ind w:left="178" w:right="1061" w:firstLine="0"/>
        <w:jc w:val="left"/>
        <w:rPr>
          <w:b/>
          <w:sz w:val="21"/>
        </w:rPr>
      </w:pPr>
      <w:r>
        <w:rPr>
          <w:b/>
          <w:spacing w:val="-2"/>
          <w:sz w:val="21"/>
        </w:rPr>
        <w:t>该病必须由我们认可的医院的专科医生明确诊断，并必须由适当的检查</w:t>
      </w:r>
      <w:r>
        <w:rPr>
          <w:b/>
          <w:spacing w:val="-2"/>
          <w:sz w:val="21"/>
        </w:rPr>
        <w:t>证明疾病原因为急性脑（脊髓）膜受细菌感染。</w:t>
      </w:r>
    </w:p>
    <w:p>
      <w:pPr>
        <w:spacing w:after="0" w:line="302"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6"/>
        <w:rPr>
          <w:b/>
          <w:sz w:val="27"/>
        </w:rPr>
      </w:pPr>
    </w:p>
    <w:p>
      <w:pPr>
        <w:spacing w:after="0"/>
        <w:rPr>
          <w:sz w:val="27"/>
        </w:rPr>
        <w:sectPr>
          <w:type w:val="continuous"/>
          <w:pgSz w:w="11910" w:h="16840"/>
          <w:pgMar w:header="0" w:footer="857" w:top="320" w:bottom="1040" w:left="1100" w:right="260"/>
        </w:sectPr>
      </w:pPr>
    </w:p>
    <w:p>
      <w:pPr>
        <w:pStyle w:val="BodyText"/>
        <w:spacing w:line="297" w:lineRule="auto" w:before="72"/>
        <w:ind w:left="225"/>
      </w:pPr>
      <w:r>
        <w:rPr>
          <w:spacing w:val="-2"/>
        </w:rPr>
        <w:t>（二十五）中度病毒性脑膜</w:t>
      </w:r>
      <w:r>
        <w:rPr>
          <w:spacing w:val="-10"/>
        </w:rPr>
        <w:t>炎</w:t>
      </w:r>
    </w:p>
    <w:p>
      <w:pPr>
        <w:spacing w:line="300" w:lineRule="auto" w:before="72"/>
        <w:ind w:left="177" w:right="1058" w:firstLine="0"/>
        <w:jc w:val="both"/>
        <w:rPr>
          <w:sz w:val="21"/>
        </w:rPr>
      </w:pPr>
      <w:r>
        <w:rPr/>
        <w:br w:type="column"/>
      </w:r>
      <w:r>
        <w:rPr>
          <w:spacing w:val="-2"/>
          <w:sz w:val="21"/>
        </w:rPr>
        <w:t>因病毒感染致脑炎（大脑半球、脑干或小脑）需要入住医院，并导致神</w:t>
      </w:r>
      <w:r>
        <w:rPr>
          <w:spacing w:val="-5"/>
          <w:sz w:val="21"/>
        </w:rPr>
        <w:t>经系统永久性的中度功能障碍，即：疾病首次确诊 </w:t>
      </w:r>
      <w:r>
        <w:rPr>
          <w:spacing w:val="-4"/>
          <w:sz w:val="21"/>
        </w:rPr>
        <w:t>180 天后，仍遗留下</w:t>
      </w:r>
      <w:r>
        <w:rPr>
          <w:spacing w:val="-2"/>
          <w:sz w:val="21"/>
        </w:rPr>
        <w:t>列功能障碍，其自主生活能力部分丧失，无法独立完成六项基本日常生</w:t>
      </w:r>
      <w:r>
        <w:rPr>
          <w:spacing w:val="-2"/>
          <w:sz w:val="21"/>
        </w:rPr>
        <w:t>活活动中的两项，</w:t>
      </w:r>
      <w:r>
        <w:rPr>
          <w:b/>
          <w:spacing w:val="-2"/>
          <w:sz w:val="21"/>
        </w:rPr>
        <w:t>但未达到本合同所指重度疾病“严重脑炎后遗症或严</w:t>
      </w:r>
      <w:r>
        <w:rPr>
          <w:b/>
          <w:spacing w:val="-2"/>
          <w:sz w:val="21"/>
        </w:rPr>
        <w:t>重脑膜炎后遗症”的给付标准</w:t>
      </w:r>
      <w:r>
        <w:rPr>
          <w:spacing w:val="-2"/>
          <w:sz w:val="21"/>
        </w:rPr>
        <w:t>。</w:t>
      </w:r>
    </w:p>
    <w:p>
      <w:pPr>
        <w:spacing w:line="302" w:lineRule="auto" w:before="1"/>
        <w:ind w:left="177" w:right="1061" w:firstLine="0"/>
        <w:jc w:val="left"/>
        <w:rPr>
          <w:b/>
          <w:sz w:val="21"/>
        </w:rPr>
      </w:pPr>
      <w:r>
        <w:rPr>
          <w:b/>
          <w:spacing w:val="-2"/>
          <w:sz w:val="21"/>
        </w:rPr>
        <w:t>该病必须由我们认可的医院的专科医生明确诊断，并必须由适当的检查</w:t>
      </w:r>
      <w:r>
        <w:rPr>
          <w:b/>
          <w:spacing w:val="-2"/>
          <w:sz w:val="21"/>
        </w:rPr>
        <w:t>证明为急性病毒感染导致的脑炎。</w:t>
      </w:r>
    </w:p>
    <w:p>
      <w:pPr>
        <w:spacing w:line="265" w:lineRule="exact" w:before="0"/>
        <w:ind w:left="177" w:right="0" w:firstLine="0"/>
        <w:jc w:val="left"/>
        <w:rPr>
          <w:b/>
          <w:sz w:val="21"/>
        </w:rPr>
      </w:pPr>
      <w:r>
        <w:rPr>
          <w:b/>
          <w:w w:val="95"/>
          <w:sz w:val="21"/>
        </w:rPr>
        <w:t>由</w:t>
      </w:r>
      <w:r>
        <w:rPr>
          <w:b/>
          <w:w w:val="95"/>
          <w:sz w:val="21"/>
        </w:rPr>
        <w:t>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毒（HIV）</w:t>
      </w:r>
      <w:r>
        <w:rPr>
          <w:b/>
          <w:w w:val="95"/>
          <w:sz w:val="21"/>
        </w:rPr>
        <w:t>感</w:t>
      </w:r>
      <w:r>
        <w:rPr>
          <w:b/>
          <w:w w:val="95"/>
          <w:sz w:val="21"/>
        </w:rPr>
        <w:t>染</w:t>
      </w:r>
      <w:r>
        <w:rPr>
          <w:b/>
          <w:w w:val="95"/>
          <w:sz w:val="21"/>
        </w:rPr>
        <w:t>导</w:t>
      </w:r>
      <w:r>
        <w:rPr>
          <w:b/>
          <w:w w:val="95"/>
          <w:sz w:val="21"/>
        </w:rPr>
        <w:t>致</w:t>
      </w:r>
      <w:r>
        <w:rPr>
          <w:b/>
          <w:w w:val="95"/>
          <w:sz w:val="21"/>
        </w:rPr>
        <w:t>的</w:t>
      </w:r>
      <w:r>
        <w:rPr>
          <w:b/>
          <w:w w:val="95"/>
          <w:sz w:val="21"/>
        </w:rPr>
        <w:t>脑</w:t>
      </w:r>
      <w:r>
        <w:rPr>
          <w:b/>
          <w:w w:val="95"/>
          <w:sz w:val="21"/>
        </w:rPr>
        <w:t>膜</w:t>
      </w:r>
      <w:r>
        <w:rPr>
          <w:b/>
          <w:w w:val="95"/>
          <w:sz w:val="21"/>
        </w:rPr>
        <w:t>炎不在</w:t>
      </w:r>
      <w:r>
        <w:rPr>
          <w:b/>
          <w:w w:val="95"/>
          <w:sz w:val="21"/>
        </w:rPr>
        <w:t>本</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spacing w:after="0" w:line="265" w:lineRule="exact"/>
        <w:jc w:val="left"/>
        <w:rPr>
          <w:sz w:val="21"/>
        </w:rPr>
        <w:sectPr>
          <w:type w:val="continuous"/>
          <w:pgSz w:w="11910" w:h="16840"/>
          <w:pgMar w:header="0" w:footer="857" w:top="320" w:bottom="1040" w:left="1100" w:right="260"/>
          <w:cols w:num="2" w:equalWidth="0">
            <w:col w:w="2774" w:space="40"/>
            <w:col w:w="7736"/>
          </w:cols>
        </w:sectPr>
      </w:pP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7"/>
        <w:rPr>
          <w:b/>
          <w:sz w:val="18"/>
        </w:rPr>
      </w:pPr>
    </w:p>
    <w:p>
      <w:pPr>
        <w:pStyle w:val="BodyText"/>
        <w:spacing w:line="297" w:lineRule="auto" w:before="1"/>
        <w:ind w:left="225"/>
      </w:pPr>
      <w:r>
        <w:rPr>
          <w:spacing w:val="-2"/>
        </w:rPr>
        <w:t>（二十六）中度进行性核上</w:t>
      </w:r>
      <w:r>
        <w:rPr>
          <w:spacing w:val="-2"/>
        </w:rPr>
        <w:t>神经麻痹症</w:t>
      </w:r>
    </w:p>
    <w:p>
      <w:pPr>
        <w:spacing w:line="240" w:lineRule="auto" w:before="7"/>
        <w:rPr>
          <w:sz w:val="18"/>
        </w:rPr>
      </w:pPr>
      <w:r>
        <w:rPr/>
        <w:br w:type="column"/>
      </w:r>
      <w:r>
        <w:rPr>
          <w:sz w:val="18"/>
        </w:rPr>
      </w:r>
    </w:p>
    <w:p>
      <w:pPr>
        <w:pStyle w:val="BodyText"/>
        <w:spacing w:line="300" w:lineRule="auto" w:before="1"/>
        <w:ind w:left="177" w:right="1058"/>
        <w:jc w:val="both"/>
      </w:pPr>
      <w:r>
        <w:rPr/>
        <w:t>又称 Steele-Rchardson—Olszewski 综合征，是一种少见的神经系统</w:t>
      </w:r>
      <w:r>
        <w:rPr>
          <w:spacing w:val="-2"/>
        </w:rPr>
        <w:t>变性疾病，以假球麻痹、垂直性核上性眼肌麻痹、锥体外系肌僵直、步</w:t>
      </w:r>
      <w:r>
        <w:rPr/>
        <w:t>态共济失调和轻度痴呆为主要临床特征。中度 PSP 必须由三级甲等医</w:t>
      </w:r>
      <w:r>
        <w:rPr>
          <w:spacing w:val="-2"/>
        </w:rPr>
        <w:t>院的神经内科专科医生确诊，并且被保险人自主生活能力部分丧失，无</w:t>
      </w:r>
      <w:r>
        <w:rPr>
          <w:spacing w:val="-2"/>
        </w:rPr>
        <w:t>法独立完成六项基本日常生活活动中的两项，</w:t>
      </w:r>
      <w:r>
        <w:rPr>
          <w:b/>
          <w:spacing w:val="-2"/>
        </w:rPr>
        <w:t>但未达到本合同所指重度</w:t>
      </w:r>
      <w:r>
        <w:rPr>
          <w:b/>
        </w:rPr>
        <w:t>疾病“进行性核上性麻痹（PSP）” 或“瘫痪”的给付标准</w:t>
      </w:r>
      <w:r>
        <w:rPr/>
        <w:t>。</w:t>
      </w:r>
    </w:p>
    <w:p>
      <w:pPr>
        <w:spacing w:after="0" w:line="300" w:lineRule="auto"/>
        <w:jc w:val="both"/>
        <w:sectPr>
          <w:type w:val="continuous"/>
          <w:pgSz w:w="11910" w:h="16840"/>
          <w:pgMar w:header="0" w:footer="857" w:top="320" w:bottom="1040" w:left="1100" w:right="260"/>
          <w:cols w:num="2" w:equalWidth="0">
            <w:col w:w="2774" w:space="40"/>
            <w:col w:w="7736"/>
          </w:cols>
        </w:sectPr>
      </w:pPr>
    </w:p>
    <w:p>
      <w:pPr>
        <w:pStyle w:val="BodyText"/>
        <w:spacing w:before="10"/>
        <w:rPr>
          <w:sz w:val="26"/>
        </w:rPr>
      </w:pPr>
    </w:p>
    <w:p>
      <w:pPr>
        <w:pStyle w:val="BodyText"/>
        <w:spacing w:line="276" w:lineRule="auto" w:before="74"/>
        <w:ind w:left="2990" w:right="1058" w:hanging="2766"/>
        <w:jc w:val="both"/>
      </w:pPr>
      <w:r>
        <w:rPr/>
        <w:t>（二十七）中度脊髓灰质炎 </w:t>
      </w:r>
      <w:r>
        <w:rPr>
          <w:position w:val="1"/>
        </w:rPr>
        <w:t>脊髓灰质炎是由于脊髓灰质炎病毒感染所致的瘫痪性疾病，临床表现为</w:t>
      </w:r>
      <w:r>
        <w:rPr>
          <w:spacing w:val="-2"/>
        </w:rPr>
        <w:t>运动功能损害或呼吸无力。脊髓灰质炎必须明确诊断。本保障仅对脊髓</w:t>
      </w:r>
      <w:r>
        <w:rPr>
          <w:spacing w:val="-2"/>
        </w:rPr>
        <w:t>灰质炎造成的神经系统功能损害导致被保险人一肢（含）以上肢体部分</w:t>
      </w:r>
      <w:r>
        <w:rPr>
          <w:spacing w:val="-2"/>
        </w:rPr>
        <w:t>机能永久完全丧失的情况予以理赔。肢体部分机能永久完全丧失，指疾</w:t>
      </w:r>
      <w:r>
        <w:rPr>
          <w:spacing w:val="-15"/>
        </w:rPr>
        <w:t>病确诊 </w:t>
      </w:r>
      <w:r>
        <w:rPr>
          <w:spacing w:val="-2"/>
        </w:rPr>
        <w:t>180</w:t>
      </w:r>
      <w:r>
        <w:rPr>
          <w:spacing w:val="-10"/>
        </w:rPr>
        <w:t> 天后，每肢三大关节中的至少一个大关节仍然完全僵硬，或</w:t>
      </w:r>
    </w:p>
    <w:p>
      <w:pPr>
        <w:spacing w:line="278" w:lineRule="auto" w:before="2"/>
        <w:ind w:left="2990" w:right="1060" w:firstLine="0"/>
        <w:jc w:val="both"/>
        <w:rPr>
          <w:sz w:val="21"/>
        </w:rPr>
      </w:pPr>
      <w:r>
        <w:rPr>
          <w:w w:val="95"/>
          <w:sz w:val="21"/>
        </w:rPr>
        <w:t>肢</w:t>
      </w:r>
      <w:r>
        <w:rPr>
          <w:w w:val="95"/>
          <w:sz w:val="21"/>
        </w:rPr>
        <w:t>体</w:t>
      </w:r>
      <w:r>
        <w:rPr>
          <w:w w:val="95"/>
          <w:sz w:val="21"/>
        </w:rPr>
        <w:t>肌</w:t>
      </w:r>
      <w:r>
        <w:rPr>
          <w:w w:val="95"/>
          <w:sz w:val="21"/>
        </w:rPr>
        <w:t>力</w:t>
      </w:r>
      <w:r>
        <w:rPr>
          <w:w w:val="95"/>
          <w:sz w:val="21"/>
        </w:rPr>
        <w:t>为 3 级，</w:t>
      </w:r>
      <w:r>
        <w:rPr>
          <w:b/>
          <w:w w:val="95"/>
          <w:sz w:val="21"/>
        </w:rPr>
        <w:t>但</w:t>
      </w:r>
      <w:r>
        <w:rPr>
          <w:b/>
          <w:w w:val="95"/>
          <w:sz w:val="21"/>
        </w:rPr>
        <w:t>未</w:t>
      </w:r>
      <w:r>
        <w:rPr>
          <w:b/>
          <w:w w:val="95"/>
          <w:sz w:val="21"/>
        </w:rPr>
        <w:t>达</w:t>
      </w:r>
      <w:r>
        <w:rPr>
          <w:b/>
          <w:w w:val="95"/>
          <w:sz w:val="21"/>
        </w:rPr>
        <w:t>到</w:t>
      </w:r>
      <w:r>
        <w:rPr>
          <w:b/>
          <w:w w:val="95"/>
          <w:sz w:val="21"/>
        </w:rPr>
        <w:t>本</w:t>
      </w:r>
      <w:r>
        <w:rPr>
          <w:b/>
          <w:w w:val="95"/>
          <w:sz w:val="21"/>
        </w:rPr>
        <w:t>合</w:t>
      </w:r>
      <w:r>
        <w:rPr>
          <w:b/>
          <w:w w:val="95"/>
          <w:sz w:val="21"/>
        </w:rPr>
        <w:t>同</w:t>
      </w:r>
      <w:r>
        <w:rPr>
          <w:b/>
          <w:w w:val="95"/>
          <w:sz w:val="21"/>
        </w:rPr>
        <w:t>所</w:t>
      </w:r>
      <w:r>
        <w:rPr>
          <w:b/>
          <w:w w:val="95"/>
          <w:sz w:val="21"/>
        </w:rPr>
        <w:t>指</w:t>
      </w:r>
      <w:r>
        <w:rPr>
          <w:b/>
          <w:w w:val="95"/>
          <w:sz w:val="21"/>
        </w:rPr>
        <w:t>重</w:t>
      </w:r>
      <w:r>
        <w:rPr>
          <w:b/>
          <w:w w:val="95"/>
          <w:sz w:val="21"/>
        </w:rPr>
        <w:t>度</w:t>
      </w:r>
      <w:r>
        <w:rPr>
          <w:b/>
          <w:w w:val="95"/>
          <w:sz w:val="21"/>
        </w:rPr>
        <w:t>疾病“</w:t>
      </w:r>
      <w:r>
        <w:rPr>
          <w:b/>
          <w:w w:val="95"/>
          <w:sz w:val="21"/>
        </w:rPr>
        <w:t>严</w:t>
      </w:r>
      <w:r>
        <w:rPr>
          <w:b/>
          <w:w w:val="95"/>
          <w:sz w:val="21"/>
        </w:rPr>
        <w:t>重</w:t>
      </w:r>
      <w:r>
        <w:rPr>
          <w:b/>
          <w:w w:val="95"/>
          <w:sz w:val="21"/>
        </w:rPr>
        <w:t>脊</w:t>
      </w:r>
      <w:r>
        <w:rPr>
          <w:b/>
          <w:w w:val="95"/>
          <w:sz w:val="21"/>
        </w:rPr>
        <w:t>髓</w:t>
      </w:r>
      <w:r>
        <w:rPr>
          <w:b/>
          <w:w w:val="95"/>
          <w:sz w:val="21"/>
        </w:rPr>
        <w:t>灰</w:t>
      </w:r>
      <w:r>
        <w:rPr>
          <w:b/>
          <w:w w:val="95"/>
          <w:sz w:val="21"/>
        </w:rPr>
        <w:t>质</w:t>
      </w:r>
      <w:r>
        <w:rPr>
          <w:b/>
          <w:w w:val="95"/>
          <w:sz w:val="21"/>
        </w:rPr>
        <w:t>炎</w:t>
      </w:r>
      <w:r>
        <w:rPr>
          <w:b/>
          <w:w w:val="95"/>
          <w:sz w:val="21"/>
        </w:rPr>
        <w:t>”</w:t>
      </w:r>
      <w:r>
        <w:rPr>
          <w:b/>
          <w:w w:val="95"/>
          <w:sz w:val="21"/>
        </w:rPr>
        <w:t>的</w:t>
      </w:r>
      <w:r>
        <w:rPr>
          <w:b/>
          <w:spacing w:val="-2"/>
          <w:sz w:val="21"/>
        </w:rPr>
        <w:t>给付标准</w:t>
      </w:r>
      <w:r>
        <w:rPr>
          <w:spacing w:val="-2"/>
          <w:sz w:val="21"/>
        </w:rPr>
        <w:t>。</w:t>
      </w:r>
    </w:p>
    <w:p>
      <w:pPr>
        <w:pStyle w:val="BodyText"/>
        <w:rPr>
          <w:sz w:val="20"/>
        </w:rPr>
      </w:pPr>
    </w:p>
    <w:p>
      <w:pPr>
        <w:pStyle w:val="BodyText"/>
        <w:spacing w:before="3"/>
        <w:rPr>
          <w:sz w:val="14"/>
        </w:rPr>
      </w:pPr>
    </w:p>
    <w:p>
      <w:pPr>
        <w:pStyle w:val="BodyText"/>
        <w:tabs>
          <w:tab w:pos="2990" w:val="left" w:leader="none"/>
        </w:tabs>
        <w:spacing w:line="300" w:lineRule="auto"/>
        <w:ind w:left="2990" w:right="1064" w:hanging="2766"/>
      </w:pPr>
      <w:r>
        <w:rPr>
          <w:w w:val="100"/>
        </w:rPr>
        <w:t>（二</w:t>
      </w:r>
      <w:r>
        <w:rPr>
          <w:spacing w:val="-3"/>
          <w:w w:val="100"/>
        </w:rPr>
        <w:t>十</w:t>
      </w:r>
      <w:r>
        <w:rPr>
          <w:w w:val="100"/>
        </w:rPr>
        <w:t>八</w:t>
      </w:r>
      <w:r>
        <w:rPr>
          <w:spacing w:val="-3"/>
          <w:w w:val="100"/>
        </w:rPr>
        <w:t>）</w:t>
      </w:r>
      <w:r>
        <w:rPr>
          <w:w w:val="100"/>
        </w:rPr>
        <w:t>单</w:t>
      </w:r>
      <w:r>
        <w:rPr>
          <w:spacing w:val="-3"/>
          <w:w w:val="100"/>
        </w:rPr>
        <w:t>侧</w:t>
      </w:r>
      <w:r>
        <w:rPr>
          <w:w w:val="100"/>
        </w:rPr>
        <w:t>肺</w:t>
      </w:r>
      <w:r>
        <w:rPr>
          <w:spacing w:val="-3"/>
          <w:w w:val="100"/>
        </w:rPr>
        <w:t>脏</w:t>
      </w:r>
      <w:r>
        <w:rPr>
          <w:w w:val="100"/>
        </w:rPr>
        <w:t>切除</w:t>
      </w:r>
      <w:r>
        <w:rPr/>
        <w:tab/>
      </w:r>
      <w:r>
        <w:rPr>
          <w:spacing w:val="4"/>
          <w:w w:val="100"/>
        </w:rPr>
        <w:t>指</w:t>
      </w:r>
      <w:r>
        <w:rPr>
          <w:spacing w:val="6"/>
          <w:w w:val="100"/>
        </w:rPr>
        <w:t>因</w:t>
      </w:r>
      <w:r>
        <w:rPr>
          <w:spacing w:val="4"/>
          <w:w w:val="100"/>
        </w:rPr>
        <w:t>疾病或</w:t>
      </w:r>
      <w:r>
        <w:rPr>
          <w:spacing w:val="6"/>
          <w:w w:val="100"/>
        </w:rPr>
        <w:t>意</w:t>
      </w:r>
      <w:r>
        <w:rPr>
          <w:spacing w:val="4"/>
          <w:w w:val="100"/>
        </w:rPr>
        <w:t>外伤害</w:t>
      </w:r>
      <w:r>
        <w:rPr>
          <w:spacing w:val="6"/>
          <w:w w:val="100"/>
        </w:rPr>
        <w:t>导</w:t>
      </w:r>
      <w:r>
        <w:rPr>
          <w:spacing w:val="4"/>
          <w:w w:val="100"/>
        </w:rPr>
        <w:t>致肺</w:t>
      </w:r>
      <w:r>
        <w:rPr>
          <w:spacing w:val="6"/>
          <w:w w:val="100"/>
        </w:rPr>
        <w:t>部</w:t>
      </w:r>
      <w:r>
        <w:rPr>
          <w:spacing w:val="4"/>
          <w:w w:val="100"/>
        </w:rPr>
        <w:t>严重损</w:t>
      </w:r>
      <w:r>
        <w:rPr>
          <w:spacing w:val="6"/>
          <w:w w:val="100"/>
        </w:rPr>
        <w:t>害</w:t>
      </w:r>
      <w:r>
        <w:rPr>
          <w:spacing w:val="4"/>
          <w:w w:val="100"/>
        </w:rPr>
        <w:t>，已经</w:t>
      </w:r>
      <w:r>
        <w:rPr>
          <w:spacing w:val="6"/>
          <w:w w:val="100"/>
        </w:rPr>
        <w:t>实</w:t>
      </w:r>
      <w:r>
        <w:rPr>
          <w:spacing w:val="4"/>
          <w:w w:val="100"/>
        </w:rPr>
        <w:t>施了</w:t>
      </w:r>
      <w:r>
        <w:rPr>
          <w:spacing w:val="6"/>
          <w:w w:val="100"/>
        </w:rPr>
        <w:t>单</w:t>
      </w:r>
      <w:r>
        <w:rPr>
          <w:spacing w:val="4"/>
          <w:w w:val="100"/>
        </w:rPr>
        <w:t>侧全肺</w:t>
      </w:r>
      <w:r>
        <w:rPr>
          <w:spacing w:val="6"/>
          <w:w w:val="100"/>
        </w:rPr>
        <w:t>切</w:t>
      </w:r>
      <w:r>
        <w:rPr>
          <w:spacing w:val="4"/>
          <w:w w:val="100"/>
        </w:rPr>
        <w:t>除</w:t>
      </w:r>
      <w:r>
        <w:rPr>
          <w:w w:val="100"/>
        </w:rPr>
        <w:t>手术。</w:t>
      </w:r>
    </w:p>
    <w:p>
      <w:pPr>
        <w:spacing w:before="2"/>
        <w:ind w:left="2990" w:right="0" w:firstLine="0"/>
        <w:jc w:val="left"/>
        <w:rPr>
          <w:b/>
          <w:sz w:val="21"/>
        </w:rPr>
      </w:pPr>
      <w:r>
        <w:rPr>
          <w:b/>
          <w:spacing w:val="-3"/>
          <w:sz w:val="21"/>
        </w:rPr>
        <w:t>下列情况不在本保障范围内：</w:t>
      </w:r>
    </w:p>
    <w:p>
      <w:pPr>
        <w:pStyle w:val="ListParagraph"/>
        <w:numPr>
          <w:ilvl w:val="0"/>
          <w:numId w:val="73"/>
        </w:numPr>
        <w:tabs>
          <w:tab w:pos="3520" w:val="left" w:leader="none"/>
        </w:tabs>
        <w:spacing w:line="240" w:lineRule="auto" w:before="67" w:after="0"/>
        <w:ind w:left="3519" w:right="0" w:hanging="530"/>
        <w:jc w:val="left"/>
        <w:rPr>
          <w:b/>
          <w:sz w:val="21"/>
        </w:rPr>
      </w:pPr>
      <w:r>
        <w:rPr>
          <w:b/>
          <w:spacing w:val="-3"/>
          <w:sz w:val="21"/>
        </w:rPr>
        <w:t>肺叶切除、肺段切除手术；</w:t>
      </w:r>
    </w:p>
    <w:p>
      <w:pPr>
        <w:pStyle w:val="ListParagraph"/>
        <w:numPr>
          <w:ilvl w:val="0"/>
          <w:numId w:val="73"/>
        </w:numPr>
        <w:tabs>
          <w:tab w:pos="3520" w:val="left" w:leader="none"/>
        </w:tabs>
        <w:spacing w:line="240" w:lineRule="auto" w:before="67" w:after="0"/>
        <w:ind w:left="3519" w:right="0" w:hanging="530"/>
        <w:jc w:val="left"/>
        <w:rPr>
          <w:b/>
          <w:sz w:val="21"/>
        </w:rPr>
      </w:pPr>
      <w:r>
        <w:rPr>
          <w:b/>
          <w:spacing w:val="-3"/>
          <w:sz w:val="21"/>
        </w:rPr>
        <w:t>作为器官捐献者而实施的肺切除手术；</w:t>
      </w:r>
    </w:p>
    <w:p>
      <w:pPr>
        <w:spacing w:after="0" w:line="240" w:lineRule="auto"/>
        <w:jc w:val="left"/>
        <w:rPr>
          <w:sz w:val="21"/>
        </w:rPr>
        <w:sectPr>
          <w:type w:val="continuous"/>
          <w:pgSz w:w="11910" w:h="16840"/>
          <w:pgMar w:header="0" w:footer="857" w:top="320" w:bottom="1040" w:left="1100" w:right="260"/>
        </w:sectPr>
      </w:pPr>
    </w:p>
    <w:p>
      <w:pPr>
        <w:pStyle w:val="ListParagraph"/>
        <w:numPr>
          <w:ilvl w:val="0"/>
          <w:numId w:val="73"/>
        </w:numPr>
        <w:tabs>
          <w:tab w:pos="3520" w:val="left" w:leader="none"/>
        </w:tabs>
        <w:spacing w:line="240" w:lineRule="auto" w:before="60" w:after="0"/>
        <w:ind w:left="3519" w:right="0" w:hanging="530"/>
        <w:jc w:val="left"/>
        <w:rPr>
          <w:b/>
          <w:sz w:val="21"/>
        </w:rPr>
      </w:pPr>
      <w:r>
        <w:rPr>
          <w:b/>
          <w:spacing w:val="-3"/>
          <w:sz w:val="21"/>
        </w:rPr>
        <w:t>因恶性肿瘤进行的肺切除手术。</w:t>
      </w:r>
    </w:p>
    <w:p>
      <w:pPr>
        <w:pStyle w:val="BodyText"/>
        <w:rPr>
          <w:b/>
          <w:sz w:val="20"/>
        </w:rPr>
      </w:pPr>
    </w:p>
    <w:p>
      <w:pPr>
        <w:pStyle w:val="BodyText"/>
        <w:spacing w:before="10"/>
        <w:rPr>
          <w:b/>
          <w:sz w:val="17"/>
        </w:rPr>
      </w:pPr>
    </w:p>
    <w:p>
      <w:pPr>
        <w:pStyle w:val="BodyText"/>
        <w:tabs>
          <w:tab w:pos="2990" w:val="left" w:leader="none"/>
        </w:tabs>
        <w:spacing w:line="266" w:lineRule="auto" w:before="1"/>
        <w:ind w:left="2990" w:right="1058" w:hanging="2766"/>
      </w:pPr>
      <w:r>
        <w:rPr>
          <w:spacing w:val="-2"/>
        </w:rPr>
        <w:t>（</w:t>
      </w:r>
      <w:r>
        <w:rPr>
          <w:spacing w:val="-2"/>
        </w:rPr>
        <w:t>二</w:t>
      </w:r>
      <w:r>
        <w:rPr>
          <w:spacing w:val="-2"/>
        </w:rPr>
        <w:t>十九）胆道重建</w:t>
      </w:r>
      <w:r>
        <w:rPr>
          <w:spacing w:val="-2"/>
        </w:rPr>
        <w:t>手</w:t>
      </w:r>
      <w:r>
        <w:rPr>
          <w:spacing w:val="-2"/>
        </w:rPr>
        <w:t>术</w:t>
      </w:r>
      <w:r>
        <w:rPr/>
        <w:tab/>
      </w:r>
      <w:r>
        <w:rPr>
          <w:spacing w:val="-2"/>
          <w:position w:val="1"/>
        </w:rPr>
        <w:t>指</w:t>
      </w:r>
      <w:r>
        <w:rPr>
          <w:spacing w:val="-2"/>
          <w:position w:val="1"/>
        </w:rPr>
        <w:t>因</w:t>
      </w:r>
      <w:r>
        <w:rPr>
          <w:spacing w:val="-2"/>
          <w:position w:val="1"/>
        </w:rPr>
        <w:t>胆道创伤导致接受涉</w:t>
      </w:r>
      <w:r>
        <w:rPr>
          <w:spacing w:val="-2"/>
          <w:position w:val="1"/>
        </w:rPr>
        <w:t>及</w:t>
      </w:r>
      <w:r>
        <w:rPr>
          <w:spacing w:val="-2"/>
          <w:position w:val="1"/>
        </w:rPr>
        <w:t>胆</w:t>
      </w:r>
      <w:r>
        <w:rPr>
          <w:spacing w:val="-2"/>
          <w:position w:val="1"/>
        </w:rPr>
        <w:t>总管小肠吻合术的胆</w:t>
      </w:r>
      <w:r>
        <w:rPr>
          <w:spacing w:val="-2"/>
          <w:position w:val="1"/>
        </w:rPr>
        <w:t>道</w:t>
      </w:r>
      <w:r>
        <w:rPr>
          <w:spacing w:val="-2"/>
          <w:position w:val="1"/>
        </w:rPr>
        <w:t>重</w:t>
      </w:r>
      <w:r>
        <w:rPr>
          <w:spacing w:val="-2"/>
          <w:position w:val="1"/>
        </w:rPr>
        <w:t>建手术。手术必</w:t>
      </w:r>
      <w:r>
        <w:rPr>
          <w:spacing w:val="-2"/>
        </w:rPr>
        <w:t>须</w:t>
      </w:r>
      <w:r>
        <w:rPr>
          <w:spacing w:val="-2"/>
        </w:rPr>
        <w:t>在</w:t>
      </w:r>
      <w:r>
        <w:rPr>
          <w:spacing w:val="-2"/>
        </w:rPr>
        <w:t>专科医生认为是医疗</w:t>
      </w:r>
      <w:r>
        <w:rPr>
          <w:spacing w:val="-2"/>
        </w:rPr>
        <w:t>所</w:t>
      </w:r>
      <w:r>
        <w:rPr>
          <w:spacing w:val="-2"/>
        </w:rPr>
        <w:t>需</w:t>
      </w:r>
      <w:r>
        <w:rPr>
          <w:spacing w:val="-2"/>
        </w:rPr>
        <w:t>的情况下进</w:t>
      </w:r>
      <w:r>
        <w:rPr>
          <w:rFonts w:ascii="Dotum" w:eastAsia="Dotum"/>
          <w:spacing w:val="-2"/>
        </w:rPr>
        <w:t>行</w:t>
      </w:r>
      <w:r>
        <w:rPr>
          <w:spacing w:val="-2"/>
        </w:rPr>
        <w:t>。</w:t>
      </w:r>
    </w:p>
    <w:p>
      <w:pPr>
        <w:spacing w:before="26"/>
        <w:ind w:left="2990" w:right="0" w:firstLine="0"/>
        <w:jc w:val="left"/>
        <w:rPr>
          <w:b/>
          <w:sz w:val="21"/>
        </w:rPr>
      </w:pPr>
      <w:r>
        <w:rPr>
          <w:b/>
          <w:spacing w:val="-3"/>
          <w:sz w:val="21"/>
        </w:rPr>
        <w:t>胆道闭锁不在本保障范围内。</w:t>
      </w:r>
    </w:p>
    <w:p>
      <w:pPr>
        <w:pStyle w:val="BodyText"/>
        <w:rPr>
          <w:b/>
          <w:sz w:val="20"/>
        </w:rPr>
      </w:pPr>
    </w:p>
    <w:p>
      <w:pPr>
        <w:pStyle w:val="BodyText"/>
        <w:spacing w:before="7"/>
        <w:rPr>
          <w:b/>
          <w:sz w:val="18"/>
        </w:rPr>
      </w:pPr>
    </w:p>
    <w:p>
      <w:pPr>
        <w:pStyle w:val="BodyText"/>
        <w:tabs>
          <w:tab w:pos="2990" w:val="left" w:leader="none"/>
        </w:tabs>
        <w:spacing w:line="300" w:lineRule="auto"/>
        <w:ind w:left="2990" w:right="1058" w:hanging="2766"/>
      </w:pPr>
      <w:r>
        <w:rPr>
          <w:spacing w:val="-2"/>
        </w:rPr>
        <w:t>（</w:t>
      </w:r>
      <w:r>
        <w:rPr>
          <w:spacing w:val="-2"/>
        </w:rPr>
        <w:t>三</w:t>
      </w:r>
      <w:r>
        <w:rPr>
          <w:spacing w:val="-2"/>
        </w:rPr>
        <w:t>十）结核性脊髓炎</w:t>
      </w:r>
      <w:r>
        <w:rPr/>
        <w:tab/>
      </w:r>
      <w:r>
        <w:rPr>
          <w:spacing w:val="-2"/>
        </w:rPr>
        <w:t>因</w:t>
      </w:r>
      <w:r>
        <w:rPr>
          <w:spacing w:val="-2"/>
        </w:rPr>
        <w:t>结</w:t>
      </w:r>
      <w:r>
        <w:rPr>
          <w:spacing w:val="-2"/>
        </w:rPr>
        <w:t>核杆菌引起的脊髓炎，导致永久性神经系统功</w:t>
      </w:r>
      <w:r>
        <w:rPr>
          <w:spacing w:val="-2"/>
        </w:rPr>
        <w:t>能</w:t>
      </w:r>
      <w:r>
        <w:rPr>
          <w:spacing w:val="-2"/>
        </w:rPr>
        <w:t>中</w:t>
      </w:r>
      <w:r>
        <w:rPr>
          <w:spacing w:val="-2"/>
        </w:rPr>
        <w:t>度障碍，即：</w:t>
      </w:r>
      <w:r>
        <w:rPr>
          <w:spacing w:val="-2"/>
        </w:rPr>
        <w:t>疾</w:t>
      </w:r>
      <w:r>
        <w:rPr/>
        <w:t>病首次</w:t>
      </w:r>
      <w:r>
        <w:rPr/>
        <w:t>确</w:t>
      </w:r>
      <w:r>
        <w:rPr/>
        <w:t>诊</w:t>
      </w:r>
      <w:r>
        <w:rPr>
          <w:spacing w:val="-22"/>
        </w:rPr>
        <w:t> </w:t>
      </w:r>
      <w:r>
        <w:rPr/>
        <w:t>180</w:t>
      </w:r>
      <w:r>
        <w:rPr>
          <w:spacing w:val="-25"/>
        </w:rPr>
        <w:t> </w:t>
      </w:r>
      <w:r>
        <w:rPr/>
        <w:t>天后，仍</w:t>
      </w:r>
      <w:r>
        <w:rPr/>
        <w:t>遗留下列至少一种障碍：</w:t>
      </w:r>
    </w:p>
    <w:p>
      <w:pPr>
        <w:pStyle w:val="ListParagraph"/>
        <w:numPr>
          <w:ilvl w:val="0"/>
          <w:numId w:val="74"/>
        </w:numPr>
        <w:tabs>
          <w:tab w:pos="3520" w:val="left" w:leader="none"/>
        </w:tabs>
        <w:spacing w:line="274" w:lineRule="exact" w:before="0" w:after="0"/>
        <w:ind w:left="3519" w:right="0" w:hanging="530"/>
        <w:jc w:val="left"/>
        <w:rPr>
          <w:sz w:val="21"/>
        </w:rPr>
      </w:pPr>
      <w:r>
        <w:rPr>
          <w:spacing w:val="-2"/>
          <w:sz w:val="22"/>
        </w:rPr>
        <w:t>一肢（含）</w:t>
      </w:r>
      <w:r>
        <w:rPr>
          <w:spacing w:val="-8"/>
          <w:sz w:val="22"/>
        </w:rPr>
        <w:t>以上肢体肌力为 </w:t>
      </w:r>
      <w:r>
        <w:rPr>
          <w:spacing w:val="-2"/>
          <w:sz w:val="22"/>
        </w:rPr>
        <w:t>3</w:t>
      </w:r>
      <w:r>
        <w:rPr>
          <w:spacing w:val="-24"/>
          <w:sz w:val="22"/>
        </w:rPr>
        <w:t> 级</w:t>
      </w:r>
      <w:r>
        <w:rPr>
          <w:spacing w:val="-2"/>
          <w:sz w:val="22"/>
        </w:rPr>
        <w:t>（含）以下</w:t>
      </w:r>
      <w:r>
        <w:rPr>
          <w:spacing w:val="-10"/>
          <w:sz w:val="21"/>
        </w:rPr>
        <w:t>；</w:t>
      </w:r>
    </w:p>
    <w:p>
      <w:pPr>
        <w:pStyle w:val="ListParagraph"/>
        <w:numPr>
          <w:ilvl w:val="0"/>
          <w:numId w:val="74"/>
        </w:numPr>
        <w:tabs>
          <w:tab w:pos="3526" w:val="left" w:leader="none"/>
        </w:tabs>
        <w:spacing w:line="300" w:lineRule="auto" w:before="64" w:after="0"/>
        <w:ind w:left="2990" w:right="1065" w:firstLine="0"/>
        <w:jc w:val="left"/>
        <w:rPr>
          <w:sz w:val="21"/>
        </w:rPr>
      </w:pPr>
      <w:r>
        <w:rPr>
          <w:spacing w:val="-2"/>
          <w:sz w:val="21"/>
        </w:rPr>
        <w:t>自主生活能力部分丧失，无法独立完成六项基本日常生活活动中</w:t>
      </w:r>
      <w:r>
        <w:rPr>
          <w:spacing w:val="-2"/>
          <w:sz w:val="21"/>
        </w:rPr>
        <w:t>的两项或两项以上。</w:t>
      </w:r>
    </w:p>
    <w:p>
      <w:pPr>
        <w:pStyle w:val="BodyText"/>
        <w:rPr>
          <w:sz w:val="20"/>
        </w:rPr>
      </w:pPr>
    </w:p>
    <w:p>
      <w:pPr>
        <w:pStyle w:val="ListParagraph"/>
        <w:numPr>
          <w:ilvl w:val="1"/>
          <w:numId w:val="13"/>
        </w:numPr>
        <w:tabs>
          <w:tab w:pos="1409" w:val="left" w:leader="none"/>
        </w:tabs>
        <w:spacing w:line="297" w:lineRule="auto" w:before="171" w:after="0"/>
        <w:ind w:left="2990" w:right="1060" w:hanging="2766"/>
        <w:jc w:val="both"/>
        <w:rPr>
          <w:sz w:val="21"/>
        </w:rPr>
      </w:pPr>
      <w:r>
        <w:rPr>
          <w:sz w:val="21"/>
        </w:rPr>
        <w:t>轻度疾病</w:t>
      </w:r>
      <w:r>
        <w:rPr>
          <w:spacing w:val="585"/>
          <w:sz w:val="21"/>
        </w:rPr>
        <w:t> </w:t>
      </w:r>
      <w:r>
        <w:rPr>
          <w:sz w:val="21"/>
        </w:rPr>
        <w:t>符合以下疾病定义所述条件的疾病，并由专科医生明确诊断，共计三十</w:t>
      </w:r>
      <w:r>
        <w:rPr>
          <w:spacing w:val="-2"/>
          <w:sz w:val="21"/>
        </w:rPr>
        <w:t>种。其中第一种至第三种为中国保险行业协会在其制定的《重大疾病保</w:t>
      </w:r>
      <w:r>
        <w:rPr>
          <w:sz w:val="21"/>
        </w:rPr>
        <w:t>险的疾病定义使用规范（2020</w:t>
      </w:r>
      <w:r>
        <w:rPr>
          <w:spacing w:val="-10"/>
          <w:sz w:val="21"/>
        </w:rPr>
        <w:t> 年修订版</w:t>
      </w:r>
      <w:r>
        <w:rPr>
          <w:sz w:val="21"/>
        </w:rPr>
        <w:t>）》中所规定的疾病。</w:t>
      </w:r>
    </w:p>
    <w:p>
      <w:pPr>
        <w:pStyle w:val="BodyText"/>
        <w:spacing w:line="300" w:lineRule="auto" w:before="91"/>
        <w:ind w:left="2990" w:right="1039" w:hanging="2766"/>
        <w:jc w:val="both"/>
      </w:pPr>
      <w:r>
        <w:rPr/>
        <w:t>（一）恶性肿瘤——轻度 指恶性细胞不受控制的进行性增长和扩散，浸润和破坏周围正常组织，</w:t>
      </w:r>
      <w:r>
        <w:rPr>
          <w:spacing w:val="-2"/>
        </w:rPr>
        <w:t>可以经血管、淋巴管和体腔扩散转移到身体其他部位，病灶经组织病理</w:t>
      </w:r>
      <w:r>
        <w:rPr>
          <w:spacing w:val="-2"/>
        </w:rPr>
        <w:t>学检查（涵盖骨髓病理学检查）结果明确诊断，临床诊断属于世界卫生</w:t>
      </w:r>
      <w:r>
        <w:rPr/>
        <w:t>组织（WHO， World Health Organization）《疾病和有关健康问题的</w:t>
      </w:r>
      <w:r>
        <w:rPr>
          <w:spacing w:val="-2"/>
        </w:rPr>
        <w:t>国际统计分类》第十次修订版（ICD-10）的恶性肿瘤类别及《国际疾病</w:t>
      </w:r>
      <w:r>
        <w:rPr/>
        <w:t>分类肿瘤学专辑》第三版（ICD-O-3）</w:t>
      </w:r>
      <w:r>
        <w:rPr>
          <w:spacing w:val="4"/>
        </w:rPr>
        <w:t>的肿瘤形态学编码属于 </w:t>
      </w:r>
      <w:r>
        <w:rPr/>
        <w:t>3、6、</w:t>
      </w:r>
      <w:r>
        <w:rPr>
          <w:spacing w:val="-10"/>
        </w:rPr>
        <w:t>9</w:t>
      </w:r>
    </w:p>
    <w:p>
      <w:pPr>
        <w:pStyle w:val="BodyText"/>
        <w:spacing w:line="300" w:lineRule="auto" w:before="3"/>
        <w:ind w:left="2990" w:right="1061"/>
      </w:pPr>
      <w:r>
        <w:rPr>
          <w:spacing w:val="-2"/>
        </w:rPr>
        <w:t>（恶性肿瘤）范畴，但不在</w:t>
      </w:r>
      <w:r>
        <w:rPr>
          <w:rFonts w:ascii="Times New Roman" w:hAnsi="Times New Roman" w:eastAsia="Times New Roman"/>
          <w:spacing w:val="-2"/>
        </w:rPr>
        <w:t>“</w:t>
      </w:r>
      <w:r>
        <w:rPr>
          <w:spacing w:val="-2"/>
        </w:rPr>
        <w:t>恶性肿瘤——重度</w:t>
      </w:r>
      <w:r>
        <w:rPr>
          <w:rFonts w:ascii="Times New Roman" w:hAnsi="Times New Roman" w:eastAsia="Times New Roman"/>
          <w:spacing w:val="-2"/>
        </w:rPr>
        <w:t>”</w:t>
      </w:r>
      <w:r>
        <w:rPr>
          <w:spacing w:val="-2"/>
        </w:rPr>
        <w:t>保障范围的疾病。且特</w:t>
      </w:r>
      <w:r>
        <w:rPr>
          <w:spacing w:val="-2"/>
        </w:rPr>
        <w:t>指下列六项之一：</w:t>
      </w:r>
    </w:p>
    <w:p>
      <w:pPr>
        <w:pStyle w:val="ListParagraph"/>
        <w:numPr>
          <w:ilvl w:val="0"/>
          <w:numId w:val="75"/>
        </w:numPr>
        <w:tabs>
          <w:tab w:pos="3520" w:val="left" w:leader="none"/>
        </w:tabs>
        <w:spacing w:line="268" w:lineRule="exact" w:before="0" w:after="0"/>
        <w:ind w:left="3519" w:right="0" w:hanging="530"/>
        <w:jc w:val="left"/>
        <w:rPr>
          <w:sz w:val="21"/>
        </w:rPr>
      </w:pPr>
      <w:r>
        <w:rPr>
          <w:spacing w:val="-2"/>
          <w:sz w:val="21"/>
        </w:rPr>
        <w:t>TNM</w:t>
      </w:r>
      <w:r>
        <w:rPr>
          <w:spacing w:val="-10"/>
          <w:sz w:val="21"/>
        </w:rPr>
        <w:t> 分期为Ⅰ期的甲状腺癌；</w:t>
      </w:r>
    </w:p>
    <w:p>
      <w:pPr>
        <w:pStyle w:val="ListParagraph"/>
        <w:numPr>
          <w:ilvl w:val="0"/>
          <w:numId w:val="75"/>
        </w:numPr>
        <w:tabs>
          <w:tab w:pos="3520" w:val="left" w:leader="none"/>
        </w:tabs>
        <w:spacing w:line="240" w:lineRule="auto" w:before="69" w:after="0"/>
        <w:ind w:left="3519" w:right="0" w:hanging="530"/>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w:t>
      </w:r>
      <w:r>
        <w:rPr>
          <w:spacing w:val="-4"/>
          <w:position w:val="1"/>
          <w:sz w:val="21"/>
        </w:rPr>
        <w:t>期的前列腺癌；</w:t>
      </w:r>
    </w:p>
    <w:p>
      <w:pPr>
        <w:pStyle w:val="ListParagraph"/>
        <w:numPr>
          <w:ilvl w:val="0"/>
          <w:numId w:val="75"/>
        </w:numPr>
        <w:tabs>
          <w:tab w:pos="3520" w:val="left" w:leader="none"/>
        </w:tabs>
        <w:spacing w:line="240" w:lineRule="auto" w:before="68" w:after="0"/>
        <w:ind w:left="3519" w:right="0" w:hanging="530"/>
        <w:jc w:val="left"/>
        <w:rPr>
          <w:sz w:val="21"/>
        </w:rPr>
      </w:pPr>
      <w:r>
        <w:rPr>
          <w:spacing w:val="-3"/>
          <w:sz w:val="21"/>
        </w:rPr>
        <w:t>黑色素瘤以外的未发生淋巴结和远处转移的皮肤恶性肿瘤；</w:t>
      </w:r>
    </w:p>
    <w:p>
      <w:pPr>
        <w:pStyle w:val="ListParagraph"/>
        <w:numPr>
          <w:ilvl w:val="0"/>
          <w:numId w:val="75"/>
        </w:numPr>
        <w:tabs>
          <w:tab w:pos="3520" w:val="left" w:leader="none"/>
        </w:tabs>
        <w:spacing w:line="240" w:lineRule="auto" w:before="67" w:after="0"/>
        <w:ind w:left="3519" w:right="0" w:hanging="530"/>
        <w:jc w:val="left"/>
        <w:rPr>
          <w:sz w:val="21"/>
        </w:rPr>
      </w:pPr>
      <w:r>
        <w:rPr>
          <w:spacing w:val="-14"/>
          <w:sz w:val="21"/>
        </w:rPr>
        <w:t>相当于 </w:t>
      </w:r>
      <w:r>
        <w:rPr>
          <w:spacing w:val="-2"/>
          <w:sz w:val="21"/>
        </w:rPr>
        <w:t>Binet</w:t>
      </w:r>
      <w:r>
        <w:rPr>
          <w:spacing w:val="-19"/>
          <w:sz w:val="21"/>
        </w:rPr>
        <w:t> 分期方案 </w:t>
      </w:r>
      <w:r>
        <w:rPr>
          <w:spacing w:val="-2"/>
          <w:sz w:val="21"/>
        </w:rPr>
        <w:t>A</w:t>
      </w:r>
      <w:r>
        <w:rPr>
          <w:spacing w:val="-10"/>
          <w:sz w:val="21"/>
        </w:rPr>
        <w:t> 期程度的慢性淋巴细胞白血病；</w:t>
      </w:r>
    </w:p>
    <w:p>
      <w:pPr>
        <w:pStyle w:val="ListParagraph"/>
        <w:numPr>
          <w:ilvl w:val="0"/>
          <w:numId w:val="75"/>
        </w:numPr>
        <w:tabs>
          <w:tab w:pos="3520" w:val="left" w:leader="none"/>
        </w:tabs>
        <w:spacing w:line="240" w:lineRule="auto" w:before="69" w:after="0"/>
        <w:ind w:left="3519" w:right="0" w:hanging="530"/>
        <w:jc w:val="left"/>
        <w:rPr>
          <w:sz w:val="21"/>
        </w:rPr>
      </w:pPr>
      <w:r>
        <w:rPr>
          <w:spacing w:val="-14"/>
          <w:sz w:val="21"/>
        </w:rPr>
        <w:t>相当于 </w:t>
      </w:r>
      <w:r>
        <w:rPr>
          <w:spacing w:val="-2"/>
          <w:sz w:val="21"/>
        </w:rPr>
        <w:t>Ann</w:t>
      </w:r>
      <w:r>
        <w:rPr>
          <w:spacing w:val="12"/>
          <w:sz w:val="21"/>
        </w:rPr>
        <w:t> </w:t>
      </w:r>
      <w:r>
        <w:rPr>
          <w:spacing w:val="-2"/>
          <w:sz w:val="21"/>
        </w:rPr>
        <w:t>Arbor</w:t>
      </w:r>
      <w:r>
        <w:rPr>
          <w:spacing w:val="-10"/>
          <w:sz w:val="21"/>
        </w:rPr>
        <w:t> 分期方案Ⅰ期程度的何杰金氏病；</w:t>
      </w:r>
    </w:p>
    <w:p>
      <w:pPr>
        <w:pStyle w:val="ListParagraph"/>
        <w:numPr>
          <w:ilvl w:val="0"/>
          <w:numId w:val="75"/>
        </w:numPr>
        <w:tabs>
          <w:tab w:pos="3520" w:val="left" w:leader="none"/>
        </w:tabs>
        <w:spacing w:line="300" w:lineRule="auto" w:before="67" w:after="0"/>
        <w:ind w:left="2990" w:right="1060" w:firstLine="0"/>
        <w:jc w:val="left"/>
        <w:rPr>
          <w:sz w:val="21"/>
        </w:rPr>
      </w:pPr>
      <w:r>
        <w:rPr>
          <w:spacing w:val="-6"/>
          <w:sz w:val="21"/>
        </w:rPr>
        <w:t>未发生淋巴结和远处转移且 </w:t>
      </w:r>
      <w:r>
        <w:rPr>
          <w:spacing w:val="-2"/>
          <w:sz w:val="21"/>
        </w:rPr>
        <w:t>WHO</w:t>
      </w:r>
      <w:r>
        <w:rPr>
          <w:spacing w:val="-22"/>
          <w:sz w:val="21"/>
        </w:rPr>
        <w:t> 分级为 </w:t>
      </w:r>
      <w:r>
        <w:rPr>
          <w:spacing w:val="-2"/>
          <w:sz w:val="21"/>
        </w:rPr>
        <w:t>G1</w:t>
      </w:r>
      <w:r>
        <w:rPr>
          <w:spacing w:val="-18"/>
          <w:sz w:val="21"/>
        </w:rPr>
        <w:t> 级别</w:t>
      </w:r>
      <w:r>
        <w:rPr>
          <w:spacing w:val="-2"/>
          <w:sz w:val="21"/>
        </w:rPr>
        <w:t>（核分裂像&lt;10/50 </w:t>
      </w:r>
      <w:r>
        <w:rPr>
          <w:sz w:val="21"/>
        </w:rPr>
        <w:t>HPF</w:t>
      </w:r>
      <w:r>
        <w:rPr>
          <w:spacing w:val="-16"/>
          <w:sz w:val="21"/>
        </w:rPr>
        <w:t> 和 </w:t>
      </w:r>
      <w:r>
        <w:rPr>
          <w:sz w:val="21"/>
        </w:rPr>
        <w:t>ki-67≤2%）的神经内分泌肿瘤。</w:t>
      </w:r>
    </w:p>
    <w:p>
      <w:pPr>
        <w:spacing w:line="268" w:lineRule="exact" w:before="0"/>
        <w:ind w:left="2990" w:right="0" w:firstLine="0"/>
        <w:jc w:val="left"/>
        <w:rPr>
          <w:b/>
          <w:sz w:val="21"/>
        </w:rPr>
      </w:pPr>
      <w:r>
        <w:rPr>
          <w:b/>
          <w:spacing w:val="-2"/>
          <w:sz w:val="21"/>
        </w:rPr>
        <w:t>下列疾病不属于</w:t>
      </w:r>
      <w:r>
        <w:rPr>
          <w:rFonts w:ascii="Times New Roman" w:hAnsi="Times New Roman" w:eastAsia="Times New Roman"/>
          <w:b/>
          <w:spacing w:val="-2"/>
          <w:sz w:val="21"/>
        </w:rPr>
        <w:t>“</w:t>
      </w:r>
      <w:r>
        <w:rPr>
          <w:b/>
          <w:spacing w:val="-2"/>
          <w:sz w:val="21"/>
        </w:rPr>
        <w:t>恶性肿瘤</w:t>
      </w:r>
      <w:r>
        <w:rPr>
          <w:rFonts w:ascii="Times New Roman" w:hAnsi="Times New Roman" w:eastAsia="Times New Roman"/>
          <w:b/>
          <w:spacing w:val="-2"/>
          <w:sz w:val="21"/>
        </w:rPr>
        <w:t>——</w:t>
      </w:r>
      <w:r>
        <w:rPr>
          <w:b/>
          <w:spacing w:val="-2"/>
          <w:sz w:val="21"/>
        </w:rPr>
        <w:t>轻度</w:t>
      </w:r>
      <w:r>
        <w:rPr>
          <w:rFonts w:ascii="Times New Roman" w:hAnsi="Times New Roman" w:eastAsia="Times New Roman"/>
          <w:b/>
          <w:spacing w:val="-2"/>
          <w:sz w:val="21"/>
        </w:rPr>
        <w:t>”</w:t>
      </w:r>
      <w:r>
        <w:rPr>
          <w:b/>
          <w:spacing w:val="-3"/>
          <w:sz w:val="21"/>
        </w:rPr>
        <w:t>，不在本保障范围内：</w:t>
      </w:r>
    </w:p>
    <w:p>
      <w:pPr>
        <w:spacing w:line="300" w:lineRule="auto" w:before="70"/>
        <w:ind w:left="2990" w:right="1010" w:firstLine="0"/>
        <w:jc w:val="left"/>
        <w:rPr>
          <w:b/>
          <w:sz w:val="21"/>
        </w:rPr>
      </w:pPr>
      <w:r>
        <w:rPr>
          <w:b/>
          <w:sz w:val="21"/>
        </w:rPr>
        <w:t>ICD-O-3</w:t>
      </w:r>
      <w:r>
        <w:rPr>
          <w:b/>
          <w:spacing w:val="-13"/>
          <w:sz w:val="21"/>
        </w:rPr>
        <w:t> 肿瘤形态学编码属于 </w:t>
      </w:r>
      <w:r>
        <w:rPr>
          <w:b/>
          <w:sz w:val="21"/>
        </w:rPr>
        <w:t>0（良性肿瘤）、1（动态未定性肿瘤）</w:t>
      </w:r>
      <w:r>
        <w:rPr>
          <w:b/>
          <w:sz w:val="21"/>
        </w:rPr>
        <w:t>、 </w:t>
      </w:r>
      <w:r>
        <w:rPr>
          <w:b/>
          <w:spacing w:val="-2"/>
          <w:sz w:val="21"/>
        </w:rPr>
        <w:t>2（原位癌和非侵袭性癌）范畴的疾病，如：</w:t>
      </w:r>
    </w:p>
    <w:p>
      <w:pPr>
        <w:pStyle w:val="ListParagraph"/>
        <w:numPr>
          <w:ilvl w:val="0"/>
          <w:numId w:val="76"/>
        </w:numPr>
        <w:tabs>
          <w:tab w:pos="3203" w:val="left" w:leader="none"/>
        </w:tabs>
        <w:spacing w:line="302" w:lineRule="auto" w:before="0" w:after="0"/>
        <w:ind w:left="2990" w:right="1059" w:firstLine="0"/>
        <w:jc w:val="left"/>
        <w:rPr>
          <w:b/>
          <w:sz w:val="21"/>
        </w:rPr>
      </w:pPr>
      <w:r>
        <w:rPr>
          <w:b/>
          <w:spacing w:val="-2"/>
          <w:sz w:val="21"/>
        </w:rPr>
        <w:t>原位癌，癌前病变，非浸润性癌，非侵袭性癌，肿瘤细胞未侵犯基底</w:t>
      </w:r>
      <w:r>
        <w:rPr>
          <w:b/>
          <w:spacing w:val="-2"/>
          <w:sz w:val="21"/>
        </w:rPr>
        <w:t>层，上皮内瘤变，细胞不典型性增生等；</w:t>
      </w:r>
    </w:p>
    <w:p>
      <w:pPr>
        <w:pStyle w:val="ListParagraph"/>
        <w:numPr>
          <w:ilvl w:val="0"/>
          <w:numId w:val="76"/>
        </w:numPr>
        <w:tabs>
          <w:tab w:pos="3203" w:val="left" w:leader="none"/>
        </w:tabs>
        <w:spacing w:line="300" w:lineRule="auto" w:before="0" w:after="0"/>
        <w:ind w:left="2990" w:right="1061" w:firstLine="0"/>
        <w:jc w:val="left"/>
        <w:rPr>
          <w:b/>
          <w:sz w:val="21"/>
        </w:rPr>
      </w:pPr>
      <w:r>
        <w:rPr>
          <w:b/>
          <w:spacing w:val="-2"/>
          <w:sz w:val="21"/>
        </w:rPr>
        <w:t>交界性肿瘤，交界恶性肿瘤，肿瘤低度恶性潜能，潜在低度恶性肿瘤</w:t>
      </w:r>
      <w:r>
        <w:rPr>
          <w:b/>
          <w:spacing w:val="-6"/>
          <w:sz w:val="21"/>
        </w:rPr>
        <w:t>等。</w:t>
      </w:r>
    </w:p>
    <w:p>
      <w:pPr>
        <w:pStyle w:val="BodyText"/>
        <w:rPr>
          <w:b/>
          <w:sz w:val="20"/>
        </w:rPr>
      </w:pPr>
    </w:p>
    <w:p>
      <w:pPr>
        <w:pStyle w:val="BodyText"/>
        <w:spacing w:line="300" w:lineRule="auto" w:before="142"/>
        <w:ind w:left="2990" w:right="1058" w:hanging="2766"/>
        <w:jc w:val="both"/>
      </w:pPr>
      <w:r>
        <w:rPr/>
        <w:t>（二）较轻急性心肌梗死</w:t>
      </w:r>
      <w:r>
        <w:rPr>
          <w:spacing w:val="80"/>
          <w:w w:val="150"/>
        </w:rPr>
        <w:t>  </w:t>
      </w:r>
      <w:r>
        <w:rPr/>
        <w:t>急性心肌梗死指由于冠状动脉闭塞或梗阻引起部分心肌严重的持久性</w:t>
      </w:r>
      <w:r>
        <w:rPr>
          <w:spacing w:val="-5"/>
        </w:rPr>
        <w:t>缺血造成急性心肌坏死。急性心肌梗死的诊断必须依据国际国内诊断标</w:t>
      </w:r>
    </w:p>
    <w:p>
      <w:pPr>
        <w:spacing w:after="0" w:line="300" w:lineRule="auto"/>
        <w:jc w:val="both"/>
        <w:sectPr>
          <w:pgSz w:w="11910" w:h="16840"/>
          <w:pgMar w:header="0" w:footer="857" w:top="1420" w:bottom="1180" w:left="1100" w:right="260"/>
        </w:sectPr>
      </w:pPr>
    </w:p>
    <w:p>
      <w:pPr>
        <w:pStyle w:val="BodyText"/>
        <w:spacing w:line="300" w:lineRule="auto" w:before="60"/>
        <w:ind w:left="2990" w:right="1056"/>
        <w:jc w:val="both"/>
      </w:pPr>
      <w:r>
        <w:rPr>
          <w:spacing w:val="-2"/>
        </w:rPr>
        <w:t>准，符合（1）检测到肌酸激酶同工酶（CK-MB）或肌钙蛋白（cTn）</w:t>
      </w:r>
      <w:r>
        <w:rPr>
          <w:spacing w:val="-2"/>
        </w:rPr>
        <w:t>升</w:t>
      </w:r>
      <w:r>
        <w:rPr>
          <w:spacing w:val="-2"/>
        </w:rPr>
        <w:t>高和/或降低的动态变化，至少一次达到或超过心肌梗死的临床诊断标</w:t>
      </w:r>
      <w:r>
        <w:rPr>
          <w:spacing w:val="-2"/>
        </w:rPr>
        <w:t>准；（2）同时存在下列之一的证据，包括：缺血性胸痛症状、新发生</w:t>
      </w:r>
      <w:r>
        <w:rPr>
          <w:spacing w:val="-5"/>
        </w:rPr>
        <w:t>的缺血性心电图改变、新生成的病理性 </w:t>
      </w:r>
      <w:r>
        <w:rPr>
          <w:spacing w:val="-4"/>
        </w:rPr>
        <w:t>Q</w:t>
      </w:r>
      <w:r>
        <w:rPr>
          <w:spacing w:val="-7"/>
        </w:rPr>
        <w:t> 波、影像学证据显示有新出现</w:t>
      </w:r>
      <w:r>
        <w:rPr>
          <w:spacing w:val="-2"/>
        </w:rPr>
        <w:t>的心肌活性丧失或新出现局部室壁运动异常、冠脉造影证实存在冠状动</w:t>
      </w:r>
      <w:r>
        <w:rPr>
          <w:spacing w:val="-4"/>
        </w:rPr>
        <w:t>脉血栓。</w:t>
      </w:r>
    </w:p>
    <w:p>
      <w:pPr>
        <w:spacing w:line="302" w:lineRule="auto" w:before="1"/>
        <w:ind w:left="2990" w:right="1058" w:firstLine="0"/>
        <w:jc w:val="left"/>
        <w:rPr>
          <w:sz w:val="21"/>
        </w:rPr>
      </w:pPr>
      <w:r>
        <w:rPr>
          <w:spacing w:val="-2"/>
          <w:sz w:val="21"/>
        </w:rPr>
        <w:t>较轻急性心肌梗死指依照上述标准被明确诊断为急性心肌梗死，</w:t>
      </w:r>
      <w:r>
        <w:rPr>
          <w:b/>
          <w:spacing w:val="-2"/>
          <w:sz w:val="21"/>
        </w:rPr>
        <w:t>但未达</w:t>
      </w:r>
      <w:r>
        <w:rPr>
          <w:b/>
          <w:spacing w:val="-2"/>
          <w:sz w:val="21"/>
        </w:rPr>
        <w:t>到</w:t>
      </w:r>
      <w:r>
        <w:rPr>
          <w:rFonts w:ascii="Times New Roman" w:hAnsi="Times New Roman" w:eastAsia="Times New Roman"/>
          <w:b/>
          <w:spacing w:val="-2"/>
          <w:sz w:val="21"/>
        </w:rPr>
        <w:t>“</w:t>
      </w:r>
      <w:r>
        <w:rPr>
          <w:b/>
          <w:spacing w:val="-2"/>
          <w:sz w:val="21"/>
        </w:rPr>
        <w:t>较重急性心肌梗死</w:t>
      </w:r>
      <w:r>
        <w:rPr>
          <w:rFonts w:ascii="Times New Roman" w:hAnsi="Times New Roman" w:eastAsia="Times New Roman"/>
          <w:b/>
          <w:spacing w:val="-2"/>
          <w:sz w:val="21"/>
        </w:rPr>
        <w:t>”</w:t>
      </w:r>
      <w:r>
        <w:rPr>
          <w:b/>
          <w:spacing w:val="-2"/>
          <w:sz w:val="21"/>
        </w:rPr>
        <w:t>的给付标准</w:t>
      </w:r>
      <w:r>
        <w:rPr>
          <w:spacing w:val="-2"/>
          <w:sz w:val="21"/>
        </w:rPr>
        <w:t>。</w:t>
      </w:r>
    </w:p>
    <w:p>
      <w:pPr>
        <w:spacing w:line="300" w:lineRule="auto" w:before="0"/>
        <w:ind w:left="2990" w:right="1059" w:firstLine="0"/>
        <w:jc w:val="left"/>
        <w:rPr>
          <w:b/>
          <w:sz w:val="21"/>
        </w:rPr>
      </w:pPr>
      <w:r>
        <w:rPr>
          <w:b/>
          <w:spacing w:val="-2"/>
          <w:sz w:val="21"/>
        </w:rPr>
        <w:t>其他非冠状动脉阻塞性疾病引起的肌钙蛋白（cTn）升高不在本保障范</w:t>
      </w:r>
      <w:r>
        <w:rPr>
          <w:b/>
          <w:spacing w:val="-4"/>
          <w:sz w:val="21"/>
        </w:rPr>
        <w:t>围内。</w:t>
      </w:r>
    </w:p>
    <w:p>
      <w:pPr>
        <w:pStyle w:val="BodyText"/>
        <w:rPr>
          <w:b/>
          <w:sz w:val="20"/>
        </w:rPr>
      </w:pPr>
    </w:p>
    <w:p>
      <w:pPr>
        <w:pStyle w:val="BodyText"/>
        <w:spacing w:line="300" w:lineRule="auto" w:before="167"/>
        <w:ind w:left="2990" w:right="1060" w:hanging="2766"/>
        <w:jc w:val="both"/>
      </w:pPr>
      <w:r>
        <w:rPr/>
        <w:t>（三）轻度脑中风后遗症 指因脑血管的突发病变引起脑血管出血、栓塞或梗塞，须由头颅断层扫</w:t>
      </w:r>
      <w:r>
        <w:rPr>
          <w:spacing w:val="-2"/>
        </w:rPr>
        <w:t>描（CT）、核磁共振检查（MRI）等影像学检查证实，并导致神经系统</w:t>
      </w:r>
      <w:r>
        <w:rPr>
          <w:spacing w:val="-2"/>
        </w:rPr>
        <w:t>永久性的功能障碍，但未达到</w:t>
      </w:r>
      <w:r>
        <w:rPr>
          <w:rFonts w:ascii="Times New Roman" w:hAnsi="Times New Roman" w:eastAsia="Times New Roman"/>
          <w:spacing w:val="-2"/>
        </w:rPr>
        <w:t>“</w:t>
      </w:r>
      <w:r>
        <w:rPr>
          <w:spacing w:val="-2"/>
        </w:rPr>
        <w:t>严重脑中风后遗症</w:t>
      </w:r>
      <w:r>
        <w:rPr>
          <w:rFonts w:ascii="Times New Roman" w:hAnsi="Times New Roman" w:eastAsia="Times New Roman"/>
          <w:spacing w:val="-2"/>
        </w:rPr>
        <w:t>”</w:t>
      </w:r>
      <w:r>
        <w:rPr>
          <w:spacing w:val="-2"/>
        </w:rPr>
        <w:t>的给付标准，在疾病</w:t>
      </w:r>
      <w:r>
        <w:rPr>
          <w:spacing w:val="-8"/>
        </w:rPr>
        <w:t>确诊 </w:t>
      </w:r>
      <w:r>
        <w:rPr/>
        <w:t>180</w:t>
      </w:r>
      <w:r>
        <w:rPr>
          <w:spacing w:val="-5"/>
        </w:rPr>
        <w:t> 天后，仍遗留下列至少一种障碍：</w:t>
      </w:r>
    </w:p>
    <w:p>
      <w:pPr>
        <w:pStyle w:val="ListParagraph"/>
        <w:numPr>
          <w:ilvl w:val="0"/>
          <w:numId w:val="77"/>
        </w:numPr>
        <w:tabs>
          <w:tab w:pos="3520" w:val="left" w:leader="none"/>
        </w:tabs>
        <w:spacing w:line="240" w:lineRule="auto" w:before="1" w:after="0"/>
        <w:ind w:left="3519" w:right="0" w:hanging="530"/>
        <w:jc w:val="left"/>
        <w:rPr>
          <w:sz w:val="21"/>
        </w:rPr>
      </w:pPr>
      <w:r>
        <w:rPr>
          <w:spacing w:val="-2"/>
          <w:sz w:val="21"/>
        </w:rPr>
        <w:t>一肢（含）</w:t>
      </w:r>
      <w:r>
        <w:rPr>
          <w:spacing w:val="-9"/>
          <w:sz w:val="21"/>
        </w:rPr>
        <w:t>以上肢体肌力为 </w:t>
      </w:r>
      <w:r>
        <w:rPr>
          <w:spacing w:val="-2"/>
          <w:sz w:val="21"/>
        </w:rPr>
        <w:t>3</w:t>
      </w:r>
      <w:r>
        <w:rPr>
          <w:spacing w:val="-21"/>
          <w:sz w:val="21"/>
        </w:rPr>
        <w:t> 级；</w:t>
      </w:r>
    </w:p>
    <w:p>
      <w:pPr>
        <w:pStyle w:val="ListParagraph"/>
        <w:numPr>
          <w:ilvl w:val="0"/>
          <w:numId w:val="77"/>
        </w:numPr>
        <w:tabs>
          <w:tab w:pos="3526" w:val="left" w:leader="none"/>
        </w:tabs>
        <w:spacing w:line="300" w:lineRule="auto" w:before="70" w:after="0"/>
        <w:ind w:left="2990" w:right="1058" w:firstLine="0"/>
        <w:jc w:val="left"/>
        <w:rPr>
          <w:sz w:val="21"/>
        </w:rPr>
      </w:pPr>
      <w:r>
        <w:rPr>
          <w:spacing w:val="-2"/>
          <w:sz w:val="21"/>
        </w:rPr>
        <w:t>自主生活能力部分丧失，无法独立完成六项基本日常生活活动中</w:t>
      </w:r>
      <w:r>
        <w:rPr>
          <w:spacing w:val="-4"/>
          <w:sz w:val="21"/>
        </w:rPr>
        <w:t>的两项。</w:t>
      </w:r>
    </w:p>
    <w:p>
      <w:pPr>
        <w:pStyle w:val="BodyText"/>
        <w:rPr>
          <w:sz w:val="20"/>
        </w:rPr>
      </w:pPr>
    </w:p>
    <w:p>
      <w:pPr>
        <w:pStyle w:val="BodyText"/>
        <w:tabs>
          <w:tab w:pos="2990" w:val="left" w:leader="none"/>
        </w:tabs>
        <w:spacing w:line="300" w:lineRule="auto" w:before="168"/>
        <w:ind w:left="2990" w:right="1041" w:hanging="2766"/>
        <w:jc w:val="both"/>
        <w:rPr>
          <w:b/>
        </w:rPr>
      </w:pPr>
      <w:r>
        <w:rPr>
          <w:w w:val="100"/>
        </w:rPr>
        <w:t>（四</w:t>
      </w:r>
      <w:r>
        <w:rPr>
          <w:spacing w:val="-3"/>
          <w:w w:val="100"/>
        </w:rPr>
        <w:t>）</w:t>
      </w:r>
      <w:r>
        <w:rPr>
          <w:w w:val="100"/>
        </w:rPr>
        <w:t>原</w:t>
      </w:r>
      <w:r>
        <w:rPr>
          <w:spacing w:val="-3"/>
          <w:w w:val="100"/>
        </w:rPr>
        <w:t>位</w:t>
      </w:r>
      <w:r>
        <w:rPr>
          <w:w w:val="100"/>
        </w:rPr>
        <w:t>癌</w:t>
      </w:r>
      <w:r>
        <w:rPr/>
        <w:tab/>
      </w:r>
      <w:r>
        <w:rPr>
          <w:spacing w:val="4"/>
          <w:w w:val="100"/>
        </w:rPr>
        <w:t>指</w:t>
      </w:r>
      <w:r>
        <w:rPr>
          <w:spacing w:val="6"/>
          <w:w w:val="100"/>
        </w:rPr>
        <w:t>恶</w:t>
      </w:r>
      <w:r>
        <w:rPr>
          <w:spacing w:val="4"/>
          <w:w w:val="100"/>
        </w:rPr>
        <w:t>性细胞</w:t>
      </w:r>
      <w:r>
        <w:rPr>
          <w:spacing w:val="6"/>
          <w:w w:val="100"/>
        </w:rPr>
        <w:t>局</w:t>
      </w:r>
      <w:r>
        <w:rPr>
          <w:spacing w:val="4"/>
          <w:w w:val="100"/>
        </w:rPr>
        <w:t>限于上</w:t>
      </w:r>
      <w:r>
        <w:rPr>
          <w:spacing w:val="6"/>
          <w:w w:val="100"/>
        </w:rPr>
        <w:t>皮</w:t>
      </w:r>
      <w:r>
        <w:rPr>
          <w:spacing w:val="4"/>
          <w:w w:val="100"/>
        </w:rPr>
        <w:t>内尚</w:t>
      </w:r>
      <w:r>
        <w:rPr>
          <w:spacing w:val="6"/>
          <w:w w:val="100"/>
        </w:rPr>
        <w:t>未</w:t>
      </w:r>
      <w:r>
        <w:rPr>
          <w:spacing w:val="4"/>
          <w:w w:val="100"/>
        </w:rPr>
        <w:t>穿破基</w:t>
      </w:r>
      <w:r>
        <w:rPr>
          <w:spacing w:val="6"/>
          <w:w w:val="100"/>
        </w:rPr>
        <w:t>底</w:t>
      </w:r>
      <w:r>
        <w:rPr>
          <w:spacing w:val="4"/>
          <w:w w:val="100"/>
        </w:rPr>
        <w:t>膜浸润</w:t>
      </w:r>
      <w:r>
        <w:rPr>
          <w:spacing w:val="6"/>
          <w:w w:val="100"/>
        </w:rPr>
        <w:t>周</w:t>
      </w:r>
      <w:r>
        <w:rPr>
          <w:spacing w:val="4"/>
          <w:w w:val="100"/>
        </w:rPr>
        <w:t>围正</w:t>
      </w:r>
      <w:r>
        <w:rPr>
          <w:spacing w:val="6"/>
          <w:w w:val="100"/>
        </w:rPr>
        <w:t>常</w:t>
      </w:r>
      <w:r>
        <w:rPr>
          <w:spacing w:val="4"/>
          <w:w w:val="100"/>
        </w:rPr>
        <w:t>组织的</w:t>
      </w:r>
      <w:r>
        <w:rPr>
          <w:spacing w:val="6"/>
          <w:w w:val="100"/>
        </w:rPr>
        <w:t>癌</w:t>
      </w:r>
      <w:r>
        <w:rPr>
          <w:spacing w:val="4"/>
          <w:w w:val="100"/>
        </w:rPr>
        <w:t>细</w:t>
      </w:r>
      <w:r>
        <w:rPr>
          <w:w w:val="100"/>
        </w:rPr>
        <w:t>胞新生</w:t>
      </w:r>
      <w:r>
        <w:rPr>
          <w:spacing w:val="-3"/>
          <w:w w:val="100"/>
        </w:rPr>
        <w:t>物</w:t>
      </w:r>
      <w:r>
        <w:rPr>
          <w:spacing w:val="-13"/>
          <w:w w:val="100"/>
        </w:rPr>
        <w:t>。</w:t>
      </w:r>
      <w:r>
        <w:rPr>
          <w:w w:val="100"/>
        </w:rPr>
        <w:t>原</w:t>
      </w:r>
      <w:r>
        <w:rPr>
          <w:spacing w:val="-3"/>
          <w:w w:val="100"/>
        </w:rPr>
        <w:t>位</w:t>
      </w:r>
      <w:r>
        <w:rPr>
          <w:w w:val="100"/>
        </w:rPr>
        <w:t>癌</w:t>
      </w:r>
      <w:r>
        <w:rPr>
          <w:spacing w:val="-3"/>
          <w:w w:val="100"/>
        </w:rPr>
        <w:t>必</w:t>
      </w:r>
      <w:r>
        <w:rPr>
          <w:w w:val="100"/>
        </w:rPr>
        <w:t>须</w:t>
      </w:r>
      <w:r>
        <w:rPr>
          <w:spacing w:val="-3"/>
          <w:w w:val="100"/>
        </w:rPr>
        <w:t>经对</w:t>
      </w:r>
      <w:r>
        <w:rPr>
          <w:w w:val="100"/>
        </w:rPr>
        <w:t>固定</w:t>
      </w:r>
      <w:r>
        <w:rPr>
          <w:spacing w:val="-3"/>
          <w:w w:val="100"/>
        </w:rPr>
        <w:t>活</w:t>
      </w:r>
      <w:r>
        <w:rPr>
          <w:w w:val="100"/>
        </w:rPr>
        <w:t>组</w:t>
      </w:r>
      <w:r>
        <w:rPr>
          <w:spacing w:val="-3"/>
          <w:w w:val="100"/>
        </w:rPr>
        <w:t>织</w:t>
      </w:r>
      <w:r>
        <w:rPr>
          <w:w w:val="100"/>
        </w:rPr>
        <w:t>的</w:t>
      </w:r>
      <w:r>
        <w:rPr>
          <w:spacing w:val="-3"/>
          <w:w w:val="100"/>
        </w:rPr>
        <w:t>组</w:t>
      </w:r>
      <w:r>
        <w:rPr>
          <w:w w:val="100"/>
        </w:rPr>
        <w:t>织</w:t>
      </w:r>
      <w:r>
        <w:rPr>
          <w:spacing w:val="-3"/>
          <w:w w:val="100"/>
        </w:rPr>
        <w:t>病</w:t>
      </w:r>
      <w:r>
        <w:rPr>
          <w:w w:val="100"/>
        </w:rPr>
        <w:t>理</w:t>
      </w:r>
      <w:r>
        <w:rPr>
          <w:spacing w:val="-3"/>
          <w:w w:val="100"/>
        </w:rPr>
        <w:t>学</w:t>
      </w:r>
      <w:r>
        <w:rPr>
          <w:w w:val="100"/>
        </w:rPr>
        <w:t>检查</w:t>
      </w:r>
      <w:r>
        <w:rPr>
          <w:spacing w:val="-3"/>
          <w:w w:val="100"/>
        </w:rPr>
        <w:t>明</w:t>
      </w:r>
      <w:r>
        <w:rPr>
          <w:w w:val="100"/>
        </w:rPr>
        <w:t>确</w:t>
      </w:r>
      <w:r>
        <w:rPr>
          <w:spacing w:val="-3"/>
          <w:w w:val="100"/>
        </w:rPr>
        <w:t>诊断</w:t>
      </w:r>
      <w:r>
        <w:rPr>
          <w:spacing w:val="-10"/>
          <w:w w:val="100"/>
        </w:rPr>
        <w:t>，</w:t>
      </w:r>
      <w:r>
        <w:rPr>
          <w:spacing w:val="-3"/>
          <w:w w:val="100"/>
        </w:rPr>
        <w:t>临</w:t>
      </w:r>
      <w:r>
        <w:rPr>
          <w:w w:val="100"/>
        </w:rPr>
        <w:t>床诊断</w:t>
      </w:r>
      <w:r>
        <w:rPr>
          <w:spacing w:val="-3"/>
          <w:w w:val="100"/>
        </w:rPr>
        <w:t>属</w:t>
      </w:r>
      <w:r>
        <w:rPr>
          <w:w w:val="100"/>
        </w:rPr>
        <w:t>于</w:t>
      </w:r>
      <w:r>
        <w:rPr>
          <w:spacing w:val="-3"/>
          <w:w w:val="100"/>
        </w:rPr>
        <w:t>世</w:t>
      </w:r>
      <w:r>
        <w:rPr>
          <w:w w:val="100"/>
        </w:rPr>
        <w:t>界</w:t>
      </w:r>
      <w:r>
        <w:rPr>
          <w:spacing w:val="-3"/>
          <w:w w:val="100"/>
        </w:rPr>
        <w:t>卫</w:t>
      </w:r>
      <w:r>
        <w:rPr>
          <w:w w:val="100"/>
        </w:rPr>
        <w:t>生</w:t>
      </w:r>
      <w:r>
        <w:rPr>
          <w:spacing w:val="-3"/>
          <w:w w:val="100"/>
        </w:rPr>
        <w:t>组</w:t>
      </w:r>
      <w:r>
        <w:rPr>
          <w:w w:val="100"/>
        </w:rPr>
        <w:t>织</w:t>
      </w:r>
      <w:r>
        <w:rPr>
          <w:spacing w:val="-3"/>
          <w:w w:val="100"/>
        </w:rPr>
        <w:t>（W</w:t>
      </w:r>
      <w:r>
        <w:rPr>
          <w:w w:val="100"/>
        </w:rPr>
        <w:t>HO,</w:t>
      </w:r>
      <w:r>
        <w:rPr>
          <w:spacing w:val="-7"/>
        </w:rPr>
        <w:t> </w:t>
      </w:r>
      <w:r>
        <w:rPr>
          <w:w w:val="100"/>
        </w:rPr>
        <w:t>W</w:t>
      </w:r>
      <w:r>
        <w:rPr>
          <w:spacing w:val="-3"/>
          <w:w w:val="100"/>
        </w:rPr>
        <w:t>o</w:t>
      </w:r>
      <w:r>
        <w:rPr>
          <w:w w:val="100"/>
        </w:rPr>
        <w:t>rld</w:t>
      </w:r>
      <w:r>
        <w:rPr>
          <w:spacing w:val="-7"/>
        </w:rPr>
        <w:t> </w:t>
      </w:r>
      <w:r>
        <w:rPr>
          <w:spacing w:val="-3"/>
          <w:w w:val="100"/>
        </w:rPr>
        <w:t>H</w:t>
      </w:r>
      <w:r>
        <w:rPr>
          <w:w w:val="100"/>
        </w:rPr>
        <w:t>eal</w:t>
      </w:r>
      <w:r>
        <w:rPr>
          <w:spacing w:val="-3"/>
          <w:w w:val="100"/>
        </w:rPr>
        <w:t>t</w:t>
      </w:r>
      <w:r>
        <w:rPr>
          <w:w w:val="100"/>
        </w:rPr>
        <w:t>h</w:t>
      </w:r>
      <w:r>
        <w:rPr>
          <w:spacing w:val="-7"/>
        </w:rPr>
        <w:t> </w:t>
      </w:r>
      <w:r>
        <w:rPr>
          <w:w w:val="100"/>
        </w:rPr>
        <w:t>Or</w:t>
      </w:r>
      <w:r>
        <w:rPr>
          <w:spacing w:val="-3"/>
          <w:w w:val="100"/>
        </w:rPr>
        <w:t>g</w:t>
      </w:r>
      <w:r>
        <w:rPr>
          <w:w w:val="100"/>
        </w:rPr>
        <w:t>an</w:t>
      </w:r>
      <w:r>
        <w:rPr>
          <w:spacing w:val="-3"/>
          <w:w w:val="100"/>
        </w:rPr>
        <w:t>i</w:t>
      </w:r>
      <w:r>
        <w:rPr>
          <w:w w:val="100"/>
        </w:rPr>
        <w:t>zatio</w:t>
      </w:r>
      <w:r>
        <w:rPr>
          <w:spacing w:val="-3"/>
          <w:w w:val="100"/>
        </w:rPr>
        <w:t>n</w:t>
      </w:r>
      <w:r>
        <w:rPr>
          <w:w w:val="100"/>
        </w:rPr>
        <w:t>）</w:t>
      </w:r>
      <w:r>
        <w:rPr>
          <w:spacing w:val="-3"/>
          <w:w w:val="100"/>
        </w:rPr>
        <w:t>《</w:t>
      </w:r>
      <w:r>
        <w:rPr>
          <w:w w:val="100"/>
        </w:rPr>
        <w:t>疾</w:t>
      </w:r>
      <w:r>
        <w:rPr>
          <w:spacing w:val="-3"/>
          <w:w w:val="100"/>
        </w:rPr>
        <w:t>病</w:t>
      </w:r>
      <w:r>
        <w:rPr>
          <w:w w:val="100"/>
        </w:rPr>
        <w:t>和有关</w:t>
      </w:r>
      <w:r>
        <w:rPr>
          <w:spacing w:val="-3"/>
          <w:w w:val="100"/>
        </w:rPr>
        <w:t>健</w:t>
      </w:r>
      <w:r>
        <w:rPr>
          <w:w w:val="100"/>
        </w:rPr>
        <w:t>康</w:t>
      </w:r>
      <w:r>
        <w:rPr>
          <w:spacing w:val="-3"/>
          <w:w w:val="100"/>
        </w:rPr>
        <w:t>问</w:t>
      </w:r>
      <w:r>
        <w:rPr>
          <w:w w:val="100"/>
        </w:rPr>
        <w:t>题</w:t>
      </w:r>
      <w:r>
        <w:rPr>
          <w:spacing w:val="-3"/>
          <w:w w:val="100"/>
        </w:rPr>
        <w:t>的</w:t>
      </w:r>
      <w:r>
        <w:rPr>
          <w:w w:val="100"/>
        </w:rPr>
        <w:t>国</w:t>
      </w:r>
      <w:r>
        <w:rPr>
          <w:spacing w:val="-3"/>
          <w:w w:val="100"/>
        </w:rPr>
        <w:t>际</w:t>
      </w:r>
      <w:r>
        <w:rPr>
          <w:w w:val="100"/>
        </w:rPr>
        <w:t>统</w:t>
      </w:r>
      <w:r>
        <w:rPr>
          <w:spacing w:val="-3"/>
          <w:w w:val="100"/>
        </w:rPr>
        <w:t>计</w:t>
      </w:r>
      <w:r>
        <w:rPr>
          <w:w w:val="100"/>
        </w:rPr>
        <w:t>分类</w:t>
      </w:r>
      <w:r>
        <w:rPr>
          <w:spacing w:val="-3"/>
          <w:w w:val="100"/>
        </w:rPr>
        <w:t>》</w:t>
      </w:r>
      <w:r>
        <w:rPr>
          <w:w w:val="100"/>
        </w:rPr>
        <w:t>第</w:t>
      </w:r>
      <w:r>
        <w:rPr>
          <w:spacing w:val="-3"/>
          <w:w w:val="100"/>
        </w:rPr>
        <w:t>十</w:t>
      </w:r>
      <w:r>
        <w:rPr>
          <w:w w:val="100"/>
        </w:rPr>
        <w:t>次</w:t>
      </w:r>
      <w:r>
        <w:rPr>
          <w:spacing w:val="-3"/>
          <w:w w:val="100"/>
        </w:rPr>
        <w:t>修</w:t>
      </w:r>
      <w:r>
        <w:rPr>
          <w:w w:val="100"/>
        </w:rPr>
        <w:t>订</w:t>
      </w:r>
      <w:r>
        <w:rPr>
          <w:spacing w:val="-3"/>
          <w:w w:val="100"/>
        </w:rPr>
        <w:t>版</w:t>
      </w:r>
      <w:r>
        <w:rPr>
          <w:spacing w:val="-1"/>
          <w:w w:val="100"/>
        </w:rPr>
        <w:t>（</w:t>
      </w:r>
      <w:r>
        <w:rPr>
          <w:w w:val="100"/>
        </w:rPr>
        <w:t>I</w:t>
      </w:r>
      <w:r>
        <w:rPr>
          <w:spacing w:val="-3"/>
          <w:w w:val="100"/>
        </w:rPr>
        <w:t>CD</w:t>
      </w:r>
      <w:r>
        <w:rPr>
          <w:w w:val="100"/>
        </w:rPr>
        <w:t>-10</w:t>
      </w:r>
      <w:r>
        <w:rPr>
          <w:spacing w:val="-3"/>
          <w:w w:val="100"/>
        </w:rPr>
        <w:t>）</w:t>
      </w:r>
      <w:r>
        <w:rPr>
          <w:w w:val="100"/>
        </w:rPr>
        <w:t>原</w:t>
      </w:r>
      <w:r>
        <w:rPr>
          <w:spacing w:val="-3"/>
          <w:w w:val="100"/>
        </w:rPr>
        <w:t>位</w:t>
      </w:r>
      <w:r>
        <w:rPr>
          <w:w w:val="100"/>
        </w:rPr>
        <w:t>癌</w:t>
      </w:r>
      <w:r>
        <w:rPr>
          <w:spacing w:val="-3"/>
          <w:w w:val="100"/>
        </w:rPr>
        <w:t>范畴</w:t>
      </w:r>
      <w:r>
        <w:rPr>
          <w:w w:val="100"/>
        </w:rPr>
        <w:t>。被保</w:t>
      </w:r>
      <w:r>
        <w:rPr>
          <w:spacing w:val="-3"/>
          <w:w w:val="100"/>
        </w:rPr>
        <w:t>险</w:t>
      </w:r>
      <w:r>
        <w:rPr>
          <w:w w:val="100"/>
        </w:rPr>
        <w:t>人</w:t>
      </w:r>
      <w:r>
        <w:rPr>
          <w:spacing w:val="-3"/>
          <w:w w:val="100"/>
        </w:rPr>
        <w:t>必</w:t>
      </w:r>
      <w:r>
        <w:rPr>
          <w:w w:val="100"/>
        </w:rPr>
        <w:t>须</w:t>
      </w:r>
      <w:r>
        <w:rPr>
          <w:spacing w:val="-3"/>
          <w:w w:val="100"/>
        </w:rPr>
        <w:t>己</w:t>
      </w:r>
      <w:r>
        <w:rPr>
          <w:w w:val="100"/>
        </w:rPr>
        <w:t>经</w:t>
      </w:r>
      <w:r>
        <w:rPr>
          <w:spacing w:val="-3"/>
          <w:w w:val="100"/>
        </w:rPr>
        <w:t>接</w:t>
      </w:r>
      <w:r>
        <w:rPr>
          <w:w w:val="100"/>
        </w:rPr>
        <w:t>受</w:t>
      </w:r>
      <w:r>
        <w:rPr>
          <w:spacing w:val="-3"/>
          <w:w w:val="100"/>
        </w:rPr>
        <w:t>了</w:t>
      </w:r>
      <w:r>
        <w:rPr>
          <w:w w:val="100"/>
        </w:rPr>
        <w:t>针对</w:t>
      </w:r>
      <w:r>
        <w:rPr>
          <w:spacing w:val="-3"/>
          <w:w w:val="100"/>
        </w:rPr>
        <w:t>原</w:t>
      </w:r>
      <w:r>
        <w:rPr>
          <w:w w:val="100"/>
        </w:rPr>
        <w:t>位</w:t>
      </w:r>
      <w:r>
        <w:rPr>
          <w:spacing w:val="-3"/>
          <w:w w:val="100"/>
        </w:rPr>
        <w:t>癌</w:t>
      </w:r>
      <w:r>
        <w:rPr>
          <w:w w:val="100"/>
        </w:rPr>
        <w:t>病</w:t>
      </w:r>
      <w:r>
        <w:rPr>
          <w:spacing w:val="-3"/>
          <w:w w:val="100"/>
        </w:rPr>
        <w:t>灶</w:t>
      </w:r>
      <w:r>
        <w:rPr>
          <w:w w:val="100"/>
        </w:rPr>
        <w:t>的</w:t>
      </w:r>
      <w:r>
        <w:rPr>
          <w:spacing w:val="-3"/>
          <w:w w:val="100"/>
        </w:rPr>
        <w:t>积</w:t>
      </w:r>
      <w:r>
        <w:rPr>
          <w:w w:val="100"/>
        </w:rPr>
        <w:t>极</w:t>
      </w:r>
      <w:r>
        <w:rPr>
          <w:spacing w:val="-3"/>
          <w:w w:val="100"/>
        </w:rPr>
        <w:t>治</w:t>
      </w:r>
      <w:r>
        <w:rPr>
          <w:w w:val="100"/>
        </w:rPr>
        <w:t>疗</w:t>
      </w:r>
      <w:r>
        <w:rPr>
          <w:spacing w:val="-29"/>
          <w:w w:val="100"/>
        </w:rPr>
        <w:t>。</w:t>
      </w:r>
      <w:r>
        <w:rPr>
          <w:b/>
          <w:w w:val="100"/>
        </w:rPr>
        <w:t>细胞学检查结果不能作为确诊原位</w:t>
      </w:r>
      <w:r>
        <w:rPr>
          <w:b/>
          <w:spacing w:val="-3"/>
          <w:w w:val="100"/>
        </w:rPr>
        <w:t>癌</w:t>
      </w:r>
      <w:r>
        <w:rPr>
          <w:b/>
          <w:w w:val="100"/>
        </w:rPr>
        <w:t>的</w:t>
      </w:r>
      <w:r>
        <w:rPr>
          <w:b/>
          <w:spacing w:val="-3"/>
          <w:w w:val="100"/>
        </w:rPr>
        <w:t>证</w:t>
      </w:r>
      <w:r>
        <w:rPr>
          <w:b/>
          <w:w w:val="100"/>
        </w:rPr>
        <w:t>据。</w:t>
      </w:r>
    </w:p>
    <w:p>
      <w:pPr>
        <w:spacing w:line="300" w:lineRule="auto" w:before="3"/>
        <w:ind w:left="2990" w:right="1058" w:firstLine="0"/>
        <w:jc w:val="both"/>
        <w:rPr>
          <w:b/>
          <w:sz w:val="21"/>
        </w:rPr>
      </w:pPr>
      <w:r>
        <w:rPr>
          <w:b/>
          <w:spacing w:val="-4"/>
          <w:sz w:val="21"/>
        </w:rPr>
        <w:t>癌前病变（</w:t>
      </w:r>
      <w:r>
        <w:rPr>
          <w:b/>
          <w:spacing w:val="-6"/>
          <w:sz w:val="21"/>
        </w:rPr>
        <w:t>包括但不仅限于宫颈上皮内瘤样病变 </w:t>
      </w:r>
      <w:r>
        <w:rPr>
          <w:b/>
          <w:spacing w:val="-4"/>
          <w:sz w:val="21"/>
        </w:rPr>
        <w:t>CIN-1，CIN-2，重度不</w:t>
      </w:r>
      <w:r>
        <w:rPr>
          <w:b/>
          <w:spacing w:val="-2"/>
          <w:sz w:val="21"/>
        </w:rPr>
        <w:t>典型增生但非原位癌），非浸润性癌，非侵袭性癌，上皮内瘤变，细胞</w:t>
      </w:r>
      <w:r>
        <w:rPr>
          <w:b/>
          <w:spacing w:val="-2"/>
          <w:sz w:val="21"/>
        </w:rPr>
        <w:t>不典型性增生、交界性肿瘤，交界恶性肿瘤，肿瘤低度恶性潜能，潜在</w:t>
      </w:r>
      <w:r>
        <w:rPr>
          <w:b/>
          <w:spacing w:val="-2"/>
          <w:sz w:val="21"/>
        </w:rPr>
        <w:t>低度恶性肿瘤不在本保障范围内。</w:t>
      </w:r>
    </w:p>
    <w:p>
      <w:pPr>
        <w:pStyle w:val="BodyText"/>
        <w:rPr>
          <w:b/>
          <w:sz w:val="20"/>
        </w:rPr>
      </w:pPr>
    </w:p>
    <w:p>
      <w:pPr>
        <w:pStyle w:val="BodyText"/>
        <w:spacing w:line="300" w:lineRule="auto" w:before="170"/>
        <w:ind w:left="2990" w:right="1058" w:hanging="2766"/>
        <w:jc w:val="both"/>
      </w:pPr>
      <w:r>
        <w:rPr/>
        <w:t>（五）心脏瓣膜介入手术 为了治疗心脏瓣膜疾病，被保险人实际接受了未切开心脏的经导管介入</w:t>
      </w:r>
      <w:r>
        <w:rPr>
          <w:spacing w:val="-2"/>
        </w:rPr>
        <w:t>手术进行的心脏瓣膜置换或修复手术。</w:t>
      </w:r>
    </w:p>
    <w:p>
      <w:pPr>
        <w:pStyle w:val="BodyText"/>
        <w:spacing w:before="6"/>
        <w:rPr>
          <w:sz w:val="27"/>
        </w:rPr>
      </w:pPr>
    </w:p>
    <w:p>
      <w:pPr>
        <w:spacing w:after="0"/>
        <w:rPr>
          <w:sz w:val="27"/>
        </w:rPr>
        <w:sectPr>
          <w:pgSz w:w="11910" w:h="16840"/>
          <w:pgMar w:header="0" w:footer="857" w:top="1420" w:bottom="1180" w:left="1100" w:right="260"/>
        </w:sectPr>
      </w:pPr>
    </w:p>
    <w:p>
      <w:pPr>
        <w:pStyle w:val="BodyText"/>
        <w:spacing w:line="297" w:lineRule="auto" w:before="72"/>
        <w:ind w:left="225"/>
      </w:pPr>
      <w:r>
        <w:rPr>
          <w:spacing w:val="-2"/>
        </w:rPr>
        <w:t>（六）脑垂体瘤、脑囊肿、</w:t>
      </w:r>
      <w:r>
        <w:rPr>
          <w:spacing w:val="-2"/>
        </w:rPr>
        <w:t>脑动脉瘤及脑血管瘤</w:t>
      </w:r>
    </w:p>
    <w:p>
      <w:pPr>
        <w:pStyle w:val="BodyText"/>
        <w:spacing w:line="300" w:lineRule="auto" w:before="72"/>
        <w:ind w:left="178" w:right="1060"/>
      </w:pPr>
      <w:r>
        <w:rPr/>
        <w:br w:type="column"/>
      </w:r>
      <w:r>
        <w:rPr>
          <w:spacing w:val="-2"/>
        </w:rPr>
        <w:t>指被保险人经头颅断层扫描（CT）、核磁共振（MRI）或其他影像学检</w:t>
      </w:r>
      <w:r>
        <w:rPr>
          <w:spacing w:val="-2"/>
        </w:rPr>
        <w:t>查被确认为下列病变，并实际接受了手术或放射治疗。</w:t>
      </w:r>
    </w:p>
    <w:p>
      <w:pPr>
        <w:pStyle w:val="ListParagraph"/>
        <w:numPr>
          <w:ilvl w:val="0"/>
          <w:numId w:val="78"/>
        </w:numPr>
        <w:tabs>
          <w:tab w:pos="708" w:val="left" w:leader="none"/>
        </w:tabs>
        <w:spacing w:line="268" w:lineRule="exact" w:before="0" w:after="0"/>
        <w:ind w:left="707" w:right="0" w:hanging="530"/>
        <w:jc w:val="left"/>
        <w:rPr>
          <w:sz w:val="21"/>
        </w:rPr>
      </w:pPr>
      <w:r>
        <w:rPr>
          <w:spacing w:val="-4"/>
          <w:sz w:val="21"/>
        </w:rPr>
        <w:t>脑垂体瘤；</w:t>
      </w:r>
    </w:p>
    <w:p>
      <w:pPr>
        <w:pStyle w:val="ListParagraph"/>
        <w:numPr>
          <w:ilvl w:val="0"/>
          <w:numId w:val="78"/>
        </w:numPr>
        <w:tabs>
          <w:tab w:pos="708" w:val="left" w:leader="none"/>
        </w:tabs>
        <w:spacing w:line="240" w:lineRule="auto" w:before="70" w:after="0"/>
        <w:ind w:left="707" w:right="0" w:hanging="530"/>
        <w:jc w:val="left"/>
        <w:rPr>
          <w:sz w:val="21"/>
        </w:rPr>
      </w:pPr>
      <w:r>
        <w:rPr>
          <w:spacing w:val="-4"/>
          <w:sz w:val="21"/>
        </w:rPr>
        <w:t>脑囊肿；</w:t>
      </w:r>
    </w:p>
    <w:p>
      <w:pPr>
        <w:pStyle w:val="ListParagraph"/>
        <w:numPr>
          <w:ilvl w:val="0"/>
          <w:numId w:val="78"/>
        </w:numPr>
        <w:tabs>
          <w:tab w:pos="708" w:val="left" w:leader="none"/>
        </w:tabs>
        <w:spacing w:line="240" w:lineRule="auto" w:before="66" w:after="0"/>
        <w:ind w:left="707" w:right="0" w:hanging="530"/>
        <w:jc w:val="left"/>
        <w:rPr>
          <w:sz w:val="21"/>
        </w:rPr>
      </w:pPr>
      <w:r>
        <w:rPr>
          <w:spacing w:val="-3"/>
          <w:sz w:val="21"/>
        </w:rPr>
        <w:t>脑动脉瘤、脑血管瘤。</w:t>
      </w:r>
    </w:p>
    <w:p>
      <w:pPr>
        <w:spacing w:before="68"/>
        <w:ind w:left="178" w:right="0" w:firstLine="0"/>
        <w:jc w:val="left"/>
        <w:rPr>
          <w:b/>
          <w:sz w:val="21"/>
        </w:rPr>
      </w:pPr>
      <w:r>
        <w:rPr>
          <w:b/>
          <w:spacing w:val="-3"/>
          <w:sz w:val="21"/>
        </w:rPr>
        <w:t>但未达到本合同所指重度疾病“破裂脑动脉瘤夹闭手术”的给付标准。</w:t>
      </w:r>
    </w:p>
    <w:p>
      <w:pPr>
        <w:spacing w:after="0"/>
        <w:jc w:val="left"/>
        <w:rPr>
          <w:sz w:val="21"/>
        </w:rPr>
        <w:sectPr>
          <w:type w:val="continuous"/>
          <w:pgSz w:w="11910" w:h="16840"/>
          <w:pgMar w:header="0" w:footer="857" w:top="320" w:bottom="1040" w:left="1100" w:right="260"/>
          <w:cols w:num="2" w:equalWidth="0">
            <w:col w:w="2773" w:space="40"/>
            <w:col w:w="7737"/>
          </w:cols>
        </w:sectPr>
      </w:pPr>
    </w:p>
    <w:p>
      <w:pPr>
        <w:spacing w:line="300" w:lineRule="auto" w:before="60"/>
        <w:ind w:left="2990" w:right="1020" w:hanging="2766"/>
        <w:jc w:val="both"/>
        <w:rPr>
          <w:sz w:val="21"/>
        </w:rPr>
      </w:pPr>
      <w:r>
        <w:rPr>
          <w:sz w:val="21"/>
        </w:rPr>
        <w:t>（七）主动脉内手术</w:t>
      </w:r>
      <w:r>
        <w:rPr>
          <w:spacing w:val="759"/>
          <w:sz w:val="21"/>
        </w:rPr>
        <w:t> </w:t>
      </w:r>
      <w:r>
        <w:rPr>
          <w:sz w:val="21"/>
        </w:rPr>
        <w:t>为了治疗主动脉疾病实际实施了经皮经导管进行的动脉内手术，但</w:t>
      </w:r>
      <w:r>
        <w:rPr>
          <w:b/>
          <w:sz w:val="21"/>
        </w:rPr>
        <w:t>未达</w:t>
      </w:r>
      <w:r>
        <w:rPr>
          <w:b/>
          <w:spacing w:val="-2"/>
          <w:sz w:val="21"/>
        </w:rPr>
        <w:t>到本合同所指重度疾病</w:t>
      </w:r>
      <w:r>
        <w:rPr>
          <w:rFonts w:ascii="Times New Roman" w:hAnsi="Times New Roman" w:eastAsia="Times New Roman"/>
          <w:b/>
          <w:spacing w:val="-2"/>
          <w:sz w:val="21"/>
        </w:rPr>
        <w:t>“</w:t>
      </w:r>
      <w:r>
        <w:rPr>
          <w:b/>
          <w:spacing w:val="-2"/>
          <w:sz w:val="21"/>
        </w:rPr>
        <w:t>主动脉手术</w:t>
      </w:r>
      <w:r>
        <w:rPr>
          <w:rFonts w:ascii="Times New Roman" w:hAnsi="Times New Roman" w:eastAsia="Times New Roman"/>
          <w:b/>
          <w:spacing w:val="-2"/>
          <w:sz w:val="21"/>
        </w:rPr>
        <w:t>”</w:t>
      </w:r>
      <w:r>
        <w:rPr>
          <w:b/>
          <w:spacing w:val="-2"/>
          <w:sz w:val="21"/>
        </w:rPr>
        <w:t>的给付标准。</w:t>
      </w:r>
      <w:r>
        <w:rPr>
          <w:spacing w:val="-2"/>
          <w:sz w:val="21"/>
        </w:rPr>
        <w:t>主动脉指升主动脉、</w:t>
      </w:r>
      <w:r>
        <w:rPr>
          <w:spacing w:val="-2"/>
          <w:sz w:val="21"/>
        </w:rPr>
        <w:t>主动脉弓和降主动脉（含胸主动脉和腹主动脉），</w:t>
      </w:r>
      <w:r>
        <w:rPr>
          <w:b/>
          <w:spacing w:val="-2"/>
          <w:sz w:val="21"/>
        </w:rPr>
        <w:t>不包括升主动脉、主</w:t>
      </w:r>
      <w:r>
        <w:rPr>
          <w:b/>
          <w:spacing w:val="-2"/>
          <w:sz w:val="21"/>
        </w:rPr>
        <w:t>动脉弓和降主动脉的分支血管</w:t>
      </w:r>
      <w:r>
        <w:rPr>
          <w:spacing w:val="-2"/>
          <w:sz w:val="21"/>
        </w:rPr>
        <w:t>。</w:t>
      </w:r>
    </w:p>
    <w:p>
      <w:pPr>
        <w:pStyle w:val="BodyText"/>
        <w:spacing w:before="6"/>
        <w:rPr>
          <w:sz w:val="27"/>
        </w:rPr>
      </w:pPr>
    </w:p>
    <w:p>
      <w:pPr>
        <w:spacing w:after="0"/>
        <w:rPr>
          <w:sz w:val="27"/>
        </w:rPr>
        <w:sectPr>
          <w:pgSz w:w="11910" w:h="16840"/>
          <w:pgMar w:header="0" w:footer="857" w:top="1420" w:bottom="1180" w:left="1100" w:right="260"/>
        </w:sectPr>
      </w:pPr>
    </w:p>
    <w:p>
      <w:pPr>
        <w:pStyle w:val="BodyText"/>
        <w:spacing w:line="300" w:lineRule="auto" w:before="72"/>
        <w:ind w:left="225"/>
      </w:pPr>
      <w:r>
        <w:rPr>
          <w:spacing w:val="-2"/>
        </w:rPr>
        <w:t>（八）特定周围动脉疾病的</w:t>
      </w:r>
      <w:r>
        <w:rPr>
          <w:spacing w:val="-2"/>
        </w:rPr>
        <w:t>血管介入治疗</w:t>
      </w:r>
    </w:p>
    <w:p>
      <w:pPr>
        <w:pStyle w:val="BodyText"/>
        <w:spacing w:line="302" w:lineRule="auto" w:before="72"/>
        <w:ind w:left="178" w:right="1058"/>
      </w:pPr>
      <w:r>
        <w:rPr/>
        <w:br w:type="column"/>
      </w:r>
      <w:r>
        <w:rPr>
          <w:spacing w:val="-1"/>
        </w:rPr>
        <w:t>指经血管造影术证实一条或者一条以上的下列动脉狭窄达到 </w:t>
      </w:r>
      <w:r>
        <w:rPr/>
        <w:t>50%或者以</w:t>
      </w:r>
      <w:r>
        <w:rPr>
          <w:spacing w:val="-5"/>
        </w:rPr>
        <w:t>上，并同时为治疗该动脉狭窄而实施了血管介入治疗，如血管成形术及</w:t>
      </w:r>
    </w:p>
    <w:p>
      <w:pPr>
        <w:pStyle w:val="BodyText"/>
        <w:spacing w:line="265" w:lineRule="exact"/>
        <w:ind w:left="178"/>
      </w:pPr>
      <w:r>
        <w:rPr>
          <w:spacing w:val="-3"/>
        </w:rPr>
        <w:t>/或者进行植入支架或者动脉粥样斑块清除手术。</w:t>
      </w:r>
    </w:p>
    <w:p>
      <w:pPr>
        <w:pStyle w:val="ListParagraph"/>
        <w:numPr>
          <w:ilvl w:val="0"/>
          <w:numId w:val="79"/>
        </w:numPr>
        <w:tabs>
          <w:tab w:pos="708" w:val="left" w:leader="none"/>
        </w:tabs>
        <w:spacing w:line="240" w:lineRule="auto" w:before="67" w:after="0"/>
        <w:ind w:left="707" w:right="0" w:hanging="530"/>
        <w:jc w:val="left"/>
        <w:rPr>
          <w:sz w:val="21"/>
        </w:rPr>
      </w:pPr>
      <w:r>
        <w:rPr>
          <w:spacing w:val="-3"/>
          <w:sz w:val="21"/>
        </w:rPr>
        <w:t>为下肢或者上肢供血的动脉；</w:t>
      </w:r>
    </w:p>
    <w:p>
      <w:pPr>
        <w:pStyle w:val="ListParagraph"/>
        <w:numPr>
          <w:ilvl w:val="0"/>
          <w:numId w:val="79"/>
        </w:numPr>
        <w:tabs>
          <w:tab w:pos="708" w:val="left" w:leader="none"/>
        </w:tabs>
        <w:spacing w:line="240" w:lineRule="auto" w:before="69" w:after="0"/>
        <w:ind w:left="707" w:right="0" w:hanging="530"/>
        <w:jc w:val="left"/>
        <w:rPr>
          <w:sz w:val="21"/>
        </w:rPr>
      </w:pPr>
      <w:r>
        <w:rPr>
          <w:spacing w:val="-4"/>
          <w:sz w:val="21"/>
        </w:rPr>
        <w:t>肾动脉；</w:t>
      </w:r>
    </w:p>
    <w:p>
      <w:pPr>
        <w:pStyle w:val="ListParagraph"/>
        <w:numPr>
          <w:ilvl w:val="0"/>
          <w:numId w:val="79"/>
        </w:numPr>
        <w:tabs>
          <w:tab w:pos="708" w:val="left" w:leader="none"/>
        </w:tabs>
        <w:spacing w:line="240" w:lineRule="auto" w:before="68" w:after="0"/>
        <w:ind w:left="707" w:right="0" w:hanging="530"/>
        <w:jc w:val="left"/>
        <w:rPr>
          <w:sz w:val="21"/>
        </w:rPr>
      </w:pPr>
      <w:r>
        <w:rPr>
          <w:spacing w:val="-4"/>
          <w:sz w:val="21"/>
        </w:rPr>
        <w:t>肠系膜动脉。</w:t>
      </w:r>
    </w:p>
    <w:p>
      <w:pPr>
        <w:spacing w:line="300" w:lineRule="auto" w:before="67"/>
        <w:ind w:left="178" w:right="1069" w:firstLine="0"/>
        <w:jc w:val="left"/>
        <w:rPr>
          <w:b/>
          <w:sz w:val="21"/>
        </w:rPr>
      </w:pPr>
      <w:r>
        <w:rPr>
          <w:b/>
          <w:spacing w:val="3"/>
          <w:w w:val="100"/>
          <w:sz w:val="21"/>
        </w:rPr>
        <w:t>上述动脉疾病的诊断以及相关治疗的必要性必须由血管疾病的专科医生确定。</w:t>
      </w:r>
    </w:p>
    <w:p>
      <w:pPr>
        <w:spacing w:after="0" w:line="300"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11"/>
        <w:rPr>
          <w:b/>
          <w:sz w:val="27"/>
        </w:rPr>
      </w:pPr>
    </w:p>
    <w:p>
      <w:pPr>
        <w:pStyle w:val="BodyText"/>
        <w:tabs>
          <w:tab w:pos="2990" w:val="left" w:leader="none"/>
        </w:tabs>
        <w:spacing w:line="300" w:lineRule="auto" w:before="72"/>
        <w:ind w:left="2990" w:right="1060" w:hanging="2766"/>
      </w:pPr>
      <w:r>
        <w:rPr>
          <w:spacing w:val="-2"/>
        </w:rPr>
        <w:t>（</w:t>
      </w:r>
      <w:r>
        <w:rPr>
          <w:spacing w:val="-2"/>
        </w:rPr>
        <w:t>九</w:t>
      </w:r>
      <w:r>
        <w:rPr>
          <w:spacing w:val="-2"/>
        </w:rPr>
        <w:t>）Ⅲ度房室传导</w:t>
      </w:r>
      <w:r>
        <w:rPr>
          <w:spacing w:val="-2"/>
        </w:rPr>
        <w:t>阻</w:t>
      </w:r>
      <w:r>
        <w:rPr>
          <w:spacing w:val="-2"/>
        </w:rPr>
        <w:t>滞</w:t>
      </w:r>
      <w:r>
        <w:rPr/>
        <w:tab/>
      </w:r>
      <w:r>
        <w:rPr>
          <w:spacing w:val="-2"/>
        </w:rPr>
        <w:t>指</w:t>
      </w:r>
      <w:r>
        <w:rPr>
          <w:spacing w:val="-2"/>
        </w:rPr>
        <w:t>心</w:t>
      </w:r>
      <w:r>
        <w:rPr>
          <w:spacing w:val="-2"/>
        </w:rPr>
        <w:t>房激动在房室交界区、房室束及其分支内</w:t>
      </w:r>
      <w:r>
        <w:rPr>
          <w:spacing w:val="-2"/>
        </w:rPr>
        <w:t>发</w:t>
      </w:r>
      <w:r>
        <w:rPr>
          <w:spacing w:val="-2"/>
        </w:rPr>
        <w:t>生</w:t>
      </w:r>
      <w:r>
        <w:rPr>
          <w:spacing w:val="-2"/>
        </w:rPr>
        <w:t>阻滞，不能正常地</w:t>
      </w:r>
      <w:r>
        <w:rPr>
          <w:spacing w:val="-2"/>
        </w:rPr>
        <w:t>传</w:t>
      </w:r>
      <w:r>
        <w:rPr>
          <w:spacing w:val="-2"/>
        </w:rPr>
        <w:t>到</w:t>
      </w:r>
      <w:r>
        <w:rPr>
          <w:spacing w:val="-2"/>
        </w:rPr>
        <w:t>心</w:t>
      </w:r>
      <w:r>
        <w:rPr>
          <w:spacing w:val="-2"/>
        </w:rPr>
        <w:t>室的心脏传导性疾病，</w:t>
      </w:r>
      <w:r>
        <w:rPr>
          <w:spacing w:val="-2"/>
        </w:rPr>
        <w:t>须</w:t>
      </w:r>
      <w:r>
        <w:rPr>
          <w:spacing w:val="-2"/>
        </w:rPr>
        <w:t>满足下列所有条</w:t>
      </w:r>
      <w:r>
        <w:rPr>
          <w:spacing w:val="-2"/>
        </w:rPr>
        <w:t>件</w:t>
      </w:r>
      <w:r>
        <w:rPr>
          <w:spacing w:val="-2"/>
        </w:rPr>
        <w:t>：</w:t>
      </w:r>
    </w:p>
    <w:p>
      <w:pPr>
        <w:pStyle w:val="ListParagraph"/>
        <w:numPr>
          <w:ilvl w:val="1"/>
          <w:numId w:val="79"/>
        </w:numPr>
        <w:tabs>
          <w:tab w:pos="3520" w:val="left" w:leader="none"/>
        </w:tabs>
        <w:spacing w:line="268" w:lineRule="exact" w:before="0" w:after="0"/>
        <w:ind w:left="3519" w:right="0" w:hanging="530"/>
        <w:jc w:val="left"/>
        <w:rPr>
          <w:sz w:val="21"/>
        </w:rPr>
      </w:pPr>
      <w:r>
        <w:rPr>
          <w:spacing w:val="-2"/>
          <w:sz w:val="21"/>
        </w:rPr>
        <w:t>心电图显示房室搏动彼此独立，心室率&lt;50</w:t>
      </w:r>
      <w:r>
        <w:rPr>
          <w:spacing w:val="-11"/>
          <w:sz w:val="21"/>
        </w:rPr>
        <w:t> 次/分钟；</w:t>
      </w:r>
    </w:p>
    <w:p>
      <w:pPr>
        <w:pStyle w:val="ListParagraph"/>
        <w:numPr>
          <w:ilvl w:val="1"/>
          <w:numId w:val="79"/>
        </w:numPr>
        <w:tabs>
          <w:tab w:pos="3520" w:val="left" w:leader="none"/>
        </w:tabs>
        <w:spacing w:line="240" w:lineRule="auto" w:before="67" w:after="0"/>
        <w:ind w:left="3519" w:right="0" w:hanging="530"/>
        <w:jc w:val="left"/>
        <w:rPr>
          <w:sz w:val="21"/>
        </w:rPr>
      </w:pPr>
      <w:r>
        <w:rPr>
          <w:spacing w:val="-3"/>
          <w:sz w:val="21"/>
        </w:rPr>
        <w:t>出现阿-斯综合征或心力衰竭的表现；</w:t>
      </w:r>
    </w:p>
    <w:p>
      <w:pPr>
        <w:pStyle w:val="ListParagraph"/>
        <w:numPr>
          <w:ilvl w:val="1"/>
          <w:numId w:val="79"/>
        </w:numPr>
        <w:tabs>
          <w:tab w:pos="3526" w:val="left" w:leader="none"/>
        </w:tabs>
        <w:spacing w:line="300" w:lineRule="auto" w:before="69" w:after="0"/>
        <w:ind w:left="2990" w:right="1065" w:firstLine="0"/>
        <w:jc w:val="left"/>
        <w:rPr>
          <w:sz w:val="21"/>
        </w:rPr>
      </w:pPr>
      <w:r>
        <w:rPr>
          <w:spacing w:val="-2"/>
          <w:sz w:val="21"/>
        </w:rPr>
        <w:t>必须持续性依赖心脏起搏器维持心脏正常功能，且已经放置心脏</w:t>
      </w:r>
      <w:r>
        <w:rPr>
          <w:spacing w:val="-4"/>
          <w:sz w:val="21"/>
        </w:rPr>
        <w:t>起搏器。</w:t>
      </w:r>
    </w:p>
    <w:p>
      <w:pPr>
        <w:pStyle w:val="BodyText"/>
        <w:rPr>
          <w:sz w:val="20"/>
        </w:rPr>
      </w:pPr>
    </w:p>
    <w:p>
      <w:pPr>
        <w:tabs>
          <w:tab w:pos="2990" w:val="left" w:leader="none"/>
        </w:tabs>
        <w:spacing w:line="300" w:lineRule="auto" w:before="171"/>
        <w:ind w:left="2990" w:right="955" w:hanging="2766"/>
        <w:jc w:val="left"/>
        <w:rPr>
          <w:b/>
          <w:sz w:val="21"/>
        </w:rPr>
      </w:pPr>
      <w:r>
        <w:rPr>
          <w:w w:val="100"/>
          <w:sz w:val="21"/>
        </w:rPr>
        <w:t>（十</w:t>
      </w:r>
      <w:r>
        <w:rPr>
          <w:spacing w:val="-3"/>
          <w:w w:val="100"/>
          <w:sz w:val="21"/>
        </w:rPr>
        <w:t>）</w:t>
      </w:r>
      <w:r>
        <w:rPr>
          <w:w w:val="100"/>
          <w:sz w:val="21"/>
        </w:rPr>
        <w:t>严</w:t>
      </w:r>
      <w:r>
        <w:rPr>
          <w:spacing w:val="-3"/>
          <w:w w:val="100"/>
          <w:sz w:val="21"/>
        </w:rPr>
        <w:t>重</w:t>
      </w:r>
      <w:r>
        <w:rPr>
          <w:w w:val="100"/>
          <w:sz w:val="21"/>
        </w:rPr>
        <w:t>冻</w:t>
      </w:r>
      <w:r>
        <w:rPr>
          <w:spacing w:val="-3"/>
          <w:w w:val="100"/>
          <w:sz w:val="21"/>
        </w:rPr>
        <w:t>伤</w:t>
      </w:r>
      <w:r>
        <w:rPr>
          <w:w w:val="100"/>
          <w:sz w:val="21"/>
        </w:rPr>
        <w:t>导</w:t>
      </w:r>
      <w:r>
        <w:rPr>
          <w:spacing w:val="-3"/>
          <w:w w:val="100"/>
          <w:sz w:val="21"/>
        </w:rPr>
        <w:t>致</w:t>
      </w:r>
      <w:r>
        <w:rPr>
          <w:w w:val="100"/>
          <w:sz w:val="21"/>
        </w:rPr>
        <w:t>截肢</w:t>
      </w:r>
      <w:r>
        <w:rPr>
          <w:sz w:val="21"/>
        </w:rPr>
        <w:tab/>
      </w:r>
      <w:r>
        <w:rPr>
          <w:w w:val="100"/>
          <w:sz w:val="21"/>
        </w:rPr>
        <w:t>冻伤</w:t>
      </w:r>
      <w:r>
        <w:rPr>
          <w:spacing w:val="-3"/>
          <w:w w:val="100"/>
          <w:sz w:val="21"/>
        </w:rPr>
        <w:t>是</w:t>
      </w:r>
      <w:r>
        <w:rPr>
          <w:w w:val="100"/>
          <w:sz w:val="21"/>
        </w:rPr>
        <w:t>由</w:t>
      </w:r>
      <w:r>
        <w:rPr>
          <w:spacing w:val="-3"/>
          <w:w w:val="100"/>
          <w:sz w:val="21"/>
        </w:rPr>
        <w:t>于</w:t>
      </w:r>
      <w:r>
        <w:rPr>
          <w:spacing w:val="-1"/>
          <w:w w:val="100"/>
          <w:sz w:val="21"/>
        </w:rPr>
        <w:t>寒</w:t>
      </w:r>
      <w:r>
        <w:rPr>
          <w:spacing w:val="-3"/>
          <w:w w:val="100"/>
          <w:sz w:val="21"/>
        </w:rPr>
        <w:t>冷</w:t>
      </w:r>
      <w:r>
        <w:rPr>
          <w:w w:val="100"/>
          <w:sz w:val="21"/>
        </w:rPr>
        <w:t>潮</w:t>
      </w:r>
      <w:r>
        <w:rPr>
          <w:spacing w:val="-3"/>
          <w:w w:val="100"/>
          <w:sz w:val="21"/>
        </w:rPr>
        <w:t>湿</w:t>
      </w:r>
      <w:r>
        <w:rPr>
          <w:w w:val="100"/>
          <w:sz w:val="21"/>
        </w:rPr>
        <w:t>作</w:t>
      </w:r>
      <w:r>
        <w:rPr>
          <w:spacing w:val="-3"/>
          <w:w w:val="100"/>
          <w:sz w:val="21"/>
        </w:rPr>
        <w:t>用</w:t>
      </w:r>
      <w:r>
        <w:rPr>
          <w:w w:val="100"/>
          <w:sz w:val="21"/>
        </w:rPr>
        <w:t>引起</w:t>
      </w:r>
      <w:r>
        <w:rPr>
          <w:spacing w:val="-3"/>
          <w:w w:val="100"/>
          <w:sz w:val="21"/>
        </w:rPr>
        <w:t>的</w:t>
      </w:r>
      <w:r>
        <w:rPr>
          <w:w w:val="100"/>
          <w:sz w:val="21"/>
        </w:rPr>
        <w:t>人</w:t>
      </w:r>
      <w:r>
        <w:rPr>
          <w:spacing w:val="-3"/>
          <w:w w:val="100"/>
          <w:sz w:val="21"/>
        </w:rPr>
        <w:t>体</w:t>
      </w:r>
      <w:r>
        <w:rPr>
          <w:w w:val="100"/>
          <w:sz w:val="21"/>
        </w:rPr>
        <w:t>局</w:t>
      </w:r>
      <w:r>
        <w:rPr>
          <w:spacing w:val="-3"/>
          <w:w w:val="100"/>
          <w:sz w:val="21"/>
        </w:rPr>
        <w:t>部</w:t>
      </w:r>
      <w:r>
        <w:rPr>
          <w:w w:val="100"/>
          <w:sz w:val="21"/>
        </w:rPr>
        <w:t>或</w:t>
      </w:r>
      <w:r>
        <w:rPr>
          <w:spacing w:val="-3"/>
          <w:w w:val="100"/>
          <w:sz w:val="21"/>
        </w:rPr>
        <w:t>全</w:t>
      </w:r>
      <w:r>
        <w:rPr>
          <w:w w:val="100"/>
          <w:sz w:val="21"/>
        </w:rPr>
        <w:t>身</w:t>
      </w:r>
      <w:r>
        <w:rPr>
          <w:spacing w:val="-3"/>
          <w:w w:val="100"/>
          <w:sz w:val="21"/>
        </w:rPr>
        <w:t>损</w:t>
      </w:r>
      <w:r>
        <w:rPr>
          <w:w w:val="100"/>
          <w:sz w:val="21"/>
        </w:rPr>
        <w:t>伤</w:t>
      </w:r>
      <w:r>
        <w:rPr>
          <w:spacing w:val="-22"/>
          <w:w w:val="100"/>
          <w:sz w:val="21"/>
        </w:rPr>
        <w:t>。</w:t>
      </w:r>
      <w:r>
        <w:rPr>
          <w:w w:val="100"/>
          <w:sz w:val="21"/>
        </w:rPr>
        <w:t>指</w:t>
      </w:r>
      <w:r>
        <w:rPr>
          <w:spacing w:val="-3"/>
          <w:w w:val="100"/>
          <w:sz w:val="21"/>
        </w:rPr>
        <w:t>冻</w:t>
      </w:r>
      <w:r>
        <w:rPr>
          <w:w w:val="100"/>
          <w:sz w:val="21"/>
        </w:rPr>
        <w:t>伤</w:t>
      </w:r>
      <w:r>
        <w:rPr>
          <w:spacing w:val="-3"/>
          <w:w w:val="100"/>
          <w:sz w:val="21"/>
        </w:rPr>
        <w:t>程</w:t>
      </w:r>
      <w:r>
        <w:rPr>
          <w:w w:val="100"/>
          <w:sz w:val="21"/>
        </w:rPr>
        <w:t>度</w:t>
      </w:r>
      <w:r>
        <w:rPr>
          <w:spacing w:val="-3"/>
          <w:w w:val="100"/>
          <w:sz w:val="21"/>
        </w:rPr>
        <w:t>达</w:t>
      </w:r>
      <w:r>
        <w:rPr>
          <w:w w:val="100"/>
          <w:sz w:val="21"/>
        </w:rPr>
        <w:t>到 IV</w:t>
      </w:r>
      <w:r>
        <w:rPr>
          <w:spacing w:val="-53"/>
          <w:sz w:val="21"/>
        </w:rPr>
        <w:t> </w:t>
      </w:r>
      <w:r>
        <w:rPr>
          <w:spacing w:val="-3"/>
          <w:w w:val="100"/>
          <w:sz w:val="21"/>
        </w:rPr>
        <w:t>度</w:t>
      </w:r>
      <w:r>
        <w:rPr>
          <w:spacing w:val="-89"/>
          <w:w w:val="100"/>
          <w:sz w:val="21"/>
        </w:rPr>
        <w:t>，</w:t>
      </w:r>
      <w:r>
        <w:rPr>
          <w:spacing w:val="-3"/>
          <w:w w:val="100"/>
          <w:sz w:val="21"/>
        </w:rPr>
        <w:t>且</w:t>
      </w:r>
      <w:r>
        <w:rPr>
          <w:w w:val="100"/>
          <w:sz w:val="21"/>
        </w:rPr>
        <w:t>导</w:t>
      </w:r>
      <w:r>
        <w:rPr>
          <w:spacing w:val="-3"/>
          <w:w w:val="100"/>
          <w:sz w:val="21"/>
        </w:rPr>
        <w:t>致</w:t>
      </w:r>
      <w:r>
        <w:rPr>
          <w:w w:val="100"/>
          <w:sz w:val="21"/>
        </w:rPr>
        <w:t>一</w:t>
      </w:r>
      <w:r>
        <w:rPr>
          <w:spacing w:val="-3"/>
          <w:w w:val="100"/>
          <w:sz w:val="21"/>
        </w:rPr>
        <w:t>个</w:t>
      </w:r>
      <w:r>
        <w:rPr>
          <w:w w:val="100"/>
          <w:sz w:val="21"/>
        </w:rPr>
        <w:t>或</w:t>
      </w:r>
      <w:r>
        <w:rPr>
          <w:spacing w:val="-3"/>
          <w:w w:val="100"/>
          <w:sz w:val="21"/>
        </w:rPr>
        <w:t>一个</w:t>
      </w:r>
      <w:r>
        <w:rPr>
          <w:w w:val="100"/>
          <w:sz w:val="21"/>
        </w:rPr>
        <w:t>以上</w:t>
      </w:r>
      <w:r>
        <w:rPr>
          <w:spacing w:val="-3"/>
          <w:w w:val="100"/>
          <w:sz w:val="21"/>
        </w:rPr>
        <w:t>肢</w:t>
      </w:r>
      <w:r>
        <w:rPr>
          <w:w w:val="100"/>
          <w:sz w:val="21"/>
        </w:rPr>
        <w:t>体</w:t>
      </w:r>
      <w:r>
        <w:rPr>
          <w:spacing w:val="-3"/>
          <w:w w:val="100"/>
          <w:sz w:val="21"/>
        </w:rPr>
        <w:t>自</w:t>
      </w:r>
      <w:r>
        <w:rPr>
          <w:w w:val="100"/>
          <w:sz w:val="21"/>
        </w:rPr>
        <w:t>腕</w:t>
      </w:r>
      <w:r>
        <w:rPr>
          <w:spacing w:val="-3"/>
          <w:w w:val="100"/>
          <w:sz w:val="21"/>
        </w:rPr>
        <w:t>关</w:t>
      </w:r>
      <w:r>
        <w:rPr>
          <w:w w:val="100"/>
          <w:sz w:val="21"/>
        </w:rPr>
        <w:t>节</w:t>
      </w:r>
      <w:r>
        <w:rPr>
          <w:spacing w:val="-3"/>
          <w:w w:val="100"/>
          <w:sz w:val="21"/>
        </w:rPr>
        <w:t>或</w:t>
      </w:r>
      <w:r>
        <w:rPr>
          <w:w w:val="100"/>
          <w:sz w:val="21"/>
        </w:rPr>
        <w:t>踝</w:t>
      </w:r>
      <w:r>
        <w:rPr>
          <w:spacing w:val="-3"/>
          <w:w w:val="100"/>
          <w:sz w:val="21"/>
        </w:rPr>
        <w:t>关</w:t>
      </w:r>
      <w:r>
        <w:rPr>
          <w:w w:val="100"/>
          <w:sz w:val="21"/>
        </w:rPr>
        <w:t>节近</w:t>
      </w:r>
      <w:r>
        <w:rPr>
          <w:spacing w:val="-92"/>
          <w:w w:val="100"/>
          <w:sz w:val="21"/>
        </w:rPr>
        <w:t>端</w:t>
      </w:r>
      <w:r>
        <w:rPr>
          <w:w w:val="100"/>
          <w:sz w:val="21"/>
        </w:rPr>
        <w:t>（</w:t>
      </w:r>
      <w:r>
        <w:rPr>
          <w:spacing w:val="-3"/>
          <w:w w:val="100"/>
          <w:sz w:val="21"/>
        </w:rPr>
        <w:t>靠</w:t>
      </w:r>
      <w:r>
        <w:rPr>
          <w:w w:val="100"/>
          <w:sz w:val="21"/>
        </w:rPr>
        <w:t>近</w:t>
      </w:r>
      <w:r>
        <w:rPr>
          <w:spacing w:val="-3"/>
          <w:w w:val="100"/>
          <w:sz w:val="21"/>
        </w:rPr>
        <w:t>躯</w:t>
      </w:r>
      <w:r>
        <w:rPr>
          <w:w w:val="100"/>
          <w:sz w:val="21"/>
        </w:rPr>
        <w:t>干</w:t>
      </w:r>
      <w:r>
        <w:rPr>
          <w:spacing w:val="-3"/>
          <w:w w:val="100"/>
          <w:sz w:val="21"/>
        </w:rPr>
        <w:t>端</w:t>
      </w:r>
      <w:r>
        <w:rPr>
          <w:w w:val="100"/>
          <w:sz w:val="21"/>
        </w:rPr>
        <w:t>）</w:t>
      </w:r>
      <w:r>
        <w:rPr>
          <w:spacing w:val="2"/>
          <w:w w:val="100"/>
          <w:sz w:val="21"/>
        </w:rPr>
        <w:t>以</w:t>
      </w:r>
      <w:r>
        <w:rPr>
          <w:w w:val="100"/>
          <w:sz w:val="21"/>
        </w:rPr>
        <w:t>上</w:t>
      </w:r>
      <w:r>
        <w:rPr>
          <w:spacing w:val="2"/>
          <w:w w:val="100"/>
          <w:sz w:val="21"/>
        </w:rPr>
        <w:t>完</w:t>
      </w:r>
      <w:r>
        <w:rPr>
          <w:w w:val="100"/>
          <w:sz w:val="21"/>
        </w:rPr>
        <w:t>全</w:t>
      </w:r>
      <w:r>
        <w:rPr>
          <w:spacing w:val="2"/>
          <w:w w:val="100"/>
          <w:sz w:val="21"/>
        </w:rPr>
        <w:t>性</w:t>
      </w:r>
      <w:r>
        <w:rPr>
          <w:w w:val="100"/>
          <w:sz w:val="21"/>
        </w:rPr>
        <w:t>断</w:t>
      </w:r>
      <w:r>
        <w:rPr>
          <w:spacing w:val="3"/>
          <w:w w:val="100"/>
          <w:sz w:val="21"/>
        </w:rPr>
        <w:t>离</w:t>
      </w:r>
      <w:r>
        <w:rPr>
          <w:w w:val="100"/>
          <w:sz w:val="21"/>
        </w:rPr>
        <w:t>,</w:t>
      </w:r>
      <w:r>
        <w:rPr>
          <w:b/>
          <w:spacing w:val="2"/>
          <w:w w:val="100"/>
          <w:sz w:val="21"/>
        </w:rPr>
        <w:t>但未达</w:t>
      </w:r>
      <w:r>
        <w:rPr>
          <w:b/>
          <w:w w:val="100"/>
          <w:sz w:val="21"/>
        </w:rPr>
        <w:t>到</w:t>
      </w:r>
      <w:r>
        <w:rPr>
          <w:b/>
          <w:spacing w:val="2"/>
          <w:w w:val="100"/>
          <w:sz w:val="21"/>
        </w:rPr>
        <w:t>本合同所指</w:t>
      </w:r>
      <w:r>
        <w:rPr>
          <w:b/>
          <w:w w:val="100"/>
          <w:sz w:val="21"/>
        </w:rPr>
        <w:t>重</w:t>
      </w:r>
      <w:r>
        <w:rPr>
          <w:b/>
          <w:spacing w:val="2"/>
          <w:w w:val="100"/>
          <w:sz w:val="21"/>
        </w:rPr>
        <w:t>度疾病</w:t>
      </w:r>
      <w:r>
        <w:rPr>
          <w:b/>
          <w:w w:val="100"/>
          <w:sz w:val="21"/>
        </w:rPr>
        <w:t>“多</w:t>
      </w:r>
      <w:r>
        <w:rPr>
          <w:b/>
          <w:spacing w:val="2"/>
          <w:w w:val="100"/>
          <w:sz w:val="21"/>
        </w:rPr>
        <w:t>个肢体缺失</w:t>
      </w:r>
      <w:r>
        <w:rPr>
          <w:b/>
          <w:w w:val="100"/>
          <w:sz w:val="21"/>
        </w:rPr>
        <w:t>”</w:t>
      </w:r>
      <w:r>
        <w:rPr>
          <w:b/>
          <w:spacing w:val="8"/>
          <w:w w:val="100"/>
          <w:sz w:val="21"/>
        </w:rPr>
        <w:t>的</w:t>
      </w:r>
      <w:r>
        <w:rPr>
          <w:b/>
          <w:w w:val="100"/>
          <w:sz w:val="21"/>
        </w:rPr>
        <w:t>给付标准。</w:t>
      </w:r>
    </w:p>
    <w:p>
      <w:pPr>
        <w:pStyle w:val="BodyText"/>
        <w:rPr>
          <w:b/>
          <w:sz w:val="20"/>
        </w:rPr>
      </w:pPr>
    </w:p>
    <w:p>
      <w:pPr>
        <w:spacing w:line="300" w:lineRule="auto" w:before="169"/>
        <w:ind w:left="2990" w:right="1058" w:hanging="2766"/>
        <w:jc w:val="both"/>
        <w:rPr>
          <w:b/>
          <w:sz w:val="21"/>
        </w:rPr>
      </w:pPr>
      <w:r>
        <w:rPr>
          <w:sz w:val="21"/>
        </w:rPr>
        <w:t>（十一）</w:t>
      </w:r>
      <w:r>
        <w:rPr>
          <w:spacing w:val="12"/>
          <w:sz w:val="21"/>
        </w:rPr>
        <w:t>心包膜切除术 指为治疗心包膜疾病，已经实施了心包膜切除术，</w:t>
      </w:r>
      <w:r>
        <w:rPr>
          <w:b/>
          <w:sz w:val="21"/>
        </w:rPr>
        <w:t>但未达到本合同所指</w:t>
      </w:r>
      <w:r>
        <w:rPr>
          <w:b/>
          <w:spacing w:val="-2"/>
          <w:sz w:val="21"/>
        </w:rPr>
        <w:t>重度疾病“严重慢性缩窄型心包炎”的给付标准。手术必须在心脏科专</w:t>
      </w:r>
      <w:r>
        <w:rPr>
          <w:b/>
          <w:spacing w:val="-2"/>
          <w:sz w:val="21"/>
        </w:rPr>
        <w:t>科医生认为是医学上必需的情况下进行。</w:t>
      </w:r>
    </w:p>
    <w:p>
      <w:pPr>
        <w:pStyle w:val="BodyText"/>
        <w:rPr>
          <w:b/>
          <w:sz w:val="20"/>
        </w:rPr>
      </w:pPr>
    </w:p>
    <w:p>
      <w:pPr>
        <w:pStyle w:val="BodyText"/>
        <w:spacing w:line="300" w:lineRule="auto" w:before="173"/>
        <w:ind w:left="2990" w:right="1058" w:hanging="2766"/>
      </w:pPr>
      <w:r>
        <w:rPr/>
        <w:t>（十二）植入腔静脉过滤器 指患者因反复肺栓塞发作，抗凝血疗法无效而接受手术植入腔静脉过滤</w:t>
      </w:r>
      <w:r>
        <w:rPr>
          <w:spacing w:val="-6"/>
        </w:rPr>
        <w:t>器。</w:t>
      </w:r>
    </w:p>
    <w:p>
      <w:pPr>
        <w:spacing w:line="300" w:lineRule="auto" w:before="0"/>
        <w:ind w:left="2990" w:right="1063" w:firstLine="0"/>
        <w:jc w:val="left"/>
        <w:rPr>
          <w:b/>
          <w:sz w:val="21"/>
        </w:rPr>
      </w:pPr>
      <w:r>
        <w:rPr>
          <w:b/>
          <w:spacing w:val="3"/>
          <w:w w:val="100"/>
          <w:sz w:val="21"/>
        </w:rPr>
        <w:t>此手术须在我们认可的医院内由专科医生认为是医疗必需的情况下进行。</w:t>
      </w:r>
    </w:p>
    <w:p>
      <w:pPr>
        <w:pStyle w:val="BodyText"/>
        <w:rPr>
          <w:b/>
          <w:sz w:val="20"/>
        </w:rPr>
      </w:pPr>
    </w:p>
    <w:p>
      <w:pPr>
        <w:spacing w:line="300" w:lineRule="auto" w:before="172"/>
        <w:ind w:left="2990" w:right="1022" w:hanging="2766"/>
        <w:jc w:val="both"/>
        <w:rPr>
          <w:sz w:val="21"/>
        </w:rPr>
      </w:pPr>
      <w:r>
        <w:rPr>
          <w:sz w:val="21"/>
        </w:rPr>
        <w:t>（十三）中度溃疡性结肠炎 指伴有致命性电解质紊乱及肠道肿胀及有肠破裂的风险的大肠（结肠及</w:t>
      </w:r>
      <w:r>
        <w:rPr>
          <w:spacing w:val="-2"/>
          <w:sz w:val="21"/>
        </w:rPr>
        <w:t>直肠）粘膜炎症，</w:t>
      </w:r>
      <w:r>
        <w:rPr>
          <w:b/>
          <w:spacing w:val="-2"/>
          <w:sz w:val="21"/>
        </w:rPr>
        <w:t>但未达到本合同所指重度疾病“严重溃疡性结肠炎”</w:t>
      </w:r>
      <w:r>
        <w:rPr>
          <w:b/>
          <w:spacing w:val="-2"/>
          <w:sz w:val="21"/>
        </w:rPr>
        <w:t>的给付标准</w:t>
      </w:r>
      <w:r>
        <w:rPr>
          <w:spacing w:val="-2"/>
          <w:sz w:val="21"/>
        </w:rPr>
        <w:t>。本合同所指中度溃疡性结肠炎须满足下列所有条件：</w:t>
      </w:r>
    </w:p>
    <w:p>
      <w:pPr>
        <w:pStyle w:val="ListParagraph"/>
        <w:numPr>
          <w:ilvl w:val="0"/>
          <w:numId w:val="80"/>
        </w:numPr>
        <w:tabs>
          <w:tab w:pos="3526" w:val="left" w:leader="none"/>
        </w:tabs>
        <w:spacing w:line="268" w:lineRule="exact" w:before="0" w:after="0"/>
        <w:ind w:left="3525" w:right="0" w:hanging="536"/>
        <w:jc w:val="left"/>
        <w:rPr>
          <w:sz w:val="21"/>
        </w:rPr>
      </w:pPr>
      <w:r>
        <w:rPr>
          <w:spacing w:val="-1"/>
          <w:sz w:val="21"/>
        </w:rPr>
        <w:t>须经由内窥镜检查证实该疾病侵犯全部结肠及直肠及活检病理学</w:t>
      </w:r>
    </w:p>
    <w:p>
      <w:pPr>
        <w:spacing w:after="0" w:line="268" w:lineRule="exact"/>
        <w:jc w:val="left"/>
        <w:rPr>
          <w:sz w:val="21"/>
        </w:rPr>
        <w:sectPr>
          <w:type w:val="continuous"/>
          <w:pgSz w:w="11910" w:h="16840"/>
          <w:pgMar w:header="0" w:footer="857" w:top="320" w:bottom="1040" w:left="1100" w:right="260"/>
        </w:sectPr>
      </w:pPr>
    </w:p>
    <w:p>
      <w:pPr>
        <w:pStyle w:val="BodyText"/>
        <w:spacing w:before="60"/>
        <w:ind w:left="2990"/>
      </w:pPr>
      <w:r>
        <w:rPr>
          <w:spacing w:val="-3"/>
        </w:rPr>
        <w:t>组织切片检查证实为溃疡性结肠炎；</w:t>
      </w:r>
    </w:p>
    <w:p>
      <w:pPr>
        <w:pStyle w:val="ListParagraph"/>
        <w:numPr>
          <w:ilvl w:val="0"/>
          <w:numId w:val="80"/>
        </w:numPr>
        <w:tabs>
          <w:tab w:pos="3520" w:val="left" w:leader="none"/>
        </w:tabs>
        <w:spacing w:line="300" w:lineRule="auto" w:before="67" w:after="0"/>
        <w:ind w:left="2990" w:right="1060" w:firstLine="0"/>
        <w:jc w:val="left"/>
        <w:rPr>
          <w:b/>
          <w:sz w:val="21"/>
        </w:rPr>
      </w:pPr>
      <w:r>
        <w:rPr>
          <w:spacing w:val="-2"/>
          <w:sz w:val="21"/>
        </w:rPr>
        <w:t>经专科医生以类固醇或免疫抑制剂连续治疗 </w:t>
      </w:r>
      <w:r>
        <w:rPr>
          <w:sz w:val="21"/>
        </w:rPr>
        <w:t>6</w:t>
      </w:r>
      <w:r>
        <w:rPr>
          <w:spacing w:val="-7"/>
          <w:sz w:val="21"/>
        </w:rPr>
        <w:t> 个月。</w:t>
      </w:r>
      <w:r>
        <w:rPr>
          <w:b/>
          <w:sz w:val="21"/>
        </w:rPr>
        <w:t>诊断及治疗</w:t>
      </w:r>
      <w:r>
        <w:rPr>
          <w:b/>
          <w:spacing w:val="-2"/>
          <w:sz w:val="21"/>
        </w:rPr>
        <w:t>均须在我们认可的医院内由专科医生认为是医疗必需的情况下进行。</w:t>
      </w:r>
    </w:p>
    <w:p>
      <w:pPr>
        <w:pStyle w:val="BodyText"/>
        <w:rPr>
          <w:b/>
          <w:sz w:val="20"/>
        </w:rPr>
      </w:pPr>
    </w:p>
    <w:p>
      <w:pPr>
        <w:spacing w:line="300" w:lineRule="auto" w:before="168"/>
        <w:ind w:left="2990" w:right="1058" w:hanging="2766"/>
        <w:jc w:val="left"/>
        <w:rPr>
          <w:sz w:val="21"/>
        </w:rPr>
      </w:pPr>
      <w:r>
        <w:rPr>
          <w:sz w:val="21"/>
        </w:rPr>
        <w:t>（十四）早期原发性心肌病 被诊断为原发性心肌病，并符合下列所有条件，</w:t>
      </w:r>
      <w:r>
        <w:rPr>
          <w:b/>
          <w:sz w:val="21"/>
        </w:rPr>
        <w:t>但未达到本合同所指重</w:t>
      </w:r>
      <w:r>
        <w:rPr>
          <w:b/>
          <w:spacing w:val="-2"/>
          <w:sz w:val="21"/>
        </w:rPr>
        <w:t>度疾病“原发性心肌病”的给付标准</w:t>
      </w:r>
      <w:r>
        <w:rPr>
          <w:spacing w:val="-2"/>
          <w:sz w:val="21"/>
        </w:rPr>
        <w:t>：</w:t>
      </w:r>
    </w:p>
    <w:p>
      <w:pPr>
        <w:pStyle w:val="ListParagraph"/>
        <w:numPr>
          <w:ilvl w:val="0"/>
          <w:numId w:val="81"/>
        </w:numPr>
        <w:tabs>
          <w:tab w:pos="3520" w:val="left" w:leader="none"/>
        </w:tabs>
        <w:spacing w:line="300" w:lineRule="auto" w:before="2" w:after="0"/>
        <w:ind w:left="2990" w:right="1060" w:firstLine="0"/>
        <w:jc w:val="left"/>
        <w:rPr>
          <w:sz w:val="21"/>
        </w:rPr>
      </w:pPr>
      <w:r>
        <w:rPr>
          <w:spacing w:val="-16"/>
          <w:sz w:val="21"/>
        </w:rPr>
        <w:t>导致心室功能受损，其受损程度达到美国纽约心脏病学会</w:t>
      </w:r>
      <w:r>
        <w:rPr>
          <w:spacing w:val="-2"/>
          <w:sz w:val="21"/>
        </w:rPr>
        <w:t>（New </w:t>
      </w:r>
      <w:r>
        <w:rPr>
          <w:sz w:val="21"/>
        </w:rPr>
        <w:t>York Heart Association，NYHA）心功能状态分级Ⅲ级，或其同等级</w:t>
      </w:r>
      <w:r>
        <w:rPr>
          <w:spacing w:val="-6"/>
          <w:sz w:val="21"/>
        </w:rPr>
        <w:t>别；</w:t>
      </w:r>
    </w:p>
    <w:p>
      <w:pPr>
        <w:pStyle w:val="ListParagraph"/>
        <w:numPr>
          <w:ilvl w:val="0"/>
          <w:numId w:val="81"/>
        </w:numPr>
        <w:tabs>
          <w:tab w:pos="3520" w:val="left" w:leader="none"/>
        </w:tabs>
        <w:spacing w:line="268" w:lineRule="exact" w:before="0" w:after="0"/>
        <w:ind w:left="3519" w:right="0" w:hanging="530"/>
        <w:jc w:val="left"/>
        <w:rPr>
          <w:sz w:val="21"/>
        </w:rPr>
      </w:pPr>
      <w:r>
        <w:rPr>
          <w:spacing w:val="-2"/>
          <w:sz w:val="21"/>
        </w:rPr>
        <w:t>左室射血分数 LVEF&lt;35%；</w:t>
      </w:r>
    </w:p>
    <w:p>
      <w:pPr>
        <w:pStyle w:val="ListParagraph"/>
        <w:numPr>
          <w:ilvl w:val="0"/>
          <w:numId w:val="81"/>
        </w:numPr>
        <w:tabs>
          <w:tab w:pos="3518" w:val="left" w:leader="none"/>
        </w:tabs>
        <w:spacing w:line="300" w:lineRule="auto" w:before="69" w:after="0"/>
        <w:ind w:left="2990" w:right="953" w:firstLine="0"/>
        <w:jc w:val="left"/>
        <w:rPr>
          <w:sz w:val="21"/>
        </w:rPr>
      </w:pPr>
      <w:r>
        <w:rPr>
          <w:spacing w:val="-3"/>
          <w:w w:val="100"/>
          <w:sz w:val="21"/>
        </w:rPr>
        <w:t>原发性心肌病的诊断必须由我们认可的医院的心脏专科医生确认，并提供心脏超声检查结果报告。</w:t>
      </w:r>
    </w:p>
    <w:p>
      <w:pPr>
        <w:pStyle w:val="BodyText"/>
        <w:spacing w:line="300" w:lineRule="auto"/>
        <w:ind w:left="2990" w:right="1058"/>
      </w:pPr>
      <w:r>
        <w:rPr>
          <w:spacing w:val="-2"/>
        </w:rPr>
        <w:t>本保障范围内的心肌病仅包括扩张型心肌病、肥厚型心肌病及限制型心</w:t>
      </w:r>
      <w:r>
        <w:rPr>
          <w:spacing w:val="-4"/>
        </w:rPr>
        <w:t>肌病。</w:t>
      </w:r>
    </w:p>
    <w:p>
      <w:pPr>
        <w:spacing w:line="300" w:lineRule="auto" w:before="2"/>
        <w:ind w:left="2990" w:right="1063" w:firstLine="0"/>
        <w:jc w:val="left"/>
        <w:rPr>
          <w:b/>
          <w:sz w:val="21"/>
        </w:rPr>
      </w:pPr>
      <w:r>
        <w:rPr>
          <w:b/>
          <w:sz w:val="21"/>
        </w:rPr>
        <w:t>继发于全身性疾病或其他器官系统疾病及酒精滥用造成的心肌病变不</w:t>
      </w:r>
      <w:r>
        <w:rPr>
          <w:b/>
          <w:spacing w:val="-2"/>
          <w:sz w:val="21"/>
        </w:rPr>
        <w:t>在本保障范围内。</w:t>
      </w:r>
    </w:p>
    <w:p>
      <w:pPr>
        <w:pStyle w:val="BodyText"/>
        <w:rPr>
          <w:b/>
          <w:sz w:val="20"/>
        </w:rPr>
      </w:pPr>
    </w:p>
    <w:p>
      <w:pPr>
        <w:spacing w:line="297" w:lineRule="auto" w:before="170"/>
        <w:ind w:left="2990" w:right="1039" w:hanging="2766"/>
        <w:jc w:val="both"/>
        <w:rPr>
          <w:sz w:val="21"/>
        </w:rPr>
      </w:pPr>
      <w:r>
        <w:rPr>
          <w:w w:val="100"/>
          <w:sz w:val="21"/>
        </w:rPr>
        <w:t>（</w:t>
      </w:r>
      <w:r>
        <w:rPr>
          <w:spacing w:val="-2"/>
          <w:w w:val="100"/>
          <w:sz w:val="21"/>
        </w:rPr>
        <w:t>十五</w:t>
      </w:r>
      <w:r>
        <w:rPr>
          <w:w w:val="100"/>
          <w:sz w:val="21"/>
        </w:rPr>
        <w:t>）</w:t>
      </w:r>
      <w:r>
        <w:rPr>
          <w:spacing w:val="-3"/>
          <w:w w:val="100"/>
          <w:sz w:val="21"/>
        </w:rPr>
        <w:t>运动神经元病</w:t>
      </w:r>
      <w:r>
        <w:rPr>
          <w:spacing w:val="5"/>
          <w:sz w:val="21"/>
        </w:rPr>
        <w:t>      </w:t>
      </w:r>
      <w:r>
        <w:rPr>
          <w:spacing w:val="-4"/>
          <w:w w:val="100"/>
          <w:sz w:val="21"/>
        </w:rPr>
        <w:t>是一组中枢神经系统运动神经元的进行性变性疾病，包括进行性脊肌萎</w:t>
      </w:r>
      <w:r>
        <w:rPr>
          <w:spacing w:val="-3"/>
          <w:w w:val="100"/>
          <w:sz w:val="21"/>
        </w:rPr>
        <w:t>缩症、进行性延髓麻痹症、原发性侧索硬化症、肌萎缩性侧索硬化症。</w:t>
      </w:r>
      <w:r>
        <w:rPr>
          <w:spacing w:val="-5"/>
          <w:w w:val="100"/>
          <w:sz w:val="21"/>
        </w:rPr>
        <w:t>须满足自主生活能力部分丧失，无法独立完成六项基本日常生活活动中</w:t>
      </w:r>
      <w:r>
        <w:rPr>
          <w:spacing w:val="4"/>
          <w:w w:val="100"/>
          <w:sz w:val="21"/>
        </w:rPr>
        <w:t>的两项，</w:t>
      </w:r>
      <w:r>
        <w:rPr>
          <w:b/>
          <w:spacing w:val="3"/>
          <w:w w:val="100"/>
          <w:sz w:val="21"/>
        </w:rPr>
        <w:t>但未达到本合同所指重度疾病“严重运动神经元病”或“瘫痪”的给付标准</w:t>
      </w:r>
      <w:r>
        <w:rPr>
          <w:spacing w:val="3"/>
          <w:w w:val="100"/>
          <w:sz w:val="21"/>
        </w:rPr>
        <w:t>。</w:t>
      </w:r>
    </w:p>
    <w:p>
      <w:pPr>
        <w:pStyle w:val="BodyText"/>
        <w:rPr>
          <w:sz w:val="20"/>
        </w:rPr>
      </w:pPr>
    </w:p>
    <w:p>
      <w:pPr>
        <w:pStyle w:val="BodyText"/>
        <w:spacing w:before="174"/>
        <w:ind w:left="225"/>
      </w:pPr>
      <w:r>
        <w:rPr/>
        <w:t>（十六）</w:t>
      </w:r>
      <w:r>
        <w:rPr>
          <w:spacing w:val="-1"/>
        </w:rPr>
        <w:t>双侧睾丸切除手术 因疾病导致实际接受了双侧睾丸完全切除手术。</w:t>
      </w:r>
    </w:p>
    <w:p>
      <w:pPr>
        <w:spacing w:before="67"/>
        <w:ind w:left="2990" w:right="0" w:firstLine="0"/>
        <w:jc w:val="left"/>
        <w:rPr>
          <w:b/>
          <w:sz w:val="21"/>
        </w:rPr>
      </w:pPr>
      <w:r>
        <w:rPr>
          <w:b/>
          <w:spacing w:val="-3"/>
          <w:sz w:val="21"/>
        </w:rPr>
        <w:t>下列情况不在本保障范围内：</w:t>
      </w:r>
    </w:p>
    <w:p>
      <w:pPr>
        <w:pStyle w:val="ListParagraph"/>
        <w:numPr>
          <w:ilvl w:val="0"/>
          <w:numId w:val="82"/>
        </w:numPr>
        <w:tabs>
          <w:tab w:pos="3520" w:val="left" w:leader="none"/>
        </w:tabs>
        <w:spacing w:line="240" w:lineRule="auto" w:before="69" w:after="0"/>
        <w:ind w:left="3519" w:right="0" w:hanging="530"/>
        <w:jc w:val="left"/>
        <w:rPr>
          <w:b/>
          <w:sz w:val="21"/>
        </w:rPr>
      </w:pPr>
      <w:r>
        <w:rPr>
          <w:b/>
          <w:spacing w:val="-2"/>
          <w:sz w:val="21"/>
        </w:rPr>
        <w:t>部分睾丸切除；</w:t>
      </w:r>
    </w:p>
    <w:p>
      <w:pPr>
        <w:pStyle w:val="ListParagraph"/>
        <w:numPr>
          <w:ilvl w:val="0"/>
          <w:numId w:val="82"/>
        </w:numPr>
        <w:tabs>
          <w:tab w:pos="3520" w:val="left" w:leader="none"/>
        </w:tabs>
        <w:spacing w:line="240" w:lineRule="auto" w:before="67" w:after="0"/>
        <w:ind w:left="3519" w:right="0" w:hanging="530"/>
        <w:jc w:val="left"/>
        <w:rPr>
          <w:b/>
          <w:sz w:val="21"/>
        </w:rPr>
      </w:pPr>
      <w:r>
        <w:rPr>
          <w:b/>
          <w:spacing w:val="-2"/>
          <w:sz w:val="21"/>
        </w:rPr>
        <w:t>预防性睾丸切除；</w:t>
      </w:r>
    </w:p>
    <w:p>
      <w:pPr>
        <w:pStyle w:val="ListParagraph"/>
        <w:numPr>
          <w:ilvl w:val="0"/>
          <w:numId w:val="82"/>
        </w:numPr>
        <w:tabs>
          <w:tab w:pos="3520" w:val="left" w:leader="none"/>
        </w:tabs>
        <w:spacing w:line="240" w:lineRule="auto" w:before="67" w:after="0"/>
        <w:ind w:left="3519" w:right="0" w:hanging="530"/>
        <w:jc w:val="left"/>
        <w:rPr>
          <w:b/>
          <w:sz w:val="21"/>
        </w:rPr>
      </w:pPr>
      <w:r>
        <w:rPr>
          <w:b/>
          <w:spacing w:val="-3"/>
          <w:sz w:val="21"/>
        </w:rPr>
        <w:t>因恶性肿瘤进行的睾丸切除术；</w:t>
      </w:r>
    </w:p>
    <w:p>
      <w:pPr>
        <w:pStyle w:val="ListParagraph"/>
        <w:numPr>
          <w:ilvl w:val="0"/>
          <w:numId w:val="82"/>
        </w:numPr>
        <w:tabs>
          <w:tab w:pos="3520" w:val="left" w:leader="none"/>
        </w:tabs>
        <w:spacing w:line="240" w:lineRule="auto" w:before="67" w:after="0"/>
        <w:ind w:left="3519" w:right="0" w:hanging="530"/>
        <w:jc w:val="left"/>
        <w:rPr>
          <w:b/>
          <w:sz w:val="21"/>
        </w:rPr>
      </w:pPr>
      <w:r>
        <w:rPr>
          <w:b/>
          <w:spacing w:val="-2"/>
          <w:sz w:val="21"/>
        </w:rPr>
        <w:t>变性手术。</w:t>
      </w:r>
    </w:p>
    <w:p>
      <w:pPr>
        <w:pStyle w:val="BodyText"/>
        <w:rPr>
          <w:b/>
          <w:sz w:val="20"/>
        </w:rPr>
      </w:pPr>
    </w:p>
    <w:p>
      <w:pPr>
        <w:pStyle w:val="BodyText"/>
        <w:spacing w:before="5"/>
        <w:rPr>
          <w:b/>
          <w:sz w:val="18"/>
        </w:rPr>
      </w:pPr>
    </w:p>
    <w:p>
      <w:pPr>
        <w:pStyle w:val="BodyText"/>
        <w:tabs>
          <w:tab w:pos="2990" w:val="left" w:leader="none"/>
        </w:tabs>
        <w:spacing w:line="302" w:lineRule="auto" w:before="1"/>
        <w:ind w:left="2990" w:right="1058" w:hanging="2766"/>
      </w:pPr>
      <w:r>
        <w:rPr>
          <w:spacing w:val="-2"/>
        </w:rPr>
        <w:t>（</w:t>
      </w:r>
      <w:r>
        <w:rPr>
          <w:spacing w:val="-2"/>
        </w:rPr>
        <w:t>十</w:t>
      </w:r>
      <w:r>
        <w:rPr>
          <w:spacing w:val="-2"/>
        </w:rPr>
        <w:t>七）肾脏切除</w:t>
      </w:r>
      <w:r>
        <w:rPr/>
        <w:tab/>
      </w:r>
      <w:r>
        <w:rPr>
          <w:spacing w:val="-2"/>
        </w:rPr>
        <w:t>指</w:t>
      </w:r>
      <w:r>
        <w:rPr>
          <w:spacing w:val="-2"/>
        </w:rPr>
        <w:t>因</w:t>
      </w:r>
      <w:r>
        <w:rPr>
          <w:spacing w:val="-2"/>
        </w:rPr>
        <w:t>疾病或意外伤害导致</w:t>
      </w:r>
      <w:r>
        <w:rPr>
          <w:spacing w:val="-2"/>
        </w:rPr>
        <w:t>肾</w:t>
      </w:r>
      <w:r>
        <w:rPr>
          <w:spacing w:val="-2"/>
        </w:rPr>
        <w:t>脏</w:t>
      </w:r>
      <w:r>
        <w:rPr>
          <w:spacing w:val="-2"/>
        </w:rPr>
        <w:t>严重</w:t>
      </w:r>
      <w:r>
        <w:rPr>
          <w:spacing w:val="-2"/>
        </w:rPr>
        <w:t>损</w:t>
      </w:r>
      <w:r>
        <w:rPr>
          <w:spacing w:val="-2"/>
        </w:rPr>
        <w:t>害</w:t>
      </w:r>
      <w:r>
        <w:rPr>
          <w:spacing w:val="-2"/>
        </w:rPr>
        <w:t>，已经</w:t>
      </w:r>
      <w:r>
        <w:rPr>
          <w:spacing w:val="-2"/>
        </w:rPr>
        <w:t>实</w:t>
      </w:r>
      <w:r>
        <w:rPr>
          <w:spacing w:val="-2"/>
        </w:rPr>
        <w:t>施</w:t>
      </w:r>
      <w:r>
        <w:rPr>
          <w:spacing w:val="-2"/>
        </w:rPr>
        <w:t>了</w:t>
      </w:r>
      <w:r>
        <w:rPr>
          <w:spacing w:val="-2"/>
        </w:rPr>
        <w:t>至</w:t>
      </w:r>
      <w:r>
        <w:rPr>
          <w:spacing w:val="-2"/>
        </w:rPr>
        <w:t>少单侧全肾</w:t>
      </w:r>
      <w:r>
        <w:rPr>
          <w:spacing w:val="-2"/>
        </w:rPr>
        <w:t>的</w:t>
      </w:r>
      <w:r>
        <w:rPr>
          <w:spacing w:val="-2"/>
        </w:rPr>
        <w:t>切</w:t>
      </w:r>
      <w:r>
        <w:rPr>
          <w:spacing w:val="-4"/>
        </w:rPr>
        <w:t>除</w:t>
      </w:r>
      <w:r>
        <w:rPr>
          <w:spacing w:val="-4"/>
        </w:rPr>
        <w:t>手</w:t>
      </w:r>
      <w:r>
        <w:rPr>
          <w:spacing w:val="-4"/>
        </w:rPr>
        <w:t>术。</w:t>
      </w:r>
    </w:p>
    <w:p>
      <w:pPr>
        <w:spacing w:line="265" w:lineRule="exact" w:before="0"/>
        <w:ind w:left="2990" w:right="0" w:firstLine="0"/>
        <w:jc w:val="left"/>
        <w:rPr>
          <w:b/>
          <w:sz w:val="21"/>
        </w:rPr>
      </w:pPr>
      <w:r>
        <w:rPr>
          <w:b/>
          <w:spacing w:val="-3"/>
          <w:sz w:val="21"/>
        </w:rPr>
        <w:t>下列情况不在本保障范围内：</w:t>
      </w:r>
    </w:p>
    <w:p>
      <w:pPr>
        <w:pStyle w:val="ListParagraph"/>
        <w:numPr>
          <w:ilvl w:val="0"/>
          <w:numId w:val="83"/>
        </w:numPr>
        <w:tabs>
          <w:tab w:pos="3520" w:val="left" w:leader="none"/>
        </w:tabs>
        <w:spacing w:line="240" w:lineRule="auto" w:before="66" w:after="0"/>
        <w:ind w:left="3519" w:right="0" w:hanging="530"/>
        <w:jc w:val="left"/>
        <w:rPr>
          <w:b/>
          <w:sz w:val="21"/>
        </w:rPr>
      </w:pPr>
      <w:r>
        <w:rPr>
          <w:b/>
          <w:spacing w:val="-2"/>
          <w:sz w:val="21"/>
        </w:rPr>
        <w:t>部分肾切除手术；</w:t>
      </w:r>
    </w:p>
    <w:p>
      <w:pPr>
        <w:pStyle w:val="ListParagraph"/>
        <w:numPr>
          <w:ilvl w:val="0"/>
          <w:numId w:val="83"/>
        </w:numPr>
        <w:tabs>
          <w:tab w:pos="3520" w:val="left" w:leader="none"/>
        </w:tabs>
        <w:spacing w:line="240" w:lineRule="auto" w:before="70" w:after="0"/>
        <w:ind w:left="3519" w:right="0" w:hanging="530"/>
        <w:jc w:val="left"/>
        <w:rPr>
          <w:b/>
          <w:sz w:val="21"/>
        </w:rPr>
      </w:pPr>
      <w:r>
        <w:rPr>
          <w:b/>
          <w:spacing w:val="-3"/>
          <w:sz w:val="21"/>
        </w:rPr>
        <w:t>作为器官捐献者而实施的肾切除手术；</w:t>
      </w:r>
    </w:p>
    <w:p>
      <w:pPr>
        <w:pStyle w:val="ListParagraph"/>
        <w:numPr>
          <w:ilvl w:val="0"/>
          <w:numId w:val="83"/>
        </w:numPr>
        <w:tabs>
          <w:tab w:pos="3520" w:val="left" w:leader="none"/>
        </w:tabs>
        <w:spacing w:line="240" w:lineRule="auto" w:before="67" w:after="0"/>
        <w:ind w:left="3519" w:right="0" w:hanging="530"/>
        <w:jc w:val="left"/>
        <w:rPr>
          <w:b/>
          <w:sz w:val="21"/>
        </w:rPr>
      </w:pPr>
      <w:r>
        <w:rPr>
          <w:b/>
          <w:spacing w:val="-3"/>
          <w:sz w:val="21"/>
        </w:rPr>
        <w:t>因恶性肿瘤进行的肾切除手术。</w:t>
      </w:r>
    </w:p>
    <w:p>
      <w:pPr>
        <w:pStyle w:val="BodyText"/>
        <w:rPr>
          <w:b/>
          <w:sz w:val="20"/>
        </w:rPr>
      </w:pPr>
    </w:p>
    <w:p>
      <w:pPr>
        <w:pStyle w:val="BodyText"/>
        <w:spacing w:before="4"/>
        <w:rPr>
          <w:b/>
          <w:sz w:val="18"/>
        </w:rPr>
      </w:pPr>
    </w:p>
    <w:p>
      <w:pPr>
        <w:pStyle w:val="BodyText"/>
        <w:spacing w:line="300" w:lineRule="auto" w:before="1"/>
        <w:ind w:left="2990" w:right="1058" w:hanging="2766"/>
        <w:jc w:val="both"/>
      </w:pPr>
      <w:r>
        <w:rPr/>
        <w:t>（十八）肝叶切除</w:t>
      </w:r>
      <w:r>
        <w:rPr>
          <w:spacing w:val="932"/>
        </w:rPr>
        <w:t> </w:t>
      </w:r>
      <w:r>
        <w:rPr/>
        <w:t>指因疾病或意外伤害导致肝脏严重损害，已经实施了肝左叶切除手术或</w:t>
      </w:r>
      <w:r>
        <w:rPr>
          <w:spacing w:val="-2"/>
        </w:rPr>
        <w:t>肝右叶切除手术（备注：本定义是按肝脏的传统解剖分段法将肝脏分为</w:t>
      </w:r>
      <w:r>
        <w:rPr>
          <w:spacing w:val="-2"/>
        </w:rPr>
        <w:t>肝左叶和肝右叶）。</w:t>
      </w:r>
    </w:p>
    <w:p>
      <w:pPr>
        <w:spacing w:before="1"/>
        <w:ind w:left="2990" w:right="0" w:firstLine="0"/>
        <w:jc w:val="left"/>
        <w:rPr>
          <w:b/>
          <w:sz w:val="21"/>
        </w:rPr>
      </w:pPr>
      <w:r>
        <w:rPr>
          <w:b/>
          <w:spacing w:val="-3"/>
          <w:sz w:val="21"/>
        </w:rPr>
        <w:t>下列情况不在本保障范围内：</w:t>
      </w:r>
    </w:p>
    <w:p>
      <w:pPr>
        <w:spacing w:after="0"/>
        <w:jc w:val="left"/>
        <w:rPr>
          <w:sz w:val="21"/>
        </w:rPr>
        <w:sectPr>
          <w:pgSz w:w="11910" w:h="16840"/>
          <w:pgMar w:header="0" w:footer="857" w:top="1420" w:bottom="1180" w:left="1100" w:right="260"/>
        </w:sectPr>
      </w:pPr>
    </w:p>
    <w:p>
      <w:pPr>
        <w:pStyle w:val="ListParagraph"/>
        <w:numPr>
          <w:ilvl w:val="0"/>
          <w:numId w:val="84"/>
        </w:numPr>
        <w:tabs>
          <w:tab w:pos="3520" w:val="left" w:leader="none"/>
        </w:tabs>
        <w:spacing w:line="240" w:lineRule="auto" w:before="60" w:after="0"/>
        <w:ind w:left="3519" w:right="0" w:hanging="530"/>
        <w:jc w:val="left"/>
        <w:rPr>
          <w:b/>
          <w:sz w:val="21"/>
        </w:rPr>
      </w:pPr>
      <w:r>
        <w:rPr>
          <w:b/>
          <w:spacing w:val="-3"/>
          <w:sz w:val="21"/>
        </w:rPr>
        <w:t>肝区切除、肝段切除手术；</w:t>
      </w:r>
    </w:p>
    <w:p>
      <w:pPr>
        <w:pStyle w:val="ListParagraph"/>
        <w:numPr>
          <w:ilvl w:val="0"/>
          <w:numId w:val="84"/>
        </w:numPr>
        <w:tabs>
          <w:tab w:pos="3520" w:val="left" w:leader="none"/>
        </w:tabs>
        <w:spacing w:line="240" w:lineRule="auto" w:before="67" w:after="0"/>
        <w:ind w:left="3519" w:right="0" w:hanging="530"/>
        <w:jc w:val="left"/>
        <w:rPr>
          <w:b/>
          <w:sz w:val="21"/>
        </w:rPr>
      </w:pPr>
      <w:r>
        <w:rPr>
          <w:b/>
          <w:spacing w:val="-3"/>
          <w:sz w:val="21"/>
        </w:rPr>
        <w:t>因酒精或者滥用药物引致的疾病或者紊乱；</w:t>
      </w:r>
    </w:p>
    <w:p>
      <w:pPr>
        <w:pStyle w:val="ListParagraph"/>
        <w:numPr>
          <w:ilvl w:val="0"/>
          <w:numId w:val="84"/>
        </w:numPr>
        <w:tabs>
          <w:tab w:pos="3520" w:val="left" w:leader="none"/>
        </w:tabs>
        <w:spacing w:line="240" w:lineRule="auto" w:before="67" w:after="0"/>
        <w:ind w:left="3519" w:right="0" w:hanging="530"/>
        <w:jc w:val="left"/>
        <w:rPr>
          <w:b/>
          <w:sz w:val="21"/>
        </w:rPr>
      </w:pPr>
      <w:r>
        <w:rPr>
          <w:b/>
          <w:spacing w:val="-3"/>
          <w:sz w:val="21"/>
        </w:rPr>
        <w:t>作为器官捐献者而实施的肝切除手术；</w:t>
      </w:r>
    </w:p>
    <w:p>
      <w:pPr>
        <w:pStyle w:val="ListParagraph"/>
        <w:numPr>
          <w:ilvl w:val="0"/>
          <w:numId w:val="84"/>
        </w:numPr>
        <w:tabs>
          <w:tab w:pos="3520" w:val="left" w:leader="none"/>
        </w:tabs>
        <w:spacing w:line="240" w:lineRule="auto" w:before="67" w:after="0"/>
        <w:ind w:left="3519" w:right="0" w:hanging="530"/>
        <w:jc w:val="left"/>
        <w:rPr>
          <w:b/>
          <w:sz w:val="21"/>
        </w:rPr>
      </w:pPr>
      <w:r>
        <w:rPr>
          <w:b/>
          <w:spacing w:val="-3"/>
          <w:sz w:val="21"/>
        </w:rPr>
        <w:t>因恶性肿瘤进行的肝切除手术。</w:t>
      </w:r>
    </w:p>
    <w:p>
      <w:pPr>
        <w:pStyle w:val="BodyText"/>
        <w:rPr>
          <w:b/>
          <w:sz w:val="20"/>
        </w:rPr>
      </w:pPr>
    </w:p>
    <w:p>
      <w:pPr>
        <w:pStyle w:val="BodyText"/>
        <w:rPr>
          <w:b/>
          <w:sz w:val="18"/>
        </w:rPr>
      </w:pPr>
    </w:p>
    <w:p>
      <w:pPr>
        <w:pStyle w:val="BodyText"/>
        <w:spacing w:line="266" w:lineRule="auto"/>
        <w:ind w:left="2990" w:right="1064" w:hanging="2766"/>
      </w:pPr>
      <w:r>
        <w:rPr/>
        <w:t>（十九）双侧卵巢切除手术</w:t>
      </w:r>
      <w:r>
        <w:rPr>
          <w:spacing w:val="80"/>
          <w:w w:val="150"/>
        </w:rPr>
        <w:t> </w:t>
      </w:r>
      <w:r>
        <w:rPr>
          <w:position w:val="1"/>
        </w:rPr>
        <w:t>指为治疗疾病实际接受了经腹部切开或腹腔镜进行的双侧卵巢完全切</w:t>
      </w:r>
      <w:r>
        <w:rPr>
          <w:spacing w:val="-4"/>
        </w:rPr>
        <w:t>除手术。</w:t>
      </w:r>
    </w:p>
    <w:p>
      <w:pPr>
        <w:spacing w:before="27"/>
        <w:ind w:left="2990" w:right="0" w:firstLine="0"/>
        <w:jc w:val="left"/>
        <w:rPr>
          <w:b/>
          <w:sz w:val="21"/>
        </w:rPr>
      </w:pPr>
      <w:r>
        <w:rPr>
          <w:b/>
          <w:spacing w:val="-3"/>
          <w:sz w:val="21"/>
        </w:rPr>
        <w:t>下列情况不在本保障范围内：</w:t>
      </w:r>
    </w:p>
    <w:p>
      <w:pPr>
        <w:pStyle w:val="ListParagraph"/>
        <w:numPr>
          <w:ilvl w:val="0"/>
          <w:numId w:val="85"/>
        </w:numPr>
        <w:tabs>
          <w:tab w:pos="3520" w:val="left" w:leader="none"/>
        </w:tabs>
        <w:spacing w:line="240" w:lineRule="auto" w:before="67" w:after="0"/>
        <w:ind w:left="3519" w:right="0" w:hanging="530"/>
        <w:jc w:val="left"/>
        <w:rPr>
          <w:b/>
          <w:sz w:val="21"/>
        </w:rPr>
      </w:pPr>
      <w:r>
        <w:rPr>
          <w:b/>
          <w:spacing w:val="-2"/>
          <w:sz w:val="21"/>
        </w:rPr>
        <w:t>部分卵巢切除；</w:t>
      </w:r>
    </w:p>
    <w:p>
      <w:pPr>
        <w:pStyle w:val="ListParagraph"/>
        <w:numPr>
          <w:ilvl w:val="0"/>
          <w:numId w:val="85"/>
        </w:numPr>
        <w:tabs>
          <w:tab w:pos="3520" w:val="left" w:leader="none"/>
        </w:tabs>
        <w:spacing w:line="240" w:lineRule="auto" w:before="67" w:after="0"/>
        <w:ind w:left="3519" w:right="0" w:hanging="530"/>
        <w:jc w:val="left"/>
        <w:rPr>
          <w:b/>
          <w:sz w:val="21"/>
        </w:rPr>
      </w:pPr>
      <w:r>
        <w:rPr>
          <w:b/>
          <w:spacing w:val="-2"/>
          <w:sz w:val="21"/>
        </w:rPr>
        <w:t>预防性卵巢切除；</w:t>
      </w:r>
    </w:p>
    <w:p>
      <w:pPr>
        <w:pStyle w:val="ListParagraph"/>
        <w:numPr>
          <w:ilvl w:val="0"/>
          <w:numId w:val="85"/>
        </w:numPr>
        <w:tabs>
          <w:tab w:pos="3520" w:val="left" w:leader="none"/>
        </w:tabs>
        <w:spacing w:line="240" w:lineRule="auto" w:before="67" w:after="0"/>
        <w:ind w:left="3519" w:right="0" w:hanging="530"/>
        <w:jc w:val="left"/>
        <w:rPr>
          <w:b/>
          <w:sz w:val="21"/>
        </w:rPr>
      </w:pPr>
      <w:r>
        <w:rPr>
          <w:b/>
          <w:spacing w:val="-3"/>
          <w:sz w:val="21"/>
        </w:rPr>
        <w:t>因恶性肿瘤进行的卵巢切除术；</w:t>
      </w:r>
    </w:p>
    <w:p>
      <w:pPr>
        <w:pStyle w:val="ListParagraph"/>
        <w:numPr>
          <w:ilvl w:val="0"/>
          <w:numId w:val="85"/>
        </w:numPr>
        <w:tabs>
          <w:tab w:pos="3520" w:val="left" w:leader="none"/>
        </w:tabs>
        <w:spacing w:line="240" w:lineRule="auto" w:before="69" w:after="0"/>
        <w:ind w:left="3519" w:right="0" w:hanging="530"/>
        <w:jc w:val="left"/>
        <w:rPr>
          <w:b/>
          <w:sz w:val="21"/>
        </w:rPr>
      </w:pPr>
      <w:r>
        <w:rPr>
          <w:b/>
          <w:spacing w:val="-2"/>
          <w:sz w:val="21"/>
        </w:rPr>
        <w:t>变性手术。</w:t>
      </w:r>
    </w:p>
    <w:p>
      <w:pPr>
        <w:pStyle w:val="BodyText"/>
        <w:rPr>
          <w:b/>
          <w:sz w:val="20"/>
        </w:rPr>
      </w:pPr>
    </w:p>
    <w:p>
      <w:pPr>
        <w:spacing w:after="0"/>
        <w:rPr>
          <w:sz w:val="20"/>
        </w:rPr>
        <w:sectPr>
          <w:pgSz w:w="11910" w:h="16840"/>
          <w:pgMar w:header="0" w:footer="857" w:top="1420" w:bottom="1180" w:left="1100" w:right="260"/>
        </w:sectPr>
      </w:pPr>
    </w:p>
    <w:p>
      <w:pPr>
        <w:pStyle w:val="BodyText"/>
        <w:spacing w:before="7"/>
        <w:rPr>
          <w:b/>
          <w:sz w:val="18"/>
        </w:rPr>
      </w:pPr>
    </w:p>
    <w:p>
      <w:pPr>
        <w:pStyle w:val="BodyText"/>
        <w:spacing w:line="297" w:lineRule="auto" w:before="1"/>
        <w:ind w:left="225"/>
      </w:pPr>
      <w:r>
        <w:rPr>
          <w:spacing w:val="-2"/>
        </w:rPr>
        <w:t>（二十）因肾上腺皮质腺瘤</w:t>
      </w:r>
      <w:r>
        <w:rPr>
          <w:spacing w:val="-2"/>
        </w:rPr>
        <w:t>切除肾上腺</w:t>
      </w:r>
    </w:p>
    <w:p>
      <w:pPr>
        <w:spacing w:line="240" w:lineRule="auto" w:before="7"/>
        <w:rPr>
          <w:sz w:val="18"/>
        </w:rPr>
      </w:pPr>
      <w:r>
        <w:rPr/>
        <w:br w:type="column"/>
      </w:r>
      <w:r>
        <w:rPr>
          <w:sz w:val="18"/>
        </w:rPr>
      </w:r>
    </w:p>
    <w:p>
      <w:pPr>
        <w:spacing w:line="300" w:lineRule="auto" w:before="1"/>
        <w:ind w:left="177" w:right="1058" w:firstLine="0"/>
        <w:jc w:val="both"/>
        <w:rPr>
          <w:b/>
          <w:sz w:val="21"/>
        </w:rPr>
      </w:pPr>
      <w:r>
        <w:rPr>
          <w:spacing w:val="3"/>
          <w:w w:val="100"/>
          <w:sz w:val="21"/>
        </w:rPr>
        <w:t>因肾上腺皮质腺瘤所导致的醛固酮分泌过多而产生的继发性恶性高血</w:t>
      </w:r>
      <w:r>
        <w:rPr>
          <w:spacing w:val="-5"/>
          <w:w w:val="100"/>
          <w:sz w:val="21"/>
        </w:rPr>
        <w:t>压而实际接受了肾上腺切除术治疗。</w:t>
      </w:r>
      <w:r>
        <w:rPr>
          <w:b/>
          <w:spacing w:val="-2"/>
          <w:w w:val="100"/>
          <w:sz w:val="21"/>
        </w:rPr>
        <w:t>诊断及治疗均须在我们认可的医院内由专科医生认为是医疗必需的情况下进行。</w:t>
      </w:r>
    </w:p>
    <w:p>
      <w:pPr>
        <w:spacing w:after="0" w:line="300" w:lineRule="auto"/>
        <w:jc w:val="both"/>
        <w:rPr>
          <w:sz w:val="21"/>
        </w:rPr>
        <w:sectPr>
          <w:type w:val="continuous"/>
          <w:pgSz w:w="11910" w:h="16840"/>
          <w:pgMar w:header="0" w:footer="857" w:top="320" w:bottom="1040" w:left="1100" w:right="260"/>
          <w:cols w:num="2" w:equalWidth="0">
            <w:col w:w="2773" w:space="40"/>
            <w:col w:w="7737"/>
          </w:cols>
        </w:sectPr>
      </w:pPr>
    </w:p>
    <w:p>
      <w:pPr>
        <w:pStyle w:val="BodyText"/>
        <w:spacing w:before="6"/>
        <w:rPr>
          <w:b/>
          <w:sz w:val="27"/>
        </w:rPr>
      </w:pPr>
    </w:p>
    <w:p>
      <w:pPr>
        <w:pStyle w:val="BodyText"/>
        <w:spacing w:line="300" w:lineRule="auto" w:before="72"/>
        <w:ind w:left="2990" w:right="1058" w:hanging="2766"/>
        <w:jc w:val="both"/>
      </w:pPr>
      <w:r>
        <w:rPr/>
        <w:t>（二十一）出血性登革热 出血性登革热须出现全部四种症状，包括发高烧、出血现象、肝肿大和</w:t>
      </w:r>
      <w:r>
        <w:rPr>
          <w:w w:val="95"/>
        </w:rPr>
        <w:t>循</w:t>
      </w:r>
      <w:r>
        <w:rPr>
          <w:w w:val="95"/>
        </w:rPr>
        <w:t>环</w:t>
      </w:r>
      <w:r>
        <w:rPr>
          <w:w w:val="95"/>
        </w:rPr>
        <w:t>衰竭（登革热休克综</w:t>
      </w:r>
      <w:r>
        <w:rPr>
          <w:w w:val="95"/>
        </w:rPr>
        <w:t>合</w:t>
      </w:r>
      <w:r>
        <w:rPr>
          <w:w w:val="95"/>
        </w:rPr>
        <w:t>症</w:t>
      </w:r>
      <w:r>
        <w:rPr>
          <w:w w:val="95"/>
        </w:rPr>
        <w:t>即</w:t>
      </w:r>
      <w:r>
        <w:rPr>
          <w:w w:val="95"/>
        </w:rPr>
        <w:t>符</w:t>
      </w:r>
      <w:r>
        <w:rPr>
          <w:w w:val="95"/>
        </w:rPr>
        <w:t>合</w:t>
      </w:r>
      <w:r>
        <w:rPr>
          <w:spacing w:val="35"/>
        </w:rPr>
        <w:t> </w:t>
      </w:r>
      <w:r>
        <w:rPr>
          <w:w w:val="95"/>
        </w:rPr>
        <w:t>WHO</w:t>
      </w:r>
      <w:r>
        <w:rPr/>
        <w:t> </w:t>
      </w:r>
      <w:r>
        <w:rPr>
          <w:w w:val="95"/>
        </w:rPr>
        <w:t>登革热第Ⅲ</w:t>
      </w:r>
      <w:r>
        <w:rPr>
          <w:w w:val="95"/>
        </w:rPr>
        <w:t>级</w:t>
      </w:r>
      <w:r>
        <w:rPr>
          <w:w w:val="95"/>
        </w:rPr>
        <w:t>及第Ⅳ级）。</w:t>
      </w:r>
      <w:r>
        <w:rPr>
          <w:w w:val="95"/>
        </w:rPr>
        <w:t>出</w:t>
      </w:r>
      <w:r>
        <w:rPr>
          <w:spacing w:val="-2"/>
        </w:rPr>
        <w:t>血性登革热的诊断必须由我们认可的医院的专科医生证实。</w:t>
      </w:r>
    </w:p>
    <w:p>
      <w:pPr>
        <w:spacing w:before="1"/>
        <w:ind w:left="2990" w:right="0" w:firstLine="0"/>
        <w:jc w:val="left"/>
        <w:rPr>
          <w:b/>
          <w:sz w:val="21"/>
        </w:rPr>
      </w:pPr>
      <w:r>
        <w:rPr>
          <w:b/>
          <w:spacing w:val="-3"/>
          <w:sz w:val="21"/>
        </w:rPr>
        <w:t>非出血性登革热不在本保障范围内。</w:t>
      </w:r>
    </w:p>
    <w:p>
      <w:pPr>
        <w:pStyle w:val="BodyText"/>
        <w:rPr>
          <w:b/>
          <w:sz w:val="20"/>
        </w:rPr>
      </w:pPr>
    </w:p>
    <w:p>
      <w:pPr>
        <w:pStyle w:val="BodyText"/>
        <w:spacing w:before="5"/>
        <w:rPr>
          <w:b/>
          <w:sz w:val="18"/>
        </w:rPr>
      </w:pPr>
    </w:p>
    <w:p>
      <w:pPr>
        <w:pStyle w:val="BodyText"/>
        <w:spacing w:line="297" w:lineRule="auto"/>
        <w:ind w:left="2990" w:right="1058" w:hanging="2766"/>
      </w:pPr>
      <w:r>
        <w:rPr/>
        <w:t>（二十二）乙状结肠造瘘术 因疾病或者意外伤害导致已经接受了乙状结肠造瘘术，术后使用永久性</w:t>
      </w:r>
      <w:r>
        <w:rPr>
          <w:spacing w:val="-3"/>
        </w:rPr>
        <w:t>人工肛门至少经过了 </w:t>
      </w:r>
      <w:r>
        <w:rPr/>
        <w:t>180</w:t>
      </w:r>
      <w:r>
        <w:rPr>
          <w:spacing w:val="-9"/>
        </w:rPr>
        <w:t> 天。</w:t>
      </w:r>
    </w:p>
    <w:p>
      <w:pPr>
        <w:spacing w:before="3"/>
        <w:ind w:left="2990" w:right="0" w:firstLine="0"/>
        <w:jc w:val="left"/>
        <w:rPr>
          <w:sz w:val="21"/>
        </w:rPr>
      </w:pPr>
      <w:r>
        <w:rPr>
          <w:b/>
          <w:spacing w:val="-2"/>
          <w:sz w:val="21"/>
        </w:rPr>
        <w:t>暂时性人工肛门不在本保障范围内</w:t>
      </w:r>
      <w:r>
        <w:rPr>
          <w:spacing w:val="-10"/>
          <w:sz w:val="21"/>
        </w:rPr>
        <w:t>。</w:t>
      </w:r>
    </w:p>
    <w:p>
      <w:pPr>
        <w:pStyle w:val="BodyText"/>
        <w:rPr>
          <w:sz w:val="20"/>
        </w:rPr>
      </w:pPr>
    </w:p>
    <w:p>
      <w:pPr>
        <w:pStyle w:val="BodyText"/>
        <w:spacing w:before="4"/>
        <w:rPr>
          <w:sz w:val="18"/>
        </w:rPr>
      </w:pPr>
    </w:p>
    <w:p>
      <w:pPr>
        <w:tabs>
          <w:tab w:pos="2990" w:val="left" w:leader="none"/>
        </w:tabs>
        <w:spacing w:line="300" w:lineRule="auto" w:before="0"/>
        <w:ind w:left="2990" w:right="1060" w:hanging="2766"/>
        <w:jc w:val="left"/>
        <w:rPr>
          <w:b/>
          <w:sz w:val="21"/>
        </w:rPr>
      </w:pPr>
      <w:r>
        <w:rPr>
          <w:spacing w:val="-2"/>
          <w:sz w:val="21"/>
        </w:rPr>
        <w:t>（</w:t>
      </w:r>
      <w:r>
        <w:rPr>
          <w:spacing w:val="-2"/>
          <w:sz w:val="21"/>
        </w:rPr>
        <w:t>二</w:t>
      </w:r>
      <w:r>
        <w:rPr>
          <w:spacing w:val="-2"/>
          <w:sz w:val="21"/>
        </w:rPr>
        <w:t>十三）轻度面部</w:t>
      </w:r>
      <w:r>
        <w:rPr>
          <w:spacing w:val="-2"/>
          <w:sz w:val="21"/>
        </w:rPr>
        <w:t>烧</w:t>
      </w:r>
      <w:r>
        <w:rPr>
          <w:spacing w:val="-2"/>
          <w:sz w:val="21"/>
        </w:rPr>
        <w:t>伤</w:t>
      </w:r>
      <w:r>
        <w:rPr>
          <w:sz w:val="21"/>
        </w:rPr>
        <w:tab/>
        <w:t>指烧伤程度为Ⅲ度</w:t>
      </w:r>
      <w:r>
        <w:rPr>
          <w:spacing w:val="-108"/>
          <w:sz w:val="21"/>
        </w:rPr>
        <w:t>，</w:t>
      </w:r>
      <w:r>
        <w:rPr>
          <w:sz w:val="21"/>
        </w:rPr>
        <w:t>且Ⅲ</w:t>
      </w:r>
      <w:r>
        <w:rPr>
          <w:sz w:val="21"/>
        </w:rPr>
        <w:t>度</w:t>
      </w:r>
      <w:r>
        <w:rPr>
          <w:sz w:val="21"/>
        </w:rPr>
        <w:t>烧伤的面积达到面部表面</w:t>
      </w:r>
      <w:r>
        <w:rPr>
          <w:sz w:val="21"/>
        </w:rPr>
        <w:t>积的</w:t>
      </w:r>
      <w:r>
        <w:rPr>
          <w:spacing w:val="-64"/>
          <w:sz w:val="21"/>
        </w:rPr>
        <w:t> </w:t>
      </w:r>
      <w:r>
        <w:rPr>
          <w:sz w:val="21"/>
        </w:rPr>
        <w:t>30％</w:t>
      </w:r>
      <w:r>
        <w:rPr>
          <w:sz w:val="21"/>
        </w:rPr>
        <w:t>或</w:t>
      </w:r>
      <w:r>
        <w:rPr>
          <w:sz w:val="21"/>
        </w:rPr>
        <w:t>者</w:t>
      </w:r>
      <w:r>
        <w:rPr>
          <w:spacing w:val="-62"/>
          <w:sz w:val="21"/>
        </w:rPr>
        <w:t> </w:t>
      </w:r>
      <w:r>
        <w:rPr>
          <w:sz w:val="21"/>
        </w:rPr>
        <w:t>30％</w:t>
      </w:r>
      <w:r>
        <w:rPr>
          <w:spacing w:val="-2"/>
          <w:sz w:val="21"/>
        </w:rPr>
        <w:t>以</w:t>
      </w:r>
      <w:r>
        <w:rPr>
          <w:spacing w:val="-2"/>
          <w:sz w:val="21"/>
        </w:rPr>
        <w:t>上</w:t>
      </w:r>
      <w:r>
        <w:rPr>
          <w:spacing w:val="-2"/>
          <w:sz w:val="21"/>
        </w:rPr>
        <w:t>，</w:t>
      </w:r>
      <w:r>
        <w:rPr>
          <w:b/>
          <w:spacing w:val="-2"/>
          <w:sz w:val="21"/>
        </w:rPr>
        <w:t>但</w:t>
      </w:r>
      <w:r>
        <w:rPr>
          <w:b/>
          <w:spacing w:val="-2"/>
          <w:sz w:val="21"/>
        </w:rPr>
        <w:t>未</w:t>
      </w:r>
      <w:r>
        <w:rPr>
          <w:b/>
          <w:spacing w:val="-2"/>
          <w:sz w:val="21"/>
        </w:rPr>
        <w:t>达</w:t>
      </w:r>
      <w:r>
        <w:rPr>
          <w:b/>
          <w:spacing w:val="-2"/>
          <w:sz w:val="21"/>
        </w:rPr>
        <w:t>到</w:t>
      </w:r>
      <w:r>
        <w:rPr>
          <w:b/>
          <w:spacing w:val="-2"/>
          <w:sz w:val="21"/>
        </w:rPr>
        <w:t>本</w:t>
      </w:r>
      <w:r>
        <w:rPr>
          <w:b/>
          <w:spacing w:val="-2"/>
          <w:sz w:val="21"/>
        </w:rPr>
        <w:t>合同所</w:t>
      </w:r>
      <w:r>
        <w:rPr>
          <w:b/>
          <w:spacing w:val="-2"/>
          <w:sz w:val="21"/>
        </w:rPr>
        <w:t>指</w:t>
      </w:r>
      <w:r>
        <w:rPr>
          <w:b/>
          <w:spacing w:val="-2"/>
          <w:sz w:val="21"/>
        </w:rPr>
        <w:t>重</w:t>
      </w:r>
      <w:r>
        <w:rPr>
          <w:b/>
          <w:spacing w:val="-2"/>
          <w:sz w:val="21"/>
        </w:rPr>
        <w:t>度</w:t>
      </w:r>
      <w:r>
        <w:rPr>
          <w:b/>
          <w:spacing w:val="-2"/>
          <w:sz w:val="21"/>
        </w:rPr>
        <w:t>疾</w:t>
      </w:r>
      <w:r>
        <w:rPr>
          <w:b/>
          <w:spacing w:val="-2"/>
          <w:sz w:val="21"/>
        </w:rPr>
        <w:t>病</w:t>
      </w:r>
      <w:r>
        <w:rPr>
          <w:b/>
          <w:spacing w:val="-2"/>
          <w:sz w:val="21"/>
        </w:rPr>
        <w:t>“</w:t>
      </w:r>
      <w:r>
        <w:rPr>
          <w:b/>
          <w:spacing w:val="-2"/>
          <w:sz w:val="21"/>
        </w:rPr>
        <w:t>严</w:t>
      </w:r>
      <w:r>
        <w:rPr>
          <w:b/>
          <w:spacing w:val="-2"/>
          <w:sz w:val="21"/>
        </w:rPr>
        <w:t>重</w:t>
      </w:r>
      <w:r>
        <w:rPr>
          <w:b/>
          <w:spacing w:val="-2"/>
          <w:sz w:val="21"/>
        </w:rPr>
        <w:t>面部烧</w:t>
      </w:r>
      <w:r>
        <w:rPr>
          <w:b/>
          <w:spacing w:val="-2"/>
          <w:sz w:val="21"/>
        </w:rPr>
        <w:t>伤</w:t>
      </w:r>
      <w:r>
        <w:rPr>
          <w:b/>
          <w:spacing w:val="-2"/>
          <w:sz w:val="21"/>
        </w:rPr>
        <w:t>”</w:t>
      </w:r>
      <w:r>
        <w:rPr>
          <w:b/>
          <w:spacing w:val="-2"/>
          <w:sz w:val="21"/>
        </w:rPr>
        <w:t>的</w:t>
      </w:r>
      <w:r>
        <w:rPr>
          <w:b/>
          <w:spacing w:val="-2"/>
          <w:sz w:val="21"/>
        </w:rPr>
        <w:t>给</w:t>
      </w:r>
      <w:r>
        <w:rPr>
          <w:b/>
          <w:spacing w:val="-2"/>
          <w:sz w:val="21"/>
        </w:rPr>
        <w:t>付</w:t>
      </w:r>
      <w:r>
        <w:rPr>
          <w:b/>
          <w:spacing w:val="-2"/>
          <w:sz w:val="21"/>
        </w:rPr>
        <w:t>标</w:t>
      </w:r>
      <w:r>
        <w:rPr>
          <w:b/>
          <w:spacing w:val="-2"/>
          <w:sz w:val="21"/>
        </w:rPr>
        <w:t>准</w:t>
      </w:r>
      <w:r>
        <w:rPr>
          <w:b/>
          <w:spacing w:val="-2"/>
          <w:sz w:val="21"/>
        </w:rPr>
        <w:t>。</w:t>
      </w:r>
    </w:p>
    <w:p>
      <w:pPr>
        <w:pStyle w:val="BodyText"/>
        <w:rPr>
          <w:b/>
          <w:sz w:val="20"/>
        </w:rPr>
      </w:pP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7"/>
        <w:rPr>
          <w:b/>
          <w:sz w:val="19"/>
        </w:rPr>
      </w:pPr>
    </w:p>
    <w:p>
      <w:pPr>
        <w:pStyle w:val="BodyText"/>
        <w:spacing w:line="297" w:lineRule="auto" w:before="1"/>
        <w:ind w:left="225"/>
      </w:pPr>
      <w:r>
        <w:rPr>
          <w:spacing w:val="-2"/>
        </w:rPr>
        <w:t>（二十四）于颈动脉进行血</w:t>
      </w:r>
      <w:r>
        <w:rPr>
          <w:spacing w:val="-2"/>
        </w:rPr>
        <w:t>管成形术或内膜切除术</w:t>
      </w:r>
    </w:p>
    <w:p>
      <w:pPr>
        <w:spacing w:line="240" w:lineRule="auto" w:before="7"/>
        <w:rPr>
          <w:sz w:val="19"/>
        </w:rPr>
      </w:pPr>
      <w:r>
        <w:rPr/>
        <w:br w:type="column"/>
      </w:r>
      <w:r>
        <w:rPr>
          <w:sz w:val="19"/>
        </w:rPr>
      </w:r>
    </w:p>
    <w:p>
      <w:pPr>
        <w:pStyle w:val="BodyText"/>
        <w:spacing w:line="300" w:lineRule="auto" w:before="1"/>
        <w:ind w:left="178" w:right="1058"/>
        <w:jc w:val="both"/>
      </w:pPr>
      <w:r>
        <w:rPr>
          <w:spacing w:val="-5"/>
          <w:w w:val="100"/>
        </w:rPr>
        <w:t>指根据颈动脉造影检查结果，确诊一条或以上颈动脉存在严重狭窄性病</w:t>
      </w:r>
      <w:r>
        <w:rPr>
          <w:spacing w:val="-36"/>
          <w:w w:val="100"/>
        </w:rPr>
        <w:t>变</w:t>
      </w:r>
      <w:r>
        <w:rPr>
          <w:spacing w:val="-3"/>
          <w:w w:val="100"/>
        </w:rPr>
        <w:t>（至少一支血管管腔直径减少</w:t>
      </w:r>
      <w:r>
        <w:rPr>
          <w:spacing w:val="-53"/>
        </w:rPr>
        <w:t> </w:t>
      </w:r>
      <w:r>
        <w:rPr>
          <w:w w:val="100"/>
        </w:rPr>
        <w:t>50</w:t>
      </w:r>
      <w:r>
        <w:rPr>
          <w:spacing w:val="-3"/>
          <w:w w:val="100"/>
        </w:rPr>
        <w:t>%以上</w:t>
      </w:r>
      <w:r>
        <w:rPr>
          <w:spacing w:val="-106"/>
          <w:w w:val="100"/>
        </w:rPr>
        <w:t>）</w:t>
      </w:r>
      <w:r>
        <w:rPr>
          <w:spacing w:val="-8"/>
          <w:w w:val="100"/>
        </w:rPr>
        <w:t>。本病须经国家机关认可的有</w:t>
      </w:r>
      <w:r>
        <w:rPr>
          <w:spacing w:val="3"/>
          <w:w w:val="100"/>
        </w:rPr>
        <w:t>合法资质的专科医生明确诊断，同时必须已经采取以下手术以减轻症状：</w:t>
      </w:r>
    </w:p>
    <w:p>
      <w:pPr>
        <w:pStyle w:val="ListParagraph"/>
        <w:numPr>
          <w:ilvl w:val="0"/>
          <w:numId w:val="86"/>
        </w:numPr>
        <w:tabs>
          <w:tab w:pos="708" w:val="left" w:leader="none"/>
        </w:tabs>
        <w:spacing w:line="240" w:lineRule="auto" w:before="1" w:after="0"/>
        <w:ind w:left="707" w:right="0" w:hanging="530"/>
        <w:jc w:val="left"/>
        <w:rPr>
          <w:sz w:val="21"/>
        </w:rPr>
      </w:pPr>
      <w:r>
        <w:rPr>
          <w:spacing w:val="-3"/>
          <w:sz w:val="21"/>
        </w:rPr>
        <w:t>确实进行动脉内膜切除术；或</w:t>
      </w:r>
    </w:p>
    <w:p>
      <w:pPr>
        <w:pStyle w:val="ListParagraph"/>
        <w:numPr>
          <w:ilvl w:val="0"/>
          <w:numId w:val="86"/>
        </w:numPr>
        <w:tabs>
          <w:tab w:pos="708" w:val="left" w:leader="none"/>
        </w:tabs>
        <w:spacing w:line="300" w:lineRule="auto" w:before="69" w:after="0"/>
        <w:ind w:left="178" w:right="1061" w:firstLine="0"/>
        <w:jc w:val="left"/>
        <w:rPr>
          <w:sz w:val="21"/>
        </w:rPr>
      </w:pPr>
      <w:r>
        <w:rPr>
          <w:spacing w:val="-2"/>
          <w:sz w:val="21"/>
        </w:rPr>
        <w:t>确实进行血管介入治疗，例如血管成形术及/或进行植入支架或动</w:t>
      </w:r>
      <w:r>
        <w:rPr>
          <w:spacing w:val="-2"/>
          <w:sz w:val="21"/>
        </w:rPr>
        <w:t>脉粥样瘤清除手术。</w:t>
      </w:r>
    </w:p>
    <w:p>
      <w:pPr>
        <w:spacing w:after="0" w:line="300" w:lineRule="auto"/>
        <w:jc w:val="left"/>
        <w:rPr>
          <w:sz w:val="21"/>
        </w:rPr>
        <w:sectPr>
          <w:type w:val="continuous"/>
          <w:pgSz w:w="11910" w:h="16840"/>
          <w:pgMar w:header="0" w:footer="857" w:top="320" w:bottom="1040" w:left="1100" w:right="260"/>
          <w:cols w:num="2" w:equalWidth="0">
            <w:col w:w="2773" w:space="40"/>
            <w:col w:w="7737"/>
          </w:cols>
        </w:sectPr>
      </w:pPr>
    </w:p>
    <w:p>
      <w:pPr>
        <w:pStyle w:val="BodyText"/>
        <w:spacing w:before="9"/>
        <w:rPr>
          <w:sz w:val="27"/>
        </w:rPr>
      </w:pPr>
    </w:p>
    <w:p>
      <w:pPr>
        <w:pStyle w:val="BodyText"/>
        <w:spacing w:before="72"/>
        <w:ind w:left="225"/>
      </w:pPr>
      <w:r>
        <w:rPr/>
        <w:t>（二十五）</w:t>
      </w:r>
      <w:r>
        <w:rPr>
          <w:spacing w:val="-1"/>
        </w:rPr>
        <w:t>急性出血坏死性  指被保险人被确诊为急性坏死性胰腺炎，并实际接受了腹腔镜手术治</w:t>
      </w:r>
    </w:p>
    <w:p>
      <w:pPr>
        <w:spacing w:after="0"/>
        <w:sectPr>
          <w:type w:val="continuous"/>
          <w:pgSz w:w="11910" w:h="16840"/>
          <w:pgMar w:header="0" w:footer="857" w:top="320" w:bottom="1040" w:left="1100" w:right="260"/>
        </w:sectPr>
      </w:pPr>
    </w:p>
    <w:p>
      <w:pPr>
        <w:pStyle w:val="BodyText"/>
        <w:tabs>
          <w:tab w:pos="2990" w:val="left" w:leader="none"/>
        </w:tabs>
        <w:spacing w:before="60"/>
        <w:ind w:left="225"/>
      </w:pPr>
      <w:r>
        <w:rPr>
          <w:spacing w:val="-2"/>
        </w:rPr>
        <w:t>胰</w:t>
      </w:r>
      <w:r>
        <w:rPr>
          <w:spacing w:val="-2"/>
        </w:rPr>
        <w:t>腺</w:t>
      </w:r>
      <w:r>
        <w:rPr>
          <w:spacing w:val="-2"/>
        </w:rPr>
        <w:t>炎腹腔镜手</w:t>
      </w:r>
      <w:r>
        <w:rPr>
          <w:spacing w:val="-10"/>
        </w:rPr>
        <w:t>术</w:t>
      </w:r>
      <w:r>
        <w:rPr/>
        <w:tab/>
      </w:r>
      <w:r>
        <w:rPr>
          <w:spacing w:val="-2"/>
        </w:rPr>
        <w:t>疗</w:t>
      </w:r>
      <w:r>
        <w:rPr>
          <w:spacing w:val="-2"/>
        </w:rPr>
        <w:t>，以进行坏死组织清除</w:t>
      </w:r>
      <w:r>
        <w:rPr>
          <w:spacing w:val="-2"/>
        </w:rPr>
        <w:t>、</w:t>
      </w:r>
      <w:r>
        <w:rPr>
          <w:spacing w:val="-2"/>
        </w:rPr>
        <w:t>坏</w:t>
      </w:r>
      <w:r>
        <w:rPr>
          <w:spacing w:val="-2"/>
        </w:rPr>
        <w:t>死病灶切除或胰腺切</w:t>
      </w:r>
      <w:r>
        <w:rPr>
          <w:spacing w:val="-2"/>
        </w:rPr>
        <w:t>除</w:t>
      </w:r>
      <w:r>
        <w:rPr>
          <w:spacing w:val="-10"/>
        </w:rPr>
        <w:t>。</w:t>
      </w:r>
    </w:p>
    <w:p>
      <w:pPr>
        <w:spacing w:before="67"/>
        <w:ind w:left="2990" w:right="0" w:firstLine="0"/>
        <w:jc w:val="left"/>
        <w:rPr>
          <w:b/>
          <w:sz w:val="21"/>
        </w:rPr>
      </w:pPr>
      <w:r>
        <w:rPr>
          <w:b/>
          <w:spacing w:val="-3"/>
          <w:sz w:val="21"/>
        </w:rPr>
        <w:t>因酗酒或饮酒过量所致的急性坏死性胰腺炎不在本保障范围内。</w:t>
      </w:r>
    </w:p>
    <w:p>
      <w:pPr>
        <w:pStyle w:val="BodyText"/>
        <w:rPr>
          <w:b/>
          <w:sz w:val="20"/>
        </w:rPr>
      </w:pPr>
    </w:p>
    <w:p>
      <w:pPr>
        <w:spacing w:after="0"/>
        <w:rPr>
          <w:sz w:val="20"/>
        </w:rPr>
        <w:sectPr>
          <w:pgSz w:w="11910" w:h="16840"/>
          <w:pgMar w:header="0" w:footer="857" w:top="1420" w:bottom="1180" w:left="1100" w:right="260"/>
        </w:sectPr>
      </w:pPr>
    </w:p>
    <w:p>
      <w:pPr>
        <w:pStyle w:val="BodyText"/>
        <w:spacing w:before="5"/>
        <w:rPr>
          <w:b/>
          <w:sz w:val="18"/>
        </w:rPr>
      </w:pPr>
    </w:p>
    <w:p>
      <w:pPr>
        <w:pStyle w:val="BodyText"/>
        <w:spacing w:line="297" w:lineRule="auto"/>
        <w:ind w:left="225"/>
      </w:pPr>
      <w:r>
        <w:rPr>
          <w:spacing w:val="-2"/>
        </w:rPr>
        <w:t>（二十六）糖尿病并发症引</w:t>
      </w:r>
      <w:r>
        <w:rPr>
          <w:spacing w:val="-2"/>
        </w:rPr>
        <w:t>致的单足截除</w:t>
      </w:r>
    </w:p>
    <w:p>
      <w:pPr>
        <w:spacing w:line="240" w:lineRule="auto" w:before="5"/>
        <w:rPr>
          <w:sz w:val="18"/>
        </w:rPr>
      </w:pPr>
      <w:r>
        <w:rPr/>
        <w:br w:type="column"/>
      </w:r>
      <w:r>
        <w:rPr>
          <w:sz w:val="18"/>
        </w:rPr>
      </w:r>
    </w:p>
    <w:p>
      <w:pPr>
        <w:pStyle w:val="BodyText"/>
        <w:spacing w:line="300" w:lineRule="auto"/>
        <w:ind w:left="178" w:right="1058"/>
        <w:jc w:val="both"/>
      </w:pPr>
      <w:r>
        <w:rPr>
          <w:spacing w:val="-2"/>
        </w:rPr>
        <w:t>因糖尿病引起的神经及血管病变累及足部，为了维持生命在我们认可的</w:t>
      </w:r>
      <w:r>
        <w:rPr>
          <w:spacing w:val="-2"/>
        </w:rPr>
        <w:t>医院内已经进行了医疗必需的由足踝或以上位置的单足截除手术。手术</w:t>
      </w:r>
      <w:r>
        <w:rPr>
          <w:spacing w:val="-2"/>
        </w:rPr>
        <w:t>须在我们认可的医院的专科医生认为是医疗必需的情况下进行。</w:t>
      </w:r>
    </w:p>
    <w:p>
      <w:pPr>
        <w:spacing w:before="2"/>
        <w:ind w:left="178" w:right="0" w:firstLine="0"/>
        <w:jc w:val="left"/>
        <w:rPr>
          <w:b/>
          <w:sz w:val="21"/>
        </w:rPr>
      </w:pPr>
      <w:r>
        <w:rPr>
          <w:b/>
          <w:spacing w:val="-3"/>
          <w:sz w:val="21"/>
        </w:rPr>
        <w:t>切除多只脚趾或因任何其他原因引起的截除术不在本保障范围内。</w:t>
      </w:r>
    </w:p>
    <w:p>
      <w:pPr>
        <w:spacing w:after="0"/>
        <w:jc w:val="left"/>
        <w:rPr>
          <w:sz w:val="21"/>
        </w:rPr>
        <w:sectPr>
          <w:type w:val="continuous"/>
          <w:pgSz w:w="11910" w:h="16840"/>
          <w:pgMar w:header="0" w:footer="857" w:top="320" w:bottom="1040" w:left="1100" w:right="260"/>
          <w:cols w:num="2" w:equalWidth="0">
            <w:col w:w="2773" w:space="40"/>
            <w:col w:w="7737"/>
          </w:cols>
        </w:sectPr>
      </w:pPr>
    </w:p>
    <w:p>
      <w:pPr>
        <w:pStyle w:val="BodyText"/>
        <w:rPr>
          <w:b/>
          <w:sz w:val="20"/>
        </w:rPr>
      </w:pPr>
    </w:p>
    <w:p>
      <w:pPr>
        <w:pStyle w:val="BodyText"/>
        <w:spacing w:before="7"/>
        <w:rPr>
          <w:b/>
          <w:sz w:val="18"/>
        </w:rPr>
      </w:pPr>
    </w:p>
    <w:p>
      <w:pPr>
        <w:pStyle w:val="BodyText"/>
        <w:spacing w:line="300" w:lineRule="auto"/>
        <w:ind w:left="2990" w:right="1041" w:hanging="2766"/>
        <w:jc w:val="both"/>
        <w:rPr>
          <w:b/>
        </w:rPr>
      </w:pPr>
      <w:r>
        <w:rPr/>
        <w:t>（二十七）单耳失聪</w:t>
      </w:r>
      <w:r>
        <w:rPr>
          <w:spacing w:val="687"/>
        </w:rPr>
        <w:t> </w:t>
      </w:r>
      <w:r>
        <w:rPr>
          <w:spacing w:val="-1"/>
        </w:rPr>
        <w:t>指因疾病或者意外伤害导致单耳听力永久不可逆性丧失，在 </w:t>
      </w:r>
      <w:r>
        <w:rPr/>
        <w:t>500</w:t>
      </w:r>
      <w:r>
        <w:rPr>
          <w:spacing w:val="-7"/>
        </w:rPr>
        <w:t> 赫兹、</w:t>
      </w:r>
      <w:r>
        <w:rPr/>
        <w:t> </w:t>
      </w:r>
      <w:r>
        <w:rPr>
          <w:w w:val="95"/>
        </w:rPr>
        <w:t>1000</w:t>
      </w:r>
      <w:r>
        <w:rPr>
          <w:spacing w:val="-2"/>
          <w:w w:val="95"/>
        </w:rPr>
        <w:t> 赫兹和 </w:t>
      </w:r>
      <w:r>
        <w:rPr>
          <w:w w:val="95"/>
        </w:rPr>
        <w:t>2000</w:t>
      </w:r>
      <w:r>
        <w:rPr>
          <w:spacing w:val="-1"/>
          <w:w w:val="95"/>
        </w:rPr>
        <w:t> 赫兹语</w:t>
      </w:r>
      <w:r>
        <w:rPr>
          <w:w w:val="95"/>
        </w:rPr>
        <w:t>音</w:t>
      </w:r>
      <w:r>
        <w:rPr>
          <w:w w:val="95"/>
        </w:rPr>
        <w:t>频</w:t>
      </w:r>
      <w:r>
        <w:rPr>
          <w:w w:val="95"/>
        </w:rPr>
        <w:t>率</w:t>
      </w:r>
      <w:r>
        <w:rPr>
          <w:w w:val="95"/>
        </w:rPr>
        <w:t>下</w:t>
      </w:r>
      <w:r>
        <w:rPr>
          <w:w w:val="95"/>
        </w:rPr>
        <w:t>，平均听阈</w:t>
      </w:r>
      <w:r>
        <w:rPr>
          <w:w w:val="95"/>
        </w:rPr>
        <w:t>大</w:t>
      </w:r>
      <w:r>
        <w:rPr>
          <w:w w:val="95"/>
        </w:rPr>
        <w:t>于</w:t>
      </w:r>
      <w:r>
        <w:rPr>
          <w:w w:val="95"/>
        </w:rPr>
        <w:t>等</w:t>
      </w:r>
      <w:r>
        <w:rPr>
          <w:w w:val="95"/>
        </w:rPr>
        <w:t>于</w:t>
      </w:r>
      <w:r>
        <w:rPr>
          <w:w w:val="95"/>
        </w:rPr>
        <w:t> 91</w:t>
      </w:r>
      <w:r>
        <w:rPr>
          <w:spacing w:val="-1"/>
          <w:w w:val="95"/>
        </w:rPr>
        <w:t> 分贝，且经</w:t>
      </w:r>
      <w:r>
        <w:rPr>
          <w:w w:val="95"/>
        </w:rPr>
        <w:t>纯</w:t>
      </w:r>
      <w:r>
        <w:rPr>
          <w:spacing w:val="-2"/>
        </w:rPr>
        <w:t>音听力测试、声导抗检测或者听觉诱发电位检测等证实，</w:t>
      </w:r>
      <w:r>
        <w:rPr>
          <w:b/>
          <w:spacing w:val="-2"/>
        </w:rPr>
        <w:t>但未达到本合</w:t>
      </w:r>
      <w:r>
        <w:rPr>
          <w:b/>
          <w:spacing w:val="-2"/>
        </w:rPr>
        <w:t>同所指重度疾病“双耳失聪”的给付标准。</w:t>
      </w:r>
    </w:p>
    <w:p>
      <w:pPr>
        <w:spacing w:line="300" w:lineRule="auto" w:before="2"/>
        <w:ind w:left="2990" w:right="1058" w:firstLine="0"/>
        <w:jc w:val="both"/>
        <w:rPr>
          <w:b/>
          <w:sz w:val="21"/>
        </w:rPr>
      </w:pPr>
      <w:r>
        <w:rPr>
          <w:b/>
          <w:w w:val="95"/>
          <w:sz w:val="21"/>
        </w:rPr>
        <w:t>被</w:t>
      </w:r>
      <w:r>
        <w:rPr>
          <w:b/>
          <w:w w:val="95"/>
          <w:sz w:val="21"/>
        </w:rPr>
        <w:t>保</w:t>
      </w:r>
      <w:r>
        <w:rPr>
          <w:b/>
          <w:w w:val="95"/>
          <w:sz w:val="21"/>
        </w:rPr>
        <w:t>险</w:t>
      </w:r>
      <w:r>
        <w:rPr>
          <w:b/>
          <w:w w:val="95"/>
          <w:sz w:val="21"/>
        </w:rPr>
        <w:t>人</w:t>
      </w:r>
      <w:r>
        <w:rPr>
          <w:b/>
          <w:w w:val="95"/>
          <w:sz w:val="21"/>
        </w:rPr>
        <w:t>在</w:t>
      </w:r>
      <w:r>
        <w:rPr>
          <w:b/>
          <w:w w:val="95"/>
          <w:sz w:val="21"/>
        </w:rPr>
        <w:t> 3 </w:t>
      </w:r>
      <w:r>
        <w:rPr>
          <w:b/>
          <w:w w:val="95"/>
          <w:sz w:val="21"/>
        </w:rPr>
        <w:t>周</w:t>
      </w:r>
      <w:r>
        <w:rPr>
          <w:b/>
          <w:w w:val="95"/>
          <w:sz w:val="21"/>
        </w:rPr>
        <w:t>岁</w:t>
      </w:r>
      <w:r>
        <w:rPr>
          <w:b/>
          <w:w w:val="95"/>
          <w:sz w:val="21"/>
        </w:rPr>
        <w:t>之</w:t>
      </w:r>
      <w:r>
        <w:rPr>
          <w:b/>
          <w:w w:val="95"/>
          <w:sz w:val="21"/>
        </w:rPr>
        <w:t>前</w:t>
      </w:r>
      <w:r>
        <w:rPr>
          <w:b/>
          <w:w w:val="95"/>
          <w:sz w:val="21"/>
        </w:rPr>
        <w:t>因</w:t>
      </w:r>
      <w:r>
        <w:rPr>
          <w:b/>
          <w:w w:val="95"/>
          <w:sz w:val="21"/>
        </w:rPr>
        <w:t>疾</w:t>
      </w:r>
      <w:r>
        <w:rPr>
          <w:b/>
          <w:w w:val="95"/>
          <w:sz w:val="21"/>
        </w:rPr>
        <w:t>病</w:t>
      </w:r>
      <w:r>
        <w:rPr>
          <w:b/>
          <w:w w:val="95"/>
          <w:sz w:val="21"/>
        </w:rPr>
        <w:t>导</w:t>
      </w:r>
      <w:r>
        <w:rPr>
          <w:b/>
          <w:w w:val="95"/>
          <w:sz w:val="21"/>
        </w:rPr>
        <w:t>致</w:t>
      </w:r>
      <w:r>
        <w:rPr>
          <w:b/>
          <w:w w:val="95"/>
          <w:sz w:val="21"/>
        </w:rPr>
        <w:t>的</w:t>
      </w:r>
      <w:r>
        <w:rPr>
          <w:b/>
          <w:w w:val="95"/>
          <w:sz w:val="21"/>
        </w:rPr>
        <w:t>单</w:t>
      </w:r>
      <w:r>
        <w:rPr>
          <w:b/>
          <w:w w:val="95"/>
          <w:sz w:val="21"/>
        </w:rPr>
        <w:t>耳</w:t>
      </w:r>
      <w:r>
        <w:rPr>
          <w:b/>
          <w:w w:val="95"/>
          <w:sz w:val="21"/>
        </w:rPr>
        <w:t>失</w:t>
      </w:r>
      <w:r>
        <w:rPr>
          <w:b/>
          <w:w w:val="95"/>
          <w:sz w:val="21"/>
        </w:rPr>
        <w:t>聪不在</w:t>
      </w:r>
      <w:r>
        <w:rPr>
          <w:b/>
          <w:w w:val="95"/>
          <w:sz w:val="21"/>
        </w:rPr>
        <w:t>本</w:t>
      </w:r>
      <w:r>
        <w:rPr>
          <w:b/>
          <w:w w:val="95"/>
          <w:sz w:val="21"/>
        </w:rPr>
        <w:t>保</w:t>
      </w:r>
      <w:r>
        <w:rPr>
          <w:b/>
          <w:w w:val="95"/>
          <w:sz w:val="21"/>
        </w:rPr>
        <w:t>障</w:t>
      </w:r>
      <w:r>
        <w:rPr>
          <w:b/>
          <w:w w:val="95"/>
          <w:sz w:val="21"/>
        </w:rPr>
        <w:t>范</w:t>
      </w:r>
      <w:r>
        <w:rPr>
          <w:b/>
          <w:w w:val="95"/>
          <w:sz w:val="21"/>
        </w:rPr>
        <w:t>围</w:t>
      </w:r>
      <w:r>
        <w:rPr>
          <w:b/>
          <w:w w:val="95"/>
          <w:sz w:val="21"/>
        </w:rPr>
        <w:t>内</w:t>
      </w:r>
      <w:r>
        <w:rPr>
          <w:b/>
          <w:w w:val="95"/>
          <w:sz w:val="21"/>
        </w:rPr>
        <w:t>。先天</w:t>
      </w:r>
      <w:r>
        <w:rPr>
          <w:b/>
          <w:spacing w:val="-2"/>
          <w:sz w:val="21"/>
        </w:rPr>
        <w:t>性疾病所致的听力丧失不在本保障范围内。</w:t>
      </w:r>
    </w:p>
    <w:p>
      <w:pPr>
        <w:pStyle w:val="BodyText"/>
        <w:rPr>
          <w:b/>
          <w:sz w:val="20"/>
        </w:rPr>
      </w:pPr>
    </w:p>
    <w:p>
      <w:pPr>
        <w:pStyle w:val="BodyText"/>
        <w:tabs>
          <w:tab w:pos="2990" w:val="left" w:leader="none"/>
        </w:tabs>
        <w:spacing w:line="302" w:lineRule="auto" w:before="168"/>
        <w:ind w:left="2990" w:right="1058" w:hanging="2766"/>
      </w:pPr>
      <w:r>
        <w:rPr>
          <w:spacing w:val="-2"/>
        </w:rPr>
        <w:t>（</w:t>
      </w:r>
      <w:r>
        <w:rPr>
          <w:spacing w:val="-2"/>
        </w:rPr>
        <w:t>二</w:t>
      </w:r>
      <w:r>
        <w:rPr>
          <w:spacing w:val="-2"/>
        </w:rPr>
        <w:t>十八）单目</w:t>
      </w:r>
      <w:r>
        <w:rPr>
          <w:spacing w:val="-2"/>
        </w:rPr>
        <w:t>失</w:t>
      </w:r>
      <w:r>
        <w:rPr>
          <w:spacing w:val="-2"/>
        </w:rPr>
        <w:t>明</w:t>
      </w:r>
      <w:r>
        <w:rPr/>
        <w:tab/>
      </w:r>
      <w:r>
        <w:rPr>
          <w:spacing w:val="-2"/>
        </w:rPr>
        <w:t>指</w:t>
      </w:r>
      <w:r>
        <w:rPr>
          <w:spacing w:val="-2"/>
        </w:rPr>
        <w:t>因</w:t>
      </w:r>
      <w:r>
        <w:rPr>
          <w:spacing w:val="-2"/>
        </w:rPr>
        <w:t>疾病或意外伤害导致</w:t>
      </w:r>
      <w:r>
        <w:rPr>
          <w:spacing w:val="-2"/>
        </w:rPr>
        <w:t>单</w:t>
      </w:r>
      <w:r>
        <w:rPr>
          <w:spacing w:val="-2"/>
        </w:rPr>
        <w:t>眼</w:t>
      </w:r>
      <w:r>
        <w:rPr>
          <w:spacing w:val="-2"/>
        </w:rPr>
        <w:t>视力永久不可逆性丧失，须满足下列至</w:t>
      </w:r>
      <w:r>
        <w:rPr>
          <w:spacing w:val="-2"/>
        </w:rPr>
        <w:t>少</w:t>
      </w:r>
      <w:r>
        <w:rPr>
          <w:spacing w:val="-4"/>
        </w:rPr>
        <w:t>一</w:t>
      </w:r>
      <w:r>
        <w:rPr>
          <w:spacing w:val="-4"/>
        </w:rPr>
        <w:t>项</w:t>
      </w:r>
      <w:r>
        <w:rPr>
          <w:spacing w:val="-4"/>
        </w:rPr>
        <w:t>条</w:t>
      </w:r>
      <w:r>
        <w:rPr>
          <w:spacing w:val="-4"/>
        </w:rPr>
        <w:t>件</w:t>
      </w:r>
      <w:r>
        <w:rPr>
          <w:spacing w:val="-4"/>
        </w:rPr>
        <w:t>：</w:t>
      </w:r>
    </w:p>
    <w:p>
      <w:pPr>
        <w:pStyle w:val="ListParagraph"/>
        <w:numPr>
          <w:ilvl w:val="1"/>
          <w:numId w:val="86"/>
        </w:numPr>
        <w:tabs>
          <w:tab w:pos="3520" w:val="left" w:leader="none"/>
        </w:tabs>
        <w:spacing w:line="265" w:lineRule="exact" w:before="0" w:after="0"/>
        <w:ind w:left="3519" w:right="0" w:hanging="530"/>
        <w:jc w:val="left"/>
        <w:rPr>
          <w:sz w:val="21"/>
        </w:rPr>
      </w:pPr>
      <w:r>
        <w:rPr>
          <w:spacing w:val="-4"/>
          <w:sz w:val="21"/>
        </w:rPr>
        <w:t>眼球缺失或摘除；</w:t>
      </w:r>
    </w:p>
    <w:p>
      <w:pPr>
        <w:pStyle w:val="ListParagraph"/>
        <w:numPr>
          <w:ilvl w:val="1"/>
          <w:numId w:val="86"/>
        </w:numPr>
        <w:tabs>
          <w:tab w:pos="3520" w:val="left" w:leader="none"/>
        </w:tabs>
        <w:spacing w:line="300" w:lineRule="auto" w:before="66" w:after="0"/>
        <w:ind w:left="2990" w:right="1058" w:firstLine="0"/>
        <w:jc w:val="left"/>
        <w:rPr>
          <w:sz w:val="21"/>
        </w:rPr>
      </w:pPr>
      <w:r>
        <w:rPr>
          <w:spacing w:val="-4"/>
          <w:sz w:val="21"/>
        </w:rPr>
        <w:t>矫正视力低于 </w:t>
      </w:r>
      <w:r>
        <w:rPr>
          <w:sz w:val="21"/>
        </w:rPr>
        <w:t>0.02（采用国际标准视力表，如果使用其他视力表</w:t>
      </w:r>
      <w:r>
        <w:rPr>
          <w:spacing w:val="-2"/>
          <w:sz w:val="21"/>
        </w:rPr>
        <w:t>应进行换算</w:t>
      </w:r>
      <w:r>
        <w:rPr>
          <w:spacing w:val="-106"/>
          <w:sz w:val="21"/>
        </w:rPr>
        <w:t>）</w:t>
      </w:r>
      <w:r>
        <w:rPr>
          <w:sz w:val="21"/>
        </w:rPr>
        <w:t>；</w:t>
      </w:r>
    </w:p>
    <w:p>
      <w:pPr>
        <w:pStyle w:val="ListParagraph"/>
        <w:numPr>
          <w:ilvl w:val="1"/>
          <w:numId w:val="86"/>
        </w:numPr>
        <w:tabs>
          <w:tab w:pos="3520" w:val="left" w:leader="none"/>
        </w:tabs>
        <w:spacing w:line="240" w:lineRule="auto" w:before="3" w:after="0"/>
        <w:ind w:left="3519" w:right="0" w:hanging="530"/>
        <w:jc w:val="left"/>
        <w:rPr>
          <w:sz w:val="21"/>
        </w:rPr>
      </w:pPr>
      <w:r>
        <w:rPr>
          <w:spacing w:val="-10"/>
          <w:sz w:val="21"/>
        </w:rPr>
        <w:t>视野半径小于 </w:t>
      </w:r>
      <w:r>
        <w:rPr>
          <w:spacing w:val="-2"/>
          <w:sz w:val="21"/>
        </w:rPr>
        <w:t>5</w:t>
      </w:r>
      <w:r>
        <w:rPr>
          <w:spacing w:val="-21"/>
          <w:sz w:val="21"/>
        </w:rPr>
        <w:t> 度。</w:t>
      </w:r>
    </w:p>
    <w:p>
      <w:pPr>
        <w:spacing w:before="67"/>
        <w:ind w:left="2990" w:right="0" w:firstLine="0"/>
        <w:jc w:val="left"/>
        <w:rPr>
          <w:b/>
          <w:sz w:val="21"/>
        </w:rPr>
      </w:pPr>
      <w:r>
        <w:rPr>
          <w:b/>
          <w:spacing w:val="-3"/>
          <w:sz w:val="21"/>
        </w:rPr>
        <w:t>但未达到本合同所指重度疾病“双目失明”的给付标准。</w:t>
      </w:r>
    </w:p>
    <w:p>
      <w:pPr>
        <w:pStyle w:val="BodyText"/>
        <w:rPr>
          <w:b/>
          <w:sz w:val="20"/>
        </w:rPr>
      </w:pPr>
    </w:p>
    <w:p>
      <w:pPr>
        <w:pStyle w:val="BodyText"/>
        <w:spacing w:before="7"/>
        <w:rPr>
          <w:b/>
          <w:sz w:val="18"/>
        </w:rPr>
      </w:pPr>
    </w:p>
    <w:p>
      <w:pPr>
        <w:pStyle w:val="BodyText"/>
        <w:spacing w:line="300" w:lineRule="auto"/>
        <w:ind w:left="2990" w:right="1058" w:hanging="2766"/>
        <w:jc w:val="both"/>
      </w:pPr>
      <w:r>
        <w:rPr/>
        <w:t>（二十九）</w:t>
      </w:r>
      <w:r>
        <w:rPr>
          <w:spacing w:val="7"/>
        </w:rPr>
        <w:t>早期象皮病 指因丝虫感染导致淋巴管阻塞而造成身体组织出现严重淋巴水肿</w:t>
      </w:r>
      <w:r>
        <w:rPr>
          <w:b/>
        </w:rPr>
        <w:t>，但未</w:t>
      </w:r>
      <w:r>
        <w:rPr>
          <w:b/>
          <w:spacing w:val="-2"/>
        </w:rPr>
        <w:t>达到本合同所指重度疾病“象皮病”的给付标准</w:t>
      </w:r>
      <w:r>
        <w:rPr>
          <w:spacing w:val="-2"/>
        </w:rPr>
        <w:t>，但需达到国际淋巴学</w:t>
      </w:r>
      <w:r>
        <w:rPr>
          <w:spacing w:val="-6"/>
        </w:rPr>
        <w:t>会分级为 </w:t>
      </w:r>
      <w:r>
        <w:rPr>
          <w:spacing w:val="-4"/>
        </w:rPr>
        <w:t>2</w:t>
      </w:r>
      <w:r>
        <w:rPr>
          <w:spacing w:val="-8"/>
        </w:rPr>
        <w:t> 级淋巴液肿，其临床表现为肿胀为凹陷性，肢体抬高休息时</w:t>
      </w:r>
      <w:r>
        <w:rPr>
          <w:spacing w:val="-2"/>
        </w:rPr>
        <w:t>肿胀不消失，有中度纤维化。此病症须经我们认可的医院的专科医生根</w:t>
      </w:r>
      <w:r>
        <w:rPr>
          <w:spacing w:val="-2"/>
        </w:rPr>
        <w:t>据临床表现和微丝蚴的化验结果确诊。</w:t>
      </w:r>
    </w:p>
    <w:p>
      <w:pPr>
        <w:spacing w:line="297" w:lineRule="auto" w:before="4"/>
        <w:ind w:left="2990" w:right="1058" w:firstLine="0"/>
        <w:jc w:val="both"/>
        <w:rPr>
          <w:b/>
          <w:sz w:val="21"/>
        </w:rPr>
      </w:pPr>
      <w:r>
        <w:rPr>
          <w:b/>
          <w:spacing w:val="-2"/>
          <w:sz w:val="21"/>
        </w:rPr>
        <w:t>由性接触传染的疾病、创伤、手术后疤痕、充血性心力衰竭或先天性淋</w:t>
      </w:r>
      <w:r>
        <w:rPr>
          <w:b/>
          <w:spacing w:val="-2"/>
          <w:sz w:val="21"/>
        </w:rPr>
        <w:t>巴系统异常引起的淋巴水肿，以及急性淋巴管炎或其他原因引起的淋巴</w:t>
      </w:r>
      <w:r>
        <w:rPr>
          <w:b/>
          <w:spacing w:val="-2"/>
          <w:sz w:val="21"/>
        </w:rPr>
        <w:t>水肿不在本保障范围内。</w:t>
      </w:r>
    </w:p>
    <w:p>
      <w:pPr>
        <w:pStyle w:val="BodyText"/>
        <w:rPr>
          <w:b/>
          <w:sz w:val="20"/>
        </w:rPr>
      </w:pPr>
    </w:p>
    <w:p>
      <w:pPr>
        <w:spacing w:line="300" w:lineRule="auto" w:before="170"/>
        <w:ind w:left="2990" w:right="1058" w:hanging="2766"/>
        <w:jc w:val="both"/>
        <w:rPr>
          <w:b/>
          <w:sz w:val="21"/>
        </w:rPr>
      </w:pPr>
      <w:r>
        <w:rPr>
          <w:sz w:val="21"/>
        </w:rPr>
        <w:t>（三十）植入心脏除颤器 指被保险人因严重心律失常，依照治疗指征和适应症，实际接受了永久</w:t>
      </w:r>
      <w:r>
        <w:rPr>
          <w:spacing w:val="-2"/>
          <w:sz w:val="21"/>
        </w:rPr>
        <w:t>性埋藏式心脏复律除颤器植入手术。</w:t>
      </w:r>
      <w:r>
        <w:rPr>
          <w:b/>
          <w:spacing w:val="-2"/>
          <w:sz w:val="21"/>
        </w:rPr>
        <w:t>体外心脏电复律（心脏电除颤)、</w:t>
      </w:r>
      <w:r>
        <w:rPr>
          <w:b/>
          <w:spacing w:val="-2"/>
          <w:sz w:val="21"/>
        </w:rPr>
        <w:t>临时性埋藏式心脏复律除颤器安装除外。</w:t>
      </w:r>
    </w:p>
    <w:p>
      <w:pPr>
        <w:spacing w:before="2"/>
        <w:ind w:left="2990" w:right="0" w:firstLine="0"/>
        <w:jc w:val="both"/>
        <w:rPr>
          <w:b/>
          <w:sz w:val="21"/>
        </w:rPr>
      </w:pPr>
      <w:r>
        <w:rPr>
          <w:b/>
          <w:w w:val="95"/>
          <w:sz w:val="21"/>
        </w:rPr>
        <w:t>因</w:t>
      </w:r>
      <w:r>
        <w:rPr>
          <w:b/>
          <w:spacing w:val="57"/>
          <w:sz w:val="21"/>
        </w:rPr>
        <w:t> </w:t>
      </w:r>
      <w:r>
        <w:rPr>
          <w:b/>
          <w:w w:val="95"/>
          <w:sz w:val="21"/>
        </w:rPr>
        <w:t>Brugada</w:t>
      </w:r>
      <w:r>
        <w:rPr>
          <w:b/>
          <w:spacing w:val="58"/>
          <w:sz w:val="21"/>
        </w:rPr>
        <w:t> </w:t>
      </w:r>
      <w:r>
        <w:rPr>
          <w:b/>
          <w:w w:val="95"/>
          <w:sz w:val="21"/>
        </w:rPr>
        <w:t>综</w:t>
      </w:r>
      <w:r>
        <w:rPr>
          <w:b/>
          <w:w w:val="95"/>
          <w:sz w:val="21"/>
        </w:rPr>
        <w:t>合</w:t>
      </w:r>
      <w:r>
        <w:rPr>
          <w:b/>
          <w:w w:val="95"/>
          <w:sz w:val="21"/>
        </w:rPr>
        <w:t>征</w:t>
      </w:r>
      <w:r>
        <w:rPr>
          <w:b/>
          <w:w w:val="95"/>
          <w:sz w:val="21"/>
        </w:rPr>
        <w:t>植</w:t>
      </w:r>
      <w:r>
        <w:rPr>
          <w:b/>
          <w:w w:val="95"/>
          <w:sz w:val="21"/>
        </w:rPr>
        <w:t>入</w:t>
      </w:r>
      <w:r>
        <w:rPr>
          <w:b/>
          <w:w w:val="95"/>
          <w:sz w:val="21"/>
        </w:rPr>
        <w:t>心</w:t>
      </w:r>
      <w:r>
        <w:rPr>
          <w:b/>
          <w:w w:val="95"/>
          <w:sz w:val="21"/>
        </w:rPr>
        <w:t>脏</w:t>
      </w:r>
      <w:r>
        <w:rPr>
          <w:b/>
          <w:w w:val="95"/>
          <w:sz w:val="21"/>
        </w:rPr>
        <w:t>除</w:t>
      </w:r>
      <w:r>
        <w:rPr>
          <w:b/>
          <w:w w:val="95"/>
          <w:sz w:val="21"/>
        </w:rPr>
        <w:t>颤</w:t>
      </w:r>
      <w:r>
        <w:rPr>
          <w:b/>
          <w:w w:val="95"/>
          <w:sz w:val="21"/>
        </w:rPr>
        <w:t>器</w:t>
      </w:r>
      <w:r>
        <w:rPr>
          <w:b/>
          <w:w w:val="95"/>
          <w:sz w:val="21"/>
        </w:rPr>
        <w:t>不</w:t>
      </w:r>
      <w:r>
        <w:rPr>
          <w:b/>
          <w:w w:val="95"/>
          <w:sz w:val="21"/>
        </w:rPr>
        <w:t>在</w:t>
      </w:r>
      <w:r>
        <w:rPr>
          <w:b/>
          <w:w w:val="95"/>
          <w:sz w:val="21"/>
        </w:rPr>
        <w:t>本</w:t>
      </w:r>
      <w:r>
        <w:rPr>
          <w:b/>
          <w:w w:val="95"/>
          <w:sz w:val="21"/>
        </w:rPr>
        <w:t>保</w:t>
      </w:r>
      <w:r>
        <w:rPr>
          <w:b/>
          <w:w w:val="95"/>
          <w:sz w:val="21"/>
        </w:rPr>
        <w:t>障范围</w:t>
      </w:r>
      <w:r>
        <w:rPr>
          <w:b/>
          <w:w w:val="95"/>
          <w:sz w:val="21"/>
        </w:rPr>
        <w:t>内</w:t>
      </w:r>
      <w:r>
        <w:rPr>
          <w:b/>
          <w:spacing w:val="-10"/>
          <w:w w:val="95"/>
          <w:sz w:val="21"/>
        </w:rPr>
        <w:t>。</w:t>
      </w:r>
    </w:p>
    <w:p>
      <w:pPr>
        <w:pStyle w:val="BodyText"/>
        <w:rPr>
          <w:b/>
          <w:sz w:val="20"/>
        </w:rPr>
      </w:pPr>
    </w:p>
    <w:p>
      <w:pPr>
        <w:spacing w:after="0"/>
        <w:rPr>
          <w:sz w:val="20"/>
        </w:rPr>
        <w:sectPr>
          <w:type w:val="continuous"/>
          <w:pgSz w:w="11910" w:h="16840"/>
          <w:pgMar w:header="0" w:footer="857" w:top="320" w:bottom="1040" w:left="1100" w:right="260"/>
        </w:sectPr>
      </w:pPr>
    </w:p>
    <w:p>
      <w:pPr>
        <w:pStyle w:val="BodyText"/>
        <w:spacing w:before="5"/>
        <w:rPr>
          <w:b/>
          <w:sz w:val="18"/>
        </w:rPr>
      </w:pPr>
    </w:p>
    <w:p>
      <w:pPr>
        <w:pStyle w:val="ListParagraph"/>
        <w:numPr>
          <w:ilvl w:val="1"/>
          <w:numId w:val="13"/>
        </w:numPr>
        <w:tabs>
          <w:tab w:pos="1408" w:val="left" w:leader="none"/>
          <w:tab w:pos="1409" w:val="left" w:leader="none"/>
        </w:tabs>
        <w:spacing w:line="297" w:lineRule="auto" w:before="0" w:after="0"/>
        <w:ind w:left="1408" w:right="0" w:hanging="1184"/>
        <w:jc w:val="left"/>
        <w:rPr>
          <w:sz w:val="21"/>
        </w:rPr>
      </w:pPr>
      <w:r>
        <w:rPr>
          <w:spacing w:val="14"/>
          <w:sz w:val="21"/>
        </w:rPr>
        <w:t>我们认可的医</w:t>
      </w:r>
      <w:r>
        <w:rPr>
          <w:spacing w:val="-10"/>
          <w:sz w:val="21"/>
        </w:rPr>
        <w:t>院</w:t>
      </w:r>
    </w:p>
    <w:p>
      <w:pPr>
        <w:spacing w:line="240" w:lineRule="auto" w:before="5"/>
        <w:rPr>
          <w:sz w:val="18"/>
        </w:rPr>
      </w:pPr>
      <w:r>
        <w:rPr/>
        <w:br w:type="column"/>
      </w:r>
      <w:r>
        <w:rPr>
          <w:sz w:val="18"/>
        </w:rPr>
      </w:r>
    </w:p>
    <w:p>
      <w:pPr>
        <w:spacing w:line="297" w:lineRule="auto" w:before="0"/>
        <w:ind w:left="175" w:right="1039" w:firstLine="0"/>
        <w:jc w:val="left"/>
        <w:rPr>
          <w:b/>
          <w:sz w:val="21"/>
        </w:rPr>
      </w:pPr>
      <w:r>
        <w:rPr>
          <w:spacing w:val="-2"/>
          <w:sz w:val="21"/>
        </w:rPr>
        <w:t>指经中华人民共和国卫生部门评审确定的二级或二级以上的公立医院，但</w:t>
      </w:r>
      <w:r>
        <w:rPr>
          <w:b/>
          <w:spacing w:val="-3"/>
          <w:sz w:val="21"/>
        </w:rPr>
        <w:t>不包括精神病院及专供康复、休养、戒毒、戒酒、护理、养老等非以</w:t>
      </w:r>
    </w:p>
    <w:p>
      <w:pPr>
        <w:spacing w:after="0" w:line="297" w:lineRule="auto"/>
        <w:jc w:val="left"/>
        <w:rPr>
          <w:sz w:val="21"/>
        </w:rPr>
        <w:sectPr>
          <w:type w:val="continuous"/>
          <w:pgSz w:w="11910" w:h="16840"/>
          <w:pgMar w:header="0" w:footer="857" w:top="320" w:bottom="1040" w:left="1100" w:right="260"/>
          <w:cols w:num="2" w:equalWidth="0">
            <w:col w:w="2776" w:space="40"/>
            <w:col w:w="7734"/>
          </w:cols>
        </w:sectPr>
      </w:pPr>
    </w:p>
    <w:p>
      <w:pPr>
        <w:pStyle w:val="BodyText"/>
        <w:spacing w:line="297" w:lineRule="auto" w:before="60"/>
        <w:ind w:left="2990" w:right="1058"/>
        <w:jc w:val="both"/>
      </w:pPr>
      <w:r>
        <w:rPr>
          <w:b/>
          <w:spacing w:val="-2"/>
        </w:rPr>
        <w:t>直接诊治病人为目的的医疗机构</w:t>
      </w:r>
      <w:r>
        <w:rPr>
          <w:spacing w:val="-2"/>
        </w:rPr>
        <w:t>。该医院必须具有符合国家有关医院管</w:t>
      </w:r>
      <w:r>
        <w:rPr>
          <w:spacing w:val="-2"/>
        </w:rPr>
        <w:t>理规则设置标准的医疗设备，且全天二十四小时有合格医师及护士驻院</w:t>
      </w:r>
      <w:r>
        <w:rPr>
          <w:spacing w:val="-2"/>
        </w:rPr>
        <w:t>提供医疗及护理服务。</w:t>
      </w:r>
    </w:p>
    <w:p>
      <w:pPr>
        <w:pStyle w:val="ListParagraph"/>
        <w:numPr>
          <w:ilvl w:val="1"/>
          <w:numId w:val="13"/>
        </w:numPr>
        <w:tabs>
          <w:tab w:pos="1409" w:val="left" w:leader="none"/>
        </w:tabs>
        <w:spacing w:line="297" w:lineRule="auto" w:before="92" w:after="0"/>
        <w:ind w:left="2990" w:right="1039" w:hanging="2766"/>
        <w:jc w:val="both"/>
        <w:rPr>
          <w:sz w:val="21"/>
        </w:rPr>
      </w:pPr>
      <w:r>
        <w:rPr>
          <w:spacing w:val="-1"/>
          <w:w w:val="100"/>
          <w:sz w:val="21"/>
        </w:rPr>
        <w:t>初次发生</w:t>
      </w:r>
      <w:r>
        <w:rPr>
          <w:sz w:val="21"/>
        </w:rPr>
        <w:t>       </w:t>
      </w:r>
      <w:r>
        <w:rPr>
          <w:spacing w:val="-3"/>
          <w:w w:val="100"/>
          <w:sz w:val="21"/>
        </w:rPr>
        <w:t>指自被保险人出生之日起第一次经我们认可的医院确诊患有某种疾病，</w:t>
      </w:r>
      <w:r>
        <w:rPr>
          <w:b/>
          <w:spacing w:val="3"/>
          <w:w w:val="100"/>
          <w:sz w:val="21"/>
        </w:rPr>
        <w:t>而不是指自本合同生效之后第一次经我们认可的医院确诊患有某种疾病</w:t>
      </w:r>
      <w:r>
        <w:rPr>
          <w:spacing w:val="3"/>
          <w:w w:val="100"/>
          <w:sz w:val="21"/>
        </w:rPr>
        <w:t>。</w:t>
      </w:r>
    </w:p>
    <w:p>
      <w:pPr>
        <w:pStyle w:val="ListParagraph"/>
        <w:numPr>
          <w:ilvl w:val="1"/>
          <w:numId w:val="13"/>
        </w:numPr>
        <w:tabs>
          <w:tab w:pos="1409" w:val="left" w:leader="none"/>
        </w:tabs>
        <w:spacing w:line="297" w:lineRule="auto" w:before="91" w:after="0"/>
        <w:ind w:left="2990" w:right="952" w:hanging="2766"/>
        <w:jc w:val="both"/>
        <w:rPr>
          <w:sz w:val="21"/>
        </w:rPr>
      </w:pPr>
      <w:r>
        <w:rPr>
          <w:sz w:val="21"/>
        </w:rPr>
        <w:t>现金价值</w:t>
      </w:r>
      <w:r>
        <w:rPr>
          <w:spacing w:val="613"/>
          <w:sz w:val="21"/>
        </w:rPr>
        <w:t> </w:t>
      </w:r>
      <w:r>
        <w:rPr>
          <w:spacing w:val="-9"/>
          <w:sz w:val="21"/>
        </w:rPr>
        <w:t>指保险单所具有的价值，通常体现为解除合同时，根据精算原理计算的，</w:t>
      </w:r>
      <w:r>
        <w:rPr>
          <w:spacing w:val="-2"/>
          <w:sz w:val="21"/>
        </w:rPr>
        <w:t>由我们退还的那部分金额。此金额载明于保险单上。</w:t>
      </w:r>
    </w:p>
    <w:p>
      <w:pPr>
        <w:pStyle w:val="ListParagraph"/>
        <w:numPr>
          <w:ilvl w:val="1"/>
          <w:numId w:val="13"/>
        </w:numPr>
        <w:tabs>
          <w:tab w:pos="1409" w:val="left" w:leader="none"/>
          <w:tab w:pos="2990" w:val="left" w:leader="none"/>
        </w:tabs>
        <w:spacing w:line="297" w:lineRule="auto" w:before="91" w:after="0"/>
        <w:ind w:left="2990" w:right="1044" w:hanging="2766"/>
        <w:jc w:val="both"/>
        <w:rPr>
          <w:sz w:val="21"/>
        </w:rPr>
      </w:pPr>
      <w:r>
        <w:rPr>
          <w:spacing w:val="-6"/>
          <w:sz w:val="21"/>
        </w:rPr>
        <w:t>周</w:t>
      </w:r>
      <w:r>
        <w:rPr>
          <w:spacing w:val="-6"/>
          <w:sz w:val="21"/>
        </w:rPr>
        <w:t>岁</w:t>
      </w:r>
      <w:r>
        <w:rPr>
          <w:sz w:val="21"/>
        </w:rPr>
        <w:tab/>
      </w:r>
      <w:r>
        <w:rPr>
          <w:spacing w:val="-2"/>
          <w:sz w:val="21"/>
        </w:rPr>
        <w:t>以</w:t>
      </w:r>
      <w:r>
        <w:rPr>
          <w:spacing w:val="-2"/>
          <w:sz w:val="21"/>
        </w:rPr>
        <w:t>有</w:t>
      </w:r>
      <w:r>
        <w:rPr>
          <w:spacing w:val="-2"/>
          <w:sz w:val="21"/>
        </w:rPr>
        <w:t>效身份证件中记载的</w:t>
      </w:r>
      <w:r>
        <w:rPr>
          <w:spacing w:val="-2"/>
          <w:sz w:val="21"/>
        </w:rPr>
        <w:t>出</w:t>
      </w:r>
      <w:r>
        <w:rPr>
          <w:spacing w:val="-2"/>
          <w:sz w:val="21"/>
        </w:rPr>
        <w:t>生</w:t>
      </w:r>
      <w:r>
        <w:rPr>
          <w:spacing w:val="-2"/>
          <w:sz w:val="21"/>
        </w:rPr>
        <w:t>日期为计算基础，按</w:t>
      </w:r>
      <w:r>
        <w:rPr>
          <w:spacing w:val="-2"/>
          <w:sz w:val="21"/>
        </w:rPr>
        <w:t>出</w:t>
      </w:r>
      <w:r>
        <w:rPr>
          <w:spacing w:val="-2"/>
          <w:sz w:val="21"/>
        </w:rPr>
        <w:t>生</w:t>
      </w:r>
      <w:r>
        <w:rPr>
          <w:spacing w:val="-2"/>
          <w:sz w:val="21"/>
        </w:rPr>
        <w:t>后所经过的</w:t>
      </w:r>
      <w:r>
        <w:rPr>
          <w:spacing w:val="-2"/>
          <w:sz w:val="21"/>
        </w:rPr>
        <w:t>整</w:t>
      </w:r>
      <w:r>
        <w:rPr>
          <w:spacing w:val="-2"/>
          <w:sz w:val="21"/>
        </w:rPr>
        <w:t>年</w:t>
      </w:r>
      <w:r>
        <w:rPr>
          <w:w w:val="95"/>
          <w:sz w:val="21"/>
        </w:rPr>
        <w:t>计</w:t>
      </w:r>
      <w:r>
        <w:rPr>
          <w:w w:val="95"/>
          <w:sz w:val="21"/>
        </w:rPr>
        <w:t>算</w:t>
      </w:r>
      <w:r>
        <w:rPr>
          <w:w w:val="95"/>
          <w:sz w:val="21"/>
        </w:rPr>
        <w:t>，不满一整年的部分</w:t>
      </w:r>
      <w:r>
        <w:rPr>
          <w:w w:val="95"/>
          <w:sz w:val="21"/>
        </w:rPr>
        <w:t>不</w:t>
      </w:r>
      <w:r>
        <w:rPr>
          <w:w w:val="95"/>
          <w:sz w:val="21"/>
        </w:rPr>
        <w:t>计</w:t>
      </w:r>
      <w:r>
        <w:rPr>
          <w:w w:val="95"/>
          <w:sz w:val="21"/>
        </w:rPr>
        <w:t>。例如，出生日期为</w:t>
      </w:r>
      <w:r>
        <w:rPr>
          <w:spacing w:val="-3"/>
          <w:w w:val="95"/>
          <w:sz w:val="21"/>
        </w:rPr>
        <w:t> </w:t>
      </w:r>
      <w:r>
        <w:rPr>
          <w:w w:val="95"/>
          <w:sz w:val="21"/>
        </w:rPr>
        <w:t>2007</w:t>
      </w:r>
      <w:r>
        <w:rPr>
          <w:spacing w:val="-3"/>
          <w:w w:val="95"/>
          <w:sz w:val="21"/>
        </w:rPr>
        <w:t> </w:t>
      </w:r>
      <w:r>
        <w:rPr>
          <w:w w:val="95"/>
          <w:sz w:val="21"/>
        </w:rPr>
        <w:t>年 11</w:t>
      </w:r>
      <w:r>
        <w:rPr>
          <w:spacing w:val="-3"/>
          <w:w w:val="95"/>
          <w:sz w:val="21"/>
        </w:rPr>
        <w:t> </w:t>
      </w:r>
      <w:r>
        <w:rPr>
          <w:w w:val="95"/>
          <w:sz w:val="21"/>
        </w:rPr>
        <w:t>月 1</w:t>
      </w:r>
      <w:r>
        <w:rPr>
          <w:spacing w:val="-3"/>
          <w:w w:val="95"/>
          <w:sz w:val="21"/>
        </w:rPr>
        <w:t> </w:t>
      </w:r>
      <w:r>
        <w:rPr>
          <w:w w:val="95"/>
          <w:sz w:val="21"/>
        </w:rPr>
        <w:t>日</w:t>
      </w:r>
      <w:r>
        <w:rPr>
          <w:w w:val="95"/>
          <w:sz w:val="21"/>
        </w:rPr>
        <w:t>， </w:t>
      </w:r>
      <w:r>
        <w:rPr>
          <w:w w:val="90"/>
          <w:sz w:val="21"/>
        </w:rPr>
        <w:t>2007</w:t>
      </w:r>
      <w:r>
        <w:rPr>
          <w:spacing w:val="-11"/>
          <w:w w:val="90"/>
          <w:sz w:val="21"/>
        </w:rPr>
        <w:t> </w:t>
      </w:r>
      <w:r>
        <w:rPr>
          <w:w w:val="90"/>
          <w:sz w:val="21"/>
        </w:rPr>
        <w:t>年</w:t>
      </w:r>
      <w:r>
        <w:rPr>
          <w:spacing w:val="-6"/>
          <w:w w:val="90"/>
          <w:sz w:val="21"/>
        </w:rPr>
        <w:t> </w:t>
      </w:r>
      <w:r>
        <w:rPr>
          <w:w w:val="90"/>
          <w:sz w:val="21"/>
        </w:rPr>
        <w:t>11</w:t>
      </w:r>
      <w:r>
        <w:rPr>
          <w:spacing w:val="-11"/>
          <w:w w:val="90"/>
          <w:sz w:val="21"/>
        </w:rPr>
        <w:t> </w:t>
      </w:r>
      <w:r>
        <w:rPr>
          <w:w w:val="90"/>
          <w:sz w:val="21"/>
        </w:rPr>
        <w:t>月</w:t>
      </w:r>
      <w:r>
        <w:rPr>
          <w:spacing w:val="-6"/>
          <w:w w:val="90"/>
          <w:sz w:val="21"/>
        </w:rPr>
        <w:t> </w:t>
      </w:r>
      <w:r>
        <w:rPr>
          <w:w w:val="90"/>
          <w:sz w:val="21"/>
        </w:rPr>
        <w:t>1</w:t>
      </w:r>
      <w:r>
        <w:rPr>
          <w:spacing w:val="-11"/>
          <w:w w:val="90"/>
          <w:sz w:val="21"/>
        </w:rPr>
        <w:t> </w:t>
      </w:r>
      <w:r>
        <w:rPr>
          <w:w w:val="90"/>
          <w:sz w:val="21"/>
        </w:rPr>
        <w:t>日至</w:t>
      </w:r>
      <w:r>
        <w:rPr>
          <w:spacing w:val="-6"/>
          <w:w w:val="90"/>
          <w:sz w:val="21"/>
        </w:rPr>
        <w:t> </w:t>
      </w:r>
      <w:r>
        <w:rPr>
          <w:w w:val="90"/>
          <w:sz w:val="21"/>
        </w:rPr>
        <w:t>2008</w:t>
      </w:r>
      <w:r>
        <w:rPr>
          <w:spacing w:val="-9"/>
          <w:w w:val="90"/>
          <w:sz w:val="21"/>
        </w:rPr>
        <w:t> </w:t>
      </w:r>
      <w:r>
        <w:rPr>
          <w:w w:val="90"/>
          <w:sz w:val="21"/>
        </w:rPr>
        <w:t>年</w:t>
      </w:r>
      <w:r>
        <w:rPr>
          <w:spacing w:val="-6"/>
          <w:w w:val="90"/>
          <w:sz w:val="21"/>
        </w:rPr>
        <w:t> </w:t>
      </w:r>
      <w:r>
        <w:rPr>
          <w:w w:val="90"/>
          <w:sz w:val="21"/>
        </w:rPr>
        <w:t>10</w:t>
      </w:r>
      <w:r>
        <w:rPr>
          <w:spacing w:val="-6"/>
          <w:w w:val="90"/>
          <w:sz w:val="21"/>
        </w:rPr>
        <w:t> </w:t>
      </w:r>
      <w:r>
        <w:rPr>
          <w:w w:val="90"/>
          <w:sz w:val="21"/>
        </w:rPr>
        <w:t>月</w:t>
      </w:r>
      <w:r>
        <w:rPr>
          <w:spacing w:val="-11"/>
          <w:w w:val="90"/>
          <w:sz w:val="21"/>
        </w:rPr>
        <w:t> </w:t>
      </w:r>
      <w:r>
        <w:rPr>
          <w:w w:val="90"/>
          <w:sz w:val="21"/>
        </w:rPr>
        <w:t>31</w:t>
      </w:r>
      <w:r>
        <w:rPr>
          <w:spacing w:val="-11"/>
          <w:w w:val="90"/>
          <w:sz w:val="21"/>
        </w:rPr>
        <w:t> </w:t>
      </w:r>
      <w:r>
        <w:rPr>
          <w:w w:val="90"/>
          <w:sz w:val="21"/>
        </w:rPr>
        <w:t>日期间为</w:t>
      </w:r>
      <w:r>
        <w:rPr>
          <w:spacing w:val="-6"/>
          <w:w w:val="90"/>
          <w:sz w:val="21"/>
        </w:rPr>
        <w:t> </w:t>
      </w:r>
      <w:r>
        <w:rPr>
          <w:w w:val="90"/>
          <w:sz w:val="21"/>
        </w:rPr>
        <w:t>0</w:t>
      </w:r>
      <w:r>
        <w:rPr>
          <w:spacing w:val="-11"/>
          <w:w w:val="90"/>
          <w:sz w:val="21"/>
        </w:rPr>
        <w:t> </w:t>
      </w:r>
      <w:r>
        <w:rPr>
          <w:w w:val="90"/>
          <w:sz w:val="21"/>
        </w:rPr>
        <w:t>周</w:t>
      </w:r>
      <w:r>
        <w:rPr>
          <w:w w:val="90"/>
          <w:sz w:val="21"/>
        </w:rPr>
        <w:t>岁</w:t>
      </w:r>
      <w:r>
        <w:rPr>
          <w:w w:val="90"/>
          <w:sz w:val="21"/>
        </w:rPr>
        <w:t>，2008</w:t>
      </w:r>
      <w:r>
        <w:rPr>
          <w:spacing w:val="-11"/>
          <w:w w:val="90"/>
          <w:sz w:val="21"/>
        </w:rPr>
        <w:t> </w:t>
      </w:r>
      <w:r>
        <w:rPr>
          <w:w w:val="90"/>
          <w:sz w:val="21"/>
        </w:rPr>
        <w:t>年</w:t>
      </w:r>
      <w:r>
        <w:rPr>
          <w:spacing w:val="-6"/>
          <w:w w:val="90"/>
          <w:sz w:val="21"/>
        </w:rPr>
        <w:t> </w:t>
      </w:r>
      <w:r>
        <w:rPr>
          <w:w w:val="90"/>
          <w:sz w:val="21"/>
        </w:rPr>
        <w:t>11</w:t>
      </w:r>
      <w:r>
        <w:rPr>
          <w:spacing w:val="-11"/>
          <w:w w:val="90"/>
          <w:sz w:val="21"/>
        </w:rPr>
        <w:t> </w:t>
      </w:r>
      <w:r>
        <w:rPr>
          <w:w w:val="90"/>
          <w:sz w:val="21"/>
        </w:rPr>
        <w:t>月</w:t>
      </w:r>
      <w:r>
        <w:rPr>
          <w:spacing w:val="-6"/>
          <w:w w:val="90"/>
          <w:sz w:val="21"/>
        </w:rPr>
        <w:t> </w:t>
      </w:r>
      <w:r>
        <w:rPr>
          <w:w w:val="90"/>
          <w:sz w:val="21"/>
        </w:rPr>
        <w:t>1</w:t>
      </w:r>
      <w:r>
        <w:rPr>
          <w:sz w:val="21"/>
        </w:rPr>
        <w:t>日至</w:t>
      </w:r>
      <w:r>
        <w:rPr>
          <w:spacing w:val="-33"/>
          <w:sz w:val="21"/>
        </w:rPr>
        <w:t> </w:t>
      </w:r>
      <w:r>
        <w:rPr>
          <w:sz w:val="21"/>
        </w:rPr>
        <w:t>2009</w:t>
      </w:r>
      <w:r>
        <w:rPr>
          <w:spacing w:val="-36"/>
          <w:sz w:val="21"/>
        </w:rPr>
        <w:t> </w:t>
      </w:r>
      <w:r>
        <w:rPr>
          <w:sz w:val="21"/>
        </w:rPr>
        <w:t>年</w:t>
      </w:r>
      <w:r>
        <w:rPr>
          <w:spacing w:val="-33"/>
          <w:sz w:val="21"/>
        </w:rPr>
        <w:t> </w:t>
      </w:r>
      <w:r>
        <w:rPr>
          <w:sz w:val="21"/>
        </w:rPr>
        <w:t>10</w:t>
      </w:r>
      <w:r>
        <w:rPr>
          <w:spacing w:val="-36"/>
          <w:sz w:val="21"/>
        </w:rPr>
        <w:t> </w:t>
      </w:r>
      <w:r>
        <w:rPr>
          <w:sz w:val="21"/>
        </w:rPr>
        <w:t>月</w:t>
      </w:r>
      <w:r>
        <w:rPr>
          <w:spacing w:val="-33"/>
          <w:sz w:val="21"/>
        </w:rPr>
        <w:t> </w:t>
      </w:r>
      <w:r>
        <w:rPr>
          <w:sz w:val="21"/>
        </w:rPr>
        <w:t>31</w:t>
      </w:r>
      <w:r>
        <w:rPr>
          <w:spacing w:val="-33"/>
          <w:sz w:val="21"/>
        </w:rPr>
        <w:t> </w:t>
      </w:r>
      <w:r>
        <w:rPr>
          <w:sz w:val="21"/>
        </w:rPr>
        <w:t>日期</w:t>
      </w:r>
      <w:r>
        <w:rPr>
          <w:sz w:val="21"/>
        </w:rPr>
        <w:t>间为</w:t>
      </w:r>
      <w:r>
        <w:rPr>
          <w:spacing w:val="-32"/>
          <w:sz w:val="21"/>
        </w:rPr>
        <w:t> </w:t>
      </w:r>
      <w:r>
        <w:rPr>
          <w:sz w:val="21"/>
        </w:rPr>
        <w:t>1</w:t>
      </w:r>
      <w:r>
        <w:rPr>
          <w:spacing w:val="-36"/>
          <w:sz w:val="21"/>
        </w:rPr>
        <w:t> </w:t>
      </w:r>
      <w:r>
        <w:rPr>
          <w:sz w:val="21"/>
        </w:rPr>
        <w:t>周岁，依此类</w:t>
      </w:r>
      <w:r>
        <w:rPr>
          <w:sz w:val="21"/>
        </w:rPr>
        <w:t>推。</w:t>
      </w:r>
    </w:p>
    <w:p>
      <w:pPr>
        <w:pStyle w:val="ListParagraph"/>
        <w:numPr>
          <w:ilvl w:val="1"/>
          <w:numId w:val="13"/>
        </w:numPr>
        <w:tabs>
          <w:tab w:pos="1409" w:val="left" w:leader="none"/>
          <w:tab w:pos="2990" w:val="left" w:leader="none"/>
        </w:tabs>
        <w:spacing w:line="297" w:lineRule="auto" w:before="91" w:after="0"/>
        <w:ind w:left="2990" w:right="1058" w:hanging="2766"/>
        <w:jc w:val="both"/>
        <w:rPr>
          <w:sz w:val="21"/>
        </w:rPr>
      </w:pPr>
      <w:r>
        <w:rPr>
          <w:spacing w:val="-6"/>
          <w:sz w:val="21"/>
        </w:rPr>
        <w:t>毒</w:t>
      </w:r>
      <w:r>
        <w:rPr>
          <w:spacing w:val="-6"/>
          <w:sz w:val="21"/>
        </w:rPr>
        <w:t>品</w:t>
      </w:r>
      <w:r>
        <w:rPr>
          <w:sz w:val="21"/>
        </w:rPr>
        <w:tab/>
      </w:r>
      <w:r>
        <w:rPr>
          <w:spacing w:val="-2"/>
          <w:sz w:val="21"/>
        </w:rPr>
        <w:t>指中华人民共和国刑法规定的鸦片、海洛因、甲基苯丙胺（冰毒</w:t>
      </w:r>
      <w:r>
        <w:rPr>
          <w:spacing w:val="-104"/>
          <w:sz w:val="21"/>
        </w:rPr>
        <w:t>）</w:t>
      </w:r>
      <w:r>
        <w:rPr>
          <w:spacing w:val="-2"/>
          <w:sz w:val="21"/>
        </w:rPr>
        <w:t>、</w:t>
      </w:r>
      <w:r>
        <w:rPr>
          <w:spacing w:val="-2"/>
          <w:sz w:val="21"/>
        </w:rPr>
        <w:t>吗</w:t>
      </w:r>
      <w:r>
        <w:rPr>
          <w:spacing w:val="-2"/>
          <w:sz w:val="21"/>
        </w:rPr>
        <w:t>啡、大麻、可卡因以及国</w:t>
      </w:r>
      <w:r>
        <w:rPr>
          <w:spacing w:val="-2"/>
          <w:sz w:val="21"/>
        </w:rPr>
        <w:t>家</w:t>
      </w:r>
      <w:r>
        <w:rPr>
          <w:spacing w:val="-2"/>
          <w:sz w:val="21"/>
        </w:rPr>
        <w:t>规</w:t>
      </w:r>
      <w:r>
        <w:rPr>
          <w:spacing w:val="-2"/>
          <w:sz w:val="21"/>
        </w:rPr>
        <w:t>定管制的其他能够使</w:t>
      </w:r>
      <w:r>
        <w:rPr>
          <w:spacing w:val="-2"/>
          <w:sz w:val="21"/>
        </w:rPr>
        <w:t>人</w:t>
      </w:r>
      <w:r>
        <w:rPr>
          <w:spacing w:val="-2"/>
          <w:sz w:val="21"/>
        </w:rPr>
        <w:t>形</w:t>
      </w:r>
      <w:r>
        <w:rPr>
          <w:spacing w:val="-2"/>
          <w:sz w:val="21"/>
        </w:rPr>
        <w:t>成瘾癖的麻</w:t>
      </w:r>
      <w:r>
        <w:rPr>
          <w:spacing w:val="-2"/>
          <w:sz w:val="21"/>
        </w:rPr>
        <w:t>醉</w:t>
      </w:r>
      <w:r>
        <w:rPr>
          <w:spacing w:val="-2"/>
          <w:sz w:val="21"/>
        </w:rPr>
        <w:t>药</w:t>
      </w:r>
      <w:r>
        <w:rPr>
          <w:spacing w:val="-2"/>
          <w:sz w:val="21"/>
        </w:rPr>
        <w:t>品</w:t>
      </w:r>
      <w:r>
        <w:rPr>
          <w:spacing w:val="-2"/>
          <w:sz w:val="21"/>
        </w:rPr>
        <w:t>和</w:t>
      </w:r>
      <w:r>
        <w:rPr>
          <w:spacing w:val="-2"/>
          <w:sz w:val="21"/>
        </w:rPr>
        <w:t>精神药品，但不包括</w:t>
      </w:r>
      <w:r>
        <w:rPr>
          <w:spacing w:val="-2"/>
          <w:sz w:val="21"/>
        </w:rPr>
        <w:t>由</w:t>
      </w:r>
      <w:r>
        <w:rPr>
          <w:spacing w:val="-2"/>
          <w:sz w:val="21"/>
        </w:rPr>
        <w:t>医</w:t>
      </w:r>
      <w:r>
        <w:rPr>
          <w:spacing w:val="-2"/>
          <w:sz w:val="21"/>
        </w:rPr>
        <w:t>生开具并遵医嘱使用</w:t>
      </w:r>
      <w:r>
        <w:rPr>
          <w:spacing w:val="-2"/>
          <w:sz w:val="21"/>
        </w:rPr>
        <w:t>的</w:t>
      </w:r>
      <w:r>
        <w:rPr>
          <w:spacing w:val="-2"/>
          <w:sz w:val="21"/>
        </w:rPr>
        <w:t>用</w:t>
      </w:r>
      <w:r>
        <w:rPr>
          <w:spacing w:val="-2"/>
          <w:sz w:val="21"/>
        </w:rPr>
        <w:t>于治疗疾病</w:t>
      </w:r>
      <w:r>
        <w:rPr>
          <w:spacing w:val="-2"/>
          <w:sz w:val="21"/>
        </w:rPr>
        <w:t>但</w:t>
      </w:r>
      <w:r>
        <w:rPr>
          <w:spacing w:val="-2"/>
          <w:sz w:val="21"/>
        </w:rPr>
        <w:t>含</w:t>
      </w:r>
      <w:r>
        <w:rPr>
          <w:spacing w:val="-2"/>
          <w:sz w:val="21"/>
        </w:rPr>
        <w:t>有</w:t>
      </w:r>
      <w:r>
        <w:rPr>
          <w:spacing w:val="-2"/>
          <w:sz w:val="21"/>
        </w:rPr>
        <w:t>毒</w:t>
      </w:r>
      <w:r>
        <w:rPr>
          <w:spacing w:val="-2"/>
          <w:sz w:val="21"/>
        </w:rPr>
        <w:t>品成分的处方药</w:t>
      </w:r>
      <w:r>
        <w:rPr>
          <w:spacing w:val="-2"/>
          <w:sz w:val="21"/>
        </w:rPr>
        <w:t>品</w:t>
      </w:r>
      <w:r>
        <w:rPr>
          <w:spacing w:val="-2"/>
          <w:sz w:val="21"/>
        </w:rPr>
        <w:t>。</w:t>
      </w:r>
    </w:p>
    <w:p>
      <w:pPr>
        <w:pStyle w:val="ListParagraph"/>
        <w:numPr>
          <w:ilvl w:val="1"/>
          <w:numId w:val="13"/>
        </w:numPr>
        <w:tabs>
          <w:tab w:pos="1408" w:val="left" w:leader="none"/>
          <w:tab w:pos="1409" w:val="left" w:leader="none"/>
          <w:tab w:pos="2990" w:val="left" w:leader="none"/>
        </w:tabs>
        <w:spacing w:line="300" w:lineRule="auto" w:before="92" w:after="0"/>
        <w:ind w:left="2990" w:right="952" w:hanging="2766"/>
        <w:jc w:val="left"/>
        <w:rPr>
          <w:sz w:val="21"/>
        </w:rPr>
      </w:pPr>
      <w:r>
        <w:rPr>
          <w:spacing w:val="-4"/>
          <w:sz w:val="21"/>
        </w:rPr>
        <w:t>酒</w:t>
      </w:r>
      <w:r>
        <w:rPr>
          <w:spacing w:val="-4"/>
          <w:sz w:val="21"/>
        </w:rPr>
        <w:t>后</w:t>
      </w:r>
      <w:r>
        <w:rPr>
          <w:spacing w:val="-4"/>
          <w:sz w:val="21"/>
        </w:rPr>
        <w:t>驾驶</w:t>
      </w:r>
      <w:r>
        <w:rPr>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w:t>
      </w:r>
      <w:r>
        <w:rPr>
          <w:spacing w:val="-2"/>
          <w:sz w:val="21"/>
        </w:rPr>
        <w:t>含</w:t>
      </w:r>
      <w:r>
        <w:rPr>
          <w:spacing w:val="-2"/>
          <w:sz w:val="21"/>
        </w:rPr>
        <w:t>量</w:t>
      </w:r>
      <w:r>
        <w:rPr>
          <w:spacing w:val="-2"/>
          <w:sz w:val="21"/>
        </w:rPr>
        <w:t>达</w:t>
      </w:r>
      <w:r>
        <w:rPr>
          <w:spacing w:val="-2"/>
          <w:sz w:val="21"/>
        </w:rPr>
        <w:t>到</w:t>
      </w:r>
      <w:r>
        <w:rPr>
          <w:spacing w:val="-2"/>
          <w:sz w:val="21"/>
        </w:rPr>
        <w:t>或超过一定的标准</w:t>
      </w:r>
      <w:r>
        <w:rPr>
          <w:spacing w:val="-65"/>
          <w:sz w:val="21"/>
        </w:rPr>
        <w:t>，</w:t>
      </w:r>
      <w:r>
        <w:rPr>
          <w:spacing w:val="-2"/>
          <w:sz w:val="21"/>
        </w:rPr>
        <w:t>公</w:t>
      </w:r>
      <w:r>
        <w:rPr>
          <w:spacing w:val="-2"/>
          <w:sz w:val="21"/>
        </w:rPr>
        <w:t>安</w:t>
      </w:r>
      <w:r>
        <w:rPr>
          <w:spacing w:val="-2"/>
          <w:sz w:val="21"/>
        </w:rPr>
        <w:t>机关交通管理部门依</w:t>
      </w:r>
      <w:r>
        <w:rPr>
          <w:spacing w:val="-63"/>
          <w:sz w:val="21"/>
        </w:rPr>
        <w:t>据</w:t>
      </w:r>
      <w:r>
        <w:rPr>
          <w:spacing w:val="-2"/>
          <w:sz w:val="21"/>
        </w:rPr>
        <w:t>《道路</w:t>
      </w:r>
      <w:r>
        <w:rPr>
          <w:spacing w:val="-2"/>
          <w:sz w:val="21"/>
        </w:rPr>
        <w:t>交</w:t>
      </w:r>
      <w:r>
        <w:rPr>
          <w:spacing w:val="-2"/>
          <w:sz w:val="21"/>
        </w:rPr>
        <w:t>通</w:t>
      </w:r>
      <w:r>
        <w:rPr>
          <w:spacing w:val="-2"/>
          <w:sz w:val="21"/>
        </w:rPr>
        <w:t>安全法》</w:t>
      </w:r>
      <w:r>
        <w:rPr>
          <w:spacing w:val="-2"/>
          <w:sz w:val="21"/>
        </w:rPr>
        <w:t>的</w:t>
      </w:r>
      <w:r>
        <w:rPr>
          <w:spacing w:val="-2"/>
          <w:sz w:val="21"/>
        </w:rPr>
        <w:t>规</w:t>
      </w:r>
      <w:r>
        <w:rPr>
          <w:spacing w:val="-2"/>
          <w:sz w:val="21"/>
        </w:rPr>
        <w:t>定认定为饮酒后驾驶</w:t>
      </w:r>
      <w:r>
        <w:rPr>
          <w:spacing w:val="-2"/>
          <w:sz w:val="21"/>
        </w:rPr>
        <w:t>或</w:t>
      </w:r>
      <w:r>
        <w:rPr>
          <w:spacing w:val="-2"/>
          <w:sz w:val="21"/>
        </w:rPr>
        <w:t>醉</w:t>
      </w:r>
      <w:r>
        <w:rPr>
          <w:spacing w:val="-2"/>
          <w:sz w:val="21"/>
        </w:rPr>
        <w:t>酒后驾</w:t>
      </w:r>
      <w:r>
        <w:rPr>
          <w:spacing w:val="-2"/>
          <w:sz w:val="21"/>
        </w:rPr>
        <w:t>驶</w:t>
      </w:r>
      <w:r>
        <w:rPr>
          <w:spacing w:val="-2"/>
          <w:sz w:val="21"/>
        </w:rPr>
        <w:t>。</w:t>
      </w:r>
    </w:p>
    <w:p>
      <w:pPr>
        <w:spacing w:after="0" w:line="300" w:lineRule="auto"/>
        <w:jc w:val="left"/>
        <w:rPr>
          <w:sz w:val="21"/>
        </w:rPr>
        <w:sectPr>
          <w:pgSz w:w="11910" w:h="16840"/>
          <w:pgMar w:header="0" w:footer="857" w:top="1420" w:bottom="1180" w:left="1100" w:right="260"/>
        </w:sectPr>
      </w:pPr>
    </w:p>
    <w:p>
      <w:pPr>
        <w:pStyle w:val="ListParagraph"/>
        <w:numPr>
          <w:ilvl w:val="1"/>
          <w:numId w:val="13"/>
        </w:numPr>
        <w:tabs>
          <w:tab w:pos="1408" w:val="left" w:leader="none"/>
          <w:tab w:pos="1409" w:val="left" w:leader="none"/>
        </w:tabs>
        <w:spacing w:line="297" w:lineRule="auto" w:before="85" w:after="0"/>
        <w:ind w:left="1408" w:right="0" w:hanging="1184"/>
        <w:jc w:val="left"/>
        <w:rPr>
          <w:sz w:val="21"/>
        </w:rPr>
      </w:pPr>
      <w:r>
        <w:rPr>
          <w:spacing w:val="14"/>
          <w:sz w:val="21"/>
        </w:rPr>
        <w:t>无合法有效驾</w:t>
      </w:r>
      <w:r>
        <w:rPr>
          <w:spacing w:val="-4"/>
          <w:sz w:val="21"/>
        </w:rPr>
        <w:t>驶证驾驶</w:t>
      </w:r>
    </w:p>
    <w:p>
      <w:pPr>
        <w:pStyle w:val="BodyText"/>
        <w:spacing w:line="297" w:lineRule="auto" w:before="85"/>
        <w:ind w:left="175" w:right="3768"/>
      </w:pPr>
      <w:r>
        <w:rPr/>
        <w:br w:type="column"/>
      </w:r>
      <w:r>
        <w:rPr>
          <w:spacing w:val="-2"/>
        </w:rPr>
        <w:t>指发生保险事故时符合下列情形之一的：</w:t>
      </w:r>
      <w:r>
        <w:rPr>
          <w:spacing w:val="-2"/>
        </w:rPr>
        <w:t>一、没有驾驶证驾驶；</w:t>
      </w:r>
    </w:p>
    <w:p>
      <w:pPr>
        <w:pStyle w:val="BodyText"/>
        <w:spacing w:line="297" w:lineRule="auto"/>
        <w:ind w:left="175" w:right="3348"/>
      </w:pPr>
      <w:r>
        <w:rPr>
          <w:spacing w:val="-2"/>
        </w:rPr>
        <w:t>二、驾驶与驾驶证准驾车型不相符合的车辆；</w:t>
      </w:r>
      <w:r>
        <w:rPr>
          <w:spacing w:val="-2"/>
        </w:rPr>
        <w:t>三、持审验不合格的驾驶证驾驶；</w:t>
      </w:r>
    </w:p>
    <w:p>
      <w:pPr>
        <w:pStyle w:val="BodyText"/>
        <w:ind w:left="175"/>
      </w:pPr>
      <w:r>
        <w:rPr>
          <w:spacing w:val="-3"/>
        </w:rPr>
        <w:t>四、未经公安机关交通管理部门同意，持未审验的驾驶证驾驶；</w:t>
      </w:r>
    </w:p>
    <w:p>
      <w:pPr>
        <w:pStyle w:val="BodyText"/>
        <w:spacing w:line="297" w:lineRule="auto" w:before="67"/>
        <w:ind w:left="175" w:right="1039"/>
      </w:pPr>
      <w:r>
        <w:rPr>
          <w:spacing w:val="-2"/>
        </w:rPr>
        <w:t>五、持学习驾驶证学习驾车时，无教练员随车指导，或不按指定时间、</w:t>
      </w:r>
      <w:r>
        <w:rPr>
          <w:spacing w:val="-2"/>
        </w:rPr>
        <w:t>路线学习驾车；</w:t>
      </w:r>
    </w:p>
    <w:p>
      <w:pPr>
        <w:pStyle w:val="BodyText"/>
        <w:ind w:left="175"/>
      </w:pPr>
      <w:r>
        <w:rPr>
          <w:spacing w:val="-3"/>
        </w:rPr>
        <w:t>六、公安机关交通管理部门规定的其他无有效驾驶证驾驶的情况。</w:t>
      </w:r>
    </w:p>
    <w:p>
      <w:pPr>
        <w:spacing w:after="0"/>
        <w:sectPr>
          <w:type w:val="continuous"/>
          <w:pgSz w:w="11910" w:h="16840"/>
          <w:pgMar w:header="0" w:footer="857" w:top="320" w:bottom="1040" w:left="1100" w:right="260"/>
          <w:cols w:num="2" w:equalWidth="0">
            <w:col w:w="2776" w:space="40"/>
            <w:col w:w="7734"/>
          </w:cols>
        </w:sectPr>
      </w:pPr>
    </w:p>
    <w:p>
      <w:pPr>
        <w:pStyle w:val="ListParagraph"/>
        <w:numPr>
          <w:ilvl w:val="1"/>
          <w:numId w:val="13"/>
        </w:numPr>
        <w:tabs>
          <w:tab w:pos="1408" w:val="left" w:leader="none"/>
          <w:tab w:pos="1409" w:val="left" w:leader="none"/>
        </w:tabs>
        <w:spacing w:line="297" w:lineRule="auto" w:before="156" w:after="0"/>
        <w:ind w:left="1408" w:right="0" w:hanging="1184"/>
        <w:jc w:val="left"/>
        <w:rPr>
          <w:sz w:val="21"/>
        </w:rPr>
      </w:pPr>
      <w:r>
        <w:rPr>
          <w:spacing w:val="14"/>
          <w:sz w:val="21"/>
        </w:rPr>
        <w:t>无合法有效行</w:t>
      </w:r>
      <w:r>
        <w:rPr>
          <w:spacing w:val="-6"/>
          <w:sz w:val="21"/>
        </w:rPr>
        <w:t>驶证</w:t>
      </w:r>
    </w:p>
    <w:p>
      <w:pPr>
        <w:pStyle w:val="BodyText"/>
        <w:spacing w:before="156"/>
        <w:ind w:left="174"/>
      </w:pPr>
      <w:r>
        <w:rPr/>
        <w:br w:type="column"/>
      </w:r>
      <w:r>
        <w:rPr>
          <w:spacing w:val="-3"/>
        </w:rPr>
        <w:t>指发生保险事故时机动车符合下列情形之一的：</w:t>
      </w:r>
    </w:p>
    <w:p>
      <w:pPr>
        <w:pStyle w:val="BodyText"/>
        <w:spacing w:line="297" w:lineRule="auto" w:before="65"/>
        <w:ind w:left="174" w:right="1060"/>
      </w:pPr>
      <w:r>
        <w:rPr>
          <w:spacing w:val="-2"/>
        </w:rPr>
        <w:t>一、没有公安机关交通管理部门核发的行驶证、机动车号牌或检验合格</w:t>
      </w:r>
      <w:r>
        <w:rPr>
          <w:spacing w:val="-4"/>
        </w:rPr>
        <w:t>标志；</w:t>
      </w:r>
    </w:p>
    <w:p>
      <w:pPr>
        <w:pStyle w:val="BodyText"/>
        <w:spacing w:line="297" w:lineRule="auto"/>
        <w:ind w:left="174" w:right="1456"/>
      </w:pPr>
      <w:r>
        <w:rPr>
          <w:spacing w:val="-2"/>
        </w:rPr>
        <w:t>二、安全技术检验不合格、未按期或未按规定进行安全技术检验；</w:t>
      </w:r>
      <w:r>
        <w:rPr>
          <w:spacing w:val="-2"/>
        </w:rPr>
        <w:t>三、在停驶期间行驶；</w:t>
      </w:r>
    </w:p>
    <w:p>
      <w:pPr>
        <w:pStyle w:val="BodyText"/>
        <w:spacing w:line="297" w:lineRule="auto" w:before="2"/>
        <w:ind w:left="174" w:right="954"/>
      </w:pPr>
      <w:r>
        <w:rPr>
          <w:spacing w:val="-4"/>
        </w:rPr>
        <w:t>四、使用伪造的、变造的或其他机动车的行驶证、号牌或检验合格标志；</w:t>
      </w:r>
      <w:r>
        <w:rPr>
          <w:spacing w:val="-2"/>
        </w:rPr>
        <w:t>五、未经公安机关交通管理部门同意，拼装机动车或改变机动车已登记</w:t>
      </w:r>
      <w:r>
        <w:rPr>
          <w:spacing w:val="-2"/>
        </w:rPr>
        <w:t>的结构、构造或特征；</w:t>
      </w:r>
    </w:p>
    <w:p>
      <w:pPr>
        <w:pStyle w:val="BodyText"/>
        <w:ind w:left="174"/>
      </w:pPr>
      <w:r>
        <w:rPr>
          <w:spacing w:val="-3"/>
        </w:rPr>
        <w:t>六、公安机关交通管理部门规定的其他无有效行驶证件的情况。</w:t>
      </w:r>
    </w:p>
    <w:p>
      <w:pPr>
        <w:spacing w:after="0"/>
        <w:sectPr>
          <w:type w:val="continuous"/>
          <w:pgSz w:w="11910" w:h="16840"/>
          <w:pgMar w:header="0" w:footer="857" w:top="320" w:bottom="1040" w:left="1100" w:right="260"/>
          <w:cols w:num="2" w:equalWidth="0">
            <w:col w:w="2776" w:space="40"/>
            <w:col w:w="7734"/>
          </w:cols>
        </w:sectPr>
      </w:pPr>
    </w:p>
    <w:p>
      <w:pPr>
        <w:pStyle w:val="ListParagraph"/>
        <w:numPr>
          <w:ilvl w:val="1"/>
          <w:numId w:val="13"/>
        </w:numPr>
        <w:tabs>
          <w:tab w:pos="1408" w:val="left" w:leader="none"/>
          <w:tab w:pos="1409" w:val="left" w:leader="none"/>
        </w:tabs>
        <w:spacing w:line="297" w:lineRule="auto" w:before="156" w:after="0"/>
        <w:ind w:left="1408" w:right="0" w:hanging="1184"/>
        <w:jc w:val="left"/>
        <w:rPr>
          <w:sz w:val="21"/>
        </w:rPr>
      </w:pPr>
      <w:r>
        <w:rPr>
          <w:spacing w:val="14"/>
          <w:sz w:val="21"/>
        </w:rPr>
        <w:t>感染艾滋病病</w:t>
      </w:r>
      <w:r>
        <w:rPr>
          <w:spacing w:val="-2"/>
          <w:sz w:val="21"/>
        </w:rPr>
        <w:t>毒或患艾滋病</w:t>
      </w:r>
    </w:p>
    <w:p>
      <w:pPr>
        <w:pStyle w:val="BodyText"/>
        <w:spacing w:line="297" w:lineRule="auto" w:before="156"/>
        <w:ind w:left="175" w:right="1058"/>
      </w:pPr>
      <w:r>
        <w:rPr/>
        <w:br w:type="column"/>
      </w:r>
      <w:r>
        <w:rPr>
          <w:spacing w:val="-2"/>
        </w:rPr>
        <w:t>艾滋病病毒指人类免疫缺陷病毒，英文缩写为 </w:t>
      </w:r>
      <w:r>
        <w:rPr/>
        <w:t>HIV。艾滋病指人类免疫</w:t>
      </w:r>
      <w:r>
        <w:rPr>
          <w:spacing w:val="-2"/>
        </w:rPr>
        <w:t>缺陷病毒引起的获得性免疫缺陷综合征，英文缩写为 </w:t>
      </w:r>
      <w:r>
        <w:rPr/>
        <w:t>AIDS。</w:t>
      </w:r>
    </w:p>
    <w:p>
      <w:pPr>
        <w:pStyle w:val="BodyText"/>
        <w:ind w:left="175"/>
      </w:pPr>
      <w:r>
        <w:rPr>
          <w:spacing w:val="-5"/>
        </w:rPr>
        <w:t>在人体血液或其他样本中检测到艾滋病病毒或其抗体呈阳性，没有出现</w:t>
      </w:r>
    </w:p>
    <w:p>
      <w:pPr>
        <w:spacing w:after="0"/>
        <w:sectPr>
          <w:type w:val="continuous"/>
          <w:pgSz w:w="11910" w:h="16840"/>
          <w:pgMar w:header="0" w:footer="857" w:top="320" w:bottom="1040" w:left="1100" w:right="260"/>
          <w:cols w:num="2" w:equalWidth="0">
            <w:col w:w="2776" w:space="40"/>
            <w:col w:w="7734"/>
          </w:cols>
        </w:sectPr>
      </w:pPr>
    </w:p>
    <w:p>
      <w:pPr>
        <w:pStyle w:val="BodyText"/>
        <w:spacing w:line="297" w:lineRule="auto" w:before="60"/>
        <w:ind w:left="2990" w:right="1060"/>
      </w:pPr>
      <w:r>
        <w:rPr>
          <w:spacing w:val="-2"/>
        </w:rPr>
        <w:t>临床症状或体征的，为感染艾滋病病毒；如果同时出现了明显临床症状</w:t>
      </w:r>
      <w:r>
        <w:rPr>
          <w:spacing w:val="-2"/>
        </w:rPr>
        <w:t>或体征的，为患艾滋病。</w:t>
      </w:r>
    </w:p>
    <w:p>
      <w:pPr>
        <w:pStyle w:val="ListParagraph"/>
        <w:numPr>
          <w:ilvl w:val="1"/>
          <w:numId w:val="13"/>
        </w:numPr>
        <w:tabs>
          <w:tab w:pos="1408" w:val="left" w:leader="none"/>
          <w:tab w:pos="1409" w:val="left" w:leader="none"/>
          <w:tab w:pos="2990" w:val="left" w:leader="none"/>
        </w:tabs>
        <w:spacing w:line="300" w:lineRule="auto" w:before="89" w:after="0"/>
        <w:ind w:left="2990" w:right="1058" w:hanging="2766"/>
        <w:jc w:val="left"/>
        <w:rPr>
          <w:sz w:val="21"/>
        </w:rPr>
      </w:pPr>
      <w:r>
        <w:rPr>
          <w:spacing w:val="-2"/>
          <w:sz w:val="21"/>
        </w:rPr>
        <w:t>遗</w:t>
      </w:r>
      <w:r>
        <w:rPr>
          <w:spacing w:val="-2"/>
          <w:sz w:val="21"/>
        </w:rPr>
        <w:t>传</w:t>
      </w:r>
      <w:r>
        <w:rPr>
          <w:spacing w:val="-2"/>
          <w:sz w:val="21"/>
        </w:rPr>
        <w:t>性</w:t>
      </w:r>
      <w:r>
        <w:rPr>
          <w:spacing w:val="-2"/>
          <w:sz w:val="21"/>
        </w:rPr>
        <w:t>疾</w:t>
      </w:r>
      <w:r>
        <w:rPr>
          <w:spacing w:val="-2"/>
          <w:sz w:val="21"/>
        </w:rPr>
        <w:t>病</w:t>
      </w:r>
      <w:r>
        <w:rPr>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突变或畸变</w:t>
      </w:r>
      <w:r>
        <w:rPr>
          <w:spacing w:val="-2"/>
          <w:sz w:val="21"/>
        </w:rPr>
        <w:t>所</w:t>
      </w:r>
      <w:r>
        <w:rPr>
          <w:spacing w:val="-2"/>
          <w:sz w:val="21"/>
        </w:rPr>
        <w:t>引</w:t>
      </w:r>
      <w:r>
        <w:rPr>
          <w:spacing w:val="-2"/>
          <w:sz w:val="21"/>
        </w:rPr>
        <w:t>起</w:t>
      </w:r>
      <w:r>
        <w:rPr>
          <w:spacing w:val="-2"/>
          <w:sz w:val="21"/>
        </w:rPr>
        <w:t>的</w:t>
      </w:r>
      <w:r>
        <w:rPr>
          <w:spacing w:val="-2"/>
          <w:sz w:val="21"/>
        </w:rPr>
        <w:t>疾病，通常具有由亲</w:t>
      </w:r>
      <w:r>
        <w:rPr>
          <w:spacing w:val="-2"/>
          <w:sz w:val="21"/>
        </w:rPr>
        <w:t>代</w:t>
      </w:r>
      <w:r>
        <w:rPr>
          <w:spacing w:val="-2"/>
          <w:sz w:val="21"/>
        </w:rPr>
        <w:t>传</w:t>
      </w:r>
      <w:r>
        <w:rPr>
          <w:spacing w:val="-2"/>
          <w:sz w:val="21"/>
        </w:rPr>
        <w:t>至后代的垂直传递的</w:t>
      </w:r>
      <w:r>
        <w:rPr>
          <w:spacing w:val="-2"/>
          <w:sz w:val="21"/>
        </w:rPr>
        <w:t>特</w:t>
      </w:r>
      <w:r>
        <w:rPr>
          <w:spacing w:val="-2"/>
          <w:sz w:val="21"/>
        </w:rPr>
        <w:t>征</w:t>
      </w:r>
      <w:r>
        <w:rPr>
          <w:spacing w:val="-2"/>
          <w:sz w:val="21"/>
        </w:rPr>
        <w:t>。</w:t>
      </w:r>
    </w:p>
    <w:p>
      <w:pPr>
        <w:spacing w:after="0" w:line="300" w:lineRule="auto"/>
        <w:jc w:val="left"/>
        <w:rPr>
          <w:sz w:val="21"/>
        </w:rPr>
        <w:sectPr>
          <w:pgSz w:w="11910" w:h="16840"/>
          <w:pgMar w:header="0" w:footer="857" w:top="1420" w:bottom="1180" w:left="1100" w:right="260"/>
        </w:sectPr>
      </w:pPr>
    </w:p>
    <w:p>
      <w:pPr>
        <w:pStyle w:val="ListParagraph"/>
        <w:numPr>
          <w:ilvl w:val="1"/>
          <w:numId w:val="13"/>
        </w:numPr>
        <w:tabs>
          <w:tab w:pos="1409" w:val="left" w:leader="none"/>
        </w:tabs>
        <w:spacing w:line="297" w:lineRule="auto" w:before="86" w:after="0"/>
        <w:ind w:left="1408" w:right="0" w:hanging="1184"/>
        <w:jc w:val="both"/>
        <w:rPr>
          <w:sz w:val="21"/>
        </w:rPr>
      </w:pPr>
      <w:r>
        <w:rPr>
          <w:spacing w:val="-18"/>
          <w:sz w:val="21"/>
        </w:rPr>
        <w:t>先天性畸形、变</w:t>
      </w:r>
      <w:r>
        <w:rPr>
          <w:spacing w:val="14"/>
          <w:sz w:val="21"/>
        </w:rPr>
        <w:t>形或染色体异</w:t>
      </w:r>
      <w:r>
        <w:rPr>
          <w:spacing w:val="-10"/>
          <w:sz w:val="21"/>
        </w:rPr>
        <w:t>常</w:t>
      </w:r>
    </w:p>
    <w:p>
      <w:pPr>
        <w:pStyle w:val="BodyText"/>
        <w:spacing w:line="297" w:lineRule="auto" w:before="86"/>
        <w:ind w:left="174" w:right="1058"/>
        <w:jc w:val="both"/>
      </w:pPr>
      <w:r>
        <w:rPr/>
        <w:br w:type="column"/>
      </w:r>
      <w:r>
        <w:rPr>
          <w:spacing w:val="-2"/>
        </w:rPr>
        <w:t>指被保险人出生时就具有的畸形、变形或染色体异常。先天性畸形、变</w:t>
      </w:r>
      <w:r>
        <w:rPr>
          <w:spacing w:val="-2"/>
        </w:rPr>
        <w:t>形和染色体异常依照世界卫生组织《疾病和有关健康问题的国际统计分</w:t>
      </w:r>
      <w:r>
        <w:rPr>
          <w:spacing w:val="-54"/>
        </w:rPr>
        <w:t>类》</w:t>
      </w:r>
      <w:r>
        <w:rPr>
          <w:spacing w:val="-2"/>
        </w:rPr>
        <w:t>（ICD-10）确定。</w:t>
      </w:r>
    </w:p>
    <w:p>
      <w:pPr>
        <w:spacing w:after="0" w:line="297" w:lineRule="auto"/>
        <w:jc w:val="both"/>
        <w:sectPr>
          <w:type w:val="continuous"/>
          <w:pgSz w:w="11910" w:h="16840"/>
          <w:pgMar w:header="0" w:footer="857" w:top="320" w:bottom="1040" w:left="1100" w:right="260"/>
          <w:cols w:num="2" w:equalWidth="0">
            <w:col w:w="2777" w:space="40"/>
            <w:col w:w="7733"/>
          </w:cols>
        </w:sectPr>
      </w:pPr>
    </w:p>
    <w:p>
      <w:pPr>
        <w:pStyle w:val="ListParagraph"/>
        <w:numPr>
          <w:ilvl w:val="1"/>
          <w:numId w:val="13"/>
        </w:numPr>
        <w:tabs>
          <w:tab w:pos="1409" w:val="left" w:leader="none"/>
        </w:tabs>
        <w:spacing w:line="297" w:lineRule="auto" w:before="93" w:after="0"/>
        <w:ind w:left="2990" w:right="1041" w:hanging="2766"/>
        <w:jc w:val="both"/>
        <w:rPr>
          <w:sz w:val="21"/>
        </w:rPr>
      </w:pPr>
      <w:r>
        <w:rPr>
          <w:sz w:val="21"/>
        </w:rPr>
        <w:t>有效身份证件 指政府有权机关颁发的能够证明其合法真实身份的证件或文件等，如居</w:t>
      </w:r>
      <w:r>
        <w:rPr>
          <w:spacing w:val="-2"/>
          <w:sz w:val="21"/>
        </w:rPr>
        <w:t>民身份证、按规定可使用的有效护照、军官证、警官证、营业执照等。</w:t>
      </w:r>
    </w:p>
    <w:p>
      <w:pPr>
        <w:pStyle w:val="ListParagraph"/>
        <w:numPr>
          <w:ilvl w:val="1"/>
          <w:numId w:val="13"/>
        </w:numPr>
        <w:tabs>
          <w:tab w:pos="1409" w:val="left" w:leader="none"/>
        </w:tabs>
        <w:spacing w:line="240" w:lineRule="auto" w:before="90" w:after="0"/>
        <w:ind w:left="1408" w:right="0" w:hanging="1184"/>
        <w:jc w:val="both"/>
        <w:rPr>
          <w:sz w:val="21"/>
        </w:rPr>
      </w:pPr>
      <w:r>
        <w:rPr>
          <w:sz w:val="21"/>
        </w:rPr>
        <w:t>不可抗力</w:t>
      </w:r>
      <w:r>
        <w:rPr>
          <w:spacing w:val="603"/>
          <w:sz w:val="21"/>
        </w:rPr>
        <w:t> </w:t>
      </w:r>
      <w:r>
        <w:rPr>
          <w:spacing w:val="-1"/>
          <w:sz w:val="21"/>
        </w:rPr>
        <w:t>指不能预见、不能避免并不能克服的客观情况。</w:t>
      </w:r>
    </w:p>
    <w:p>
      <w:pPr>
        <w:pStyle w:val="ListParagraph"/>
        <w:numPr>
          <w:ilvl w:val="1"/>
          <w:numId w:val="13"/>
        </w:numPr>
        <w:tabs>
          <w:tab w:pos="1409" w:val="left" w:leader="none"/>
          <w:tab w:pos="2990" w:val="left" w:leader="none"/>
        </w:tabs>
        <w:spacing w:line="297" w:lineRule="auto" w:before="156" w:after="0"/>
        <w:ind w:left="2990" w:right="1058" w:hanging="2766"/>
        <w:jc w:val="both"/>
        <w:rPr>
          <w:sz w:val="21"/>
        </w:rPr>
      </w:pPr>
      <w:r>
        <w:rPr>
          <w:spacing w:val="-6"/>
          <w:sz w:val="21"/>
        </w:rPr>
        <w:t>利</w:t>
      </w:r>
      <w:r>
        <w:rPr>
          <w:spacing w:val="-6"/>
          <w:sz w:val="21"/>
        </w:rPr>
        <w:t>息</w:t>
      </w:r>
      <w:r>
        <w:rPr>
          <w:sz w:val="21"/>
        </w:rPr>
        <w:tab/>
      </w:r>
      <w:r>
        <w:rPr>
          <w:spacing w:val="-2"/>
          <w:sz w:val="21"/>
        </w:rPr>
        <w:t>按</w:t>
      </w:r>
      <w:r>
        <w:rPr>
          <w:spacing w:val="-2"/>
          <w:sz w:val="21"/>
        </w:rPr>
        <w:t>借</w:t>
      </w:r>
      <w:r>
        <w:rPr>
          <w:spacing w:val="-2"/>
          <w:sz w:val="21"/>
        </w:rPr>
        <w:t>款利率计算。借款利</w:t>
      </w:r>
      <w:r>
        <w:rPr>
          <w:spacing w:val="-2"/>
          <w:sz w:val="21"/>
        </w:rPr>
        <w:t>率</w:t>
      </w:r>
      <w:r>
        <w:rPr>
          <w:spacing w:val="-2"/>
          <w:sz w:val="21"/>
        </w:rPr>
        <w:t>参</w:t>
      </w:r>
      <w:r>
        <w:rPr>
          <w:spacing w:val="-2"/>
          <w:sz w:val="21"/>
        </w:rPr>
        <w:t>照借款时中国人民银</w:t>
      </w:r>
      <w:r>
        <w:rPr>
          <w:spacing w:val="-2"/>
          <w:sz w:val="21"/>
        </w:rPr>
        <w:t>行</w:t>
      </w:r>
      <w:r>
        <w:rPr>
          <w:spacing w:val="-2"/>
          <w:sz w:val="21"/>
        </w:rPr>
        <w:t>公</w:t>
      </w:r>
      <w:r>
        <w:rPr>
          <w:spacing w:val="-2"/>
          <w:sz w:val="21"/>
        </w:rPr>
        <w:t>布的人民币</w:t>
      </w:r>
      <w:r>
        <w:rPr>
          <w:spacing w:val="-2"/>
          <w:sz w:val="21"/>
        </w:rPr>
        <w:t>一</w:t>
      </w:r>
      <w:r>
        <w:rPr>
          <w:spacing w:val="-2"/>
          <w:sz w:val="21"/>
        </w:rPr>
        <w:t>年</w:t>
      </w:r>
      <w:r>
        <w:rPr>
          <w:sz w:val="21"/>
        </w:rPr>
        <w:t>期贷款基准利率及我们公</w:t>
      </w:r>
      <w:r>
        <w:rPr>
          <w:sz w:val="21"/>
        </w:rPr>
        <w:t>司资金成本确定，但不低</w:t>
      </w:r>
      <w:r>
        <w:rPr>
          <w:sz w:val="21"/>
        </w:rPr>
        <w:t>于年利率</w:t>
      </w:r>
      <w:r>
        <w:rPr>
          <w:spacing w:val="-42"/>
          <w:sz w:val="21"/>
        </w:rPr>
        <w:t> </w:t>
      </w:r>
      <w:r>
        <w:rPr>
          <w:sz w:val="21"/>
        </w:rPr>
        <w:t>4%。</w:t>
      </w:r>
    </w:p>
    <w:p>
      <w:pPr>
        <w:pStyle w:val="ListParagraph"/>
        <w:numPr>
          <w:ilvl w:val="1"/>
          <w:numId w:val="13"/>
        </w:numPr>
        <w:tabs>
          <w:tab w:pos="1409" w:val="left" w:leader="none"/>
        </w:tabs>
        <w:spacing w:line="297" w:lineRule="auto" w:before="91" w:after="0"/>
        <w:ind w:left="2990" w:right="1058" w:hanging="2766"/>
        <w:jc w:val="both"/>
        <w:rPr>
          <w:sz w:val="21"/>
        </w:rPr>
      </w:pPr>
      <w:r>
        <w:rPr>
          <w:sz w:val="21"/>
        </w:rPr>
        <w:t>专科医生</w:t>
      </w:r>
      <w:r>
        <w:rPr>
          <w:spacing w:val="80"/>
          <w:w w:val="150"/>
          <w:sz w:val="21"/>
        </w:rPr>
        <w:t>   </w:t>
      </w:r>
      <w:r>
        <w:rPr>
          <w:sz w:val="21"/>
        </w:rPr>
        <w:t>专科医生应当同时满足以下四项资格条件：（1）具有有效的中华人民</w:t>
      </w:r>
      <w:r>
        <w:rPr>
          <w:spacing w:val="-2"/>
          <w:sz w:val="21"/>
        </w:rPr>
        <w:t>共和国《医师资格证书》；（2）具有有效的中华人民共和国《医师执</w:t>
      </w:r>
      <w:r>
        <w:rPr>
          <w:spacing w:val="-2"/>
          <w:sz w:val="21"/>
        </w:rPr>
        <w:t>业证书》，并按期到相关部门登记注册；（3）具有有效的中华人民共</w:t>
      </w:r>
      <w:r>
        <w:rPr>
          <w:spacing w:val="-2"/>
          <w:sz w:val="21"/>
        </w:rPr>
        <w:t>和国主治医师或主治医师以上职称的《医师职称证书》；（4）在国家</w:t>
      </w:r>
    </w:p>
    <w:p>
      <w:pPr>
        <w:pStyle w:val="BodyText"/>
        <w:spacing w:line="297" w:lineRule="auto" w:before="2"/>
        <w:ind w:left="2990" w:right="1058"/>
      </w:pPr>
      <w:r>
        <w:rPr>
          <w:spacing w:val="-2"/>
        </w:rPr>
        <w:t>《医院分级管理标准》二级或二级以上医院的相应科室从事临床工作三</w:t>
      </w:r>
      <w:r>
        <w:rPr>
          <w:spacing w:val="-4"/>
        </w:rPr>
        <w:t>年以上。</w:t>
      </w:r>
    </w:p>
    <w:p>
      <w:pPr>
        <w:spacing w:after="0" w:line="297" w:lineRule="auto"/>
        <w:sectPr>
          <w:type w:val="continuous"/>
          <w:pgSz w:w="11910" w:h="16840"/>
          <w:pgMar w:header="0" w:footer="857" w:top="320" w:bottom="1040" w:left="1100" w:right="260"/>
        </w:sectPr>
      </w:pPr>
    </w:p>
    <w:p>
      <w:pPr>
        <w:pStyle w:val="ListParagraph"/>
        <w:numPr>
          <w:ilvl w:val="1"/>
          <w:numId w:val="13"/>
        </w:numPr>
        <w:tabs>
          <w:tab w:pos="1408" w:val="left" w:leader="none"/>
          <w:tab w:pos="1409" w:val="left" w:leader="none"/>
        </w:tabs>
        <w:spacing w:line="297" w:lineRule="auto" w:before="91" w:after="0"/>
        <w:ind w:left="1408" w:right="1" w:hanging="1184"/>
        <w:jc w:val="left"/>
        <w:rPr>
          <w:sz w:val="21"/>
        </w:rPr>
      </w:pPr>
      <w:r>
        <w:rPr>
          <w:spacing w:val="14"/>
          <w:sz w:val="21"/>
        </w:rPr>
        <w:t>组织病理学检</w:t>
      </w:r>
      <w:r>
        <w:rPr>
          <w:spacing w:val="-10"/>
          <w:sz w:val="21"/>
        </w:rPr>
        <w:t>查</w:t>
      </w:r>
    </w:p>
    <w:p>
      <w:pPr>
        <w:pStyle w:val="BodyText"/>
        <w:rPr>
          <w:sz w:val="20"/>
        </w:rPr>
      </w:pPr>
    </w:p>
    <w:p>
      <w:pPr>
        <w:pStyle w:val="BodyText"/>
        <w:rPr>
          <w:sz w:val="20"/>
        </w:rPr>
      </w:pPr>
    </w:p>
    <w:p>
      <w:pPr>
        <w:pStyle w:val="BodyText"/>
        <w:rPr>
          <w:sz w:val="20"/>
        </w:rPr>
      </w:pPr>
    </w:p>
    <w:p>
      <w:pPr>
        <w:pStyle w:val="BodyText"/>
        <w:spacing w:before="3"/>
        <w:rPr>
          <w:sz w:val="25"/>
        </w:rPr>
      </w:pPr>
    </w:p>
    <w:p>
      <w:pPr>
        <w:pStyle w:val="ListParagraph"/>
        <w:numPr>
          <w:ilvl w:val="1"/>
          <w:numId w:val="13"/>
        </w:numPr>
        <w:tabs>
          <w:tab w:pos="1408" w:val="left" w:leader="none"/>
          <w:tab w:pos="1409" w:val="left" w:leader="none"/>
          <w:tab w:pos="2565" w:val="left" w:leader="none"/>
        </w:tabs>
        <w:spacing w:line="300" w:lineRule="auto" w:before="0" w:after="0"/>
        <w:ind w:left="1408" w:right="0" w:hanging="1184"/>
        <w:jc w:val="left"/>
        <w:rPr>
          <w:sz w:val="21"/>
        </w:rPr>
      </w:pPr>
      <w:r>
        <w:rPr>
          <w:spacing w:val="-2"/>
          <w:sz w:val="21"/>
        </w:rPr>
        <w:t>ICD-10</w:t>
      </w:r>
      <w:r>
        <w:rPr>
          <w:sz w:val="21"/>
        </w:rPr>
        <w:tab/>
      </w:r>
      <w:r>
        <w:rPr>
          <w:spacing w:val="-10"/>
          <w:sz w:val="21"/>
        </w:rPr>
        <w:t>与</w:t>
      </w:r>
      <w:r>
        <w:rPr>
          <w:spacing w:val="-10"/>
          <w:sz w:val="21"/>
        </w:rPr>
        <w:t> </w:t>
      </w:r>
      <w:r>
        <w:rPr>
          <w:spacing w:val="-2"/>
          <w:sz w:val="21"/>
        </w:rPr>
        <w:t>ICD-O-3</w:t>
      </w:r>
    </w:p>
    <w:p>
      <w:pPr>
        <w:pStyle w:val="BodyText"/>
        <w:spacing w:line="297" w:lineRule="auto" w:before="91"/>
        <w:ind w:left="174" w:right="1058"/>
      </w:pPr>
      <w:r>
        <w:rPr/>
        <w:br w:type="column"/>
      </w:r>
      <w:r>
        <w:rPr>
          <w:spacing w:val="-2"/>
        </w:rPr>
        <w:t>组织病理学检查是通过局部切除、钳取、穿刺等手术方法，从患者机体</w:t>
      </w:r>
      <w:r>
        <w:rPr>
          <w:spacing w:val="-2"/>
        </w:rPr>
        <w:t>采取病变组织块，经过包埋、切片后，进行病理检查的方法。</w:t>
      </w:r>
    </w:p>
    <w:p>
      <w:pPr>
        <w:spacing w:line="297" w:lineRule="auto" w:before="0"/>
        <w:ind w:left="174" w:right="1061" w:firstLine="0"/>
        <w:jc w:val="both"/>
        <w:rPr>
          <w:b/>
          <w:sz w:val="21"/>
        </w:rPr>
      </w:pPr>
      <w:r>
        <w:rPr>
          <w:b/>
          <w:spacing w:val="-2"/>
          <w:sz w:val="21"/>
        </w:rPr>
        <w:t>通过采集病变部位脱落细胞、细针吸取病变部位细胞、体腔积液分离病</w:t>
      </w:r>
      <w:r>
        <w:rPr>
          <w:b/>
          <w:spacing w:val="-2"/>
          <w:sz w:val="21"/>
        </w:rPr>
        <w:t>变细胞等方式获取病变细胞，制成涂片，进行病理检查的方法，属于细</w:t>
      </w:r>
      <w:r>
        <w:rPr>
          <w:b/>
          <w:spacing w:val="-2"/>
          <w:sz w:val="21"/>
        </w:rPr>
        <w:t>胞病理学检查，不属于组织病理学检查。</w:t>
      </w:r>
    </w:p>
    <w:p>
      <w:pPr>
        <w:pStyle w:val="BodyText"/>
        <w:spacing w:line="297" w:lineRule="auto" w:before="91"/>
        <w:ind w:left="174" w:right="988"/>
        <w:jc w:val="both"/>
      </w:pPr>
      <w:r>
        <w:rPr>
          <w:spacing w:val="-5"/>
          <w:w w:val="100"/>
        </w:rPr>
        <w:t>《疾病和有关健康问题的国际统计分类》第十次修订版</w:t>
      </w:r>
      <w:r>
        <w:rPr>
          <w:w w:val="100"/>
        </w:rPr>
        <w:t>（IC</w:t>
      </w:r>
      <w:r>
        <w:rPr>
          <w:spacing w:val="-3"/>
          <w:w w:val="100"/>
        </w:rPr>
        <w:t>D</w:t>
      </w:r>
      <w:r>
        <w:rPr>
          <w:w w:val="100"/>
        </w:rPr>
        <w:t>-1</w:t>
      </w:r>
      <w:r>
        <w:rPr>
          <w:spacing w:val="-3"/>
          <w:w w:val="100"/>
        </w:rPr>
        <w:t>0</w:t>
      </w:r>
      <w:r>
        <w:rPr>
          <w:spacing w:val="-5"/>
          <w:w w:val="100"/>
        </w:rPr>
        <w:t>）</w:t>
      </w:r>
      <w:r>
        <w:rPr>
          <w:spacing w:val="-4"/>
          <w:w w:val="100"/>
        </w:rPr>
        <w:t>，是</w:t>
      </w:r>
      <w:r>
        <w:rPr>
          <w:spacing w:val="1"/>
          <w:w w:val="100"/>
        </w:rPr>
        <w:t>世界卫生组织</w:t>
      </w:r>
      <w:r>
        <w:rPr>
          <w:spacing w:val="3"/>
          <w:w w:val="100"/>
        </w:rPr>
        <w:t>（</w:t>
      </w:r>
      <w:r>
        <w:rPr>
          <w:w w:val="100"/>
        </w:rPr>
        <w:t>WHO</w:t>
      </w:r>
      <w:r>
        <w:rPr>
          <w:spacing w:val="2"/>
          <w:w w:val="100"/>
        </w:rPr>
        <w:t>）</w:t>
      </w:r>
      <w:r>
        <w:rPr>
          <w:w w:val="100"/>
        </w:rPr>
        <w:t>发布的国际通用的疾病分类方法。《国际疾病分</w:t>
      </w:r>
      <w:r>
        <w:rPr>
          <w:spacing w:val="-3"/>
          <w:w w:val="100"/>
        </w:rPr>
        <w:t>类肿瘤学专辑》第三版（I</w:t>
      </w:r>
      <w:r>
        <w:rPr>
          <w:w w:val="100"/>
        </w:rPr>
        <w:t>CD-O-</w:t>
      </w:r>
      <w:r>
        <w:rPr>
          <w:spacing w:val="-3"/>
          <w:w w:val="100"/>
        </w:rPr>
        <w:t>3</w:t>
      </w:r>
      <w:r>
        <w:rPr>
          <w:w w:val="100"/>
        </w:rPr>
        <w:t>）</w:t>
      </w:r>
      <w:r>
        <w:rPr>
          <w:spacing w:val="-2"/>
          <w:w w:val="100"/>
        </w:rPr>
        <w:t>，是</w:t>
      </w:r>
      <w:r>
        <w:rPr>
          <w:spacing w:val="-31"/>
        </w:rPr>
        <w:t> </w:t>
      </w:r>
      <w:r>
        <w:rPr>
          <w:spacing w:val="-3"/>
          <w:w w:val="100"/>
        </w:rPr>
        <w:t>W</w:t>
      </w:r>
      <w:r>
        <w:rPr>
          <w:w w:val="100"/>
        </w:rPr>
        <w:t>HO</w:t>
      </w:r>
      <w:r>
        <w:rPr>
          <w:spacing w:val="-34"/>
        </w:rPr>
        <w:t> </w:t>
      </w:r>
      <w:r>
        <w:rPr>
          <w:spacing w:val="-3"/>
          <w:w w:val="100"/>
        </w:rPr>
        <w:t>发布的针对</w:t>
      </w:r>
      <w:r>
        <w:rPr>
          <w:spacing w:val="-33"/>
        </w:rPr>
        <w:t> </w:t>
      </w:r>
      <w:r>
        <w:rPr>
          <w:w w:val="100"/>
        </w:rPr>
        <w:t>ICD</w:t>
      </w:r>
      <w:r>
        <w:rPr>
          <w:spacing w:val="-33"/>
        </w:rPr>
        <w:t> </w:t>
      </w:r>
      <w:r>
        <w:rPr>
          <w:spacing w:val="-2"/>
          <w:w w:val="100"/>
        </w:rPr>
        <w:t>中肿瘤形</w:t>
      </w:r>
      <w:r>
        <w:rPr>
          <w:spacing w:val="-3"/>
          <w:w w:val="100"/>
        </w:rPr>
        <w:t>态学组织学细胞类型、动态、分化程度的补充编码。其中形态学编码： 0</w:t>
      </w:r>
      <w:r>
        <w:rPr>
          <w:spacing w:val="-53"/>
        </w:rPr>
        <w:t> </w:t>
      </w:r>
      <w:r>
        <w:rPr>
          <w:spacing w:val="-3"/>
          <w:w w:val="100"/>
        </w:rPr>
        <w:t>代表良性肿瘤；</w:t>
      </w:r>
      <w:r>
        <w:rPr>
          <w:w w:val="100"/>
        </w:rPr>
        <w:t>1</w:t>
      </w:r>
      <w:r>
        <w:rPr>
          <w:spacing w:val="-55"/>
        </w:rPr>
        <w:t> </w:t>
      </w:r>
      <w:r>
        <w:rPr>
          <w:spacing w:val="-3"/>
          <w:w w:val="100"/>
        </w:rPr>
        <w:t>代表动态未定性肿瘤；</w:t>
      </w:r>
      <w:r>
        <w:rPr>
          <w:w w:val="100"/>
        </w:rPr>
        <w:t>2</w:t>
      </w:r>
      <w:r>
        <w:rPr>
          <w:spacing w:val="-53"/>
        </w:rPr>
        <w:t> </w:t>
      </w:r>
      <w:r>
        <w:rPr>
          <w:spacing w:val="-3"/>
          <w:w w:val="100"/>
        </w:rPr>
        <w:t>代表原位癌和非侵袭性癌；</w:t>
      </w:r>
    </w:p>
    <w:p>
      <w:pPr>
        <w:pStyle w:val="BodyText"/>
        <w:spacing w:line="297" w:lineRule="auto" w:before="3"/>
        <w:ind w:left="174" w:right="1058"/>
        <w:jc w:val="both"/>
      </w:pPr>
      <w:r>
        <w:rPr>
          <w:w w:val="95"/>
        </w:rPr>
        <w:t>3 代表恶性肿瘤（原发性）；6 代表恶性肿瘤（转移性）；9 代表恶性肿</w:t>
      </w:r>
      <w:r>
        <w:rPr>
          <w:spacing w:val="-2"/>
        </w:rPr>
        <w:t>瘤（原发性或转移性未肯定）</w:t>
      </w:r>
      <w:r>
        <w:rPr>
          <w:spacing w:val="-6"/>
        </w:rPr>
        <w:t>。如果出现 </w:t>
      </w:r>
      <w:r>
        <w:rPr>
          <w:spacing w:val="-2"/>
        </w:rPr>
        <w:t>ICD-10</w:t>
      </w:r>
      <w:r>
        <w:rPr>
          <w:spacing w:val="-16"/>
        </w:rPr>
        <w:t> 与 </w:t>
      </w:r>
      <w:r>
        <w:rPr>
          <w:spacing w:val="-2"/>
        </w:rPr>
        <w:t>ICD-O-3</w:t>
      </w:r>
      <w:r>
        <w:rPr>
          <w:spacing w:val="-7"/>
        </w:rPr>
        <w:t> 不一致的</w:t>
      </w:r>
      <w:r>
        <w:rPr>
          <w:spacing w:val="-5"/>
        </w:rPr>
        <w:t>情况，以 </w:t>
      </w:r>
      <w:r>
        <w:rPr/>
        <w:t>ICD-O-3</w:t>
      </w:r>
      <w:r>
        <w:rPr>
          <w:spacing w:val="-6"/>
        </w:rPr>
        <w:t> 为准。</w:t>
      </w:r>
    </w:p>
    <w:p>
      <w:pPr>
        <w:spacing w:after="0" w:line="297" w:lineRule="auto"/>
        <w:jc w:val="both"/>
        <w:sectPr>
          <w:type w:val="continuous"/>
          <w:pgSz w:w="11910" w:h="16840"/>
          <w:pgMar w:header="0" w:footer="857" w:top="320" w:bottom="1040" w:left="1100" w:right="260"/>
          <w:cols w:num="2" w:equalWidth="0">
            <w:col w:w="2777" w:space="40"/>
            <w:col w:w="7733"/>
          </w:cols>
        </w:sectPr>
      </w:pPr>
    </w:p>
    <w:p>
      <w:pPr>
        <w:pStyle w:val="ListParagraph"/>
        <w:numPr>
          <w:ilvl w:val="1"/>
          <w:numId w:val="13"/>
        </w:numPr>
        <w:tabs>
          <w:tab w:pos="1409" w:val="left" w:leader="none"/>
        </w:tabs>
        <w:spacing w:line="297" w:lineRule="auto" w:before="91" w:after="0"/>
        <w:ind w:left="2990" w:right="1058" w:hanging="2766"/>
        <w:jc w:val="both"/>
        <w:rPr>
          <w:sz w:val="21"/>
        </w:rPr>
      </w:pPr>
      <w:r>
        <w:rPr>
          <w:sz w:val="21"/>
        </w:rPr>
        <w:t>TNM</w:t>
      </w:r>
      <w:r>
        <w:rPr>
          <w:spacing w:val="-10"/>
          <w:sz w:val="21"/>
        </w:rPr>
        <w:t> 分期</w:t>
      </w:r>
      <w:r>
        <w:rPr>
          <w:spacing w:val="63"/>
          <w:w w:val="150"/>
          <w:sz w:val="21"/>
        </w:rPr>
        <w:t>   </w:t>
      </w:r>
      <w:r>
        <w:rPr>
          <w:sz w:val="21"/>
        </w:rPr>
        <w:t>TNM</w:t>
      </w:r>
      <w:r>
        <w:rPr>
          <w:spacing w:val="-11"/>
          <w:sz w:val="21"/>
        </w:rPr>
        <w:t> 分期采用 </w:t>
      </w:r>
      <w:r>
        <w:rPr>
          <w:sz w:val="21"/>
        </w:rPr>
        <w:t>AJCC</w:t>
      </w:r>
      <w:r>
        <w:rPr>
          <w:spacing w:val="-11"/>
          <w:sz w:val="21"/>
        </w:rPr>
        <w:t> 癌症分期手册标准。该标准由美国癌症联合委员会与</w:t>
      </w:r>
      <w:r>
        <w:rPr>
          <w:w w:val="95"/>
          <w:sz w:val="21"/>
        </w:rPr>
        <w:t>国</w:t>
      </w:r>
      <w:r>
        <w:rPr>
          <w:w w:val="95"/>
          <w:sz w:val="21"/>
        </w:rPr>
        <w:t>际</w:t>
      </w:r>
      <w:r>
        <w:rPr>
          <w:w w:val="95"/>
          <w:sz w:val="21"/>
        </w:rPr>
        <w:t>抗癌联合会</w:t>
      </w:r>
      <w:r>
        <w:rPr>
          <w:spacing w:val="35"/>
          <w:sz w:val="21"/>
        </w:rPr>
        <w:t> </w:t>
      </w:r>
      <w:r>
        <w:rPr>
          <w:w w:val="95"/>
          <w:sz w:val="21"/>
        </w:rPr>
        <w:t>TNM</w:t>
      </w:r>
      <w:r>
        <w:rPr>
          <w:spacing w:val="29"/>
          <w:sz w:val="21"/>
        </w:rPr>
        <w:t> </w:t>
      </w:r>
      <w:r>
        <w:rPr>
          <w:w w:val="95"/>
          <w:sz w:val="21"/>
        </w:rPr>
        <w:t>委员</w:t>
      </w:r>
      <w:r>
        <w:rPr>
          <w:w w:val="95"/>
          <w:sz w:val="21"/>
        </w:rPr>
        <w:t>会</w:t>
      </w:r>
      <w:r>
        <w:rPr>
          <w:w w:val="95"/>
          <w:sz w:val="21"/>
        </w:rPr>
        <w:t>联</w:t>
      </w:r>
      <w:r>
        <w:rPr>
          <w:w w:val="95"/>
          <w:sz w:val="21"/>
        </w:rPr>
        <w:t>合制定，是目前肿瘤</w:t>
      </w:r>
      <w:r>
        <w:rPr>
          <w:w w:val="95"/>
          <w:sz w:val="21"/>
        </w:rPr>
        <w:t>医</w:t>
      </w:r>
      <w:r>
        <w:rPr>
          <w:w w:val="95"/>
          <w:sz w:val="21"/>
        </w:rPr>
        <w:t>学</w:t>
      </w:r>
      <w:r>
        <w:rPr>
          <w:w w:val="95"/>
          <w:sz w:val="21"/>
        </w:rPr>
        <w:t>分期的国际</w:t>
      </w:r>
      <w:r>
        <w:rPr>
          <w:w w:val="95"/>
          <w:sz w:val="21"/>
        </w:rPr>
        <w:t>通</w:t>
      </w:r>
      <w:r>
        <w:rPr>
          <w:w w:val="95"/>
          <w:sz w:val="21"/>
        </w:rPr>
        <w:t>用</w:t>
      </w:r>
      <w:r>
        <w:rPr>
          <w:w w:val="95"/>
          <w:sz w:val="21"/>
        </w:rPr>
        <w:t>标</w:t>
      </w:r>
      <w:r>
        <w:rPr>
          <w:w w:val="95"/>
          <w:sz w:val="21"/>
        </w:rPr>
        <w:t>准</w:t>
      </w:r>
      <w:r>
        <w:rPr>
          <w:w w:val="95"/>
          <w:sz w:val="21"/>
        </w:rPr>
        <w:t>。T 指原发肿瘤的大小、形态等；N 指淋巴结的转</w:t>
      </w:r>
      <w:r>
        <w:rPr>
          <w:w w:val="95"/>
          <w:sz w:val="21"/>
        </w:rPr>
        <w:t>移</w:t>
      </w:r>
      <w:r>
        <w:rPr>
          <w:w w:val="95"/>
          <w:sz w:val="21"/>
        </w:rPr>
        <w:t>情</w:t>
      </w:r>
      <w:r>
        <w:rPr>
          <w:w w:val="95"/>
          <w:sz w:val="21"/>
        </w:rPr>
        <w:t>况；M 指</w:t>
      </w:r>
      <w:r>
        <w:rPr>
          <w:w w:val="95"/>
          <w:sz w:val="21"/>
        </w:rPr>
        <w:t>有</w:t>
      </w:r>
      <w:r>
        <w:rPr>
          <w:w w:val="95"/>
          <w:sz w:val="21"/>
        </w:rPr>
        <w:t>无</w:t>
      </w:r>
      <w:r>
        <w:rPr>
          <w:spacing w:val="-2"/>
          <w:sz w:val="21"/>
        </w:rPr>
        <w:t>其他脏器的转移情况。</w:t>
      </w:r>
    </w:p>
    <w:p>
      <w:pPr>
        <w:pStyle w:val="BodyText"/>
        <w:spacing w:before="5"/>
        <w:rPr>
          <w:sz w:val="26"/>
        </w:rPr>
      </w:pPr>
    </w:p>
    <w:p>
      <w:pPr>
        <w:pStyle w:val="BodyText"/>
        <w:ind w:left="2990"/>
      </w:pPr>
      <w:r>
        <w:rPr>
          <w:spacing w:val="-10"/>
        </w:rPr>
        <w:t>甲状腺癌的 </w:t>
      </w:r>
      <w:r>
        <w:rPr>
          <w:spacing w:val="-2"/>
        </w:rPr>
        <w:t>TNM</w:t>
      </w:r>
      <w:r>
        <w:rPr>
          <w:spacing w:val="-16"/>
        </w:rPr>
        <w:t> 分期：</w:t>
      </w:r>
    </w:p>
    <w:p>
      <w:pPr>
        <w:pStyle w:val="BodyText"/>
        <w:spacing w:line="297" w:lineRule="auto" w:before="65"/>
        <w:ind w:left="2990" w:right="1058"/>
      </w:pPr>
      <w:r>
        <w:rPr>
          <w:spacing w:val="-6"/>
        </w:rPr>
        <w:t>采用目前现行的 </w:t>
      </w:r>
      <w:r>
        <w:rPr/>
        <w:t>AJCC</w:t>
      </w:r>
      <w:r>
        <w:rPr>
          <w:spacing w:val="-9"/>
        </w:rPr>
        <w:t> 第八版定义标准，我国国家卫生健康委员会 </w:t>
      </w:r>
      <w:r>
        <w:rPr/>
        <w:t>2018</w:t>
      </w:r>
      <w:r>
        <w:rPr>
          <w:spacing w:val="-4"/>
        </w:rPr>
        <w:t>年发布的《甲状腺癌诊疗规范（2018</w:t>
      </w:r>
      <w:r>
        <w:rPr>
          <w:spacing w:val="-16"/>
        </w:rPr>
        <w:t> 年版</w:t>
      </w:r>
      <w:r>
        <w:rPr>
          <w:spacing w:val="-4"/>
        </w:rPr>
        <w:t>）</w:t>
      </w:r>
      <w:r>
        <w:rPr>
          <w:spacing w:val="-5"/>
        </w:rPr>
        <w:t>》也采用此定义标准，具体</w:t>
      </w:r>
    </w:p>
    <w:p>
      <w:pPr>
        <w:spacing w:after="0" w:line="297" w:lineRule="auto"/>
        <w:sectPr>
          <w:type w:val="continuous"/>
          <w:pgSz w:w="11910" w:h="16840"/>
          <w:pgMar w:header="0" w:footer="857" w:top="320" w:bottom="1040" w:left="1100" w:right="260"/>
        </w:sectPr>
      </w:pPr>
    </w:p>
    <w:p>
      <w:pPr>
        <w:pStyle w:val="BodyText"/>
        <w:spacing w:before="60"/>
        <w:ind w:left="2990"/>
      </w:pPr>
      <w:r>
        <w:rPr>
          <w:spacing w:val="-4"/>
        </w:rPr>
        <w:t>见下：</w:t>
      </w:r>
    </w:p>
    <w:p>
      <w:pPr>
        <w:spacing w:line="292" w:lineRule="auto" w:before="56"/>
        <w:ind w:left="2990" w:right="1805" w:firstLine="0"/>
        <w:jc w:val="left"/>
        <w:rPr>
          <w:sz w:val="20"/>
        </w:rPr>
      </w:pPr>
      <w:r>
        <w:rPr>
          <w:spacing w:val="-2"/>
          <w:sz w:val="20"/>
        </w:rPr>
        <w:t>甲</w:t>
      </w:r>
      <w:r>
        <w:rPr>
          <w:spacing w:val="-2"/>
          <w:sz w:val="20"/>
        </w:rPr>
        <w:t>状</w:t>
      </w:r>
      <w:r>
        <w:rPr>
          <w:spacing w:val="-2"/>
          <w:sz w:val="20"/>
        </w:rPr>
        <w:t>腺</w:t>
      </w:r>
      <w:r>
        <w:rPr>
          <w:spacing w:val="-2"/>
          <w:sz w:val="20"/>
        </w:rPr>
        <w:t>乳</w:t>
      </w:r>
      <w:r>
        <w:rPr>
          <w:spacing w:val="-2"/>
          <w:sz w:val="20"/>
        </w:rPr>
        <w:t>头</w:t>
      </w:r>
      <w:r>
        <w:rPr>
          <w:spacing w:val="-2"/>
          <w:sz w:val="20"/>
        </w:rPr>
        <w:t>状</w:t>
      </w:r>
      <w:r>
        <w:rPr>
          <w:spacing w:val="-2"/>
          <w:sz w:val="20"/>
        </w:rPr>
        <w:t>癌</w:t>
      </w:r>
      <w:r>
        <w:rPr>
          <w:spacing w:val="-2"/>
          <w:sz w:val="20"/>
        </w:rPr>
        <w:t>、</w:t>
      </w:r>
      <w:r>
        <w:rPr>
          <w:spacing w:val="-2"/>
          <w:sz w:val="20"/>
        </w:rPr>
        <w:t>滤</w:t>
      </w:r>
      <w:r>
        <w:rPr>
          <w:spacing w:val="-2"/>
          <w:sz w:val="20"/>
        </w:rPr>
        <w:t>泡癌、</w:t>
      </w:r>
      <w:r>
        <w:rPr>
          <w:spacing w:val="-2"/>
          <w:sz w:val="20"/>
        </w:rPr>
        <w:t>低</w:t>
      </w:r>
      <w:r>
        <w:rPr>
          <w:spacing w:val="-2"/>
          <w:sz w:val="20"/>
        </w:rPr>
        <w:t>分</w:t>
      </w:r>
      <w:r>
        <w:rPr>
          <w:spacing w:val="-2"/>
          <w:sz w:val="20"/>
        </w:rPr>
        <w:t>化</w:t>
      </w:r>
      <w:r>
        <w:rPr>
          <w:spacing w:val="-2"/>
          <w:sz w:val="20"/>
        </w:rPr>
        <w:t>癌</w:t>
      </w:r>
      <w:r>
        <w:rPr>
          <w:spacing w:val="-2"/>
          <w:sz w:val="20"/>
        </w:rPr>
        <w:t>、</w:t>
      </w:r>
      <w:r>
        <w:rPr>
          <w:spacing w:val="-2"/>
          <w:sz w:val="20"/>
        </w:rPr>
        <w:t>Hürthle</w:t>
      </w:r>
      <w:r>
        <w:rPr>
          <w:spacing w:val="-20"/>
          <w:sz w:val="20"/>
        </w:rPr>
        <w:t> 细</w:t>
      </w:r>
      <w:r>
        <w:rPr>
          <w:spacing w:val="-2"/>
          <w:sz w:val="20"/>
        </w:rPr>
        <w:t>胞</w:t>
      </w:r>
      <w:r>
        <w:rPr>
          <w:spacing w:val="-2"/>
          <w:sz w:val="20"/>
        </w:rPr>
        <w:t>癌</w:t>
      </w:r>
      <w:r>
        <w:rPr>
          <w:spacing w:val="-2"/>
          <w:sz w:val="20"/>
        </w:rPr>
        <w:t>和</w:t>
      </w:r>
      <w:r>
        <w:rPr>
          <w:spacing w:val="-2"/>
          <w:sz w:val="20"/>
        </w:rPr>
        <w:t>未</w:t>
      </w:r>
      <w:r>
        <w:rPr>
          <w:spacing w:val="-2"/>
          <w:sz w:val="20"/>
        </w:rPr>
        <w:t>分</w:t>
      </w:r>
      <w:r>
        <w:rPr>
          <w:spacing w:val="-2"/>
          <w:sz w:val="20"/>
        </w:rPr>
        <w:t>化癌 </w:t>
      </w:r>
      <w:r>
        <w:rPr>
          <w:spacing w:val="-2"/>
          <w:position w:val="1"/>
          <w:sz w:val="20"/>
        </w:rPr>
        <w:t>pT</w:t>
      </w:r>
      <w:r>
        <w:rPr>
          <w:spacing w:val="-2"/>
          <w:sz w:val="10"/>
        </w:rPr>
        <w:t>X</w:t>
      </w:r>
      <w:r>
        <w:rPr>
          <w:spacing w:val="-2"/>
          <w:position w:val="1"/>
          <w:sz w:val="20"/>
        </w:rPr>
        <w:t>：</w:t>
      </w:r>
      <w:r>
        <w:rPr>
          <w:spacing w:val="-2"/>
          <w:position w:val="1"/>
          <w:sz w:val="20"/>
        </w:rPr>
        <w:t>原</w:t>
      </w:r>
      <w:r>
        <w:rPr>
          <w:spacing w:val="-2"/>
          <w:position w:val="1"/>
          <w:sz w:val="20"/>
        </w:rPr>
        <w:t>发</w:t>
      </w:r>
      <w:r>
        <w:rPr>
          <w:spacing w:val="-2"/>
          <w:position w:val="1"/>
          <w:sz w:val="20"/>
        </w:rPr>
        <w:t>肿</w:t>
      </w:r>
      <w:r>
        <w:rPr>
          <w:spacing w:val="-2"/>
          <w:position w:val="1"/>
          <w:sz w:val="20"/>
        </w:rPr>
        <w:t>瘤</w:t>
      </w:r>
      <w:r>
        <w:rPr>
          <w:spacing w:val="-2"/>
          <w:position w:val="1"/>
          <w:sz w:val="20"/>
        </w:rPr>
        <w:t>不</w:t>
      </w:r>
      <w:r>
        <w:rPr>
          <w:spacing w:val="-2"/>
          <w:position w:val="1"/>
          <w:sz w:val="20"/>
        </w:rPr>
        <w:t>能</w:t>
      </w:r>
      <w:r>
        <w:rPr>
          <w:spacing w:val="-2"/>
          <w:position w:val="1"/>
          <w:sz w:val="20"/>
        </w:rPr>
        <w:t>评</w:t>
      </w:r>
      <w:r>
        <w:rPr>
          <w:spacing w:val="-2"/>
          <w:position w:val="1"/>
          <w:sz w:val="20"/>
        </w:rPr>
        <w:t>估</w:t>
      </w:r>
    </w:p>
    <w:p>
      <w:pPr>
        <w:spacing w:line="255" w:lineRule="exact" w:before="0"/>
        <w:ind w:left="2990" w:right="0" w:firstLine="0"/>
        <w:jc w:val="left"/>
        <w:rPr>
          <w:sz w:val="20"/>
        </w:rPr>
      </w:pPr>
      <w:r>
        <w:rPr>
          <w:w w:val="95"/>
          <w:position w:val="1"/>
          <w:sz w:val="20"/>
        </w:rPr>
        <w:t>pT</w:t>
      </w:r>
      <w:r>
        <w:rPr>
          <w:w w:val="95"/>
          <w:sz w:val="10"/>
        </w:rPr>
        <w:t>0</w:t>
      </w:r>
      <w:r>
        <w:rPr>
          <w:w w:val="95"/>
          <w:position w:val="1"/>
          <w:sz w:val="20"/>
        </w:rPr>
        <w:t>：</w:t>
      </w:r>
      <w:r>
        <w:rPr>
          <w:w w:val="95"/>
          <w:position w:val="1"/>
          <w:sz w:val="20"/>
        </w:rPr>
        <w:t>无</w:t>
      </w:r>
      <w:r>
        <w:rPr>
          <w:w w:val="95"/>
          <w:position w:val="1"/>
          <w:sz w:val="20"/>
        </w:rPr>
        <w:t>肿</w:t>
      </w:r>
      <w:r>
        <w:rPr>
          <w:w w:val="95"/>
          <w:position w:val="1"/>
          <w:sz w:val="20"/>
        </w:rPr>
        <w:t>瘤</w:t>
      </w:r>
      <w:r>
        <w:rPr>
          <w:w w:val="95"/>
          <w:position w:val="1"/>
          <w:sz w:val="20"/>
        </w:rPr>
        <w:t>证</w:t>
      </w:r>
      <w:r>
        <w:rPr>
          <w:spacing w:val="-10"/>
          <w:w w:val="95"/>
          <w:position w:val="1"/>
          <w:sz w:val="20"/>
        </w:rPr>
        <w:t>据</w:t>
      </w:r>
    </w:p>
    <w:p>
      <w:pPr>
        <w:spacing w:line="292" w:lineRule="auto" w:before="56"/>
        <w:ind w:left="3489" w:right="3873" w:hanging="500"/>
        <w:jc w:val="left"/>
        <w:rPr>
          <w:sz w:val="20"/>
        </w:rPr>
      </w:pPr>
      <w:r>
        <w:rPr>
          <w:spacing w:val="-2"/>
          <w:position w:val="1"/>
          <w:sz w:val="20"/>
        </w:rPr>
        <w:t>pT</w:t>
      </w:r>
      <w:r>
        <w:rPr>
          <w:spacing w:val="-2"/>
          <w:sz w:val="10"/>
        </w:rPr>
        <w:t>1</w:t>
      </w:r>
      <w:r>
        <w:rPr>
          <w:spacing w:val="-2"/>
          <w:position w:val="1"/>
          <w:sz w:val="20"/>
        </w:rPr>
        <w:t>：</w:t>
      </w:r>
      <w:r>
        <w:rPr>
          <w:spacing w:val="-2"/>
          <w:position w:val="1"/>
          <w:sz w:val="20"/>
        </w:rPr>
        <w:t>肿</w:t>
      </w:r>
      <w:r>
        <w:rPr>
          <w:spacing w:val="-2"/>
          <w:position w:val="1"/>
          <w:sz w:val="20"/>
        </w:rPr>
        <w:t>瘤</w:t>
      </w:r>
      <w:r>
        <w:rPr>
          <w:spacing w:val="-2"/>
          <w:position w:val="1"/>
          <w:sz w:val="20"/>
        </w:rPr>
        <w:t>局</w:t>
      </w:r>
      <w:r>
        <w:rPr>
          <w:spacing w:val="-2"/>
          <w:position w:val="1"/>
          <w:sz w:val="20"/>
        </w:rPr>
        <w:t>限</w:t>
      </w:r>
      <w:r>
        <w:rPr>
          <w:spacing w:val="-2"/>
          <w:position w:val="1"/>
          <w:sz w:val="20"/>
        </w:rPr>
        <w:t>在</w:t>
      </w:r>
      <w:r>
        <w:rPr>
          <w:spacing w:val="-2"/>
          <w:position w:val="1"/>
          <w:sz w:val="20"/>
        </w:rPr>
        <w:t>甲</w:t>
      </w:r>
      <w:r>
        <w:rPr>
          <w:spacing w:val="-2"/>
          <w:position w:val="1"/>
          <w:sz w:val="20"/>
        </w:rPr>
        <w:t>状</w:t>
      </w:r>
      <w:r>
        <w:rPr>
          <w:spacing w:val="-2"/>
          <w:position w:val="1"/>
          <w:sz w:val="20"/>
        </w:rPr>
        <w:t>腺内，</w:t>
      </w:r>
      <w:r>
        <w:rPr>
          <w:spacing w:val="-2"/>
          <w:position w:val="1"/>
          <w:sz w:val="20"/>
        </w:rPr>
        <w:t>最</w:t>
      </w:r>
      <w:r>
        <w:rPr>
          <w:spacing w:val="-2"/>
          <w:position w:val="1"/>
          <w:sz w:val="20"/>
        </w:rPr>
        <w:t>大</w:t>
      </w:r>
      <w:r>
        <w:rPr>
          <w:spacing w:val="-2"/>
          <w:position w:val="1"/>
          <w:sz w:val="20"/>
        </w:rPr>
        <w:t>径</w:t>
      </w:r>
      <w:r>
        <w:rPr>
          <w:spacing w:val="-2"/>
          <w:position w:val="1"/>
          <w:sz w:val="20"/>
        </w:rPr>
        <w:t>≤2cm </w:t>
      </w:r>
      <w:r>
        <w:rPr>
          <w:position w:val="1"/>
          <w:sz w:val="20"/>
        </w:rPr>
        <w:t>T</w:t>
      </w:r>
      <w:r>
        <w:rPr>
          <w:sz w:val="10"/>
        </w:rPr>
        <w:t>1a</w:t>
      </w:r>
      <w:r>
        <w:rPr>
          <w:spacing w:val="-26"/>
          <w:sz w:val="10"/>
        </w:rPr>
        <w:t> </w:t>
      </w:r>
      <w:r>
        <w:rPr>
          <w:position w:val="1"/>
          <w:sz w:val="20"/>
        </w:rPr>
        <w:t>肿</w:t>
      </w:r>
      <w:r>
        <w:rPr>
          <w:position w:val="1"/>
          <w:sz w:val="20"/>
        </w:rPr>
        <w:t>瘤</w:t>
      </w:r>
      <w:r>
        <w:rPr>
          <w:position w:val="1"/>
          <w:sz w:val="20"/>
        </w:rPr>
        <w:t>最</w:t>
      </w:r>
      <w:r>
        <w:rPr>
          <w:position w:val="1"/>
          <w:sz w:val="20"/>
        </w:rPr>
        <w:t>大</w:t>
      </w:r>
      <w:r>
        <w:rPr>
          <w:position w:val="1"/>
          <w:sz w:val="20"/>
        </w:rPr>
        <w:t>径≤1cm</w:t>
      </w:r>
    </w:p>
    <w:p>
      <w:pPr>
        <w:spacing w:line="292" w:lineRule="auto" w:before="0"/>
        <w:ind w:left="2990" w:right="4557" w:firstLine="499"/>
        <w:jc w:val="left"/>
        <w:rPr>
          <w:sz w:val="20"/>
        </w:rPr>
      </w:pPr>
      <w:r>
        <w:rPr>
          <w:spacing w:val="-2"/>
          <w:position w:val="1"/>
          <w:sz w:val="20"/>
        </w:rPr>
        <w:t>T</w:t>
      </w:r>
      <w:r>
        <w:rPr>
          <w:spacing w:val="-2"/>
          <w:sz w:val="10"/>
        </w:rPr>
        <w:t>1b</w:t>
      </w:r>
      <w:r>
        <w:rPr>
          <w:spacing w:val="-26"/>
          <w:sz w:val="10"/>
        </w:rPr>
        <w:t> </w:t>
      </w:r>
      <w:r>
        <w:rPr>
          <w:spacing w:val="-2"/>
          <w:position w:val="1"/>
          <w:sz w:val="20"/>
        </w:rPr>
        <w:t>肿</w:t>
      </w:r>
      <w:r>
        <w:rPr>
          <w:spacing w:val="-2"/>
          <w:position w:val="1"/>
          <w:sz w:val="20"/>
        </w:rPr>
        <w:t>瘤</w:t>
      </w:r>
      <w:r>
        <w:rPr>
          <w:spacing w:val="-2"/>
          <w:position w:val="1"/>
          <w:sz w:val="20"/>
        </w:rPr>
        <w:t>最</w:t>
      </w:r>
      <w:r>
        <w:rPr>
          <w:spacing w:val="-2"/>
          <w:position w:val="1"/>
          <w:sz w:val="20"/>
        </w:rPr>
        <w:t>大</w:t>
      </w:r>
      <w:r>
        <w:rPr>
          <w:spacing w:val="-2"/>
          <w:position w:val="1"/>
          <w:sz w:val="20"/>
        </w:rPr>
        <w:t>径＞1cm，≤2c</w:t>
      </w:r>
      <w:r>
        <w:rPr>
          <w:spacing w:val="-2"/>
          <w:position w:val="1"/>
          <w:sz w:val="20"/>
        </w:rPr>
        <w:t>m </w:t>
      </w:r>
      <w:r>
        <w:rPr>
          <w:position w:val="1"/>
          <w:sz w:val="20"/>
        </w:rPr>
        <w:t>pT</w:t>
      </w:r>
      <w:r>
        <w:rPr>
          <w:sz w:val="10"/>
        </w:rPr>
        <w:t>2</w:t>
      </w:r>
      <w:r>
        <w:rPr>
          <w:position w:val="1"/>
          <w:sz w:val="20"/>
        </w:rPr>
        <w:t>：</w:t>
      </w:r>
      <w:r>
        <w:rPr>
          <w:position w:val="1"/>
          <w:sz w:val="20"/>
        </w:rPr>
        <w:t>肿</w:t>
      </w:r>
      <w:r>
        <w:rPr>
          <w:position w:val="1"/>
          <w:sz w:val="20"/>
        </w:rPr>
        <w:t>瘤</w:t>
      </w:r>
      <w:r>
        <w:rPr>
          <w:spacing w:val="-41"/>
          <w:position w:val="1"/>
          <w:sz w:val="20"/>
        </w:rPr>
        <w:t> </w:t>
      </w:r>
      <w:r>
        <w:rPr>
          <w:position w:val="1"/>
          <w:sz w:val="20"/>
        </w:rPr>
        <w:t>2～4cm</w:t>
      </w:r>
    </w:p>
    <w:p>
      <w:pPr>
        <w:spacing w:line="292" w:lineRule="auto" w:before="0"/>
        <w:ind w:left="2990" w:right="2305" w:firstLine="0"/>
        <w:jc w:val="left"/>
        <w:rPr>
          <w:sz w:val="20"/>
        </w:rPr>
      </w:pPr>
      <w:r>
        <w:rPr>
          <w:spacing w:val="-2"/>
          <w:position w:val="1"/>
          <w:sz w:val="20"/>
        </w:rPr>
        <w:t>pT</w:t>
      </w:r>
      <w:r>
        <w:rPr>
          <w:spacing w:val="-2"/>
          <w:sz w:val="10"/>
        </w:rPr>
        <w:t>3</w:t>
      </w:r>
      <w:r>
        <w:rPr>
          <w:spacing w:val="-2"/>
          <w:position w:val="1"/>
          <w:sz w:val="20"/>
        </w:rPr>
        <w:t>：</w:t>
      </w:r>
      <w:r>
        <w:rPr>
          <w:spacing w:val="-2"/>
          <w:position w:val="1"/>
          <w:sz w:val="20"/>
        </w:rPr>
        <w:t>肿</w:t>
      </w:r>
      <w:r>
        <w:rPr>
          <w:spacing w:val="-2"/>
          <w:position w:val="1"/>
          <w:sz w:val="20"/>
        </w:rPr>
        <w:t>瘤</w:t>
      </w:r>
      <w:r>
        <w:rPr>
          <w:spacing w:val="-2"/>
          <w:position w:val="1"/>
          <w:sz w:val="20"/>
        </w:rPr>
        <w:t>&gt;4cm，</w:t>
      </w:r>
      <w:r>
        <w:rPr>
          <w:spacing w:val="-2"/>
          <w:position w:val="1"/>
          <w:sz w:val="20"/>
        </w:rPr>
        <w:t>局</w:t>
      </w:r>
      <w:r>
        <w:rPr>
          <w:spacing w:val="-2"/>
          <w:position w:val="1"/>
          <w:sz w:val="20"/>
        </w:rPr>
        <w:t>限</w:t>
      </w:r>
      <w:r>
        <w:rPr>
          <w:spacing w:val="-2"/>
          <w:position w:val="1"/>
          <w:sz w:val="20"/>
        </w:rPr>
        <w:t>于</w:t>
      </w:r>
      <w:r>
        <w:rPr>
          <w:spacing w:val="-2"/>
          <w:position w:val="1"/>
          <w:sz w:val="20"/>
        </w:rPr>
        <w:t>甲</w:t>
      </w:r>
      <w:r>
        <w:rPr>
          <w:spacing w:val="-2"/>
          <w:position w:val="1"/>
          <w:sz w:val="20"/>
        </w:rPr>
        <w:t>状</w:t>
      </w:r>
      <w:r>
        <w:rPr>
          <w:spacing w:val="-2"/>
          <w:position w:val="1"/>
          <w:sz w:val="20"/>
        </w:rPr>
        <w:t>腺</w:t>
      </w:r>
      <w:r>
        <w:rPr>
          <w:spacing w:val="-2"/>
          <w:position w:val="1"/>
          <w:sz w:val="20"/>
        </w:rPr>
        <w:t>内</w:t>
      </w:r>
      <w:r>
        <w:rPr>
          <w:spacing w:val="-2"/>
          <w:position w:val="1"/>
          <w:sz w:val="20"/>
        </w:rPr>
        <w:t>或</w:t>
      </w:r>
      <w:r>
        <w:rPr>
          <w:spacing w:val="-2"/>
          <w:position w:val="1"/>
          <w:sz w:val="20"/>
        </w:rPr>
        <w:t>大</w:t>
      </w:r>
      <w:r>
        <w:rPr>
          <w:spacing w:val="-2"/>
          <w:position w:val="1"/>
          <w:sz w:val="20"/>
        </w:rPr>
        <w:t>体</w:t>
      </w:r>
      <w:r>
        <w:rPr>
          <w:spacing w:val="-2"/>
          <w:position w:val="1"/>
          <w:sz w:val="20"/>
        </w:rPr>
        <w:t>侵</w:t>
      </w:r>
      <w:r>
        <w:rPr>
          <w:spacing w:val="-2"/>
          <w:position w:val="1"/>
          <w:sz w:val="20"/>
        </w:rPr>
        <w:t>犯</w:t>
      </w:r>
      <w:r>
        <w:rPr>
          <w:spacing w:val="-2"/>
          <w:position w:val="1"/>
          <w:sz w:val="20"/>
        </w:rPr>
        <w:t>甲</w:t>
      </w:r>
      <w:r>
        <w:rPr>
          <w:spacing w:val="-2"/>
          <w:position w:val="1"/>
          <w:sz w:val="20"/>
        </w:rPr>
        <w:t>状</w:t>
      </w:r>
      <w:r>
        <w:rPr>
          <w:spacing w:val="-2"/>
          <w:position w:val="1"/>
          <w:sz w:val="20"/>
        </w:rPr>
        <w:t>腺外带状肌 pT</w:t>
      </w:r>
      <w:r>
        <w:rPr>
          <w:spacing w:val="-2"/>
          <w:sz w:val="10"/>
        </w:rPr>
        <w:t>3a</w:t>
      </w:r>
      <w:r>
        <w:rPr>
          <w:spacing w:val="-2"/>
          <w:position w:val="1"/>
          <w:sz w:val="20"/>
        </w:rPr>
        <w:t>：</w:t>
      </w:r>
      <w:r>
        <w:rPr>
          <w:spacing w:val="-2"/>
          <w:position w:val="1"/>
          <w:sz w:val="20"/>
        </w:rPr>
        <w:t>肿</w:t>
      </w:r>
      <w:r>
        <w:rPr>
          <w:spacing w:val="-2"/>
          <w:position w:val="1"/>
          <w:sz w:val="20"/>
        </w:rPr>
        <w:t>瘤</w:t>
      </w:r>
      <w:r>
        <w:rPr>
          <w:spacing w:val="-2"/>
          <w:position w:val="1"/>
          <w:sz w:val="20"/>
        </w:rPr>
        <w:t>&gt;4cm，</w:t>
      </w:r>
      <w:r>
        <w:rPr>
          <w:spacing w:val="-2"/>
          <w:position w:val="1"/>
          <w:sz w:val="20"/>
        </w:rPr>
        <w:t>局</w:t>
      </w:r>
      <w:r>
        <w:rPr>
          <w:spacing w:val="-2"/>
          <w:position w:val="1"/>
          <w:sz w:val="20"/>
        </w:rPr>
        <w:t>限</w:t>
      </w:r>
      <w:r>
        <w:rPr>
          <w:spacing w:val="-2"/>
          <w:position w:val="1"/>
          <w:sz w:val="20"/>
        </w:rPr>
        <w:t>于</w:t>
      </w:r>
      <w:r>
        <w:rPr>
          <w:spacing w:val="-2"/>
          <w:position w:val="1"/>
          <w:sz w:val="20"/>
        </w:rPr>
        <w:t>甲</w:t>
      </w:r>
      <w:r>
        <w:rPr>
          <w:spacing w:val="-2"/>
          <w:position w:val="1"/>
          <w:sz w:val="20"/>
        </w:rPr>
        <w:t>状</w:t>
      </w:r>
      <w:r>
        <w:rPr>
          <w:spacing w:val="-2"/>
          <w:position w:val="1"/>
          <w:sz w:val="20"/>
        </w:rPr>
        <w:t>腺</w:t>
      </w:r>
      <w:r>
        <w:rPr>
          <w:spacing w:val="-2"/>
          <w:position w:val="1"/>
          <w:sz w:val="20"/>
        </w:rPr>
        <w:t>内</w:t>
      </w:r>
    </w:p>
    <w:p>
      <w:pPr>
        <w:spacing w:line="255" w:lineRule="exact" w:before="0"/>
        <w:ind w:left="2990" w:right="0" w:firstLine="0"/>
        <w:jc w:val="left"/>
        <w:rPr>
          <w:sz w:val="20"/>
        </w:rPr>
      </w:pPr>
      <w:r>
        <w:rPr>
          <w:w w:val="95"/>
          <w:position w:val="1"/>
          <w:sz w:val="20"/>
        </w:rPr>
        <w:t>pT</w:t>
      </w:r>
      <w:r>
        <w:rPr>
          <w:w w:val="95"/>
          <w:sz w:val="10"/>
        </w:rPr>
        <w:t>3b</w:t>
      </w:r>
      <w:r>
        <w:rPr>
          <w:w w:val="95"/>
          <w:position w:val="1"/>
          <w:sz w:val="20"/>
        </w:rPr>
        <w:t>：</w:t>
      </w:r>
      <w:r>
        <w:rPr>
          <w:w w:val="95"/>
          <w:position w:val="1"/>
          <w:sz w:val="20"/>
        </w:rPr>
        <w:t>大</w:t>
      </w:r>
      <w:r>
        <w:rPr>
          <w:w w:val="95"/>
          <w:position w:val="1"/>
          <w:sz w:val="20"/>
        </w:rPr>
        <w:t>体</w:t>
      </w:r>
      <w:r>
        <w:rPr>
          <w:w w:val="95"/>
          <w:position w:val="1"/>
          <w:sz w:val="20"/>
        </w:rPr>
        <w:t>侵</w:t>
      </w:r>
      <w:r>
        <w:rPr>
          <w:w w:val="95"/>
          <w:position w:val="1"/>
          <w:sz w:val="20"/>
        </w:rPr>
        <w:t>犯</w:t>
      </w:r>
      <w:r>
        <w:rPr>
          <w:w w:val="95"/>
          <w:position w:val="1"/>
          <w:sz w:val="20"/>
        </w:rPr>
        <w:t>甲</w:t>
      </w:r>
      <w:r>
        <w:rPr>
          <w:w w:val="95"/>
          <w:position w:val="1"/>
          <w:sz w:val="20"/>
        </w:rPr>
        <w:t>状</w:t>
      </w:r>
      <w:r>
        <w:rPr>
          <w:w w:val="95"/>
          <w:position w:val="1"/>
          <w:sz w:val="20"/>
        </w:rPr>
        <w:t>腺</w:t>
      </w:r>
      <w:r>
        <w:rPr>
          <w:w w:val="95"/>
          <w:position w:val="1"/>
          <w:sz w:val="20"/>
        </w:rPr>
        <w:t>外</w:t>
      </w:r>
      <w:r>
        <w:rPr>
          <w:w w:val="95"/>
          <w:position w:val="1"/>
          <w:sz w:val="20"/>
        </w:rPr>
        <w:t>带</w:t>
      </w:r>
      <w:r>
        <w:rPr>
          <w:w w:val="95"/>
          <w:position w:val="1"/>
          <w:sz w:val="20"/>
        </w:rPr>
        <w:t>状</w:t>
      </w:r>
      <w:r>
        <w:rPr>
          <w:w w:val="95"/>
          <w:position w:val="1"/>
          <w:sz w:val="20"/>
        </w:rPr>
        <w:t>肌</w:t>
      </w:r>
      <w:r>
        <w:rPr>
          <w:w w:val="95"/>
          <w:position w:val="1"/>
          <w:sz w:val="20"/>
        </w:rPr>
        <w:t>，无</w:t>
      </w:r>
      <w:r>
        <w:rPr>
          <w:w w:val="95"/>
          <w:position w:val="1"/>
          <w:sz w:val="20"/>
        </w:rPr>
        <w:t>论</w:t>
      </w:r>
      <w:r>
        <w:rPr>
          <w:w w:val="95"/>
          <w:position w:val="1"/>
          <w:sz w:val="20"/>
        </w:rPr>
        <w:t>肿</w:t>
      </w:r>
      <w:r>
        <w:rPr>
          <w:w w:val="95"/>
          <w:position w:val="1"/>
          <w:sz w:val="20"/>
        </w:rPr>
        <w:t>瘤</w:t>
      </w:r>
      <w:r>
        <w:rPr>
          <w:w w:val="95"/>
          <w:position w:val="1"/>
          <w:sz w:val="20"/>
        </w:rPr>
        <w:t>大</w:t>
      </w:r>
      <w:r>
        <w:rPr>
          <w:spacing w:val="-10"/>
          <w:w w:val="95"/>
          <w:position w:val="1"/>
          <w:sz w:val="20"/>
        </w:rPr>
        <w:t>小</w:t>
      </w:r>
    </w:p>
    <w:p>
      <w:pPr>
        <w:spacing w:line="292" w:lineRule="auto" w:before="54"/>
        <w:ind w:left="2990" w:right="1157" w:firstLine="600"/>
        <w:jc w:val="left"/>
        <w:rPr>
          <w:sz w:val="20"/>
        </w:rPr>
      </w:pPr>
      <w:r>
        <w:rPr>
          <w:spacing w:val="-2"/>
          <w:sz w:val="20"/>
        </w:rPr>
        <w:t>带</w:t>
      </w:r>
      <w:r>
        <w:rPr>
          <w:spacing w:val="-2"/>
          <w:sz w:val="20"/>
        </w:rPr>
        <w:t>状</w:t>
      </w:r>
      <w:r>
        <w:rPr>
          <w:spacing w:val="-2"/>
          <w:sz w:val="20"/>
        </w:rPr>
        <w:t>肌</w:t>
      </w:r>
      <w:r>
        <w:rPr>
          <w:spacing w:val="-2"/>
          <w:sz w:val="20"/>
        </w:rPr>
        <w:t>包</w:t>
      </w:r>
      <w:r>
        <w:rPr>
          <w:spacing w:val="-2"/>
          <w:sz w:val="20"/>
        </w:rPr>
        <w:t>括</w:t>
      </w:r>
      <w:r>
        <w:rPr>
          <w:spacing w:val="-2"/>
          <w:sz w:val="20"/>
        </w:rPr>
        <w:t>：胸</w:t>
      </w:r>
      <w:r>
        <w:rPr>
          <w:spacing w:val="-2"/>
          <w:sz w:val="20"/>
        </w:rPr>
        <w:t>骨</w:t>
      </w:r>
      <w:r>
        <w:rPr>
          <w:spacing w:val="-2"/>
          <w:sz w:val="20"/>
        </w:rPr>
        <w:t>舌</w:t>
      </w:r>
      <w:r>
        <w:rPr>
          <w:spacing w:val="-2"/>
          <w:sz w:val="20"/>
        </w:rPr>
        <w:t>骨肌、</w:t>
      </w:r>
      <w:r>
        <w:rPr>
          <w:spacing w:val="-2"/>
          <w:sz w:val="20"/>
        </w:rPr>
        <w:t>胸</w:t>
      </w:r>
      <w:r>
        <w:rPr>
          <w:spacing w:val="-2"/>
          <w:sz w:val="20"/>
        </w:rPr>
        <w:t>骨</w:t>
      </w:r>
      <w:r>
        <w:rPr>
          <w:spacing w:val="-2"/>
          <w:sz w:val="20"/>
        </w:rPr>
        <w:t>甲</w:t>
      </w:r>
      <w:r>
        <w:rPr>
          <w:spacing w:val="-2"/>
          <w:sz w:val="20"/>
        </w:rPr>
        <w:t>状</w:t>
      </w:r>
      <w:r>
        <w:rPr>
          <w:spacing w:val="-2"/>
          <w:sz w:val="20"/>
        </w:rPr>
        <w:t>肌</w:t>
      </w:r>
      <w:r>
        <w:rPr>
          <w:spacing w:val="-2"/>
          <w:sz w:val="20"/>
        </w:rPr>
        <w:t>、</w:t>
      </w:r>
      <w:r>
        <w:rPr>
          <w:spacing w:val="-2"/>
          <w:sz w:val="20"/>
        </w:rPr>
        <w:t>甲</w:t>
      </w:r>
      <w:r>
        <w:rPr>
          <w:spacing w:val="-2"/>
          <w:sz w:val="20"/>
        </w:rPr>
        <w:t>状</w:t>
      </w:r>
      <w:r>
        <w:rPr>
          <w:spacing w:val="-2"/>
          <w:sz w:val="20"/>
        </w:rPr>
        <w:t>舌</w:t>
      </w:r>
      <w:r>
        <w:rPr>
          <w:spacing w:val="-2"/>
          <w:sz w:val="20"/>
        </w:rPr>
        <w:t>骨肌、</w:t>
      </w:r>
      <w:r>
        <w:rPr>
          <w:spacing w:val="-2"/>
          <w:sz w:val="20"/>
        </w:rPr>
        <w:t>肩</w:t>
      </w:r>
      <w:r>
        <w:rPr>
          <w:spacing w:val="-2"/>
          <w:sz w:val="20"/>
        </w:rPr>
        <w:t>胛</w:t>
      </w:r>
      <w:r>
        <w:rPr>
          <w:spacing w:val="-2"/>
          <w:sz w:val="20"/>
        </w:rPr>
        <w:t>舌</w:t>
      </w:r>
      <w:r>
        <w:rPr>
          <w:spacing w:val="-2"/>
          <w:sz w:val="20"/>
        </w:rPr>
        <w:t>骨肌 </w:t>
      </w:r>
      <w:r>
        <w:rPr>
          <w:spacing w:val="-2"/>
          <w:position w:val="1"/>
          <w:sz w:val="20"/>
        </w:rPr>
        <w:t>pT</w:t>
      </w:r>
      <w:r>
        <w:rPr>
          <w:spacing w:val="-2"/>
          <w:sz w:val="10"/>
        </w:rPr>
        <w:t>4</w:t>
      </w:r>
      <w:r>
        <w:rPr>
          <w:spacing w:val="-2"/>
          <w:position w:val="1"/>
          <w:sz w:val="20"/>
        </w:rPr>
        <w:t>：</w:t>
      </w:r>
      <w:r>
        <w:rPr>
          <w:spacing w:val="-2"/>
          <w:position w:val="1"/>
          <w:sz w:val="20"/>
        </w:rPr>
        <w:t>大</w:t>
      </w:r>
      <w:r>
        <w:rPr>
          <w:spacing w:val="-2"/>
          <w:position w:val="1"/>
          <w:sz w:val="20"/>
        </w:rPr>
        <w:t>体</w:t>
      </w:r>
      <w:r>
        <w:rPr>
          <w:spacing w:val="-2"/>
          <w:position w:val="1"/>
          <w:sz w:val="20"/>
        </w:rPr>
        <w:t>侵</w:t>
      </w:r>
      <w:r>
        <w:rPr>
          <w:spacing w:val="-2"/>
          <w:position w:val="1"/>
          <w:sz w:val="20"/>
        </w:rPr>
        <w:t>犯</w:t>
      </w:r>
      <w:r>
        <w:rPr>
          <w:spacing w:val="-2"/>
          <w:position w:val="1"/>
          <w:sz w:val="20"/>
        </w:rPr>
        <w:t>甲</w:t>
      </w:r>
      <w:r>
        <w:rPr>
          <w:spacing w:val="-2"/>
          <w:position w:val="1"/>
          <w:sz w:val="20"/>
        </w:rPr>
        <w:t>状</w:t>
      </w:r>
      <w:r>
        <w:rPr>
          <w:spacing w:val="-2"/>
          <w:position w:val="1"/>
          <w:sz w:val="20"/>
        </w:rPr>
        <w:t>腺</w:t>
      </w:r>
      <w:r>
        <w:rPr>
          <w:spacing w:val="-2"/>
          <w:position w:val="1"/>
          <w:sz w:val="20"/>
        </w:rPr>
        <w:t>外带状</w:t>
      </w:r>
      <w:r>
        <w:rPr>
          <w:spacing w:val="-2"/>
          <w:position w:val="1"/>
          <w:sz w:val="20"/>
        </w:rPr>
        <w:t>肌</w:t>
      </w:r>
      <w:r>
        <w:rPr>
          <w:spacing w:val="-2"/>
          <w:position w:val="1"/>
          <w:sz w:val="20"/>
        </w:rPr>
        <w:t>外</w:t>
      </w:r>
    </w:p>
    <w:p>
      <w:pPr>
        <w:spacing w:line="292" w:lineRule="auto" w:before="0"/>
        <w:ind w:left="2990" w:right="3057" w:firstLine="0"/>
        <w:jc w:val="left"/>
        <w:rPr>
          <w:sz w:val="20"/>
        </w:rPr>
      </w:pPr>
      <w:r>
        <w:rPr>
          <w:spacing w:val="-2"/>
          <w:position w:val="1"/>
          <w:sz w:val="20"/>
        </w:rPr>
        <w:t>pT</w:t>
      </w:r>
      <w:r>
        <w:rPr>
          <w:spacing w:val="-2"/>
          <w:sz w:val="10"/>
        </w:rPr>
        <w:t>4a</w:t>
      </w:r>
      <w:r>
        <w:rPr>
          <w:spacing w:val="-2"/>
          <w:position w:val="1"/>
          <w:sz w:val="20"/>
        </w:rPr>
        <w:t>：</w:t>
      </w:r>
      <w:r>
        <w:rPr>
          <w:spacing w:val="-2"/>
          <w:position w:val="1"/>
          <w:sz w:val="20"/>
        </w:rPr>
        <w:t>侵</w:t>
      </w:r>
      <w:r>
        <w:rPr>
          <w:spacing w:val="-2"/>
          <w:position w:val="1"/>
          <w:sz w:val="20"/>
        </w:rPr>
        <w:t>犯</w:t>
      </w:r>
      <w:r>
        <w:rPr>
          <w:spacing w:val="-2"/>
          <w:position w:val="1"/>
          <w:sz w:val="20"/>
        </w:rPr>
        <w:t>喉</w:t>
      </w:r>
      <w:r>
        <w:rPr>
          <w:spacing w:val="-2"/>
          <w:position w:val="1"/>
          <w:sz w:val="20"/>
        </w:rPr>
        <w:t>、</w:t>
      </w:r>
      <w:r>
        <w:rPr>
          <w:spacing w:val="-2"/>
          <w:position w:val="1"/>
          <w:sz w:val="20"/>
        </w:rPr>
        <w:t>气</w:t>
      </w:r>
      <w:r>
        <w:rPr>
          <w:spacing w:val="-2"/>
          <w:position w:val="1"/>
          <w:sz w:val="20"/>
        </w:rPr>
        <w:t>管</w:t>
      </w:r>
      <w:r>
        <w:rPr>
          <w:spacing w:val="-2"/>
          <w:position w:val="1"/>
          <w:sz w:val="20"/>
        </w:rPr>
        <w:t>、</w:t>
      </w:r>
      <w:r>
        <w:rPr>
          <w:spacing w:val="-2"/>
          <w:position w:val="1"/>
          <w:sz w:val="20"/>
        </w:rPr>
        <w:t>食</w:t>
      </w:r>
      <w:r>
        <w:rPr>
          <w:spacing w:val="-2"/>
          <w:position w:val="1"/>
          <w:sz w:val="20"/>
        </w:rPr>
        <w:t>管</w:t>
      </w:r>
      <w:r>
        <w:rPr>
          <w:spacing w:val="-2"/>
          <w:position w:val="1"/>
          <w:sz w:val="20"/>
        </w:rPr>
        <w:t>、</w:t>
      </w:r>
      <w:r>
        <w:rPr>
          <w:spacing w:val="-2"/>
          <w:position w:val="1"/>
          <w:sz w:val="20"/>
        </w:rPr>
        <w:t>喉</w:t>
      </w:r>
      <w:r>
        <w:rPr>
          <w:spacing w:val="-2"/>
          <w:position w:val="1"/>
          <w:sz w:val="20"/>
        </w:rPr>
        <w:t>反</w:t>
      </w:r>
      <w:r>
        <w:rPr>
          <w:spacing w:val="-2"/>
          <w:position w:val="1"/>
          <w:sz w:val="20"/>
        </w:rPr>
        <w:t>神</w:t>
      </w:r>
      <w:r>
        <w:rPr>
          <w:spacing w:val="-2"/>
          <w:position w:val="1"/>
          <w:sz w:val="20"/>
        </w:rPr>
        <w:t>经</w:t>
      </w:r>
      <w:r>
        <w:rPr>
          <w:spacing w:val="-2"/>
          <w:position w:val="1"/>
          <w:sz w:val="20"/>
        </w:rPr>
        <w:t>及</w:t>
      </w:r>
      <w:r>
        <w:rPr>
          <w:spacing w:val="-2"/>
          <w:position w:val="1"/>
          <w:sz w:val="20"/>
        </w:rPr>
        <w:t>皮</w:t>
      </w:r>
      <w:r>
        <w:rPr>
          <w:spacing w:val="-2"/>
          <w:position w:val="1"/>
          <w:sz w:val="20"/>
        </w:rPr>
        <w:t>下</w:t>
      </w:r>
      <w:r>
        <w:rPr>
          <w:spacing w:val="-2"/>
          <w:position w:val="1"/>
          <w:sz w:val="20"/>
        </w:rPr>
        <w:t>软</w:t>
      </w:r>
      <w:r>
        <w:rPr>
          <w:spacing w:val="-2"/>
          <w:position w:val="1"/>
          <w:sz w:val="20"/>
        </w:rPr>
        <w:t>组织 pT</w:t>
      </w:r>
      <w:r>
        <w:rPr>
          <w:spacing w:val="-2"/>
          <w:sz w:val="10"/>
        </w:rPr>
        <w:t>4b</w:t>
      </w:r>
      <w:r>
        <w:rPr>
          <w:spacing w:val="-2"/>
          <w:position w:val="1"/>
          <w:sz w:val="20"/>
        </w:rPr>
        <w:t>：</w:t>
      </w:r>
      <w:r>
        <w:rPr>
          <w:spacing w:val="-2"/>
          <w:position w:val="1"/>
          <w:sz w:val="20"/>
        </w:rPr>
        <w:t>侵</w:t>
      </w:r>
      <w:r>
        <w:rPr>
          <w:spacing w:val="-2"/>
          <w:position w:val="1"/>
          <w:sz w:val="20"/>
        </w:rPr>
        <w:t>犯</w:t>
      </w:r>
      <w:r>
        <w:rPr>
          <w:spacing w:val="-2"/>
          <w:position w:val="1"/>
          <w:sz w:val="20"/>
        </w:rPr>
        <w:t>椎</w:t>
      </w:r>
      <w:r>
        <w:rPr>
          <w:spacing w:val="-2"/>
          <w:position w:val="1"/>
          <w:sz w:val="20"/>
        </w:rPr>
        <w:t>前</w:t>
      </w:r>
      <w:r>
        <w:rPr>
          <w:spacing w:val="-2"/>
          <w:position w:val="1"/>
          <w:sz w:val="20"/>
        </w:rPr>
        <w:t>筋</w:t>
      </w:r>
      <w:r>
        <w:rPr>
          <w:spacing w:val="-2"/>
          <w:position w:val="1"/>
          <w:sz w:val="20"/>
        </w:rPr>
        <w:t>膜，</w:t>
      </w:r>
      <w:r>
        <w:rPr>
          <w:spacing w:val="-2"/>
          <w:position w:val="1"/>
          <w:sz w:val="20"/>
        </w:rPr>
        <w:t>或</w:t>
      </w:r>
      <w:r>
        <w:rPr>
          <w:spacing w:val="-2"/>
          <w:position w:val="1"/>
          <w:sz w:val="20"/>
        </w:rPr>
        <w:t>包</w:t>
      </w:r>
      <w:r>
        <w:rPr>
          <w:spacing w:val="-2"/>
          <w:position w:val="1"/>
          <w:sz w:val="20"/>
        </w:rPr>
        <w:t>裹</w:t>
      </w:r>
      <w:r>
        <w:rPr>
          <w:spacing w:val="-2"/>
          <w:position w:val="1"/>
          <w:sz w:val="20"/>
        </w:rPr>
        <w:t>颈</w:t>
      </w:r>
      <w:r>
        <w:rPr>
          <w:spacing w:val="-2"/>
          <w:position w:val="1"/>
          <w:sz w:val="20"/>
        </w:rPr>
        <w:t>动</w:t>
      </w:r>
      <w:r>
        <w:rPr>
          <w:spacing w:val="-2"/>
          <w:position w:val="1"/>
          <w:sz w:val="20"/>
        </w:rPr>
        <w:t>脉</w:t>
      </w:r>
      <w:r>
        <w:rPr>
          <w:spacing w:val="-2"/>
          <w:position w:val="1"/>
          <w:sz w:val="20"/>
        </w:rPr>
        <w:t>、</w:t>
      </w:r>
      <w:r>
        <w:rPr>
          <w:spacing w:val="-2"/>
          <w:position w:val="1"/>
          <w:sz w:val="20"/>
        </w:rPr>
        <w:t>纵</w:t>
      </w:r>
      <w:r>
        <w:rPr>
          <w:spacing w:val="-2"/>
          <w:position w:val="1"/>
          <w:sz w:val="20"/>
        </w:rPr>
        <w:t>隔</w:t>
      </w:r>
      <w:r>
        <w:rPr>
          <w:spacing w:val="-2"/>
          <w:position w:val="1"/>
          <w:sz w:val="20"/>
        </w:rPr>
        <w:t>血</w:t>
      </w:r>
      <w:r>
        <w:rPr>
          <w:spacing w:val="-2"/>
          <w:position w:val="1"/>
          <w:sz w:val="20"/>
        </w:rPr>
        <w:t>管</w:t>
      </w:r>
    </w:p>
    <w:p>
      <w:pPr>
        <w:spacing w:line="292" w:lineRule="auto" w:before="0"/>
        <w:ind w:left="2990" w:right="5506" w:firstLine="0"/>
        <w:jc w:val="left"/>
        <w:rPr>
          <w:sz w:val="20"/>
        </w:rPr>
      </w:pPr>
      <w:r>
        <w:rPr>
          <w:spacing w:val="-2"/>
          <w:sz w:val="20"/>
        </w:rPr>
        <w:t>甲</w:t>
      </w:r>
      <w:r>
        <w:rPr>
          <w:spacing w:val="-2"/>
          <w:sz w:val="20"/>
        </w:rPr>
        <w:t>状</w:t>
      </w:r>
      <w:r>
        <w:rPr>
          <w:spacing w:val="-2"/>
          <w:sz w:val="20"/>
        </w:rPr>
        <w:t>腺</w:t>
      </w:r>
      <w:r>
        <w:rPr>
          <w:spacing w:val="-2"/>
          <w:sz w:val="20"/>
        </w:rPr>
        <w:t>髓</w:t>
      </w:r>
      <w:r>
        <w:rPr>
          <w:spacing w:val="-2"/>
          <w:sz w:val="20"/>
        </w:rPr>
        <w:t>样</w:t>
      </w:r>
      <w:r>
        <w:rPr>
          <w:spacing w:val="-2"/>
          <w:sz w:val="20"/>
        </w:rPr>
        <w:t>癌</w:t>
      </w:r>
      <w:r>
        <w:rPr>
          <w:spacing w:val="80"/>
          <w:sz w:val="20"/>
        </w:rPr>
        <w:t>   </w:t>
      </w:r>
      <w:r>
        <w:rPr>
          <w:spacing w:val="-2"/>
          <w:position w:val="1"/>
          <w:sz w:val="20"/>
        </w:rPr>
        <w:t>pT</w:t>
      </w:r>
      <w:r>
        <w:rPr>
          <w:spacing w:val="-2"/>
          <w:sz w:val="10"/>
        </w:rPr>
        <w:t>X</w:t>
      </w:r>
      <w:r>
        <w:rPr>
          <w:spacing w:val="-2"/>
          <w:position w:val="1"/>
          <w:sz w:val="20"/>
        </w:rPr>
        <w:t>：</w:t>
      </w:r>
      <w:r>
        <w:rPr>
          <w:spacing w:val="-2"/>
          <w:position w:val="1"/>
          <w:sz w:val="20"/>
        </w:rPr>
        <w:t>原</w:t>
      </w:r>
      <w:r>
        <w:rPr>
          <w:spacing w:val="-2"/>
          <w:position w:val="1"/>
          <w:sz w:val="20"/>
        </w:rPr>
        <w:t>发</w:t>
      </w:r>
      <w:r>
        <w:rPr>
          <w:spacing w:val="-2"/>
          <w:position w:val="1"/>
          <w:sz w:val="20"/>
        </w:rPr>
        <w:t>肿</w:t>
      </w:r>
      <w:r>
        <w:rPr>
          <w:spacing w:val="-2"/>
          <w:position w:val="1"/>
          <w:sz w:val="20"/>
        </w:rPr>
        <w:t>瘤</w:t>
      </w:r>
      <w:r>
        <w:rPr>
          <w:spacing w:val="-2"/>
          <w:position w:val="1"/>
          <w:sz w:val="20"/>
        </w:rPr>
        <w:t>不</w:t>
      </w:r>
      <w:r>
        <w:rPr>
          <w:spacing w:val="-2"/>
          <w:position w:val="1"/>
          <w:sz w:val="20"/>
        </w:rPr>
        <w:t>能</w:t>
      </w:r>
      <w:r>
        <w:rPr>
          <w:spacing w:val="-2"/>
          <w:position w:val="1"/>
          <w:sz w:val="20"/>
        </w:rPr>
        <w:t>评</w:t>
      </w:r>
      <w:r>
        <w:rPr>
          <w:spacing w:val="-2"/>
          <w:position w:val="1"/>
          <w:sz w:val="20"/>
        </w:rPr>
        <w:t>估 pT</w:t>
      </w:r>
      <w:r>
        <w:rPr>
          <w:spacing w:val="-2"/>
          <w:sz w:val="10"/>
        </w:rPr>
        <w:t>0</w:t>
      </w:r>
      <w:r>
        <w:rPr>
          <w:spacing w:val="-2"/>
          <w:position w:val="1"/>
          <w:sz w:val="20"/>
        </w:rPr>
        <w:t>：</w:t>
      </w:r>
      <w:r>
        <w:rPr>
          <w:spacing w:val="-2"/>
          <w:position w:val="1"/>
          <w:sz w:val="20"/>
        </w:rPr>
        <w:t>无</w:t>
      </w:r>
      <w:r>
        <w:rPr>
          <w:spacing w:val="-2"/>
          <w:position w:val="1"/>
          <w:sz w:val="20"/>
        </w:rPr>
        <w:t>肿</w:t>
      </w:r>
      <w:r>
        <w:rPr>
          <w:spacing w:val="-2"/>
          <w:position w:val="1"/>
          <w:sz w:val="20"/>
        </w:rPr>
        <w:t>瘤</w:t>
      </w:r>
      <w:r>
        <w:rPr>
          <w:spacing w:val="-2"/>
          <w:position w:val="1"/>
          <w:sz w:val="20"/>
        </w:rPr>
        <w:t>证</w:t>
      </w:r>
      <w:r>
        <w:rPr>
          <w:spacing w:val="-2"/>
          <w:position w:val="1"/>
          <w:sz w:val="20"/>
        </w:rPr>
        <w:t>据</w:t>
      </w:r>
    </w:p>
    <w:p>
      <w:pPr>
        <w:spacing w:line="292" w:lineRule="auto" w:before="0"/>
        <w:ind w:left="3489" w:right="3873" w:hanging="500"/>
        <w:jc w:val="left"/>
        <w:rPr>
          <w:sz w:val="20"/>
        </w:rPr>
      </w:pPr>
      <w:r>
        <w:rPr>
          <w:spacing w:val="-2"/>
          <w:position w:val="1"/>
          <w:sz w:val="20"/>
        </w:rPr>
        <w:t>pT</w:t>
      </w:r>
      <w:r>
        <w:rPr>
          <w:spacing w:val="-2"/>
          <w:sz w:val="10"/>
        </w:rPr>
        <w:t>1</w:t>
      </w:r>
      <w:r>
        <w:rPr>
          <w:spacing w:val="-2"/>
          <w:position w:val="1"/>
          <w:sz w:val="20"/>
        </w:rPr>
        <w:t>：</w:t>
      </w:r>
      <w:r>
        <w:rPr>
          <w:spacing w:val="-2"/>
          <w:position w:val="1"/>
          <w:sz w:val="20"/>
        </w:rPr>
        <w:t>肿</w:t>
      </w:r>
      <w:r>
        <w:rPr>
          <w:spacing w:val="-2"/>
          <w:position w:val="1"/>
          <w:sz w:val="20"/>
        </w:rPr>
        <w:t>瘤</w:t>
      </w:r>
      <w:r>
        <w:rPr>
          <w:spacing w:val="-2"/>
          <w:position w:val="1"/>
          <w:sz w:val="20"/>
        </w:rPr>
        <w:t>局</w:t>
      </w:r>
      <w:r>
        <w:rPr>
          <w:spacing w:val="-2"/>
          <w:position w:val="1"/>
          <w:sz w:val="20"/>
        </w:rPr>
        <w:t>限</w:t>
      </w:r>
      <w:r>
        <w:rPr>
          <w:spacing w:val="-2"/>
          <w:position w:val="1"/>
          <w:sz w:val="20"/>
        </w:rPr>
        <w:t>在</w:t>
      </w:r>
      <w:r>
        <w:rPr>
          <w:spacing w:val="-2"/>
          <w:position w:val="1"/>
          <w:sz w:val="20"/>
        </w:rPr>
        <w:t>甲</w:t>
      </w:r>
      <w:r>
        <w:rPr>
          <w:spacing w:val="-2"/>
          <w:position w:val="1"/>
          <w:sz w:val="20"/>
        </w:rPr>
        <w:t>状</w:t>
      </w:r>
      <w:r>
        <w:rPr>
          <w:spacing w:val="-2"/>
          <w:position w:val="1"/>
          <w:sz w:val="20"/>
        </w:rPr>
        <w:t>腺内，</w:t>
      </w:r>
      <w:r>
        <w:rPr>
          <w:spacing w:val="-2"/>
          <w:position w:val="1"/>
          <w:sz w:val="20"/>
        </w:rPr>
        <w:t>最</w:t>
      </w:r>
      <w:r>
        <w:rPr>
          <w:spacing w:val="-2"/>
          <w:position w:val="1"/>
          <w:sz w:val="20"/>
        </w:rPr>
        <w:t>大</w:t>
      </w:r>
      <w:r>
        <w:rPr>
          <w:spacing w:val="-2"/>
          <w:position w:val="1"/>
          <w:sz w:val="20"/>
        </w:rPr>
        <w:t>径</w:t>
      </w:r>
      <w:r>
        <w:rPr>
          <w:spacing w:val="-2"/>
          <w:position w:val="1"/>
          <w:sz w:val="20"/>
        </w:rPr>
        <w:t>≤2cm </w:t>
      </w:r>
      <w:r>
        <w:rPr>
          <w:position w:val="1"/>
          <w:sz w:val="20"/>
        </w:rPr>
        <w:t>T</w:t>
      </w:r>
      <w:r>
        <w:rPr>
          <w:sz w:val="10"/>
        </w:rPr>
        <w:t>1a</w:t>
      </w:r>
      <w:r>
        <w:rPr>
          <w:spacing w:val="-26"/>
          <w:sz w:val="10"/>
        </w:rPr>
        <w:t> </w:t>
      </w:r>
      <w:r>
        <w:rPr>
          <w:position w:val="1"/>
          <w:sz w:val="20"/>
        </w:rPr>
        <w:t>肿</w:t>
      </w:r>
      <w:r>
        <w:rPr>
          <w:position w:val="1"/>
          <w:sz w:val="20"/>
        </w:rPr>
        <w:t>瘤</w:t>
      </w:r>
      <w:r>
        <w:rPr>
          <w:position w:val="1"/>
          <w:sz w:val="20"/>
        </w:rPr>
        <w:t>最</w:t>
      </w:r>
      <w:r>
        <w:rPr>
          <w:position w:val="1"/>
          <w:sz w:val="20"/>
        </w:rPr>
        <w:t>大</w:t>
      </w:r>
      <w:r>
        <w:rPr>
          <w:position w:val="1"/>
          <w:sz w:val="20"/>
        </w:rPr>
        <w:t>径≤1cm</w:t>
      </w:r>
    </w:p>
    <w:p>
      <w:pPr>
        <w:spacing w:line="292" w:lineRule="auto" w:before="0"/>
        <w:ind w:left="2990" w:right="4557" w:firstLine="499"/>
        <w:jc w:val="left"/>
        <w:rPr>
          <w:sz w:val="20"/>
        </w:rPr>
      </w:pPr>
      <w:r>
        <w:rPr>
          <w:spacing w:val="-2"/>
          <w:position w:val="1"/>
          <w:sz w:val="20"/>
        </w:rPr>
        <w:t>T</w:t>
      </w:r>
      <w:r>
        <w:rPr>
          <w:spacing w:val="-2"/>
          <w:sz w:val="10"/>
        </w:rPr>
        <w:t>1b</w:t>
      </w:r>
      <w:r>
        <w:rPr>
          <w:spacing w:val="-26"/>
          <w:sz w:val="10"/>
        </w:rPr>
        <w:t> </w:t>
      </w:r>
      <w:r>
        <w:rPr>
          <w:spacing w:val="-2"/>
          <w:position w:val="1"/>
          <w:sz w:val="20"/>
        </w:rPr>
        <w:t>肿</w:t>
      </w:r>
      <w:r>
        <w:rPr>
          <w:spacing w:val="-2"/>
          <w:position w:val="1"/>
          <w:sz w:val="20"/>
        </w:rPr>
        <w:t>瘤</w:t>
      </w:r>
      <w:r>
        <w:rPr>
          <w:spacing w:val="-2"/>
          <w:position w:val="1"/>
          <w:sz w:val="20"/>
        </w:rPr>
        <w:t>最</w:t>
      </w:r>
      <w:r>
        <w:rPr>
          <w:spacing w:val="-2"/>
          <w:position w:val="1"/>
          <w:sz w:val="20"/>
        </w:rPr>
        <w:t>大</w:t>
      </w:r>
      <w:r>
        <w:rPr>
          <w:spacing w:val="-2"/>
          <w:position w:val="1"/>
          <w:sz w:val="20"/>
        </w:rPr>
        <w:t>径＞1cm，≤2c</w:t>
      </w:r>
      <w:r>
        <w:rPr>
          <w:spacing w:val="-2"/>
          <w:position w:val="1"/>
          <w:sz w:val="20"/>
        </w:rPr>
        <w:t>m </w:t>
      </w:r>
      <w:r>
        <w:rPr>
          <w:position w:val="1"/>
          <w:sz w:val="20"/>
        </w:rPr>
        <w:t>pT</w:t>
      </w:r>
      <w:r>
        <w:rPr>
          <w:sz w:val="10"/>
        </w:rPr>
        <w:t>2</w:t>
      </w:r>
      <w:r>
        <w:rPr>
          <w:position w:val="1"/>
          <w:sz w:val="20"/>
        </w:rPr>
        <w:t>：</w:t>
      </w:r>
      <w:r>
        <w:rPr>
          <w:position w:val="1"/>
          <w:sz w:val="20"/>
        </w:rPr>
        <w:t>肿</w:t>
      </w:r>
      <w:r>
        <w:rPr>
          <w:position w:val="1"/>
          <w:sz w:val="20"/>
        </w:rPr>
        <w:t>瘤</w:t>
      </w:r>
      <w:r>
        <w:rPr>
          <w:spacing w:val="-41"/>
          <w:position w:val="1"/>
          <w:sz w:val="20"/>
        </w:rPr>
        <w:t> </w:t>
      </w:r>
      <w:r>
        <w:rPr>
          <w:position w:val="1"/>
          <w:sz w:val="20"/>
        </w:rPr>
        <w:t>2～4cm</w:t>
      </w:r>
    </w:p>
    <w:p>
      <w:pPr>
        <w:spacing w:line="292" w:lineRule="auto" w:before="0"/>
        <w:ind w:left="2990" w:right="2306" w:firstLine="0"/>
        <w:jc w:val="left"/>
        <w:rPr>
          <w:sz w:val="20"/>
        </w:rPr>
      </w:pPr>
      <w:r>
        <w:rPr>
          <w:spacing w:val="-2"/>
          <w:position w:val="1"/>
          <w:sz w:val="20"/>
        </w:rPr>
        <w:t>pT</w:t>
      </w:r>
      <w:r>
        <w:rPr>
          <w:spacing w:val="-2"/>
          <w:sz w:val="10"/>
        </w:rPr>
        <w:t>3</w:t>
      </w:r>
      <w:r>
        <w:rPr>
          <w:spacing w:val="-2"/>
          <w:position w:val="1"/>
          <w:sz w:val="20"/>
        </w:rPr>
        <w:t>：</w:t>
      </w:r>
      <w:r>
        <w:rPr>
          <w:spacing w:val="-2"/>
          <w:position w:val="1"/>
          <w:sz w:val="20"/>
        </w:rPr>
        <w:t>肿</w:t>
      </w:r>
      <w:r>
        <w:rPr>
          <w:spacing w:val="-2"/>
          <w:position w:val="1"/>
          <w:sz w:val="20"/>
        </w:rPr>
        <w:t>瘤</w:t>
      </w:r>
      <w:r>
        <w:rPr>
          <w:spacing w:val="-2"/>
          <w:position w:val="1"/>
          <w:sz w:val="20"/>
        </w:rPr>
        <w:t>&gt;4cm，</w:t>
      </w:r>
      <w:r>
        <w:rPr>
          <w:spacing w:val="-2"/>
          <w:position w:val="1"/>
          <w:sz w:val="20"/>
        </w:rPr>
        <w:t>局</w:t>
      </w:r>
      <w:r>
        <w:rPr>
          <w:spacing w:val="-2"/>
          <w:position w:val="1"/>
          <w:sz w:val="20"/>
        </w:rPr>
        <w:t>限</w:t>
      </w:r>
      <w:r>
        <w:rPr>
          <w:spacing w:val="-2"/>
          <w:position w:val="1"/>
          <w:sz w:val="20"/>
        </w:rPr>
        <w:t>于</w:t>
      </w:r>
      <w:r>
        <w:rPr>
          <w:spacing w:val="-2"/>
          <w:position w:val="1"/>
          <w:sz w:val="20"/>
        </w:rPr>
        <w:t>甲</w:t>
      </w:r>
      <w:r>
        <w:rPr>
          <w:spacing w:val="-2"/>
          <w:position w:val="1"/>
          <w:sz w:val="20"/>
        </w:rPr>
        <w:t>状</w:t>
      </w:r>
      <w:r>
        <w:rPr>
          <w:spacing w:val="-2"/>
          <w:position w:val="1"/>
          <w:sz w:val="20"/>
        </w:rPr>
        <w:t>腺</w:t>
      </w:r>
      <w:r>
        <w:rPr>
          <w:spacing w:val="-2"/>
          <w:position w:val="1"/>
          <w:sz w:val="20"/>
        </w:rPr>
        <w:t>内</w:t>
      </w:r>
      <w:r>
        <w:rPr>
          <w:spacing w:val="-2"/>
          <w:position w:val="1"/>
          <w:sz w:val="20"/>
        </w:rPr>
        <w:t>或</w:t>
      </w:r>
      <w:r>
        <w:rPr>
          <w:spacing w:val="-2"/>
          <w:position w:val="1"/>
          <w:sz w:val="20"/>
        </w:rPr>
        <w:t>大</w:t>
      </w:r>
      <w:r>
        <w:rPr>
          <w:spacing w:val="-2"/>
          <w:position w:val="1"/>
          <w:sz w:val="20"/>
        </w:rPr>
        <w:t>体</w:t>
      </w:r>
      <w:r>
        <w:rPr>
          <w:spacing w:val="-2"/>
          <w:position w:val="1"/>
          <w:sz w:val="20"/>
        </w:rPr>
        <w:t>侵</w:t>
      </w:r>
      <w:r>
        <w:rPr>
          <w:spacing w:val="-2"/>
          <w:position w:val="1"/>
          <w:sz w:val="20"/>
        </w:rPr>
        <w:t>犯</w:t>
      </w:r>
      <w:r>
        <w:rPr>
          <w:spacing w:val="-2"/>
          <w:position w:val="1"/>
          <w:sz w:val="20"/>
        </w:rPr>
        <w:t>甲</w:t>
      </w:r>
      <w:r>
        <w:rPr>
          <w:spacing w:val="-2"/>
          <w:position w:val="1"/>
          <w:sz w:val="20"/>
        </w:rPr>
        <w:t>状</w:t>
      </w:r>
      <w:r>
        <w:rPr>
          <w:spacing w:val="-2"/>
          <w:position w:val="1"/>
          <w:sz w:val="20"/>
        </w:rPr>
        <w:t>腺外带状肌 pT</w:t>
      </w:r>
      <w:r>
        <w:rPr>
          <w:spacing w:val="-2"/>
          <w:sz w:val="10"/>
        </w:rPr>
        <w:t>3a</w:t>
      </w:r>
      <w:r>
        <w:rPr>
          <w:spacing w:val="-2"/>
          <w:position w:val="1"/>
          <w:sz w:val="20"/>
        </w:rPr>
        <w:t>：</w:t>
      </w:r>
      <w:r>
        <w:rPr>
          <w:spacing w:val="-2"/>
          <w:position w:val="1"/>
          <w:sz w:val="20"/>
        </w:rPr>
        <w:t>肿</w:t>
      </w:r>
      <w:r>
        <w:rPr>
          <w:spacing w:val="-2"/>
          <w:position w:val="1"/>
          <w:sz w:val="20"/>
        </w:rPr>
        <w:t>瘤</w:t>
      </w:r>
      <w:r>
        <w:rPr>
          <w:spacing w:val="-2"/>
          <w:position w:val="1"/>
          <w:sz w:val="20"/>
        </w:rPr>
        <w:t>&gt;4cm，</w:t>
      </w:r>
      <w:r>
        <w:rPr>
          <w:spacing w:val="-2"/>
          <w:position w:val="1"/>
          <w:sz w:val="20"/>
        </w:rPr>
        <w:t>局</w:t>
      </w:r>
      <w:r>
        <w:rPr>
          <w:spacing w:val="-2"/>
          <w:position w:val="1"/>
          <w:sz w:val="20"/>
        </w:rPr>
        <w:t>限</w:t>
      </w:r>
      <w:r>
        <w:rPr>
          <w:spacing w:val="-2"/>
          <w:position w:val="1"/>
          <w:sz w:val="20"/>
        </w:rPr>
        <w:t>于</w:t>
      </w:r>
      <w:r>
        <w:rPr>
          <w:spacing w:val="-2"/>
          <w:position w:val="1"/>
          <w:sz w:val="20"/>
        </w:rPr>
        <w:t>甲</w:t>
      </w:r>
      <w:r>
        <w:rPr>
          <w:spacing w:val="-2"/>
          <w:position w:val="1"/>
          <w:sz w:val="20"/>
        </w:rPr>
        <w:t>状</w:t>
      </w:r>
      <w:r>
        <w:rPr>
          <w:spacing w:val="-2"/>
          <w:position w:val="1"/>
          <w:sz w:val="20"/>
        </w:rPr>
        <w:t>腺</w:t>
      </w:r>
      <w:r>
        <w:rPr>
          <w:spacing w:val="-2"/>
          <w:position w:val="1"/>
          <w:sz w:val="20"/>
        </w:rPr>
        <w:t>内</w:t>
      </w:r>
    </w:p>
    <w:p>
      <w:pPr>
        <w:spacing w:line="255" w:lineRule="exact" w:before="0"/>
        <w:ind w:left="2990" w:right="0" w:firstLine="0"/>
        <w:jc w:val="left"/>
        <w:rPr>
          <w:sz w:val="20"/>
        </w:rPr>
      </w:pPr>
      <w:r>
        <w:rPr>
          <w:w w:val="95"/>
          <w:position w:val="1"/>
          <w:sz w:val="20"/>
        </w:rPr>
        <w:t>pT</w:t>
      </w:r>
      <w:r>
        <w:rPr>
          <w:w w:val="95"/>
          <w:sz w:val="10"/>
        </w:rPr>
        <w:t>3b</w:t>
      </w:r>
      <w:r>
        <w:rPr>
          <w:w w:val="95"/>
          <w:position w:val="1"/>
          <w:sz w:val="20"/>
        </w:rPr>
        <w:t>：</w:t>
      </w:r>
      <w:r>
        <w:rPr>
          <w:w w:val="95"/>
          <w:position w:val="1"/>
          <w:sz w:val="20"/>
        </w:rPr>
        <w:t>大</w:t>
      </w:r>
      <w:r>
        <w:rPr>
          <w:w w:val="95"/>
          <w:position w:val="1"/>
          <w:sz w:val="20"/>
        </w:rPr>
        <w:t>体</w:t>
      </w:r>
      <w:r>
        <w:rPr>
          <w:w w:val="95"/>
          <w:position w:val="1"/>
          <w:sz w:val="20"/>
        </w:rPr>
        <w:t>侵</w:t>
      </w:r>
      <w:r>
        <w:rPr>
          <w:w w:val="95"/>
          <w:position w:val="1"/>
          <w:sz w:val="20"/>
        </w:rPr>
        <w:t>犯</w:t>
      </w:r>
      <w:r>
        <w:rPr>
          <w:w w:val="95"/>
          <w:position w:val="1"/>
          <w:sz w:val="20"/>
        </w:rPr>
        <w:t>甲</w:t>
      </w:r>
      <w:r>
        <w:rPr>
          <w:w w:val="95"/>
          <w:position w:val="1"/>
          <w:sz w:val="20"/>
        </w:rPr>
        <w:t>状</w:t>
      </w:r>
      <w:r>
        <w:rPr>
          <w:w w:val="95"/>
          <w:position w:val="1"/>
          <w:sz w:val="20"/>
        </w:rPr>
        <w:t>腺</w:t>
      </w:r>
      <w:r>
        <w:rPr>
          <w:w w:val="95"/>
          <w:position w:val="1"/>
          <w:sz w:val="20"/>
        </w:rPr>
        <w:t>外</w:t>
      </w:r>
      <w:r>
        <w:rPr>
          <w:w w:val="95"/>
          <w:position w:val="1"/>
          <w:sz w:val="20"/>
        </w:rPr>
        <w:t>带</w:t>
      </w:r>
      <w:r>
        <w:rPr>
          <w:w w:val="95"/>
          <w:position w:val="1"/>
          <w:sz w:val="20"/>
        </w:rPr>
        <w:t>状</w:t>
      </w:r>
      <w:r>
        <w:rPr>
          <w:w w:val="95"/>
          <w:position w:val="1"/>
          <w:sz w:val="20"/>
        </w:rPr>
        <w:t>肌</w:t>
      </w:r>
      <w:r>
        <w:rPr>
          <w:w w:val="95"/>
          <w:position w:val="1"/>
          <w:sz w:val="20"/>
        </w:rPr>
        <w:t>，无</w:t>
      </w:r>
      <w:r>
        <w:rPr>
          <w:w w:val="95"/>
          <w:position w:val="1"/>
          <w:sz w:val="20"/>
        </w:rPr>
        <w:t>论</w:t>
      </w:r>
      <w:r>
        <w:rPr>
          <w:w w:val="95"/>
          <w:position w:val="1"/>
          <w:sz w:val="20"/>
        </w:rPr>
        <w:t>肿</w:t>
      </w:r>
      <w:r>
        <w:rPr>
          <w:w w:val="95"/>
          <w:position w:val="1"/>
          <w:sz w:val="20"/>
        </w:rPr>
        <w:t>瘤</w:t>
      </w:r>
      <w:r>
        <w:rPr>
          <w:w w:val="95"/>
          <w:position w:val="1"/>
          <w:sz w:val="20"/>
        </w:rPr>
        <w:t>大</w:t>
      </w:r>
      <w:r>
        <w:rPr>
          <w:spacing w:val="-10"/>
          <w:w w:val="95"/>
          <w:position w:val="1"/>
          <w:sz w:val="20"/>
        </w:rPr>
        <w:t>小</w:t>
      </w:r>
    </w:p>
    <w:p>
      <w:pPr>
        <w:spacing w:line="292" w:lineRule="auto" w:before="49"/>
        <w:ind w:left="2990" w:right="1157" w:firstLine="600"/>
        <w:jc w:val="left"/>
        <w:rPr>
          <w:sz w:val="20"/>
        </w:rPr>
      </w:pPr>
      <w:r>
        <w:rPr>
          <w:spacing w:val="-2"/>
          <w:sz w:val="20"/>
        </w:rPr>
        <w:t>带</w:t>
      </w:r>
      <w:r>
        <w:rPr>
          <w:spacing w:val="-2"/>
          <w:sz w:val="20"/>
        </w:rPr>
        <w:t>状</w:t>
      </w:r>
      <w:r>
        <w:rPr>
          <w:spacing w:val="-2"/>
          <w:sz w:val="20"/>
        </w:rPr>
        <w:t>肌</w:t>
      </w:r>
      <w:r>
        <w:rPr>
          <w:spacing w:val="-2"/>
          <w:sz w:val="20"/>
        </w:rPr>
        <w:t>包</w:t>
      </w:r>
      <w:r>
        <w:rPr>
          <w:spacing w:val="-2"/>
          <w:sz w:val="20"/>
        </w:rPr>
        <w:t>括</w:t>
      </w:r>
      <w:r>
        <w:rPr>
          <w:spacing w:val="-2"/>
          <w:sz w:val="20"/>
        </w:rPr>
        <w:t>：胸</w:t>
      </w:r>
      <w:r>
        <w:rPr>
          <w:spacing w:val="-2"/>
          <w:sz w:val="20"/>
        </w:rPr>
        <w:t>骨</w:t>
      </w:r>
      <w:r>
        <w:rPr>
          <w:spacing w:val="-2"/>
          <w:sz w:val="20"/>
        </w:rPr>
        <w:t>舌</w:t>
      </w:r>
      <w:r>
        <w:rPr>
          <w:spacing w:val="-2"/>
          <w:sz w:val="20"/>
        </w:rPr>
        <w:t>骨肌、</w:t>
      </w:r>
      <w:r>
        <w:rPr>
          <w:spacing w:val="-2"/>
          <w:sz w:val="20"/>
        </w:rPr>
        <w:t>胸</w:t>
      </w:r>
      <w:r>
        <w:rPr>
          <w:spacing w:val="-2"/>
          <w:sz w:val="20"/>
        </w:rPr>
        <w:t>骨</w:t>
      </w:r>
      <w:r>
        <w:rPr>
          <w:spacing w:val="-2"/>
          <w:sz w:val="20"/>
        </w:rPr>
        <w:t>甲</w:t>
      </w:r>
      <w:r>
        <w:rPr>
          <w:spacing w:val="-2"/>
          <w:sz w:val="20"/>
        </w:rPr>
        <w:t>状</w:t>
      </w:r>
      <w:r>
        <w:rPr>
          <w:spacing w:val="-2"/>
          <w:sz w:val="20"/>
        </w:rPr>
        <w:t>肌</w:t>
      </w:r>
      <w:r>
        <w:rPr>
          <w:spacing w:val="-2"/>
          <w:sz w:val="20"/>
        </w:rPr>
        <w:t>、</w:t>
      </w:r>
      <w:r>
        <w:rPr>
          <w:spacing w:val="-2"/>
          <w:sz w:val="20"/>
        </w:rPr>
        <w:t>甲</w:t>
      </w:r>
      <w:r>
        <w:rPr>
          <w:spacing w:val="-2"/>
          <w:sz w:val="20"/>
        </w:rPr>
        <w:t>状</w:t>
      </w:r>
      <w:r>
        <w:rPr>
          <w:spacing w:val="-2"/>
          <w:sz w:val="20"/>
        </w:rPr>
        <w:t>舌</w:t>
      </w:r>
      <w:r>
        <w:rPr>
          <w:spacing w:val="-2"/>
          <w:sz w:val="20"/>
        </w:rPr>
        <w:t>骨肌、</w:t>
      </w:r>
      <w:r>
        <w:rPr>
          <w:spacing w:val="-2"/>
          <w:sz w:val="20"/>
        </w:rPr>
        <w:t>肩</w:t>
      </w:r>
      <w:r>
        <w:rPr>
          <w:spacing w:val="-2"/>
          <w:sz w:val="20"/>
        </w:rPr>
        <w:t>胛</w:t>
      </w:r>
      <w:r>
        <w:rPr>
          <w:spacing w:val="-2"/>
          <w:sz w:val="20"/>
        </w:rPr>
        <w:t>舌</w:t>
      </w:r>
      <w:r>
        <w:rPr>
          <w:spacing w:val="-2"/>
          <w:sz w:val="20"/>
        </w:rPr>
        <w:t>骨肌 </w:t>
      </w:r>
      <w:r>
        <w:rPr>
          <w:spacing w:val="-2"/>
          <w:position w:val="1"/>
          <w:sz w:val="20"/>
        </w:rPr>
        <w:t>pT</w:t>
      </w:r>
      <w:r>
        <w:rPr>
          <w:spacing w:val="-2"/>
          <w:sz w:val="10"/>
        </w:rPr>
        <w:t>4</w:t>
      </w:r>
      <w:r>
        <w:rPr>
          <w:spacing w:val="-2"/>
          <w:position w:val="1"/>
          <w:sz w:val="20"/>
        </w:rPr>
        <w:t>：</w:t>
      </w:r>
      <w:r>
        <w:rPr>
          <w:spacing w:val="-2"/>
          <w:position w:val="1"/>
          <w:sz w:val="20"/>
        </w:rPr>
        <w:t>进</w:t>
      </w:r>
      <w:r>
        <w:rPr>
          <w:spacing w:val="-2"/>
          <w:position w:val="1"/>
          <w:sz w:val="20"/>
        </w:rPr>
        <w:t>展</w:t>
      </w:r>
      <w:r>
        <w:rPr>
          <w:spacing w:val="-2"/>
          <w:position w:val="1"/>
          <w:sz w:val="20"/>
        </w:rPr>
        <w:t>期</w:t>
      </w:r>
      <w:r>
        <w:rPr>
          <w:spacing w:val="-2"/>
          <w:position w:val="1"/>
          <w:sz w:val="20"/>
        </w:rPr>
        <w:t>病</w:t>
      </w:r>
      <w:r>
        <w:rPr>
          <w:spacing w:val="-2"/>
          <w:position w:val="1"/>
          <w:sz w:val="20"/>
        </w:rPr>
        <w:t>变</w:t>
      </w:r>
    </w:p>
    <w:p>
      <w:pPr>
        <w:spacing w:line="292" w:lineRule="auto" w:before="0"/>
        <w:ind w:left="2990" w:right="1058" w:firstLine="0"/>
        <w:jc w:val="left"/>
        <w:rPr>
          <w:sz w:val="20"/>
        </w:rPr>
      </w:pPr>
      <w:r>
        <w:rPr>
          <w:spacing w:val="1"/>
          <w:w w:val="99"/>
          <w:position w:val="1"/>
          <w:sz w:val="20"/>
        </w:rPr>
        <w:t>pT</w:t>
      </w:r>
      <w:r>
        <w:rPr>
          <w:w w:val="100"/>
          <w:sz w:val="10"/>
        </w:rPr>
        <w:t>4a</w:t>
      </w:r>
      <w:r>
        <w:rPr>
          <w:spacing w:val="-1"/>
          <w:w w:val="99"/>
          <w:position w:val="1"/>
          <w:sz w:val="20"/>
        </w:rPr>
        <w:t>：中度进展，任何大小的肿瘤，侵犯甲状腺外颈部周围器官和软组织，</w:t>
      </w:r>
      <w:r>
        <w:rPr>
          <w:w w:val="99"/>
          <w:sz w:val="20"/>
        </w:rPr>
        <w:t>如喉、气管、食管、喉反神经及皮下软组织</w:t>
      </w:r>
    </w:p>
    <w:p>
      <w:pPr>
        <w:spacing w:line="292" w:lineRule="auto" w:before="0"/>
        <w:ind w:left="2990" w:right="1068" w:firstLine="0"/>
        <w:jc w:val="left"/>
        <w:rPr>
          <w:sz w:val="20"/>
        </w:rPr>
      </w:pPr>
      <w:r>
        <w:rPr>
          <w:spacing w:val="1"/>
          <w:w w:val="99"/>
          <w:position w:val="1"/>
          <w:sz w:val="20"/>
        </w:rPr>
        <w:t>pT</w:t>
      </w:r>
      <w:r>
        <w:rPr>
          <w:w w:val="100"/>
          <w:sz w:val="10"/>
        </w:rPr>
        <w:t>4b</w:t>
      </w:r>
      <w:r>
        <w:rPr>
          <w:spacing w:val="-4"/>
          <w:w w:val="99"/>
          <w:position w:val="1"/>
          <w:sz w:val="20"/>
        </w:rPr>
        <w:t>：重度进展，任何大小的肿瘤，侵犯椎前筋膜，或包裹颈动脉、纵隔血</w:t>
      </w:r>
      <w:r>
        <w:rPr>
          <w:w w:val="99"/>
          <w:sz w:val="20"/>
        </w:rPr>
        <w:t>管</w:t>
      </w:r>
    </w:p>
    <w:p>
      <w:pPr>
        <w:spacing w:line="292" w:lineRule="auto" w:before="0"/>
        <w:ind w:left="2990" w:right="4557" w:firstLine="0"/>
        <w:jc w:val="left"/>
        <w:rPr>
          <w:sz w:val="20"/>
        </w:rPr>
      </w:pPr>
      <w:r>
        <w:rPr>
          <w:spacing w:val="-2"/>
          <w:sz w:val="20"/>
        </w:rPr>
        <w:t>区</w:t>
      </w:r>
      <w:r>
        <w:rPr>
          <w:spacing w:val="-2"/>
          <w:sz w:val="20"/>
        </w:rPr>
        <w:t>域</w:t>
      </w:r>
      <w:r>
        <w:rPr>
          <w:spacing w:val="-2"/>
          <w:sz w:val="20"/>
        </w:rPr>
        <w:t>淋</w:t>
      </w:r>
      <w:r>
        <w:rPr>
          <w:spacing w:val="-2"/>
          <w:sz w:val="20"/>
        </w:rPr>
        <w:t>巴</w:t>
      </w:r>
      <w:r>
        <w:rPr>
          <w:spacing w:val="-2"/>
          <w:sz w:val="20"/>
        </w:rPr>
        <w:t>结</w:t>
      </w:r>
      <w:r>
        <w:rPr>
          <w:spacing w:val="-2"/>
          <w:sz w:val="20"/>
        </w:rPr>
        <w:t>：适</w:t>
      </w:r>
      <w:r>
        <w:rPr>
          <w:spacing w:val="-2"/>
          <w:sz w:val="20"/>
        </w:rPr>
        <w:t>用</w:t>
      </w:r>
      <w:r>
        <w:rPr>
          <w:spacing w:val="-2"/>
          <w:sz w:val="20"/>
        </w:rPr>
        <w:t>于</w:t>
      </w:r>
      <w:r>
        <w:rPr>
          <w:spacing w:val="-2"/>
          <w:sz w:val="20"/>
        </w:rPr>
        <w:t>所有甲</w:t>
      </w:r>
      <w:r>
        <w:rPr>
          <w:spacing w:val="-2"/>
          <w:sz w:val="20"/>
        </w:rPr>
        <w:t>状</w:t>
      </w:r>
      <w:r>
        <w:rPr>
          <w:spacing w:val="-2"/>
          <w:sz w:val="20"/>
        </w:rPr>
        <w:t>腺</w:t>
      </w:r>
      <w:r>
        <w:rPr>
          <w:spacing w:val="-2"/>
          <w:sz w:val="20"/>
        </w:rPr>
        <w:t>癌 </w:t>
      </w:r>
      <w:r>
        <w:rPr>
          <w:spacing w:val="-2"/>
          <w:position w:val="1"/>
          <w:sz w:val="20"/>
        </w:rPr>
        <w:t>pN</w:t>
      </w:r>
      <w:r>
        <w:rPr>
          <w:spacing w:val="-2"/>
          <w:sz w:val="10"/>
        </w:rPr>
        <w:t>x</w:t>
      </w:r>
      <w:r>
        <w:rPr>
          <w:spacing w:val="-2"/>
          <w:position w:val="1"/>
          <w:sz w:val="20"/>
        </w:rPr>
        <w:t>：</w:t>
      </w:r>
      <w:r>
        <w:rPr>
          <w:spacing w:val="-2"/>
          <w:position w:val="1"/>
          <w:sz w:val="20"/>
        </w:rPr>
        <w:t>区</w:t>
      </w:r>
      <w:r>
        <w:rPr>
          <w:spacing w:val="-2"/>
          <w:position w:val="1"/>
          <w:sz w:val="20"/>
        </w:rPr>
        <w:t>域</w:t>
      </w:r>
      <w:r>
        <w:rPr>
          <w:spacing w:val="-2"/>
          <w:position w:val="1"/>
          <w:sz w:val="20"/>
        </w:rPr>
        <w:t>淋</w:t>
      </w:r>
      <w:r>
        <w:rPr>
          <w:spacing w:val="-2"/>
          <w:position w:val="1"/>
          <w:sz w:val="20"/>
        </w:rPr>
        <w:t>巴</w:t>
      </w:r>
      <w:r>
        <w:rPr>
          <w:spacing w:val="-2"/>
          <w:position w:val="1"/>
          <w:sz w:val="20"/>
        </w:rPr>
        <w:t>结</w:t>
      </w:r>
      <w:r>
        <w:rPr>
          <w:spacing w:val="-2"/>
          <w:position w:val="1"/>
          <w:sz w:val="20"/>
        </w:rPr>
        <w:t>无</w:t>
      </w:r>
      <w:r>
        <w:rPr>
          <w:spacing w:val="-2"/>
          <w:position w:val="1"/>
          <w:sz w:val="20"/>
        </w:rPr>
        <w:t>法</w:t>
      </w:r>
      <w:r>
        <w:rPr>
          <w:spacing w:val="-2"/>
          <w:position w:val="1"/>
          <w:sz w:val="20"/>
        </w:rPr>
        <w:t>评估</w:t>
      </w:r>
      <w:r>
        <w:rPr>
          <w:spacing w:val="80"/>
          <w:w w:val="150"/>
          <w:position w:val="1"/>
          <w:sz w:val="20"/>
        </w:rPr>
        <w:t>  </w:t>
      </w:r>
      <w:r>
        <w:rPr>
          <w:spacing w:val="-2"/>
          <w:position w:val="1"/>
          <w:sz w:val="20"/>
        </w:rPr>
        <w:t>pN</w:t>
      </w:r>
      <w:r>
        <w:rPr>
          <w:spacing w:val="-2"/>
          <w:sz w:val="10"/>
        </w:rPr>
        <w:t>0</w:t>
      </w:r>
      <w:r>
        <w:rPr>
          <w:spacing w:val="-2"/>
          <w:position w:val="1"/>
          <w:sz w:val="20"/>
        </w:rPr>
        <w:t>：</w:t>
      </w:r>
      <w:r>
        <w:rPr>
          <w:spacing w:val="-2"/>
          <w:position w:val="1"/>
          <w:sz w:val="20"/>
        </w:rPr>
        <w:t>无</w:t>
      </w:r>
      <w:r>
        <w:rPr>
          <w:spacing w:val="-2"/>
          <w:position w:val="1"/>
          <w:sz w:val="20"/>
        </w:rPr>
        <w:t>淋</w:t>
      </w:r>
      <w:r>
        <w:rPr>
          <w:spacing w:val="-2"/>
          <w:position w:val="1"/>
          <w:sz w:val="20"/>
        </w:rPr>
        <w:t>巴</w:t>
      </w:r>
      <w:r>
        <w:rPr>
          <w:spacing w:val="-2"/>
          <w:position w:val="1"/>
          <w:sz w:val="20"/>
        </w:rPr>
        <w:t>结</w:t>
      </w:r>
      <w:r>
        <w:rPr>
          <w:spacing w:val="-2"/>
          <w:position w:val="1"/>
          <w:sz w:val="20"/>
        </w:rPr>
        <w:t>转</w:t>
      </w:r>
      <w:r>
        <w:rPr>
          <w:spacing w:val="-2"/>
          <w:position w:val="1"/>
          <w:sz w:val="20"/>
        </w:rPr>
        <w:t>移</w:t>
      </w:r>
      <w:r>
        <w:rPr>
          <w:spacing w:val="-2"/>
          <w:position w:val="1"/>
          <w:sz w:val="20"/>
        </w:rPr>
        <w:t>证</w:t>
      </w:r>
      <w:r>
        <w:rPr>
          <w:spacing w:val="-2"/>
          <w:position w:val="1"/>
          <w:sz w:val="20"/>
        </w:rPr>
        <w:t>据</w:t>
      </w:r>
      <w:r>
        <w:rPr>
          <w:spacing w:val="80"/>
          <w:w w:val="150"/>
          <w:position w:val="1"/>
          <w:sz w:val="20"/>
        </w:rPr>
        <w:t>   </w:t>
      </w:r>
      <w:r>
        <w:rPr>
          <w:spacing w:val="-2"/>
          <w:position w:val="1"/>
          <w:sz w:val="20"/>
        </w:rPr>
        <w:t>pN</w:t>
      </w:r>
      <w:r>
        <w:rPr>
          <w:spacing w:val="-2"/>
          <w:sz w:val="10"/>
        </w:rPr>
        <w:t>1</w:t>
      </w:r>
      <w:r>
        <w:rPr>
          <w:spacing w:val="-2"/>
          <w:position w:val="1"/>
          <w:sz w:val="20"/>
        </w:rPr>
        <w:t>：</w:t>
      </w:r>
      <w:r>
        <w:rPr>
          <w:spacing w:val="-2"/>
          <w:position w:val="1"/>
          <w:sz w:val="20"/>
        </w:rPr>
        <w:t>区</w:t>
      </w:r>
      <w:r>
        <w:rPr>
          <w:spacing w:val="-2"/>
          <w:position w:val="1"/>
          <w:sz w:val="20"/>
        </w:rPr>
        <w:t>域</w:t>
      </w:r>
      <w:r>
        <w:rPr>
          <w:spacing w:val="-2"/>
          <w:position w:val="1"/>
          <w:sz w:val="20"/>
        </w:rPr>
        <w:t>淋</w:t>
      </w:r>
      <w:r>
        <w:rPr>
          <w:spacing w:val="-2"/>
          <w:position w:val="1"/>
          <w:sz w:val="20"/>
        </w:rPr>
        <w:t>巴</w:t>
      </w:r>
      <w:r>
        <w:rPr>
          <w:spacing w:val="-2"/>
          <w:position w:val="1"/>
          <w:sz w:val="20"/>
        </w:rPr>
        <w:t>结</w:t>
      </w:r>
      <w:r>
        <w:rPr>
          <w:spacing w:val="-2"/>
          <w:position w:val="1"/>
          <w:sz w:val="20"/>
        </w:rPr>
        <w:t>转</w:t>
      </w:r>
      <w:r>
        <w:rPr>
          <w:spacing w:val="-2"/>
          <w:position w:val="1"/>
          <w:sz w:val="20"/>
        </w:rPr>
        <w:t>移</w:t>
      </w:r>
    </w:p>
    <w:p>
      <w:pPr>
        <w:spacing w:line="292" w:lineRule="auto" w:before="0"/>
        <w:ind w:left="2990" w:right="1065" w:firstLine="0"/>
        <w:jc w:val="left"/>
        <w:rPr>
          <w:sz w:val="20"/>
        </w:rPr>
      </w:pPr>
      <w:r>
        <w:rPr>
          <w:position w:val="1"/>
          <w:sz w:val="20"/>
        </w:rPr>
        <w:t>pN</w:t>
      </w:r>
      <w:r>
        <w:rPr>
          <w:sz w:val="10"/>
        </w:rPr>
        <w:t>1a</w:t>
      </w:r>
      <w:r>
        <w:rPr>
          <w:position w:val="1"/>
          <w:sz w:val="20"/>
        </w:rPr>
        <w:t>：</w:t>
      </w:r>
      <w:r>
        <w:rPr>
          <w:position w:val="1"/>
          <w:sz w:val="20"/>
        </w:rPr>
        <w:t>转</w:t>
      </w:r>
      <w:r>
        <w:rPr>
          <w:position w:val="1"/>
          <w:sz w:val="20"/>
        </w:rPr>
        <w:t>移</w:t>
      </w:r>
      <w:r>
        <w:rPr>
          <w:position w:val="1"/>
          <w:sz w:val="20"/>
        </w:rPr>
        <w:t>至</w:t>
      </w:r>
      <w:r>
        <w:rPr>
          <w:position w:val="1"/>
          <w:sz w:val="20"/>
        </w:rPr>
        <w:t>Ⅵ</w:t>
      </w:r>
      <w:r>
        <w:rPr>
          <w:position w:val="1"/>
          <w:sz w:val="20"/>
        </w:rPr>
        <w:t>、</w:t>
      </w:r>
      <w:r>
        <w:rPr>
          <w:position w:val="1"/>
          <w:sz w:val="20"/>
        </w:rPr>
        <w:t>Ⅶ</w:t>
      </w:r>
      <w:r>
        <w:rPr>
          <w:position w:val="1"/>
          <w:sz w:val="20"/>
        </w:rPr>
        <w:t>区</w:t>
      </w:r>
      <w:r>
        <w:rPr>
          <w:position w:val="1"/>
          <w:sz w:val="20"/>
        </w:rPr>
        <w:t>（包</w:t>
      </w:r>
      <w:r>
        <w:rPr>
          <w:position w:val="1"/>
          <w:sz w:val="20"/>
        </w:rPr>
        <w:t>括</w:t>
      </w:r>
      <w:r>
        <w:rPr>
          <w:position w:val="1"/>
          <w:sz w:val="20"/>
        </w:rPr>
        <w:t>气</w:t>
      </w:r>
      <w:r>
        <w:rPr>
          <w:position w:val="1"/>
          <w:sz w:val="20"/>
        </w:rPr>
        <w:t>管</w:t>
      </w:r>
      <w:r>
        <w:rPr>
          <w:position w:val="1"/>
          <w:sz w:val="20"/>
        </w:rPr>
        <w:t>旁</w:t>
      </w:r>
      <w:r>
        <w:rPr>
          <w:position w:val="1"/>
          <w:sz w:val="20"/>
        </w:rPr>
        <w:t>、</w:t>
      </w:r>
      <w:r>
        <w:rPr>
          <w:position w:val="1"/>
          <w:sz w:val="20"/>
        </w:rPr>
        <w:t>气</w:t>
      </w:r>
      <w:r>
        <w:rPr>
          <w:position w:val="1"/>
          <w:sz w:val="20"/>
        </w:rPr>
        <w:t>管</w:t>
      </w:r>
      <w:r>
        <w:rPr>
          <w:position w:val="1"/>
          <w:sz w:val="20"/>
        </w:rPr>
        <w:t>前</w:t>
      </w:r>
      <w:r>
        <w:rPr>
          <w:position w:val="1"/>
          <w:sz w:val="20"/>
        </w:rPr>
        <w:t>、</w:t>
      </w:r>
      <w:r>
        <w:rPr>
          <w:position w:val="1"/>
          <w:sz w:val="20"/>
        </w:rPr>
        <w:t>喉</w:t>
      </w:r>
      <w:r>
        <w:rPr>
          <w:position w:val="1"/>
          <w:sz w:val="20"/>
        </w:rPr>
        <w:t>前</w:t>
      </w:r>
      <w:r>
        <w:rPr>
          <w:position w:val="1"/>
          <w:sz w:val="20"/>
        </w:rPr>
        <w:t>/Delphian</w:t>
      </w:r>
      <w:r>
        <w:rPr>
          <w:spacing w:val="-13"/>
          <w:position w:val="1"/>
          <w:sz w:val="20"/>
        </w:rPr>
        <w:t> 或</w:t>
      </w:r>
      <w:r>
        <w:rPr>
          <w:position w:val="1"/>
          <w:sz w:val="20"/>
        </w:rPr>
        <w:t>上</w:t>
      </w:r>
      <w:r>
        <w:rPr>
          <w:position w:val="1"/>
          <w:sz w:val="20"/>
        </w:rPr>
        <w:t>纵</w:t>
      </w:r>
      <w:r>
        <w:rPr>
          <w:position w:val="1"/>
          <w:sz w:val="20"/>
        </w:rPr>
        <w:t>隔</w:t>
      </w:r>
      <w:r>
        <w:rPr>
          <w:position w:val="1"/>
          <w:sz w:val="20"/>
        </w:rPr>
        <w:t>）</w:t>
      </w:r>
      <w:r>
        <w:rPr>
          <w:spacing w:val="-2"/>
          <w:sz w:val="20"/>
        </w:rPr>
        <w:t>淋</w:t>
      </w:r>
      <w:r>
        <w:rPr>
          <w:spacing w:val="-2"/>
          <w:sz w:val="20"/>
        </w:rPr>
        <w:t>巴</w:t>
      </w:r>
      <w:r>
        <w:rPr>
          <w:spacing w:val="-2"/>
          <w:sz w:val="20"/>
        </w:rPr>
        <w:t>结</w:t>
      </w:r>
      <w:r>
        <w:rPr>
          <w:spacing w:val="-2"/>
          <w:sz w:val="20"/>
        </w:rPr>
        <w:t>，</w:t>
      </w:r>
      <w:r>
        <w:rPr>
          <w:spacing w:val="-2"/>
          <w:sz w:val="20"/>
        </w:rPr>
        <w:t>可</w:t>
      </w:r>
      <w:r>
        <w:rPr>
          <w:spacing w:val="-2"/>
          <w:sz w:val="20"/>
        </w:rPr>
        <w:t>以</w:t>
      </w:r>
      <w:r>
        <w:rPr>
          <w:spacing w:val="-2"/>
          <w:sz w:val="20"/>
        </w:rPr>
        <w:t>为</w:t>
      </w:r>
      <w:r>
        <w:rPr>
          <w:spacing w:val="-2"/>
          <w:sz w:val="20"/>
        </w:rPr>
        <w:t>单</w:t>
      </w:r>
      <w:r>
        <w:rPr>
          <w:spacing w:val="-2"/>
          <w:sz w:val="20"/>
        </w:rPr>
        <w:t>侧</w:t>
      </w:r>
      <w:r>
        <w:rPr>
          <w:spacing w:val="-2"/>
          <w:sz w:val="20"/>
        </w:rPr>
        <w:t>或双侧。</w:t>
      </w:r>
    </w:p>
    <w:p>
      <w:pPr>
        <w:spacing w:line="292" w:lineRule="auto" w:before="0"/>
        <w:ind w:left="2990" w:right="1068" w:firstLine="0"/>
        <w:jc w:val="left"/>
        <w:rPr>
          <w:sz w:val="20"/>
        </w:rPr>
      </w:pPr>
      <w:r>
        <w:rPr>
          <w:spacing w:val="1"/>
          <w:w w:val="99"/>
          <w:position w:val="1"/>
          <w:sz w:val="20"/>
        </w:rPr>
        <w:t>pN</w:t>
      </w:r>
      <w:r>
        <w:rPr>
          <w:w w:val="100"/>
          <w:sz w:val="10"/>
        </w:rPr>
        <w:t>1b</w:t>
      </w:r>
      <w:r>
        <w:rPr>
          <w:spacing w:val="-3"/>
          <w:w w:val="99"/>
          <w:position w:val="1"/>
          <w:sz w:val="20"/>
        </w:rPr>
        <w:t>：单侧、双侧或对侧颈淋巴结转移</w:t>
      </w:r>
      <w:r>
        <w:rPr>
          <w:spacing w:val="2"/>
          <w:w w:val="99"/>
          <w:position w:val="1"/>
          <w:sz w:val="20"/>
        </w:rPr>
        <w:t>（</w:t>
      </w:r>
      <w:r>
        <w:rPr>
          <w:spacing w:val="-1"/>
          <w:w w:val="99"/>
          <w:position w:val="1"/>
          <w:sz w:val="20"/>
        </w:rPr>
        <w:t>包括Ⅰ、Ⅱ、Ⅲ、Ⅳ或Ⅴ区</w:t>
      </w:r>
      <w:r>
        <w:rPr>
          <w:w w:val="99"/>
          <w:position w:val="1"/>
          <w:sz w:val="20"/>
        </w:rPr>
        <w:t>）</w:t>
      </w:r>
      <w:r>
        <w:rPr>
          <w:spacing w:val="-7"/>
          <w:w w:val="99"/>
          <w:position w:val="1"/>
          <w:sz w:val="20"/>
        </w:rPr>
        <w:t>淋巴</w:t>
      </w:r>
      <w:r>
        <w:rPr>
          <w:w w:val="99"/>
          <w:sz w:val="20"/>
        </w:rPr>
        <w:t>结或咽后淋巴结转移。</w:t>
      </w:r>
    </w:p>
    <w:p>
      <w:pPr>
        <w:spacing w:line="292" w:lineRule="auto" w:before="0"/>
        <w:ind w:left="2990" w:right="4756" w:firstLine="0"/>
        <w:jc w:val="left"/>
        <w:rPr>
          <w:sz w:val="20"/>
        </w:rPr>
      </w:pPr>
      <w:r>
        <w:rPr>
          <w:spacing w:val="-2"/>
          <w:sz w:val="20"/>
        </w:rPr>
        <w:t>远</w:t>
      </w:r>
      <w:r>
        <w:rPr>
          <w:spacing w:val="-2"/>
          <w:sz w:val="20"/>
        </w:rPr>
        <w:t>处</w:t>
      </w:r>
      <w:r>
        <w:rPr>
          <w:spacing w:val="-2"/>
          <w:sz w:val="20"/>
        </w:rPr>
        <w:t>转</w:t>
      </w:r>
      <w:r>
        <w:rPr>
          <w:spacing w:val="-2"/>
          <w:sz w:val="20"/>
        </w:rPr>
        <w:t>移：</w:t>
      </w:r>
      <w:r>
        <w:rPr>
          <w:spacing w:val="-2"/>
          <w:sz w:val="20"/>
        </w:rPr>
        <w:t>适</w:t>
      </w:r>
      <w:r>
        <w:rPr>
          <w:spacing w:val="-2"/>
          <w:sz w:val="20"/>
        </w:rPr>
        <w:t>用</w:t>
      </w:r>
      <w:r>
        <w:rPr>
          <w:spacing w:val="-2"/>
          <w:sz w:val="20"/>
        </w:rPr>
        <w:t>于</w:t>
      </w:r>
      <w:r>
        <w:rPr>
          <w:spacing w:val="-2"/>
          <w:sz w:val="20"/>
        </w:rPr>
        <w:t>所</w:t>
      </w:r>
      <w:r>
        <w:rPr>
          <w:spacing w:val="-2"/>
          <w:sz w:val="20"/>
        </w:rPr>
        <w:t>有甲状腺癌 </w:t>
      </w:r>
      <w:r>
        <w:rPr>
          <w:spacing w:val="-2"/>
          <w:position w:val="1"/>
          <w:sz w:val="20"/>
        </w:rPr>
        <w:t>M</w:t>
      </w:r>
      <w:r>
        <w:rPr>
          <w:spacing w:val="-2"/>
          <w:sz w:val="10"/>
        </w:rPr>
        <w:t>0</w:t>
      </w:r>
      <w:r>
        <w:rPr>
          <w:spacing w:val="-2"/>
          <w:position w:val="1"/>
          <w:sz w:val="20"/>
        </w:rPr>
        <w:t>：</w:t>
      </w:r>
      <w:r>
        <w:rPr>
          <w:spacing w:val="-2"/>
          <w:position w:val="1"/>
          <w:sz w:val="20"/>
        </w:rPr>
        <w:t>无</w:t>
      </w:r>
      <w:r>
        <w:rPr>
          <w:spacing w:val="-2"/>
          <w:position w:val="1"/>
          <w:sz w:val="20"/>
        </w:rPr>
        <w:t>远</w:t>
      </w:r>
      <w:r>
        <w:rPr>
          <w:spacing w:val="-2"/>
          <w:position w:val="1"/>
          <w:sz w:val="20"/>
        </w:rPr>
        <w:t>处</w:t>
      </w:r>
      <w:r>
        <w:rPr>
          <w:spacing w:val="-2"/>
          <w:position w:val="1"/>
          <w:sz w:val="20"/>
        </w:rPr>
        <w:t>转移</w:t>
      </w:r>
    </w:p>
    <w:p>
      <w:pPr>
        <w:spacing w:line="255" w:lineRule="exact" w:before="0"/>
        <w:ind w:left="2990" w:right="0" w:firstLine="0"/>
        <w:jc w:val="left"/>
        <w:rPr>
          <w:sz w:val="20"/>
        </w:rPr>
      </w:pPr>
      <w:r>
        <w:rPr/>
        <w:drawing>
          <wp:anchor distT="0" distB="0" distL="0" distR="0" allowOverlap="1" layoutInCell="1" locked="0" behindDoc="1" simplePos="0" relativeHeight="485831680">
            <wp:simplePos x="0" y="0"/>
            <wp:positionH relativeFrom="page">
              <wp:posOffset>2646298</wp:posOffset>
            </wp:positionH>
            <wp:positionV relativeFrom="paragraph">
              <wp:posOffset>171664</wp:posOffset>
            </wp:positionV>
            <wp:extent cx="4063619" cy="402590"/>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4063619" cy="402590"/>
                    </a:xfrm>
                    <a:prstGeom prst="rect">
                      <a:avLst/>
                    </a:prstGeom>
                  </pic:spPr>
                </pic:pic>
              </a:graphicData>
            </a:graphic>
          </wp:anchor>
        </w:drawing>
      </w:r>
      <w:r>
        <w:rPr/>
        <w:pict>
          <v:shape style="position:absolute;margin-left:209.330017pt;margin-top:29.616882pt;width:318.05pt;height:15.15pt;mso-position-horizontal-relative:page;mso-position-vertical-relative:paragraph;z-index:-17484288" type="#_x0000_t202" id="docshape14" filled="false" stroked="false">
            <v:textbox inset="0,0,0,0">
              <w:txbxContent>
                <w:p>
                  <w:pPr>
                    <w:spacing w:before="25"/>
                    <w:ind w:left="98" w:right="0" w:firstLine="0"/>
                    <w:jc w:val="left"/>
                    <w:rPr>
                      <w:sz w:val="20"/>
                    </w:rPr>
                  </w:pPr>
                  <w:r>
                    <w:rPr>
                      <w:w w:val="95"/>
                      <w:sz w:val="20"/>
                    </w:rPr>
                    <w:t>年</w:t>
                  </w:r>
                  <w:r>
                    <w:rPr>
                      <w:w w:val="95"/>
                      <w:sz w:val="20"/>
                    </w:rPr>
                    <w:t>龄</w:t>
                  </w:r>
                  <w:r>
                    <w:rPr>
                      <w:w w:val="95"/>
                      <w:sz w:val="20"/>
                    </w:rPr>
                    <w:t>＜55</w:t>
                  </w:r>
                  <w:r>
                    <w:rPr>
                      <w:spacing w:val="-11"/>
                      <w:w w:val="95"/>
                      <w:sz w:val="20"/>
                    </w:rPr>
                    <w:t> 岁</w:t>
                  </w:r>
                </w:p>
              </w:txbxContent>
            </v:textbox>
            <w10:wrap type="none"/>
          </v:shape>
        </w:pict>
      </w:r>
      <w:r>
        <w:rPr/>
        <w:pict>
          <v:shape style="position:absolute;margin-left:209.330017pt;margin-top:14.476883pt;width:318.05pt;height:14.7pt;mso-position-horizontal-relative:page;mso-position-vertical-relative:paragraph;z-index:-15720960;mso-wrap-distance-left:0;mso-wrap-distance-right:0" type="#_x0000_t202" id="docshape15" filled="false" stroked="false">
            <v:textbox inset="0,0,0,0">
              <w:txbxContent>
                <w:p>
                  <w:pPr>
                    <w:spacing w:before="26"/>
                    <w:ind w:left="98" w:right="0" w:firstLine="0"/>
                    <w:jc w:val="left"/>
                    <w:rPr>
                      <w:sz w:val="20"/>
                    </w:rPr>
                  </w:pPr>
                  <w:r>
                    <w:rPr>
                      <w:w w:val="95"/>
                      <w:sz w:val="20"/>
                    </w:rPr>
                    <w:t>乳</w:t>
                  </w:r>
                  <w:r>
                    <w:rPr>
                      <w:w w:val="95"/>
                      <w:sz w:val="20"/>
                    </w:rPr>
                    <w:t>头</w:t>
                  </w:r>
                  <w:r>
                    <w:rPr>
                      <w:w w:val="95"/>
                      <w:sz w:val="20"/>
                    </w:rPr>
                    <w:t>状</w:t>
                  </w:r>
                  <w:r>
                    <w:rPr>
                      <w:w w:val="95"/>
                      <w:sz w:val="20"/>
                    </w:rPr>
                    <w:t>或</w:t>
                  </w:r>
                  <w:r>
                    <w:rPr>
                      <w:w w:val="95"/>
                      <w:sz w:val="20"/>
                    </w:rPr>
                    <w:t>滤</w:t>
                  </w:r>
                  <w:r>
                    <w:rPr>
                      <w:w w:val="95"/>
                      <w:sz w:val="20"/>
                    </w:rPr>
                    <w:t>泡</w:t>
                  </w:r>
                  <w:r>
                    <w:rPr>
                      <w:w w:val="95"/>
                      <w:sz w:val="20"/>
                    </w:rPr>
                    <w:t>状</w:t>
                  </w:r>
                  <w:r>
                    <w:rPr>
                      <w:w w:val="95"/>
                      <w:sz w:val="20"/>
                    </w:rPr>
                    <w:t>癌</w:t>
                  </w:r>
                  <w:r>
                    <w:rPr>
                      <w:w w:val="95"/>
                      <w:sz w:val="20"/>
                    </w:rPr>
                    <w:t>（分化型</w:t>
                  </w:r>
                  <w:r>
                    <w:rPr>
                      <w:spacing w:val="-10"/>
                      <w:w w:val="95"/>
                      <w:sz w:val="20"/>
                    </w:rPr>
                    <w:t>）</w:t>
                  </w:r>
                </w:p>
              </w:txbxContent>
            </v:textbox>
            <w10:wrap type="topAndBottom"/>
          </v:shape>
        </w:pict>
      </w:r>
      <w:r>
        <w:rPr>
          <w:w w:val="95"/>
          <w:position w:val="1"/>
          <w:sz w:val="20"/>
        </w:rPr>
        <w:t>M</w:t>
      </w:r>
      <w:r>
        <w:rPr>
          <w:w w:val="95"/>
          <w:sz w:val="10"/>
        </w:rPr>
        <w:t>1</w:t>
      </w:r>
      <w:r>
        <w:rPr>
          <w:w w:val="95"/>
          <w:position w:val="1"/>
          <w:sz w:val="20"/>
        </w:rPr>
        <w:t>：</w:t>
      </w:r>
      <w:r>
        <w:rPr>
          <w:w w:val="95"/>
          <w:position w:val="1"/>
          <w:sz w:val="20"/>
        </w:rPr>
        <w:t>有</w:t>
      </w:r>
      <w:r>
        <w:rPr>
          <w:w w:val="95"/>
          <w:position w:val="1"/>
          <w:sz w:val="20"/>
        </w:rPr>
        <w:t>远</w:t>
      </w:r>
      <w:r>
        <w:rPr>
          <w:w w:val="95"/>
          <w:position w:val="1"/>
          <w:sz w:val="20"/>
        </w:rPr>
        <w:t>处</w:t>
      </w:r>
      <w:r>
        <w:rPr>
          <w:spacing w:val="-5"/>
          <w:w w:val="95"/>
          <w:position w:val="1"/>
          <w:sz w:val="20"/>
        </w:rPr>
        <w:t>转移</w:t>
      </w:r>
    </w:p>
    <w:p>
      <w:pPr>
        <w:spacing w:after="0" w:line="255" w:lineRule="exact"/>
        <w:jc w:val="left"/>
        <w:rPr>
          <w:sz w:val="20"/>
        </w:rPr>
        <w:sectPr>
          <w:pgSz w:w="11910" w:h="16840"/>
          <w:pgMar w:header="0" w:footer="857" w:top="1420" w:bottom="1180" w:left="1100" w:right="260"/>
        </w:sectPr>
      </w:pPr>
    </w:p>
    <w:tbl>
      <w:tblPr>
        <w:tblW w:w="0" w:type="auto"/>
        <w:jc w:val="left"/>
        <w:tblInd w:w="30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693"/>
        <w:gridCol w:w="1262"/>
        <w:gridCol w:w="1260"/>
        <w:gridCol w:w="1163"/>
      </w:tblGrid>
      <w:tr>
        <w:trPr>
          <w:trHeight w:val="300" w:hRule="atLeast"/>
        </w:trPr>
        <w:tc>
          <w:tcPr>
            <w:tcW w:w="2693" w:type="dxa"/>
            <w:tcBorders>
              <w:top w:val="nil"/>
              <w:bottom w:val="single" w:sz="4" w:space="0" w:color="000000"/>
              <w:right w:val="single" w:sz="4" w:space="0" w:color="000000"/>
            </w:tcBorders>
          </w:tcPr>
          <w:p>
            <w:pPr>
              <w:pStyle w:val="TableParagraph"/>
              <w:rPr>
                <w:rFonts w:ascii="Times New Roman"/>
                <w:sz w:val="20"/>
              </w:rPr>
            </w:pPr>
          </w:p>
        </w:tc>
        <w:tc>
          <w:tcPr>
            <w:tcW w:w="1262" w:type="dxa"/>
            <w:tcBorders>
              <w:top w:val="nil"/>
              <w:left w:val="single" w:sz="4" w:space="0" w:color="000000"/>
              <w:bottom w:val="single" w:sz="4" w:space="0" w:color="000000"/>
              <w:right w:val="single" w:sz="4" w:space="0" w:color="000000"/>
            </w:tcBorders>
          </w:tcPr>
          <w:p>
            <w:pPr>
              <w:pStyle w:val="TableParagraph"/>
              <w:spacing w:before="22"/>
              <w:ind w:left="112"/>
              <w:rPr>
                <w:sz w:val="20"/>
              </w:rPr>
            </w:pPr>
            <w:r>
              <w:rPr>
                <w:w w:val="99"/>
                <w:sz w:val="20"/>
              </w:rPr>
              <w:t>T</w:t>
            </w:r>
          </w:p>
        </w:tc>
        <w:tc>
          <w:tcPr>
            <w:tcW w:w="1260" w:type="dxa"/>
            <w:tcBorders>
              <w:top w:val="nil"/>
              <w:left w:val="single" w:sz="4" w:space="0" w:color="000000"/>
              <w:bottom w:val="single" w:sz="4" w:space="0" w:color="000000"/>
              <w:right w:val="single" w:sz="4" w:space="0" w:color="000000"/>
            </w:tcBorders>
          </w:tcPr>
          <w:p>
            <w:pPr>
              <w:pStyle w:val="TableParagraph"/>
              <w:spacing w:before="22"/>
              <w:ind w:left="113"/>
              <w:rPr>
                <w:sz w:val="20"/>
              </w:rPr>
            </w:pPr>
            <w:r>
              <w:rPr>
                <w:w w:val="99"/>
                <w:sz w:val="20"/>
              </w:rPr>
              <w:t>N</w:t>
            </w:r>
          </w:p>
        </w:tc>
        <w:tc>
          <w:tcPr>
            <w:tcW w:w="1163" w:type="dxa"/>
            <w:tcBorders>
              <w:top w:val="nil"/>
              <w:left w:val="single" w:sz="4" w:space="0" w:color="000000"/>
              <w:bottom w:val="single" w:sz="4" w:space="0" w:color="000000"/>
            </w:tcBorders>
          </w:tcPr>
          <w:p>
            <w:pPr>
              <w:pStyle w:val="TableParagraph"/>
              <w:spacing w:before="22"/>
              <w:ind w:left="108"/>
              <w:rPr>
                <w:sz w:val="20"/>
              </w:rPr>
            </w:pPr>
            <w:r>
              <w:rPr>
                <w:w w:val="99"/>
                <w:sz w:val="20"/>
              </w:rPr>
              <w:t>M</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Ⅰ</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5"/>
                <w:sz w:val="20"/>
              </w:rPr>
              <w:t>任</w:t>
            </w:r>
            <w:r>
              <w:rPr>
                <w:spacing w:val="-10"/>
                <w:sz w:val="20"/>
              </w:rPr>
              <w:t>何</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Ⅱ</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5"/>
                <w:sz w:val="20"/>
              </w:rPr>
              <w:t>任</w:t>
            </w:r>
            <w:r>
              <w:rPr>
                <w:spacing w:val="-10"/>
                <w:sz w:val="20"/>
              </w:rPr>
              <w:t>何</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1</w:t>
            </w:r>
          </w:p>
        </w:tc>
      </w:tr>
      <w:tr>
        <w:trPr>
          <w:trHeight w:val="302" w:hRule="atLeast"/>
        </w:trPr>
        <w:tc>
          <w:tcPr>
            <w:tcW w:w="6378" w:type="dxa"/>
            <w:gridSpan w:val="4"/>
            <w:tcBorders>
              <w:top w:val="single" w:sz="4" w:space="0" w:color="000000"/>
              <w:bottom w:val="single" w:sz="4" w:space="0" w:color="000000"/>
            </w:tcBorders>
          </w:tcPr>
          <w:p>
            <w:pPr>
              <w:pStyle w:val="TableParagraph"/>
              <w:spacing w:before="23"/>
              <w:ind w:left="107"/>
              <w:rPr>
                <w:sz w:val="20"/>
              </w:rPr>
            </w:pPr>
            <w:r>
              <w:rPr>
                <w:w w:val="95"/>
                <w:sz w:val="20"/>
              </w:rPr>
              <w:t>年</w:t>
            </w:r>
            <w:r>
              <w:rPr>
                <w:w w:val="95"/>
                <w:sz w:val="20"/>
              </w:rPr>
              <w:t>龄</w:t>
            </w:r>
            <w:r>
              <w:rPr>
                <w:w w:val="95"/>
                <w:sz w:val="20"/>
              </w:rPr>
              <w:t>≥55</w:t>
            </w:r>
            <w:r>
              <w:rPr>
                <w:spacing w:val="-11"/>
                <w:w w:val="95"/>
                <w:sz w:val="20"/>
              </w:rPr>
              <w:t> 岁</w:t>
            </w:r>
          </w:p>
        </w:tc>
      </w:tr>
      <w:tr>
        <w:trPr>
          <w:trHeight w:val="301" w:hRule="atLeast"/>
        </w:trPr>
        <w:tc>
          <w:tcPr>
            <w:tcW w:w="2693" w:type="dxa"/>
            <w:vMerge w:val="restart"/>
            <w:tcBorders>
              <w:top w:val="single" w:sz="4" w:space="0" w:color="000000"/>
              <w:bottom w:val="single" w:sz="4" w:space="0" w:color="000000"/>
              <w:right w:val="single" w:sz="4" w:space="0" w:color="000000"/>
            </w:tcBorders>
          </w:tcPr>
          <w:p>
            <w:pPr>
              <w:pStyle w:val="TableParagraph"/>
              <w:spacing w:before="175"/>
              <w:ind w:left="107"/>
              <w:rPr>
                <w:sz w:val="20"/>
              </w:rPr>
            </w:pPr>
            <w:r>
              <w:rPr>
                <w:w w:val="95"/>
                <w:sz w:val="20"/>
              </w:rPr>
              <w:t>Ⅰ</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9"/>
                <w:sz w:val="20"/>
              </w:rPr>
              <w:t>1</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spacing w:val="-5"/>
                <w:sz w:val="20"/>
              </w:rPr>
              <w:t>0/x</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vMerge/>
            <w:tcBorders>
              <w:top w:val="nil"/>
              <w:bottom w:val="single" w:sz="4" w:space="0" w:color="000000"/>
              <w:right w:val="single" w:sz="4" w:space="0" w:color="000000"/>
            </w:tcBorders>
          </w:tcPr>
          <w:p>
            <w:pPr>
              <w:rPr>
                <w:sz w:val="2"/>
                <w:szCs w:val="2"/>
              </w:rPr>
            </w:pP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9"/>
                <w:sz w:val="20"/>
              </w:rPr>
              <w:t>2</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spacing w:val="-5"/>
                <w:sz w:val="20"/>
              </w:rPr>
              <w:t>0/x</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vMerge w:val="restart"/>
            <w:tcBorders>
              <w:top w:val="single" w:sz="4" w:space="0" w:color="000000"/>
              <w:bottom w:val="single" w:sz="4" w:space="0" w:color="000000"/>
              <w:right w:val="single" w:sz="4" w:space="0" w:color="000000"/>
            </w:tcBorders>
          </w:tcPr>
          <w:p>
            <w:pPr>
              <w:pStyle w:val="TableParagraph"/>
              <w:spacing w:before="175"/>
              <w:ind w:left="107"/>
              <w:rPr>
                <w:sz w:val="20"/>
              </w:rPr>
            </w:pPr>
            <w:r>
              <w:rPr>
                <w:w w:val="95"/>
                <w:sz w:val="20"/>
              </w:rPr>
              <w:t>Ⅱ</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1～2</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9"/>
                <w:sz w:val="20"/>
              </w:rPr>
              <w:t>1</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1" w:hRule="atLeast"/>
        </w:trPr>
        <w:tc>
          <w:tcPr>
            <w:tcW w:w="2693" w:type="dxa"/>
            <w:vMerge/>
            <w:tcBorders>
              <w:top w:val="nil"/>
              <w:bottom w:val="single" w:sz="4" w:space="0" w:color="000000"/>
              <w:right w:val="single" w:sz="4" w:space="0" w:color="000000"/>
            </w:tcBorders>
          </w:tcPr>
          <w:p>
            <w:pPr>
              <w:rPr>
                <w:sz w:val="2"/>
                <w:szCs w:val="2"/>
              </w:rPr>
            </w:pP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4"/>
                <w:sz w:val="20"/>
              </w:rPr>
              <w:t>3a～3b</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Ⅲ</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4a</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1"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ⅣA</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4b</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ⅣB</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5"/>
                <w:sz w:val="20"/>
              </w:rPr>
              <w:t>任</w:t>
            </w:r>
            <w:r>
              <w:rPr>
                <w:spacing w:val="-10"/>
                <w:sz w:val="20"/>
              </w:rPr>
              <w:t>何</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1</w:t>
            </w:r>
          </w:p>
        </w:tc>
      </w:tr>
      <w:tr>
        <w:trPr>
          <w:trHeight w:val="302" w:hRule="atLeast"/>
        </w:trPr>
        <w:tc>
          <w:tcPr>
            <w:tcW w:w="6378" w:type="dxa"/>
            <w:gridSpan w:val="4"/>
            <w:tcBorders>
              <w:top w:val="single" w:sz="4" w:space="0" w:color="000000"/>
              <w:bottom w:val="single" w:sz="4" w:space="0" w:color="000000"/>
            </w:tcBorders>
          </w:tcPr>
          <w:p>
            <w:pPr>
              <w:pStyle w:val="TableParagraph"/>
              <w:spacing w:before="24"/>
              <w:ind w:left="107"/>
              <w:rPr>
                <w:sz w:val="20"/>
              </w:rPr>
            </w:pPr>
            <w:r>
              <w:rPr>
                <w:w w:val="95"/>
                <w:sz w:val="20"/>
              </w:rPr>
              <w:t>髓</w:t>
            </w:r>
            <w:r>
              <w:rPr>
                <w:w w:val="95"/>
                <w:sz w:val="20"/>
              </w:rPr>
              <w:t>样</w:t>
            </w:r>
            <w:r>
              <w:rPr>
                <w:w w:val="95"/>
                <w:sz w:val="20"/>
              </w:rPr>
              <w:t>癌</w:t>
            </w:r>
            <w:r>
              <w:rPr>
                <w:w w:val="95"/>
                <w:sz w:val="20"/>
              </w:rPr>
              <w:t>（</w:t>
            </w:r>
            <w:r>
              <w:rPr>
                <w:w w:val="95"/>
                <w:sz w:val="20"/>
              </w:rPr>
              <w:t>所</w:t>
            </w:r>
            <w:r>
              <w:rPr>
                <w:w w:val="95"/>
                <w:sz w:val="20"/>
              </w:rPr>
              <w:t>有</w:t>
            </w:r>
            <w:r>
              <w:rPr>
                <w:w w:val="95"/>
                <w:sz w:val="20"/>
              </w:rPr>
              <w:t>年</w:t>
            </w:r>
            <w:r>
              <w:rPr>
                <w:w w:val="95"/>
                <w:sz w:val="20"/>
              </w:rPr>
              <w:t>龄</w:t>
            </w:r>
            <w:r>
              <w:rPr>
                <w:w w:val="95"/>
                <w:sz w:val="20"/>
              </w:rPr>
              <w:t>组</w:t>
            </w:r>
            <w:r>
              <w:rPr>
                <w:spacing w:val="-10"/>
                <w:w w:val="95"/>
                <w:sz w:val="20"/>
              </w:rPr>
              <w:t>）</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Ⅰ</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9"/>
                <w:sz w:val="20"/>
              </w:rPr>
              <w:t>1</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9"/>
                <w:sz w:val="20"/>
              </w:rPr>
              <w:t>0</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Ⅱ</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2～3</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9"/>
                <w:sz w:val="20"/>
              </w:rPr>
              <w:t>0</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Ⅲ</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1～3</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spacing w:val="-5"/>
                <w:sz w:val="20"/>
              </w:rPr>
              <w:t>1a</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1" w:hRule="atLeast"/>
        </w:trPr>
        <w:tc>
          <w:tcPr>
            <w:tcW w:w="2693" w:type="dxa"/>
            <w:vMerge w:val="restart"/>
            <w:tcBorders>
              <w:top w:val="single" w:sz="4" w:space="0" w:color="000000"/>
              <w:bottom w:val="single" w:sz="4" w:space="0" w:color="000000"/>
              <w:right w:val="single" w:sz="4" w:space="0" w:color="000000"/>
            </w:tcBorders>
          </w:tcPr>
          <w:p>
            <w:pPr>
              <w:pStyle w:val="TableParagraph"/>
              <w:spacing w:before="175"/>
              <w:ind w:left="107"/>
              <w:rPr>
                <w:sz w:val="20"/>
              </w:rPr>
            </w:pPr>
            <w:r>
              <w:rPr>
                <w:w w:val="95"/>
                <w:sz w:val="20"/>
              </w:rPr>
              <w:t>ⅣA</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4a</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1" w:hRule="atLeast"/>
        </w:trPr>
        <w:tc>
          <w:tcPr>
            <w:tcW w:w="2693" w:type="dxa"/>
            <w:vMerge/>
            <w:tcBorders>
              <w:top w:val="nil"/>
              <w:bottom w:val="single" w:sz="4" w:space="0" w:color="000000"/>
              <w:right w:val="single" w:sz="4" w:space="0" w:color="000000"/>
            </w:tcBorders>
          </w:tcPr>
          <w:p>
            <w:pPr>
              <w:rPr>
                <w:sz w:val="2"/>
                <w:szCs w:val="2"/>
              </w:rPr>
            </w:pP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1～3</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spacing w:val="-5"/>
                <w:sz w:val="20"/>
              </w:rPr>
              <w:t>1b</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1"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ⅣB</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5"/>
                <w:sz w:val="20"/>
              </w:rPr>
              <w:t>4b</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ⅣC</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w w:val="95"/>
                <w:sz w:val="20"/>
              </w:rPr>
              <w:t>任</w:t>
            </w:r>
            <w:r>
              <w:rPr>
                <w:spacing w:val="-10"/>
                <w:sz w:val="20"/>
              </w:rPr>
              <w:t>何</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1</w:t>
            </w:r>
          </w:p>
        </w:tc>
      </w:tr>
      <w:tr>
        <w:trPr>
          <w:trHeight w:val="302" w:hRule="atLeast"/>
        </w:trPr>
        <w:tc>
          <w:tcPr>
            <w:tcW w:w="6378" w:type="dxa"/>
            <w:gridSpan w:val="4"/>
            <w:tcBorders>
              <w:top w:val="single" w:sz="4" w:space="0" w:color="000000"/>
              <w:bottom w:val="single" w:sz="4" w:space="0" w:color="000000"/>
            </w:tcBorders>
          </w:tcPr>
          <w:p>
            <w:pPr>
              <w:pStyle w:val="TableParagraph"/>
              <w:spacing w:before="23"/>
              <w:ind w:left="107"/>
              <w:rPr>
                <w:sz w:val="20"/>
              </w:rPr>
            </w:pPr>
            <w:r>
              <w:rPr>
                <w:w w:val="95"/>
                <w:sz w:val="20"/>
              </w:rPr>
              <w:t>未</w:t>
            </w:r>
            <w:r>
              <w:rPr>
                <w:w w:val="95"/>
                <w:sz w:val="20"/>
              </w:rPr>
              <w:t>分</w:t>
            </w:r>
            <w:r>
              <w:rPr>
                <w:w w:val="95"/>
                <w:sz w:val="20"/>
              </w:rPr>
              <w:t>化</w:t>
            </w:r>
            <w:r>
              <w:rPr>
                <w:w w:val="95"/>
                <w:sz w:val="20"/>
              </w:rPr>
              <w:t>癌（</w:t>
            </w:r>
            <w:r>
              <w:rPr>
                <w:w w:val="95"/>
                <w:sz w:val="20"/>
              </w:rPr>
              <w:t>所</w:t>
            </w:r>
            <w:r>
              <w:rPr>
                <w:w w:val="95"/>
                <w:sz w:val="20"/>
              </w:rPr>
              <w:t>有</w:t>
            </w:r>
            <w:r>
              <w:rPr>
                <w:w w:val="95"/>
                <w:sz w:val="20"/>
              </w:rPr>
              <w:t>年</w:t>
            </w:r>
            <w:r>
              <w:rPr>
                <w:w w:val="95"/>
                <w:sz w:val="20"/>
              </w:rPr>
              <w:t>龄</w:t>
            </w:r>
            <w:r>
              <w:rPr>
                <w:w w:val="95"/>
                <w:sz w:val="20"/>
              </w:rPr>
              <w:t>组</w:t>
            </w:r>
            <w:r>
              <w:rPr>
                <w:spacing w:val="-10"/>
                <w:w w:val="95"/>
                <w:sz w:val="20"/>
              </w:rPr>
              <w:t>）</w:t>
            </w:r>
          </w:p>
        </w:tc>
      </w:tr>
      <w:tr>
        <w:trPr>
          <w:trHeight w:val="302" w:hRule="atLeast"/>
        </w:trPr>
        <w:tc>
          <w:tcPr>
            <w:tcW w:w="2693" w:type="dxa"/>
            <w:tcBorders>
              <w:top w:val="single" w:sz="4" w:space="0" w:color="000000"/>
              <w:bottom w:val="single" w:sz="4" w:space="0" w:color="000000"/>
              <w:right w:val="single" w:sz="4" w:space="0" w:color="000000"/>
            </w:tcBorders>
          </w:tcPr>
          <w:p>
            <w:pPr>
              <w:pStyle w:val="TableParagraph"/>
              <w:spacing w:before="23"/>
              <w:ind w:left="107"/>
              <w:rPr>
                <w:sz w:val="20"/>
              </w:rPr>
            </w:pPr>
            <w:r>
              <w:rPr>
                <w:w w:val="95"/>
                <w:sz w:val="20"/>
              </w:rPr>
              <w:t>ⅣA</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4"/>
                <w:sz w:val="20"/>
              </w:rPr>
              <w:t>1～3a</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spacing w:val="-5"/>
                <w:sz w:val="20"/>
              </w:rPr>
              <w:t>0/x</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2" w:hRule="atLeast"/>
        </w:trPr>
        <w:tc>
          <w:tcPr>
            <w:tcW w:w="2693" w:type="dxa"/>
            <w:vMerge w:val="restart"/>
            <w:tcBorders>
              <w:top w:val="single" w:sz="4" w:space="0" w:color="000000"/>
              <w:bottom w:val="single" w:sz="4" w:space="0" w:color="000000"/>
              <w:right w:val="single" w:sz="4" w:space="0" w:color="000000"/>
            </w:tcBorders>
          </w:tcPr>
          <w:p>
            <w:pPr>
              <w:pStyle w:val="TableParagraph"/>
              <w:spacing w:before="175"/>
              <w:ind w:left="107"/>
              <w:rPr>
                <w:sz w:val="20"/>
              </w:rPr>
            </w:pPr>
            <w:r>
              <w:rPr>
                <w:w w:val="95"/>
                <w:sz w:val="20"/>
              </w:rPr>
              <w:t>ⅣB</w:t>
            </w:r>
            <w:r>
              <w:rPr>
                <w:spacing w:val="-32"/>
                <w:w w:val="95"/>
                <w:sz w:val="20"/>
              </w:rPr>
              <w:t> </w:t>
            </w:r>
            <w:r>
              <w:rPr>
                <w:spacing w:val="-10"/>
                <w:sz w:val="20"/>
              </w:rPr>
              <w:t>期</w:t>
            </w: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4"/>
              <w:ind w:left="112"/>
              <w:rPr>
                <w:sz w:val="20"/>
              </w:rPr>
            </w:pPr>
            <w:r>
              <w:rPr>
                <w:spacing w:val="-4"/>
                <w:sz w:val="20"/>
              </w:rPr>
              <w:t>1～3a</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4"/>
              <w:ind w:left="113"/>
              <w:rPr>
                <w:sz w:val="20"/>
              </w:rPr>
            </w:pPr>
            <w:r>
              <w:rPr>
                <w:w w:val="99"/>
                <w:sz w:val="20"/>
              </w:rPr>
              <w:t>1</w:t>
            </w:r>
          </w:p>
        </w:tc>
        <w:tc>
          <w:tcPr>
            <w:tcW w:w="1163" w:type="dxa"/>
            <w:tcBorders>
              <w:top w:val="single" w:sz="4" w:space="0" w:color="000000"/>
              <w:left w:val="single" w:sz="4" w:space="0" w:color="000000"/>
              <w:bottom w:val="single" w:sz="4" w:space="0" w:color="000000"/>
            </w:tcBorders>
          </w:tcPr>
          <w:p>
            <w:pPr>
              <w:pStyle w:val="TableParagraph"/>
              <w:spacing w:before="24"/>
              <w:ind w:left="108"/>
              <w:rPr>
                <w:sz w:val="20"/>
              </w:rPr>
            </w:pPr>
            <w:r>
              <w:rPr>
                <w:w w:val="99"/>
                <w:sz w:val="20"/>
              </w:rPr>
              <w:t>0</w:t>
            </w:r>
          </w:p>
        </w:tc>
      </w:tr>
      <w:tr>
        <w:trPr>
          <w:trHeight w:val="301" w:hRule="atLeast"/>
        </w:trPr>
        <w:tc>
          <w:tcPr>
            <w:tcW w:w="2693" w:type="dxa"/>
            <w:vMerge/>
            <w:tcBorders>
              <w:top w:val="nil"/>
              <w:bottom w:val="single" w:sz="4" w:space="0" w:color="000000"/>
              <w:right w:val="single" w:sz="4" w:space="0" w:color="000000"/>
            </w:tcBorders>
          </w:tcPr>
          <w:p>
            <w:pPr>
              <w:rPr>
                <w:sz w:val="2"/>
                <w:szCs w:val="2"/>
              </w:rPr>
            </w:pPr>
          </w:p>
        </w:tc>
        <w:tc>
          <w:tcPr>
            <w:tcW w:w="1262" w:type="dxa"/>
            <w:tcBorders>
              <w:top w:val="single" w:sz="4" w:space="0" w:color="000000"/>
              <w:left w:val="single" w:sz="4" w:space="0" w:color="000000"/>
              <w:bottom w:val="single" w:sz="4" w:space="0" w:color="000000"/>
              <w:right w:val="single" w:sz="4" w:space="0" w:color="000000"/>
            </w:tcBorders>
          </w:tcPr>
          <w:p>
            <w:pPr>
              <w:pStyle w:val="TableParagraph"/>
              <w:spacing w:before="23"/>
              <w:ind w:left="112"/>
              <w:rPr>
                <w:sz w:val="20"/>
              </w:rPr>
            </w:pPr>
            <w:r>
              <w:rPr>
                <w:spacing w:val="-4"/>
                <w:sz w:val="20"/>
              </w:rPr>
              <w:t>3b～4</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bottom w:val="single" w:sz="4" w:space="0" w:color="000000"/>
            </w:tcBorders>
          </w:tcPr>
          <w:p>
            <w:pPr>
              <w:pStyle w:val="TableParagraph"/>
              <w:spacing w:before="23"/>
              <w:ind w:left="108"/>
              <w:rPr>
                <w:sz w:val="20"/>
              </w:rPr>
            </w:pPr>
            <w:r>
              <w:rPr>
                <w:w w:val="99"/>
                <w:sz w:val="20"/>
              </w:rPr>
              <w:t>0</w:t>
            </w:r>
          </w:p>
        </w:tc>
      </w:tr>
      <w:tr>
        <w:trPr>
          <w:trHeight w:val="304" w:hRule="atLeast"/>
        </w:trPr>
        <w:tc>
          <w:tcPr>
            <w:tcW w:w="2693" w:type="dxa"/>
            <w:tcBorders>
              <w:top w:val="single" w:sz="4" w:space="0" w:color="000000"/>
              <w:right w:val="single" w:sz="4" w:space="0" w:color="000000"/>
            </w:tcBorders>
          </w:tcPr>
          <w:p>
            <w:pPr>
              <w:pStyle w:val="TableParagraph"/>
              <w:spacing w:before="23"/>
              <w:ind w:left="107"/>
              <w:rPr>
                <w:sz w:val="20"/>
              </w:rPr>
            </w:pPr>
            <w:r>
              <w:rPr>
                <w:w w:val="95"/>
                <w:sz w:val="20"/>
              </w:rPr>
              <w:t>ⅣC</w:t>
            </w:r>
            <w:r>
              <w:rPr>
                <w:spacing w:val="-32"/>
                <w:w w:val="95"/>
                <w:sz w:val="20"/>
              </w:rPr>
              <w:t> </w:t>
            </w:r>
            <w:r>
              <w:rPr>
                <w:spacing w:val="-10"/>
                <w:sz w:val="20"/>
              </w:rPr>
              <w:t>期</w:t>
            </w:r>
          </w:p>
        </w:tc>
        <w:tc>
          <w:tcPr>
            <w:tcW w:w="1262" w:type="dxa"/>
            <w:tcBorders>
              <w:top w:val="single" w:sz="4" w:space="0" w:color="000000"/>
              <w:left w:val="single" w:sz="4" w:space="0" w:color="000000"/>
              <w:right w:val="single" w:sz="4" w:space="0" w:color="000000"/>
            </w:tcBorders>
          </w:tcPr>
          <w:p>
            <w:pPr>
              <w:pStyle w:val="TableParagraph"/>
              <w:spacing w:before="23"/>
              <w:ind w:left="112"/>
              <w:rPr>
                <w:sz w:val="20"/>
              </w:rPr>
            </w:pPr>
            <w:r>
              <w:rPr>
                <w:w w:val="95"/>
                <w:sz w:val="20"/>
              </w:rPr>
              <w:t>任</w:t>
            </w:r>
            <w:r>
              <w:rPr>
                <w:spacing w:val="-10"/>
                <w:sz w:val="20"/>
              </w:rPr>
              <w:t>何</w:t>
            </w:r>
          </w:p>
        </w:tc>
        <w:tc>
          <w:tcPr>
            <w:tcW w:w="1260" w:type="dxa"/>
            <w:tcBorders>
              <w:top w:val="single" w:sz="4" w:space="0" w:color="000000"/>
              <w:left w:val="single" w:sz="4" w:space="0" w:color="000000"/>
              <w:right w:val="single" w:sz="4" w:space="0" w:color="000000"/>
            </w:tcBorders>
          </w:tcPr>
          <w:p>
            <w:pPr>
              <w:pStyle w:val="TableParagraph"/>
              <w:spacing w:before="23"/>
              <w:ind w:left="113"/>
              <w:rPr>
                <w:sz w:val="20"/>
              </w:rPr>
            </w:pPr>
            <w:r>
              <w:rPr>
                <w:w w:val="95"/>
                <w:sz w:val="20"/>
              </w:rPr>
              <w:t>任</w:t>
            </w:r>
            <w:r>
              <w:rPr>
                <w:spacing w:val="-10"/>
                <w:sz w:val="20"/>
              </w:rPr>
              <w:t>何</w:t>
            </w:r>
          </w:p>
        </w:tc>
        <w:tc>
          <w:tcPr>
            <w:tcW w:w="1163" w:type="dxa"/>
            <w:tcBorders>
              <w:top w:val="single" w:sz="4" w:space="0" w:color="000000"/>
              <w:left w:val="single" w:sz="4" w:space="0" w:color="000000"/>
            </w:tcBorders>
          </w:tcPr>
          <w:p>
            <w:pPr>
              <w:pStyle w:val="TableParagraph"/>
              <w:spacing w:before="23"/>
              <w:ind w:left="108"/>
              <w:rPr>
                <w:sz w:val="20"/>
              </w:rPr>
            </w:pPr>
            <w:r>
              <w:rPr>
                <w:w w:val="99"/>
                <w:sz w:val="20"/>
              </w:rPr>
              <w:t>1</w:t>
            </w:r>
          </w:p>
        </w:tc>
      </w:tr>
    </w:tbl>
    <w:p>
      <w:pPr>
        <w:pStyle w:val="BodyText"/>
        <w:spacing w:before="3"/>
        <w:rPr>
          <w:sz w:val="6"/>
        </w:rPr>
      </w:pPr>
    </w:p>
    <w:p>
      <w:pPr>
        <w:pStyle w:val="BodyText"/>
        <w:spacing w:before="4"/>
        <w:rPr>
          <w:sz w:val="2"/>
        </w:rPr>
      </w:pPr>
    </w:p>
    <w:tbl>
      <w:tblPr>
        <w:tblW w:w="0" w:type="auto"/>
        <w:jc w:val="left"/>
        <w:tblInd w:w="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3"/>
        <w:gridCol w:w="1856"/>
        <w:gridCol w:w="6758"/>
      </w:tblGrid>
      <w:tr>
        <w:trPr>
          <w:trHeight w:val="309" w:hRule="atLeast"/>
        </w:trPr>
        <w:tc>
          <w:tcPr>
            <w:tcW w:w="2709" w:type="dxa"/>
            <w:gridSpan w:val="2"/>
          </w:tcPr>
          <w:p>
            <w:pPr>
              <w:pStyle w:val="TableParagraph"/>
              <w:rPr>
                <w:rFonts w:ascii="Times New Roman"/>
                <w:sz w:val="20"/>
              </w:rPr>
            </w:pPr>
          </w:p>
        </w:tc>
        <w:tc>
          <w:tcPr>
            <w:tcW w:w="6758" w:type="dxa"/>
          </w:tcPr>
          <w:p>
            <w:pPr>
              <w:pStyle w:val="TableParagraph"/>
              <w:spacing w:line="227" w:lineRule="exact"/>
              <w:ind w:left="106"/>
              <w:rPr>
                <w:sz w:val="20"/>
              </w:rPr>
            </w:pPr>
            <w:r>
              <w:rPr>
                <w:w w:val="95"/>
                <w:sz w:val="20"/>
              </w:rPr>
              <w:t>注</w:t>
            </w:r>
            <w:r>
              <w:rPr>
                <w:w w:val="95"/>
                <w:sz w:val="20"/>
              </w:rPr>
              <w:t>：</w:t>
            </w:r>
            <w:r>
              <w:rPr>
                <w:w w:val="95"/>
                <w:sz w:val="20"/>
              </w:rPr>
              <w:t>以</w:t>
            </w:r>
            <w:r>
              <w:rPr>
                <w:w w:val="95"/>
                <w:sz w:val="20"/>
              </w:rPr>
              <w:t>上</w:t>
            </w:r>
            <w:r>
              <w:rPr>
                <w:w w:val="95"/>
                <w:sz w:val="20"/>
              </w:rPr>
              <w:t>表</w:t>
            </w:r>
            <w:r>
              <w:rPr>
                <w:w w:val="95"/>
                <w:sz w:val="20"/>
              </w:rPr>
              <w:t>格</w:t>
            </w:r>
            <w:r>
              <w:rPr>
                <w:w w:val="95"/>
                <w:sz w:val="20"/>
              </w:rPr>
              <w:t>中“</w:t>
            </w:r>
            <w:r>
              <w:rPr>
                <w:w w:val="95"/>
                <w:sz w:val="20"/>
              </w:rPr>
              <w:t>年</w:t>
            </w:r>
            <w:r>
              <w:rPr>
                <w:w w:val="95"/>
                <w:sz w:val="20"/>
              </w:rPr>
              <w:t>龄”指</w:t>
            </w:r>
            <w:r>
              <w:rPr>
                <w:w w:val="95"/>
                <w:sz w:val="20"/>
              </w:rPr>
              <w:t>患</w:t>
            </w:r>
            <w:r>
              <w:rPr>
                <w:w w:val="95"/>
                <w:sz w:val="20"/>
              </w:rPr>
              <w:t>者</w:t>
            </w:r>
            <w:r>
              <w:rPr>
                <w:w w:val="95"/>
                <w:sz w:val="20"/>
              </w:rPr>
              <w:t>病</w:t>
            </w:r>
            <w:r>
              <w:rPr>
                <w:w w:val="95"/>
                <w:sz w:val="20"/>
              </w:rPr>
              <w:t>理</w:t>
            </w:r>
            <w:r>
              <w:rPr>
                <w:w w:val="95"/>
                <w:sz w:val="20"/>
              </w:rPr>
              <w:t>组</w:t>
            </w:r>
            <w:r>
              <w:rPr>
                <w:w w:val="95"/>
                <w:sz w:val="20"/>
              </w:rPr>
              <w:t>织</w:t>
            </w:r>
            <w:r>
              <w:rPr>
                <w:w w:val="95"/>
                <w:sz w:val="20"/>
              </w:rPr>
              <w:t>标</w:t>
            </w:r>
            <w:r>
              <w:rPr>
                <w:w w:val="95"/>
                <w:sz w:val="20"/>
              </w:rPr>
              <w:t>本</w:t>
            </w:r>
            <w:r>
              <w:rPr>
                <w:w w:val="95"/>
                <w:sz w:val="20"/>
              </w:rPr>
              <w:t>获</w:t>
            </w:r>
            <w:r>
              <w:rPr>
                <w:w w:val="95"/>
                <w:sz w:val="20"/>
              </w:rPr>
              <w:t>取日期</w:t>
            </w:r>
            <w:r>
              <w:rPr>
                <w:w w:val="95"/>
                <w:sz w:val="20"/>
              </w:rPr>
              <w:t>时</w:t>
            </w:r>
            <w:r>
              <w:rPr>
                <w:w w:val="95"/>
                <w:sz w:val="20"/>
              </w:rPr>
              <w:t>的</w:t>
            </w:r>
            <w:r>
              <w:rPr>
                <w:w w:val="95"/>
                <w:sz w:val="20"/>
              </w:rPr>
              <w:t>年</w:t>
            </w:r>
            <w:r>
              <w:rPr>
                <w:spacing w:val="-5"/>
                <w:w w:val="95"/>
                <w:sz w:val="20"/>
              </w:rPr>
              <w:t>龄。</w:t>
            </w:r>
          </w:p>
        </w:tc>
      </w:tr>
      <w:tr>
        <w:trPr>
          <w:trHeight w:val="428" w:hRule="atLeast"/>
        </w:trPr>
        <w:tc>
          <w:tcPr>
            <w:tcW w:w="853" w:type="dxa"/>
          </w:tcPr>
          <w:p>
            <w:pPr>
              <w:pStyle w:val="TableParagraph"/>
              <w:spacing w:before="81"/>
              <w:ind w:left="50"/>
              <w:rPr>
                <w:sz w:val="21"/>
              </w:rPr>
            </w:pPr>
            <w:r>
              <w:rPr>
                <w:spacing w:val="-4"/>
                <w:sz w:val="21"/>
              </w:rPr>
              <w:t>8.26</w:t>
            </w:r>
          </w:p>
        </w:tc>
        <w:tc>
          <w:tcPr>
            <w:tcW w:w="1856" w:type="dxa"/>
          </w:tcPr>
          <w:p>
            <w:pPr>
              <w:pStyle w:val="TableParagraph"/>
              <w:spacing w:before="81"/>
              <w:ind w:left="380"/>
              <w:rPr>
                <w:sz w:val="21"/>
              </w:rPr>
            </w:pPr>
            <w:r>
              <w:rPr>
                <w:spacing w:val="-5"/>
                <w:sz w:val="21"/>
              </w:rPr>
              <w:t>肢体</w:t>
            </w:r>
          </w:p>
        </w:tc>
        <w:tc>
          <w:tcPr>
            <w:tcW w:w="6758" w:type="dxa"/>
          </w:tcPr>
          <w:p>
            <w:pPr>
              <w:pStyle w:val="TableParagraph"/>
              <w:spacing w:before="81"/>
              <w:ind w:left="106"/>
              <w:rPr>
                <w:sz w:val="21"/>
              </w:rPr>
            </w:pPr>
            <w:r>
              <w:rPr>
                <w:spacing w:val="-3"/>
                <w:sz w:val="21"/>
              </w:rPr>
              <w:t>肢体是指包括肩关节的整个上肢或包括髋关节的整个下肢。</w:t>
            </w:r>
          </w:p>
        </w:tc>
      </w:tr>
      <w:tr>
        <w:trPr>
          <w:trHeight w:val="3099" w:hRule="atLeast"/>
        </w:trPr>
        <w:tc>
          <w:tcPr>
            <w:tcW w:w="853" w:type="dxa"/>
          </w:tcPr>
          <w:p>
            <w:pPr>
              <w:pStyle w:val="TableParagraph"/>
              <w:spacing w:before="78"/>
              <w:ind w:left="50"/>
              <w:rPr>
                <w:sz w:val="21"/>
              </w:rPr>
            </w:pPr>
            <w:r>
              <w:rPr>
                <w:spacing w:val="-4"/>
                <w:sz w:val="21"/>
              </w:rPr>
              <w:t>8.27</w:t>
            </w:r>
          </w:p>
        </w:tc>
        <w:tc>
          <w:tcPr>
            <w:tcW w:w="1856" w:type="dxa"/>
          </w:tcPr>
          <w:p>
            <w:pPr>
              <w:pStyle w:val="TableParagraph"/>
              <w:spacing w:before="78"/>
              <w:ind w:left="380"/>
              <w:rPr>
                <w:sz w:val="21"/>
              </w:rPr>
            </w:pPr>
            <w:r>
              <w:rPr>
                <w:spacing w:val="-5"/>
                <w:sz w:val="21"/>
              </w:rPr>
              <w:t>肌力</w:t>
            </w:r>
          </w:p>
        </w:tc>
        <w:tc>
          <w:tcPr>
            <w:tcW w:w="6758" w:type="dxa"/>
          </w:tcPr>
          <w:p>
            <w:pPr>
              <w:pStyle w:val="TableParagraph"/>
              <w:spacing w:before="78"/>
              <w:ind w:left="106"/>
              <w:rPr>
                <w:sz w:val="21"/>
              </w:rPr>
            </w:pPr>
            <w:r>
              <w:rPr>
                <w:spacing w:val="-5"/>
                <w:sz w:val="21"/>
              </w:rPr>
              <w:t>指肌肉收缩时的力量。肌力划分为 </w:t>
            </w:r>
            <w:r>
              <w:rPr>
                <w:spacing w:val="-2"/>
                <w:sz w:val="21"/>
              </w:rPr>
              <w:t>0-5</w:t>
            </w:r>
            <w:r>
              <w:rPr>
                <w:spacing w:val="-11"/>
                <w:sz w:val="21"/>
              </w:rPr>
              <w:t> 级，具体为：</w:t>
            </w:r>
          </w:p>
          <w:p>
            <w:pPr>
              <w:pStyle w:val="TableParagraph"/>
              <w:numPr>
                <w:ilvl w:val="0"/>
                <w:numId w:val="87"/>
              </w:numPr>
              <w:tabs>
                <w:tab w:pos="265" w:val="left" w:leader="none"/>
              </w:tabs>
              <w:spacing w:line="240" w:lineRule="auto" w:before="65" w:after="0"/>
              <w:ind w:left="264" w:right="0" w:hanging="159"/>
              <w:jc w:val="left"/>
              <w:rPr>
                <w:sz w:val="21"/>
              </w:rPr>
            </w:pPr>
            <w:r>
              <w:rPr>
                <w:spacing w:val="-3"/>
                <w:sz w:val="21"/>
              </w:rPr>
              <w:t>级：肌肉完全瘫痪，毫无收缩。</w:t>
            </w:r>
          </w:p>
          <w:p>
            <w:pPr>
              <w:pStyle w:val="TableParagraph"/>
              <w:numPr>
                <w:ilvl w:val="0"/>
                <w:numId w:val="87"/>
              </w:numPr>
              <w:tabs>
                <w:tab w:pos="265" w:val="left" w:leader="none"/>
              </w:tabs>
              <w:spacing w:line="240" w:lineRule="auto" w:before="66" w:after="0"/>
              <w:ind w:left="264" w:right="0" w:hanging="159"/>
              <w:jc w:val="left"/>
              <w:rPr>
                <w:sz w:val="21"/>
              </w:rPr>
            </w:pPr>
            <w:r>
              <w:rPr>
                <w:spacing w:val="-3"/>
                <w:sz w:val="21"/>
              </w:rPr>
              <w:t>级：可看到或者触及肌肉轻微收缩，但不能产生动作。</w:t>
            </w:r>
          </w:p>
          <w:p>
            <w:pPr>
              <w:pStyle w:val="TableParagraph"/>
              <w:numPr>
                <w:ilvl w:val="0"/>
                <w:numId w:val="87"/>
              </w:numPr>
              <w:tabs>
                <w:tab w:pos="296" w:val="left" w:leader="none"/>
              </w:tabs>
              <w:spacing w:line="297" w:lineRule="auto" w:before="65" w:after="0"/>
              <w:ind w:left="106" w:right="154" w:firstLine="0"/>
              <w:jc w:val="left"/>
              <w:rPr>
                <w:sz w:val="21"/>
              </w:rPr>
            </w:pPr>
            <w:r>
              <w:rPr>
                <w:spacing w:val="-2"/>
                <w:sz w:val="21"/>
              </w:rPr>
              <w:t>级：肌肉在不受重力影响下，可进行运动，即肢体能在床面上移动，</w:t>
            </w:r>
            <w:r>
              <w:rPr>
                <w:spacing w:val="-2"/>
                <w:sz w:val="21"/>
              </w:rPr>
              <w:t>但不能抬高。</w:t>
            </w:r>
          </w:p>
          <w:p>
            <w:pPr>
              <w:pStyle w:val="TableParagraph"/>
              <w:numPr>
                <w:ilvl w:val="0"/>
                <w:numId w:val="87"/>
              </w:numPr>
              <w:tabs>
                <w:tab w:pos="296" w:val="left" w:leader="none"/>
              </w:tabs>
              <w:spacing w:line="297" w:lineRule="auto" w:before="1" w:after="0"/>
              <w:ind w:left="106" w:right="154" w:firstLine="0"/>
              <w:jc w:val="left"/>
              <w:rPr>
                <w:sz w:val="21"/>
              </w:rPr>
            </w:pPr>
            <w:r>
              <w:rPr>
                <w:spacing w:val="-2"/>
                <w:sz w:val="21"/>
              </w:rPr>
              <w:t>级：在和地心引力相反的方向中尚能完成其动作，但不能对抗外加阻</w:t>
            </w:r>
            <w:r>
              <w:rPr>
                <w:spacing w:val="-6"/>
                <w:sz w:val="21"/>
              </w:rPr>
              <w:t>力。</w:t>
            </w:r>
          </w:p>
          <w:p>
            <w:pPr>
              <w:pStyle w:val="TableParagraph"/>
              <w:numPr>
                <w:ilvl w:val="0"/>
                <w:numId w:val="87"/>
              </w:numPr>
              <w:tabs>
                <w:tab w:pos="265" w:val="left" w:leader="none"/>
              </w:tabs>
              <w:spacing w:line="240" w:lineRule="auto" w:before="2" w:after="0"/>
              <w:ind w:left="264" w:right="0" w:hanging="159"/>
              <w:jc w:val="left"/>
              <w:rPr>
                <w:sz w:val="21"/>
              </w:rPr>
            </w:pPr>
            <w:r>
              <w:rPr>
                <w:spacing w:val="-3"/>
                <w:sz w:val="21"/>
              </w:rPr>
              <w:t>级：能对抗一定的阻力，但较正常人为低。</w:t>
            </w:r>
          </w:p>
          <w:p>
            <w:pPr>
              <w:pStyle w:val="TableParagraph"/>
              <w:numPr>
                <w:ilvl w:val="0"/>
                <w:numId w:val="87"/>
              </w:numPr>
              <w:tabs>
                <w:tab w:pos="265" w:val="left" w:leader="none"/>
              </w:tabs>
              <w:spacing w:line="240" w:lineRule="auto" w:before="64" w:after="0"/>
              <w:ind w:left="264" w:right="0" w:hanging="159"/>
              <w:jc w:val="left"/>
              <w:rPr>
                <w:sz w:val="21"/>
              </w:rPr>
            </w:pPr>
            <w:r>
              <w:rPr>
                <w:spacing w:val="-4"/>
                <w:sz w:val="21"/>
              </w:rPr>
              <w:t>级：正常肌力。</w:t>
            </w:r>
          </w:p>
        </w:tc>
      </w:tr>
      <w:tr>
        <w:trPr>
          <w:trHeight w:val="1759" w:hRule="atLeast"/>
        </w:trPr>
        <w:tc>
          <w:tcPr>
            <w:tcW w:w="853" w:type="dxa"/>
          </w:tcPr>
          <w:p>
            <w:pPr>
              <w:pStyle w:val="TableParagraph"/>
              <w:spacing w:before="78"/>
              <w:ind w:left="50"/>
              <w:rPr>
                <w:sz w:val="21"/>
              </w:rPr>
            </w:pPr>
            <w:r>
              <w:rPr>
                <w:spacing w:val="-4"/>
                <w:sz w:val="21"/>
              </w:rPr>
              <w:t>8.28</w:t>
            </w:r>
          </w:p>
        </w:tc>
        <w:tc>
          <w:tcPr>
            <w:tcW w:w="1856" w:type="dxa"/>
          </w:tcPr>
          <w:p>
            <w:pPr>
              <w:pStyle w:val="TableParagraph"/>
              <w:spacing w:line="297" w:lineRule="auto" w:before="78"/>
              <w:ind w:left="380" w:right="105"/>
              <w:jc w:val="both"/>
              <w:rPr>
                <w:sz w:val="21"/>
              </w:rPr>
            </w:pPr>
            <w:r>
              <w:rPr>
                <w:spacing w:val="14"/>
                <w:sz w:val="21"/>
              </w:rPr>
              <w:t>语言能力完全</w:t>
            </w:r>
            <w:r>
              <w:rPr>
                <w:spacing w:val="-19"/>
                <w:sz w:val="21"/>
              </w:rPr>
              <w:t>丧失，或严重咀</w:t>
            </w:r>
            <w:r>
              <w:rPr>
                <w:spacing w:val="14"/>
                <w:sz w:val="21"/>
              </w:rPr>
              <w:t>嚼吞咽功能障</w:t>
            </w:r>
            <w:r>
              <w:rPr>
                <w:spacing w:val="-10"/>
                <w:sz w:val="21"/>
              </w:rPr>
              <w:t>碍</w:t>
            </w:r>
          </w:p>
        </w:tc>
        <w:tc>
          <w:tcPr>
            <w:tcW w:w="6758" w:type="dxa"/>
          </w:tcPr>
          <w:p>
            <w:pPr>
              <w:pStyle w:val="TableParagraph"/>
              <w:spacing w:line="297" w:lineRule="auto" w:before="78"/>
              <w:ind w:left="106" w:right="154"/>
              <w:jc w:val="both"/>
              <w:rPr>
                <w:sz w:val="21"/>
              </w:rPr>
            </w:pPr>
            <w:r>
              <w:rPr>
                <w:spacing w:val="-2"/>
                <w:sz w:val="21"/>
              </w:rPr>
              <w:t>语言能力完全丧失，指无法发出四种语音（包括口唇音、齿舌音、口盖</w:t>
            </w:r>
            <w:r>
              <w:rPr>
                <w:spacing w:val="-2"/>
                <w:sz w:val="21"/>
              </w:rPr>
              <w:t>音和喉头音）中的任何三种、或声带全部切除，或因大脑语言中枢受伤</w:t>
            </w:r>
            <w:r>
              <w:rPr>
                <w:spacing w:val="-2"/>
                <w:sz w:val="21"/>
              </w:rPr>
              <w:t>害而患失语症。</w:t>
            </w:r>
          </w:p>
          <w:p>
            <w:pPr>
              <w:pStyle w:val="TableParagraph"/>
              <w:ind w:left="106"/>
              <w:rPr>
                <w:sz w:val="21"/>
              </w:rPr>
            </w:pPr>
            <w:r>
              <w:rPr>
                <w:spacing w:val="-1"/>
                <w:sz w:val="21"/>
              </w:rPr>
              <w:t>严重咀嚼吞咽功能障碍，指因牙齿以外的原因导致器质障碍或机能障</w:t>
            </w:r>
          </w:p>
          <w:p>
            <w:pPr>
              <w:pStyle w:val="TableParagraph"/>
              <w:spacing w:before="64"/>
              <w:ind w:left="106"/>
              <w:rPr>
                <w:sz w:val="21"/>
              </w:rPr>
            </w:pPr>
            <w:r>
              <w:rPr>
                <w:spacing w:val="-3"/>
                <w:sz w:val="21"/>
              </w:rPr>
              <w:t>碍，以致不能作咀嚼吞咽运动，除流质食物外不能摄取或吞咽的状态。</w:t>
            </w:r>
          </w:p>
        </w:tc>
      </w:tr>
      <w:tr>
        <w:trPr>
          <w:trHeight w:val="651" w:hRule="atLeast"/>
        </w:trPr>
        <w:tc>
          <w:tcPr>
            <w:tcW w:w="853" w:type="dxa"/>
          </w:tcPr>
          <w:p>
            <w:pPr>
              <w:pStyle w:val="TableParagraph"/>
              <w:spacing w:before="78"/>
              <w:ind w:left="50"/>
              <w:rPr>
                <w:sz w:val="21"/>
              </w:rPr>
            </w:pPr>
            <w:r>
              <w:rPr>
                <w:spacing w:val="-4"/>
                <w:sz w:val="21"/>
              </w:rPr>
              <w:t>8.29</w:t>
            </w:r>
          </w:p>
        </w:tc>
        <w:tc>
          <w:tcPr>
            <w:tcW w:w="1856" w:type="dxa"/>
          </w:tcPr>
          <w:p>
            <w:pPr>
              <w:pStyle w:val="TableParagraph"/>
              <w:spacing w:line="330" w:lineRule="atLeast"/>
              <w:ind w:left="380" w:right="108"/>
              <w:rPr>
                <w:sz w:val="21"/>
              </w:rPr>
            </w:pPr>
            <w:r>
              <w:rPr>
                <w:spacing w:val="14"/>
                <w:sz w:val="21"/>
              </w:rPr>
              <w:t>六项基本日常</w:t>
            </w:r>
            <w:r>
              <w:rPr>
                <w:spacing w:val="-4"/>
                <w:sz w:val="21"/>
              </w:rPr>
              <w:t>生活活动</w:t>
            </w:r>
          </w:p>
        </w:tc>
        <w:tc>
          <w:tcPr>
            <w:tcW w:w="6758" w:type="dxa"/>
          </w:tcPr>
          <w:p>
            <w:pPr>
              <w:pStyle w:val="TableParagraph"/>
              <w:spacing w:line="330" w:lineRule="atLeast"/>
              <w:ind w:left="106" w:right="48"/>
              <w:rPr>
                <w:sz w:val="21"/>
              </w:rPr>
            </w:pPr>
            <w:r>
              <w:rPr>
                <w:spacing w:val="-11"/>
                <w:sz w:val="21"/>
              </w:rPr>
              <w:t>六项基本日常生活活动是指：</w:t>
            </w:r>
            <w:r>
              <w:rPr>
                <w:spacing w:val="25"/>
                <w:sz w:val="21"/>
              </w:rPr>
              <w:t>（1</w:t>
            </w:r>
            <w:r>
              <w:rPr>
                <w:spacing w:val="17"/>
                <w:sz w:val="21"/>
              </w:rPr>
              <w:t>）</w:t>
            </w:r>
            <w:r>
              <w:rPr>
                <w:spacing w:val="-11"/>
                <w:sz w:val="21"/>
              </w:rPr>
              <w:t>穿衣：自己能够穿衣及脱衣；</w:t>
            </w:r>
            <w:r>
              <w:rPr>
                <w:spacing w:val="25"/>
                <w:sz w:val="21"/>
              </w:rPr>
              <w:t>（2</w:t>
            </w:r>
            <w:r>
              <w:rPr>
                <w:spacing w:val="17"/>
                <w:sz w:val="21"/>
              </w:rPr>
              <w:t>）</w:t>
            </w:r>
            <w:r>
              <w:rPr>
                <w:spacing w:val="-4"/>
                <w:sz w:val="21"/>
              </w:rPr>
              <w:t>移</w:t>
            </w:r>
            <w:r>
              <w:rPr>
                <w:spacing w:val="-15"/>
                <w:sz w:val="21"/>
              </w:rPr>
              <w:t>动：自己从一个房间到另一个房间；</w:t>
            </w:r>
            <w:r>
              <w:rPr>
                <w:spacing w:val="34"/>
                <w:sz w:val="21"/>
              </w:rPr>
              <w:t>（</w:t>
            </w:r>
            <w:r>
              <w:rPr>
                <w:spacing w:val="35"/>
                <w:sz w:val="21"/>
              </w:rPr>
              <w:t>3</w:t>
            </w:r>
            <w:r>
              <w:rPr>
                <w:spacing w:val="1"/>
                <w:sz w:val="21"/>
              </w:rPr>
              <w:t>）</w:t>
            </w:r>
            <w:r>
              <w:rPr>
                <w:spacing w:val="-8"/>
                <w:sz w:val="21"/>
              </w:rPr>
              <w:t>行动：自己上下床或上下轮椅；</w:t>
            </w:r>
          </w:p>
        </w:tc>
      </w:tr>
    </w:tbl>
    <w:p>
      <w:pPr>
        <w:spacing w:after="0" w:line="330" w:lineRule="atLeast"/>
        <w:rPr>
          <w:sz w:val="21"/>
        </w:rPr>
        <w:sectPr>
          <w:pgSz w:w="11910" w:h="16840"/>
          <w:pgMar w:header="0" w:footer="857" w:top="1440" w:bottom="1180" w:left="1100" w:right="260"/>
        </w:sectPr>
      </w:pPr>
    </w:p>
    <w:p>
      <w:pPr>
        <w:pStyle w:val="ListParagraph"/>
        <w:numPr>
          <w:ilvl w:val="1"/>
          <w:numId w:val="86"/>
        </w:numPr>
        <w:tabs>
          <w:tab w:pos="3526" w:val="left" w:leader="none"/>
        </w:tabs>
        <w:spacing w:line="297" w:lineRule="auto" w:before="60" w:after="0"/>
        <w:ind w:left="2990" w:right="1063" w:firstLine="0"/>
        <w:jc w:val="left"/>
        <w:rPr>
          <w:sz w:val="21"/>
        </w:rPr>
      </w:pPr>
      <w:r>
        <w:rPr>
          <w:spacing w:val="-9"/>
          <w:sz w:val="21"/>
        </w:rPr>
        <w:t>如厕：自己控制进行大小便；</w:t>
      </w:r>
      <w:r>
        <w:rPr>
          <w:spacing w:val="27"/>
          <w:sz w:val="21"/>
        </w:rPr>
        <w:t>（</w:t>
      </w:r>
      <w:r>
        <w:rPr>
          <w:spacing w:val="24"/>
          <w:sz w:val="21"/>
        </w:rPr>
        <w:t>5）</w:t>
      </w:r>
      <w:r>
        <w:rPr>
          <w:spacing w:val="-2"/>
          <w:sz w:val="21"/>
        </w:rPr>
        <w:t>进食：自己从已准备好的碗或</w:t>
      </w:r>
      <w:r>
        <w:rPr>
          <w:spacing w:val="-10"/>
          <w:sz w:val="21"/>
        </w:rPr>
        <w:t>碟中取食物放入口中；</w:t>
      </w:r>
      <w:r>
        <w:rPr>
          <w:spacing w:val="24"/>
          <w:sz w:val="21"/>
        </w:rPr>
        <w:t>（</w:t>
      </w:r>
      <w:r>
        <w:rPr>
          <w:spacing w:val="23"/>
          <w:sz w:val="21"/>
        </w:rPr>
        <w:t>6</w:t>
      </w:r>
      <w:r>
        <w:rPr>
          <w:spacing w:val="25"/>
          <w:sz w:val="21"/>
        </w:rPr>
        <w:t>）</w:t>
      </w:r>
      <w:r>
        <w:rPr>
          <w:spacing w:val="-2"/>
          <w:sz w:val="21"/>
        </w:rPr>
        <w:t>洗澡：自己进行淋浴或盆浴。</w:t>
      </w:r>
    </w:p>
    <w:p>
      <w:pPr>
        <w:spacing w:before="0"/>
        <w:ind w:left="2990" w:right="0" w:firstLine="0"/>
        <w:jc w:val="left"/>
        <w:rPr>
          <w:b/>
          <w:sz w:val="21"/>
        </w:rPr>
      </w:pPr>
      <w:r>
        <w:rPr>
          <w:b/>
          <w:w w:val="95"/>
          <w:sz w:val="21"/>
        </w:rPr>
        <w:t>六</w:t>
      </w:r>
      <w:r>
        <w:rPr>
          <w:b/>
          <w:w w:val="95"/>
          <w:sz w:val="21"/>
        </w:rPr>
        <w:t>项</w:t>
      </w:r>
      <w:r>
        <w:rPr>
          <w:b/>
          <w:w w:val="95"/>
          <w:sz w:val="21"/>
        </w:rPr>
        <w:t>基</w:t>
      </w:r>
      <w:r>
        <w:rPr>
          <w:b/>
          <w:w w:val="95"/>
          <w:sz w:val="21"/>
        </w:rPr>
        <w:t>本</w:t>
      </w:r>
      <w:r>
        <w:rPr>
          <w:b/>
          <w:w w:val="95"/>
          <w:sz w:val="21"/>
        </w:rPr>
        <w:t>日</w:t>
      </w:r>
      <w:r>
        <w:rPr>
          <w:b/>
          <w:w w:val="95"/>
          <w:sz w:val="21"/>
        </w:rPr>
        <w:t>常</w:t>
      </w:r>
      <w:r>
        <w:rPr>
          <w:b/>
          <w:w w:val="95"/>
          <w:sz w:val="21"/>
        </w:rPr>
        <w:t>生</w:t>
      </w:r>
      <w:r>
        <w:rPr>
          <w:b/>
          <w:w w:val="95"/>
          <w:sz w:val="21"/>
        </w:rPr>
        <w:t>活</w:t>
      </w:r>
      <w:r>
        <w:rPr>
          <w:b/>
          <w:w w:val="95"/>
          <w:sz w:val="21"/>
        </w:rPr>
        <w:t>活动能</w:t>
      </w:r>
      <w:r>
        <w:rPr>
          <w:b/>
          <w:w w:val="95"/>
          <w:sz w:val="21"/>
        </w:rPr>
        <w:t>力</w:t>
      </w:r>
      <w:r>
        <w:rPr>
          <w:b/>
          <w:w w:val="95"/>
          <w:sz w:val="21"/>
        </w:rPr>
        <w:t>的</w:t>
      </w:r>
      <w:r>
        <w:rPr>
          <w:b/>
          <w:w w:val="95"/>
          <w:sz w:val="21"/>
        </w:rPr>
        <w:t>鉴</w:t>
      </w:r>
      <w:r>
        <w:rPr>
          <w:b/>
          <w:w w:val="95"/>
          <w:sz w:val="21"/>
        </w:rPr>
        <w:t>定</w:t>
      </w:r>
      <w:r>
        <w:rPr>
          <w:b/>
          <w:w w:val="95"/>
          <w:sz w:val="21"/>
        </w:rPr>
        <w:t>不</w:t>
      </w:r>
      <w:r>
        <w:rPr>
          <w:b/>
          <w:w w:val="95"/>
          <w:sz w:val="21"/>
        </w:rPr>
        <w:t>适</w:t>
      </w:r>
      <w:r>
        <w:rPr>
          <w:b/>
          <w:w w:val="95"/>
          <w:sz w:val="21"/>
        </w:rPr>
        <w:t>用</w:t>
      </w:r>
      <w:r>
        <w:rPr>
          <w:b/>
          <w:w w:val="95"/>
          <w:sz w:val="21"/>
        </w:rPr>
        <w:t>于</w:t>
      </w:r>
      <w:r>
        <w:rPr>
          <w:b/>
          <w:spacing w:val="71"/>
          <w:sz w:val="21"/>
        </w:rPr>
        <w:t> </w:t>
      </w:r>
      <w:r>
        <w:rPr>
          <w:b/>
          <w:w w:val="95"/>
          <w:sz w:val="21"/>
        </w:rPr>
        <w:t>0-3</w:t>
      </w:r>
      <w:r>
        <w:rPr>
          <w:b/>
          <w:spacing w:val="68"/>
          <w:sz w:val="21"/>
        </w:rPr>
        <w:t> </w:t>
      </w:r>
      <w:r>
        <w:rPr>
          <w:b/>
          <w:w w:val="95"/>
          <w:sz w:val="21"/>
        </w:rPr>
        <w:t>周</w:t>
      </w:r>
      <w:r>
        <w:rPr>
          <w:b/>
          <w:w w:val="95"/>
          <w:sz w:val="21"/>
        </w:rPr>
        <w:t>岁</w:t>
      </w:r>
      <w:r>
        <w:rPr>
          <w:b/>
          <w:w w:val="95"/>
          <w:sz w:val="21"/>
        </w:rPr>
        <w:t>幼</w:t>
      </w:r>
      <w:r>
        <w:rPr>
          <w:b/>
          <w:w w:val="95"/>
          <w:sz w:val="21"/>
        </w:rPr>
        <w:t>儿</w:t>
      </w:r>
      <w:r>
        <w:rPr>
          <w:b/>
          <w:spacing w:val="-10"/>
          <w:w w:val="95"/>
          <w:sz w:val="21"/>
        </w:rPr>
        <w:t>。</w:t>
      </w:r>
    </w:p>
    <w:p>
      <w:pPr>
        <w:pStyle w:val="ListParagraph"/>
        <w:numPr>
          <w:ilvl w:val="1"/>
          <w:numId w:val="88"/>
        </w:numPr>
        <w:tabs>
          <w:tab w:pos="1408" w:val="left" w:leader="none"/>
          <w:tab w:pos="1409" w:val="left" w:leader="none"/>
          <w:tab w:pos="2990" w:val="left" w:leader="none"/>
        </w:tabs>
        <w:spacing w:line="297" w:lineRule="auto" w:before="156" w:after="0"/>
        <w:ind w:left="2990" w:right="1060" w:hanging="2766"/>
        <w:jc w:val="left"/>
        <w:rPr>
          <w:sz w:val="21"/>
        </w:rPr>
      </w:pPr>
      <w:r>
        <w:rPr>
          <w:spacing w:val="-2"/>
          <w:sz w:val="21"/>
        </w:rPr>
        <w:t>永</w:t>
      </w:r>
      <w:r>
        <w:rPr>
          <w:spacing w:val="-2"/>
          <w:sz w:val="21"/>
        </w:rPr>
        <w:t>久</w:t>
      </w:r>
      <w:r>
        <w:rPr>
          <w:spacing w:val="-2"/>
          <w:sz w:val="21"/>
        </w:rPr>
        <w:t>不</w:t>
      </w:r>
      <w:r>
        <w:rPr>
          <w:spacing w:val="-2"/>
          <w:sz w:val="21"/>
        </w:rPr>
        <w:t>可</w:t>
      </w:r>
      <w:r>
        <w:rPr>
          <w:spacing w:val="-2"/>
          <w:sz w:val="21"/>
        </w:rPr>
        <w:t>逆</w:t>
      </w:r>
      <w:r>
        <w:rPr>
          <w:sz w:val="21"/>
        </w:rPr>
        <w:tab/>
      </w:r>
      <w:r>
        <w:rPr>
          <w:spacing w:val="-2"/>
          <w:sz w:val="21"/>
        </w:rPr>
        <w:t>指</w:t>
      </w:r>
      <w:r>
        <w:rPr>
          <w:spacing w:val="-2"/>
          <w:sz w:val="21"/>
        </w:rPr>
        <w:t>自</w:t>
      </w:r>
      <w:r>
        <w:rPr>
          <w:spacing w:val="-2"/>
          <w:sz w:val="21"/>
        </w:rPr>
        <w:t>疾病确诊或意外伤害</w:t>
      </w:r>
      <w:r>
        <w:rPr>
          <w:spacing w:val="-2"/>
          <w:sz w:val="21"/>
        </w:rPr>
        <w:t>发</w:t>
      </w:r>
      <w:r>
        <w:rPr>
          <w:spacing w:val="-2"/>
          <w:sz w:val="21"/>
        </w:rPr>
        <w:t>生</w:t>
      </w:r>
      <w:r>
        <w:rPr>
          <w:spacing w:val="-2"/>
          <w:sz w:val="21"/>
        </w:rPr>
        <w:t>之日起，经过积极治疗</w:t>
      </w:r>
      <w:r>
        <w:rPr>
          <w:spacing w:val="-44"/>
          <w:sz w:val="21"/>
        </w:rPr>
        <w:t> </w:t>
      </w:r>
      <w:r>
        <w:rPr>
          <w:spacing w:val="-2"/>
          <w:sz w:val="21"/>
        </w:rPr>
        <w:t>180</w:t>
      </w:r>
      <w:r>
        <w:rPr>
          <w:spacing w:val="-48"/>
          <w:sz w:val="21"/>
        </w:rPr>
        <w:t> </w:t>
      </w:r>
      <w:r>
        <w:rPr>
          <w:spacing w:val="-2"/>
          <w:sz w:val="21"/>
        </w:rPr>
        <w:t>天后，仍无法</w:t>
      </w:r>
      <w:r>
        <w:rPr>
          <w:spacing w:val="-2"/>
          <w:sz w:val="21"/>
        </w:rPr>
        <w:t>通</w:t>
      </w:r>
      <w:r>
        <w:rPr>
          <w:spacing w:val="-2"/>
          <w:sz w:val="21"/>
        </w:rPr>
        <w:t>过</w:t>
      </w:r>
      <w:r>
        <w:rPr>
          <w:spacing w:val="-2"/>
          <w:sz w:val="21"/>
        </w:rPr>
        <w:t>现有医疗手段恢</w:t>
      </w:r>
      <w:r>
        <w:rPr>
          <w:spacing w:val="-2"/>
          <w:sz w:val="21"/>
        </w:rPr>
        <w:t>复</w:t>
      </w:r>
      <w:r>
        <w:rPr>
          <w:spacing w:val="-2"/>
          <w:sz w:val="21"/>
        </w:rPr>
        <w:t>。</w:t>
      </w:r>
    </w:p>
    <w:p>
      <w:pPr>
        <w:spacing w:after="0" w:line="297" w:lineRule="auto"/>
        <w:jc w:val="left"/>
        <w:rPr>
          <w:sz w:val="21"/>
        </w:rPr>
        <w:sectPr>
          <w:pgSz w:w="11910" w:h="16840"/>
          <w:pgMar w:header="0" w:footer="857" w:top="1420" w:bottom="1180" w:left="1100" w:right="260"/>
        </w:sectPr>
      </w:pPr>
    </w:p>
    <w:p>
      <w:pPr>
        <w:pStyle w:val="ListParagraph"/>
        <w:numPr>
          <w:ilvl w:val="1"/>
          <w:numId w:val="88"/>
        </w:numPr>
        <w:tabs>
          <w:tab w:pos="1409" w:val="left" w:leader="none"/>
        </w:tabs>
        <w:spacing w:line="297" w:lineRule="auto" w:before="91" w:after="0"/>
        <w:ind w:left="1408" w:right="0" w:hanging="1184"/>
        <w:jc w:val="both"/>
        <w:rPr>
          <w:sz w:val="21"/>
        </w:rPr>
      </w:pPr>
      <w:r>
        <w:rPr>
          <w:spacing w:val="14"/>
          <w:sz w:val="21"/>
        </w:rPr>
        <w:t>美国纽约心脏</w:t>
      </w:r>
      <w:r>
        <w:rPr>
          <w:spacing w:val="-5"/>
          <w:w w:val="95"/>
          <w:sz w:val="21"/>
        </w:rPr>
        <w:t>病 学会 </w:t>
      </w:r>
      <w:r>
        <w:rPr>
          <w:w w:val="95"/>
          <w:sz w:val="21"/>
        </w:rPr>
        <w:t>（</w:t>
      </w:r>
      <w:r>
        <w:rPr>
          <w:spacing w:val="-21"/>
          <w:w w:val="95"/>
          <w:sz w:val="21"/>
        </w:rPr>
        <w:t> </w:t>
      </w:r>
      <w:r>
        <w:rPr>
          <w:w w:val="95"/>
          <w:sz w:val="21"/>
        </w:rPr>
        <w:t>New</w:t>
      </w:r>
      <w:r>
        <w:rPr>
          <w:w w:val="95"/>
          <w:sz w:val="21"/>
        </w:rPr>
        <w:t> </w:t>
      </w:r>
      <w:r>
        <w:rPr>
          <w:sz w:val="21"/>
        </w:rPr>
        <w:t>York Heart </w:t>
      </w:r>
      <w:r>
        <w:rPr>
          <w:spacing w:val="-2"/>
          <w:sz w:val="21"/>
        </w:rPr>
        <w:t>Association， </w:t>
      </w:r>
      <w:r>
        <w:rPr>
          <w:spacing w:val="7"/>
          <w:sz w:val="21"/>
        </w:rPr>
        <w:t>NYHA</w:t>
      </w:r>
      <w:r>
        <w:rPr>
          <w:spacing w:val="-101"/>
          <w:sz w:val="21"/>
        </w:rPr>
        <w:t>）</w:t>
      </w:r>
      <w:r>
        <w:rPr>
          <w:spacing w:val="-14"/>
          <w:sz w:val="21"/>
        </w:rPr>
        <w:t>心功能状</w:t>
      </w:r>
      <w:r>
        <w:rPr>
          <w:spacing w:val="-4"/>
          <w:sz w:val="21"/>
        </w:rPr>
        <w:t>态分级</w:t>
      </w:r>
    </w:p>
    <w:p>
      <w:pPr>
        <w:pStyle w:val="BodyText"/>
        <w:spacing w:line="297" w:lineRule="auto" w:before="91"/>
        <w:ind w:left="174" w:right="1060"/>
      </w:pPr>
      <w:r>
        <w:rPr/>
        <w:br w:type="column"/>
      </w:r>
      <w:r>
        <w:rPr/>
        <w:t>美国纽约心脏病学会（New</w:t>
      </w:r>
      <w:r>
        <w:rPr>
          <w:spacing w:val="-18"/>
        </w:rPr>
        <w:t> </w:t>
      </w:r>
      <w:r>
        <w:rPr/>
        <w:t>York</w:t>
      </w:r>
      <w:r>
        <w:rPr>
          <w:spacing w:val="-16"/>
        </w:rPr>
        <w:t> </w:t>
      </w:r>
      <w:r>
        <w:rPr/>
        <w:t>Heart</w:t>
      </w:r>
      <w:r>
        <w:rPr>
          <w:spacing w:val="-18"/>
        </w:rPr>
        <w:t> </w:t>
      </w:r>
      <w:r>
        <w:rPr/>
        <w:t>Association，NYHA）将心功能</w:t>
      </w:r>
      <w:r>
        <w:rPr>
          <w:spacing w:val="-2"/>
        </w:rPr>
        <w:t>状态分为四级：</w:t>
      </w:r>
    </w:p>
    <w:p>
      <w:pPr>
        <w:pStyle w:val="BodyText"/>
        <w:spacing w:line="297" w:lineRule="auto"/>
        <w:ind w:left="174" w:right="1058"/>
      </w:pPr>
      <w:r>
        <w:rPr>
          <w:spacing w:val="-2"/>
        </w:rPr>
        <w:t>Ⅰ级：心脏病病人日常活动量不受限制，一般活动不引起乏力、呼吸困</w:t>
      </w:r>
      <w:r>
        <w:rPr>
          <w:spacing w:val="-2"/>
        </w:rPr>
        <w:t>难等心衰症状。</w:t>
      </w:r>
    </w:p>
    <w:p>
      <w:pPr>
        <w:pStyle w:val="BodyText"/>
        <w:spacing w:line="300" w:lineRule="auto"/>
        <w:ind w:left="174" w:right="1058"/>
      </w:pPr>
      <w:r>
        <w:rPr>
          <w:spacing w:val="-2"/>
        </w:rPr>
        <w:t>Ⅱ级：心脏病病人体力活动轻度受限制，休息时无自觉症状，一般活动</w:t>
      </w:r>
      <w:r>
        <w:rPr>
          <w:spacing w:val="-2"/>
        </w:rPr>
        <w:t>下可出现心衰症状。</w:t>
      </w:r>
    </w:p>
    <w:p>
      <w:pPr>
        <w:pStyle w:val="BodyText"/>
        <w:spacing w:line="297" w:lineRule="auto"/>
        <w:ind w:left="174" w:right="1060"/>
      </w:pPr>
      <w:r>
        <w:rPr>
          <w:spacing w:val="-2"/>
        </w:rPr>
        <w:t>Ⅲ级：心脏病病人体力活动明显受限，低于平时一般活动即引起心衰症</w:t>
      </w:r>
      <w:r>
        <w:rPr>
          <w:spacing w:val="-6"/>
        </w:rPr>
        <w:t>状。</w:t>
      </w:r>
    </w:p>
    <w:p>
      <w:pPr>
        <w:pStyle w:val="BodyText"/>
        <w:spacing w:line="297" w:lineRule="auto"/>
        <w:ind w:left="174" w:right="952"/>
      </w:pPr>
      <w:r>
        <w:rPr>
          <w:spacing w:val="-13"/>
        </w:rPr>
        <w:t>Ⅳ级：心脏病病人不能从事任何体力活动，休息状态下也存在心衰症状，</w:t>
      </w:r>
      <w:r>
        <w:rPr>
          <w:spacing w:val="-2"/>
        </w:rPr>
        <w:t>活动后加重。</w:t>
      </w:r>
    </w:p>
    <w:sectPr>
      <w:type w:val="continuous"/>
      <w:pgSz w:w="11910" w:h="16840"/>
      <w:pgMar w:header="0" w:footer="857" w:top="320" w:bottom="1040" w:left="1100" w:right="260"/>
      <w:cols w:num="2" w:equalWidth="0">
        <w:col w:w="2777" w:space="40"/>
        <w:col w:w="773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微软雅黑">
    <w:altName w:val="微软雅黑"/>
    <w:charset w:val="86"/>
    <w:family w:val="swiss"/>
    <w:pitch w:val="variable"/>
  </w:font>
  <w:font w:name="Wingdings">
    <w:altName w:val="Wingdings"/>
    <w:charset w:val="2"/>
    <w:family w:val="auto"/>
    <w:pitch w:val="variable"/>
  </w:font>
  <w:font w:name="黑体">
    <w:altName w:val="黑体"/>
    <w:charset w:val="86"/>
    <w:family w:val="modern"/>
    <w:pitch w:val="fixed"/>
  </w:font>
  <w:font w:name="Dotum">
    <w:altName w:val="Dotum"/>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64.183998pt;margin-top:780.985596pt;width:146pt;height:11pt;mso-position-horizontal-relative:page;mso-position-vertical-relative:page;z-index:-17491456" type="#_x0000_t202" id="docshape1" filled="false" stroked="false">
          <v:textbox inset="0,0,0,0">
            <w:txbxContent>
              <w:p>
                <w:pPr>
                  <w:spacing w:line="220" w:lineRule="exact" w:before="0"/>
                  <w:ind w:left="20" w:right="0" w:firstLine="0"/>
                  <w:jc w:val="left"/>
                  <w:rPr>
                    <w:sz w:val="18"/>
                  </w:rPr>
                </w:pPr>
                <w:r>
                  <w:rPr>
                    <w:spacing w:val="-3"/>
                    <w:sz w:val="18"/>
                  </w:rPr>
                  <w:t>英大人寿康佑倍护终身重大疾病保险</w:t>
                </w:r>
              </w:p>
            </w:txbxContent>
          </v:textbox>
          <w10:wrap type="none"/>
        </v:shape>
      </w:pict>
    </w:r>
    <w:r>
      <w:rPr/>
      <w:pict>
        <v:shape style="position:absolute;margin-left:307.329987pt;margin-top:780.985596pt;width:20pt;height:11pt;mso-position-horizontal-relative:page;mso-position-vertical-relative:page;z-index:-17490944" type="#_x0000_t202" id="docshape2" filled="false" stroked="false">
          <v:textbox inset="0,0,0,0">
            <w:txbxContent>
              <w:p>
                <w:pPr>
                  <w:spacing w:line="220" w:lineRule="exact" w:before="0"/>
                  <w:ind w:left="20" w:right="0" w:firstLine="0"/>
                  <w:jc w:val="left"/>
                  <w:rPr>
                    <w:sz w:val="18"/>
                  </w:rPr>
                </w:pPr>
                <w:r>
                  <w:rPr>
                    <w:spacing w:val="-5"/>
                    <w:sz w:val="18"/>
                  </w:rPr>
                  <w:t>条款</w:t>
                </w:r>
              </w:p>
            </w:txbxContent>
          </v:textbox>
          <w10:wrap type="none"/>
        </v:shape>
      </w:pict>
    </w:r>
    <w:r>
      <w:rPr/>
      <w:pict>
        <v:shape style="position:absolute;margin-left:428.910004pt;margin-top:780.985596pt;width:78.6pt;height:11pt;mso-position-horizontal-relative:page;mso-position-vertical-relative:page;z-index:-17490432" type="#_x0000_t202" id="docshape3" filled="false" stroked="false">
          <v:textbox inset="0,0,0,0">
            <w:txbxContent>
              <w:p>
                <w:pPr>
                  <w:spacing w:line="220" w:lineRule="exact" w:before="0"/>
                  <w:ind w:left="20" w:right="0" w:firstLine="0"/>
                  <w:jc w:val="left"/>
                  <w:rPr>
                    <w:sz w:val="18"/>
                  </w:rPr>
                </w:pPr>
                <w:r>
                  <w:rPr>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pacing w:val="-1"/>
                    <w:sz w:val="18"/>
                  </w:rPr>
                  <w:t> 页 共 </w:t>
                </w:r>
                <w:r>
                  <w:rPr>
                    <w:sz w:val="18"/>
                  </w:rPr>
                  <w:fldChar w:fldCharType="begin"/>
                </w:r>
                <w:r>
                  <w:rPr>
                    <w:sz w:val="18"/>
                  </w:rPr>
                  <w:instrText> NUMPAGES </w:instrText>
                </w:r>
                <w:r>
                  <w:rPr>
                    <w:sz w:val="18"/>
                  </w:rPr>
                  <w:fldChar w:fldCharType="separate"/>
                </w:r>
                <w:r>
                  <w:rPr>
                    <w:sz w:val="18"/>
                  </w:rPr>
                  <w:t>50</w:t>
                </w:r>
                <w:r>
                  <w:rPr>
                    <w:sz w:val="18"/>
                  </w:rPr>
                  <w:fldChar w:fldCharType="end"/>
                </w:r>
                <w:r>
                  <w:rPr>
                    <w:spacing w:val="-5"/>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7">
    <w:multiLevelType w:val="hybridMultilevel"/>
    <w:lvl w:ilvl="0">
      <w:start w:val="8"/>
      <w:numFmt w:val="decimal"/>
      <w:lvlText w:val="%1"/>
      <w:lvlJc w:val="left"/>
      <w:pPr>
        <w:ind w:left="2990" w:hanging="1184"/>
        <w:jc w:val="left"/>
      </w:pPr>
      <w:rPr>
        <w:rFonts w:hint="default"/>
        <w:lang w:val="en-US" w:eastAsia="zh-CN" w:bidi="ar-SA"/>
      </w:rPr>
    </w:lvl>
    <w:lvl w:ilvl="1">
      <w:start w:val="30"/>
      <w:numFmt w:val="decimal"/>
      <w:lvlText w:val="%1.%2"/>
      <w:lvlJc w:val="left"/>
      <w:pPr>
        <w:ind w:left="2990" w:hanging="118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509" w:hanging="1184"/>
      </w:pPr>
      <w:rPr>
        <w:rFonts w:hint="default"/>
        <w:lang w:val="en-US" w:eastAsia="zh-CN" w:bidi="ar-SA"/>
      </w:rPr>
    </w:lvl>
    <w:lvl w:ilvl="3">
      <w:start w:val="0"/>
      <w:numFmt w:val="bullet"/>
      <w:lvlText w:val="•"/>
      <w:lvlJc w:val="left"/>
      <w:pPr>
        <w:ind w:left="5263" w:hanging="1184"/>
      </w:pPr>
      <w:rPr>
        <w:rFonts w:hint="default"/>
        <w:lang w:val="en-US" w:eastAsia="zh-CN" w:bidi="ar-SA"/>
      </w:rPr>
    </w:lvl>
    <w:lvl w:ilvl="4">
      <w:start w:val="0"/>
      <w:numFmt w:val="bullet"/>
      <w:lvlText w:val="•"/>
      <w:lvlJc w:val="left"/>
      <w:pPr>
        <w:ind w:left="6018" w:hanging="1184"/>
      </w:pPr>
      <w:rPr>
        <w:rFonts w:hint="default"/>
        <w:lang w:val="en-US" w:eastAsia="zh-CN" w:bidi="ar-SA"/>
      </w:rPr>
    </w:lvl>
    <w:lvl w:ilvl="5">
      <w:start w:val="0"/>
      <w:numFmt w:val="bullet"/>
      <w:lvlText w:val="•"/>
      <w:lvlJc w:val="left"/>
      <w:pPr>
        <w:ind w:left="6773" w:hanging="1184"/>
      </w:pPr>
      <w:rPr>
        <w:rFonts w:hint="default"/>
        <w:lang w:val="en-US" w:eastAsia="zh-CN" w:bidi="ar-SA"/>
      </w:rPr>
    </w:lvl>
    <w:lvl w:ilvl="6">
      <w:start w:val="0"/>
      <w:numFmt w:val="bullet"/>
      <w:lvlText w:val="•"/>
      <w:lvlJc w:val="left"/>
      <w:pPr>
        <w:ind w:left="7527" w:hanging="1184"/>
      </w:pPr>
      <w:rPr>
        <w:rFonts w:hint="default"/>
        <w:lang w:val="en-US" w:eastAsia="zh-CN" w:bidi="ar-SA"/>
      </w:rPr>
    </w:lvl>
    <w:lvl w:ilvl="7">
      <w:start w:val="0"/>
      <w:numFmt w:val="bullet"/>
      <w:lvlText w:val="•"/>
      <w:lvlJc w:val="left"/>
      <w:pPr>
        <w:ind w:left="8282" w:hanging="1184"/>
      </w:pPr>
      <w:rPr>
        <w:rFonts w:hint="default"/>
        <w:lang w:val="en-US" w:eastAsia="zh-CN" w:bidi="ar-SA"/>
      </w:rPr>
    </w:lvl>
    <w:lvl w:ilvl="8">
      <w:start w:val="0"/>
      <w:numFmt w:val="bullet"/>
      <w:lvlText w:val="•"/>
      <w:lvlJc w:val="left"/>
      <w:pPr>
        <w:ind w:left="9037" w:hanging="1184"/>
      </w:pPr>
      <w:rPr>
        <w:rFonts w:hint="default"/>
        <w:lang w:val="en-US" w:eastAsia="zh-CN" w:bidi="ar-SA"/>
      </w:rPr>
    </w:lvl>
  </w:abstractNum>
  <w:abstractNum w:abstractNumId="86">
    <w:multiLevelType w:val="hybridMultilevel"/>
    <w:lvl w:ilvl="0">
      <w:start w:val="0"/>
      <w:numFmt w:val="decimal"/>
      <w:lvlText w:val="%1"/>
      <w:lvlJc w:val="left"/>
      <w:pPr>
        <w:ind w:left="264"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09" w:hanging="159"/>
      </w:pPr>
      <w:rPr>
        <w:rFonts w:hint="default"/>
        <w:lang w:val="en-US" w:eastAsia="zh-CN" w:bidi="ar-SA"/>
      </w:rPr>
    </w:lvl>
    <w:lvl w:ilvl="2">
      <w:start w:val="0"/>
      <w:numFmt w:val="bullet"/>
      <w:lvlText w:val="•"/>
      <w:lvlJc w:val="left"/>
      <w:pPr>
        <w:ind w:left="1559" w:hanging="159"/>
      </w:pPr>
      <w:rPr>
        <w:rFonts w:hint="default"/>
        <w:lang w:val="en-US" w:eastAsia="zh-CN" w:bidi="ar-SA"/>
      </w:rPr>
    </w:lvl>
    <w:lvl w:ilvl="3">
      <w:start w:val="0"/>
      <w:numFmt w:val="bullet"/>
      <w:lvlText w:val="•"/>
      <w:lvlJc w:val="left"/>
      <w:pPr>
        <w:ind w:left="2209" w:hanging="159"/>
      </w:pPr>
      <w:rPr>
        <w:rFonts w:hint="default"/>
        <w:lang w:val="en-US" w:eastAsia="zh-CN" w:bidi="ar-SA"/>
      </w:rPr>
    </w:lvl>
    <w:lvl w:ilvl="4">
      <w:start w:val="0"/>
      <w:numFmt w:val="bullet"/>
      <w:lvlText w:val="•"/>
      <w:lvlJc w:val="left"/>
      <w:pPr>
        <w:ind w:left="2859" w:hanging="159"/>
      </w:pPr>
      <w:rPr>
        <w:rFonts w:hint="default"/>
        <w:lang w:val="en-US" w:eastAsia="zh-CN" w:bidi="ar-SA"/>
      </w:rPr>
    </w:lvl>
    <w:lvl w:ilvl="5">
      <w:start w:val="0"/>
      <w:numFmt w:val="bullet"/>
      <w:lvlText w:val="•"/>
      <w:lvlJc w:val="left"/>
      <w:pPr>
        <w:ind w:left="3509" w:hanging="159"/>
      </w:pPr>
      <w:rPr>
        <w:rFonts w:hint="default"/>
        <w:lang w:val="en-US" w:eastAsia="zh-CN" w:bidi="ar-SA"/>
      </w:rPr>
    </w:lvl>
    <w:lvl w:ilvl="6">
      <w:start w:val="0"/>
      <w:numFmt w:val="bullet"/>
      <w:lvlText w:val="•"/>
      <w:lvlJc w:val="left"/>
      <w:pPr>
        <w:ind w:left="4158" w:hanging="159"/>
      </w:pPr>
      <w:rPr>
        <w:rFonts w:hint="default"/>
        <w:lang w:val="en-US" w:eastAsia="zh-CN" w:bidi="ar-SA"/>
      </w:rPr>
    </w:lvl>
    <w:lvl w:ilvl="7">
      <w:start w:val="0"/>
      <w:numFmt w:val="bullet"/>
      <w:lvlText w:val="•"/>
      <w:lvlJc w:val="left"/>
      <w:pPr>
        <w:ind w:left="4808" w:hanging="159"/>
      </w:pPr>
      <w:rPr>
        <w:rFonts w:hint="default"/>
        <w:lang w:val="en-US" w:eastAsia="zh-CN" w:bidi="ar-SA"/>
      </w:rPr>
    </w:lvl>
    <w:lvl w:ilvl="8">
      <w:start w:val="0"/>
      <w:numFmt w:val="bullet"/>
      <w:lvlText w:val="•"/>
      <w:lvlJc w:val="left"/>
      <w:pPr>
        <w:ind w:left="5458" w:hanging="159"/>
      </w:pPr>
      <w:rPr>
        <w:rFonts w:hint="default"/>
        <w:lang w:val="en-US" w:eastAsia="zh-CN" w:bidi="ar-SA"/>
      </w:rPr>
    </w:lvl>
  </w:abstractNum>
  <w:abstractNum w:abstractNumId="85">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84">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83">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82">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81">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80">
    <w:multiLevelType w:val="hybridMultilevel"/>
    <w:lvl w:ilvl="0">
      <w:start w:val="1"/>
      <w:numFmt w:val="decimal"/>
      <w:lvlText w:val="（%1）"/>
      <w:lvlJc w:val="left"/>
      <w:pPr>
        <w:ind w:left="2990" w:hanging="529"/>
        <w:jc w:val="left"/>
      </w:pPr>
      <w:rPr>
        <w:rFonts w:hint="default" w:ascii="宋体" w:hAnsi="宋体" w:eastAsia="宋体" w:cs="宋体"/>
        <w:b w:val="0"/>
        <w:bCs w:val="0"/>
        <w:i w:val="0"/>
        <w:iCs w:val="0"/>
        <w:spacing w:val="-97"/>
        <w:w w:val="100"/>
        <w:sz w:val="19"/>
        <w:szCs w:val="19"/>
        <w:lang w:val="en-US" w:eastAsia="zh-CN" w:bidi="ar-SA"/>
      </w:rPr>
    </w:lvl>
    <w:lvl w:ilvl="1">
      <w:start w:val="0"/>
      <w:numFmt w:val="bullet"/>
      <w:lvlText w:val="•"/>
      <w:lvlJc w:val="left"/>
      <w:pPr>
        <w:ind w:left="3754" w:hanging="529"/>
      </w:pPr>
      <w:rPr>
        <w:rFonts w:hint="default"/>
        <w:lang w:val="en-US" w:eastAsia="zh-CN" w:bidi="ar-SA"/>
      </w:rPr>
    </w:lvl>
    <w:lvl w:ilvl="2">
      <w:start w:val="0"/>
      <w:numFmt w:val="bullet"/>
      <w:lvlText w:val="•"/>
      <w:lvlJc w:val="left"/>
      <w:pPr>
        <w:ind w:left="4509" w:hanging="529"/>
      </w:pPr>
      <w:rPr>
        <w:rFonts w:hint="default"/>
        <w:lang w:val="en-US" w:eastAsia="zh-CN" w:bidi="ar-SA"/>
      </w:rPr>
    </w:lvl>
    <w:lvl w:ilvl="3">
      <w:start w:val="0"/>
      <w:numFmt w:val="bullet"/>
      <w:lvlText w:val="•"/>
      <w:lvlJc w:val="left"/>
      <w:pPr>
        <w:ind w:left="5263" w:hanging="529"/>
      </w:pPr>
      <w:rPr>
        <w:rFonts w:hint="default"/>
        <w:lang w:val="en-US" w:eastAsia="zh-CN" w:bidi="ar-SA"/>
      </w:rPr>
    </w:lvl>
    <w:lvl w:ilvl="4">
      <w:start w:val="0"/>
      <w:numFmt w:val="bullet"/>
      <w:lvlText w:val="•"/>
      <w:lvlJc w:val="left"/>
      <w:pPr>
        <w:ind w:left="6018" w:hanging="529"/>
      </w:pPr>
      <w:rPr>
        <w:rFonts w:hint="default"/>
        <w:lang w:val="en-US" w:eastAsia="zh-CN" w:bidi="ar-SA"/>
      </w:rPr>
    </w:lvl>
    <w:lvl w:ilvl="5">
      <w:start w:val="0"/>
      <w:numFmt w:val="bullet"/>
      <w:lvlText w:val="•"/>
      <w:lvlJc w:val="left"/>
      <w:pPr>
        <w:ind w:left="6773" w:hanging="529"/>
      </w:pPr>
      <w:rPr>
        <w:rFonts w:hint="default"/>
        <w:lang w:val="en-US" w:eastAsia="zh-CN" w:bidi="ar-SA"/>
      </w:rPr>
    </w:lvl>
    <w:lvl w:ilvl="6">
      <w:start w:val="0"/>
      <w:numFmt w:val="bullet"/>
      <w:lvlText w:val="•"/>
      <w:lvlJc w:val="left"/>
      <w:pPr>
        <w:ind w:left="7527" w:hanging="529"/>
      </w:pPr>
      <w:rPr>
        <w:rFonts w:hint="default"/>
        <w:lang w:val="en-US" w:eastAsia="zh-CN" w:bidi="ar-SA"/>
      </w:rPr>
    </w:lvl>
    <w:lvl w:ilvl="7">
      <w:start w:val="0"/>
      <w:numFmt w:val="bullet"/>
      <w:lvlText w:val="•"/>
      <w:lvlJc w:val="left"/>
      <w:pPr>
        <w:ind w:left="8282" w:hanging="529"/>
      </w:pPr>
      <w:rPr>
        <w:rFonts w:hint="default"/>
        <w:lang w:val="en-US" w:eastAsia="zh-CN" w:bidi="ar-SA"/>
      </w:rPr>
    </w:lvl>
    <w:lvl w:ilvl="8">
      <w:start w:val="0"/>
      <w:numFmt w:val="bullet"/>
      <w:lvlText w:val="•"/>
      <w:lvlJc w:val="left"/>
      <w:pPr>
        <w:ind w:left="9037" w:hanging="529"/>
      </w:pPr>
      <w:rPr>
        <w:rFonts w:hint="default"/>
        <w:lang w:val="en-US" w:eastAsia="zh-CN" w:bidi="ar-SA"/>
      </w:rPr>
    </w:lvl>
  </w:abstractNum>
  <w:abstractNum w:abstractNumId="79">
    <w:multiLevelType w:val="hybridMultilevel"/>
    <w:lvl w:ilvl="0">
      <w:start w:val="1"/>
      <w:numFmt w:val="decimal"/>
      <w:lvlText w:val="（%1）"/>
      <w:lvlJc w:val="left"/>
      <w:pPr>
        <w:ind w:left="3525"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222" w:hanging="536"/>
      </w:pPr>
      <w:rPr>
        <w:rFonts w:hint="default"/>
        <w:lang w:val="en-US" w:eastAsia="zh-CN" w:bidi="ar-SA"/>
      </w:rPr>
    </w:lvl>
    <w:lvl w:ilvl="2">
      <w:start w:val="0"/>
      <w:numFmt w:val="bullet"/>
      <w:lvlText w:val="•"/>
      <w:lvlJc w:val="left"/>
      <w:pPr>
        <w:ind w:left="4925" w:hanging="536"/>
      </w:pPr>
      <w:rPr>
        <w:rFonts w:hint="default"/>
        <w:lang w:val="en-US" w:eastAsia="zh-CN" w:bidi="ar-SA"/>
      </w:rPr>
    </w:lvl>
    <w:lvl w:ilvl="3">
      <w:start w:val="0"/>
      <w:numFmt w:val="bullet"/>
      <w:lvlText w:val="•"/>
      <w:lvlJc w:val="left"/>
      <w:pPr>
        <w:ind w:left="5627" w:hanging="536"/>
      </w:pPr>
      <w:rPr>
        <w:rFonts w:hint="default"/>
        <w:lang w:val="en-US" w:eastAsia="zh-CN" w:bidi="ar-SA"/>
      </w:rPr>
    </w:lvl>
    <w:lvl w:ilvl="4">
      <w:start w:val="0"/>
      <w:numFmt w:val="bullet"/>
      <w:lvlText w:val="•"/>
      <w:lvlJc w:val="left"/>
      <w:pPr>
        <w:ind w:left="6330" w:hanging="536"/>
      </w:pPr>
      <w:rPr>
        <w:rFonts w:hint="default"/>
        <w:lang w:val="en-US" w:eastAsia="zh-CN" w:bidi="ar-SA"/>
      </w:rPr>
    </w:lvl>
    <w:lvl w:ilvl="5">
      <w:start w:val="0"/>
      <w:numFmt w:val="bullet"/>
      <w:lvlText w:val="•"/>
      <w:lvlJc w:val="left"/>
      <w:pPr>
        <w:ind w:left="7033" w:hanging="536"/>
      </w:pPr>
      <w:rPr>
        <w:rFonts w:hint="default"/>
        <w:lang w:val="en-US" w:eastAsia="zh-CN" w:bidi="ar-SA"/>
      </w:rPr>
    </w:lvl>
    <w:lvl w:ilvl="6">
      <w:start w:val="0"/>
      <w:numFmt w:val="bullet"/>
      <w:lvlText w:val="•"/>
      <w:lvlJc w:val="left"/>
      <w:pPr>
        <w:ind w:left="7735" w:hanging="536"/>
      </w:pPr>
      <w:rPr>
        <w:rFonts w:hint="default"/>
        <w:lang w:val="en-US" w:eastAsia="zh-CN" w:bidi="ar-SA"/>
      </w:rPr>
    </w:lvl>
    <w:lvl w:ilvl="7">
      <w:start w:val="0"/>
      <w:numFmt w:val="bullet"/>
      <w:lvlText w:val="•"/>
      <w:lvlJc w:val="left"/>
      <w:pPr>
        <w:ind w:left="8438" w:hanging="536"/>
      </w:pPr>
      <w:rPr>
        <w:rFonts w:hint="default"/>
        <w:lang w:val="en-US" w:eastAsia="zh-CN" w:bidi="ar-SA"/>
      </w:rPr>
    </w:lvl>
    <w:lvl w:ilvl="8">
      <w:start w:val="0"/>
      <w:numFmt w:val="bullet"/>
      <w:lvlText w:val="•"/>
      <w:lvlJc w:val="left"/>
      <w:pPr>
        <w:ind w:left="9141" w:hanging="536"/>
      </w:pPr>
      <w:rPr>
        <w:rFonts w:hint="default"/>
        <w:lang w:val="en-US" w:eastAsia="zh-CN" w:bidi="ar-SA"/>
      </w:rPr>
    </w:lvl>
  </w:abstractNum>
  <w:abstractNum w:abstractNumId="78">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77">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10"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7" w:hanging="529"/>
      </w:pPr>
      <w:rPr>
        <w:rFonts w:hint="default"/>
        <w:lang w:val="en-US" w:eastAsia="zh-CN" w:bidi="ar-SA"/>
      </w:rPr>
    </w:lvl>
    <w:lvl w:ilvl="6">
      <w:start w:val="0"/>
      <w:numFmt w:val="bullet"/>
      <w:lvlText w:val="•"/>
      <w:lvlJc w:val="left"/>
      <w:pPr>
        <w:ind w:left="4920"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7" w:hanging="529"/>
      </w:pPr>
      <w:rPr>
        <w:rFonts w:hint="default"/>
        <w:lang w:val="en-US" w:eastAsia="zh-CN" w:bidi="ar-SA"/>
      </w:rPr>
    </w:lvl>
  </w:abstractNum>
  <w:abstractNum w:abstractNumId="76">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75">
    <w:multiLevelType w:val="hybridMultilevel"/>
    <w:lvl w:ilvl="0">
      <w:start w:val="1"/>
      <w:numFmt w:val="lowerLetter"/>
      <w:lvlText w:val="%1."/>
      <w:lvlJc w:val="left"/>
      <w:pPr>
        <w:ind w:left="2990" w:hanging="213"/>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3754" w:hanging="213"/>
      </w:pPr>
      <w:rPr>
        <w:rFonts w:hint="default"/>
        <w:lang w:val="en-US" w:eastAsia="zh-CN" w:bidi="ar-SA"/>
      </w:rPr>
    </w:lvl>
    <w:lvl w:ilvl="2">
      <w:start w:val="0"/>
      <w:numFmt w:val="bullet"/>
      <w:lvlText w:val="•"/>
      <w:lvlJc w:val="left"/>
      <w:pPr>
        <w:ind w:left="4509" w:hanging="213"/>
      </w:pPr>
      <w:rPr>
        <w:rFonts w:hint="default"/>
        <w:lang w:val="en-US" w:eastAsia="zh-CN" w:bidi="ar-SA"/>
      </w:rPr>
    </w:lvl>
    <w:lvl w:ilvl="3">
      <w:start w:val="0"/>
      <w:numFmt w:val="bullet"/>
      <w:lvlText w:val="•"/>
      <w:lvlJc w:val="left"/>
      <w:pPr>
        <w:ind w:left="5263" w:hanging="213"/>
      </w:pPr>
      <w:rPr>
        <w:rFonts w:hint="default"/>
        <w:lang w:val="en-US" w:eastAsia="zh-CN" w:bidi="ar-SA"/>
      </w:rPr>
    </w:lvl>
    <w:lvl w:ilvl="4">
      <w:start w:val="0"/>
      <w:numFmt w:val="bullet"/>
      <w:lvlText w:val="•"/>
      <w:lvlJc w:val="left"/>
      <w:pPr>
        <w:ind w:left="6018" w:hanging="213"/>
      </w:pPr>
      <w:rPr>
        <w:rFonts w:hint="default"/>
        <w:lang w:val="en-US" w:eastAsia="zh-CN" w:bidi="ar-SA"/>
      </w:rPr>
    </w:lvl>
    <w:lvl w:ilvl="5">
      <w:start w:val="0"/>
      <w:numFmt w:val="bullet"/>
      <w:lvlText w:val="•"/>
      <w:lvlJc w:val="left"/>
      <w:pPr>
        <w:ind w:left="6773" w:hanging="213"/>
      </w:pPr>
      <w:rPr>
        <w:rFonts w:hint="default"/>
        <w:lang w:val="en-US" w:eastAsia="zh-CN" w:bidi="ar-SA"/>
      </w:rPr>
    </w:lvl>
    <w:lvl w:ilvl="6">
      <w:start w:val="0"/>
      <w:numFmt w:val="bullet"/>
      <w:lvlText w:val="•"/>
      <w:lvlJc w:val="left"/>
      <w:pPr>
        <w:ind w:left="7527" w:hanging="213"/>
      </w:pPr>
      <w:rPr>
        <w:rFonts w:hint="default"/>
        <w:lang w:val="en-US" w:eastAsia="zh-CN" w:bidi="ar-SA"/>
      </w:rPr>
    </w:lvl>
    <w:lvl w:ilvl="7">
      <w:start w:val="0"/>
      <w:numFmt w:val="bullet"/>
      <w:lvlText w:val="•"/>
      <w:lvlJc w:val="left"/>
      <w:pPr>
        <w:ind w:left="8282" w:hanging="213"/>
      </w:pPr>
      <w:rPr>
        <w:rFonts w:hint="default"/>
        <w:lang w:val="en-US" w:eastAsia="zh-CN" w:bidi="ar-SA"/>
      </w:rPr>
    </w:lvl>
    <w:lvl w:ilvl="8">
      <w:start w:val="0"/>
      <w:numFmt w:val="bullet"/>
      <w:lvlText w:val="•"/>
      <w:lvlJc w:val="left"/>
      <w:pPr>
        <w:ind w:left="9037" w:hanging="213"/>
      </w:pPr>
      <w:rPr>
        <w:rFonts w:hint="default"/>
        <w:lang w:val="en-US" w:eastAsia="zh-CN" w:bidi="ar-SA"/>
      </w:rPr>
    </w:lvl>
  </w:abstractNum>
  <w:abstractNum w:abstractNumId="74">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73">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72">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71">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70">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12"/>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69">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68">
    <w:multiLevelType w:val="hybridMultilevel"/>
    <w:lvl w:ilvl="0">
      <w:start w:val="1"/>
      <w:numFmt w:val="decimal"/>
      <w:lvlText w:val="（%1）"/>
      <w:lvlJc w:val="left"/>
      <w:pPr>
        <w:ind w:left="809" w:hanging="632"/>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3202" w:hanging="213"/>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703" w:hanging="213"/>
      </w:pPr>
      <w:rPr>
        <w:rFonts w:hint="default"/>
        <w:lang w:val="en-US" w:eastAsia="zh-CN" w:bidi="ar-SA"/>
      </w:rPr>
    </w:lvl>
    <w:lvl w:ilvl="3">
      <w:start w:val="0"/>
      <w:numFmt w:val="bullet"/>
      <w:lvlText w:val="•"/>
      <w:lvlJc w:val="left"/>
      <w:pPr>
        <w:ind w:left="4207" w:hanging="213"/>
      </w:pPr>
      <w:rPr>
        <w:rFonts w:hint="default"/>
        <w:lang w:val="en-US" w:eastAsia="zh-CN" w:bidi="ar-SA"/>
      </w:rPr>
    </w:lvl>
    <w:lvl w:ilvl="4">
      <w:start w:val="0"/>
      <w:numFmt w:val="bullet"/>
      <w:lvlText w:val="•"/>
      <w:lvlJc w:val="left"/>
      <w:pPr>
        <w:ind w:left="4711" w:hanging="213"/>
      </w:pPr>
      <w:rPr>
        <w:rFonts w:hint="default"/>
        <w:lang w:val="en-US" w:eastAsia="zh-CN" w:bidi="ar-SA"/>
      </w:rPr>
    </w:lvl>
    <w:lvl w:ilvl="5">
      <w:start w:val="0"/>
      <w:numFmt w:val="bullet"/>
      <w:lvlText w:val="•"/>
      <w:lvlJc w:val="left"/>
      <w:pPr>
        <w:ind w:left="5215" w:hanging="213"/>
      </w:pPr>
      <w:rPr>
        <w:rFonts w:hint="default"/>
        <w:lang w:val="en-US" w:eastAsia="zh-CN" w:bidi="ar-SA"/>
      </w:rPr>
    </w:lvl>
    <w:lvl w:ilvl="6">
      <w:start w:val="0"/>
      <w:numFmt w:val="bullet"/>
      <w:lvlText w:val="•"/>
      <w:lvlJc w:val="left"/>
      <w:pPr>
        <w:ind w:left="5718" w:hanging="213"/>
      </w:pPr>
      <w:rPr>
        <w:rFonts w:hint="default"/>
        <w:lang w:val="en-US" w:eastAsia="zh-CN" w:bidi="ar-SA"/>
      </w:rPr>
    </w:lvl>
    <w:lvl w:ilvl="7">
      <w:start w:val="0"/>
      <w:numFmt w:val="bullet"/>
      <w:lvlText w:val="•"/>
      <w:lvlJc w:val="left"/>
      <w:pPr>
        <w:ind w:left="6222" w:hanging="213"/>
      </w:pPr>
      <w:rPr>
        <w:rFonts w:hint="default"/>
        <w:lang w:val="en-US" w:eastAsia="zh-CN" w:bidi="ar-SA"/>
      </w:rPr>
    </w:lvl>
    <w:lvl w:ilvl="8">
      <w:start w:val="0"/>
      <w:numFmt w:val="bullet"/>
      <w:lvlText w:val="•"/>
      <w:lvlJc w:val="left"/>
      <w:pPr>
        <w:ind w:left="6726" w:hanging="213"/>
      </w:pPr>
      <w:rPr>
        <w:rFonts w:hint="default"/>
        <w:lang w:val="en-US" w:eastAsia="zh-CN" w:bidi="ar-SA"/>
      </w:rPr>
    </w:lvl>
  </w:abstractNum>
  <w:abstractNum w:abstractNumId="67">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621" w:hanging="63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077" w:hanging="632"/>
      </w:pPr>
      <w:rPr>
        <w:rFonts w:hint="default"/>
        <w:lang w:val="en-US" w:eastAsia="zh-CN" w:bidi="ar-SA"/>
      </w:rPr>
    </w:lvl>
    <w:lvl w:ilvl="3">
      <w:start w:val="0"/>
      <w:numFmt w:val="bullet"/>
      <w:lvlText w:val="•"/>
      <w:lvlJc w:val="left"/>
      <w:pPr>
        <w:ind w:left="4534" w:hanging="632"/>
      </w:pPr>
      <w:rPr>
        <w:rFonts w:hint="default"/>
        <w:lang w:val="en-US" w:eastAsia="zh-CN" w:bidi="ar-SA"/>
      </w:rPr>
    </w:lvl>
    <w:lvl w:ilvl="4">
      <w:start w:val="0"/>
      <w:numFmt w:val="bullet"/>
      <w:lvlText w:val="•"/>
      <w:lvlJc w:val="left"/>
      <w:pPr>
        <w:ind w:left="4991" w:hanging="632"/>
      </w:pPr>
      <w:rPr>
        <w:rFonts w:hint="default"/>
        <w:lang w:val="en-US" w:eastAsia="zh-CN" w:bidi="ar-SA"/>
      </w:rPr>
    </w:lvl>
    <w:lvl w:ilvl="5">
      <w:start w:val="0"/>
      <w:numFmt w:val="bullet"/>
      <w:lvlText w:val="•"/>
      <w:lvlJc w:val="left"/>
      <w:pPr>
        <w:ind w:left="5448" w:hanging="632"/>
      </w:pPr>
      <w:rPr>
        <w:rFonts w:hint="default"/>
        <w:lang w:val="en-US" w:eastAsia="zh-CN" w:bidi="ar-SA"/>
      </w:rPr>
    </w:lvl>
    <w:lvl w:ilvl="6">
      <w:start w:val="0"/>
      <w:numFmt w:val="bullet"/>
      <w:lvlText w:val="•"/>
      <w:lvlJc w:val="left"/>
      <w:pPr>
        <w:ind w:left="5905" w:hanging="632"/>
      </w:pPr>
      <w:rPr>
        <w:rFonts w:hint="default"/>
        <w:lang w:val="en-US" w:eastAsia="zh-CN" w:bidi="ar-SA"/>
      </w:rPr>
    </w:lvl>
    <w:lvl w:ilvl="7">
      <w:start w:val="0"/>
      <w:numFmt w:val="bullet"/>
      <w:lvlText w:val="•"/>
      <w:lvlJc w:val="left"/>
      <w:pPr>
        <w:ind w:left="6362" w:hanging="632"/>
      </w:pPr>
      <w:rPr>
        <w:rFonts w:hint="default"/>
        <w:lang w:val="en-US" w:eastAsia="zh-CN" w:bidi="ar-SA"/>
      </w:rPr>
    </w:lvl>
    <w:lvl w:ilvl="8">
      <w:start w:val="0"/>
      <w:numFmt w:val="bullet"/>
      <w:lvlText w:val="•"/>
      <w:lvlJc w:val="left"/>
      <w:pPr>
        <w:ind w:left="6819" w:hanging="632"/>
      </w:pPr>
      <w:rPr>
        <w:rFonts w:hint="default"/>
        <w:lang w:val="en-US" w:eastAsia="zh-CN" w:bidi="ar-SA"/>
      </w:rPr>
    </w:lvl>
  </w:abstractNum>
  <w:abstractNum w:abstractNumId="66">
    <w:multiLevelType w:val="hybridMultilevel"/>
    <w:lvl w:ilvl="0">
      <w:start w:val="1"/>
      <w:numFmt w:val="decimal"/>
      <w:lvlText w:val="（%1）"/>
      <w:lvlJc w:val="left"/>
      <w:pPr>
        <w:ind w:left="2990" w:hanging="535"/>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754" w:hanging="535"/>
      </w:pPr>
      <w:rPr>
        <w:rFonts w:hint="default"/>
        <w:lang w:val="en-US" w:eastAsia="zh-CN" w:bidi="ar-SA"/>
      </w:rPr>
    </w:lvl>
    <w:lvl w:ilvl="2">
      <w:start w:val="0"/>
      <w:numFmt w:val="bullet"/>
      <w:lvlText w:val="•"/>
      <w:lvlJc w:val="left"/>
      <w:pPr>
        <w:ind w:left="4509" w:hanging="535"/>
      </w:pPr>
      <w:rPr>
        <w:rFonts w:hint="default"/>
        <w:lang w:val="en-US" w:eastAsia="zh-CN" w:bidi="ar-SA"/>
      </w:rPr>
    </w:lvl>
    <w:lvl w:ilvl="3">
      <w:start w:val="0"/>
      <w:numFmt w:val="bullet"/>
      <w:lvlText w:val="•"/>
      <w:lvlJc w:val="left"/>
      <w:pPr>
        <w:ind w:left="5263" w:hanging="535"/>
      </w:pPr>
      <w:rPr>
        <w:rFonts w:hint="default"/>
        <w:lang w:val="en-US" w:eastAsia="zh-CN" w:bidi="ar-SA"/>
      </w:rPr>
    </w:lvl>
    <w:lvl w:ilvl="4">
      <w:start w:val="0"/>
      <w:numFmt w:val="bullet"/>
      <w:lvlText w:val="•"/>
      <w:lvlJc w:val="left"/>
      <w:pPr>
        <w:ind w:left="6018" w:hanging="535"/>
      </w:pPr>
      <w:rPr>
        <w:rFonts w:hint="default"/>
        <w:lang w:val="en-US" w:eastAsia="zh-CN" w:bidi="ar-SA"/>
      </w:rPr>
    </w:lvl>
    <w:lvl w:ilvl="5">
      <w:start w:val="0"/>
      <w:numFmt w:val="bullet"/>
      <w:lvlText w:val="•"/>
      <w:lvlJc w:val="left"/>
      <w:pPr>
        <w:ind w:left="6773" w:hanging="535"/>
      </w:pPr>
      <w:rPr>
        <w:rFonts w:hint="default"/>
        <w:lang w:val="en-US" w:eastAsia="zh-CN" w:bidi="ar-SA"/>
      </w:rPr>
    </w:lvl>
    <w:lvl w:ilvl="6">
      <w:start w:val="0"/>
      <w:numFmt w:val="bullet"/>
      <w:lvlText w:val="•"/>
      <w:lvlJc w:val="left"/>
      <w:pPr>
        <w:ind w:left="7527" w:hanging="535"/>
      </w:pPr>
      <w:rPr>
        <w:rFonts w:hint="default"/>
        <w:lang w:val="en-US" w:eastAsia="zh-CN" w:bidi="ar-SA"/>
      </w:rPr>
    </w:lvl>
    <w:lvl w:ilvl="7">
      <w:start w:val="0"/>
      <w:numFmt w:val="bullet"/>
      <w:lvlText w:val="•"/>
      <w:lvlJc w:val="left"/>
      <w:pPr>
        <w:ind w:left="8282" w:hanging="535"/>
      </w:pPr>
      <w:rPr>
        <w:rFonts w:hint="default"/>
        <w:lang w:val="en-US" w:eastAsia="zh-CN" w:bidi="ar-SA"/>
      </w:rPr>
    </w:lvl>
    <w:lvl w:ilvl="8">
      <w:start w:val="0"/>
      <w:numFmt w:val="bullet"/>
      <w:lvlText w:val="•"/>
      <w:lvlJc w:val="left"/>
      <w:pPr>
        <w:ind w:left="9037" w:hanging="535"/>
      </w:pPr>
      <w:rPr>
        <w:rFonts w:hint="default"/>
        <w:lang w:val="en-US" w:eastAsia="zh-CN" w:bidi="ar-SA"/>
      </w:rPr>
    </w:lvl>
  </w:abstractNum>
  <w:abstractNum w:abstractNumId="65">
    <w:multiLevelType w:val="hybridMultilevel"/>
    <w:lvl w:ilvl="0">
      <w:start w:val="1"/>
      <w:numFmt w:val="decimal"/>
      <w:lvlText w:val="（%1）"/>
      <w:lvlJc w:val="left"/>
      <w:pPr>
        <w:ind w:left="2990"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754" w:hanging="536"/>
      </w:pPr>
      <w:rPr>
        <w:rFonts w:hint="default"/>
        <w:lang w:val="en-US" w:eastAsia="zh-CN" w:bidi="ar-SA"/>
      </w:rPr>
    </w:lvl>
    <w:lvl w:ilvl="2">
      <w:start w:val="0"/>
      <w:numFmt w:val="bullet"/>
      <w:lvlText w:val="•"/>
      <w:lvlJc w:val="left"/>
      <w:pPr>
        <w:ind w:left="4509" w:hanging="536"/>
      </w:pPr>
      <w:rPr>
        <w:rFonts w:hint="default"/>
        <w:lang w:val="en-US" w:eastAsia="zh-CN" w:bidi="ar-SA"/>
      </w:rPr>
    </w:lvl>
    <w:lvl w:ilvl="3">
      <w:start w:val="0"/>
      <w:numFmt w:val="bullet"/>
      <w:lvlText w:val="•"/>
      <w:lvlJc w:val="left"/>
      <w:pPr>
        <w:ind w:left="5263" w:hanging="536"/>
      </w:pPr>
      <w:rPr>
        <w:rFonts w:hint="default"/>
        <w:lang w:val="en-US" w:eastAsia="zh-CN" w:bidi="ar-SA"/>
      </w:rPr>
    </w:lvl>
    <w:lvl w:ilvl="4">
      <w:start w:val="0"/>
      <w:numFmt w:val="bullet"/>
      <w:lvlText w:val="•"/>
      <w:lvlJc w:val="left"/>
      <w:pPr>
        <w:ind w:left="6018" w:hanging="536"/>
      </w:pPr>
      <w:rPr>
        <w:rFonts w:hint="default"/>
        <w:lang w:val="en-US" w:eastAsia="zh-CN" w:bidi="ar-SA"/>
      </w:rPr>
    </w:lvl>
    <w:lvl w:ilvl="5">
      <w:start w:val="0"/>
      <w:numFmt w:val="bullet"/>
      <w:lvlText w:val="•"/>
      <w:lvlJc w:val="left"/>
      <w:pPr>
        <w:ind w:left="6773" w:hanging="536"/>
      </w:pPr>
      <w:rPr>
        <w:rFonts w:hint="default"/>
        <w:lang w:val="en-US" w:eastAsia="zh-CN" w:bidi="ar-SA"/>
      </w:rPr>
    </w:lvl>
    <w:lvl w:ilvl="6">
      <w:start w:val="0"/>
      <w:numFmt w:val="bullet"/>
      <w:lvlText w:val="•"/>
      <w:lvlJc w:val="left"/>
      <w:pPr>
        <w:ind w:left="7527" w:hanging="536"/>
      </w:pPr>
      <w:rPr>
        <w:rFonts w:hint="default"/>
        <w:lang w:val="en-US" w:eastAsia="zh-CN" w:bidi="ar-SA"/>
      </w:rPr>
    </w:lvl>
    <w:lvl w:ilvl="7">
      <w:start w:val="0"/>
      <w:numFmt w:val="bullet"/>
      <w:lvlText w:val="•"/>
      <w:lvlJc w:val="left"/>
      <w:pPr>
        <w:ind w:left="8282" w:hanging="536"/>
      </w:pPr>
      <w:rPr>
        <w:rFonts w:hint="default"/>
        <w:lang w:val="en-US" w:eastAsia="zh-CN" w:bidi="ar-SA"/>
      </w:rPr>
    </w:lvl>
    <w:lvl w:ilvl="8">
      <w:start w:val="0"/>
      <w:numFmt w:val="bullet"/>
      <w:lvlText w:val="•"/>
      <w:lvlJc w:val="left"/>
      <w:pPr>
        <w:ind w:left="9037" w:hanging="536"/>
      </w:pPr>
      <w:rPr>
        <w:rFonts w:hint="default"/>
        <w:lang w:val="en-US" w:eastAsia="zh-CN" w:bidi="ar-SA"/>
      </w:rPr>
    </w:lvl>
  </w:abstractNum>
  <w:abstractNum w:abstractNumId="64">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63">
    <w:multiLevelType w:val="hybridMultilevel"/>
    <w:lvl w:ilvl="0">
      <w:start w:val="1"/>
      <w:numFmt w:val="decimal"/>
      <w:lvlText w:val="（%1）"/>
      <w:lvlJc w:val="left"/>
      <w:pPr>
        <w:ind w:left="177" w:hanging="588"/>
        <w:jc w:val="left"/>
      </w:pPr>
      <w:rPr>
        <w:rFonts w:hint="default" w:ascii="宋体" w:hAnsi="宋体" w:eastAsia="宋体" w:cs="宋体"/>
        <w:b w:val="0"/>
        <w:bCs w:val="0"/>
        <w:i w:val="0"/>
        <w:iCs w:val="0"/>
        <w:spacing w:val="-84"/>
        <w:w w:val="100"/>
        <w:sz w:val="21"/>
        <w:szCs w:val="21"/>
        <w:lang w:val="en-US" w:eastAsia="zh-CN" w:bidi="ar-SA"/>
      </w:rPr>
    </w:lvl>
    <w:lvl w:ilvl="1">
      <w:start w:val="0"/>
      <w:numFmt w:val="bullet"/>
      <w:lvlText w:val="•"/>
      <w:lvlJc w:val="left"/>
      <w:pPr>
        <w:ind w:left="935" w:hanging="588"/>
      </w:pPr>
      <w:rPr>
        <w:rFonts w:hint="default"/>
        <w:lang w:val="en-US" w:eastAsia="zh-CN" w:bidi="ar-SA"/>
      </w:rPr>
    </w:lvl>
    <w:lvl w:ilvl="2">
      <w:start w:val="0"/>
      <w:numFmt w:val="bullet"/>
      <w:lvlText w:val="•"/>
      <w:lvlJc w:val="left"/>
      <w:pPr>
        <w:ind w:left="1690" w:hanging="588"/>
      </w:pPr>
      <w:rPr>
        <w:rFonts w:hint="default"/>
        <w:lang w:val="en-US" w:eastAsia="zh-CN" w:bidi="ar-SA"/>
      </w:rPr>
    </w:lvl>
    <w:lvl w:ilvl="3">
      <w:start w:val="0"/>
      <w:numFmt w:val="bullet"/>
      <w:lvlText w:val="•"/>
      <w:lvlJc w:val="left"/>
      <w:pPr>
        <w:ind w:left="2445" w:hanging="588"/>
      </w:pPr>
      <w:rPr>
        <w:rFonts w:hint="default"/>
        <w:lang w:val="en-US" w:eastAsia="zh-CN" w:bidi="ar-SA"/>
      </w:rPr>
    </w:lvl>
    <w:lvl w:ilvl="4">
      <w:start w:val="0"/>
      <w:numFmt w:val="bullet"/>
      <w:lvlText w:val="•"/>
      <w:lvlJc w:val="left"/>
      <w:pPr>
        <w:ind w:left="3201" w:hanging="588"/>
      </w:pPr>
      <w:rPr>
        <w:rFonts w:hint="default"/>
        <w:lang w:val="en-US" w:eastAsia="zh-CN" w:bidi="ar-SA"/>
      </w:rPr>
    </w:lvl>
    <w:lvl w:ilvl="5">
      <w:start w:val="0"/>
      <w:numFmt w:val="bullet"/>
      <w:lvlText w:val="•"/>
      <w:lvlJc w:val="left"/>
      <w:pPr>
        <w:ind w:left="3956" w:hanging="588"/>
      </w:pPr>
      <w:rPr>
        <w:rFonts w:hint="default"/>
        <w:lang w:val="en-US" w:eastAsia="zh-CN" w:bidi="ar-SA"/>
      </w:rPr>
    </w:lvl>
    <w:lvl w:ilvl="6">
      <w:start w:val="0"/>
      <w:numFmt w:val="bullet"/>
      <w:lvlText w:val="•"/>
      <w:lvlJc w:val="left"/>
      <w:pPr>
        <w:ind w:left="4711" w:hanging="588"/>
      </w:pPr>
      <w:rPr>
        <w:rFonts w:hint="default"/>
        <w:lang w:val="en-US" w:eastAsia="zh-CN" w:bidi="ar-SA"/>
      </w:rPr>
    </w:lvl>
    <w:lvl w:ilvl="7">
      <w:start w:val="0"/>
      <w:numFmt w:val="bullet"/>
      <w:lvlText w:val="•"/>
      <w:lvlJc w:val="left"/>
      <w:pPr>
        <w:ind w:left="5467" w:hanging="588"/>
      </w:pPr>
      <w:rPr>
        <w:rFonts w:hint="default"/>
        <w:lang w:val="en-US" w:eastAsia="zh-CN" w:bidi="ar-SA"/>
      </w:rPr>
    </w:lvl>
    <w:lvl w:ilvl="8">
      <w:start w:val="0"/>
      <w:numFmt w:val="bullet"/>
      <w:lvlText w:val="•"/>
      <w:lvlJc w:val="left"/>
      <w:pPr>
        <w:ind w:left="6222" w:hanging="588"/>
      </w:pPr>
      <w:rPr>
        <w:rFonts w:hint="default"/>
        <w:lang w:val="en-US" w:eastAsia="zh-CN" w:bidi="ar-SA"/>
      </w:rPr>
    </w:lvl>
  </w:abstractNum>
  <w:abstractNum w:abstractNumId="62">
    <w:multiLevelType w:val="hybridMultilevel"/>
    <w:lvl w:ilvl="0">
      <w:start w:val="1"/>
      <w:numFmt w:val="decimal"/>
      <w:lvlText w:val="（%1）"/>
      <w:lvlJc w:val="left"/>
      <w:pPr>
        <w:ind w:left="70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09"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6" w:hanging="529"/>
      </w:pPr>
      <w:rPr>
        <w:rFonts w:hint="default"/>
        <w:lang w:val="en-US" w:eastAsia="zh-CN" w:bidi="ar-SA"/>
      </w:rPr>
    </w:lvl>
    <w:lvl w:ilvl="6">
      <w:start w:val="0"/>
      <w:numFmt w:val="bullet"/>
      <w:lvlText w:val="•"/>
      <w:lvlJc w:val="left"/>
      <w:pPr>
        <w:ind w:left="4919"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6" w:hanging="529"/>
      </w:pPr>
      <w:rPr>
        <w:rFonts w:hint="default"/>
        <w:lang w:val="en-US" w:eastAsia="zh-CN" w:bidi="ar-SA"/>
      </w:rPr>
    </w:lvl>
  </w:abstractNum>
  <w:abstractNum w:abstractNumId="61">
    <w:multiLevelType w:val="hybridMultilevel"/>
    <w:lvl w:ilvl="0">
      <w:start w:val="1"/>
      <w:numFmt w:val="decimal"/>
      <w:lvlText w:val="（%1）"/>
      <w:lvlJc w:val="left"/>
      <w:pPr>
        <w:ind w:left="70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09"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6" w:hanging="529"/>
      </w:pPr>
      <w:rPr>
        <w:rFonts w:hint="default"/>
        <w:lang w:val="en-US" w:eastAsia="zh-CN" w:bidi="ar-SA"/>
      </w:rPr>
    </w:lvl>
    <w:lvl w:ilvl="6">
      <w:start w:val="0"/>
      <w:numFmt w:val="bullet"/>
      <w:lvlText w:val="•"/>
      <w:lvlJc w:val="left"/>
      <w:pPr>
        <w:ind w:left="4919"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6" w:hanging="529"/>
      </w:pPr>
      <w:rPr>
        <w:rFonts w:hint="default"/>
        <w:lang w:val="en-US" w:eastAsia="zh-CN" w:bidi="ar-SA"/>
      </w:rPr>
    </w:lvl>
  </w:abstractNum>
  <w:abstractNum w:abstractNumId="60">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10"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7" w:hanging="529"/>
      </w:pPr>
      <w:rPr>
        <w:rFonts w:hint="default"/>
        <w:lang w:val="en-US" w:eastAsia="zh-CN" w:bidi="ar-SA"/>
      </w:rPr>
    </w:lvl>
    <w:lvl w:ilvl="6">
      <w:start w:val="0"/>
      <w:numFmt w:val="bullet"/>
      <w:lvlText w:val="•"/>
      <w:lvlJc w:val="left"/>
      <w:pPr>
        <w:ind w:left="4920"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7" w:hanging="529"/>
      </w:pPr>
      <w:rPr>
        <w:rFonts w:hint="default"/>
        <w:lang w:val="en-US" w:eastAsia="zh-CN" w:bidi="ar-SA"/>
      </w:rPr>
    </w:lvl>
  </w:abstractNum>
  <w:abstractNum w:abstractNumId="59">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10"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7" w:hanging="529"/>
      </w:pPr>
      <w:rPr>
        <w:rFonts w:hint="default"/>
        <w:lang w:val="en-US" w:eastAsia="zh-CN" w:bidi="ar-SA"/>
      </w:rPr>
    </w:lvl>
    <w:lvl w:ilvl="6">
      <w:start w:val="0"/>
      <w:numFmt w:val="bullet"/>
      <w:lvlText w:val="•"/>
      <w:lvlJc w:val="left"/>
      <w:pPr>
        <w:ind w:left="4920"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7" w:hanging="529"/>
      </w:pPr>
      <w:rPr>
        <w:rFonts w:hint="default"/>
        <w:lang w:val="en-US" w:eastAsia="zh-CN" w:bidi="ar-SA"/>
      </w:rPr>
    </w:lvl>
  </w:abstractNum>
  <w:abstractNum w:abstractNumId="58">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2990" w:hanging="535"/>
        <w:jc w:val="left"/>
      </w:pPr>
      <w:rPr>
        <w:rFonts w:hint="default" w:ascii="宋体" w:hAnsi="宋体" w:eastAsia="宋体" w:cs="宋体"/>
        <w:b w:val="0"/>
        <w:bCs w:val="0"/>
        <w:i w:val="0"/>
        <w:iCs w:val="0"/>
        <w:spacing w:val="2"/>
        <w:w w:val="100"/>
        <w:sz w:val="19"/>
        <w:szCs w:val="19"/>
        <w:lang w:val="en-US" w:eastAsia="zh-CN" w:bidi="ar-SA"/>
      </w:rPr>
    </w:lvl>
    <w:lvl w:ilvl="2">
      <w:start w:val="1"/>
      <w:numFmt w:val="decimal"/>
      <w:lvlText w:val="（%3）"/>
      <w:lvlJc w:val="left"/>
      <w:pPr>
        <w:ind w:left="362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134" w:hanging="529"/>
      </w:pPr>
      <w:rPr>
        <w:rFonts w:hint="default"/>
        <w:lang w:val="en-US" w:eastAsia="zh-CN" w:bidi="ar-SA"/>
      </w:rPr>
    </w:lvl>
    <w:lvl w:ilvl="4">
      <w:start w:val="0"/>
      <w:numFmt w:val="bullet"/>
      <w:lvlText w:val="•"/>
      <w:lvlJc w:val="left"/>
      <w:pPr>
        <w:ind w:left="4648" w:hanging="529"/>
      </w:pPr>
      <w:rPr>
        <w:rFonts w:hint="default"/>
        <w:lang w:val="en-US" w:eastAsia="zh-CN" w:bidi="ar-SA"/>
      </w:rPr>
    </w:lvl>
    <w:lvl w:ilvl="5">
      <w:start w:val="0"/>
      <w:numFmt w:val="bullet"/>
      <w:lvlText w:val="•"/>
      <w:lvlJc w:val="left"/>
      <w:pPr>
        <w:ind w:left="5162" w:hanging="529"/>
      </w:pPr>
      <w:rPr>
        <w:rFonts w:hint="default"/>
        <w:lang w:val="en-US" w:eastAsia="zh-CN" w:bidi="ar-SA"/>
      </w:rPr>
    </w:lvl>
    <w:lvl w:ilvl="6">
      <w:start w:val="0"/>
      <w:numFmt w:val="bullet"/>
      <w:lvlText w:val="•"/>
      <w:lvlJc w:val="left"/>
      <w:pPr>
        <w:ind w:left="5677" w:hanging="529"/>
      </w:pPr>
      <w:rPr>
        <w:rFonts w:hint="default"/>
        <w:lang w:val="en-US" w:eastAsia="zh-CN" w:bidi="ar-SA"/>
      </w:rPr>
    </w:lvl>
    <w:lvl w:ilvl="7">
      <w:start w:val="0"/>
      <w:numFmt w:val="bullet"/>
      <w:lvlText w:val="•"/>
      <w:lvlJc w:val="left"/>
      <w:pPr>
        <w:ind w:left="6191" w:hanging="529"/>
      </w:pPr>
      <w:rPr>
        <w:rFonts w:hint="default"/>
        <w:lang w:val="en-US" w:eastAsia="zh-CN" w:bidi="ar-SA"/>
      </w:rPr>
    </w:lvl>
    <w:lvl w:ilvl="8">
      <w:start w:val="0"/>
      <w:numFmt w:val="bullet"/>
      <w:lvlText w:val="•"/>
      <w:lvlJc w:val="left"/>
      <w:pPr>
        <w:ind w:left="6705" w:hanging="529"/>
      </w:pPr>
      <w:rPr>
        <w:rFonts w:hint="default"/>
        <w:lang w:val="en-US" w:eastAsia="zh-CN" w:bidi="ar-SA"/>
      </w:rPr>
    </w:lvl>
  </w:abstractNum>
  <w:abstractNum w:abstractNumId="57">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56">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43" w:hanging="553"/>
        <w:jc w:val="left"/>
      </w:pPr>
      <w:rPr>
        <w:rFonts w:hint="default"/>
        <w:w w:val="100"/>
        <w:lang w:val="en-US" w:eastAsia="zh-CN" w:bidi="ar-SA"/>
      </w:rPr>
    </w:lvl>
    <w:lvl w:ilvl="2">
      <w:start w:val="0"/>
      <w:numFmt w:val="bullet"/>
      <w:lvlText w:val="•"/>
      <w:lvlJc w:val="left"/>
      <w:pPr>
        <w:ind w:left="4006" w:hanging="553"/>
      </w:pPr>
      <w:rPr>
        <w:rFonts w:hint="default"/>
        <w:lang w:val="en-US" w:eastAsia="zh-CN" w:bidi="ar-SA"/>
      </w:rPr>
    </w:lvl>
    <w:lvl w:ilvl="3">
      <w:start w:val="0"/>
      <w:numFmt w:val="bullet"/>
      <w:lvlText w:val="•"/>
      <w:lvlJc w:val="left"/>
      <w:pPr>
        <w:ind w:left="4472" w:hanging="553"/>
      </w:pPr>
      <w:rPr>
        <w:rFonts w:hint="default"/>
        <w:lang w:val="en-US" w:eastAsia="zh-CN" w:bidi="ar-SA"/>
      </w:rPr>
    </w:lvl>
    <w:lvl w:ilvl="4">
      <w:start w:val="0"/>
      <w:numFmt w:val="bullet"/>
      <w:lvlText w:val="•"/>
      <w:lvlJc w:val="left"/>
      <w:pPr>
        <w:ind w:left="4938" w:hanging="553"/>
      </w:pPr>
      <w:rPr>
        <w:rFonts w:hint="default"/>
        <w:lang w:val="en-US" w:eastAsia="zh-CN" w:bidi="ar-SA"/>
      </w:rPr>
    </w:lvl>
    <w:lvl w:ilvl="5">
      <w:start w:val="0"/>
      <w:numFmt w:val="bullet"/>
      <w:lvlText w:val="•"/>
      <w:lvlJc w:val="left"/>
      <w:pPr>
        <w:ind w:left="5404" w:hanging="553"/>
      </w:pPr>
      <w:rPr>
        <w:rFonts w:hint="default"/>
        <w:lang w:val="en-US" w:eastAsia="zh-CN" w:bidi="ar-SA"/>
      </w:rPr>
    </w:lvl>
    <w:lvl w:ilvl="6">
      <w:start w:val="0"/>
      <w:numFmt w:val="bullet"/>
      <w:lvlText w:val="•"/>
      <w:lvlJc w:val="left"/>
      <w:pPr>
        <w:ind w:left="5870" w:hanging="553"/>
      </w:pPr>
      <w:rPr>
        <w:rFonts w:hint="default"/>
        <w:lang w:val="en-US" w:eastAsia="zh-CN" w:bidi="ar-SA"/>
      </w:rPr>
    </w:lvl>
    <w:lvl w:ilvl="7">
      <w:start w:val="0"/>
      <w:numFmt w:val="bullet"/>
      <w:lvlText w:val="•"/>
      <w:lvlJc w:val="left"/>
      <w:pPr>
        <w:ind w:left="6336" w:hanging="553"/>
      </w:pPr>
      <w:rPr>
        <w:rFonts w:hint="default"/>
        <w:lang w:val="en-US" w:eastAsia="zh-CN" w:bidi="ar-SA"/>
      </w:rPr>
    </w:lvl>
    <w:lvl w:ilvl="8">
      <w:start w:val="0"/>
      <w:numFmt w:val="bullet"/>
      <w:lvlText w:val="•"/>
      <w:lvlJc w:val="left"/>
      <w:pPr>
        <w:ind w:left="6802" w:hanging="553"/>
      </w:pPr>
      <w:rPr>
        <w:rFonts w:hint="default"/>
        <w:lang w:val="en-US" w:eastAsia="zh-CN" w:bidi="ar-SA"/>
      </w:rPr>
    </w:lvl>
  </w:abstractNum>
  <w:abstractNum w:abstractNumId="55">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54">
    <w:multiLevelType w:val="hybridMultilevel"/>
    <w:lvl w:ilvl="0">
      <w:start w:val="3"/>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position w:val="1"/>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53">
    <w:multiLevelType w:val="hybridMultilevel"/>
    <w:lvl w:ilvl="0">
      <w:start w:val="1"/>
      <w:numFmt w:val="decimal"/>
      <w:lvlText w:val="（%1）"/>
      <w:lvlJc w:val="left"/>
      <w:pPr>
        <w:ind w:left="178" w:hanging="535"/>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935" w:hanging="535"/>
      </w:pPr>
      <w:rPr>
        <w:rFonts w:hint="default"/>
        <w:lang w:val="en-US" w:eastAsia="zh-CN" w:bidi="ar-SA"/>
      </w:rPr>
    </w:lvl>
    <w:lvl w:ilvl="2">
      <w:start w:val="0"/>
      <w:numFmt w:val="bullet"/>
      <w:lvlText w:val="•"/>
      <w:lvlJc w:val="left"/>
      <w:pPr>
        <w:ind w:left="1690" w:hanging="535"/>
      </w:pPr>
      <w:rPr>
        <w:rFonts w:hint="default"/>
        <w:lang w:val="en-US" w:eastAsia="zh-CN" w:bidi="ar-SA"/>
      </w:rPr>
    </w:lvl>
    <w:lvl w:ilvl="3">
      <w:start w:val="0"/>
      <w:numFmt w:val="bullet"/>
      <w:lvlText w:val="•"/>
      <w:lvlJc w:val="left"/>
      <w:pPr>
        <w:ind w:left="2446" w:hanging="535"/>
      </w:pPr>
      <w:rPr>
        <w:rFonts w:hint="default"/>
        <w:lang w:val="en-US" w:eastAsia="zh-CN" w:bidi="ar-SA"/>
      </w:rPr>
    </w:lvl>
    <w:lvl w:ilvl="4">
      <w:start w:val="0"/>
      <w:numFmt w:val="bullet"/>
      <w:lvlText w:val="•"/>
      <w:lvlJc w:val="left"/>
      <w:pPr>
        <w:ind w:left="3201" w:hanging="535"/>
      </w:pPr>
      <w:rPr>
        <w:rFonts w:hint="default"/>
        <w:lang w:val="en-US" w:eastAsia="zh-CN" w:bidi="ar-SA"/>
      </w:rPr>
    </w:lvl>
    <w:lvl w:ilvl="5">
      <w:start w:val="0"/>
      <w:numFmt w:val="bullet"/>
      <w:lvlText w:val="•"/>
      <w:lvlJc w:val="left"/>
      <w:pPr>
        <w:ind w:left="3957" w:hanging="535"/>
      </w:pPr>
      <w:rPr>
        <w:rFonts w:hint="default"/>
        <w:lang w:val="en-US" w:eastAsia="zh-CN" w:bidi="ar-SA"/>
      </w:rPr>
    </w:lvl>
    <w:lvl w:ilvl="6">
      <w:start w:val="0"/>
      <w:numFmt w:val="bullet"/>
      <w:lvlText w:val="•"/>
      <w:lvlJc w:val="left"/>
      <w:pPr>
        <w:ind w:left="4712" w:hanging="535"/>
      </w:pPr>
      <w:rPr>
        <w:rFonts w:hint="default"/>
        <w:lang w:val="en-US" w:eastAsia="zh-CN" w:bidi="ar-SA"/>
      </w:rPr>
    </w:lvl>
    <w:lvl w:ilvl="7">
      <w:start w:val="0"/>
      <w:numFmt w:val="bullet"/>
      <w:lvlText w:val="•"/>
      <w:lvlJc w:val="left"/>
      <w:pPr>
        <w:ind w:left="5467" w:hanging="535"/>
      </w:pPr>
      <w:rPr>
        <w:rFonts w:hint="default"/>
        <w:lang w:val="en-US" w:eastAsia="zh-CN" w:bidi="ar-SA"/>
      </w:rPr>
    </w:lvl>
    <w:lvl w:ilvl="8">
      <w:start w:val="0"/>
      <w:numFmt w:val="bullet"/>
      <w:lvlText w:val="•"/>
      <w:lvlJc w:val="left"/>
      <w:pPr>
        <w:ind w:left="6223" w:hanging="535"/>
      </w:pPr>
      <w:rPr>
        <w:rFonts w:hint="default"/>
        <w:lang w:val="en-US" w:eastAsia="zh-CN" w:bidi="ar-SA"/>
      </w:rPr>
    </w:lvl>
  </w:abstractNum>
  <w:abstractNum w:abstractNumId="52">
    <w:multiLevelType w:val="hybridMultilevel"/>
    <w:lvl w:ilvl="0">
      <w:start w:val="1"/>
      <w:numFmt w:val="decimal"/>
      <w:lvlText w:val="（%1）"/>
      <w:lvlJc w:val="left"/>
      <w:pPr>
        <w:ind w:left="178" w:hanging="535"/>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935" w:hanging="535"/>
      </w:pPr>
      <w:rPr>
        <w:rFonts w:hint="default"/>
        <w:lang w:val="en-US" w:eastAsia="zh-CN" w:bidi="ar-SA"/>
      </w:rPr>
    </w:lvl>
    <w:lvl w:ilvl="2">
      <w:start w:val="0"/>
      <w:numFmt w:val="bullet"/>
      <w:lvlText w:val="•"/>
      <w:lvlJc w:val="left"/>
      <w:pPr>
        <w:ind w:left="1690" w:hanging="535"/>
      </w:pPr>
      <w:rPr>
        <w:rFonts w:hint="default"/>
        <w:lang w:val="en-US" w:eastAsia="zh-CN" w:bidi="ar-SA"/>
      </w:rPr>
    </w:lvl>
    <w:lvl w:ilvl="3">
      <w:start w:val="0"/>
      <w:numFmt w:val="bullet"/>
      <w:lvlText w:val="•"/>
      <w:lvlJc w:val="left"/>
      <w:pPr>
        <w:ind w:left="2446" w:hanging="535"/>
      </w:pPr>
      <w:rPr>
        <w:rFonts w:hint="default"/>
        <w:lang w:val="en-US" w:eastAsia="zh-CN" w:bidi="ar-SA"/>
      </w:rPr>
    </w:lvl>
    <w:lvl w:ilvl="4">
      <w:start w:val="0"/>
      <w:numFmt w:val="bullet"/>
      <w:lvlText w:val="•"/>
      <w:lvlJc w:val="left"/>
      <w:pPr>
        <w:ind w:left="3201" w:hanging="535"/>
      </w:pPr>
      <w:rPr>
        <w:rFonts w:hint="default"/>
        <w:lang w:val="en-US" w:eastAsia="zh-CN" w:bidi="ar-SA"/>
      </w:rPr>
    </w:lvl>
    <w:lvl w:ilvl="5">
      <w:start w:val="0"/>
      <w:numFmt w:val="bullet"/>
      <w:lvlText w:val="•"/>
      <w:lvlJc w:val="left"/>
      <w:pPr>
        <w:ind w:left="3957" w:hanging="535"/>
      </w:pPr>
      <w:rPr>
        <w:rFonts w:hint="default"/>
        <w:lang w:val="en-US" w:eastAsia="zh-CN" w:bidi="ar-SA"/>
      </w:rPr>
    </w:lvl>
    <w:lvl w:ilvl="6">
      <w:start w:val="0"/>
      <w:numFmt w:val="bullet"/>
      <w:lvlText w:val="•"/>
      <w:lvlJc w:val="left"/>
      <w:pPr>
        <w:ind w:left="4712" w:hanging="535"/>
      </w:pPr>
      <w:rPr>
        <w:rFonts w:hint="default"/>
        <w:lang w:val="en-US" w:eastAsia="zh-CN" w:bidi="ar-SA"/>
      </w:rPr>
    </w:lvl>
    <w:lvl w:ilvl="7">
      <w:start w:val="0"/>
      <w:numFmt w:val="bullet"/>
      <w:lvlText w:val="•"/>
      <w:lvlJc w:val="left"/>
      <w:pPr>
        <w:ind w:left="5467" w:hanging="535"/>
      </w:pPr>
      <w:rPr>
        <w:rFonts w:hint="default"/>
        <w:lang w:val="en-US" w:eastAsia="zh-CN" w:bidi="ar-SA"/>
      </w:rPr>
    </w:lvl>
    <w:lvl w:ilvl="8">
      <w:start w:val="0"/>
      <w:numFmt w:val="bullet"/>
      <w:lvlText w:val="•"/>
      <w:lvlJc w:val="left"/>
      <w:pPr>
        <w:ind w:left="6223" w:hanging="535"/>
      </w:pPr>
      <w:rPr>
        <w:rFonts w:hint="default"/>
        <w:lang w:val="en-US" w:eastAsia="zh-CN" w:bidi="ar-SA"/>
      </w:rPr>
    </w:lvl>
  </w:abstractNum>
  <w:abstractNum w:abstractNumId="51">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1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50">
    <w:multiLevelType w:val="hybridMultilevel"/>
    <w:lvl w:ilvl="0">
      <w:start w:val="4"/>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spacing w:val="-3"/>
        <w:w w:val="100"/>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49">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10"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7" w:hanging="529"/>
      </w:pPr>
      <w:rPr>
        <w:rFonts w:hint="default"/>
        <w:lang w:val="en-US" w:eastAsia="zh-CN" w:bidi="ar-SA"/>
      </w:rPr>
    </w:lvl>
    <w:lvl w:ilvl="6">
      <w:start w:val="0"/>
      <w:numFmt w:val="bullet"/>
      <w:lvlText w:val="•"/>
      <w:lvlJc w:val="left"/>
      <w:pPr>
        <w:ind w:left="4920"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7" w:hanging="529"/>
      </w:pPr>
      <w:rPr>
        <w:rFonts w:hint="default"/>
        <w:lang w:val="en-US" w:eastAsia="zh-CN" w:bidi="ar-SA"/>
      </w:rPr>
    </w:lvl>
  </w:abstractNum>
  <w:abstractNum w:abstractNumId="48">
    <w:multiLevelType w:val="hybridMultilevel"/>
    <w:lvl w:ilvl="0">
      <w:start w:val="1"/>
      <w:numFmt w:val="decimal"/>
      <w:lvlText w:val="（%1）"/>
      <w:lvlJc w:val="left"/>
      <w:pPr>
        <w:ind w:left="713" w:hanging="535"/>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421" w:hanging="535"/>
      </w:pPr>
      <w:rPr>
        <w:rFonts w:hint="default"/>
        <w:lang w:val="en-US" w:eastAsia="zh-CN" w:bidi="ar-SA"/>
      </w:rPr>
    </w:lvl>
    <w:lvl w:ilvl="2">
      <w:start w:val="0"/>
      <w:numFmt w:val="bullet"/>
      <w:lvlText w:val="•"/>
      <w:lvlJc w:val="left"/>
      <w:pPr>
        <w:ind w:left="2122" w:hanging="535"/>
      </w:pPr>
      <w:rPr>
        <w:rFonts w:hint="default"/>
        <w:lang w:val="en-US" w:eastAsia="zh-CN" w:bidi="ar-SA"/>
      </w:rPr>
    </w:lvl>
    <w:lvl w:ilvl="3">
      <w:start w:val="0"/>
      <w:numFmt w:val="bullet"/>
      <w:lvlText w:val="•"/>
      <w:lvlJc w:val="left"/>
      <w:pPr>
        <w:ind w:left="2824" w:hanging="535"/>
      </w:pPr>
      <w:rPr>
        <w:rFonts w:hint="default"/>
        <w:lang w:val="en-US" w:eastAsia="zh-CN" w:bidi="ar-SA"/>
      </w:rPr>
    </w:lvl>
    <w:lvl w:ilvl="4">
      <w:start w:val="0"/>
      <w:numFmt w:val="bullet"/>
      <w:lvlText w:val="•"/>
      <w:lvlJc w:val="left"/>
      <w:pPr>
        <w:ind w:left="3525" w:hanging="535"/>
      </w:pPr>
      <w:rPr>
        <w:rFonts w:hint="default"/>
        <w:lang w:val="en-US" w:eastAsia="zh-CN" w:bidi="ar-SA"/>
      </w:rPr>
    </w:lvl>
    <w:lvl w:ilvl="5">
      <w:start w:val="0"/>
      <w:numFmt w:val="bullet"/>
      <w:lvlText w:val="•"/>
      <w:lvlJc w:val="left"/>
      <w:pPr>
        <w:ind w:left="4227" w:hanging="535"/>
      </w:pPr>
      <w:rPr>
        <w:rFonts w:hint="default"/>
        <w:lang w:val="en-US" w:eastAsia="zh-CN" w:bidi="ar-SA"/>
      </w:rPr>
    </w:lvl>
    <w:lvl w:ilvl="6">
      <w:start w:val="0"/>
      <w:numFmt w:val="bullet"/>
      <w:lvlText w:val="•"/>
      <w:lvlJc w:val="left"/>
      <w:pPr>
        <w:ind w:left="4928" w:hanging="535"/>
      </w:pPr>
      <w:rPr>
        <w:rFonts w:hint="default"/>
        <w:lang w:val="en-US" w:eastAsia="zh-CN" w:bidi="ar-SA"/>
      </w:rPr>
    </w:lvl>
    <w:lvl w:ilvl="7">
      <w:start w:val="0"/>
      <w:numFmt w:val="bullet"/>
      <w:lvlText w:val="•"/>
      <w:lvlJc w:val="left"/>
      <w:pPr>
        <w:ind w:left="5629" w:hanging="535"/>
      </w:pPr>
      <w:rPr>
        <w:rFonts w:hint="default"/>
        <w:lang w:val="en-US" w:eastAsia="zh-CN" w:bidi="ar-SA"/>
      </w:rPr>
    </w:lvl>
    <w:lvl w:ilvl="8">
      <w:start w:val="0"/>
      <w:numFmt w:val="bullet"/>
      <w:lvlText w:val="•"/>
      <w:lvlJc w:val="left"/>
      <w:pPr>
        <w:ind w:left="6331" w:hanging="535"/>
      </w:pPr>
      <w:rPr>
        <w:rFonts w:hint="default"/>
        <w:lang w:val="en-US" w:eastAsia="zh-CN" w:bidi="ar-SA"/>
      </w:rPr>
    </w:lvl>
  </w:abstractNum>
  <w:abstractNum w:abstractNumId="47">
    <w:multiLevelType w:val="hybridMultilevel"/>
    <w:lvl w:ilvl="0">
      <w:start w:val="1"/>
      <w:numFmt w:val="decimal"/>
      <w:lvlText w:val="（%1）"/>
      <w:lvlJc w:val="left"/>
      <w:pPr>
        <w:ind w:left="2990"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754" w:hanging="536"/>
      </w:pPr>
      <w:rPr>
        <w:rFonts w:hint="default"/>
        <w:lang w:val="en-US" w:eastAsia="zh-CN" w:bidi="ar-SA"/>
      </w:rPr>
    </w:lvl>
    <w:lvl w:ilvl="2">
      <w:start w:val="0"/>
      <w:numFmt w:val="bullet"/>
      <w:lvlText w:val="•"/>
      <w:lvlJc w:val="left"/>
      <w:pPr>
        <w:ind w:left="4509" w:hanging="536"/>
      </w:pPr>
      <w:rPr>
        <w:rFonts w:hint="default"/>
        <w:lang w:val="en-US" w:eastAsia="zh-CN" w:bidi="ar-SA"/>
      </w:rPr>
    </w:lvl>
    <w:lvl w:ilvl="3">
      <w:start w:val="0"/>
      <w:numFmt w:val="bullet"/>
      <w:lvlText w:val="•"/>
      <w:lvlJc w:val="left"/>
      <w:pPr>
        <w:ind w:left="5263" w:hanging="536"/>
      </w:pPr>
      <w:rPr>
        <w:rFonts w:hint="default"/>
        <w:lang w:val="en-US" w:eastAsia="zh-CN" w:bidi="ar-SA"/>
      </w:rPr>
    </w:lvl>
    <w:lvl w:ilvl="4">
      <w:start w:val="0"/>
      <w:numFmt w:val="bullet"/>
      <w:lvlText w:val="•"/>
      <w:lvlJc w:val="left"/>
      <w:pPr>
        <w:ind w:left="6018" w:hanging="536"/>
      </w:pPr>
      <w:rPr>
        <w:rFonts w:hint="default"/>
        <w:lang w:val="en-US" w:eastAsia="zh-CN" w:bidi="ar-SA"/>
      </w:rPr>
    </w:lvl>
    <w:lvl w:ilvl="5">
      <w:start w:val="0"/>
      <w:numFmt w:val="bullet"/>
      <w:lvlText w:val="•"/>
      <w:lvlJc w:val="left"/>
      <w:pPr>
        <w:ind w:left="6773" w:hanging="536"/>
      </w:pPr>
      <w:rPr>
        <w:rFonts w:hint="default"/>
        <w:lang w:val="en-US" w:eastAsia="zh-CN" w:bidi="ar-SA"/>
      </w:rPr>
    </w:lvl>
    <w:lvl w:ilvl="6">
      <w:start w:val="0"/>
      <w:numFmt w:val="bullet"/>
      <w:lvlText w:val="•"/>
      <w:lvlJc w:val="left"/>
      <w:pPr>
        <w:ind w:left="7527" w:hanging="536"/>
      </w:pPr>
      <w:rPr>
        <w:rFonts w:hint="default"/>
        <w:lang w:val="en-US" w:eastAsia="zh-CN" w:bidi="ar-SA"/>
      </w:rPr>
    </w:lvl>
    <w:lvl w:ilvl="7">
      <w:start w:val="0"/>
      <w:numFmt w:val="bullet"/>
      <w:lvlText w:val="•"/>
      <w:lvlJc w:val="left"/>
      <w:pPr>
        <w:ind w:left="8282" w:hanging="536"/>
      </w:pPr>
      <w:rPr>
        <w:rFonts w:hint="default"/>
        <w:lang w:val="en-US" w:eastAsia="zh-CN" w:bidi="ar-SA"/>
      </w:rPr>
    </w:lvl>
    <w:lvl w:ilvl="8">
      <w:start w:val="0"/>
      <w:numFmt w:val="bullet"/>
      <w:lvlText w:val="•"/>
      <w:lvlJc w:val="left"/>
      <w:pPr>
        <w:ind w:left="9037" w:hanging="536"/>
      </w:pPr>
      <w:rPr>
        <w:rFonts w:hint="default"/>
        <w:lang w:val="en-US" w:eastAsia="zh-CN" w:bidi="ar-SA"/>
      </w:rPr>
    </w:lvl>
  </w:abstractNum>
  <w:abstractNum w:abstractNumId="46">
    <w:multiLevelType w:val="hybridMultilevel"/>
    <w:lvl w:ilvl="0">
      <w:start w:val="1"/>
      <w:numFmt w:val="decimal"/>
      <w:lvlText w:val="（%1）"/>
      <w:lvlJc w:val="left"/>
      <w:pPr>
        <w:ind w:left="731" w:hanging="553"/>
        <w:jc w:val="left"/>
      </w:pPr>
      <w:rPr>
        <w:rFonts w:hint="default"/>
        <w:w w:val="100"/>
        <w:lang w:val="en-US" w:eastAsia="zh-CN" w:bidi="ar-SA"/>
      </w:rPr>
    </w:lvl>
    <w:lvl w:ilvl="1">
      <w:start w:val="1"/>
      <w:numFmt w:val="decimal"/>
      <w:lvlText w:val="（%2）"/>
      <w:lvlJc w:val="left"/>
      <w:pPr>
        <w:ind w:left="3543" w:hanging="553"/>
        <w:jc w:val="left"/>
      </w:pPr>
      <w:rPr>
        <w:rFonts w:hint="default" w:ascii="宋体" w:hAnsi="宋体" w:eastAsia="宋体" w:cs="宋体"/>
        <w:b w:val="0"/>
        <w:bCs w:val="0"/>
        <w:i w:val="0"/>
        <w:iCs w:val="0"/>
        <w:w w:val="100"/>
        <w:sz w:val="20"/>
        <w:szCs w:val="20"/>
        <w:lang w:val="en-US" w:eastAsia="zh-CN" w:bidi="ar-SA"/>
      </w:rPr>
    </w:lvl>
    <w:lvl w:ilvl="2">
      <w:start w:val="0"/>
      <w:numFmt w:val="bullet"/>
      <w:lvlText w:val="•"/>
      <w:lvlJc w:val="left"/>
      <w:pPr>
        <w:ind w:left="4006" w:hanging="553"/>
      </w:pPr>
      <w:rPr>
        <w:rFonts w:hint="default"/>
        <w:lang w:val="en-US" w:eastAsia="zh-CN" w:bidi="ar-SA"/>
      </w:rPr>
    </w:lvl>
    <w:lvl w:ilvl="3">
      <w:start w:val="0"/>
      <w:numFmt w:val="bullet"/>
      <w:lvlText w:val="•"/>
      <w:lvlJc w:val="left"/>
      <w:pPr>
        <w:ind w:left="4472" w:hanging="553"/>
      </w:pPr>
      <w:rPr>
        <w:rFonts w:hint="default"/>
        <w:lang w:val="en-US" w:eastAsia="zh-CN" w:bidi="ar-SA"/>
      </w:rPr>
    </w:lvl>
    <w:lvl w:ilvl="4">
      <w:start w:val="0"/>
      <w:numFmt w:val="bullet"/>
      <w:lvlText w:val="•"/>
      <w:lvlJc w:val="left"/>
      <w:pPr>
        <w:ind w:left="4938" w:hanging="553"/>
      </w:pPr>
      <w:rPr>
        <w:rFonts w:hint="default"/>
        <w:lang w:val="en-US" w:eastAsia="zh-CN" w:bidi="ar-SA"/>
      </w:rPr>
    </w:lvl>
    <w:lvl w:ilvl="5">
      <w:start w:val="0"/>
      <w:numFmt w:val="bullet"/>
      <w:lvlText w:val="•"/>
      <w:lvlJc w:val="left"/>
      <w:pPr>
        <w:ind w:left="5404" w:hanging="553"/>
      </w:pPr>
      <w:rPr>
        <w:rFonts w:hint="default"/>
        <w:lang w:val="en-US" w:eastAsia="zh-CN" w:bidi="ar-SA"/>
      </w:rPr>
    </w:lvl>
    <w:lvl w:ilvl="6">
      <w:start w:val="0"/>
      <w:numFmt w:val="bullet"/>
      <w:lvlText w:val="•"/>
      <w:lvlJc w:val="left"/>
      <w:pPr>
        <w:ind w:left="5870" w:hanging="553"/>
      </w:pPr>
      <w:rPr>
        <w:rFonts w:hint="default"/>
        <w:lang w:val="en-US" w:eastAsia="zh-CN" w:bidi="ar-SA"/>
      </w:rPr>
    </w:lvl>
    <w:lvl w:ilvl="7">
      <w:start w:val="0"/>
      <w:numFmt w:val="bullet"/>
      <w:lvlText w:val="•"/>
      <w:lvlJc w:val="left"/>
      <w:pPr>
        <w:ind w:left="6336" w:hanging="553"/>
      </w:pPr>
      <w:rPr>
        <w:rFonts w:hint="default"/>
        <w:lang w:val="en-US" w:eastAsia="zh-CN" w:bidi="ar-SA"/>
      </w:rPr>
    </w:lvl>
    <w:lvl w:ilvl="8">
      <w:start w:val="0"/>
      <w:numFmt w:val="bullet"/>
      <w:lvlText w:val="•"/>
      <w:lvlJc w:val="left"/>
      <w:pPr>
        <w:ind w:left="6802" w:hanging="553"/>
      </w:pPr>
      <w:rPr>
        <w:rFonts w:hint="default"/>
        <w:lang w:val="en-US" w:eastAsia="zh-CN" w:bidi="ar-SA"/>
      </w:rPr>
    </w:lvl>
  </w:abstractNum>
  <w:abstractNum w:abstractNumId="45">
    <w:multiLevelType w:val="hybridMultilevel"/>
    <w:lvl w:ilvl="0">
      <w:start w:val="1"/>
      <w:numFmt w:val="decimal"/>
      <w:lvlText w:val="（%1）"/>
      <w:lvlJc w:val="left"/>
      <w:pPr>
        <w:ind w:left="17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935" w:hanging="536"/>
      </w:pPr>
      <w:rPr>
        <w:rFonts w:hint="default"/>
        <w:lang w:val="en-US" w:eastAsia="zh-CN" w:bidi="ar-SA"/>
      </w:rPr>
    </w:lvl>
    <w:lvl w:ilvl="2">
      <w:start w:val="0"/>
      <w:numFmt w:val="bullet"/>
      <w:lvlText w:val="•"/>
      <w:lvlJc w:val="left"/>
      <w:pPr>
        <w:ind w:left="1690" w:hanging="536"/>
      </w:pPr>
      <w:rPr>
        <w:rFonts w:hint="default"/>
        <w:lang w:val="en-US" w:eastAsia="zh-CN" w:bidi="ar-SA"/>
      </w:rPr>
    </w:lvl>
    <w:lvl w:ilvl="3">
      <w:start w:val="0"/>
      <w:numFmt w:val="bullet"/>
      <w:lvlText w:val="•"/>
      <w:lvlJc w:val="left"/>
      <w:pPr>
        <w:ind w:left="2446" w:hanging="536"/>
      </w:pPr>
      <w:rPr>
        <w:rFonts w:hint="default"/>
        <w:lang w:val="en-US" w:eastAsia="zh-CN" w:bidi="ar-SA"/>
      </w:rPr>
    </w:lvl>
    <w:lvl w:ilvl="4">
      <w:start w:val="0"/>
      <w:numFmt w:val="bullet"/>
      <w:lvlText w:val="•"/>
      <w:lvlJc w:val="left"/>
      <w:pPr>
        <w:ind w:left="3201" w:hanging="536"/>
      </w:pPr>
      <w:rPr>
        <w:rFonts w:hint="default"/>
        <w:lang w:val="en-US" w:eastAsia="zh-CN" w:bidi="ar-SA"/>
      </w:rPr>
    </w:lvl>
    <w:lvl w:ilvl="5">
      <w:start w:val="0"/>
      <w:numFmt w:val="bullet"/>
      <w:lvlText w:val="•"/>
      <w:lvlJc w:val="left"/>
      <w:pPr>
        <w:ind w:left="3957" w:hanging="536"/>
      </w:pPr>
      <w:rPr>
        <w:rFonts w:hint="default"/>
        <w:lang w:val="en-US" w:eastAsia="zh-CN" w:bidi="ar-SA"/>
      </w:rPr>
    </w:lvl>
    <w:lvl w:ilvl="6">
      <w:start w:val="0"/>
      <w:numFmt w:val="bullet"/>
      <w:lvlText w:val="•"/>
      <w:lvlJc w:val="left"/>
      <w:pPr>
        <w:ind w:left="4712" w:hanging="536"/>
      </w:pPr>
      <w:rPr>
        <w:rFonts w:hint="default"/>
        <w:lang w:val="en-US" w:eastAsia="zh-CN" w:bidi="ar-SA"/>
      </w:rPr>
    </w:lvl>
    <w:lvl w:ilvl="7">
      <w:start w:val="0"/>
      <w:numFmt w:val="bullet"/>
      <w:lvlText w:val="•"/>
      <w:lvlJc w:val="left"/>
      <w:pPr>
        <w:ind w:left="5467" w:hanging="536"/>
      </w:pPr>
      <w:rPr>
        <w:rFonts w:hint="default"/>
        <w:lang w:val="en-US" w:eastAsia="zh-CN" w:bidi="ar-SA"/>
      </w:rPr>
    </w:lvl>
    <w:lvl w:ilvl="8">
      <w:start w:val="0"/>
      <w:numFmt w:val="bullet"/>
      <w:lvlText w:val="•"/>
      <w:lvlJc w:val="left"/>
      <w:pPr>
        <w:ind w:left="6223" w:hanging="536"/>
      </w:pPr>
      <w:rPr>
        <w:rFonts w:hint="default"/>
        <w:lang w:val="en-US" w:eastAsia="zh-CN" w:bidi="ar-SA"/>
      </w:rPr>
    </w:lvl>
  </w:abstractNum>
  <w:abstractNum w:abstractNumId="44">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000" w:hanging="529"/>
      </w:pPr>
      <w:rPr>
        <w:rFonts w:hint="default"/>
        <w:lang w:val="en-US" w:eastAsia="zh-CN" w:bidi="ar-SA"/>
      </w:rPr>
    </w:lvl>
    <w:lvl w:ilvl="2">
      <w:start w:val="0"/>
      <w:numFmt w:val="bullet"/>
      <w:lvlText w:val="•"/>
      <w:lvlJc w:val="left"/>
      <w:pPr>
        <w:ind w:left="3526" w:hanging="529"/>
      </w:pPr>
      <w:rPr>
        <w:rFonts w:hint="default"/>
        <w:lang w:val="en-US" w:eastAsia="zh-CN" w:bidi="ar-SA"/>
      </w:rPr>
    </w:lvl>
    <w:lvl w:ilvl="3">
      <w:start w:val="0"/>
      <w:numFmt w:val="bullet"/>
      <w:lvlText w:val="•"/>
      <w:lvlJc w:val="left"/>
      <w:pPr>
        <w:ind w:left="4052" w:hanging="529"/>
      </w:pPr>
      <w:rPr>
        <w:rFonts w:hint="default"/>
        <w:lang w:val="en-US" w:eastAsia="zh-CN" w:bidi="ar-SA"/>
      </w:rPr>
    </w:lvl>
    <w:lvl w:ilvl="4">
      <w:start w:val="0"/>
      <w:numFmt w:val="bullet"/>
      <w:lvlText w:val="•"/>
      <w:lvlJc w:val="left"/>
      <w:pPr>
        <w:ind w:left="4578" w:hanging="529"/>
      </w:pPr>
      <w:rPr>
        <w:rFonts w:hint="default"/>
        <w:lang w:val="en-US" w:eastAsia="zh-CN" w:bidi="ar-SA"/>
      </w:rPr>
    </w:lvl>
    <w:lvl w:ilvl="5">
      <w:start w:val="0"/>
      <w:numFmt w:val="bullet"/>
      <w:lvlText w:val="•"/>
      <w:lvlJc w:val="left"/>
      <w:pPr>
        <w:ind w:left="5104" w:hanging="529"/>
      </w:pPr>
      <w:rPr>
        <w:rFonts w:hint="default"/>
        <w:lang w:val="en-US" w:eastAsia="zh-CN" w:bidi="ar-SA"/>
      </w:rPr>
    </w:lvl>
    <w:lvl w:ilvl="6">
      <w:start w:val="0"/>
      <w:numFmt w:val="bullet"/>
      <w:lvlText w:val="•"/>
      <w:lvlJc w:val="left"/>
      <w:pPr>
        <w:ind w:left="5630" w:hanging="529"/>
      </w:pPr>
      <w:rPr>
        <w:rFonts w:hint="default"/>
        <w:lang w:val="en-US" w:eastAsia="zh-CN" w:bidi="ar-SA"/>
      </w:rPr>
    </w:lvl>
    <w:lvl w:ilvl="7">
      <w:start w:val="0"/>
      <w:numFmt w:val="bullet"/>
      <w:lvlText w:val="•"/>
      <w:lvlJc w:val="left"/>
      <w:pPr>
        <w:ind w:left="6156" w:hanging="529"/>
      </w:pPr>
      <w:rPr>
        <w:rFonts w:hint="default"/>
        <w:lang w:val="en-US" w:eastAsia="zh-CN" w:bidi="ar-SA"/>
      </w:rPr>
    </w:lvl>
    <w:lvl w:ilvl="8">
      <w:start w:val="0"/>
      <w:numFmt w:val="bullet"/>
      <w:lvlText w:val="•"/>
      <w:lvlJc w:val="left"/>
      <w:pPr>
        <w:ind w:left="6682" w:hanging="529"/>
      </w:pPr>
      <w:rPr>
        <w:rFonts w:hint="default"/>
        <w:lang w:val="en-US" w:eastAsia="zh-CN" w:bidi="ar-SA"/>
      </w:rPr>
    </w:lvl>
  </w:abstractNum>
  <w:abstractNum w:abstractNumId="43">
    <w:multiLevelType w:val="hybridMultilevel"/>
    <w:lvl w:ilvl="0">
      <w:start w:val="1"/>
      <w:numFmt w:val="decimal"/>
      <w:lvlText w:val="（%1）"/>
      <w:lvlJc w:val="left"/>
      <w:pPr>
        <w:ind w:left="70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09" w:hanging="529"/>
      </w:pPr>
      <w:rPr>
        <w:rFonts w:hint="default"/>
        <w:lang w:val="en-US" w:eastAsia="zh-CN" w:bidi="ar-SA"/>
      </w:rPr>
    </w:lvl>
    <w:lvl w:ilvl="4">
      <w:start w:val="0"/>
      <w:numFmt w:val="bullet"/>
      <w:lvlText w:val="•"/>
      <w:lvlJc w:val="left"/>
      <w:pPr>
        <w:ind w:left="3512" w:hanging="529"/>
      </w:pPr>
      <w:rPr>
        <w:rFonts w:hint="default"/>
        <w:lang w:val="en-US" w:eastAsia="zh-CN" w:bidi="ar-SA"/>
      </w:rPr>
    </w:lvl>
    <w:lvl w:ilvl="5">
      <w:start w:val="0"/>
      <w:numFmt w:val="bullet"/>
      <w:lvlText w:val="•"/>
      <w:lvlJc w:val="left"/>
      <w:pPr>
        <w:ind w:left="4216" w:hanging="529"/>
      </w:pPr>
      <w:rPr>
        <w:rFonts w:hint="default"/>
        <w:lang w:val="en-US" w:eastAsia="zh-CN" w:bidi="ar-SA"/>
      </w:rPr>
    </w:lvl>
    <w:lvl w:ilvl="6">
      <w:start w:val="0"/>
      <w:numFmt w:val="bullet"/>
      <w:lvlText w:val="•"/>
      <w:lvlJc w:val="left"/>
      <w:pPr>
        <w:ind w:left="4919" w:hanging="529"/>
      </w:pPr>
      <w:rPr>
        <w:rFonts w:hint="default"/>
        <w:lang w:val="en-US" w:eastAsia="zh-CN" w:bidi="ar-SA"/>
      </w:rPr>
    </w:lvl>
    <w:lvl w:ilvl="7">
      <w:start w:val="0"/>
      <w:numFmt w:val="bullet"/>
      <w:lvlText w:val="•"/>
      <w:lvlJc w:val="left"/>
      <w:pPr>
        <w:ind w:left="5622" w:hanging="529"/>
      </w:pPr>
      <w:rPr>
        <w:rFonts w:hint="default"/>
        <w:lang w:val="en-US" w:eastAsia="zh-CN" w:bidi="ar-SA"/>
      </w:rPr>
    </w:lvl>
    <w:lvl w:ilvl="8">
      <w:start w:val="0"/>
      <w:numFmt w:val="bullet"/>
      <w:lvlText w:val="•"/>
      <w:lvlJc w:val="left"/>
      <w:pPr>
        <w:ind w:left="6325" w:hanging="529"/>
      </w:pPr>
      <w:rPr>
        <w:rFonts w:hint="default"/>
        <w:lang w:val="en-US" w:eastAsia="zh-CN" w:bidi="ar-SA"/>
      </w:rPr>
    </w:lvl>
  </w:abstractNum>
  <w:abstractNum w:abstractNumId="42">
    <w:multiLevelType w:val="hybridMultilevel"/>
    <w:lvl w:ilvl="0">
      <w:start w:val="1"/>
      <w:numFmt w:val="decimal"/>
      <w:lvlText w:val="（%1）"/>
      <w:lvlJc w:val="left"/>
      <w:pPr>
        <w:ind w:left="70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09" w:hanging="529"/>
      </w:pPr>
      <w:rPr>
        <w:rFonts w:hint="default"/>
        <w:lang w:val="en-US" w:eastAsia="zh-CN" w:bidi="ar-SA"/>
      </w:rPr>
    </w:lvl>
    <w:lvl w:ilvl="4">
      <w:start w:val="0"/>
      <w:numFmt w:val="bullet"/>
      <w:lvlText w:val="•"/>
      <w:lvlJc w:val="left"/>
      <w:pPr>
        <w:ind w:left="3512" w:hanging="529"/>
      </w:pPr>
      <w:rPr>
        <w:rFonts w:hint="default"/>
        <w:lang w:val="en-US" w:eastAsia="zh-CN" w:bidi="ar-SA"/>
      </w:rPr>
    </w:lvl>
    <w:lvl w:ilvl="5">
      <w:start w:val="0"/>
      <w:numFmt w:val="bullet"/>
      <w:lvlText w:val="•"/>
      <w:lvlJc w:val="left"/>
      <w:pPr>
        <w:ind w:left="4216" w:hanging="529"/>
      </w:pPr>
      <w:rPr>
        <w:rFonts w:hint="default"/>
        <w:lang w:val="en-US" w:eastAsia="zh-CN" w:bidi="ar-SA"/>
      </w:rPr>
    </w:lvl>
    <w:lvl w:ilvl="6">
      <w:start w:val="0"/>
      <w:numFmt w:val="bullet"/>
      <w:lvlText w:val="•"/>
      <w:lvlJc w:val="left"/>
      <w:pPr>
        <w:ind w:left="4919" w:hanging="529"/>
      </w:pPr>
      <w:rPr>
        <w:rFonts w:hint="default"/>
        <w:lang w:val="en-US" w:eastAsia="zh-CN" w:bidi="ar-SA"/>
      </w:rPr>
    </w:lvl>
    <w:lvl w:ilvl="7">
      <w:start w:val="0"/>
      <w:numFmt w:val="bullet"/>
      <w:lvlText w:val="•"/>
      <w:lvlJc w:val="left"/>
      <w:pPr>
        <w:ind w:left="5622" w:hanging="529"/>
      </w:pPr>
      <w:rPr>
        <w:rFonts w:hint="default"/>
        <w:lang w:val="en-US" w:eastAsia="zh-CN" w:bidi="ar-SA"/>
      </w:rPr>
    </w:lvl>
    <w:lvl w:ilvl="8">
      <w:start w:val="0"/>
      <w:numFmt w:val="bullet"/>
      <w:lvlText w:val="•"/>
      <w:lvlJc w:val="left"/>
      <w:pPr>
        <w:ind w:left="6325" w:hanging="529"/>
      </w:pPr>
      <w:rPr>
        <w:rFonts w:hint="default"/>
        <w:lang w:val="en-US" w:eastAsia="zh-CN" w:bidi="ar-SA"/>
      </w:rPr>
    </w:lvl>
  </w:abstractNum>
  <w:abstractNum w:abstractNumId="41">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40">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39">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38">
    <w:multiLevelType w:val="hybridMultilevel"/>
    <w:lvl w:ilvl="0">
      <w:start w:val="1"/>
      <w:numFmt w:val="decimal"/>
      <w:lvlText w:val="（%1）"/>
      <w:lvlJc w:val="left"/>
      <w:pPr>
        <w:ind w:left="2990" w:hanging="535"/>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754" w:hanging="535"/>
      </w:pPr>
      <w:rPr>
        <w:rFonts w:hint="default"/>
        <w:lang w:val="en-US" w:eastAsia="zh-CN" w:bidi="ar-SA"/>
      </w:rPr>
    </w:lvl>
    <w:lvl w:ilvl="2">
      <w:start w:val="0"/>
      <w:numFmt w:val="bullet"/>
      <w:lvlText w:val="•"/>
      <w:lvlJc w:val="left"/>
      <w:pPr>
        <w:ind w:left="4509" w:hanging="535"/>
      </w:pPr>
      <w:rPr>
        <w:rFonts w:hint="default"/>
        <w:lang w:val="en-US" w:eastAsia="zh-CN" w:bidi="ar-SA"/>
      </w:rPr>
    </w:lvl>
    <w:lvl w:ilvl="3">
      <w:start w:val="0"/>
      <w:numFmt w:val="bullet"/>
      <w:lvlText w:val="•"/>
      <w:lvlJc w:val="left"/>
      <w:pPr>
        <w:ind w:left="5263" w:hanging="535"/>
      </w:pPr>
      <w:rPr>
        <w:rFonts w:hint="default"/>
        <w:lang w:val="en-US" w:eastAsia="zh-CN" w:bidi="ar-SA"/>
      </w:rPr>
    </w:lvl>
    <w:lvl w:ilvl="4">
      <w:start w:val="0"/>
      <w:numFmt w:val="bullet"/>
      <w:lvlText w:val="•"/>
      <w:lvlJc w:val="left"/>
      <w:pPr>
        <w:ind w:left="6018" w:hanging="535"/>
      </w:pPr>
      <w:rPr>
        <w:rFonts w:hint="default"/>
        <w:lang w:val="en-US" w:eastAsia="zh-CN" w:bidi="ar-SA"/>
      </w:rPr>
    </w:lvl>
    <w:lvl w:ilvl="5">
      <w:start w:val="0"/>
      <w:numFmt w:val="bullet"/>
      <w:lvlText w:val="•"/>
      <w:lvlJc w:val="left"/>
      <w:pPr>
        <w:ind w:left="6773" w:hanging="535"/>
      </w:pPr>
      <w:rPr>
        <w:rFonts w:hint="default"/>
        <w:lang w:val="en-US" w:eastAsia="zh-CN" w:bidi="ar-SA"/>
      </w:rPr>
    </w:lvl>
    <w:lvl w:ilvl="6">
      <w:start w:val="0"/>
      <w:numFmt w:val="bullet"/>
      <w:lvlText w:val="•"/>
      <w:lvlJc w:val="left"/>
      <w:pPr>
        <w:ind w:left="7527" w:hanging="535"/>
      </w:pPr>
      <w:rPr>
        <w:rFonts w:hint="default"/>
        <w:lang w:val="en-US" w:eastAsia="zh-CN" w:bidi="ar-SA"/>
      </w:rPr>
    </w:lvl>
    <w:lvl w:ilvl="7">
      <w:start w:val="0"/>
      <w:numFmt w:val="bullet"/>
      <w:lvlText w:val="•"/>
      <w:lvlJc w:val="left"/>
      <w:pPr>
        <w:ind w:left="8282" w:hanging="535"/>
      </w:pPr>
      <w:rPr>
        <w:rFonts w:hint="default"/>
        <w:lang w:val="en-US" w:eastAsia="zh-CN" w:bidi="ar-SA"/>
      </w:rPr>
    </w:lvl>
    <w:lvl w:ilvl="8">
      <w:start w:val="0"/>
      <w:numFmt w:val="bullet"/>
      <w:lvlText w:val="•"/>
      <w:lvlJc w:val="left"/>
      <w:pPr>
        <w:ind w:left="9037" w:hanging="535"/>
      </w:pPr>
      <w:rPr>
        <w:rFonts w:hint="default"/>
        <w:lang w:val="en-US" w:eastAsia="zh-CN" w:bidi="ar-SA"/>
      </w:rPr>
    </w:lvl>
  </w:abstractNum>
  <w:abstractNum w:abstractNumId="37">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36">
    <w:multiLevelType w:val="hybridMultilevel"/>
    <w:lvl w:ilvl="0">
      <w:start w:val="1"/>
      <w:numFmt w:val="decimal"/>
      <w:lvlText w:val="（%1）"/>
      <w:lvlJc w:val="left"/>
      <w:pPr>
        <w:ind w:left="706"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0" w:hanging="529"/>
      </w:pPr>
      <w:rPr>
        <w:rFonts w:hint="default"/>
        <w:lang w:val="en-US" w:eastAsia="zh-CN" w:bidi="ar-SA"/>
      </w:rPr>
    </w:lvl>
    <w:lvl w:ilvl="7">
      <w:start w:val="0"/>
      <w:numFmt w:val="bullet"/>
      <w:lvlText w:val="•"/>
      <w:lvlJc w:val="left"/>
      <w:pPr>
        <w:ind w:left="6328" w:hanging="529"/>
      </w:pPr>
      <w:rPr>
        <w:rFonts w:hint="default"/>
        <w:lang w:val="en-US" w:eastAsia="zh-CN" w:bidi="ar-SA"/>
      </w:rPr>
    </w:lvl>
    <w:lvl w:ilvl="8">
      <w:start w:val="0"/>
      <w:numFmt w:val="bullet"/>
      <w:lvlText w:val="•"/>
      <w:lvlJc w:val="left"/>
      <w:pPr>
        <w:ind w:left="6796" w:hanging="529"/>
      </w:pPr>
      <w:rPr>
        <w:rFonts w:hint="default"/>
        <w:lang w:val="en-US" w:eastAsia="zh-CN" w:bidi="ar-SA"/>
      </w:rPr>
    </w:lvl>
  </w:abstractNum>
  <w:abstractNum w:abstractNumId="35">
    <w:multiLevelType w:val="hybridMultilevel"/>
    <w:lvl w:ilvl="0">
      <w:start w:val="1"/>
      <w:numFmt w:val="decimal"/>
      <w:lvlText w:val="（%1）"/>
      <w:lvlJc w:val="left"/>
      <w:pPr>
        <w:ind w:left="177" w:hanging="535"/>
        <w:jc w:val="left"/>
      </w:pPr>
      <w:rPr>
        <w:rFonts w:hint="default" w:ascii="宋体" w:hAnsi="宋体" w:eastAsia="宋体" w:cs="宋体"/>
        <w:b w:val="0"/>
        <w:bCs w:val="0"/>
        <w:i w:val="0"/>
        <w:iCs w:val="0"/>
        <w:spacing w:val="2"/>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0" w:hanging="529"/>
      </w:pPr>
      <w:rPr>
        <w:rFonts w:hint="default"/>
        <w:lang w:val="en-US" w:eastAsia="zh-CN" w:bidi="ar-SA"/>
      </w:rPr>
    </w:lvl>
    <w:lvl w:ilvl="7">
      <w:start w:val="0"/>
      <w:numFmt w:val="bullet"/>
      <w:lvlText w:val="•"/>
      <w:lvlJc w:val="left"/>
      <w:pPr>
        <w:ind w:left="6328" w:hanging="529"/>
      </w:pPr>
      <w:rPr>
        <w:rFonts w:hint="default"/>
        <w:lang w:val="en-US" w:eastAsia="zh-CN" w:bidi="ar-SA"/>
      </w:rPr>
    </w:lvl>
    <w:lvl w:ilvl="8">
      <w:start w:val="0"/>
      <w:numFmt w:val="bullet"/>
      <w:lvlText w:val="•"/>
      <w:lvlJc w:val="left"/>
      <w:pPr>
        <w:ind w:left="6796" w:hanging="529"/>
      </w:pPr>
      <w:rPr>
        <w:rFonts w:hint="default"/>
        <w:lang w:val="en-US" w:eastAsia="zh-CN" w:bidi="ar-SA"/>
      </w:rPr>
    </w:lvl>
  </w:abstractNum>
  <w:abstractNum w:abstractNumId="34">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33">
    <w:multiLevelType w:val="hybridMultilevel"/>
    <w:lvl w:ilvl="0">
      <w:start w:val="6"/>
      <w:numFmt w:val="decimal"/>
      <w:lvlText w:val="（%1）"/>
      <w:lvlJc w:val="left"/>
      <w:pPr>
        <w:ind w:left="178" w:hanging="535"/>
        <w:jc w:val="left"/>
      </w:pPr>
      <w:rPr>
        <w:rFonts w:hint="default" w:ascii="宋体" w:hAnsi="宋体" w:eastAsia="宋体" w:cs="宋体"/>
        <w:b w:val="0"/>
        <w:bCs w:val="0"/>
        <w:i w:val="0"/>
        <w:iCs w:val="0"/>
        <w:spacing w:val="2"/>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32">
    <w:multiLevelType w:val="hybridMultilevel"/>
    <w:lvl w:ilvl="0">
      <w:start w:val="2"/>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10"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7" w:hanging="529"/>
      </w:pPr>
      <w:rPr>
        <w:rFonts w:hint="default"/>
        <w:lang w:val="en-US" w:eastAsia="zh-CN" w:bidi="ar-SA"/>
      </w:rPr>
    </w:lvl>
    <w:lvl w:ilvl="6">
      <w:start w:val="0"/>
      <w:numFmt w:val="bullet"/>
      <w:lvlText w:val="•"/>
      <w:lvlJc w:val="left"/>
      <w:pPr>
        <w:ind w:left="4920"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7" w:hanging="529"/>
      </w:pPr>
      <w:rPr>
        <w:rFonts w:hint="default"/>
        <w:lang w:val="en-US" w:eastAsia="zh-CN" w:bidi="ar-SA"/>
      </w:rPr>
    </w:lvl>
  </w:abstractNum>
  <w:abstractNum w:abstractNumId="31">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30">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29">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28">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140" w:hanging="529"/>
      </w:pPr>
      <w:rPr>
        <w:rFonts w:hint="default"/>
        <w:lang w:val="en-US" w:eastAsia="zh-CN" w:bidi="ar-SA"/>
      </w:rPr>
    </w:lvl>
    <w:lvl w:ilvl="2">
      <w:start w:val="0"/>
      <w:numFmt w:val="bullet"/>
      <w:lvlText w:val="•"/>
      <w:lvlJc w:val="left"/>
      <w:pPr>
        <w:ind w:left="3650" w:hanging="529"/>
      </w:pPr>
      <w:rPr>
        <w:rFonts w:hint="default"/>
        <w:lang w:val="en-US" w:eastAsia="zh-CN" w:bidi="ar-SA"/>
      </w:rPr>
    </w:lvl>
    <w:lvl w:ilvl="3">
      <w:start w:val="0"/>
      <w:numFmt w:val="bullet"/>
      <w:lvlText w:val="•"/>
      <w:lvlJc w:val="left"/>
      <w:pPr>
        <w:ind w:left="4160" w:hanging="529"/>
      </w:pPr>
      <w:rPr>
        <w:rFonts w:hint="default"/>
        <w:lang w:val="en-US" w:eastAsia="zh-CN" w:bidi="ar-SA"/>
      </w:rPr>
    </w:lvl>
    <w:lvl w:ilvl="4">
      <w:start w:val="0"/>
      <w:numFmt w:val="bullet"/>
      <w:lvlText w:val="•"/>
      <w:lvlJc w:val="left"/>
      <w:pPr>
        <w:ind w:left="4671" w:hanging="529"/>
      </w:pPr>
      <w:rPr>
        <w:rFonts w:hint="default"/>
        <w:lang w:val="en-US" w:eastAsia="zh-CN" w:bidi="ar-SA"/>
      </w:rPr>
    </w:lvl>
    <w:lvl w:ilvl="5">
      <w:start w:val="0"/>
      <w:numFmt w:val="bullet"/>
      <w:lvlText w:val="•"/>
      <w:lvlJc w:val="left"/>
      <w:pPr>
        <w:ind w:left="5181" w:hanging="529"/>
      </w:pPr>
      <w:rPr>
        <w:rFonts w:hint="default"/>
        <w:lang w:val="en-US" w:eastAsia="zh-CN" w:bidi="ar-SA"/>
      </w:rPr>
    </w:lvl>
    <w:lvl w:ilvl="6">
      <w:start w:val="0"/>
      <w:numFmt w:val="bullet"/>
      <w:lvlText w:val="•"/>
      <w:lvlJc w:val="left"/>
      <w:pPr>
        <w:ind w:left="5692" w:hanging="529"/>
      </w:pPr>
      <w:rPr>
        <w:rFonts w:hint="default"/>
        <w:lang w:val="en-US" w:eastAsia="zh-CN" w:bidi="ar-SA"/>
      </w:rPr>
    </w:lvl>
    <w:lvl w:ilvl="7">
      <w:start w:val="0"/>
      <w:numFmt w:val="bullet"/>
      <w:lvlText w:val="•"/>
      <w:lvlJc w:val="left"/>
      <w:pPr>
        <w:ind w:left="6202" w:hanging="529"/>
      </w:pPr>
      <w:rPr>
        <w:rFonts w:hint="default"/>
        <w:lang w:val="en-US" w:eastAsia="zh-CN" w:bidi="ar-SA"/>
      </w:rPr>
    </w:lvl>
    <w:lvl w:ilvl="8">
      <w:start w:val="0"/>
      <w:numFmt w:val="bullet"/>
      <w:lvlText w:val="•"/>
      <w:lvlJc w:val="left"/>
      <w:pPr>
        <w:ind w:left="6713" w:hanging="529"/>
      </w:pPr>
      <w:rPr>
        <w:rFonts w:hint="default"/>
        <w:lang w:val="en-US" w:eastAsia="zh-CN" w:bidi="ar-SA"/>
      </w:rPr>
    </w:lvl>
  </w:abstractNum>
  <w:abstractNum w:abstractNumId="27">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26">
    <w:multiLevelType w:val="hybridMultilevel"/>
    <w:lvl w:ilvl="0">
      <w:start w:val="1"/>
      <w:numFmt w:val="decimal"/>
      <w:lvlText w:val="（%1）"/>
      <w:lvlJc w:val="left"/>
      <w:pPr>
        <w:ind w:left="706" w:hanging="529"/>
        <w:jc w:val="righ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09"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6" w:hanging="529"/>
      </w:pPr>
      <w:rPr>
        <w:rFonts w:hint="default"/>
        <w:lang w:val="en-US" w:eastAsia="zh-CN" w:bidi="ar-SA"/>
      </w:rPr>
    </w:lvl>
    <w:lvl w:ilvl="6">
      <w:start w:val="0"/>
      <w:numFmt w:val="bullet"/>
      <w:lvlText w:val="•"/>
      <w:lvlJc w:val="left"/>
      <w:pPr>
        <w:ind w:left="4919"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6" w:hanging="529"/>
      </w:pPr>
      <w:rPr>
        <w:rFonts w:hint="default"/>
        <w:lang w:val="en-US" w:eastAsia="zh-CN" w:bidi="ar-SA"/>
      </w:rPr>
    </w:lvl>
  </w:abstractNum>
  <w:abstractNum w:abstractNumId="25">
    <w:multiLevelType w:val="hybridMultilevel"/>
    <w:lvl w:ilvl="0">
      <w:start w:val="1"/>
      <w:numFmt w:val="decimal"/>
      <w:lvlText w:val="（%1）"/>
      <w:lvlJc w:val="left"/>
      <w:pPr>
        <w:ind w:left="70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09"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6" w:hanging="529"/>
      </w:pPr>
      <w:rPr>
        <w:rFonts w:hint="default"/>
        <w:lang w:val="en-US" w:eastAsia="zh-CN" w:bidi="ar-SA"/>
      </w:rPr>
    </w:lvl>
    <w:lvl w:ilvl="6">
      <w:start w:val="0"/>
      <w:numFmt w:val="bullet"/>
      <w:lvlText w:val="•"/>
      <w:lvlJc w:val="left"/>
      <w:pPr>
        <w:ind w:left="4919"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6" w:hanging="529"/>
      </w:pPr>
      <w:rPr>
        <w:rFonts w:hint="default"/>
        <w:lang w:val="en-US" w:eastAsia="zh-CN" w:bidi="ar-SA"/>
      </w:rPr>
    </w:lvl>
  </w:abstractNum>
  <w:abstractNum w:abstractNumId="24">
    <w:multiLevelType w:val="hybridMultilevel"/>
    <w:lvl w:ilvl="0">
      <w:start w:val="1"/>
      <w:numFmt w:val="decimal"/>
      <w:lvlText w:val="（%1）"/>
      <w:lvlJc w:val="left"/>
      <w:pPr>
        <w:ind w:left="178" w:hanging="529"/>
        <w:jc w:val="left"/>
      </w:pPr>
      <w:rPr>
        <w:rFonts w:hint="default" w:ascii="宋体" w:hAnsi="宋体" w:eastAsia="宋体" w:cs="宋体"/>
        <w:b w:val="0"/>
        <w:bCs w:val="0"/>
        <w:i w:val="0"/>
        <w:iCs w:val="0"/>
        <w:spacing w:val="-48"/>
        <w:w w:val="100"/>
        <w:sz w:val="19"/>
        <w:szCs w:val="19"/>
        <w:lang w:val="en-US" w:eastAsia="zh-CN" w:bidi="ar-SA"/>
      </w:rPr>
    </w:lvl>
    <w:lvl w:ilvl="1">
      <w:start w:val="0"/>
      <w:numFmt w:val="bullet"/>
      <w:lvlText w:val="•"/>
      <w:lvlJc w:val="left"/>
      <w:pPr>
        <w:ind w:left="935" w:hanging="529"/>
      </w:pPr>
      <w:rPr>
        <w:rFonts w:hint="default"/>
        <w:lang w:val="en-US" w:eastAsia="zh-CN" w:bidi="ar-SA"/>
      </w:rPr>
    </w:lvl>
    <w:lvl w:ilvl="2">
      <w:start w:val="0"/>
      <w:numFmt w:val="bullet"/>
      <w:lvlText w:val="•"/>
      <w:lvlJc w:val="left"/>
      <w:pPr>
        <w:ind w:left="1690" w:hanging="529"/>
      </w:pPr>
      <w:rPr>
        <w:rFonts w:hint="default"/>
        <w:lang w:val="en-US" w:eastAsia="zh-CN" w:bidi="ar-SA"/>
      </w:rPr>
    </w:lvl>
    <w:lvl w:ilvl="3">
      <w:start w:val="0"/>
      <w:numFmt w:val="bullet"/>
      <w:lvlText w:val="•"/>
      <w:lvlJc w:val="left"/>
      <w:pPr>
        <w:ind w:left="2446" w:hanging="529"/>
      </w:pPr>
      <w:rPr>
        <w:rFonts w:hint="default"/>
        <w:lang w:val="en-US" w:eastAsia="zh-CN" w:bidi="ar-SA"/>
      </w:rPr>
    </w:lvl>
    <w:lvl w:ilvl="4">
      <w:start w:val="0"/>
      <w:numFmt w:val="bullet"/>
      <w:lvlText w:val="•"/>
      <w:lvlJc w:val="left"/>
      <w:pPr>
        <w:ind w:left="3201" w:hanging="529"/>
      </w:pPr>
      <w:rPr>
        <w:rFonts w:hint="default"/>
        <w:lang w:val="en-US" w:eastAsia="zh-CN" w:bidi="ar-SA"/>
      </w:rPr>
    </w:lvl>
    <w:lvl w:ilvl="5">
      <w:start w:val="0"/>
      <w:numFmt w:val="bullet"/>
      <w:lvlText w:val="•"/>
      <w:lvlJc w:val="left"/>
      <w:pPr>
        <w:ind w:left="3957" w:hanging="529"/>
      </w:pPr>
      <w:rPr>
        <w:rFonts w:hint="default"/>
        <w:lang w:val="en-US" w:eastAsia="zh-CN" w:bidi="ar-SA"/>
      </w:rPr>
    </w:lvl>
    <w:lvl w:ilvl="6">
      <w:start w:val="0"/>
      <w:numFmt w:val="bullet"/>
      <w:lvlText w:val="•"/>
      <w:lvlJc w:val="left"/>
      <w:pPr>
        <w:ind w:left="4712" w:hanging="529"/>
      </w:pPr>
      <w:rPr>
        <w:rFonts w:hint="default"/>
        <w:lang w:val="en-US" w:eastAsia="zh-CN" w:bidi="ar-SA"/>
      </w:rPr>
    </w:lvl>
    <w:lvl w:ilvl="7">
      <w:start w:val="0"/>
      <w:numFmt w:val="bullet"/>
      <w:lvlText w:val="•"/>
      <w:lvlJc w:val="left"/>
      <w:pPr>
        <w:ind w:left="5467" w:hanging="529"/>
      </w:pPr>
      <w:rPr>
        <w:rFonts w:hint="default"/>
        <w:lang w:val="en-US" w:eastAsia="zh-CN" w:bidi="ar-SA"/>
      </w:rPr>
    </w:lvl>
    <w:lvl w:ilvl="8">
      <w:start w:val="0"/>
      <w:numFmt w:val="bullet"/>
      <w:lvlText w:val="•"/>
      <w:lvlJc w:val="left"/>
      <w:pPr>
        <w:ind w:left="6223" w:hanging="529"/>
      </w:pPr>
      <w:rPr>
        <w:rFonts w:hint="default"/>
        <w:lang w:val="en-US" w:eastAsia="zh-CN" w:bidi="ar-SA"/>
      </w:rPr>
    </w:lvl>
  </w:abstractNum>
  <w:abstractNum w:abstractNumId="23">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3" w:hanging="529"/>
      </w:pPr>
      <w:rPr>
        <w:rFonts w:hint="default"/>
        <w:lang w:val="en-US" w:eastAsia="zh-CN" w:bidi="ar-SA"/>
      </w:rPr>
    </w:lvl>
    <w:lvl w:ilvl="2">
      <w:start w:val="0"/>
      <w:numFmt w:val="bullet"/>
      <w:lvlText w:val="•"/>
      <w:lvlJc w:val="left"/>
      <w:pPr>
        <w:ind w:left="2106" w:hanging="529"/>
      </w:pPr>
      <w:rPr>
        <w:rFonts w:hint="default"/>
        <w:lang w:val="en-US" w:eastAsia="zh-CN" w:bidi="ar-SA"/>
      </w:rPr>
    </w:lvl>
    <w:lvl w:ilvl="3">
      <w:start w:val="0"/>
      <w:numFmt w:val="bullet"/>
      <w:lvlText w:val="•"/>
      <w:lvlJc w:val="left"/>
      <w:pPr>
        <w:ind w:left="2810" w:hanging="529"/>
      </w:pPr>
      <w:rPr>
        <w:rFonts w:hint="default"/>
        <w:lang w:val="en-US" w:eastAsia="zh-CN" w:bidi="ar-SA"/>
      </w:rPr>
    </w:lvl>
    <w:lvl w:ilvl="4">
      <w:start w:val="0"/>
      <w:numFmt w:val="bullet"/>
      <w:lvlText w:val="•"/>
      <w:lvlJc w:val="left"/>
      <w:pPr>
        <w:ind w:left="3513" w:hanging="529"/>
      </w:pPr>
      <w:rPr>
        <w:rFonts w:hint="default"/>
        <w:lang w:val="en-US" w:eastAsia="zh-CN" w:bidi="ar-SA"/>
      </w:rPr>
    </w:lvl>
    <w:lvl w:ilvl="5">
      <w:start w:val="0"/>
      <w:numFmt w:val="bullet"/>
      <w:lvlText w:val="•"/>
      <w:lvlJc w:val="left"/>
      <w:pPr>
        <w:ind w:left="4217" w:hanging="529"/>
      </w:pPr>
      <w:rPr>
        <w:rFonts w:hint="default"/>
        <w:lang w:val="en-US" w:eastAsia="zh-CN" w:bidi="ar-SA"/>
      </w:rPr>
    </w:lvl>
    <w:lvl w:ilvl="6">
      <w:start w:val="0"/>
      <w:numFmt w:val="bullet"/>
      <w:lvlText w:val="•"/>
      <w:lvlJc w:val="left"/>
      <w:pPr>
        <w:ind w:left="4920" w:hanging="529"/>
      </w:pPr>
      <w:rPr>
        <w:rFonts w:hint="default"/>
        <w:lang w:val="en-US" w:eastAsia="zh-CN" w:bidi="ar-SA"/>
      </w:rPr>
    </w:lvl>
    <w:lvl w:ilvl="7">
      <w:start w:val="0"/>
      <w:numFmt w:val="bullet"/>
      <w:lvlText w:val="•"/>
      <w:lvlJc w:val="left"/>
      <w:pPr>
        <w:ind w:left="5623" w:hanging="529"/>
      </w:pPr>
      <w:rPr>
        <w:rFonts w:hint="default"/>
        <w:lang w:val="en-US" w:eastAsia="zh-CN" w:bidi="ar-SA"/>
      </w:rPr>
    </w:lvl>
    <w:lvl w:ilvl="8">
      <w:start w:val="0"/>
      <w:numFmt w:val="bullet"/>
      <w:lvlText w:val="•"/>
      <w:lvlJc w:val="left"/>
      <w:pPr>
        <w:ind w:left="6327" w:hanging="529"/>
      </w:pPr>
      <w:rPr>
        <w:rFonts w:hint="default"/>
        <w:lang w:val="en-US" w:eastAsia="zh-CN" w:bidi="ar-SA"/>
      </w:rPr>
    </w:lvl>
  </w:abstractNum>
  <w:abstractNum w:abstractNumId="22">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21">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87"/>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20">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19">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18">
    <w:multiLevelType w:val="hybridMultilevel"/>
    <w:lvl w:ilvl="0">
      <w:start w:val="3"/>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17">
    <w:multiLevelType w:val="hybridMultilevel"/>
    <w:lvl w:ilvl="0">
      <w:start w:val="1"/>
      <w:numFmt w:val="decimal"/>
      <w:lvlText w:val="（%1）"/>
      <w:lvlJc w:val="left"/>
      <w:pPr>
        <w:ind w:left="351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16">
    <w:multiLevelType w:val="hybridMultilevel"/>
    <w:lvl w:ilvl="0">
      <w:start w:val="1"/>
      <w:numFmt w:val="decimal"/>
      <w:lvlText w:val="（%1）"/>
      <w:lvlJc w:val="left"/>
      <w:pPr>
        <w:ind w:left="707"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88" w:hanging="529"/>
      </w:pPr>
      <w:rPr>
        <w:rFonts w:hint="default"/>
        <w:lang w:val="en-US" w:eastAsia="zh-CN" w:bidi="ar-SA"/>
      </w:rPr>
    </w:lvl>
    <w:lvl w:ilvl="3">
      <w:start w:val="0"/>
      <w:numFmt w:val="bullet"/>
      <w:lvlText w:val="•"/>
      <w:lvlJc w:val="left"/>
      <w:pPr>
        <w:ind w:left="4456" w:hanging="529"/>
      </w:pPr>
      <w:rPr>
        <w:rFonts w:hint="default"/>
        <w:lang w:val="en-US" w:eastAsia="zh-CN" w:bidi="ar-SA"/>
      </w:rPr>
    </w:lvl>
    <w:lvl w:ilvl="4">
      <w:start w:val="0"/>
      <w:numFmt w:val="bullet"/>
      <w:lvlText w:val="•"/>
      <w:lvlJc w:val="left"/>
      <w:pPr>
        <w:ind w:left="4924" w:hanging="529"/>
      </w:pPr>
      <w:rPr>
        <w:rFonts w:hint="default"/>
        <w:lang w:val="en-US" w:eastAsia="zh-CN" w:bidi="ar-SA"/>
      </w:rPr>
    </w:lvl>
    <w:lvl w:ilvl="5">
      <w:start w:val="0"/>
      <w:numFmt w:val="bullet"/>
      <w:lvlText w:val="•"/>
      <w:lvlJc w:val="left"/>
      <w:pPr>
        <w:ind w:left="5392" w:hanging="529"/>
      </w:pPr>
      <w:rPr>
        <w:rFonts w:hint="default"/>
        <w:lang w:val="en-US" w:eastAsia="zh-CN" w:bidi="ar-SA"/>
      </w:rPr>
    </w:lvl>
    <w:lvl w:ilvl="6">
      <w:start w:val="0"/>
      <w:numFmt w:val="bullet"/>
      <w:lvlText w:val="•"/>
      <w:lvlJc w:val="left"/>
      <w:pPr>
        <w:ind w:left="5861" w:hanging="529"/>
      </w:pPr>
      <w:rPr>
        <w:rFonts w:hint="default"/>
        <w:lang w:val="en-US" w:eastAsia="zh-CN" w:bidi="ar-SA"/>
      </w:rPr>
    </w:lvl>
    <w:lvl w:ilvl="7">
      <w:start w:val="0"/>
      <w:numFmt w:val="bullet"/>
      <w:lvlText w:val="•"/>
      <w:lvlJc w:val="left"/>
      <w:pPr>
        <w:ind w:left="6329" w:hanging="529"/>
      </w:pPr>
      <w:rPr>
        <w:rFonts w:hint="default"/>
        <w:lang w:val="en-US" w:eastAsia="zh-CN" w:bidi="ar-SA"/>
      </w:rPr>
    </w:lvl>
    <w:lvl w:ilvl="8">
      <w:start w:val="0"/>
      <w:numFmt w:val="bullet"/>
      <w:lvlText w:val="•"/>
      <w:lvlJc w:val="left"/>
      <w:pPr>
        <w:ind w:left="6797" w:hanging="529"/>
      </w:pPr>
      <w:rPr>
        <w:rFonts w:hint="default"/>
        <w:lang w:val="en-US" w:eastAsia="zh-CN" w:bidi="ar-SA"/>
      </w:rPr>
    </w:lvl>
  </w:abstractNum>
  <w:abstractNum w:abstractNumId="15">
    <w:multiLevelType w:val="hybridMultilevel"/>
    <w:lvl w:ilvl="0">
      <w:start w:val="2"/>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14">
    <w:multiLevelType w:val="hybridMultilevel"/>
    <w:lvl w:ilvl="0">
      <w:start w:val="1"/>
      <w:numFmt w:val="decimal"/>
      <w:lvlText w:val="（%1）"/>
      <w:lvlJc w:val="left"/>
      <w:pPr>
        <w:ind w:left="2990"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3754" w:hanging="529"/>
      </w:pPr>
      <w:rPr>
        <w:rFonts w:hint="default"/>
        <w:lang w:val="en-US" w:eastAsia="zh-CN" w:bidi="ar-SA"/>
      </w:rPr>
    </w:lvl>
    <w:lvl w:ilvl="2">
      <w:start w:val="0"/>
      <w:numFmt w:val="bullet"/>
      <w:lvlText w:val="•"/>
      <w:lvlJc w:val="left"/>
      <w:pPr>
        <w:ind w:left="4509" w:hanging="529"/>
      </w:pPr>
      <w:rPr>
        <w:rFonts w:hint="default"/>
        <w:lang w:val="en-US" w:eastAsia="zh-CN" w:bidi="ar-SA"/>
      </w:rPr>
    </w:lvl>
    <w:lvl w:ilvl="3">
      <w:start w:val="0"/>
      <w:numFmt w:val="bullet"/>
      <w:lvlText w:val="•"/>
      <w:lvlJc w:val="left"/>
      <w:pPr>
        <w:ind w:left="5263" w:hanging="529"/>
      </w:pPr>
      <w:rPr>
        <w:rFonts w:hint="default"/>
        <w:lang w:val="en-US" w:eastAsia="zh-CN" w:bidi="ar-SA"/>
      </w:rPr>
    </w:lvl>
    <w:lvl w:ilvl="4">
      <w:start w:val="0"/>
      <w:numFmt w:val="bullet"/>
      <w:lvlText w:val="•"/>
      <w:lvlJc w:val="left"/>
      <w:pPr>
        <w:ind w:left="6018" w:hanging="529"/>
      </w:pPr>
      <w:rPr>
        <w:rFonts w:hint="default"/>
        <w:lang w:val="en-US" w:eastAsia="zh-CN" w:bidi="ar-SA"/>
      </w:rPr>
    </w:lvl>
    <w:lvl w:ilvl="5">
      <w:start w:val="0"/>
      <w:numFmt w:val="bullet"/>
      <w:lvlText w:val="•"/>
      <w:lvlJc w:val="left"/>
      <w:pPr>
        <w:ind w:left="6773" w:hanging="529"/>
      </w:pPr>
      <w:rPr>
        <w:rFonts w:hint="default"/>
        <w:lang w:val="en-US" w:eastAsia="zh-CN" w:bidi="ar-SA"/>
      </w:rPr>
    </w:lvl>
    <w:lvl w:ilvl="6">
      <w:start w:val="0"/>
      <w:numFmt w:val="bullet"/>
      <w:lvlText w:val="•"/>
      <w:lvlJc w:val="left"/>
      <w:pPr>
        <w:ind w:left="7527" w:hanging="529"/>
      </w:pPr>
      <w:rPr>
        <w:rFonts w:hint="default"/>
        <w:lang w:val="en-US" w:eastAsia="zh-CN" w:bidi="ar-SA"/>
      </w:rPr>
    </w:lvl>
    <w:lvl w:ilvl="7">
      <w:start w:val="0"/>
      <w:numFmt w:val="bullet"/>
      <w:lvlText w:val="•"/>
      <w:lvlJc w:val="left"/>
      <w:pPr>
        <w:ind w:left="8282" w:hanging="529"/>
      </w:pPr>
      <w:rPr>
        <w:rFonts w:hint="default"/>
        <w:lang w:val="en-US" w:eastAsia="zh-CN" w:bidi="ar-SA"/>
      </w:rPr>
    </w:lvl>
    <w:lvl w:ilvl="8">
      <w:start w:val="0"/>
      <w:numFmt w:val="bullet"/>
      <w:lvlText w:val="•"/>
      <w:lvlJc w:val="left"/>
      <w:pPr>
        <w:ind w:left="9037" w:hanging="529"/>
      </w:pPr>
      <w:rPr>
        <w:rFonts w:hint="default"/>
        <w:lang w:val="en-US" w:eastAsia="zh-CN" w:bidi="ar-SA"/>
      </w:rPr>
    </w:lvl>
  </w:abstractNum>
  <w:abstractNum w:abstractNumId="13">
    <w:multiLevelType w:val="hybridMultilevel"/>
    <w:lvl w:ilvl="0">
      <w:start w:val="1"/>
      <w:numFmt w:val="lowerLetter"/>
      <w:lvlText w:val="%1."/>
      <w:lvlJc w:val="left"/>
      <w:pPr>
        <w:ind w:left="2990" w:hanging="213"/>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3754" w:hanging="213"/>
      </w:pPr>
      <w:rPr>
        <w:rFonts w:hint="default"/>
        <w:lang w:val="en-US" w:eastAsia="zh-CN" w:bidi="ar-SA"/>
      </w:rPr>
    </w:lvl>
    <w:lvl w:ilvl="2">
      <w:start w:val="0"/>
      <w:numFmt w:val="bullet"/>
      <w:lvlText w:val="•"/>
      <w:lvlJc w:val="left"/>
      <w:pPr>
        <w:ind w:left="4509" w:hanging="213"/>
      </w:pPr>
      <w:rPr>
        <w:rFonts w:hint="default"/>
        <w:lang w:val="en-US" w:eastAsia="zh-CN" w:bidi="ar-SA"/>
      </w:rPr>
    </w:lvl>
    <w:lvl w:ilvl="3">
      <w:start w:val="0"/>
      <w:numFmt w:val="bullet"/>
      <w:lvlText w:val="•"/>
      <w:lvlJc w:val="left"/>
      <w:pPr>
        <w:ind w:left="5263" w:hanging="213"/>
      </w:pPr>
      <w:rPr>
        <w:rFonts w:hint="default"/>
        <w:lang w:val="en-US" w:eastAsia="zh-CN" w:bidi="ar-SA"/>
      </w:rPr>
    </w:lvl>
    <w:lvl w:ilvl="4">
      <w:start w:val="0"/>
      <w:numFmt w:val="bullet"/>
      <w:lvlText w:val="•"/>
      <w:lvlJc w:val="left"/>
      <w:pPr>
        <w:ind w:left="6018" w:hanging="213"/>
      </w:pPr>
      <w:rPr>
        <w:rFonts w:hint="default"/>
        <w:lang w:val="en-US" w:eastAsia="zh-CN" w:bidi="ar-SA"/>
      </w:rPr>
    </w:lvl>
    <w:lvl w:ilvl="5">
      <w:start w:val="0"/>
      <w:numFmt w:val="bullet"/>
      <w:lvlText w:val="•"/>
      <w:lvlJc w:val="left"/>
      <w:pPr>
        <w:ind w:left="6773" w:hanging="213"/>
      </w:pPr>
      <w:rPr>
        <w:rFonts w:hint="default"/>
        <w:lang w:val="en-US" w:eastAsia="zh-CN" w:bidi="ar-SA"/>
      </w:rPr>
    </w:lvl>
    <w:lvl w:ilvl="6">
      <w:start w:val="0"/>
      <w:numFmt w:val="bullet"/>
      <w:lvlText w:val="•"/>
      <w:lvlJc w:val="left"/>
      <w:pPr>
        <w:ind w:left="7527" w:hanging="213"/>
      </w:pPr>
      <w:rPr>
        <w:rFonts w:hint="default"/>
        <w:lang w:val="en-US" w:eastAsia="zh-CN" w:bidi="ar-SA"/>
      </w:rPr>
    </w:lvl>
    <w:lvl w:ilvl="7">
      <w:start w:val="0"/>
      <w:numFmt w:val="bullet"/>
      <w:lvlText w:val="•"/>
      <w:lvlJc w:val="left"/>
      <w:pPr>
        <w:ind w:left="8282" w:hanging="213"/>
      </w:pPr>
      <w:rPr>
        <w:rFonts w:hint="default"/>
        <w:lang w:val="en-US" w:eastAsia="zh-CN" w:bidi="ar-SA"/>
      </w:rPr>
    </w:lvl>
    <w:lvl w:ilvl="8">
      <w:start w:val="0"/>
      <w:numFmt w:val="bullet"/>
      <w:lvlText w:val="•"/>
      <w:lvlJc w:val="left"/>
      <w:pPr>
        <w:ind w:left="9037" w:hanging="213"/>
      </w:pPr>
      <w:rPr>
        <w:rFonts w:hint="default"/>
        <w:lang w:val="en-US" w:eastAsia="zh-CN" w:bidi="ar-SA"/>
      </w:rPr>
    </w:lvl>
  </w:abstractNum>
  <w:abstractNum w:abstractNumId="12">
    <w:multiLevelType w:val="hybridMultilevel"/>
    <w:lvl w:ilvl="0">
      <w:start w:val="8"/>
      <w:numFmt w:val="decimal"/>
      <w:lvlText w:val="%1"/>
      <w:lvlJc w:val="left"/>
      <w:pPr>
        <w:ind w:left="1408" w:hanging="1184"/>
        <w:jc w:val="left"/>
      </w:pPr>
      <w:rPr>
        <w:rFonts w:hint="default"/>
        <w:lang w:val="en-US" w:eastAsia="zh-CN" w:bidi="ar-SA"/>
      </w:rPr>
    </w:lvl>
    <w:lvl w:ilvl="1">
      <w:start w:val="1"/>
      <w:numFmt w:val="decimal"/>
      <w:lvlText w:val="%1.%2"/>
      <w:lvlJc w:val="left"/>
      <w:pPr>
        <w:ind w:left="1408" w:hanging="1184"/>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2990" w:hanging="529"/>
        <w:jc w:val="left"/>
      </w:pPr>
      <w:rPr>
        <w:rFonts w:hint="default"/>
        <w:spacing w:val="-65"/>
        <w:w w:val="99"/>
        <w:lang w:val="en-US" w:eastAsia="zh-CN" w:bidi="ar-SA"/>
      </w:rPr>
    </w:lvl>
    <w:lvl w:ilvl="3">
      <w:start w:val="0"/>
      <w:numFmt w:val="bullet"/>
      <w:lvlText w:val="•"/>
      <w:lvlJc w:val="left"/>
      <w:pPr>
        <w:ind w:left="4676" w:hanging="529"/>
      </w:pPr>
      <w:rPr>
        <w:rFonts w:hint="default"/>
        <w:lang w:val="en-US" w:eastAsia="zh-CN" w:bidi="ar-SA"/>
      </w:rPr>
    </w:lvl>
    <w:lvl w:ilvl="4">
      <w:start w:val="0"/>
      <w:numFmt w:val="bullet"/>
      <w:lvlText w:val="•"/>
      <w:lvlJc w:val="left"/>
      <w:pPr>
        <w:ind w:left="5515" w:hanging="529"/>
      </w:pPr>
      <w:rPr>
        <w:rFonts w:hint="default"/>
        <w:lang w:val="en-US" w:eastAsia="zh-CN" w:bidi="ar-SA"/>
      </w:rPr>
    </w:lvl>
    <w:lvl w:ilvl="5">
      <w:start w:val="0"/>
      <w:numFmt w:val="bullet"/>
      <w:lvlText w:val="•"/>
      <w:lvlJc w:val="left"/>
      <w:pPr>
        <w:ind w:left="6353" w:hanging="529"/>
      </w:pPr>
      <w:rPr>
        <w:rFonts w:hint="default"/>
        <w:lang w:val="en-US" w:eastAsia="zh-CN" w:bidi="ar-SA"/>
      </w:rPr>
    </w:lvl>
    <w:lvl w:ilvl="6">
      <w:start w:val="0"/>
      <w:numFmt w:val="bullet"/>
      <w:lvlText w:val="•"/>
      <w:lvlJc w:val="left"/>
      <w:pPr>
        <w:ind w:left="7192" w:hanging="529"/>
      </w:pPr>
      <w:rPr>
        <w:rFonts w:hint="default"/>
        <w:lang w:val="en-US" w:eastAsia="zh-CN" w:bidi="ar-SA"/>
      </w:rPr>
    </w:lvl>
    <w:lvl w:ilvl="7">
      <w:start w:val="0"/>
      <w:numFmt w:val="bullet"/>
      <w:lvlText w:val="•"/>
      <w:lvlJc w:val="left"/>
      <w:pPr>
        <w:ind w:left="8030" w:hanging="529"/>
      </w:pPr>
      <w:rPr>
        <w:rFonts w:hint="default"/>
        <w:lang w:val="en-US" w:eastAsia="zh-CN" w:bidi="ar-SA"/>
      </w:rPr>
    </w:lvl>
    <w:lvl w:ilvl="8">
      <w:start w:val="0"/>
      <w:numFmt w:val="bullet"/>
      <w:lvlText w:val="•"/>
      <w:lvlJc w:val="left"/>
      <w:pPr>
        <w:ind w:left="8869" w:hanging="529"/>
      </w:pPr>
      <w:rPr>
        <w:rFonts w:hint="default"/>
        <w:lang w:val="en-US" w:eastAsia="zh-CN" w:bidi="ar-SA"/>
      </w:rPr>
    </w:lvl>
  </w:abstractNum>
  <w:abstractNum w:abstractNumId="11">
    <w:multiLevelType w:val="hybridMultilevel"/>
    <w:lvl w:ilvl="0">
      <w:start w:val="7"/>
      <w:numFmt w:val="decimal"/>
      <w:lvlText w:val="%1"/>
      <w:lvlJc w:val="left"/>
      <w:pPr>
        <w:ind w:left="2990" w:hanging="1184"/>
        <w:jc w:val="left"/>
      </w:pPr>
      <w:rPr>
        <w:rFonts w:hint="default"/>
        <w:lang w:val="en-US" w:eastAsia="zh-CN" w:bidi="ar-SA"/>
      </w:rPr>
    </w:lvl>
    <w:lvl w:ilvl="1">
      <w:start w:val="1"/>
      <w:numFmt w:val="decimal"/>
      <w:lvlText w:val="%1.%2"/>
      <w:lvlJc w:val="left"/>
      <w:pPr>
        <w:ind w:left="2990" w:hanging="118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509" w:hanging="1184"/>
      </w:pPr>
      <w:rPr>
        <w:rFonts w:hint="default"/>
        <w:lang w:val="en-US" w:eastAsia="zh-CN" w:bidi="ar-SA"/>
      </w:rPr>
    </w:lvl>
    <w:lvl w:ilvl="3">
      <w:start w:val="0"/>
      <w:numFmt w:val="bullet"/>
      <w:lvlText w:val="•"/>
      <w:lvlJc w:val="left"/>
      <w:pPr>
        <w:ind w:left="5263" w:hanging="1184"/>
      </w:pPr>
      <w:rPr>
        <w:rFonts w:hint="default"/>
        <w:lang w:val="en-US" w:eastAsia="zh-CN" w:bidi="ar-SA"/>
      </w:rPr>
    </w:lvl>
    <w:lvl w:ilvl="4">
      <w:start w:val="0"/>
      <w:numFmt w:val="bullet"/>
      <w:lvlText w:val="•"/>
      <w:lvlJc w:val="left"/>
      <w:pPr>
        <w:ind w:left="6018" w:hanging="1184"/>
      </w:pPr>
      <w:rPr>
        <w:rFonts w:hint="default"/>
        <w:lang w:val="en-US" w:eastAsia="zh-CN" w:bidi="ar-SA"/>
      </w:rPr>
    </w:lvl>
    <w:lvl w:ilvl="5">
      <w:start w:val="0"/>
      <w:numFmt w:val="bullet"/>
      <w:lvlText w:val="•"/>
      <w:lvlJc w:val="left"/>
      <w:pPr>
        <w:ind w:left="6773" w:hanging="1184"/>
      </w:pPr>
      <w:rPr>
        <w:rFonts w:hint="default"/>
        <w:lang w:val="en-US" w:eastAsia="zh-CN" w:bidi="ar-SA"/>
      </w:rPr>
    </w:lvl>
    <w:lvl w:ilvl="6">
      <w:start w:val="0"/>
      <w:numFmt w:val="bullet"/>
      <w:lvlText w:val="•"/>
      <w:lvlJc w:val="left"/>
      <w:pPr>
        <w:ind w:left="7527" w:hanging="1184"/>
      </w:pPr>
      <w:rPr>
        <w:rFonts w:hint="default"/>
        <w:lang w:val="en-US" w:eastAsia="zh-CN" w:bidi="ar-SA"/>
      </w:rPr>
    </w:lvl>
    <w:lvl w:ilvl="7">
      <w:start w:val="0"/>
      <w:numFmt w:val="bullet"/>
      <w:lvlText w:val="•"/>
      <w:lvlJc w:val="left"/>
      <w:pPr>
        <w:ind w:left="8282" w:hanging="1184"/>
      </w:pPr>
      <w:rPr>
        <w:rFonts w:hint="default"/>
        <w:lang w:val="en-US" w:eastAsia="zh-CN" w:bidi="ar-SA"/>
      </w:rPr>
    </w:lvl>
    <w:lvl w:ilvl="8">
      <w:start w:val="0"/>
      <w:numFmt w:val="bullet"/>
      <w:lvlText w:val="•"/>
      <w:lvlJc w:val="left"/>
      <w:pPr>
        <w:ind w:left="9037" w:hanging="1184"/>
      </w:pPr>
      <w:rPr>
        <w:rFonts w:hint="default"/>
        <w:lang w:val="en-US" w:eastAsia="zh-CN" w:bidi="ar-SA"/>
      </w:rPr>
    </w:lvl>
  </w:abstractNum>
  <w:abstractNum w:abstractNumId="10">
    <w:multiLevelType w:val="hybridMultilevel"/>
    <w:lvl w:ilvl="0">
      <w:start w:val="1"/>
      <w:numFmt w:val="decimal"/>
      <w:lvlText w:val="%1."/>
      <w:lvlJc w:val="left"/>
      <w:pPr>
        <w:ind w:left="341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132" w:hanging="420"/>
      </w:pPr>
      <w:rPr>
        <w:rFonts w:hint="default"/>
        <w:lang w:val="en-US" w:eastAsia="zh-CN" w:bidi="ar-SA"/>
      </w:rPr>
    </w:lvl>
    <w:lvl w:ilvl="2">
      <w:start w:val="0"/>
      <w:numFmt w:val="bullet"/>
      <w:lvlText w:val="•"/>
      <w:lvlJc w:val="left"/>
      <w:pPr>
        <w:ind w:left="4845" w:hanging="420"/>
      </w:pPr>
      <w:rPr>
        <w:rFonts w:hint="default"/>
        <w:lang w:val="en-US" w:eastAsia="zh-CN" w:bidi="ar-SA"/>
      </w:rPr>
    </w:lvl>
    <w:lvl w:ilvl="3">
      <w:start w:val="0"/>
      <w:numFmt w:val="bullet"/>
      <w:lvlText w:val="•"/>
      <w:lvlJc w:val="left"/>
      <w:pPr>
        <w:ind w:left="5557" w:hanging="420"/>
      </w:pPr>
      <w:rPr>
        <w:rFonts w:hint="default"/>
        <w:lang w:val="en-US" w:eastAsia="zh-CN" w:bidi="ar-SA"/>
      </w:rPr>
    </w:lvl>
    <w:lvl w:ilvl="4">
      <w:start w:val="0"/>
      <w:numFmt w:val="bullet"/>
      <w:lvlText w:val="•"/>
      <w:lvlJc w:val="left"/>
      <w:pPr>
        <w:ind w:left="6270" w:hanging="420"/>
      </w:pPr>
      <w:rPr>
        <w:rFonts w:hint="default"/>
        <w:lang w:val="en-US" w:eastAsia="zh-CN" w:bidi="ar-SA"/>
      </w:rPr>
    </w:lvl>
    <w:lvl w:ilvl="5">
      <w:start w:val="0"/>
      <w:numFmt w:val="bullet"/>
      <w:lvlText w:val="•"/>
      <w:lvlJc w:val="left"/>
      <w:pPr>
        <w:ind w:left="6983" w:hanging="420"/>
      </w:pPr>
      <w:rPr>
        <w:rFonts w:hint="default"/>
        <w:lang w:val="en-US" w:eastAsia="zh-CN" w:bidi="ar-SA"/>
      </w:rPr>
    </w:lvl>
    <w:lvl w:ilvl="6">
      <w:start w:val="0"/>
      <w:numFmt w:val="bullet"/>
      <w:lvlText w:val="•"/>
      <w:lvlJc w:val="left"/>
      <w:pPr>
        <w:ind w:left="7695" w:hanging="420"/>
      </w:pPr>
      <w:rPr>
        <w:rFonts w:hint="default"/>
        <w:lang w:val="en-US" w:eastAsia="zh-CN" w:bidi="ar-SA"/>
      </w:rPr>
    </w:lvl>
    <w:lvl w:ilvl="7">
      <w:start w:val="0"/>
      <w:numFmt w:val="bullet"/>
      <w:lvlText w:val="•"/>
      <w:lvlJc w:val="left"/>
      <w:pPr>
        <w:ind w:left="8408" w:hanging="420"/>
      </w:pPr>
      <w:rPr>
        <w:rFonts w:hint="default"/>
        <w:lang w:val="en-US" w:eastAsia="zh-CN" w:bidi="ar-SA"/>
      </w:rPr>
    </w:lvl>
    <w:lvl w:ilvl="8">
      <w:start w:val="0"/>
      <w:numFmt w:val="bullet"/>
      <w:lvlText w:val="•"/>
      <w:lvlJc w:val="left"/>
      <w:pPr>
        <w:ind w:left="9121" w:hanging="420"/>
      </w:pPr>
      <w:rPr>
        <w:rFonts w:hint="default"/>
        <w:lang w:val="en-US" w:eastAsia="zh-CN" w:bidi="ar-SA"/>
      </w:rPr>
    </w:lvl>
  </w:abstractNum>
  <w:abstractNum w:abstractNumId="9">
    <w:multiLevelType w:val="hybridMultilevel"/>
    <w:lvl w:ilvl="0">
      <w:start w:val="6"/>
      <w:numFmt w:val="decimal"/>
      <w:lvlText w:val="%1"/>
      <w:lvlJc w:val="left"/>
      <w:pPr>
        <w:ind w:left="1408" w:hanging="1184"/>
        <w:jc w:val="left"/>
      </w:pPr>
      <w:rPr>
        <w:rFonts w:hint="default"/>
        <w:lang w:val="en-US" w:eastAsia="zh-CN" w:bidi="ar-SA"/>
      </w:rPr>
    </w:lvl>
    <w:lvl w:ilvl="1">
      <w:start w:val="1"/>
      <w:numFmt w:val="decimal"/>
      <w:lvlText w:val="%1.%2"/>
      <w:lvlJc w:val="left"/>
      <w:pPr>
        <w:ind w:left="1408" w:hanging="1184"/>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410" w:hanging="4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276" w:hanging="420"/>
      </w:pPr>
      <w:rPr>
        <w:rFonts w:hint="default"/>
        <w:lang w:val="en-US" w:eastAsia="zh-CN" w:bidi="ar-SA"/>
      </w:rPr>
    </w:lvl>
    <w:lvl w:ilvl="4">
      <w:start w:val="0"/>
      <w:numFmt w:val="bullet"/>
      <w:lvlText w:val="•"/>
      <w:lvlJc w:val="left"/>
      <w:pPr>
        <w:ind w:left="3205" w:hanging="420"/>
      </w:pPr>
      <w:rPr>
        <w:rFonts w:hint="default"/>
        <w:lang w:val="en-US" w:eastAsia="zh-CN" w:bidi="ar-SA"/>
      </w:rPr>
    </w:lvl>
    <w:lvl w:ilvl="5">
      <w:start w:val="0"/>
      <w:numFmt w:val="bullet"/>
      <w:lvlText w:val="•"/>
      <w:lvlJc w:val="left"/>
      <w:pPr>
        <w:ind w:left="3133" w:hanging="420"/>
      </w:pPr>
      <w:rPr>
        <w:rFonts w:hint="default"/>
        <w:lang w:val="en-US" w:eastAsia="zh-CN" w:bidi="ar-SA"/>
      </w:rPr>
    </w:lvl>
    <w:lvl w:ilvl="6">
      <w:start w:val="0"/>
      <w:numFmt w:val="bullet"/>
      <w:lvlText w:val="•"/>
      <w:lvlJc w:val="left"/>
      <w:pPr>
        <w:ind w:left="3061" w:hanging="420"/>
      </w:pPr>
      <w:rPr>
        <w:rFonts w:hint="default"/>
        <w:lang w:val="en-US" w:eastAsia="zh-CN" w:bidi="ar-SA"/>
      </w:rPr>
    </w:lvl>
    <w:lvl w:ilvl="7">
      <w:start w:val="0"/>
      <w:numFmt w:val="bullet"/>
      <w:lvlText w:val="•"/>
      <w:lvlJc w:val="left"/>
      <w:pPr>
        <w:ind w:left="2990" w:hanging="420"/>
      </w:pPr>
      <w:rPr>
        <w:rFonts w:hint="default"/>
        <w:lang w:val="en-US" w:eastAsia="zh-CN" w:bidi="ar-SA"/>
      </w:rPr>
    </w:lvl>
    <w:lvl w:ilvl="8">
      <w:start w:val="0"/>
      <w:numFmt w:val="bullet"/>
      <w:lvlText w:val="•"/>
      <w:lvlJc w:val="left"/>
      <w:pPr>
        <w:ind w:left="2918" w:hanging="420"/>
      </w:pPr>
      <w:rPr>
        <w:rFonts w:hint="default"/>
        <w:lang w:val="en-US" w:eastAsia="zh-CN" w:bidi="ar-SA"/>
      </w:rPr>
    </w:lvl>
  </w:abstractNum>
  <w:abstractNum w:abstractNumId="8">
    <w:multiLevelType w:val="hybridMultilevel"/>
    <w:lvl w:ilvl="0">
      <w:start w:val="5"/>
      <w:numFmt w:val="decimal"/>
      <w:lvlText w:val="%1"/>
      <w:lvlJc w:val="left"/>
      <w:pPr>
        <w:ind w:left="1408" w:hanging="1184"/>
        <w:jc w:val="left"/>
      </w:pPr>
      <w:rPr>
        <w:rFonts w:hint="default"/>
        <w:lang w:val="en-US" w:eastAsia="zh-CN" w:bidi="ar-SA"/>
      </w:rPr>
    </w:lvl>
    <w:lvl w:ilvl="1">
      <w:start w:val="1"/>
      <w:numFmt w:val="decimal"/>
      <w:lvlText w:val="%1.%2"/>
      <w:lvlJc w:val="left"/>
      <w:pPr>
        <w:ind w:left="1408" w:hanging="118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229" w:hanging="1184"/>
      </w:pPr>
      <w:rPr>
        <w:rFonts w:hint="default"/>
        <w:lang w:val="en-US" w:eastAsia="zh-CN" w:bidi="ar-SA"/>
      </w:rPr>
    </w:lvl>
    <w:lvl w:ilvl="3">
      <w:start w:val="0"/>
      <w:numFmt w:val="bullet"/>
      <w:lvlText w:val="•"/>
      <w:lvlJc w:val="left"/>
      <w:pPr>
        <w:ind w:left="4143" w:hanging="1184"/>
      </w:pPr>
      <w:rPr>
        <w:rFonts w:hint="default"/>
        <w:lang w:val="en-US" w:eastAsia="zh-CN" w:bidi="ar-SA"/>
      </w:rPr>
    </w:lvl>
    <w:lvl w:ilvl="4">
      <w:start w:val="0"/>
      <w:numFmt w:val="bullet"/>
      <w:lvlText w:val="•"/>
      <w:lvlJc w:val="left"/>
      <w:pPr>
        <w:ind w:left="5058" w:hanging="1184"/>
      </w:pPr>
      <w:rPr>
        <w:rFonts w:hint="default"/>
        <w:lang w:val="en-US" w:eastAsia="zh-CN" w:bidi="ar-SA"/>
      </w:rPr>
    </w:lvl>
    <w:lvl w:ilvl="5">
      <w:start w:val="0"/>
      <w:numFmt w:val="bullet"/>
      <w:lvlText w:val="•"/>
      <w:lvlJc w:val="left"/>
      <w:pPr>
        <w:ind w:left="5973" w:hanging="1184"/>
      </w:pPr>
      <w:rPr>
        <w:rFonts w:hint="default"/>
        <w:lang w:val="en-US" w:eastAsia="zh-CN" w:bidi="ar-SA"/>
      </w:rPr>
    </w:lvl>
    <w:lvl w:ilvl="6">
      <w:start w:val="0"/>
      <w:numFmt w:val="bullet"/>
      <w:lvlText w:val="•"/>
      <w:lvlJc w:val="left"/>
      <w:pPr>
        <w:ind w:left="6887" w:hanging="1184"/>
      </w:pPr>
      <w:rPr>
        <w:rFonts w:hint="default"/>
        <w:lang w:val="en-US" w:eastAsia="zh-CN" w:bidi="ar-SA"/>
      </w:rPr>
    </w:lvl>
    <w:lvl w:ilvl="7">
      <w:start w:val="0"/>
      <w:numFmt w:val="bullet"/>
      <w:lvlText w:val="•"/>
      <w:lvlJc w:val="left"/>
      <w:pPr>
        <w:ind w:left="7802" w:hanging="1184"/>
      </w:pPr>
      <w:rPr>
        <w:rFonts w:hint="default"/>
        <w:lang w:val="en-US" w:eastAsia="zh-CN" w:bidi="ar-SA"/>
      </w:rPr>
    </w:lvl>
    <w:lvl w:ilvl="8">
      <w:start w:val="0"/>
      <w:numFmt w:val="bullet"/>
      <w:lvlText w:val="•"/>
      <w:lvlJc w:val="left"/>
      <w:pPr>
        <w:ind w:left="8717" w:hanging="1184"/>
      </w:pPr>
      <w:rPr>
        <w:rFonts w:hint="default"/>
        <w:lang w:val="en-US" w:eastAsia="zh-CN" w:bidi="ar-SA"/>
      </w:rPr>
    </w:lvl>
  </w:abstractNum>
  <w:abstractNum w:abstractNumId="7">
    <w:multiLevelType w:val="hybridMultilevel"/>
    <w:lvl w:ilvl="0">
      <w:start w:val="4"/>
      <w:numFmt w:val="decimal"/>
      <w:lvlText w:val="%1"/>
      <w:lvlJc w:val="left"/>
      <w:pPr>
        <w:ind w:left="2990" w:hanging="1184"/>
        <w:jc w:val="left"/>
      </w:pPr>
      <w:rPr>
        <w:rFonts w:hint="default"/>
        <w:lang w:val="en-US" w:eastAsia="zh-CN" w:bidi="ar-SA"/>
      </w:rPr>
    </w:lvl>
    <w:lvl w:ilvl="1">
      <w:start w:val="1"/>
      <w:numFmt w:val="decimal"/>
      <w:lvlText w:val="%1.%2"/>
      <w:lvlJc w:val="left"/>
      <w:pPr>
        <w:ind w:left="2990" w:hanging="118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509" w:hanging="1184"/>
      </w:pPr>
      <w:rPr>
        <w:rFonts w:hint="default"/>
        <w:lang w:val="en-US" w:eastAsia="zh-CN" w:bidi="ar-SA"/>
      </w:rPr>
    </w:lvl>
    <w:lvl w:ilvl="3">
      <w:start w:val="0"/>
      <w:numFmt w:val="bullet"/>
      <w:lvlText w:val="•"/>
      <w:lvlJc w:val="left"/>
      <w:pPr>
        <w:ind w:left="5263" w:hanging="1184"/>
      </w:pPr>
      <w:rPr>
        <w:rFonts w:hint="default"/>
        <w:lang w:val="en-US" w:eastAsia="zh-CN" w:bidi="ar-SA"/>
      </w:rPr>
    </w:lvl>
    <w:lvl w:ilvl="4">
      <w:start w:val="0"/>
      <w:numFmt w:val="bullet"/>
      <w:lvlText w:val="•"/>
      <w:lvlJc w:val="left"/>
      <w:pPr>
        <w:ind w:left="6018" w:hanging="1184"/>
      </w:pPr>
      <w:rPr>
        <w:rFonts w:hint="default"/>
        <w:lang w:val="en-US" w:eastAsia="zh-CN" w:bidi="ar-SA"/>
      </w:rPr>
    </w:lvl>
    <w:lvl w:ilvl="5">
      <w:start w:val="0"/>
      <w:numFmt w:val="bullet"/>
      <w:lvlText w:val="•"/>
      <w:lvlJc w:val="left"/>
      <w:pPr>
        <w:ind w:left="6773" w:hanging="1184"/>
      </w:pPr>
      <w:rPr>
        <w:rFonts w:hint="default"/>
        <w:lang w:val="en-US" w:eastAsia="zh-CN" w:bidi="ar-SA"/>
      </w:rPr>
    </w:lvl>
    <w:lvl w:ilvl="6">
      <w:start w:val="0"/>
      <w:numFmt w:val="bullet"/>
      <w:lvlText w:val="•"/>
      <w:lvlJc w:val="left"/>
      <w:pPr>
        <w:ind w:left="7527" w:hanging="1184"/>
      </w:pPr>
      <w:rPr>
        <w:rFonts w:hint="default"/>
        <w:lang w:val="en-US" w:eastAsia="zh-CN" w:bidi="ar-SA"/>
      </w:rPr>
    </w:lvl>
    <w:lvl w:ilvl="7">
      <w:start w:val="0"/>
      <w:numFmt w:val="bullet"/>
      <w:lvlText w:val="•"/>
      <w:lvlJc w:val="left"/>
      <w:pPr>
        <w:ind w:left="8282" w:hanging="1184"/>
      </w:pPr>
      <w:rPr>
        <w:rFonts w:hint="default"/>
        <w:lang w:val="en-US" w:eastAsia="zh-CN" w:bidi="ar-SA"/>
      </w:rPr>
    </w:lvl>
    <w:lvl w:ilvl="8">
      <w:start w:val="0"/>
      <w:numFmt w:val="bullet"/>
      <w:lvlText w:val="•"/>
      <w:lvlJc w:val="left"/>
      <w:pPr>
        <w:ind w:left="9037" w:hanging="1184"/>
      </w:pPr>
      <w:rPr>
        <w:rFonts w:hint="default"/>
        <w:lang w:val="en-US" w:eastAsia="zh-CN" w:bidi="ar-SA"/>
      </w:rPr>
    </w:lvl>
  </w:abstractNum>
  <w:abstractNum w:abstractNumId="6">
    <w:multiLevelType w:val="hybridMultilevel"/>
    <w:lvl w:ilvl="0">
      <w:start w:val="1"/>
      <w:numFmt w:val="decimal"/>
      <w:lvlText w:val="（%1）"/>
      <w:lvlJc w:val="left"/>
      <w:pPr>
        <w:ind w:left="35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22" w:hanging="529"/>
      </w:pPr>
      <w:rPr>
        <w:rFonts w:hint="default"/>
        <w:lang w:val="en-US" w:eastAsia="zh-CN" w:bidi="ar-SA"/>
      </w:rPr>
    </w:lvl>
    <w:lvl w:ilvl="2">
      <w:start w:val="0"/>
      <w:numFmt w:val="bullet"/>
      <w:lvlText w:val="•"/>
      <w:lvlJc w:val="left"/>
      <w:pPr>
        <w:ind w:left="4925" w:hanging="529"/>
      </w:pPr>
      <w:rPr>
        <w:rFonts w:hint="default"/>
        <w:lang w:val="en-US" w:eastAsia="zh-CN" w:bidi="ar-SA"/>
      </w:rPr>
    </w:lvl>
    <w:lvl w:ilvl="3">
      <w:start w:val="0"/>
      <w:numFmt w:val="bullet"/>
      <w:lvlText w:val="•"/>
      <w:lvlJc w:val="left"/>
      <w:pPr>
        <w:ind w:left="5627" w:hanging="529"/>
      </w:pPr>
      <w:rPr>
        <w:rFonts w:hint="default"/>
        <w:lang w:val="en-US" w:eastAsia="zh-CN" w:bidi="ar-SA"/>
      </w:rPr>
    </w:lvl>
    <w:lvl w:ilvl="4">
      <w:start w:val="0"/>
      <w:numFmt w:val="bullet"/>
      <w:lvlText w:val="•"/>
      <w:lvlJc w:val="left"/>
      <w:pPr>
        <w:ind w:left="6330" w:hanging="529"/>
      </w:pPr>
      <w:rPr>
        <w:rFonts w:hint="default"/>
        <w:lang w:val="en-US" w:eastAsia="zh-CN" w:bidi="ar-SA"/>
      </w:rPr>
    </w:lvl>
    <w:lvl w:ilvl="5">
      <w:start w:val="0"/>
      <w:numFmt w:val="bullet"/>
      <w:lvlText w:val="•"/>
      <w:lvlJc w:val="left"/>
      <w:pPr>
        <w:ind w:left="7033" w:hanging="529"/>
      </w:pPr>
      <w:rPr>
        <w:rFonts w:hint="default"/>
        <w:lang w:val="en-US" w:eastAsia="zh-CN" w:bidi="ar-SA"/>
      </w:rPr>
    </w:lvl>
    <w:lvl w:ilvl="6">
      <w:start w:val="0"/>
      <w:numFmt w:val="bullet"/>
      <w:lvlText w:val="•"/>
      <w:lvlJc w:val="left"/>
      <w:pPr>
        <w:ind w:left="7735" w:hanging="529"/>
      </w:pPr>
      <w:rPr>
        <w:rFonts w:hint="default"/>
        <w:lang w:val="en-US" w:eastAsia="zh-CN" w:bidi="ar-SA"/>
      </w:rPr>
    </w:lvl>
    <w:lvl w:ilvl="7">
      <w:start w:val="0"/>
      <w:numFmt w:val="bullet"/>
      <w:lvlText w:val="•"/>
      <w:lvlJc w:val="left"/>
      <w:pPr>
        <w:ind w:left="843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5">
    <w:multiLevelType w:val="hybridMultilevel"/>
    <w:lvl w:ilvl="0">
      <w:start w:val="2"/>
      <w:numFmt w:val="decimal"/>
      <w:lvlText w:val="%1"/>
      <w:lvlJc w:val="left"/>
      <w:pPr>
        <w:ind w:left="1408" w:hanging="1184"/>
        <w:jc w:val="left"/>
      </w:pPr>
      <w:rPr>
        <w:rFonts w:hint="default"/>
        <w:lang w:val="en-US" w:eastAsia="zh-CN" w:bidi="ar-SA"/>
      </w:rPr>
    </w:lvl>
    <w:lvl w:ilvl="1">
      <w:start w:val="5"/>
      <w:numFmt w:val="decimal"/>
      <w:lvlText w:val="%1.%2"/>
      <w:lvlJc w:val="left"/>
      <w:pPr>
        <w:ind w:left="1408" w:hanging="1184"/>
        <w:jc w:val="left"/>
      </w:pPr>
      <w:rPr>
        <w:rFonts w:hint="default"/>
        <w:lang w:val="en-US" w:eastAsia="zh-CN" w:bidi="ar-SA"/>
      </w:rPr>
    </w:lvl>
    <w:lvl w:ilvl="2">
      <w:start w:val="2"/>
      <w:numFmt w:val="decimal"/>
      <w:lvlText w:val="%1.%2.%3"/>
      <w:lvlJc w:val="left"/>
      <w:pPr>
        <w:ind w:left="1408" w:hanging="1184"/>
        <w:jc w:val="left"/>
      </w:pPr>
      <w:rPr>
        <w:rFonts w:hint="default" w:ascii="宋体" w:hAnsi="宋体" w:eastAsia="宋体" w:cs="宋体"/>
        <w:b w:val="0"/>
        <w:bCs w:val="0"/>
        <w:i w:val="0"/>
        <w:iCs w:val="0"/>
        <w:w w:val="100"/>
        <w:sz w:val="21"/>
        <w:szCs w:val="21"/>
        <w:lang w:val="en-US" w:eastAsia="zh-CN" w:bidi="ar-SA"/>
      </w:rPr>
    </w:lvl>
    <w:lvl w:ilvl="3">
      <w:start w:val="1"/>
      <w:numFmt w:val="decimal"/>
      <w:lvlText w:val="%4."/>
      <w:lvlJc w:val="left"/>
      <w:pPr>
        <w:ind w:left="2990" w:hanging="213"/>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2932" w:hanging="213"/>
      </w:pPr>
      <w:rPr>
        <w:rFonts w:hint="default"/>
        <w:lang w:val="en-US" w:eastAsia="zh-CN" w:bidi="ar-SA"/>
      </w:rPr>
    </w:lvl>
    <w:lvl w:ilvl="5">
      <w:start w:val="0"/>
      <w:numFmt w:val="bullet"/>
      <w:lvlText w:val="•"/>
      <w:lvlJc w:val="left"/>
      <w:pPr>
        <w:ind w:left="2910" w:hanging="213"/>
      </w:pPr>
      <w:rPr>
        <w:rFonts w:hint="default"/>
        <w:lang w:val="en-US" w:eastAsia="zh-CN" w:bidi="ar-SA"/>
      </w:rPr>
    </w:lvl>
    <w:lvl w:ilvl="6">
      <w:start w:val="0"/>
      <w:numFmt w:val="bullet"/>
      <w:lvlText w:val="•"/>
      <w:lvlJc w:val="left"/>
      <w:pPr>
        <w:ind w:left="2887" w:hanging="213"/>
      </w:pPr>
      <w:rPr>
        <w:rFonts w:hint="default"/>
        <w:lang w:val="en-US" w:eastAsia="zh-CN" w:bidi="ar-SA"/>
      </w:rPr>
    </w:lvl>
    <w:lvl w:ilvl="7">
      <w:start w:val="0"/>
      <w:numFmt w:val="bullet"/>
      <w:lvlText w:val="•"/>
      <w:lvlJc w:val="left"/>
      <w:pPr>
        <w:ind w:left="2865" w:hanging="213"/>
      </w:pPr>
      <w:rPr>
        <w:rFonts w:hint="default"/>
        <w:lang w:val="en-US" w:eastAsia="zh-CN" w:bidi="ar-SA"/>
      </w:rPr>
    </w:lvl>
    <w:lvl w:ilvl="8">
      <w:start w:val="0"/>
      <w:numFmt w:val="bullet"/>
      <w:lvlText w:val="•"/>
      <w:lvlJc w:val="left"/>
      <w:pPr>
        <w:ind w:left="2842" w:hanging="213"/>
      </w:pPr>
      <w:rPr>
        <w:rFonts w:hint="default"/>
        <w:lang w:val="en-US" w:eastAsia="zh-CN" w:bidi="ar-SA"/>
      </w:rPr>
    </w:lvl>
  </w:abstractNum>
  <w:abstractNum w:abstractNumId="4">
    <w:multiLevelType w:val="hybridMultilevel"/>
    <w:lvl w:ilvl="0">
      <w:start w:val="1"/>
      <w:numFmt w:val="decimal"/>
      <w:lvlText w:val="%1."/>
      <w:lvlJc w:val="left"/>
      <w:pPr>
        <w:ind w:left="319"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55" w:hanging="213"/>
      </w:pPr>
      <w:rPr>
        <w:rFonts w:hint="default"/>
        <w:lang w:val="en-US" w:eastAsia="zh-CN" w:bidi="ar-SA"/>
      </w:rPr>
    </w:lvl>
    <w:lvl w:ilvl="2">
      <w:start w:val="0"/>
      <w:numFmt w:val="bullet"/>
      <w:lvlText w:val="•"/>
      <w:lvlJc w:val="left"/>
      <w:pPr>
        <w:ind w:left="1590" w:hanging="213"/>
      </w:pPr>
      <w:rPr>
        <w:rFonts w:hint="default"/>
        <w:lang w:val="en-US" w:eastAsia="zh-CN" w:bidi="ar-SA"/>
      </w:rPr>
    </w:lvl>
    <w:lvl w:ilvl="3">
      <w:start w:val="0"/>
      <w:numFmt w:val="bullet"/>
      <w:lvlText w:val="•"/>
      <w:lvlJc w:val="left"/>
      <w:pPr>
        <w:ind w:left="2225" w:hanging="213"/>
      </w:pPr>
      <w:rPr>
        <w:rFonts w:hint="default"/>
        <w:lang w:val="en-US" w:eastAsia="zh-CN" w:bidi="ar-SA"/>
      </w:rPr>
    </w:lvl>
    <w:lvl w:ilvl="4">
      <w:start w:val="0"/>
      <w:numFmt w:val="bullet"/>
      <w:lvlText w:val="•"/>
      <w:lvlJc w:val="left"/>
      <w:pPr>
        <w:ind w:left="2860" w:hanging="213"/>
      </w:pPr>
      <w:rPr>
        <w:rFonts w:hint="default"/>
        <w:lang w:val="en-US" w:eastAsia="zh-CN" w:bidi="ar-SA"/>
      </w:rPr>
    </w:lvl>
    <w:lvl w:ilvl="5">
      <w:start w:val="0"/>
      <w:numFmt w:val="bullet"/>
      <w:lvlText w:val="•"/>
      <w:lvlJc w:val="left"/>
      <w:pPr>
        <w:ind w:left="3496" w:hanging="213"/>
      </w:pPr>
      <w:rPr>
        <w:rFonts w:hint="default"/>
        <w:lang w:val="en-US" w:eastAsia="zh-CN" w:bidi="ar-SA"/>
      </w:rPr>
    </w:lvl>
    <w:lvl w:ilvl="6">
      <w:start w:val="0"/>
      <w:numFmt w:val="bullet"/>
      <w:lvlText w:val="•"/>
      <w:lvlJc w:val="left"/>
      <w:pPr>
        <w:ind w:left="4131" w:hanging="213"/>
      </w:pPr>
      <w:rPr>
        <w:rFonts w:hint="default"/>
        <w:lang w:val="en-US" w:eastAsia="zh-CN" w:bidi="ar-SA"/>
      </w:rPr>
    </w:lvl>
    <w:lvl w:ilvl="7">
      <w:start w:val="0"/>
      <w:numFmt w:val="bullet"/>
      <w:lvlText w:val="•"/>
      <w:lvlJc w:val="left"/>
      <w:pPr>
        <w:ind w:left="4766" w:hanging="213"/>
      </w:pPr>
      <w:rPr>
        <w:rFonts w:hint="default"/>
        <w:lang w:val="en-US" w:eastAsia="zh-CN" w:bidi="ar-SA"/>
      </w:rPr>
    </w:lvl>
    <w:lvl w:ilvl="8">
      <w:start w:val="0"/>
      <w:numFmt w:val="bullet"/>
      <w:lvlText w:val="•"/>
      <w:lvlJc w:val="left"/>
      <w:pPr>
        <w:ind w:left="5401" w:hanging="213"/>
      </w:pPr>
      <w:rPr>
        <w:rFonts w:hint="default"/>
        <w:lang w:val="en-US" w:eastAsia="zh-CN" w:bidi="ar-SA"/>
      </w:rPr>
    </w:lvl>
  </w:abstractNum>
  <w:abstractNum w:abstractNumId="3">
    <w:multiLevelType w:val="hybridMultilevel"/>
    <w:lvl w:ilvl="0">
      <w:start w:val="1"/>
      <w:numFmt w:val="decimal"/>
      <w:lvlText w:val="%1."/>
      <w:lvlJc w:val="left"/>
      <w:pPr>
        <w:ind w:left="319"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55" w:hanging="213"/>
      </w:pPr>
      <w:rPr>
        <w:rFonts w:hint="default"/>
        <w:lang w:val="en-US" w:eastAsia="zh-CN" w:bidi="ar-SA"/>
      </w:rPr>
    </w:lvl>
    <w:lvl w:ilvl="2">
      <w:start w:val="0"/>
      <w:numFmt w:val="bullet"/>
      <w:lvlText w:val="•"/>
      <w:lvlJc w:val="left"/>
      <w:pPr>
        <w:ind w:left="1590" w:hanging="213"/>
      </w:pPr>
      <w:rPr>
        <w:rFonts w:hint="default"/>
        <w:lang w:val="en-US" w:eastAsia="zh-CN" w:bidi="ar-SA"/>
      </w:rPr>
    </w:lvl>
    <w:lvl w:ilvl="3">
      <w:start w:val="0"/>
      <w:numFmt w:val="bullet"/>
      <w:lvlText w:val="•"/>
      <w:lvlJc w:val="left"/>
      <w:pPr>
        <w:ind w:left="2225" w:hanging="213"/>
      </w:pPr>
      <w:rPr>
        <w:rFonts w:hint="default"/>
        <w:lang w:val="en-US" w:eastAsia="zh-CN" w:bidi="ar-SA"/>
      </w:rPr>
    </w:lvl>
    <w:lvl w:ilvl="4">
      <w:start w:val="0"/>
      <w:numFmt w:val="bullet"/>
      <w:lvlText w:val="•"/>
      <w:lvlJc w:val="left"/>
      <w:pPr>
        <w:ind w:left="2860" w:hanging="213"/>
      </w:pPr>
      <w:rPr>
        <w:rFonts w:hint="default"/>
        <w:lang w:val="en-US" w:eastAsia="zh-CN" w:bidi="ar-SA"/>
      </w:rPr>
    </w:lvl>
    <w:lvl w:ilvl="5">
      <w:start w:val="0"/>
      <w:numFmt w:val="bullet"/>
      <w:lvlText w:val="•"/>
      <w:lvlJc w:val="left"/>
      <w:pPr>
        <w:ind w:left="3496" w:hanging="213"/>
      </w:pPr>
      <w:rPr>
        <w:rFonts w:hint="default"/>
        <w:lang w:val="en-US" w:eastAsia="zh-CN" w:bidi="ar-SA"/>
      </w:rPr>
    </w:lvl>
    <w:lvl w:ilvl="6">
      <w:start w:val="0"/>
      <w:numFmt w:val="bullet"/>
      <w:lvlText w:val="•"/>
      <w:lvlJc w:val="left"/>
      <w:pPr>
        <w:ind w:left="4131" w:hanging="213"/>
      </w:pPr>
      <w:rPr>
        <w:rFonts w:hint="default"/>
        <w:lang w:val="en-US" w:eastAsia="zh-CN" w:bidi="ar-SA"/>
      </w:rPr>
    </w:lvl>
    <w:lvl w:ilvl="7">
      <w:start w:val="0"/>
      <w:numFmt w:val="bullet"/>
      <w:lvlText w:val="•"/>
      <w:lvlJc w:val="left"/>
      <w:pPr>
        <w:ind w:left="4766" w:hanging="213"/>
      </w:pPr>
      <w:rPr>
        <w:rFonts w:hint="default"/>
        <w:lang w:val="en-US" w:eastAsia="zh-CN" w:bidi="ar-SA"/>
      </w:rPr>
    </w:lvl>
    <w:lvl w:ilvl="8">
      <w:start w:val="0"/>
      <w:numFmt w:val="bullet"/>
      <w:lvlText w:val="•"/>
      <w:lvlJc w:val="left"/>
      <w:pPr>
        <w:ind w:left="5401" w:hanging="213"/>
      </w:pPr>
      <w:rPr>
        <w:rFonts w:hint="default"/>
        <w:lang w:val="en-US" w:eastAsia="zh-CN" w:bidi="ar-SA"/>
      </w:rPr>
    </w:lvl>
  </w:abstractNum>
  <w:abstractNum w:abstractNumId="2">
    <w:multiLevelType w:val="hybridMultilevel"/>
    <w:lvl w:ilvl="0">
      <w:start w:val="8"/>
      <w:numFmt w:val="decimal"/>
      <w:lvlText w:val="%1"/>
      <w:lvlJc w:val="left"/>
      <w:pPr>
        <w:ind w:left="908" w:hanging="526"/>
        <w:jc w:val="left"/>
      </w:pPr>
      <w:rPr>
        <w:rFonts w:hint="default"/>
        <w:lang w:val="en-US" w:eastAsia="zh-CN" w:bidi="ar-SA"/>
      </w:rPr>
    </w:lvl>
    <w:lvl w:ilvl="1">
      <w:start w:val="8"/>
      <w:numFmt w:val="decimal"/>
      <w:lvlText w:val="%1.%2"/>
      <w:lvlJc w:val="left"/>
      <w:pPr>
        <w:ind w:left="908" w:hanging="526"/>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8" w:hanging="526"/>
      </w:pPr>
      <w:rPr>
        <w:rFonts w:hint="default"/>
        <w:lang w:val="en-US" w:eastAsia="zh-CN" w:bidi="ar-SA"/>
      </w:rPr>
    </w:lvl>
    <w:lvl w:ilvl="3">
      <w:start w:val="0"/>
      <w:numFmt w:val="bullet"/>
      <w:lvlText w:val="•"/>
      <w:lvlJc w:val="left"/>
      <w:pPr>
        <w:ind w:left="1481" w:hanging="526"/>
      </w:pPr>
      <w:rPr>
        <w:rFonts w:hint="default"/>
        <w:lang w:val="en-US" w:eastAsia="zh-CN" w:bidi="ar-SA"/>
      </w:rPr>
    </w:lvl>
    <w:lvl w:ilvl="4">
      <w:start w:val="0"/>
      <w:numFmt w:val="bullet"/>
      <w:lvlText w:val="•"/>
      <w:lvlJc w:val="left"/>
      <w:pPr>
        <w:ind w:left="1675" w:hanging="526"/>
      </w:pPr>
      <w:rPr>
        <w:rFonts w:hint="default"/>
        <w:lang w:val="en-US" w:eastAsia="zh-CN" w:bidi="ar-SA"/>
      </w:rPr>
    </w:lvl>
    <w:lvl w:ilvl="5">
      <w:start w:val="0"/>
      <w:numFmt w:val="bullet"/>
      <w:lvlText w:val="•"/>
      <w:lvlJc w:val="left"/>
      <w:pPr>
        <w:ind w:left="1869" w:hanging="526"/>
      </w:pPr>
      <w:rPr>
        <w:rFonts w:hint="default"/>
        <w:lang w:val="en-US" w:eastAsia="zh-CN" w:bidi="ar-SA"/>
      </w:rPr>
    </w:lvl>
    <w:lvl w:ilvl="6">
      <w:start w:val="0"/>
      <w:numFmt w:val="bullet"/>
      <w:lvlText w:val="•"/>
      <w:lvlJc w:val="left"/>
      <w:pPr>
        <w:ind w:left="2063" w:hanging="526"/>
      </w:pPr>
      <w:rPr>
        <w:rFonts w:hint="default"/>
        <w:lang w:val="en-US" w:eastAsia="zh-CN" w:bidi="ar-SA"/>
      </w:rPr>
    </w:lvl>
    <w:lvl w:ilvl="7">
      <w:start w:val="0"/>
      <w:numFmt w:val="bullet"/>
      <w:lvlText w:val="•"/>
      <w:lvlJc w:val="left"/>
      <w:pPr>
        <w:ind w:left="2257" w:hanging="526"/>
      </w:pPr>
      <w:rPr>
        <w:rFonts w:hint="default"/>
        <w:lang w:val="en-US" w:eastAsia="zh-CN" w:bidi="ar-SA"/>
      </w:rPr>
    </w:lvl>
    <w:lvl w:ilvl="8">
      <w:start w:val="0"/>
      <w:numFmt w:val="bullet"/>
      <w:lvlText w:val="•"/>
      <w:lvlJc w:val="left"/>
      <w:pPr>
        <w:ind w:left="2451" w:hanging="526"/>
      </w:pPr>
      <w:rPr>
        <w:rFonts w:hint="default"/>
        <w:lang w:val="en-US" w:eastAsia="zh-CN" w:bidi="ar-SA"/>
      </w:rPr>
    </w:lvl>
  </w:abstractNum>
  <w:abstractNum w:abstractNumId="1">
    <w:multiLevelType w:val="hybridMultilevel"/>
    <w:lvl w:ilvl="0">
      <w:start w:val="1"/>
      <w:numFmt w:val="decimal"/>
      <w:lvlText w:val="%1"/>
      <w:lvlJc w:val="left"/>
      <w:pPr>
        <w:ind w:left="626" w:hanging="423"/>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940"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0" w:hanging="526"/>
      </w:pPr>
      <w:rPr>
        <w:rFonts w:hint="default"/>
        <w:lang w:val="en-US" w:eastAsia="zh-CN" w:bidi="ar-SA"/>
      </w:rPr>
    </w:lvl>
    <w:lvl w:ilvl="3">
      <w:start w:val="0"/>
      <w:numFmt w:val="bullet"/>
      <w:lvlText w:val="•"/>
      <w:lvlJc w:val="left"/>
      <w:pPr>
        <w:ind w:left="817" w:hanging="526"/>
      </w:pPr>
      <w:rPr>
        <w:rFonts w:hint="default"/>
        <w:lang w:val="en-US" w:eastAsia="zh-CN" w:bidi="ar-SA"/>
      </w:rPr>
    </w:lvl>
    <w:lvl w:ilvl="4">
      <w:start w:val="0"/>
      <w:numFmt w:val="bullet"/>
      <w:lvlText w:val="•"/>
      <w:lvlJc w:val="left"/>
      <w:pPr>
        <w:ind w:left="695" w:hanging="526"/>
      </w:pPr>
      <w:rPr>
        <w:rFonts w:hint="default"/>
        <w:lang w:val="en-US" w:eastAsia="zh-CN" w:bidi="ar-SA"/>
      </w:rPr>
    </w:lvl>
    <w:lvl w:ilvl="5">
      <w:start w:val="0"/>
      <w:numFmt w:val="bullet"/>
      <w:lvlText w:val="•"/>
      <w:lvlJc w:val="left"/>
      <w:pPr>
        <w:ind w:left="572" w:hanging="526"/>
      </w:pPr>
      <w:rPr>
        <w:rFonts w:hint="default"/>
        <w:lang w:val="en-US" w:eastAsia="zh-CN" w:bidi="ar-SA"/>
      </w:rPr>
    </w:lvl>
    <w:lvl w:ilvl="6">
      <w:start w:val="0"/>
      <w:numFmt w:val="bullet"/>
      <w:lvlText w:val="•"/>
      <w:lvlJc w:val="left"/>
      <w:pPr>
        <w:ind w:left="450" w:hanging="526"/>
      </w:pPr>
      <w:rPr>
        <w:rFonts w:hint="default"/>
        <w:lang w:val="en-US" w:eastAsia="zh-CN" w:bidi="ar-SA"/>
      </w:rPr>
    </w:lvl>
    <w:lvl w:ilvl="7">
      <w:start w:val="0"/>
      <w:numFmt w:val="bullet"/>
      <w:lvlText w:val="•"/>
      <w:lvlJc w:val="left"/>
      <w:pPr>
        <w:ind w:left="327" w:hanging="526"/>
      </w:pPr>
      <w:rPr>
        <w:rFonts w:hint="default"/>
        <w:lang w:val="en-US" w:eastAsia="zh-CN" w:bidi="ar-SA"/>
      </w:rPr>
    </w:lvl>
    <w:lvl w:ilvl="8">
      <w:start w:val="0"/>
      <w:numFmt w:val="bullet"/>
      <w:lvlText w:val="•"/>
      <w:lvlJc w:val="left"/>
      <w:pPr>
        <w:ind w:left="205" w:hanging="526"/>
      </w:pPr>
      <w:rPr>
        <w:rFonts w:hint="default"/>
        <w:lang w:val="en-US" w:eastAsia="zh-CN" w:bidi="ar-SA"/>
      </w:rPr>
    </w:lvl>
  </w:abstractNum>
  <w:abstractNum w:abstractNumId="0">
    <w:multiLevelType w:val="hybridMultilevel"/>
    <w:lvl w:ilvl="0">
      <w:start w:val="0"/>
      <w:numFmt w:val="bullet"/>
      <w:lvlText w:val=""/>
      <w:lvlJc w:val="left"/>
      <w:pPr>
        <w:ind w:left="753" w:hanging="550"/>
      </w:pPr>
      <w:rPr>
        <w:rFonts w:hint="default" w:ascii="Wingdings" w:hAnsi="Wingdings" w:eastAsia="Wingdings" w:cs="Wingdings"/>
        <w:b w:val="0"/>
        <w:bCs w:val="0"/>
        <w:i w:val="0"/>
        <w:iCs w:val="0"/>
        <w:w w:val="100"/>
        <w:sz w:val="36"/>
        <w:szCs w:val="36"/>
        <w:lang w:val="en-US" w:eastAsia="zh-CN" w:bidi="ar-SA"/>
      </w:rPr>
    </w:lvl>
    <w:lvl w:ilvl="1">
      <w:start w:val="0"/>
      <w:numFmt w:val="bullet"/>
      <w:lvlText w:val=""/>
      <w:lvlJc w:val="left"/>
      <w:pPr>
        <w:ind w:left="1022" w:hanging="399"/>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1781" w:hanging="399"/>
      </w:pPr>
      <w:rPr>
        <w:rFonts w:hint="default"/>
        <w:lang w:val="en-US" w:eastAsia="zh-CN" w:bidi="ar-SA"/>
      </w:rPr>
    </w:lvl>
    <w:lvl w:ilvl="3">
      <w:start w:val="0"/>
      <w:numFmt w:val="bullet"/>
      <w:lvlText w:val="•"/>
      <w:lvlJc w:val="left"/>
      <w:pPr>
        <w:ind w:left="2542" w:hanging="399"/>
      </w:pPr>
      <w:rPr>
        <w:rFonts w:hint="default"/>
        <w:lang w:val="en-US" w:eastAsia="zh-CN" w:bidi="ar-SA"/>
      </w:rPr>
    </w:lvl>
    <w:lvl w:ilvl="4">
      <w:start w:val="0"/>
      <w:numFmt w:val="bullet"/>
      <w:lvlText w:val="•"/>
      <w:lvlJc w:val="left"/>
      <w:pPr>
        <w:ind w:left="3304" w:hanging="399"/>
      </w:pPr>
      <w:rPr>
        <w:rFonts w:hint="default"/>
        <w:lang w:val="en-US" w:eastAsia="zh-CN" w:bidi="ar-SA"/>
      </w:rPr>
    </w:lvl>
    <w:lvl w:ilvl="5">
      <w:start w:val="0"/>
      <w:numFmt w:val="bullet"/>
      <w:lvlText w:val="•"/>
      <w:lvlJc w:val="left"/>
      <w:pPr>
        <w:ind w:left="4065" w:hanging="399"/>
      </w:pPr>
      <w:rPr>
        <w:rFonts w:hint="default"/>
        <w:lang w:val="en-US" w:eastAsia="zh-CN" w:bidi="ar-SA"/>
      </w:rPr>
    </w:lvl>
    <w:lvl w:ilvl="6">
      <w:start w:val="0"/>
      <w:numFmt w:val="bullet"/>
      <w:lvlText w:val="•"/>
      <w:lvlJc w:val="left"/>
      <w:pPr>
        <w:ind w:left="4827" w:hanging="399"/>
      </w:pPr>
      <w:rPr>
        <w:rFonts w:hint="default"/>
        <w:lang w:val="en-US" w:eastAsia="zh-CN" w:bidi="ar-SA"/>
      </w:rPr>
    </w:lvl>
    <w:lvl w:ilvl="7">
      <w:start w:val="0"/>
      <w:numFmt w:val="bullet"/>
      <w:lvlText w:val="•"/>
      <w:lvlJc w:val="left"/>
      <w:pPr>
        <w:ind w:left="5588" w:hanging="399"/>
      </w:pPr>
      <w:rPr>
        <w:rFonts w:hint="default"/>
        <w:lang w:val="en-US" w:eastAsia="zh-CN" w:bidi="ar-SA"/>
      </w:rPr>
    </w:lvl>
    <w:lvl w:ilvl="8">
      <w:start w:val="0"/>
      <w:numFmt w:val="bullet"/>
      <w:lvlText w:val="•"/>
      <w:lvlJc w:val="left"/>
      <w:pPr>
        <w:ind w:left="6349" w:hanging="399"/>
      </w:pPr>
      <w:rPr>
        <w:rFonts w:hint="default"/>
        <w:lang w:val="en-US" w:eastAsia="zh-CN" w:bidi="ar-SA"/>
      </w:rPr>
    </w:lvl>
  </w:abstract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Title" w:type="paragraph">
    <w:name w:val="Title"/>
    <w:basedOn w:val="Normal"/>
    <w:uiPriority w:val="1"/>
    <w:qFormat/>
    <w:pPr>
      <w:spacing w:before="30"/>
      <w:ind w:left="909" w:right="1750"/>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ind w:left="3519" w:hanging="53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2023-06-02T07:19:24Z</dcterms:created>
  <dcterms:modified xsi:type="dcterms:W3CDTF">2023-06-02T07:19:24Z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