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138"/>
        <w:ind w:left="0" w:right="731" w:firstLine="0"/>
        <w:jc w:val="right"/>
        <w:rPr>
          <w:sz w:val="20"/>
        </w:rPr>
      </w:pPr>
      <w:r>
        <w:rPr>
          <w:sz w:val="20"/>
        </w:rPr>
        <w:t>长生人寿〔</w:t>
      </w:r>
      <w:r>
        <w:rPr>
          <w:rFonts w:ascii="Times New Roman" w:eastAsia="Times New Roman"/>
          <w:sz w:val="20"/>
        </w:rPr>
        <w:t>2019</w:t>
      </w:r>
      <w:r>
        <w:rPr>
          <w:spacing w:val="-9"/>
          <w:sz w:val="20"/>
        </w:rPr>
        <w:t>〕医疗保险 </w:t>
      </w:r>
      <w:r>
        <w:rPr>
          <w:rFonts w:ascii="Times New Roman" w:eastAsia="Times New Roman"/>
          <w:sz w:val="20"/>
        </w:rPr>
        <w:t>021</w:t>
      </w:r>
      <w:r>
        <w:rPr>
          <w:rFonts w:ascii="Times New Roman" w:eastAsia="Times New Roman"/>
          <w:spacing w:val="-10"/>
          <w:sz w:val="20"/>
        </w:rPr>
        <w:t> </w:t>
      </w:r>
      <w:r>
        <w:rPr>
          <w:spacing w:val="-10"/>
          <w:sz w:val="20"/>
        </w:rPr>
        <w:t>号</w:t>
      </w:r>
    </w:p>
    <w:p>
      <w:pPr>
        <w:pStyle w:val="BodyText"/>
        <w:spacing w:before="4"/>
        <w:ind w:left="0"/>
        <w:rPr>
          <w:sz w:val="23"/>
        </w:rPr>
      </w:pPr>
      <w:r>
        <w:rPr/>
        <w:drawing>
          <wp:anchor distT="0" distB="0" distL="0" distR="0" allowOverlap="1" layoutInCell="1" locked="0" behindDoc="0" simplePos="0" relativeHeight="0">
            <wp:simplePos x="0" y="0"/>
            <wp:positionH relativeFrom="page">
              <wp:posOffset>5695950</wp:posOffset>
            </wp:positionH>
            <wp:positionV relativeFrom="paragraph">
              <wp:posOffset>205073</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p>
    <w:p>
      <w:pPr>
        <w:pStyle w:val="BodyText"/>
        <w:spacing w:before="11"/>
        <w:ind w:left="0"/>
        <w:rPr>
          <w:sz w:val="17"/>
        </w:rPr>
      </w:pPr>
    </w:p>
    <w:p>
      <w:pPr>
        <w:pStyle w:val="BodyText"/>
        <w:ind w:left="0" w:right="732"/>
        <w:jc w:val="right"/>
      </w:pPr>
      <w:r>
        <w:rPr>
          <w:spacing w:val="-1"/>
        </w:rPr>
        <w:t>请扫描以查询验证条款</w:t>
      </w:r>
    </w:p>
    <w:p>
      <w:pPr>
        <w:pStyle w:val="BodyText"/>
        <w:spacing w:before="3"/>
        <w:ind w:left="0"/>
        <w:rPr>
          <w:sz w:val="22"/>
        </w:rPr>
      </w:pPr>
    </w:p>
    <w:p>
      <w:pPr>
        <w:pStyle w:val="Title"/>
      </w:pPr>
      <w:r>
        <w:rPr>
          <w:w w:val="95"/>
        </w:rPr>
        <w:t>长</w:t>
      </w:r>
      <w:r>
        <w:rPr>
          <w:w w:val="95"/>
        </w:rPr>
        <w:t>生</w:t>
      </w:r>
      <w:r>
        <w:rPr>
          <w:w w:val="95"/>
        </w:rPr>
        <w:t>人</w:t>
      </w:r>
      <w:r>
        <w:rPr>
          <w:w w:val="95"/>
        </w:rPr>
        <w:t>寿</w:t>
      </w:r>
      <w:r>
        <w:rPr>
          <w:w w:val="95"/>
        </w:rPr>
        <w:t>保</w:t>
      </w:r>
      <w:r>
        <w:rPr>
          <w:w w:val="95"/>
        </w:rPr>
        <w:t>险</w:t>
      </w:r>
      <w:r>
        <w:rPr>
          <w:w w:val="95"/>
        </w:rPr>
        <w:t>有</w:t>
      </w:r>
      <w:r>
        <w:rPr>
          <w:w w:val="95"/>
        </w:rPr>
        <w:t>限</w:t>
      </w:r>
      <w:r>
        <w:rPr>
          <w:w w:val="95"/>
        </w:rPr>
        <w:t>公</w:t>
      </w:r>
      <w:r>
        <w:rPr>
          <w:spacing w:val="-10"/>
          <w:w w:val="95"/>
        </w:rPr>
        <w:t>司</w:t>
      </w:r>
    </w:p>
    <w:p>
      <w:pPr>
        <w:spacing w:line="487" w:lineRule="auto" w:before="265"/>
        <w:ind w:left="3327" w:right="3322" w:firstLine="0"/>
        <w:jc w:val="center"/>
        <w:rPr>
          <w:b/>
          <w:sz w:val="24"/>
        </w:rPr>
      </w:pPr>
      <w:r>
        <w:rPr>
          <w:b/>
          <w:spacing w:val="-2"/>
          <w:sz w:val="24"/>
        </w:rPr>
        <w:t>长</w:t>
      </w:r>
      <w:r>
        <w:rPr>
          <w:b/>
          <w:spacing w:val="-2"/>
          <w:sz w:val="24"/>
        </w:rPr>
        <w:t>生</w:t>
      </w:r>
      <w:r>
        <w:rPr>
          <w:b/>
          <w:spacing w:val="-2"/>
          <w:sz w:val="24"/>
        </w:rPr>
        <w:t>彩</w:t>
      </w:r>
      <w:r>
        <w:rPr>
          <w:b/>
          <w:spacing w:val="-2"/>
          <w:sz w:val="24"/>
        </w:rPr>
        <w:t>虹</w:t>
      </w:r>
      <w:r>
        <w:rPr>
          <w:b/>
          <w:spacing w:val="-2"/>
          <w:sz w:val="24"/>
        </w:rPr>
        <w:t>桥</w:t>
      </w:r>
      <w:r>
        <w:rPr>
          <w:b/>
          <w:spacing w:val="-2"/>
          <w:sz w:val="24"/>
        </w:rPr>
        <w:t>尊</w:t>
      </w:r>
      <w:r>
        <w:rPr>
          <w:b/>
          <w:spacing w:val="-2"/>
          <w:sz w:val="24"/>
        </w:rPr>
        <w:t>享</w:t>
      </w:r>
      <w:r>
        <w:rPr>
          <w:b/>
          <w:spacing w:val="-2"/>
          <w:sz w:val="24"/>
        </w:rPr>
        <w:t>医</w:t>
      </w:r>
      <w:r>
        <w:rPr>
          <w:b/>
          <w:spacing w:val="-2"/>
          <w:sz w:val="24"/>
        </w:rPr>
        <w:t>疗</w:t>
      </w:r>
      <w:r>
        <w:rPr>
          <w:b/>
          <w:spacing w:val="-2"/>
          <w:sz w:val="24"/>
        </w:rPr>
        <w:t>保</w:t>
      </w:r>
      <w:r>
        <w:rPr>
          <w:b/>
          <w:spacing w:val="-2"/>
          <w:sz w:val="24"/>
        </w:rPr>
        <w:t>险</w:t>
      </w:r>
      <w:r>
        <w:rPr>
          <w:b/>
          <w:spacing w:val="-2"/>
          <w:sz w:val="24"/>
        </w:rPr>
        <w:t>条</w:t>
      </w:r>
      <w:r>
        <w:rPr>
          <w:b/>
          <w:spacing w:val="-2"/>
          <w:sz w:val="24"/>
        </w:rPr>
        <w:t>款</w:t>
      </w:r>
      <w:r>
        <w:rPr>
          <w:b/>
          <w:spacing w:val="-6"/>
          <w:sz w:val="24"/>
        </w:rPr>
        <w:t>目</w:t>
      </w:r>
      <w:r>
        <w:rPr>
          <w:b/>
          <w:spacing w:val="-6"/>
          <w:sz w:val="24"/>
        </w:rPr>
        <w:t>录</w:t>
      </w:r>
    </w:p>
    <w:p>
      <w:pPr>
        <w:pStyle w:val="Heading1"/>
        <w:tabs>
          <w:tab w:pos="1787" w:val="left" w:leader="none"/>
          <w:tab w:pos="9039" w:val="right" w:leader="dot"/>
        </w:tabs>
        <w:spacing w:before="19"/>
        <w:ind w:left="737"/>
        <w:rPr>
          <w:rFonts w:ascii="Times New Roman" w:eastAsia="Times New Roman"/>
        </w:rPr>
      </w:pPr>
      <w:r>
        <w:rPr>
          <w:w w:val="95"/>
        </w:rPr>
        <w:t>第</w:t>
      </w:r>
      <w:r>
        <w:rPr>
          <w:w w:val="95"/>
        </w:rPr>
        <w:t>一</w:t>
      </w:r>
      <w:r>
        <w:rPr>
          <w:spacing w:val="-10"/>
          <w:w w:val="95"/>
        </w:rPr>
        <w:t>章</w:t>
      </w:r>
      <w:r>
        <w:rPr/>
        <w:tab/>
      </w:r>
      <w:r>
        <w:rPr>
          <w:w w:val="95"/>
        </w:rPr>
        <w:t>保</w:t>
      </w:r>
      <w:r>
        <w:rPr>
          <w:w w:val="95"/>
        </w:rPr>
        <w:t>险</w:t>
      </w:r>
      <w:r>
        <w:rPr>
          <w:w w:val="95"/>
        </w:rPr>
        <w:t>合</w:t>
      </w:r>
      <w:r>
        <w:rPr>
          <w:w w:val="95"/>
        </w:rPr>
        <w:t>同</w:t>
      </w:r>
      <w:r>
        <w:rPr>
          <w:w w:val="95"/>
        </w:rPr>
        <w:t>构</w:t>
      </w:r>
      <w:r>
        <w:rPr>
          <w:w w:val="95"/>
        </w:rPr>
        <w:t>成</w:t>
      </w:r>
      <w:r>
        <w:rPr>
          <w:w w:val="95"/>
        </w:rPr>
        <w:t>及</w:t>
      </w:r>
      <w:r>
        <w:rPr>
          <w:w w:val="95"/>
        </w:rPr>
        <w:t>投</w:t>
      </w:r>
      <w:r>
        <w:rPr>
          <w:w w:val="95"/>
        </w:rPr>
        <w:t>保</w:t>
      </w:r>
      <w:r>
        <w:rPr>
          <w:w w:val="95"/>
        </w:rPr>
        <w:t>范</w:t>
      </w:r>
      <w:r>
        <w:rPr>
          <w:spacing w:val="-10"/>
          <w:w w:val="95"/>
        </w:rPr>
        <w:t>围</w:t>
      </w:r>
      <w:r>
        <w:rPr>
          <w:rFonts w:ascii="Times New Roman" w:eastAsia="Times New Roman"/>
          <w:b w:val="0"/>
        </w:rPr>
        <w:tab/>
      </w:r>
      <w:r>
        <w:rPr>
          <w:rFonts w:ascii="Times New Roman" w:eastAsia="Times New Roman"/>
          <w:spacing w:val="-10"/>
        </w:rPr>
        <w:t>3</w:t>
      </w:r>
    </w:p>
    <w:p>
      <w:pPr>
        <w:tabs>
          <w:tab w:pos="2357" w:val="left" w:leader="none"/>
          <w:tab w:pos="9038" w:val="right" w:leader="dot"/>
        </w:tabs>
        <w:spacing w:before="36"/>
        <w:ind w:left="1157" w:right="0" w:firstLine="0"/>
        <w:jc w:val="left"/>
        <w:rPr>
          <w:sz w:val="22"/>
        </w:rPr>
      </w:pPr>
      <w:r>
        <w:rPr>
          <w:w w:val="95"/>
          <w:sz w:val="22"/>
        </w:rPr>
        <w:t>第</w:t>
      </w:r>
      <w:r>
        <w:rPr>
          <w:w w:val="95"/>
          <w:sz w:val="22"/>
        </w:rPr>
        <w:t>一</w:t>
      </w:r>
      <w:r>
        <w:rPr>
          <w:spacing w:val="-10"/>
          <w:w w:val="95"/>
          <w:sz w:val="22"/>
        </w:rPr>
        <w:t>条</w:t>
      </w:r>
      <w:r>
        <w:rPr>
          <w:sz w:val="22"/>
        </w:rPr>
        <w:tab/>
      </w:r>
      <w:r>
        <w:rPr>
          <w:w w:val="95"/>
          <w:sz w:val="22"/>
        </w:rPr>
        <w:t>保</w:t>
      </w:r>
      <w:r>
        <w:rPr>
          <w:w w:val="95"/>
          <w:sz w:val="22"/>
        </w:rPr>
        <w:t>险</w:t>
      </w:r>
      <w:r>
        <w:rPr>
          <w:w w:val="95"/>
          <w:sz w:val="22"/>
        </w:rPr>
        <w:t>合</w:t>
      </w:r>
      <w:r>
        <w:rPr>
          <w:w w:val="95"/>
          <w:sz w:val="22"/>
        </w:rPr>
        <w:t>同</w:t>
      </w:r>
      <w:r>
        <w:rPr>
          <w:w w:val="95"/>
          <w:sz w:val="22"/>
        </w:rPr>
        <w:t>构</w:t>
      </w:r>
      <w:r>
        <w:rPr>
          <w:spacing w:val="-10"/>
          <w:w w:val="95"/>
          <w:sz w:val="22"/>
        </w:rPr>
        <w:t>成</w:t>
      </w:r>
      <w:r>
        <w:rPr>
          <w:rFonts w:ascii="Times New Roman" w:eastAsia="Times New Roman"/>
          <w:sz w:val="22"/>
        </w:rPr>
        <w:tab/>
      </w:r>
      <w:r>
        <w:rPr>
          <w:spacing w:val="-10"/>
          <w:sz w:val="22"/>
        </w:rPr>
        <w:t>3</w:t>
      </w:r>
    </w:p>
    <w:p>
      <w:pPr>
        <w:tabs>
          <w:tab w:pos="2357" w:val="left" w:leader="none"/>
          <w:tab w:pos="9038" w:val="right" w:leader="dot"/>
        </w:tabs>
        <w:spacing w:before="30"/>
        <w:ind w:left="1157" w:right="0" w:firstLine="0"/>
        <w:jc w:val="left"/>
        <w:rPr>
          <w:sz w:val="22"/>
        </w:rPr>
      </w:pPr>
      <w:r>
        <w:rPr>
          <w:w w:val="95"/>
          <w:sz w:val="22"/>
        </w:rPr>
        <w:t>第</w:t>
      </w:r>
      <w:r>
        <w:rPr>
          <w:w w:val="95"/>
          <w:sz w:val="22"/>
        </w:rPr>
        <w:t>二</w:t>
      </w:r>
      <w:r>
        <w:rPr>
          <w:spacing w:val="-10"/>
          <w:w w:val="95"/>
          <w:sz w:val="22"/>
        </w:rPr>
        <w:t>条</w:t>
      </w:r>
      <w:r>
        <w:rPr>
          <w:sz w:val="22"/>
        </w:rPr>
        <w:tab/>
      </w:r>
      <w:r>
        <w:rPr>
          <w:w w:val="95"/>
          <w:sz w:val="22"/>
        </w:rPr>
        <w:t>投</w:t>
      </w:r>
      <w:r>
        <w:rPr>
          <w:w w:val="95"/>
          <w:sz w:val="22"/>
        </w:rPr>
        <w:t>保</w:t>
      </w:r>
      <w:r>
        <w:rPr>
          <w:w w:val="95"/>
          <w:sz w:val="22"/>
        </w:rPr>
        <w:t>范</w:t>
      </w:r>
      <w:r>
        <w:rPr>
          <w:spacing w:val="-10"/>
          <w:w w:val="95"/>
          <w:sz w:val="22"/>
        </w:rPr>
        <w:t>围</w:t>
      </w:r>
      <w:r>
        <w:rPr>
          <w:rFonts w:ascii="Times New Roman" w:eastAsia="Times New Roman"/>
          <w:sz w:val="22"/>
        </w:rPr>
        <w:tab/>
      </w:r>
      <w:r>
        <w:rPr>
          <w:spacing w:val="-10"/>
          <w:sz w:val="22"/>
        </w:rPr>
        <w:t>3</w:t>
      </w:r>
    </w:p>
    <w:p>
      <w:pPr>
        <w:pStyle w:val="Heading1"/>
        <w:tabs>
          <w:tab w:pos="1787" w:val="left" w:leader="none"/>
          <w:tab w:pos="9039" w:val="right" w:leader="dot"/>
        </w:tabs>
        <w:spacing w:before="37"/>
        <w:ind w:left="737"/>
        <w:rPr>
          <w:rFonts w:ascii="Times New Roman" w:eastAsia="Times New Roman"/>
        </w:rPr>
      </w:pPr>
      <w:r>
        <w:rPr>
          <w:w w:val="95"/>
        </w:rPr>
        <w:t>第</w:t>
      </w:r>
      <w:r>
        <w:rPr>
          <w:w w:val="95"/>
        </w:rPr>
        <w:t>二</w:t>
      </w:r>
      <w:r>
        <w:rPr>
          <w:spacing w:val="-10"/>
          <w:w w:val="95"/>
        </w:rPr>
        <w:t>章</w:t>
      </w:r>
      <w:r>
        <w:rPr/>
        <w:tab/>
      </w:r>
      <w:r>
        <w:rPr>
          <w:w w:val="95"/>
        </w:rPr>
        <w:t>保</w:t>
      </w:r>
      <w:r>
        <w:rPr>
          <w:w w:val="95"/>
        </w:rPr>
        <w:t>险</w:t>
      </w:r>
      <w:r>
        <w:rPr>
          <w:w w:val="95"/>
        </w:rPr>
        <w:t>责</w:t>
      </w:r>
      <w:r>
        <w:rPr>
          <w:w w:val="95"/>
        </w:rPr>
        <w:t>任</w:t>
      </w:r>
      <w:r>
        <w:rPr>
          <w:w w:val="95"/>
        </w:rPr>
        <w:t>及</w:t>
      </w:r>
      <w:r>
        <w:rPr>
          <w:w w:val="95"/>
        </w:rPr>
        <w:t>责</w:t>
      </w:r>
      <w:r>
        <w:rPr>
          <w:w w:val="95"/>
        </w:rPr>
        <w:t>任</w:t>
      </w:r>
      <w:r>
        <w:rPr>
          <w:w w:val="95"/>
        </w:rPr>
        <w:t>免</w:t>
      </w:r>
      <w:r>
        <w:rPr>
          <w:spacing w:val="-10"/>
          <w:w w:val="95"/>
        </w:rPr>
        <w:t>除</w:t>
      </w:r>
      <w:r>
        <w:rPr>
          <w:rFonts w:ascii="Times New Roman" w:eastAsia="Times New Roman"/>
          <w:b w:val="0"/>
        </w:rPr>
        <w:tab/>
      </w:r>
      <w:r>
        <w:rPr>
          <w:rFonts w:ascii="Times New Roman" w:eastAsia="Times New Roman"/>
          <w:spacing w:val="-10"/>
          <w:w w:val="95"/>
        </w:rPr>
        <w:t>3</w:t>
      </w:r>
    </w:p>
    <w:p>
      <w:pPr>
        <w:tabs>
          <w:tab w:pos="2357" w:val="left" w:leader="none"/>
          <w:tab w:pos="9038" w:val="right" w:leader="dot"/>
        </w:tabs>
        <w:spacing w:before="36"/>
        <w:ind w:left="1157" w:right="0" w:firstLine="0"/>
        <w:jc w:val="left"/>
        <w:rPr>
          <w:sz w:val="22"/>
        </w:rPr>
      </w:pPr>
      <w:r>
        <w:rPr>
          <w:w w:val="95"/>
          <w:sz w:val="22"/>
        </w:rPr>
        <w:t>第</w:t>
      </w:r>
      <w:r>
        <w:rPr>
          <w:w w:val="95"/>
          <w:sz w:val="22"/>
        </w:rPr>
        <w:t>三</w:t>
      </w:r>
      <w:r>
        <w:rPr>
          <w:spacing w:val="-10"/>
          <w:w w:val="95"/>
          <w:sz w:val="22"/>
        </w:rPr>
        <w:t>条</w:t>
      </w:r>
      <w:r>
        <w:rPr>
          <w:sz w:val="22"/>
        </w:rPr>
        <w:tab/>
      </w:r>
      <w:r>
        <w:rPr>
          <w:w w:val="95"/>
          <w:sz w:val="22"/>
        </w:rPr>
        <w:t>等</w:t>
      </w:r>
      <w:r>
        <w:rPr>
          <w:w w:val="95"/>
          <w:sz w:val="22"/>
        </w:rPr>
        <w:t>待</w:t>
      </w:r>
      <w:r>
        <w:rPr>
          <w:spacing w:val="-10"/>
          <w:w w:val="95"/>
          <w:sz w:val="22"/>
        </w:rPr>
        <w:t>期</w:t>
      </w:r>
      <w:r>
        <w:rPr>
          <w:rFonts w:ascii="Times New Roman" w:eastAsia="Times New Roman"/>
          <w:sz w:val="22"/>
        </w:rPr>
        <w:tab/>
      </w:r>
      <w:r>
        <w:rPr>
          <w:spacing w:val="-10"/>
          <w:sz w:val="22"/>
        </w:rPr>
        <w:t>3</w:t>
      </w:r>
    </w:p>
    <w:p>
      <w:pPr>
        <w:tabs>
          <w:tab w:pos="2357" w:val="left" w:leader="none"/>
          <w:tab w:pos="9038" w:val="right" w:leader="dot"/>
        </w:tabs>
        <w:spacing w:before="31"/>
        <w:ind w:left="1157" w:right="0" w:firstLine="0"/>
        <w:jc w:val="left"/>
        <w:rPr>
          <w:sz w:val="22"/>
        </w:rPr>
      </w:pPr>
      <w:r>
        <w:rPr>
          <w:w w:val="95"/>
          <w:sz w:val="22"/>
        </w:rPr>
        <w:t>第</w:t>
      </w:r>
      <w:r>
        <w:rPr>
          <w:w w:val="95"/>
          <w:sz w:val="22"/>
        </w:rPr>
        <w:t>四</w:t>
      </w:r>
      <w:r>
        <w:rPr>
          <w:spacing w:val="-10"/>
          <w:w w:val="95"/>
          <w:sz w:val="22"/>
        </w:rPr>
        <w:t>条</w:t>
      </w:r>
      <w:r>
        <w:rPr>
          <w:sz w:val="22"/>
        </w:rPr>
        <w:tab/>
      </w:r>
      <w:r>
        <w:rPr>
          <w:w w:val="95"/>
          <w:sz w:val="22"/>
        </w:rPr>
        <w:t>保</w:t>
      </w:r>
      <w:r>
        <w:rPr>
          <w:w w:val="95"/>
          <w:sz w:val="22"/>
        </w:rPr>
        <w:t>险</w:t>
      </w:r>
      <w:r>
        <w:rPr>
          <w:w w:val="95"/>
          <w:sz w:val="22"/>
        </w:rPr>
        <w:t>责</w:t>
      </w:r>
      <w:r>
        <w:rPr>
          <w:spacing w:val="-10"/>
          <w:w w:val="95"/>
          <w:sz w:val="22"/>
        </w:rPr>
        <w:t>任</w:t>
      </w:r>
      <w:r>
        <w:rPr>
          <w:rFonts w:ascii="Times New Roman" w:eastAsia="Times New Roman"/>
          <w:sz w:val="22"/>
        </w:rPr>
        <w:tab/>
      </w:r>
      <w:r>
        <w:rPr>
          <w:spacing w:val="-10"/>
          <w:sz w:val="22"/>
        </w:rPr>
        <w:t>3</w:t>
      </w:r>
    </w:p>
    <w:p>
      <w:pPr>
        <w:tabs>
          <w:tab w:pos="2357" w:val="left" w:leader="none"/>
          <w:tab w:pos="9038" w:val="right" w:leader="dot"/>
        </w:tabs>
        <w:spacing w:before="30"/>
        <w:ind w:left="1157" w:right="0" w:firstLine="0"/>
        <w:jc w:val="left"/>
        <w:rPr>
          <w:sz w:val="22"/>
        </w:rPr>
      </w:pPr>
      <w:r>
        <w:rPr>
          <w:w w:val="95"/>
          <w:sz w:val="22"/>
        </w:rPr>
        <w:t>第</w:t>
      </w:r>
      <w:r>
        <w:rPr>
          <w:w w:val="95"/>
          <w:sz w:val="22"/>
        </w:rPr>
        <w:t>五</w:t>
      </w:r>
      <w:r>
        <w:rPr>
          <w:spacing w:val="-10"/>
          <w:w w:val="95"/>
          <w:sz w:val="22"/>
        </w:rPr>
        <w:t>条</w:t>
      </w:r>
      <w:r>
        <w:rPr>
          <w:sz w:val="22"/>
        </w:rPr>
        <w:tab/>
      </w:r>
      <w:r>
        <w:rPr>
          <w:w w:val="95"/>
          <w:sz w:val="22"/>
        </w:rPr>
        <w:t>补</w:t>
      </w:r>
      <w:r>
        <w:rPr>
          <w:w w:val="95"/>
          <w:sz w:val="22"/>
        </w:rPr>
        <w:t>偿</w:t>
      </w:r>
      <w:r>
        <w:rPr>
          <w:w w:val="95"/>
          <w:sz w:val="22"/>
        </w:rPr>
        <w:t>原</w:t>
      </w:r>
      <w:r>
        <w:rPr>
          <w:w w:val="95"/>
          <w:sz w:val="22"/>
        </w:rPr>
        <w:t>则</w:t>
      </w:r>
      <w:r>
        <w:rPr>
          <w:w w:val="95"/>
          <w:sz w:val="22"/>
        </w:rPr>
        <w:t>和</w:t>
      </w:r>
      <w:r>
        <w:rPr>
          <w:w w:val="95"/>
          <w:sz w:val="22"/>
        </w:rPr>
        <w:t>赔</w:t>
      </w:r>
      <w:r>
        <w:rPr>
          <w:w w:val="95"/>
          <w:sz w:val="22"/>
        </w:rPr>
        <w:t>付</w:t>
      </w:r>
      <w:r>
        <w:rPr>
          <w:w w:val="95"/>
          <w:sz w:val="22"/>
        </w:rPr>
        <w:t>比</w:t>
      </w:r>
      <w:r>
        <w:rPr>
          <w:spacing w:val="-10"/>
          <w:w w:val="95"/>
          <w:sz w:val="22"/>
        </w:rPr>
        <w:t>例</w:t>
      </w:r>
      <w:r>
        <w:rPr>
          <w:rFonts w:ascii="Times New Roman" w:eastAsia="Times New Roman"/>
          <w:sz w:val="22"/>
        </w:rPr>
        <w:tab/>
      </w:r>
      <w:r>
        <w:rPr>
          <w:spacing w:val="-10"/>
          <w:sz w:val="22"/>
        </w:rPr>
        <w:t>7</w:t>
      </w:r>
    </w:p>
    <w:p>
      <w:pPr>
        <w:tabs>
          <w:tab w:pos="2357" w:val="left" w:leader="none"/>
          <w:tab w:pos="9038" w:val="right" w:leader="dot"/>
        </w:tabs>
        <w:spacing w:before="30"/>
        <w:ind w:left="1157" w:right="0" w:firstLine="0"/>
        <w:jc w:val="left"/>
        <w:rPr>
          <w:sz w:val="22"/>
        </w:rPr>
      </w:pPr>
      <w:r>
        <w:rPr>
          <w:w w:val="95"/>
          <w:sz w:val="22"/>
        </w:rPr>
        <w:t>第</w:t>
      </w:r>
      <w:r>
        <w:rPr>
          <w:w w:val="95"/>
          <w:sz w:val="22"/>
        </w:rPr>
        <w:t>六</w:t>
      </w:r>
      <w:r>
        <w:rPr>
          <w:spacing w:val="-10"/>
          <w:w w:val="95"/>
          <w:sz w:val="22"/>
        </w:rPr>
        <w:t>条</w:t>
      </w:r>
      <w:r>
        <w:rPr>
          <w:sz w:val="22"/>
        </w:rPr>
        <w:tab/>
      </w:r>
      <w:r>
        <w:rPr>
          <w:w w:val="95"/>
          <w:sz w:val="22"/>
        </w:rPr>
        <w:t>免</w:t>
      </w:r>
      <w:r>
        <w:rPr>
          <w:w w:val="95"/>
          <w:sz w:val="22"/>
        </w:rPr>
        <w:t>赔</w:t>
      </w:r>
      <w:r>
        <w:rPr>
          <w:spacing w:val="-10"/>
          <w:w w:val="95"/>
          <w:sz w:val="22"/>
        </w:rPr>
        <w:t>额</w:t>
      </w:r>
      <w:r>
        <w:rPr>
          <w:rFonts w:ascii="Times New Roman" w:eastAsia="Times New Roman"/>
          <w:sz w:val="22"/>
        </w:rPr>
        <w:tab/>
      </w:r>
      <w:r>
        <w:rPr>
          <w:spacing w:val="-10"/>
          <w:sz w:val="22"/>
        </w:rPr>
        <w:t>8</w:t>
      </w:r>
    </w:p>
    <w:p>
      <w:pPr>
        <w:tabs>
          <w:tab w:pos="2357" w:val="left" w:leader="none"/>
          <w:tab w:pos="9038" w:val="right" w:leader="dot"/>
        </w:tabs>
        <w:spacing w:before="30"/>
        <w:ind w:left="1157" w:right="0" w:firstLine="0"/>
        <w:jc w:val="left"/>
        <w:rPr>
          <w:sz w:val="22"/>
        </w:rPr>
      </w:pPr>
      <w:r>
        <w:rPr>
          <w:w w:val="95"/>
          <w:sz w:val="22"/>
        </w:rPr>
        <w:t>第</w:t>
      </w:r>
      <w:r>
        <w:rPr>
          <w:w w:val="95"/>
          <w:sz w:val="22"/>
        </w:rPr>
        <w:t>七</w:t>
      </w:r>
      <w:r>
        <w:rPr>
          <w:spacing w:val="-10"/>
          <w:w w:val="95"/>
          <w:sz w:val="22"/>
        </w:rPr>
        <w:t>条</w:t>
      </w:r>
      <w:r>
        <w:rPr>
          <w:sz w:val="22"/>
        </w:rPr>
        <w:tab/>
      </w:r>
      <w:r>
        <w:rPr>
          <w:w w:val="95"/>
          <w:sz w:val="22"/>
        </w:rPr>
        <w:t>责</w:t>
      </w:r>
      <w:r>
        <w:rPr>
          <w:w w:val="95"/>
          <w:sz w:val="22"/>
        </w:rPr>
        <w:t>任</w:t>
      </w:r>
      <w:r>
        <w:rPr>
          <w:w w:val="95"/>
          <w:sz w:val="22"/>
        </w:rPr>
        <w:t>免</w:t>
      </w:r>
      <w:r>
        <w:rPr>
          <w:spacing w:val="-10"/>
          <w:w w:val="95"/>
          <w:sz w:val="22"/>
        </w:rPr>
        <w:t>除</w:t>
      </w:r>
      <w:r>
        <w:rPr>
          <w:rFonts w:ascii="Times New Roman" w:eastAsia="Times New Roman"/>
          <w:sz w:val="22"/>
        </w:rPr>
        <w:tab/>
      </w:r>
      <w:r>
        <w:rPr>
          <w:spacing w:val="-10"/>
          <w:sz w:val="22"/>
        </w:rPr>
        <w:t>8</w:t>
      </w:r>
    </w:p>
    <w:p>
      <w:pPr>
        <w:tabs>
          <w:tab w:pos="2357" w:val="left" w:leader="none"/>
          <w:tab w:pos="9040" w:val="right" w:leader="dot"/>
        </w:tabs>
        <w:spacing w:before="30"/>
        <w:ind w:left="1157" w:right="0" w:firstLine="0"/>
        <w:jc w:val="left"/>
        <w:rPr>
          <w:sz w:val="22"/>
        </w:rPr>
      </w:pPr>
      <w:r>
        <w:rPr>
          <w:w w:val="95"/>
          <w:sz w:val="22"/>
        </w:rPr>
        <w:t>第</w:t>
      </w:r>
      <w:r>
        <w:rPr>
          <w:w w:val="95"/>
          <w:sz w:val="22"/>
        </w:rPr>
        <w:t>八</w:t>
      </w:r>
      <w:r>
        <w:rPr>
          <w:spacing w:val="-10"/>
          <w:w w:val="95"/>
          <w:sz w:val="22"/>
        </w:rPr>
        <w:t>条</w:t>
      </w:r>
      <w:r>
        <w:rPr>
          <w:sz w:val="22"/>
        </w:rPr>
        <w:tab/>
      </w:r>
      <w:r>
        <w:rPr>
          <w:w w:val="95"/>
          <w:sz w:val="22"/>
        </w:rPr>
        <w:t>其</w:t>
      </w:r>
      <w:r>
        <w:rPr>
          <w:w w:val="95"/>
          <w:sz w:val="22"/>
        </w:rPr>
        <w:t>他</w:t>
      </w:r>
      <w:r>
        <w:rPr>
          <w:w w:val="95"/>
          <w:sz w:val="22"/>
        </w:rPr>
        <w:t>责</w:t>
      </w:r>
      <w:r>
        <w:rPr>
          <w:w w:val="95"/>
          <w:sz w:val="22"/>
        </w:rPr>
        <w:t>任</w:t>
      </w:r>
      <w:r>
        <w:rPr>
          <w:w w:val="95"/>
          <w:sz w:val="22"/>
        </w:rPr>
        <w:t>免</w:t>
      </w:r>
      <w:r>
        <w:rPr>
          <w:spacing w:val="-10"/>
          <w:w w:val="95"/>
          <w:sz w:val="22"/>
        </w:rPr>
        <w:t>除</w:t>
      </w:r>
      <w:r>
        <w:rPr>
          <w:rFonts w:ascii="Times New Roman" w:eastAsia="Times New Roman"/>
          <w:sz w:val="22"/>
        </w:rPr>
        <w:tab/>
      </w:r>
      <w:r>
        <w:rPr>
          <w:spacing w:val="-5"/>
          <w:sz w:val="22"/>
        </w:rPr>
        <w:t>10</w:t>
      </w:r>
    </w:p>
    <w:p>
      <w:pPr>
        <w:tabs>
          <w:tab w:pos="2357" w:val="left" w:leader="none"/>
          <w:tab w:pos="9040" w:val="right" w:leader="dot"/>
        </w:tabs>
        <w:spacing w:before="30"/>
        <w:ind w:left="1157" w:right="0" w:firstLine="0"/>
        <w:jc w:val="left"/>
        <w:rPr>
          <w:sz w:val="22"/>
        </w:rPr>
      </w:pPr>
      <w:r>
        <w:rPr>
          <w:w w:val="95"/>
          <w:sz w:val="22"/>
        </w:rPr>
        <w:t>第</w:t>
      </w:r>
      <w:r>
        <w:rPr>
          <w:w w:val="95"/>
          <w:sz w:val="22"/>
        </w:rPr>
        <w:t>九</w:t>
      </w:r>
      <w:r>
        <w:rPr>
          <w:spacing w:val="-10"/>
          <w:w w:val="95"/>
          <w:sz w:val="22"/>
        </w:rPr>
        <w:t>条</w:t>
      </w:r>
      <w:r>
        <w:rPr>
          <w:sz w:val="22"/>
        </w:rPr>
        <w:tab/>
      </w:r>
      <w:r>
        <w:rPr>
          <w:w w:val="95"/>
          <w:sz w:val="22"/>
        </w:rPr>
        <w:t>推</w:t>
      </w:r>
      <w:r>
        <w:rPr>
          <w:w w:val="95"/>
          <w:sz w:val="22"/>
        </w:rPr>
        <w:t>荐</w:t>
      </w:r>
      <w:r>
        <w:rPr>
          <w:w w:val="95"/>
          <w:sz w:val="22"/>
        </w:rPr>
        <w:t>或</w:t>
      </w:r>
      <w:r>
        <w:rPr>
          <w:w w:val="95"/>
          <w:sz w:val="22"/>
        </w:rPr>
        <w:t>认</w:t>
      </w:r>
      <w:r>
        <w:rPr>
          <w:w w:val="95"/>
          <w:sz w:val="22"/>
        </w:rPr>
        <w:t>可</w:t>
      </w:r>
      <w:r>
        <w:rPr>
          <w:w w:val="95"/>
          <w:sz w:val="22"/>
        </w:rPr>
        <w:t>的</w:t>
      </w:r>
      <w:r>
        <w:rPr>
          <w:w w:val="95"/>
          <w:sz w:val="22"/>
        </w:rPr>
        <w:t>医</w:t>
      </w:r>
      <w:r>
        <w:rPr>
          <w:spacing w:val="-10"/>
          <w:w w:val="95"/>
          <w:sz w:val="22"/>
        </w:rPr>
        <w:t>院</w:t>
      </w:r>
      <w:r>
        <w:rPr>
          <w:rFonts w:ascii="Times New Roman" w:eastAsia="Times New Roman"/>
          <w:sz w:val="22"/>
        </w:rPr>
        <w:tab/>
      </w:r>
      <w:r>
        <w:rPr>
          <w:spacing w:val="-5"/>
          <w:sz w:val="22"/>
        </w:rPr>
        <w:t>10</w:t>
      </w:r>
    </w:p>
    <w:p>
      <w:pPr>
        <w:pStyle w:val="Heading1"/>
        <w:tabs>
          <w:tab w:pos="1787" w:val="left" w:leader="none"/>
          <w:tab w:pos="9039" w:val="right" w:leader="dot"/>
        </w:tabs>
        <w:spacing w:before="37"/>
        <w:ind w:left="737"/>
        <w:rPr>
          <w:rFonts w:ascii="Times New Roman" w:eastAsia="Times New Roman"/>
        </w:rPr>
      </w:pPr>
      <w:r>
        <w:rPr>
          <w:w w:val="95"/>
        </w:rPr>
        <w:t>第</w:t>
      </w:r>
      <w:r>
        <w:rPr>
          <w:w w:val="95"/>
        </w:rPr>
        <w:t>三</w:t>
      </w:r>
      <w:r>
        <w:rPr>
          <w:spacing w:val="-10"/>
          <w:w w:val="95"/>
        </w:rPr>
        <w:t>章</w:t>
      </w:r>
      <w:r>
        <w:rPr/>
        <w:tab/>
      </w:r>
      <w:r>
        <w:rPr>
          <w:w w:val="95"/>
        </w:rPr>
        <w:t>保</w:t>
      </w:r>
      <w:r>
        <w:rPr>
          <w:w w:val="95"/>
        </w:rPr>
        <w:t>障</w:t>
      </w:r>
      <w:r>
        <w:rPr>
          <w:w w:val="95"/>
        </w:rPr>
        <w:t>计</w:t>
      </w:r>
      <w:r>
        <w:rPr>
          <w:w w:val="95"/>
        </w:rPr>
        <w:t>划</w:t>
      </w:r>
      <w:r>
        <w:rPr>
          <w:w w:val="95"/>
        </w:rPr>
        <w:t>、</w:t>
      </w:r>
      <w:r>
        <w:rPr>
          <w:w w:val="95"/>
        </w:rPr>
        <w:t>保</w:t>
      </w:r>
      <w:r>
        <w:rPr>
          <w:w w:val="95"/>
        </w:rPr>
        <w:t>险</w:t>
      </w:r>
      <w:r>
        <w:rPr>
          <w:w w:val="95"/>
        </w:rPr>
        <w:t>金</w:t>
      </w:r>
      <w:r>
        <w:rPr>
          <w:w w:val="95"/>
        </w:rPr>
        <w:t>额</w:t>
      </w:r>
      <w:r>
        <w:rPr>
          <w:w w:val="95"/>
        </w:rPr>
        <w:t>、</w:t>
      </w:r>
      <w:r>
        <w:rPr>
          <w:w w:val="95"/>
        </w:rPr>
        <w:t>保</w:t>
      </w:r>
      <w:r>
        <w:rPr>
          <w:w w:val="95"/>
        </w:rPr>
        <w:t>险</w:t>
      </w:r>
      <w:r>
        <w:rPr>
          <w:w w:val="95"/>
        </w:rPr>
        <w:t>费</w:t>
      </w:r>
      <w:r>
        <w:rPr>
          <w:w w:val="95"/>
        </w:rPr>
        <w:t>及</w:t>
      </w:r>
      <w:r>
        <w:rPr>
          <w:w w:val="95"/>
        </w:rPr>
        <w:t>宽</w:t>
      </w:r>
      <w:r>
        <w:rPr>
          <w:w w:val="95"/>
        </w:rPr>
        <w:t>限</w:t>
      </w:r>
      <w:r>
        <w:rPr>
          <w:spacing w:val="-10"/>
          <w:w w:val="95"/>
        </w:rPr>
        <w:t>期</w:t>
      </w:r>
      <w:r>
        <w:rPr>
          <w:rFonts w:ascii="Times New Roman" w:eastAsia="Times New Roman"/>
          <w:b w:val="0"/>
        </w:rPr>
        <w:tab/>
      </w:r>
      <w:r>
        <w:rPr>
          <w:rFonts w:ascii="Times New Roman" w:eastAsia="Times New Roman"/>
          <w:spacing w:val="-5"/>
        </w:rPr>
        <w:t>10</w:t>
      </w:r>
    </w:p>
    <w:p>
      <w:pPr>
        <w:tabs>
          <w:tab w:pos="2357" w:val="left" w:leader="none"/>
          <w:tab w:pos="9040" w:val="right" w:leader="dot"/>
        </w:tabs>
        <w:spacing w:before="36"/>
        <w:ind w:left="1157" w:right="0" w:firstLine="0"/>
        <w:jc w:val="left"/>
        <w:rPr>
          <w:sz w:val="22"/>
        </w:rPr>
      </w:pPr>
      <w:r>
        <w:rPr>
          <w:w w:val="95"/>
          <w:sz w:val="22"/>
        </w:rPr>
        <w:t>第</w:t>
      </w:r>
      <w:r>
        <w:rPr>
          <w:w w:val="95"/>
          <w:sz w:val="22"/>
        </w:rPr>
        <w:t>十</w:t>
      </w:r>
      <w:r>
        <w:rPr>
          <w:spacing w:val="-10"/>
          <w:w w:val="95"/>
          <w:sz w:val="22"/>
        </w:rPr>
        <w:t>条</w:t>
      </w:r>
      <w:r>
        <w:rPr>
          <w:sz w:val="22"/>
        </w:rPr>
        <w:tab/>
      </w:r>
      <w:r>
        <w:rPr>
          <w:w w:val="95"/>
          <w:sz w:val="22"/>
        </w:rPr>
        <w:t>保</w:t>
      </w:r>
      <w:r>
        <w:rPr>
          <w:w w:val="95"/>
          <w:sz w:val="22"/>
        </w:rPr>
        <w:t>障</w:t>
      </w:r>
      <w:r>
        <w:rPr>
          <w:w w:val="95"/>
          <w:sz w:val="22"/>
        </w:rPr>
        <w:t>计</w:t>
      </w:r>
      <w:r>
        <w:rPr>
          <w:spacing w:val="-10"/>
          <w:w w:val="95"/>
          <w:sz w:val="22"/>
        </w:rPr>
        <w:t>划</w:t>
      </w:r>
      <w:r>
        <w:rPr>
          <w:rFonts w:ascii="Times New Roman" w:eastAsia="Times New Roman"/>
          <w:sz w:val="22"/>
        </w:rPr>
        <w:tab/>
      </w:r>
      <w:r>
        <w:rPr>
          <w:spacing w:val="-5"/>
          <w:sz w:val="22"/>
        </w:rPr>
        <w:t>10</w:t>
      </w:r>
    </w:p>
    <w:p>
      <w:pPr>
        <w:tabs>
          <w:tab w:pos="2357" w:val="left" w:leader="none"/>
          <w:tab w:pos="9040" w:val="right" w:leader="dot"/>
        </w:tabs>
        <w:spacing w:before="30"/>
        <w:ind w:left="1157" w:right="0" w:firstLine="0"/>
        <w:jc w:val="left"/>
        <w:rPr>
          <w:sz w:val="22"/>
        </w:rPr>
      </w:pPr>
      <w:r>
        <w:rPr>
          <w:w w:val="95"/>
          <w:sz w:val="22"/>
        </w:rPr>
        <w:t>第</w:t>
      </w:r>
      <w:r>
        <w:rPr>
          <w:w w:val="95"/>
          <w:sz w:val="22"/>
        </w:rPr>
        <w:t>十</w:t>
      </w:r>
      <w:r>
        <w:rPr>
          <w:w w:val="95"/>
          <w:sz w:val="22"/>
        </w:rPr>
        <w:t>一</w:t>
      </w:r>
      <w:r>
        <w:rPr>
          <w:spacing w:val="-10"/>
          <w:w w:val="95"/>
          <w:sz w:val="22"/>
        </w:rPr>
        <w:t>条</w:t>
      </w:r>
      <w:r>
        <w:rPr>
          <w:sz w:val="22"/>
        </w:rPr>
        <w:tab/>
      </w:r>
      <w:r>
        <w:rPr>
          <w:w w:val="95"/>
          <w:sz w:val="22"/>
        </w:rPr>
        <w:t>保</w:t>
      </w:r>
      <w:r>
        <w:rPr>
          <w:w w:val="95"/>
          <w:sz w:val="22"/>
        </w:rPr>
        <w:t>险</w:t>
      </w:r>
      <w:r>
        <w:rPr>
          <w:w w:val="95"/>
          <w:sz w:val="22"/>
        </w:rPr>
        <w:t>金</w:t>
      </w:r>
      <w:r>
        <w:rPr>
          <w:spacing w:val="-10"/>
          <w:w w:val="95"/>
          <w:sz w:val="22"/>
        </w:rPr>
        <w:t>额</w:t>
      </w:r>
      <w:r>
        <w:rPr>
          <w:rFonts w:ascii="Times New Roman" w:eastAsia="Times New Roman"/>
          <w:sz w:val="22"/>
        </w:rPr>
        <w:tab/>
      </w:r>
      <w:r>
        <w:rPr>
          <w:spacing w:val="-5"/>
          <w:sz w:val="22"/>
        </w:rPr>
        <w:t>10</w:t>
      </w:r>
    </w:p>
    <w:p>
      <w:pPr>
        <w:tabs>
          <w:tab w:pos="2357" w:val="left" w:leader="none"/>
          <w:tab w:pos="9040" w:val="right" w:leader="dot"/>
        </w:tabs>
        <w:spacing w:before="30"/>
        <w:ind w:left="1157" w:right="0" w:firstLine="0"/>
        <w:jc w:val="left"/>
        <w:rPr>
          <w:sz w:val="22"/>
        </w:rPr>
      </w:pPr>
      <w:r>
        <w:rPr>
          <w:w w:val="95"/>
          <w:sz w:val="22"/>
        </w:rPr>
        <w:t>第</w:t>
      </w:r>
      <w:r>
        <w:rPr>
          <w:w w:val="95"/>
          <w:sz w:val="22"/>
        </w:rPr>
        <w:t>十</w:t>
      </w:r>
      <w:r>
        <w:rPr>
          <w:w w:val="95"/>
          <w:sz w:val="22"/>
        </w:rPr>
        <w:t>二</w:t>
      </w:r>
      <w:r>
        <w:rPr>
          <w:spacing w:val="-10"/>
          <w:w w:val="95"/>
          <w:sz w:val="22"/>
        </w:rPr>
        <w:t>条</w:t>
      </w:r>
      <w:r>
        <w:rPr>
          <w:sz w:val="22"/>
        </w:rPr>
        <w:tab/>
      </w:r>
      <w:r>
        <w:rPr>
          <w:w w:val="95"/>
          <w:sz w:val="22"/>
        </w:rPr>
        <w:t>保</w:t>
      </w:r>
      <w:r>
        <w:rPr>
          <w:w w:val="95"/>
          <w:sz w:val="22"/>
        </w:rPr>
        <w:t>险</w:t>
      </w:r>
      <w:r>
        <w:rPr>
          <w:w w:val="95"/>
          <w:sz w:val="22"/>
        </w:rPr>
        <w:t>费</w:t>
      </w:r>
      <w:r>
        <w:rPr>
          <w:w w:val="95"/>
          <w:sz w:val="22"/>
        </w:rPr>
        <w:t>及</w:t>
      </w:r>
      <w:r>
        <w:rPr>
          <w:w w:val="95"/>
          <w:sz w:val="22"/>
        </w:rPr>
        <w:t>宽</w:t>
      </w:r>
      <w:r>
        <w:rPr>
          <w:w w:val="95"/>
          <w:sz w:val="22"/>
        </w:rPr>
        <w:t>限</w:t>
      </w:r>
      <w:r>
        <w:rPr>
          <w:spacing w:val="-10"/>
          <w:w w:val="95"/>
          <w:sz w:val="22"/>
        </w:rPr>
        <w:t>期</w:t>
      </w:r>
      <w:r>
        <w:rPr>
          <w:rFonts w:ascii="Times New Roman" w:eastAsia="Times New Roman"/>
          <w:sz w:val="22"/>
        </w:rPr>
        <w:tab/>
      </w:r>
      <w:r>
        <w:rPr>
          <w:spacing w:val="-5"/>
          <w:sz w:val="22"/>
        </w:rPr>
        <w:t>10</w:t>
      </w:r>
    </w:p>
    <w:p>
      <w:pPr>
        <w:pStyle w:val="Heading1"/>
        <w:tabs>
          <w:tab w:pos="1787" w:val="left" w:leader="none"/>
          <w:tab w:pos="9040" w:val="right" w:leader="dot"/>
        </w:tabs>
        <w:spacing w:before="37"/>
        <w:ind w:left="737"/>
        <w:rPr>
          <w:rFonts w:ascii="Times New Roman" w:eastAsia="Times New Roman"/>
        </w:rPr>
      </w:pPr>
      <w:r>
        <w:rPr>
          <w:w w:val="95"/>
        </w:rPr>
        <w:t>第</w:t>
      </w:r>
      <w:r>
        <w:rPr>
          <w:w w:val="95"/>
        </w:rPr>
        <w:t>四</w:t>
      </w:r>
      <w:r>
        <w:rPr>
          <w:spacing w:val="-10"/>
          <w:w w:val="95"/>
        </w:rPr>
        <w:t>章</w:t>
      </w:r>
      <w:r>
        <w:rPr/>
        <w:tab/>
      </w:r>
      <w:r>
        <w:rPr>
          <w:w w:val="95"/>
        </w:rPr>
        <w:t>保</w:t>
      </w:r>
      <w:r>
        <w:rPr>
          <w:w w:val="95"/>
        </w:rPr>
        <w:t>险</w:t>
      </w:r>
      <w:r>
        <w:rPr>
          <w:w w:val="95"/>
        </w:rPr>
        <w:t>期</w:t>
      </w:r>
      <w:r>
        <w:rPr>
          <w:w w:val="95"/>
        </w:rPr>
        <w:t>间</w:t>
      </w:r>
      <w:r>
        <w:rPr>
          <w:w w:val="95"/>
        </w:rPr>
        <w:t>、</w:t>
      </w:r>
      <w:r>
        <w:rPr>
          <w:w w:val="95"/>
        </w:rPr>
        <w:t>续</w:t>
      </w:r>
      <w:r>
        <w:rPr>
          <w:w w:val="95"/>
        </w:rPr>
        <w:t>保</w:t>
      </w:r>
      <w:r>
        <w:rPr>
          <w:w w:val="95"/>
        </w:rPr>
        <w:t>、</w:t>
      </w:r>
      <w:r>
        <w:rPr>
          <w:w w:val="95"/>
        </w:rPr>
        <w:t>保</w:t>
      </w:r>
      <w:r>
        <w:rPr>
          <w:w w:val="95"/>
        </w:rPr>
        <w:t>险</w:t>
      </w:r>
      <w:r>
        <w:rPr>
          <w:w w:val="95"/>
        </w:rPr>
        <w:t>合</w:t>
      </w:r>
      <w:r>
        <w:rPr>
          <w:w w:val="95"/>
        </w:rPr>
        <w:t>同</w:t>
      </w:r>
      <w:r>
        <w:rPr>
          <w:w w:val="95"/>
        </w:rPr>
        <w:t>成</w:t>
      </w:r>
      <w:r>
        <w:rPr>
          <w:w w:val="95"/>
        </w:rPr>
        <w:t>立</w:t>
      </w:r>
      <w:r>
        <w:rPr>
          <w:w w:val="95"/>
        </w:rPr>
        <w:t>与</w:t>
      </w:r>
      <w:r>
        <w:rPr>
          <w:w w:val="95"/>
        </w:rPr>
        <w:t>生</w:t>
      </w:r>
      <w:r>
        <w:rPr>
          <w:w w:val="95"/>
        </w:rPr>
        <w:t>效</w:t>
      </w:r>
      <w:r>
        <w:rPr>
          <w:w w:val="95"/>
        </w:rPr>
        <w:t>、</w:t>
      </w:r>
      <w:r>
        <w:rPr>
          <w:w w:val="95"/>
        </w:rPr>
        <w:t>解</w:t>
      </w:r>
      <w:r>
        <w:rPr>
          <w:w w:val="95"/>
        </w:rPr>
        <w:t>除</w:t>
      </w:r>
      <w:r>
        <w:rPr>
          <w:w w:val="95"/>
        </w:rPr>
        <w:t>及</w:t>
      </w:r>
      <w:r>
        <w:rPr>
          <w:w w:val="95"/>
        </w:rPr>
        <w:t>终</w:t>
      </w:r>
      <w:r>
        <w:rPr>
          <w:spacing w:val="-10"/>
          <w:w w:val="95"/>
        </w:rPr>
        <w:t>止</w:t>
      </w:r>
      <w:r>
        <w:rPr>
          <w:rFonts w:ascii="Times New Roman" w:eastAsia="Times New Roman"/>
          <w:b w:val="0"/>
        </w:rPr>
        <w:tab/>
      </w:r>
      <w:r>
        <w:rPr>
          <w:rFonts w:ascii="Times New Roman" w:eastAsia="Times New Roman"/>
          <w:spacing w:val="-5"/>
        </w:rPr>
        <w:t>10</w:t>
      </w:r>
    </w:p>
    <w:p>
      <w:pPr>
        <w:tabs>
          <w:tab w:pos="2357" w:val="left" w:leader="none"/>
          <w:tab w:pos="9040" w:val="right" w:leader="dot"/>
        </w:tabs>
        <w:spacing w:before="37"/>
        <w:ind w:left="1157" w:right="0" w:firstLine="0"/>
        <w:jc w:val="left"/>
        <w:rPr>
          <w:sz w:val="22"/>
        </w:rPr>
      </w:pPr>
      <w:r>
        <w:rPr>
          <w:w w:val="95"/>
          <w:sz w:val="22"/>
        </w:rPr>
        <w:t>第</w:t>
      </w:r>
      <w:r>
        <w:rPr>
          <w:w w:val="95"/>
          <w:sz w:val="22"/>
        </w:rPr>
        <w:t>十</w:t>
      </w:r>
      <w:r>
        <w:rPr>
          <w:w w:val="95"/>
          <w:sz w:val="22"/>
        </w:rPr>
        <w:t>三</w:t>
      </w:r>
      <w:r>
        <w:rPr>
          <w:spacing w:val="-10"/>
          <w:w w:val="95"/>
          <w:sz w:val="22"/>
        </w:rPr>
        <w:t>条</w:t>
      </w:r>
      <w:r>
        <w:rPr>
          <w:sz w:val="22"/>
        </w:rPr>
        <w:tab/>
      </w:r>
      <w:r>
        <w:rPr>
          <w:w w:val="95"/>
          <w:sz w:val="22"/>
        </w:rPr>
        <w:t>保</w:t>
      </w:r>
      <w:r>
        <w:rPr>
          <w:w w:val="95"/>
          <w:sz w:val="22"/>
        </w:rPr>
        <w:t>险</w:t>
      </w:r>
      <w:r>
        <w:rPr>
          <w:w w:val="95"/>
          <w:sz w:val="22"/>
        </w:rPr>
        <w:t>期</w:t>
      </w:r>
      <w:r>
        <w:rPr>
          <w:spacing w:val="-10"/>
          <w:w w:val="95"/>
          <w:sz w:val="22"/>
        </w:rPr>
        <w:t>间</w:t>
      </w:r>
      <w:r>
        <w:rPr>
          <w:rFonts w:ascii="Times New Roman" w:eastAsia="Times New Roman"/>
          <w:sz w:val="22"/>
        </w:rPr>
        <w:tab/>
      </w:r>
      <w:r>
        <w:rPr>
          <w:spacing w:val="-5"/>
          <w:sz w:val="22"/>
        </w:rPr>
        <w:t>10</w:t>
      </w:r>
    </w:p>
    <w:p>
      <w:pPr>
        <w:tabs>
          <w:tab w:pos="2357" w:val="left" w:leader="none"/>
          <w:tab w:pos="9040" w:val="right" w:leader="dot"/>
        </w:tabs>
        <w:spacing w:before="30"/>
        <w:ind w:left="1157" w:right="0" w:firstLine="0"/>
        <w:jc w:val="left"/>
        <w:rPr>
          <w:sz w:val="22"/>
        </w:rPr>
      </w:pPr>
      <w:r>
        <w:rPr>
          <w:w w:val="95"/>
          <w:sz w:val="22"/>
        </w:rPr>
        <w:t>第</w:t>
      </w:r>
      <w:r>
        <w:rPr>
          <w:w w:val="95"/>
          <w:sz w:val="22"/>
        </w:rPr>
        <w:t>十</w:t>
      </w:r>
      <w:r>
        <w:rPr>
          <w:w w:val="95"/>
          <w:sz w:val="22"/>
        </w:rPr>
        <w:t>四</w:t>
      </w:r>
      <w:r>
        <w:rPr>
          <w:spacing w:val="-10"/>
          <w:w w:val="95"/>
          <w:sz w:val="22"/>
        </w:rPr>
        <w:t>条</w:t>
      </w:r>
      <w:r>
        <w:rPr>
          <w:sz w:val="22"/>
        </w:rPr>
        <w:tab/>
      </w:r>
      <w:r>
        <w:rPr>
          <w:w w:val="95"/>
          <w:sz w:val="22"/>
        </w:rPr>
        <w:t>保</w:t>
      </w:r>
      <w:r>
        <w:rPr>
          <w:w w:val="95"/>
          <w:sz w:val="22"/>
        </w:rPr>
        <w:t>证</w:t>
      </w:r>
      <w:r>
        <w:rPr>
          <w:w w:val="95"/>
          <w:sz w:val="22"/>
        </w:rPr>
        <w:t>续</w:t>
      </w:r>
      <w:r>
        <w:rPr>
          <w:w w:val="95"/>
          <w:sz w:val="22"/>
        </w:rPr>
        <w:t>保</w:t>
      </w:r>
      <w:r>
        <w:rPr>
          <w:w w:val="95"/>
          <w:sz w:val="22"/>
        </w:rPr>
        <w:t>期</w:t>
      </w:r>
      <w:r>
        <w:rPr>
          <w:spacing w:val="-10"/>
          <w:w w:val="95"/>
          <w:sz w:val="22"/>
        </w:rPr>
        <w:t>间</w:t>
      </w:r>
      <w:r>
        <w:rPr>
          <w:rFonts w:ascii="Times New Roman" w:eastAsia="Times New Roman"/>
          <w:sz w:val="22"/>
        </w:rPr>
        <w:tab/>
      </w:r>
      <w:r>
        <w:rPr>
          <w:spacing w:val="-5"/>
          <w:sz w:val="22"/>
        </w:rPr>
        <w:t>11</w:t>
      </w:r>
    </w:p>
    <w:p>
      <w:pPr>
        <w:tabs>
          <w:tab w:pos="2357" w:val="left" w:leader="none"/>
          <w:tab w:pos="9040" w:val="right" w:leader="dot"/>
        </w:tabs>
        <w:spacing w:before="30"/>
        <w:ind w:left="1157" w:right="0" w:firstLine="0"/>
        <w:jc w:val="left"/>
        <w:rPr>
          <w:sz w:val="22"/>
        </w:rPr>
      </w:pPr>
      <w:r>
        <w:rPr>
          <w:w w:val="95"/>
          <w:sz w:val="22"/>
        </w:rPr>
        <w:t>第</w:t>
      </w:r>
      <w:r>
        <w:rPr>
          <w:w w:val="95"/>
          <w:sz w:val="22"/>
        </w:rPr>
        <w:t>十</w:t>
      </w:r>
      <w:r>
        <w:rPr>
          <w:w w:val="95"/>
          <w:sz w:val="22"/>
        </w:rPr>
        <w:t>五</w:t>
      </w:r>
      <w:r>
        <w:rPr>
          <w:spacing w:val="-10"/>
          <w:w w:val="95"/>
          <w:sz w:val="22"/>
        </w:rPr>
        <w:t>条</w:t>
      </w:r>
      <w:r>
        <w:rPr>
          <w:sz w:val="22"/>
        </w:rPr>
        <w:tab/>
      </w:r>
      <w:r>
        <w:rPr>
          <w:w w:val="95"/>
          <w:sz w:val="22"/>
        </w:rPr>
        <w:t>保</w:t>
      </w:r>
      <w:r>
        <w:rPr>
          <w:w w:val="95"/>
          <w:sz w:val="22"/>
        </w:rPr>
        <w:t>证</w:t>
      </w:r>
      <w:r>
        <w:rPr>
          <w:w w:val="95"/>
          <w:sz w:val="22"/>
        </w:rPr>
        <w:t>续</w:t>
      </w:r>
      <w:r>
        <w:rPr>
          <w:w w:val="95"/>
          <w:sz w:val="22"/>
        </w:rPr>
        <w:t>保</w:t>
      </w:r>
      <w:r>
        <w:rPr>
          <w:spacing w:val="-10"/>
          <w:w w:val="95"/>
          <w:sz w:val="22"/>
        </w:rPr>
        <w:t>权</w:t>
      </w:r>
      <w:r>
        <w:rPr>
          <w:rFonts w:ascii="Times New Roman" w:eastAsia="Times New Roman"/>
          <w:sz w:val="22"/>
        </w:rPr>
        <w:tab/>
      </w:r>
      <w:r>
        <w:rPr>
          <w:spacing w:val="-5"/>
          <w:sz w:val="22"/>
        </w:rPr>
        <w:t>11</w:t>
      </w:r>
    </w:p>
    <w:p>
      <w:pPr>
        <w:tabs>
          <w:tab w:pos="2357" w:val="left" w:leader="none"/>
          <w:tab w:pos="9040" w:val="right" w:leader="dot"/>
        </w:tabs>
        <w:spacing w:before="30"/>
        <w:ind w:left="1157" w:right="0" w:firstLine="0"/>
        <w:jc w:val="left"/>
        <w:rPr>
          <w:sz w:val="22"/>
        </w:rPr>
      </w:pPr>
      <w:r>
        <w:rPr>
          <w:w w:val="95"/>
          <w:sz w:val="22"/>
        </w:rPr>
        <w:t>第</w:t>
      </w:r>
      <w:r>
        <w:rPr>
          <w:w w:val="95"/>
          <w:sz w:val="22"/>
        </w:rPr>
        <w:t>十</w:t>
      </w:r>
      <w:r>
        <w:rPr>
          <w:w w:val="95"/>
          <w:sz w:val="22"/>
        </w:rPr>
        <w:t>六</w:t>
      </w:r>
      <w:r>
        <w:rPr>
          <w:spacing w:val="-10"/>
          <w:w w:val="95"/>
          <w:sz w:val="22"/>
        </w:rPr>
        <w:t>条</w:t>
      </w:r>
      <w:r>
        <w:rPr>
          <w:sz w:val="22"/>
        </w:rPr>
        <w:tab/>
      </w:r>
      <w:r>
        <w:rPr>
          <w:w w:val="95"/>
          <w:sz w:val="22"/>
        </w:rPr>
        <w:t>保</w:t>
      </w:r>
      <w:r>
        <w:rPr>
          <w:w w:val="95"/>
          <w:sz w:val="22"/>
        </w:rPr>
        <w:t>证</w:t>
      </w:r>
      <w:r>
        <w:rPr>
          <w:w w:val="95"/>
          <w:sz w:val="22"/>
        </w:rPr>
        <w:t>续</w:t>
      </w:r>
      <w:r>
        <w:rPr>
          <w:w w:val="95"/>
          <w:sz w:val="22"/>
        </w:rPr>
        <w:t>保</w:t>
      </w:r>
      <w:r>
        <w:rPr>
          <w:w w:val="95"/>
          <w:sz w:val="22"/>
        </w:rPr>
        <w:t>权</w:t>
      </w:r>
      <w:r>
        <w:rPr>
          <w:w w:val="95"/>
          <w:sz w:val="22"/>
        </w:rPr>
        <w:t>终</w:t>
      </w:r>
      <w:r>
        <w:rPr>
          <w:spacing w:val="-10"/>
          <w:w w:val="95"/>
          <w:sz w:val="22"/>
        </w:rPr>
        <w:t>止</w:t>
      </w:r>
      <w:r>
        <w:rPr>
          <w:rFonts w:ascii="Times New Roman" w:eastAsia="Times New Roman"/>
          <w:sz w:val="22"/>
        </w:rPr>
        <w:tab/>
      </w:r>
      <w:r>
        <w:rPr>
          <w:spacing w:val="-5"/>
          <w:sz w:val="22"/>
        </w:rPr>
        <w:t>11</w:t>
      </w:r>
    </w:p>
    <w:p>
      <w:pPr>
        <w:tabs>
          <w:tab w:pos="2357" w:val="left" w:leader="none"/>
          <w:tab w:pos="9040" w:val="right" w:leader="dot"/>
        </w:tabs>
        <w:spacing w:before="30"/>
        <w:ind w:left="1157" w:right="0" w:firstLine="0"/>
        <w:jc w:val="left"/>
        <w:rPr>
          <w:sz w:val="22"/>
        </w:rPr>
      </w:pPr>
      <w:r>
        <w:rPr>
          <w:w w:val="95"/>
          <w:sz w:val="22"/>
        </w:rPr>
        <w:t>第</w:t>
      </w:r>
      <w:r>
        <w:rPr>
          <w:w w:val="95"/>
          <w:sz w:val="22"/>
        </w:rPr>
        <w:t>十</w:t>
      </w:r>
      <w:r>
        <w:rPr>
          <w:w w:val="95"/>
          <w:sz w:val="22"/>
        </w:rPr>
        <w:t>七</w:t>
      </w:r>
      <w:r>
        <w:rPr>
          <w:spacing w:val="-10"/>
          <w:w w:val="95"/>
          <w:sz w:val="22"/>
        </w:rPr>
        <w:t>条</w:t>
      </w:r>
      <w:r>
        <w:rPr>
          <w:sz w:val="22"/>
        </w:rPr>
        <w:tab/>
      </w:r>
      <w:r>
        <w:rPr>
          <w:w w:val="95"/>
          <w:sz w:val="22"/>
        </w:rPr>
        <w:t>续</w:t>
      </w:r>
      <w:r>
        <w:rPr>
          <w:spacing w:val="-10"/>
          <w:sz w:val="22"/>
        </w:rPr>
        <w:t>保</w:t>
      </w:r>
      <w:r>
        <w:rPr>
          <w:rFonts w:ascii="Times New Roman" w:eastAsia="Times New Roman"/>
          <w:sz w:val="22"/>
        </w:rPr>
        <w:tab/>
      </w:r>
      <w:r>
        <w:rPr>
          <w:spacing w:val="-5"/>
          <w:sz w:val="22"/>
        </w:rPr>
        <w:t>11</w:t>
      </w:r>
    </w:p>
    <w:p>
      <w:pPr>
        <w:tabs>
          <w:tab w:pos="2357" w:val="left" w:leader="none"/>
          <w:tab w:pos="9040" w:val="right" w:leader="dot"/>
        </w:tabs>
        <w:spacing w:before="30"/>
        <w:ind w:left="1157" w:right="0" w:firstLine="0"/>
        <w:jc w:val="left"/>
        <w:rPr>
          <w:sz w:val="22"/>
        </w:rPr>
      </w:pPr>
      <w:r>
        <w:rPr>
          <w:w w:val="95"/>
          <w:sz w:val="22"/>
        </w:rPr>
        <w:t>第</w:t>
      </w:r>
      <w:r>
        <w:rPr>
          <w:w w:val="95"/>
          <w:sz w:val="22"/>
        </w:rPr>
        <w:t>十</w:t>
      </w:r>
      <w:r>
        <w:rPr>
          <w:w w:val="95"/>
          <w:sz w:val="22"/>
        </w:rPr>
        <w:t>八</w:t>
      </w:r>
      <w:r>
        <w:rPr>
          <w:spacing w:val="-10"/>
          <w:w w:val="95"/>
          <w:sz w:val="22"/>
        </w:rPr>
        <w:t>条</w:t>
      </w:r>
      <w:r>
        <w:rPr>
          <w:sz w:val="22"/>
        </w:rPr>
        <w:tab/>
      </w:r>
      <w:r>
        <w:rPr>
          <w:w w:val="95"/>
          <w:sz w:val="22"/>
        </w:rPr>
        <w:t>保</w:t>
      </w:r>
      <w:r>
        <w:rPr>
          <w:w w:val="95"/>
          <w:sz w:val="22"/>
        </w:rPr>
        <w:t>险</w:t>
      </w:r>
      <w:r>
        <w:rPr>
          <w:w w:val="95"/>
          <w:sz w:val="22"/>
        </w:rPr>
        <w:t>合</w:t>
      </w:r>
      <w:r>
        <w:rPr>
          <w:w w:val="95"/>
          <w:sz w:val="22"/>
        </w:rPr>
        <w:t>同</w:t>
      </w:r>
      <w:r>
        <w:rPr>
          <w:w w:val="95"/>
          <w:sz w:val="22"/>
        </w:rPr>
        <w:t>成</w:t>
      </w:r>
      <w:r>
        <w:rPr>
          <w:w w:val="95"/>
          <w:sz w:val="22"/>
        </w:rPr>
        <w:t>立</w:t>
      </w:r>
      <w:r>
        <w:rPr>
          <w:w w:val="95"/>
          <w:sz w:val="22"/>
        </w:rPr>
        <w:t>与</w:t>
      </w:r>
      <w:r>
        <w:rPr>
          <w:w w:val="95"/>
          <w:sz w:val="22"/>
        </w:rPr>
        <w:t>生</w:t>
      </w:r>
      <w:r>
        <w:rPr>
          <w:spacing w:val="-10"/>
          <w:w w:val="95"/>
          <w:sz w:val="22"/>
        </w:rPr>
        <w:t>效</w:t>
      </w:r>
      <w:r>
        <w:rPr>
          <w:rFonts w:ascii="Times New Roman" w:eastAsia="Times New Roman"/>
          <w:sz w:val="22"/>
        </w:rPr>
        <w:tab/>
      </w:r>
      <w:r>
        <w:rPr>
          <w:spacing w:val="-5"/>
          <w:sz w:val="22"/>
        </w:rPr>
        <w:t>11</w:t>
      </w:r>
    </w:p>
    <w:p>
      <w:pPr>
        <w:tabs>
          <w:tab w:pos="2357" w:val="left" w:leader="none"/>
          <w:tab w:pos="9040" w:val="right" w:leader="dot"/>
        </w:tabs>
        <w:spacing w:before="30"/>
        <w:ind w:left="1157" w:right="0" w:firstLine="0"/>
        <w:jc w:val="left"/>
        <w:rPr>
          <w:sz w:val="22"/>
        </w:rPr>
      </w:pPr>
      <w:r>
        <w:rPr>
          <w:w w:val="95"/>
          <w:sz w:val="22"/>
        </w:rPr>
        <w:t>第</w:t>
      </w:r>
      <w:r>
        <w:rPr>
          <w:w w:val="95"/>
          <w:sz w:val="22"/>
        </w:rPr>
        <w:t>十</w:t>
      </w:r>
      <w:r>
        <w:rPr>
          <w:w w:val="95"/>
          <w:sz w:val="22"/>
        </w:rPr>
        <w:t>九</w:t>
      </w:r>
      <w:r>
        <w:rPr>
          <w:spacing w:val="-10"/>
          <w:w w:val="95"/>
          <w:sz w:val="22"/>
        </w:rPr>
        <w:t>条</w:t>
      </w:r>
      <w:r>
        <w:rPr>
          <w:sz w:val="22"/>
        </w:rPr>
        <w:tab/>
      </w:r>
      <w:r>
        <w:rPr>
          <w:w w:val="95"/>
          <w:sz w:val="22"/>
        </w:rPr>
        <w:t>投</w:t>
      </w:r>
      <w:r>
        <w:rPr>
          <w:w w:val="95"/>
          <w:sz w:val="22"/>
        </w:rPr>
        <w:t>保</w:t>
      </w:r>
      <w:r>
        <w:rPr>
          <w:w w:val="95"/>
          <w:sz w:val="22"/>
        </w:rPr>
        <w:t>人</w:t>
      </w:r>
      <w:r>
        <w:rPr>
          <w:w w:val="95"/>
          <w:sz w:val="22"/>
        </w:rPr>
        <w:t>解</w:t>
      </w:r>
      <w:r>
        <w:rPr>
          <w:w w:val="95"/>
          <w:sz w:val="22"/>
        </w:rPr>
        <w:t>除</w:t>
      </w:r>
      <w:r>
        <w:rPr>
          <w:w w:val="95"/>
          <w:sz w:val="22"/>
        </w:rPr>
        <w:t>合</w:t>
      </w:r>
      <w:r>
        <w:rPr>
          <w:spacing w:val="-10"/>
          <w:w w:val="95"/>
          <w:sz w:val="22"/>
        </w:rPr>
        <w:t>同</w:t>
      </w:r>
      <w:r>
        <w:rPr>
          <w:rFonts w:ascii="Times New Roman" w:eastAsia="Times New Roman"/>
          <w:sz w:val="22"/>
        </w:rPr>
        <w:tab/>
      </w:r>
      <w:r>
        <w:rPr>
          <w:spacing w:val="-5"/>
          <w:sz w:val="22"/>
        </w:rPr>
        <w:t>11</w:t>
      </w:r>
    </w:p>
    <w:p>
      <w:pPr>
        <w:tabs>
          <w:tab w:pos="2357" w:val="left" w:leader="none"/>
          <w:tab w:pos="9040" w:val="right" w:leader="dot"/>
        </w:tabs>
        <w:spacing w:before="30"/>
        <w:ind w:left="1157" w:right="0" w:firstLine="0"/>
        <w:jc w:val="left"/>
        <w:rPr>
          <w:sz w:val="22"/>
        </w:rPr>
      </w:pPr>
      <w:r>
        <w:rPr>
          <w:w w:val="95"/>
          <w:sz w:val="22"/>
        </w:rPr>
        <w:t>第</w:t>
      </w:r>
      <w:r>
        <w:rPr>
          <w:w w:val="95"/>
          <w:sz w:val="22"/>
        </w:rPr>
        <w:t>二</w:t>
      </w:r>
      <w:r>
        <w:rPr>
          <w:w w:val="95"/>
          <w:sz w:val="22"/>
        </w:rPr>
        <w:t>十</w:t>
      </w:r>
      <w:r>
        <w:rPr>
          <w:spacing w:val="-10"/>
          <w:w w:val="95"/>
          <w:sz w:val="22"/>
        </w:rPr>
        <w:t>条</w:t>
      </w:r>
      <w:r>
        <w:rPr>
          <w:sz w:val="22"/>
        </w:rPr>
        <w:tab/>
      </w:r>
      <w:r>
        <w:rPr>
          <w:w w:val="95"/>
          <w:sz w:val="22"/>
        </w:rPr>
        <w:t>合</w:t>
      </w:r>
      <w:r>
        <w:rPr>
          <w:w w:val="95"/>
          <w:sz w:val="22"/>
        </w:rPr>
        <w:t>同</w:t>
      </w:r>
      <w:r>
        <w:rPr>
          <w:w w:val="95"/>
          <w:sz w:val="22"/>
        </w:rPr>
        <w:t>效</w:t>
      </w:r>
      <w:r>
        <w:rPr>
          <w:w w:val="95"/>
          <w:sz w:val="22"/>
        </w:rPr>
        <w:t>力</w:t>
      </w:r>
      <w:r>
        <w:rPr>
          <w:w w:val="95"/>
          <w:sz w:val="22"/>
        </w:rPr>
        <w:t>终</w:t>
      </w:r>
      <w:r>
        <w:rPr>
          <w:spacing w:val="-10"/>
          <w:w w:val="95"/>
          <w:sz w:val="22"/>
        </w:rPr>
        <w:t>止</w:t>
      </w:r>
      <w:r>
        <w:rPr>
          <w:rFonts w:ascii="Times New Roman" w:eastAsia="Times New Roman"/>
          <w:sz w:val="22"/>
        </w:rPr>
        <w:tab/>
      </w:r>
      <w:r>
        <w:rPr>
          <w:spacing w:val="-5"/>
          <w:sz w:val="22"/>
        </w:rPr>
        <w:t>12</w:t>
      </w:r>
    </w:p>
    <w:p>
      <w:pPr>
        <w:pStyle w:val="Heading1"/>
        <w:tabs>
          <w:tab w:pos="1787" w:val="left" w:leader="none"/>
          <w:tab w:pos="9039" w:val="right" w:leader="dot"/>
        </w:tabs>
        <w:spacing w:before="37"/>
        <w:ind w:left="737"/>
        <w:rPr>
          <w:rFonts w:ascii="Times New Roman" w:eastAsia="Times New Roman"/>
        </w:rPr>
      </w:pPr>
      <w:r>
        <w:rPr>
          <w:w w:val="95"/>
        </w:rPr>
        <w:t>第</w:t>
      </w:r>
      <w:r>
        <w:rPr>
          <w:w w:val="95"/>
        </w:rPr>
        <w:t>五</w:t>
      </w:r>
      <w:r>
        <w:rPr>
          <w:spacing w:val="-10"/>
          <w:w w:val="95"/>
        </w:rPr>
        <w:t>章</w:t>
      </w:r>
      <w:r>
        <w:rPr/>
        <w:tab/>
      </w:r>
      <w:r>
        <w:rPr>
          <w:w w:val="95"/>
        </w:rPr>
        <w:t>保</w:t>
      </w:r>
      <w:r>
        <w:rPr>
          <w:w w:val="95"/>
        </w:rPr>
        <w:t>险</w:t>
      </w:r>
      <w:r>
        <w:rPr>
          <w:w w:val="95"/>
        </w:rPr>
        <w:t>金</w:t>
      </w:r>
      <w:r>
        <w:rPr>
          <w:w w:val="95"/>
        </w:rPr>
        <w:t>申</w:t>
      </w:r>
      <w:r>
        <w:rPr>
          <w:spacing w:val="-10"/>
          <w:w w:val="95"/>
        </w:rPr>
        <w:t>请</w:t>
      </w:r>
      <w:r>
        <w:rPr>
          <w:rFonts w:ascii="Times New Roman" w:eastAsia="Times New Roman"/>
          <w:b w:val="0"/>
        </w:rPr>
        <w:tab/>
      </w:r>
      <w:r>
        <w:rPr>
          <w:rFonts w:ascii="Times New Roman" w:eastAsia="Times New Roman"/>
          <w:spacing w:val="-7"/>
        </w:rPr>
        <w:t>12</w:t>
      </w:r>
    </w:p>
    <w:p>
      <w:pPr>
        <w:tabs>
          <w:tab w:pos="9040" w:val="right" w:leader="dot"/>
        </w:tabs>
        <w:spacing w:before="36"/>
        <w:ind w:left="1157" w:right="0" w:firstLine="0"/>
        <w:jc w:val="left"/>
        <w:rPr>
          <w:sz w:val="22"/>
        </w:rPr>
      </w:pPr>
      <w:r>
        <w:rPr>
          <w:w w:val="95"/>
          <w:sz w:val="22"/>
        </w:rPr>
        <w:t>第</w:t>
      </w:r>
      <w:r>
        <w:rPr>
          <w:w w:val="95"/>
          <w:sz w:val="22"/>
        </w:rPr>
        <w:t>二</w:t>
      </w:r>
      <w:r>
        <w:rPr>
          <w:w w:val="95"/>
          <w:sz w:val="22"/>
        </w:rPr>
        <w:t>十</w:t>
      </w:r>
      <w:r>
        <w:rPr>
          <w:w w:val="95"/>
          <w:sz w:val="22"/>
        </w:rPr>
        <w:t>一条</w:t>
      </w:r>
      <w:r>
        <w:rPr>
          <w:spacing w:val="24"/>
          <w:w w:val="150"/>
          <w:sz w:val="22"/>
        </w:rPr>
        <w:t> </w:t>
      </w:r>
      <w:r>
        <w:rPr>
          <w:w w:val="95"/>
          <w:sz w:val="22"/>
        </w:rPr>
        <w:t>保</w:t>
      </w:r>
      <w:r>
        <w:rPr>
          <w:w w:val="95"/>
          <w:sz w:val="22"/>
        </w:rPr>
        <w:t>险</w:t>
      </w:r>
      <w:r>
        <w:rPr>
          <w:w w:val="95"/>
          <w:sz w:val="22"/>
        </w:rPr>
        <w:t>事</w:t>
      </w:r>
      <w:r>
        <w:rPr>
          <w:w w:val="95"/>
          <w:sz w:val="22"/>
        </w:rPr>
        <w:t>故</w:t>
      </w:r>
      <w:r>
        <w:rPr>
          <w:w w:val="95"/>
          <w:sz w:val="22"/>
        </w:rPr>
        <w:t>通</w:t>
      </w:r>
      <w:r>
        <w:rPr>
          <w:spacing w:val="-10"/>
          <w:w w:val="95"/>
          <w:sz w:val="22"/>
        </w:rPr>
        <w:t>知</w:t>
      </w:r>
      <w:r>
        <w:rPr>
          <w:rFonts w:ascii="Times New Roman" w:eastAsia="Times New Roman"/>
          <w:sz w:val="22"/>
        </w:rPr>
        <w:tab/>
      </w:r>
      <w:r>
        <w:rPr>
          <w:spacing w:val="-5"/>
          <w:sz w:val="22"/>
        </w:rPr>
        <w:t>12</w:t>
      </w:r>
    </w:p>
    <w:p>
      <w:pPr>
        <w:tabs>
          <w:tab w:pos="9040" w:val="right" w:leader="dot"/>
        </w:tabs>
        <w:spacing w:before="31"/>
        <w:ind w:left="1157" w:right="0" w:firstLine="0"/>
        <w:jc w:val="left"/>
        <w:rPr>
          <w:sz w:val="22"/>
        </w:rPr>
      </w:pPr>
      <w:r>
        <w:rPr>
          <w:w w:val="95"/>
          <w:sz w:val="22"/>
        </w:rPr>
        <w:t>第</w:t>
      </w:r>
      <w:r>
        <w:rPr>
          <w:w w:val="95"/>
          <w:sz w:val="22"/>
        </w:rPr>
        <w:t>二</w:t>
      </w:r>
      <w:r>
        <w:rPr>
          <w:w w:val="95"/>
          <w:sz w:val="22"/>
        </w:rPr>
        <w:t>十</w:t>
      </w:r>
      <w:r>
        <w:rPr>
          <w:w w:val="95"/>
          <w:sz w:val="22"/>
        </w:rPr>
        <w:t>二条</w:t>
      </w:r>
      <w:r>
        <w:rPr>
          <w:spacing w:val="61"/>
          <w:sz w:val="22"/>
        </w:rPr>
        <w:t> </w:t>
      </w:r>
      <w:r>
        <w:rPr>
          <w:w w:val="95"/>
          <w:sz w:val="22"/>
        </w:rPr>
        <w:t>诉</w:t>
      </w:r>
      <w:r>
        <w:rPr>
          <w:w w:val="95"/>
          <w:sz w:val="22"/>
        </w:rPr>
        <w:t>讼</w:t>
      </w:r>
      <w:r>
        <w:rPr>
          <w:w w:val="95"/>
          <w:sz w:val="22"/>
        </w:rPr>
        <w:t>时</w:t>
      </w:r>
      <w:r>
        <w:rPr>
          <w:spacing w:val="-10"/>
          <w:w w:val="95"/>
          <w:sz w:val="22"/>
        </w:rPr>
        <w:t>效</w:t>
      </w:r>
      <w:r>
        <w:rPr>
          <w:rFonts w:ascii="Times New Roman" w:eastAsia="Times New Roman"/>
          <w:sz w:val="22"/>
        </w:rPr>
        <w:tab/>
      </w:r>
      <w:r>
        <w:rPr>
          <w:spacing w:val="-5"/>
          <w:sz w:val="22"/>
        </w:rPr>
        <w:t>12</w:t>
      </w:r>
    </w:p>
    <w:p>
      <w:pPr>
        <w:tabs>
          <w:tab w:pos="9040" w:val="right" w:leader="dot"/>
        </w:tabs>
        <w:spacing w:before="30"/>
        <w:ind w:left="1157" w:right="0" w:firstLine="0"/>
        <w:jc w:val="left"/>
        <w:rPr>
          <w:sz w:val="22"/>
        </w:rPr>
      </w:pPr>
      <w:r>
        <w:rPr>
          <w:w w:val="95"/>
          <w:sz w:val="22"/>
        </w:rPr>
        <w:t>第</w:t>
      </w:r>
      <w:r>
        <w:rPr>
          <w:w w:val="95"/>
          <w:sz w:val="22"/>
        </w:rPr>
        <w:t>二</w:t>
      </w:r>
      <w:r>
        <w:rPr>
          <w:w w:val="95"/>
          <w:sz w:val="22"/>
        </w:rPr>
        <w:t>十</w:t>
      </w:r>
      <w:r>
        <w:rPr>
          <w:w w:val="95"/>
          <w:sz w:val="22"/>
        </w:rPr>
        <w:t>三条</w:t>
      </w:r>
      <w:r>
        <w:rPr>
          <w:spacing w:val="71"/>
          <w:sz w:val="22"/>
        </w:rPr>
        <w:t> </w:t>
      </w:r>
      <w:r>
        <w:rPr>
          <w:w w:val="95"/>
          <w:sz w:val="22"/>
        </w:rPr>
        <w:t>保</w:t>
      </w:r>
      <w:r>
        <w:rPr>
          <w:w w:val="95"/>
          <w:sz w:val="22"/>
        </w:rPr>
        <w:t>险</w:t>
      </w:r>
      <w:r>
        <w:rPr>
          <w:w w:val="95"/>
          <w:sz w:val="22"/>
        </w:rPr>
        <w:t>金</w:t>
      </w:r>
      <w:r>
        <w:rPr>
          <w:w w:val="95"/>
          <w:sz w:val="22"/>
        </w:rPr>
        <w:t>申</w:t>
      </w:r>
      <w:r>
        <w:rPr>
          <w:spacing w:val="-10"/>
          <w:w w:val="95"/>
          <w:sz w:val="22"/>
        </w:rPr>
        <w:t>请</w:t>
      </w:r>
      <w:r>
        <w:rPr>
          <w:rFonts w:ascii="Times New Roman" w:eastAsia="Times New Roman"/>
          <w:sz w:val="22"/>
        </w:rPr>
        <w:tab/>
      </w:r>
      <w:r>
        <w:rPr>
          <w:spacing w:val="-5"/>
          <w:sz w:val="22"/>
        </w:rPr>
        <w:t>12</w:t>
      </w:r>
    </w:p>
    <w:p>
      <w:pPr>
        <w:spacing w:after="0"/>
        <w:jc w:val="left"/>
        <w:rPr>
          <w:sz w:val="22"/>
        </w:rPr>
        <w:sectPr>
          <w:footerReference w:type="default" r:id="rId5"/>
          <w:type w:val="continuous"/>
          <w:pgSz w:w="11910" w:h="16840"/>
          <w:pgMar w:footer="1168" w:header="0" w:top="1600" w:bottom="1360" w:left="1060" w:right="1060"/>
          <w:pgNumType w:start="1"/>
        </w:sectPr>
      </w:pPr>
    </w:p>
    <w:sdt>
      <w:sdtPr>
        <w:docPartObj>
          <w:docPartGallery w:val="Table of Contents"/>
          <w:docPartUnique/>
        </w:docPartObj>
      </w:sdtPr>
      <w:sdtEndPr/>
      <w:sdtContent>
        <w:p>
          <w:pPr>
            <w:pStyle w:val="TOC2"/>
            <w:tabs>
              <w:tab w:pos="9040" w:val="right" w:leader="dot"/>
            </w:tabs>
            <w:spacing w:before="44"/>
          </w:pPr>
          <w:hyperlink w:history="true" w:anchor="_TOC_250002">
            <w:r>
              <w:rPr>
                <w:w w:val="95"/>
              </w:rPr>
              <w:t>第</w:t>
            </w:r>
            <w:r>
              <w:rPr>
                <w:w w:val="95"/>
              </w:rPr>
              <w:t>二</w:t>
            </w:r>
            <w:r>
              <w:rPr>
                <w:w w:val="95"/>
              </w:rPr>
              <w:t>十</w:t>
            </w:r>
            <w:r>
              <w:rPr>
                <w:w w:val="95"/>
              </w:rPr>
              <w:t>四条</w:t>
            </w:r>
            <w:r>
              <w:rPr>
                <w:spacing w:val="71"/>
              </w:rPr>
              <w:t> </w:t>
            </w:r>
            <w:r>
              <w:rPr>
                <w:w w:val="95"/>
              </w:rPr>
              <w:t>保</w:t>
            </w:r>
            <w:r>
              <w:rPr>
                <w:w w:val="95"/>
              </w:rPr>
              <w:t>险</w:t>
            </w:r>
            <w:r>
              <w:rPr>
                <w:w w:val="95"/>
              </w:rPr>
              <w:t>金</w:t>
            </w:r>
            <w:r>
              <w:rPr>
                <w:w w:val="95"/>
              </w:rPr>
              <w:t>给</w:t>
            </w:r>
            <w:r>
              <w:rPr>
                <w:spacing w:val="-10"/>
                <w:w w:val="95"/>
              </w:rPr>
              <w:t>付</w:t>
            </w:r>
            <w:r>
              <w:rPr>
                <w:rFonts w:ascii="Times New Roman" w:eastAsia="Times New Roman"/>
              </w:rPr>
              <w:tab/>
            </w:r>
            <w:r>
              <w:rPr>
                <w:spacing w:val="-5"/>
              </w:rPr>
              <w:t>13</w:t>
            </w:r>
          </w:hyperlink>
        </w:p>
        <w:p>
          <w:pPr>
            <w:pStyle w:val="TOC2"/>
            <w:tabs>
              <w:tab w:pos="9040" w:val="right" w:leader="dot"/>
            </w:tabs>
          </w:pPr>
          <w:r>
            <w:rPr/>
            <w:t>第</w:t>
          </w:r>
          <w:r>
            <w:rPr/>
            <w:t>二</w:t>
          </w:r>
          <w:r>
            <w:rPr/>
            <w:t>十</w:t>
          </w:r>
          <w:r>
            <w:rPr/>
            <w:t>五条</w:t>
          </w:r>
          <w:r>
            <w:rPr>
              <w:spacing w:val="-23"/>
            </w:rPr>
            <w:t> </w:t>
          </w:r>
          <w:r>
            <w:rPr/>
            <w:t>货</w:t>
          </w:r>
          <w:r>
            <w:rPr>
              <w:spacing w:val="-10"/>
            </w:rPr>
            <w:t>币</w:t>
          </w:r>
          <w:r>
            <w:rPr>
              <w:rFonts w:ascii="Times New Roman" w:eastAsia="Times New Roman"/>
            </w:rPr>
            <w:tab/>
          </w:r>
          <w:r>
            <w:rPr>
              <w:spacing w:val="-5"/>
            </w:rPr>
            <w:t>13</w:t>
          </w:r>
        </w:p>
        <w:p>
          <w:pPr>
            <w:pStyle w:val="TOC1"/>
            <w:tabs>
              <w:tab w:pos="1787" w:val="left" w:leader="none"/>
              <w:tab w:pos="9039" w:val="right" w:leader="dot"/>
            </w:tabs>
            <w:rPr>
              <w:rFonts w:ascii="Times New Roman" w:eastAsia="Times New Roman"/>
            </w:rPr>
          </w:pPr>
          <w:r>
            <w:rPr>
              <w:w w:val="95"/>
            </w:rPr>
            <w:t>第</w:t>
          </w:r>
          <w:r>
            <w:rPr>
              <w:w w:val="95"/>
            </w:rPr>
            <w:t>六</w:t>
          </w:r>
          <w:r>
            <w:rPr>
              <w:spacing w:val="-10"/>
              <w:w w:val="95"/>
            </w:rPr>
            <w:t>章</w:t>
          </w:r>
          <w:r>
            <w:rPr/>
            <w:tab/>
          </w:r>
          <w:r>
            <w:rPr>
              <w:w w:val="95"/>
            </w:rPr>
            <w:t>一</w:t>
          </w:r>
          <w:r>
            <w:rPr>
              <w:w w:val="95"/>
            </w:rPr>
            <w:t>般</w:t>
          </w:r>
          <w:r>
            <w:rPr>
              <w:w w:val="95"/>
            </w:rPr>
            <w:t>条</w:t>
          </w:r>
          <w:r>
            <w:rPr>
              <w:spacing w:val="-10"/>
              <w:w w:val="95"/>
            </w:rPr>
            <w:t>款</w:t>
          </w:r>
          <w:r>
            <w:rPr>
              <w:rFonts w:ascii="Times New Roman" w:eastAsia="Times New Roman"/>
              <w:b w:val="0"/>
            </w:rPr>
            <w:tab/>
          </w:r>
          <w:r>
            <w:rPr>
              <w:rFonts w:ascii="Times New Roman" w:eastAsia="Times New Roman"/>
              <w:spacing w:val="-5"/>
            </w:rPr>
            <w:t>14</w:t>
          </w:r>
        </w:p>
        <w:p>
          <w:pPr>
            <w:pStyle w:val="TOC2"/>
            <w:tabs>
              <w:tab w:pos="9040" w:val="right" w:leader="dot"/>
            </w:tabs>
            <w:spacing w:before="37"/>
          </w:pPr>
          <w:hyperlink w:history="true" w:anchor="_TOC_250001">
            <w:r>
              <w:rPr>
                <w:w w:val="95"/>
              </w:rPr>
              <w:t>第</w:t>
            </w:r>
            <w:r>
              <w:rPr>
                <w:w w:val="95"/>
              </w:rPr>
              <w:t>二</w:t>
            </w:r>
            <w:r>
              <w:rPr>
                <w:w w:val="95"/>
              </w:rPr>
              <w:t>十</w:t>
            </w:r>
            <w:r>
              <w:rPr>
                <w:w w:val="95"/>
              </w:rPr>
              <w:t>六条</w:t>
            </w:r>
            <w:r>
              <w:rPr>
                <w:spacing w:val="61"/>
              </w:rPr>
              <w:t> </w:t>
            </w:r>
            <w:r>
              <w:rPr>
                <w:w w:val="95"/>
              </w:rPr>
              <w:t>如</w:t>
            </w:r>
            <w:r>
              <w:rPr>
                <w:w w:val="95"/>
              </w:rPr>
              <w:t>实</w:t>
            </w:r>
            <w:r>
              <w:rPr>
                <w:w w:val="95"/>
              </w:rPr>
              <w:t>告</w:t>
            </w:r>
            <w:r>
              <w:rPr>
                <w:spacing w:val="-10"/>
                <w:w w:val="95"/>
              </w:rPr>
              <w:t>知</w:t>
            </w:r>
            <w:r>
              <w:rPr>
                <w:rFonts w:ascii="Times New Roman" w:eastAsia="Times New Roman"/>
              </w:rPr>
              <w:tab/>
            </w:r>
            <w:r>
              <w:rPr>
                <w:spacing w:val="-5"/>
              </w:rPr>
              <w:t>14</w:t>
            </w:r>
          </w:hyperlink>
        </w:p>
        <w:p>
          <w:pPr>
            <w:pStyle w:val="TOC2"/>
            <w:tabs>
              <w:tab w:pos="9040" w:val="right" w:leader="dot"/>
            </w:tabs>
          </w:pPr>
          <w:r>
            <w:rPr>
              <w:w w:val="95"/>
            </w:rPr>
            <w:t>第</w:t>
          </w:r>
          <w:r>
            <w:rPr>
              <w:w w:val="95"/>
            </w:rPr>
            <w:t>二</w:t>
          </w:r>
          <w:r>
            <w:rPr>
              <w:w w:val="95"/>
            </w:rPr>
            <w:t>十</w:t>
          </w:r>
          <w:r>
            <w:rPr>
              <w:w w:val="95"/>
            </w:rPr>
            <w:t>七条</w:t>
          </w:r>
          <w:r>
            <w:rPr>
              <w:spacing w:val="61"/>
            </w:rPr>
            <w:t> </w:t>
          </w:r>
          <w:r>
            <w:rPr>
              <w:w w:val="95"/>
            </w:rPr>
            <w:t>年</w:t>
          </w:r>
          <w:r>
            <w:rPr>
              <w:w w:val="95"/>
            </w:rPr>
            <w:t>龄</w:t>
          </w:r>
          <w:r>
            <w:rPr>
              <w:w w:val="95"/>
            </w:rPr>
            <w:t>错</w:t>
          </w:r>
          <w:r>
            <w:rPr>
              <w:spacing w:val="-10"/>
              <w:w w:val="95"/>
            </w:rPr>
            <w:t>误</w:t>
          </w:r>
          <w:r>
            <w:rPr>
              <w:rFonts w:ascii="Times New Roman" w:eastAsia="Times New Roman"/>
            </w:rPr>
            <w:tab/>
          </w:r>
          <w:r>
            <w:rPr>
              <w:spacing w:val="-5"/>
            </w:rPr>
            <w:t>14</w:t>
          </w:r>
        </w:p>
        <w:p>
          <w:pPr>
            <w:pStyle w:val="TOC2"/>
            <w:tabs>
              <w:tab w:pos="9040" w:val="right" w:leader="dot"/>
            </w:tabs>
          </w:pPr>
          <w:r>
            <w:rPr/>
            <w:t>第</w:t>
          </w:r>
          <w:r>
            <w:rPr/>
            <w:t>二</w:t>
          </w:r>
          <w:r>
            <w:rPr/>
            <w:t>十</w:t>
          </w:r>
          <w:r>
            <w:rPr/>
            <w:t>八条</w:t>
          </w:r>
          <w:r>
            <w:rPr>
              <w:spacing w:val="-25"/>
            </w:rPr>
            <w:t> </w:t>
          </w:r>
          <w:r>
            <w:rPr/>
            <w:t>犹</w:t>
          </w:r>
          <w:r>
            <w:rPr/>
            <w:t>豫</w:t>
          </w:r>
          <w:r>
            <w:rPr>
              <w:spacing w:val="-10"/>
            </w:rPr>
            <w:t>期</w:t>
          </w:r>
          <w:r>
            <w:rPr>
              <w:rFonts w:ascii="Times New Roman" w:eastAsia="Times New Roman"/>
            </w:rPr>
            <w:tab/>
          </w:r>
          <w:r>
            <w:rPr>
              <w:spacing w:val="-5"/>
            </w:rPr>
            <w:t>14</w:t>
          </w:r>
        </w:p>
        <w:p>
          <w:pPr>
            <w:pStyle w:val="TOC2"/>
            <w:tabs>
              <w:tab w:pos="9040" w:val="right" w:leader="dot"/>
            </w:tabs>
          </w:pPr>
          <w:r>
            <w:rPr>
              <w:w w:val="95"/>
            </w:rPr>
            <w:t>第</w:t>
          </w:r>
          <w:r>
            <w:rPr>
              <w:w w:val="95"/>
            </w:rPr>
            <w:t>二</w:t>
          </w:r>
          <w:r>
            <w:rPr>
              <w:w w:val="95"/>
            </w:rPr>
            <w:t>十</w:t>
          </w:r>
          <w:r>
            <w:rPr>
              <w:w w:val="95"/>
            </w:rPr>
            <w:t>九条</w:t>
          </w:r>
          <w:r>
            <w:rPr>
              <w:spacing w:val="43"/>
              <w:w w:val="150"/>
            </w:rPr>
            <w:t> </w:t>
          </w:r>
          <w:r>
            <w:rPr>
              <w:w w:val="95"/>
            </w:rPr>
            <w:t>医</w:t>
          </w:r>
          <w:r>
            <w:rPr>
              <w:w w:val="95"/>
            </w:rPr>
            <w:t>疗</w:t>
          </w:r>
          <w:r>
            <w:rPr>
              <w:w w:val="95"/>
            </w:rPr>
            <w:t>保</w:t>
          </w:r>
          <w:r>
            <w:rPr>
              <w:w w:val="95"/>
            </w:rPr>
            <w:t>险</w:t>
          </w:r>
          <w:r>
            <w:rPr>
              <w:w w:val="95"/>
            </w:rPr>
            <w:t>状</w:t>
          </w:r>
          <w:r>
            <w:rPr>
              <w:w w:val="95"/>
            </w:rPr>
            <w:t>态</w:t>
          </w:r>
          <w:r>
            <w:rPr>
              <w:w w:val="95"/>
            </w:rPr>
            <w:t>变</w:t>
          </w:r>
          <w:r>
            <w:rPr>
              <w:spacing w:val="-10"/>
              <w:w w:val="95"/>
            </w:rPr>
            <w:t>更</w:t>
          </w:r>
          <w:r>
            <w:rPr>
              <w:rFonts w:ascii="Times New Roman" w:eastAsia="Times New Roman"/>
            </w:rPr>
            <w:tab/>
          </w:r>
          <w:r>
            <w:rPr>
              <w:spacing w:val="-5"/>
            </w:rPr>
            <w:t>14</w:t>
          </w:r>
        </w:p>
        <w:p>
          <w:pPr>
            <w:pStyle w:val="TOC2"/>
            <w:tabs>
              <w:tab w:pos="2357" w:val="left" w:leader="none"/>
              <w:tab w:pos="9040" w:val="right" w:leader="dot"/>
            </w:tabs>
          </w:pPr>
          <w:r>
            <w:rPr>
              <w:w w:val="95"/>
            </w:rPr>
            <w:t>第</w:t>
          </w:r>
          <w:r>
            <w:rPr>
              <w:w w:val="95"/>
            </w:rPr>
            <w:t>三</w:t>
          </w:r>
          <w:r>
            <w:rPr>
              <w:w w:val="95"/>
            </w:rPr>
            <w:t>十</w:t>
          </w:r>
          <w:r>
            <w:rPr>
              <w:spacing w:val="-10"/>
              <w:w w:val="95"/>
            </w:rPr>
            <w:t>条</w:t>
          </w:r>
          <w:r>
            <w:rPr/>
            <w:tab/>
          </w:r>
          <w:r>
            <w:rPr>
              <w:w w:val="95"/>
            </w:rPr>
            <w:t>受</w:t>
          </w:r>
          <w:r>
            <w:rPr>
              <w:w w:val="95"/>
            </w:rPr>
            <w:t>益</w:t>
          </w:r>
          <w:r>
            <w:rPr>
              <w:w w:val="95"/>
            </w:rPr>
            <w:t>人</w:t>
          </w:r>
          <w:r>
            <w:rPr>
              <w:w w:val="95"/>
            </w:rPr>
            <w:t>指</w:t>
          </w:r>
          <w:r>
            <w:rPr>
              <w:w w:val="95"/>
            </w:rPr>
            <w:t>定</w:t>
          </w:r>
          <w:r>
            <w:rPr>
              <w:w w:val="95"/>
            </w:rPr>
            <w:t>与</w:t>
          </w:r>
          <w:r>
            <w:rPr>
              <w:w w:val="95"/>
            </w:rPr>
            <w:t>变</w:t>
          </w:r>
          <w:r>
            <w:rPr>
              <w:spacing w:val="-10"/>
              <w:w w:val="95"/>
            </w:rPr>
            <w:t>更</w:t>
          </w:r>
          <w:r>
            <w:rPr>
              <w:rFonts w:ascii="Times New Roman" w:eastAsia="Times New Roman"/>
            </w:rPr>
            <w:tab/>
          </w:r>
          <w:r>
            <w:rPr>
              <w:spacing w:val="-5"/>
            </w:rPr>
            <w:t>15</w:t>
          </w:r>
        </w:p>
        <w:p>
          <w:pPr>
            <w:pStyle w:val="TOC2"/>
            <w:tabs>
              <w:tab w:pos="9040" w:val="right" w:leader="dot"/>
            </w:tabs>
            <w:spacing w:before="31"/>
          </w:pPr>
          <w:r>
            <w:rPr>
              <w:w w:val="95"/>
            </w:rPr>
            <w:t>第</w:t>
          </w:r>
          <w:r>
            <w:rPr>
              <w:w w:val="95"/>
            </w:rPr>
            <w:t>三</w:t>
          </w:r>
          <w:r>
            <w:rPr>
              <w:w w:val="95"/>
            </w:rPr>
            <w:t>十</w:t>
          </w:r>
          <w:r>
            <w:rPr>
              <w:w w:val="95"/>
            </w:rPr>
            <w:t>一条</w:t>
          </w:r>
          <w:r>
            <w:rPr>
              <w:spacing w:val="24"/>
              <w:w w:val="150"/>
            </w:rPr>
            <w:t> </w:t>
          </w:r>
          <w:r>
            <w:rPr>
              <w:w w:val="95"/>
            </w:rPr>
            <w:t>合</w:t>
          </w:r>
          <w:r>
            <w:rPr>
              <w:w w:val="95"/>
            </w:rPr>
            <w:t>同</w:t>
          </w:r>
          <w:r>
            <w:rPr>
              <w:w w:val="95"/>
            </w:rPr>
            <w:t>内</w:t>
          </w:r>
          <w:r>
            <w:rPr>
              <w:w w:val="95"/>
            </w:rPr>
            <w:t>容</w:t>
          </w:r>
          <w:r>
            <w:rPr>
              <w:w w:val="95"/>
            </w:rPr>
            <w:t>变</w:t>
          </w:r>
          <w:r>
            <w:rPr>
              <w:spacing w:val="-10"/>
              <w:w w:val="95"/>
            </w:rPr>
            <w:t>更</w:t>
          </w:r>
          <w:r>
            <w:rPr>
              <w:rFonts w:ascii="Times New Roman" w:eastAsia="Times New Roman"/>
            </w:rPr>
            <w:tab/>
          </w:r>
          <w:r>
            <w:rPr>
              <w:spacing w:val="-5"/>
            </w:rPr>
            <w:t>15</w:t>
          </w:r>
        </w:p>
        <w:p>
          <w:pPr>
            <w:pStyle w:val="TOC2"/>
            <w:tabs>
              <w:tab w:pos="9040" w:val="right" w:leader="dot"/>
            </w:tabs>
          </w:pPr>
          <w:r>
            <w:rPr>
              <w:w w:val="95"/>
            </w:rPr>
            <w:t>第</w:t>
          </w:r>
          <w:r>
            <w:rPr>
              <w:w w:val="95"/>
            </w:rPr>
            <w:t>三</w:t>
          </w:r>
          <w:r>
            <w:rPr>
              <w:w w:val="95"/>
            </w:rPr>
            <w:t>十</w:t>
          </w:r>
          <w:r>
            <w:rPr>
              <w:w w:val="95"/>
            </w:rPr>
            <w:t>二条</w:t>
          </w:r>
          <w:r>
            <w:rPr>
              <w:spacing w:val="24"/>
              <w:w w:val="150"/>
            </w:rPr>
            <w:t> </w:t>
          </w:r>
          <w:r>
            <w:rPr>
              <w:w w:val="95"/>
            </w:rPr>
            <w:t>通</w:t>
          </w:r>
          <w:r>
            <w:rPr>
              <w:w w:val="95"/>
            </w:rPr>
            <w:t>讯</w:t>
          </w:r>
          <w:r>
            <w:rPr>
              <w:w w:val="95"/>
            </w:rPr>
            <w:t>地</w:t>
          </w:r>
          <w:r>
            <w:rPr>
              <w:w w:val="95"/>
            </w:rPr>
            <w:t>址</w:t>
          </w:r>
          <w:r>
            <w:rPr>
              <w:w w:val="95"/>
            </w:rPr>
            <w:t>变</w:t>
          </w:r>
          <w:r>
            <w:rPr>
              <w:spacing w:val="-10"/>
              <w:w w:val="95"/>
            </w:rPr>
            <w:t>更</w:t>
          </w:r>
          <w:r>
            <w:rPr>
              <w:rFonts w:ascii="Times New Roman" w:eastAsia="Times New Roman"/>
            </w:rPr>
            <w:tab/>
          </w:r>
          <w:r>
            <w:rPr>
              <w:spacing w:val="-5"/>
            </w:rPr>
            <w:t>15</w:t>
          </w:r>
        </w:p>
        <w:p>
          <w:pPr>
            <w:pStyle w:val="TOC2"/>
            <w:tabs>
              <w:tab w:pos="9040" w:val="right" w:leader="dot"/>
            </w:tabs>
          </w:pPr>
          <w:r>
            <w:rPr>
              <w:w w:val="95"/>
            </w:rPr>
            <w:t>第</w:t>
          </w:r>
          <w:r>
            <w:rPr>
              <w:w w:val="95"/>
            </w:rPr>
            <w:t>三</w:t>
          </w:r>
          <w:r>
            <w:rPr>
              <w:w w:val="95"/>
            </w:rPr>
            <w:t>十</w:t>
          </w:r>
          <w:r>
            <w:rPr>
              <w:w w:val="95"/>
            </w:rPr>
            <w:t>三条</w:t>
          </w:r>
          <w:r>
            <w:rPr>
              <w:spacing w:val="61"/>
            </w:rPr>
            <w:t> </w:t>
          </w:r>
          <w:r>
            <w:rPr>
              <w:w w:val="95"/>
            </w:rPr>
            <w:t>司</w:t>
          </w:r>
          <w:r>
            <w:rPr>
              <w:w w:val="95"/>
            </w:rPr>
            <w:t>法</w:t>
          </w:r>
          <w:r>
            <w:rPr>
              <w:w w:val="95"/>
            </w:rPr>
            <w:t>鉴</w:t>
          </w:r>
          <w:r>
            <w:rPr>
              <w:spacing w:val="-10"/>
              <w:w w:val="95"/>
            </w:rPr>
            <w:t>定</w:t>
          </w:r>
          <w:r>
            <w:rPr>
              <w:rFonts w:ascii="Times New Roman" w:eastAsia="Times New Roman"/>
            </w:rPr>
            <w:tab/>
          </w:r>
          <w:r>
            <w:rPr>
              <w:spacing w:val="-5"/>
            </w:rPr>
            <w:t>15</w:t>
          </w:r>
        </w:p>
        <w:p>
          <w:pPr>
            <w:pStyle w:val="TOC2"/>
            <w:tabs>
              <w:tab w:pos="9040" w:val="right" w:leader="dot"/>
            </w:tabs>
          </w:pPr>
          <w:hyperlink w:history="true" w:anchor="_TOC_250000">
            <w:r>
              <w:rPr>
                <w:w w:val="95"/>
              </w:rPr>
              <w:t>第</w:t>
            </w:r>
            <w:r>
              <w:rPr>
                <w:w w:val="95"/>
              </w:rPr>
              <w:t>三</w:t>
            </w:r>
            <w:r>
              <w:rPr>
                <w:w w:val="95"/>
              </w:rPr>
              <w:t>十</w:t>
            </w:r>
            <w:r>
              <w:rPr>
                <w:w w:val="95"/>
              </w:rPr>
              <w:t>四条</w:t>
            </w:r>
            <w:r>
              <w:rPr>
                <w:spacing w:val="61"/>
              </w:rPr>
              <w:t> </w:t>
            </w:r>
            <w:r>
              <w:rPr>
                <w:w w:val="95"/>
              </w:rPr>
              <w:t>争</w:t>
            </w:r>
            <w:r>
              <w:rPr>
                <w:w w:val="95"/>
              </w:rPr>
              <w:t>议</w:t>
            </w:r>
            <w:r>
              <w:rPr>
                <w:w w:val="95"/>
              </w:rPr>
              <w:t>处</w:t>
            </w:r>
            <w:r>
              <w:rPr>
                <w:spacing w:val="-10"/>
                <w:w w:val="95"/>
              </w:rPr>
              <w:t>理</w:t>
            </w:r>
            <w:r>
              <w:rPr>
                <w:rFonts w:ascii="Times New Roman" w:eastAsia="Times New Roman"/>
              </w:rPr>
              <w:tab/>
            </w:r>
            <w:r>
              <w:rPr>
                <w:spacing w:val="-5"/>
              </w:rPr>
              <w:t>15</w:t>
            </w:r>
          </w:hyperlink>
        </w:p>
        <w:p>
          <w:pPr>
            <w:pStyle w:val="TOC1"/>
            <w:tabs>
              <w:tab w:pos="1787" w:val="left" w:leader="none"/>
              <w:tab w:pos="9040" w:val="right" w:leader="dot"/>
            </w:tabs>
            <w:rPr>
              <w:rFonts w:ascii="Times New Roman" w:eastAsia="Times New Roman"/>
            </w:rPr>
          </w:pPr>
          <w:r>
            <w:rPr>
              <w:w w:val="95"/>
            </w:rPr>
            <w:t>第</w:t>
          </w:r>
          <w:r>
            <w:rPr>
              <w:w w:val="95"/>
            </w:rPr>
            <w:t>七</w:t>
          </w:r>
          <w:r>
            <w:rPr>
              <w:spacing w:val="-10"/>
              <w:w w:val="95"/>
            </w:rPr>
            <w:t>章</w:t>
          </w:r>
          <w:r>
            <w:rPr/>
            <w:tab/>
          </w:r>
          <w:r>
            <w:rPr>
              <w:w w:val="95"/>
            </w:rPr>
            <w:t>附</w:t>
          </w:r>
          <w:r>
            <w:rPr>
              <w:spacing w:val="-10"/>
            </w:rPr>
            <w:t>表</w:t>
          </w:r>
          <w:r>
            <w:rPr>
              <w:rFonts w:ascii="Times New Roman" w:eastAsia="Times New Roman"/>
              <w:b w:val="0"/>
            </w:rPr>
            <w:tab/>
          </w:r>
          <w:r>
            <w:rPr>
              <w:rFonts w:ascii="Times New Roman" w:eastAsia="Times New Roman"/>
              <w:spacing w:val="-5"/>
            </w:rPr>
            <w:t>16</w:t>
          </w:r>
        </w:p>
        <w:p>
          <w:pPr>
            <w:pStyle w:val="TOC2"/>
            <w:tabs>
              <w:tab w:pos="9040" w:val="right" w:leader="dot"/>
            </w:tabs>
            <w:spacing w:before="37"/>
          </w:pPr>
          <w:r>
            <w:rPr>
              <w:w w:val="95"/>
            </w:rPr>
            <w:t>附</w:t>
          </w:r>
          <w:r>
            <w:rPr>
              <w:w w:val="95"/>
            </w:rPr>
            <w:t>表</w:t>
          </w:r>
          <w:r>
            <w:rPr>
              <w:w w:val="95"/>
            </w:rPr>
            <w:t>一</w:t>
          </w:r>
          <w:r>
            <w:rPr>
              <w:w w:val="95"/>
            </w:rPr>
            <w:t>：</w:t>
          </w:r>
          <w:r>
            <w:rPr>
              <w:w w:val="95"/>
            </w:rPr>
            <w:t>重</w:t>
          </w:r>
          <w:r>
            <w:rPr>
              <w:w w:val="95"/>
            </w:rPr>
            <w:t>大</w:t>
          </w:r>
          <w:r>
            <w:rPr>
              <w:w w:val="95"/>
            </w:rPr>
            <w:t>疾</w:t>
          </w:r>
          <w:r>
            <w:rPr>
              <w:w w:val="95"/>
            </w:rPr>
            <w:t>病</w:t>
          </w:r>
          <w:r>
            <w:rPr>
              <w:w w:val="95"/>
            </w:rPr>
            <w:t>种</w:t>
          </w:r>
          <w:r>
            <w:rPr>
              <w:w w:val="95"/>
            </w:rPr>
            <w:t>类</w:t>
          </w:r>
          <w:r>
            <w:rPr>
              <w:spacing w:val="-10"/>
              <w:w w:val="95"/>
            </w:rPr>
            <w:t>表</w:t>
          </w:r>
          <w:r>
            <w:rPr>
              <w:rFonts w:ascii="Times New Roman" w:eastAsia="Times New Roman"/>
            </w:rPr>
            <w:tab/>
          </w:r>
          <w:r>
            <w:rPr>
              <w:spacing w:val="-5"/>
            </w:rPr>
            <w:t>16</w:t>
          </w:r>
        </w:p>
        <w:p>
          <w:pPr>
            <w:pStyle w:val="TOC2"/>
            <w:tabs>
              <w:tab w:pos="9040" w:val="right" w:leader="dot"/>
            </w:tabs>
          </w:pPr>
          <w:r>
            <w:rPr>
              <w:w w:val="95"/>
            </w:rPr>
            <w:t>附</w:t>
          </w:r>
          <w:r>
            <w:rPr>
              <w:w w:val="95"/>
            </w:rPr>
            <w:t>表</w:t>
          </w:r>
          <w:r>
            <w:rPr>
              <w:w w:val="95"/>
            </w:rPr>
            <w:t>二</w:t>
          </w:r>
          <w:r>
            <w:rPr>
              <w:w w:val="95"/>
            </w:rPr>
            <w:t>：</w:t>
          </w:r>
          <w:r>
            <w:rPr>
              <w:w w:val="95"/>
            </w:rPr>
            <w:t>特</w:t>
          </w:r>
          <w:r>
            <w:rPr>
              <w:w w:val="95"/>
            </w:rPr>
            <w:t>定</w:t>
          </w:r>
          <w:r>
            <w:rPr>
              <w:w w:val="95"/>
            </w:rPr>
            <w:t>疾</w:t>
          </w:r>
          <w:r>
            <w:rPr>
              <w:w w:val="95"/>
            </w:rPr>
            <w:t>病</w:t>
          </w:r>
          <w:r>
            <w:rPr>
              <w:w w:val="95"/>
            </w:rPr>
            <w:t>种</w:t>
          </w:r>
          <w:r>
            <w:rPr>
              <w:w w:val="95"/>
            </w:rPr>
            <w:t>类</w:t>
          </w:r>
          <w:r>
            <w:rPr>
              <w:spacing w:val="-10"/>
              <w:w w:val="95"/>
            </w:rPr>
            <w:t>表</w:t>
          </w:r>
          <w:r>
            <w:rPr>
              <w:rFonts w:ascii="Times New Roman" w:eastAsia="Times New Roman"/>
            </w:rPr>
            <w:tab/>
          </w:r>
          <w:r>
            <w:rPr>
              <w:spacing w:val="-5"/>
            </w:rPr>
            <w:t>31</w:t>
          </w:r>
        </w:p>
        <w:p>
          <w:pPr>
            <w:pStyle w:val="TOC2"/>
            <w:tabs>
              <w:tab w:pos="9040" w:val="right" w:leader="dot"/>
            </w:tabs>
          </w:pPr>
          <w:r>
            <w:rPr>
              <w:w w:val="95"/>
            </w:rPr>
            <w:t>附</w:t>
          </w:r>
          <w:r>
            <w:rPr>
              <w:w w:val="95"/>
            </w:rPr>
            <w:t>表</w:t>
          </w:r>
          <w:r>
            <w:rPr>
              <w:w w:val="95"/>
            </w:rPr>
            <w:t>三</w:t>
          </w:r>
          <w:r>
            <w:rPr>
              <w:w w:val="95"/>
            </w:rPr>
            <w:t>：</w:t>
          </w:r>
          <w:r>
            <w:rPr>
              <w:w w:val="95"/>
            </w:rPr>
            <w:t>保</w:t>
          </w:r>
          <w:r>
            <w:rPr>
              <w:w w:val="95"/>
            </w:rPr>
            <w:t>障</w:t>
          </w:r>
          <w:r>
            <w:rPr>
              <w:w w:val="95"/>
            </w:rPr>
            <w:t>计</w:t>
          </w:r>
          <w:r>
            <w:rPr>
              <w:w w:val="95"/>
            </w:rPr>
            <w:t>划</w:t>
          </w:r>
          <w:r>
            <w:rPr>
              <w:spacing w:val="-10"/>
              <w:w w:val="95"/>
            </w:rPr>
            <w:t>表</w:t>
          </w:r>
          <w:r>
            <w:rPr>
              <w:rFonts w:ascii="Times New Roman" w:eastAsia="Times New Roman"/>
            </w:rPr>
            <w:tab/>
          </w:r>
          <w:r>
            <w:rPr>
              <w:spacing w:val="-5"/>
            </w:rPr>
            <w:t>32</w:t>
          </w:r>
        </w:p>
      </w:sdtContent>
    </w:sdt>
    <w:p>
      <w:pPr>
        <w:spacing w:after="0"/>
        <w:sectPr>
          <w:pgSz w:w="11910" w:h="16840"/>
          <w:pgMar w:header="0" w:footer="1168" w:top="1440" w:bottom="1360" w:left="1060" w:right="1060"/>
        </w:sectPr>
      </w:pPr>
    </w:p>
    <w:p>
      <w:pPr>
        <w:pStyle w:val="BodyText"/>
        <w:spacing w:line="278" w:lineRule="auto" w:before="50"/>
        <w:ind w:right="733"/>
      </w:pPr>
      <w:r>
        <w:rPr>
          <w:spacing w:val="-4"/>
        </w:rPr>
        <w:t>在本条款中，“您”指投保人，“我们”、“本公司”均指长生人寿保险有限公司，“本合</w:t>
      </w:r>
      <w:r>
        <w:rPr>
          <w:spacing w:val="-2"/>
        </w:rPr>
        <w:t>同”指您与我们之间订立的《长生彩虹桥尊享医疗保险》合同。</w:t>
      </w:r>
    </w:p>
    <w:p>
      <w:pPr>
        <w:pStyle w:val="BodyText"/>
        <w:ind w:left="0"/>
        <w:rPr>
          <w:sz w:val="20"/>
        </w:rPr>
      </w:pPr>
    </w:p>
    <w:p>
      <w:pPr>
        <w:pStyle w:val="BodyText"/>
        <w:ind w:left="0"/>
        <w:rPr>
          <w:sz w:val="20"/>
        </w:rPr>
      </w:pPr>
    </w:p>
    <w:p>
      <w:pPr>
        <w:pStyle w:val="BodyText"/>
        <w:spacing w:before="12"/>
        <w:ind w:left="0"/>
        <w:rPr>
          <w:sz w:val="25"/>
        </w:rPr>
      </w:pPr>
    </w:p>
    <w:p>
      <w:pPr>
        <w:pStyle w:val="Heading1"/>
        <w:ind w:left="3322" w:right="3322"/>
        <w:jc w:val="center"/>
      </w:pPr>
      <w:bookmarkStart w:name="_TOC_250002" w:id="1"/>
      <w:r>
        <w:rPr>
          <w:w w:val="95"/>
        </w:rPr>
        <w:t>第</w:t>
      </w:r>
      <w:r>
        <w:rPr>
          <w:w w:val="95"/>
        </w:rPr>
        <w:t>一</w:t>
      </w:r>
      <w:r>
        <w:rPr>
          <w:w w:val="95"/>
        </w:rPr>
        <w:t>章</w:t>
      </w:r>
      <w:r>
        <w:rPr>
          <w:spacing w:val="45"/>
          <w:w w:val="150"/>
        </w:rPr>
        <w:t> </w:t>
      </w:r>
      <w:r>
        <w:rPr>
          <w:w w:val="95"/>
        </w:rPr>
        <w:t>保</w:t>
      </w:r>
      <w:r>
        <w:rPr>
          <w:w w:val="95"/>
        </w:rPr>
        <w:t>险</w:t>
      </w:r>
      <w:r>
        <w:rPr>
          <w:w w:val="95"/>
        </w:rPr>
        <w:t>合</w:t>
      </w:r>
      <w:r>
        <w:rPr>
          <w:w w:val="95"/>
        </w:rPr>
        <w:t>同</w:t>
      </w:r>
      <w:r>
        <w:rPr>
          <w:w w:val="95"/>
        </w:rPr>
        <w:t>构</w:t>
      </w:r>
      <w:r>
        <w:rPr>
          <w:w w:val="95"/>
        </w:rPr>
        <w:t>成</w:t>
      </w:r>
      <w:r>
        <w:rPr>
          <w:w w:val="95"/>
        </w:rPr>
        <w:t>及</w:t>
      </w:r>
      <w:r>
        <w:rPr>
          <w:w w:val="95"/>
        </w:rPr>
        <w:t>投</w:t>
      </w:r>
      <w:r>
        <w:rPr>
          <w:w w:val="95"/>
        </w:rPr>
        <w:t>保</w:t>
      </w:r>
      <w:r>
        <w:rPr>
          <w:w w:val="95"/>
        </w:rPr>
        <w:t>范</w:t>
      </w:r>
      <w:bookmarkEnd w:id="1"/>
      <w:r>
        <w:rPr>
          <w:spacing w:val="-10"/>
          <w:w w:val="95"/>
        </w:rPr>
        <w:t>围</w:t>
      </w:r>
    </w:p>
    <w:p>
      <w:pPr>
        <w:pStyle w:val="BodyText"/>
        <w:spacing w:before="5"/>
        <w:ind w:left="0"/>
        <w:rPr>
          <w:b/>
          <w:sz w:val="20"/>
        </w:rPr>
      </w:pPr>
    </w:p>
    <w:p>
      <w:pPr>
        <w:pStyle w:val="BodyText"/>
        <w:tabs>
          <w:tab w:pos="1997" w:val="left" w:leader="none"/>
        </w:tabs>
      </w:pPr>
      <w:r>
        <w:rPr/>
        <w:t>第一</w:t>
      </w:r>
      <w:r>
        <w:rPr>
          <w:spacing w:val="-10"/>
        </w:rPr>
        <w:t>条</w:t>
      </w:r>
      <w:r>
        <w:rPr/>
        <w:tab/>
        <w:t>保险合同构</w:t>
      </w:r>
      <w:r>
        <w:rPr>
          <w:spacing w:val="-10"/>
        </w:rPr>
        <w:t>成</w:t>
      </w:r>
    </w:p>
    <w:p>
      <w:pPr>
        <w:pStyle w:val="BodyText"/>
        <w:spacing w:line="278" w:lineRule="auto" w:before="43"/>
        <w:ind w:right="628"/>
      </w:pPr>
      <w:r>
        <w:rPr>
          <w:spacing w:val="-2"/>
        </w:rPr>
        <w:t>本合同由保险单及其所附条款、声明、批注，以及与本合同有关的投保单、其他投保文件、</w:t>
      </w:r>
      <w:r>
        <w:rPr>
          <w:spacing w:val="-2"/>
        </w:rPr>
        <w:t>体检报告书及其他约定书共同构成。</w:t>
      </w:r>
    </w:p>
    <w:p>
      <w:pPr>
        <w:pStyle w:val="BodyText"/>
        <w:spacing w:before="4"/>
        <w:ind w:left="0"/>
        <w:rPr>
          <w:sz w:val="24"/>
        </w:rPr>
      </w:pPr>
    </w:p>
    <w:p>
      <w:pPr>
        <w:pStyle w:val="BodyText"/>
        <w:tabs>
          <w:tab w:pos="1997" w:val="left" w:leader="none"/>
        </w:tabs>
      </w:pPr>
      <w:r>
        <w:rPr/>
        <w:t>第二</w:t>
      </w:r>
      <w:r>
        <w:rPr>
          <w:spacing w:val="-10"/>
        </w:rPr>
        <w:t>条</w:t>
      </w:r>
      <w:r>
        <w:rPr/>
        <w:tab/>
        <w:t>投保范</w:t>
      </w:r>
      <w:r>
        <w:rPr>
          <w:spacing w:val="-10"/>
        </w:rPr>
        <w:t>围</w:t>
      </w:r>
    </w:p>
    <w:p>
      <w:pPr>
        <w:pStyle w:val="BodyText"/>
        <w:spacing w:line="278" w:lineRule="auto" w:before="43"/>
        <w:ind w:right="854"/>
      </w:pPr>
      <w:r>
        <w:rPr>
          <w:spacing w:val="-2"/>
        </w:rPr>
        <w:t>本合同接受的被保险人应具有中华人民共和国国籍，且投保年龄为出生满三十天至六十四</w:t>
      </w:r>
      <w:r>
        <w:rPr>
          <w:b/>
          <w:spacing w:val="-4"/>
        </w:rPr>
        <w:t>周岁</w:t>
      </w:r>
      <w:r>
        <w:rPr>
          <w:rFonts w:ascii="Times New Roman" w:eastAsia="Times New Roman"/>
          <w:b/>
          <w:spacing w:val="-4"/>
          <w:vertAlign w:val="superscript"/>
        </w:rPr>
        <w:t>1</w:t>
      </w:r>
      <w:r>
        <w:rPr>
          <w:spacing w:val="-4"/>
          <w:vertAlign w:val="baseline"/>
        </w:rPr>
        <w:t>。</w:t>
      </w:r>
    </w:p>
    <w:p>
      <w:pPr>
        <w:pStyle w:val="BodyText"/>
        <w:ind w:left="0"/>
        <w:rPr>
          <w:sz w:val="22"/>
        </w:rPr>
      </w:pPr>
    </w:p>
    <w:p>
      <w:pPr>
        <w:pStyle w:val="BodyText"/>
        <w:ind w:left="0"/>
        <w:rPr>
          <w:sz w:val="22"/>
        </w:rPr>
      </w:pPr>
    </w:p>
    <w:p>
      <w:pPr>
        <w:pStyle w:val="BodyText"/>
        <w:spacing w:before="12"/>
        <w:ind w:left="0"/>
      </w:pPr>
    </w:p>
    <w:p>
      <w:pPr>
        <w:pStyle w:val="Heading1"/>
        <w:ind w:left="3326" w:right="3322"/>
        <w:jc w:val="center"/>
      </w:pPr>
      <w:bookmarkStart w:name="_TOC_250001" w:id="2"/>
      <w:r>
        <w:rPr>
          <w:w w:val="95"/>
        </w:rPr>
        <w:t>第</w:t>
      </w:r>
      <w:r>
        <w:rPr>
          <w:w w:val="95"/>
        </w:rPr>
        <w:t>二</w:t>
      </w:r>
      <w:r>
        <w:rPr>
          <w:w w:val="95"/>
        </w:rPr>
        <w:t>章</w:t>
      </w:r>
      <w:r>
        <w:rPr>
          <w:spacing w:val="28"/>
          <w:w w:val="150"/>
        </w:rPr>
        <w:t> </w:t>
      </w:r>
      <w:r>
        <w:rPr>
          <w:w w:val="95"/>
        </w:rPr>
        <w:t>保</w:t>
      </w:r>
      <w:r>
        <w:rPr>
          <w:w w:val="95"/>
        </w:rPr>
        <w:t>险</w:t>
      </w:r>
      <w:r>
        <w:rPr>
          <w:w w:val="95"/>
        </w:rPr>
        <w:t>责</w:t>
      </w:r>
      <w:r>
        <w:rPr>
          <w:w w:val="95"/>
        </w:rPr>
        <w:t>任</w:t>
      </w:r>
      <w:r>
        <w:rPr>
          <w:w w:val="95"/>
        </w:rPr>
        <w:t>及</w:t>
      </w:r>
      <w:r>
        <w:rPr>
          <w:w w:val="95"/>
        </w:rPr>
        <w:t>责</w:t>
      </w:r>
      <w:r>
        <w:rPr>
          <w:w w:val="95"/>
        </w:rPr>
        <w:t>任</w:t>
      </w:r>
      <w:r>
        <w:rPr>
          <w:w w:val="95"/>
        </w:rPr>
        <w:t>免</w:t>
      </w:r>
      <w:bookmarkEnd w:id="2"/>
      <w:r>
        <w:rPr>
          <w:spacing w:val="-10"/>
          <w:w w:val="95"/>
        </w:rPr>
        <w:t>除</w:t>
      </w:r>
    </w:p>
    <w:p>
      <w:pPr>
        <w:pStyle w:val="BodyText"/>
        <w:spacing w:before="6"/>
        <w:ind w:left="0"/>
        <w:rPr>
          <w:b/>
          <w:sz w:val="20"/>
        </w:rPr>
      </w:pPr>
    </w:p>
    <w:p>
      <w:pPr>
        <w:pStyle w:val="BodyText"/>
        <w:tabs>
          <w:tab w:pos="1997" w:val="left" w:leader="none"/>
        </w:tabs>
      </w:pPr>
      <w:r>
        <w:rPr/>
        <w:t>第三</w:t>
      </w:r>
      <w:r>
        <w:rPr>
          <w:spacing w:val="-10"/>
        </w:rPr>
        <w:t>条</w:t>
      </w:r>
      <w:r>
        <w:rPr/>
        <w:tab/>
        <w:t>等待</w:t>
      </w:r>
      <w:r>
        <w:rPr>
          <w:spacing w:val="-10"/>
        </w:rPr>
        <w:t>期</w:t>
      </w:r>
    </w:p>
    <w:p>
      <w:pPr>
        <w:pStyle w:val="BodyText"/>
        <w:spacing w:line="278" w:lineRule="auto" w:before="43"/>
        <w:ind w:right="732"/>
        <w:jc w:val="both"/>
        <w:rPr>
          <w:rFonts w:ascii="黑体" w:eastAsia="黑体"/>
        </w:rPr>
      </w:pPr>
      <w:r>
        <w:rPr>
          <w:rFonts w:ascii="黑体" w:eastAsia="黑体"/>
          <w:color w:val="000000"/>
          <w:spacing w:val="-11"/>
          <w:shd w:fill="D9D9D9" w:color="auto" w:val="clear"/>
        </w:rPr>
        <w:t>自本合同生效之日起，被保险人在等待期内发生与本合同约定的保障计划所保障的疾病有关</w:t>
      </w:r>
      <w:r>
        <w:rPr>
          <w:rFonts w:ascii="黑体" w:eastAsia="黑体"/>
          <w:color w:val="000000"/>
          <w:spacing w:val="-2"/>
          <w:shd w:fill="D9D9D9" w:color="auto" w:val="clear"/>
        </w:rPr>
        <w:t>的诊断、医学咨询、治疗、服用药物或者</w:t>
      </w:r>
      <w:r>
        <w:rPr>
          <w:rFonts w:ascii="黑体" w:eastAsia="黑体" w:hint="eastAsia"/>
          <w:b/>
          <w:color w:val="000000"/>
          <w:spacing w:val="-2"/>
          <w:shd w:fill="D9D9D9" w:color="auto" w:val="clear"/>
        </w:rPr>
        <w:t>发病</w:t>
      </w:r>
      <w:r>
        <w:rPr>
          <w:rFonts w:ascii="Times New Roman" w:eastAsia="Times New Roman"/>
          <w:b/>
          <w:color w:val="000000"/>
          <w:spacing w:val="-2"/>
          <w:shd w:fill="D9D9D9" w:color="auto" w:val="clear"/>
          <w:vertAlign w:val="superscript"/>
        </w:rPr>
        <w:t>2</w:t>
      </w:r>
      <w:r>
        <w:rPr>
          <w:rFonts w:ascii="黑体" w:eastAsia="黑体"/>
          <w:color w:val="000000"/>
          <w:spacing w:val="-2"/>
          <w:shd w:fill="D9D9D9" w:color="auto" w:val="clear"/>
          <w:vertAlign w:val="baseline"/>
        </w:rPr>
        <w:t>，无论诊断、医学咨询、治疗、服用药物或</w:t>
      </w:r>
      <w:r>
        <w:rPr>
          <w:rFonts w:ascii="黑体" w:eastAsia="黑体"/>
          <w:color w:val="000000"/>
          <w:spacing w:val="-2"/>
          <w:shd w:fill="D9D9D9" w:color="auto" w:val="clear"/>
          <w:vertAlign w:val="baseline"/>
        </w:rPr>
        <w:t>者发病是否延续至等待期后，我们均不承担给付保险金的责任。</w:t>
      </w:r>
    </w:p>
    <w:p>
      <w:pPr>
        <w:pStyle w:val="BodyText"/>
        <w:spacing w:line="278" w:lineRule="auto"/>
        <w:ind w:right="733"/>
        <w:jc w:val="both"/>
        <w:rPr>
          <w:rFonts w:ascii="黑体" w:eastAsia="黑体"/>
        </w:rPr>
      </w:pPr>
      <w:r>
        <w:rPr>
          <w:rFonts w:ascii="黑体" w:eastAsia="黑体"/>
          <w:color w:val="000000"/>
          <w:spacing w:val="-4"/>
          <w:shd w:fill="D9D9D9" w:color="auto" w:val="clear"/>
        </w:rPr>
        <w:t>首次投保或以非续保形式投保本合同时，一般医疗保险金、重大疾病医疗保险金的等待期为</w:t>
      </w:r>
      <w:r>
        <w:rPr>
          <w:rFonts w:ascii="黑体" w:eastAsia="黑体"/>
          <w:color w:val="000000"/>
          <w:spacing w:val="40"/>
          <w:shd w:fill="D9D9D9" w:color="auto" w:val="clear"/>
        </w:rPr>
        <w:t> </w:t>
      </w:r>
      <w:r>
        <w:rPr>
          <w:rFonts w:ascii="黑体" w:eastAsia="黑体"/>
          <w:color w:val="000000"/>
          <w:spacing w:val="-4"/>
          <w:shd w:fill="D9D9D9" w:color="auto" w:val="clear"/>
        </w:rPr>
        <w:t>自本合同生效日起三十天，特定疾病赴日医疗保险金、特殊情况下的一次性补偿保险金的等</w:t>
      </w:r>
      <w:r>
        <w:rPr>
          <w:rFonts w:ascii="黑体" w:eastAsia="黑体"/>
          <w:color w:val="000000"/>
          <w:spacing w:val="-2"/>
          <w:shd w:fill="D9D9D9" w:color="auto" w:val="clear"/>
        </w:rPr>
        <w:t>待期为自本合同生效日起六十天。</w:t>
      </w:r>
    </w:p>
    <w:p>
      <w:pPr>
        <w:pStyle w:val="BodyText"/>
        <w:spacing w:line="269" w:lineRule="exact"/>
      </w:pPr>
      <w:r>
        <w:rPr>
          <w:w w:val="95"/>
        </w:rPr>
        <w:t>续</w:t>
      </w:r>
      <w:r>
        <w:rPr>
          <w:w w:val="95"/>
        </w:rPr>
        <w:t>保</w:t>
      </w:r>
      <w:r>
        <w:rPr>
          <w:w w:val="95"/>
        </w:rPr>
        <w:t>或</w:t>
      </w:r>
      <w:r>
        <w:rPr>
          <w:w w:val="95"/>
        </w:rPr>
        <w:t>因</w:t>
      </w:r>
      <w:r>
        <w:rPr>
          <w:b/>
          <w:w w:val="95"/>
        </w:rPr>
        <w:t>意</w:t>
      </w:r>
      <w:r>
        <w:rPr>
          <w:b/>
          <w:w w:val="95"/>
        </w:rPr>
        <w:t>外</w:t>
      </w:r>
      <w:r>
        <w:rPr>
          <w:b/>
          <w:w w:val="95"/>
        </w:rPr>
        <w:t>伤</w:t>
      </w:r>
      <w:r>
        <w:rPr>
          <w:b/>
          <w:w w:val="95"/>
        </w:rPr>
        <w:t>害</w:t>
      </w:r>
      <w:r>
        <w:rPr>
          <w:rFonts w:ascii="Times New Roman" w:eastAsia="Times New Roman"/>
          <w:b/>
          <w:w w:val="95"/>
          <w:vertAlign w:val="superscript"/>
        </w:rPr>
        <w:t>3</w:t>
      </w:r>
      <w:r>
        <w:rPr>
          <w:w w:val="95"/>
          <w:vertAlign w:val="baseline"/>
        </w:rPr>
        <w:t>发</w:t>
      </w:r>
      <w:r>
        <w:rPr>
          <w:w w:val="95"/>
          <w:vertAlign w:val="baseline"/>
        </w:rPr>
        <w:t>生</w:t>
      </w:r>
      <w:r>
        <w:rPr>
          <w:w w:val="95"/>
          <w:vertAlign w:val="baseline"/>
        </w:rPr>
        <w:t>诊</w:t>
      </w:r>
      <w:r>
        <w:rPr>
          <w:w w:val="95"/>
          <w:vertAlign w:val="baseline"/>
        </w:rPr>
        <w:t>断</w:t>
      </w:r>
      <w:r>
        <w:rPr>
          <w:w w:val="95"/>
          <w:vertAlign w:val="baseline"/>
        </w:rPr>
        <w:t>、</w:t>
      </w:r>
      <w:r>
        <w:rPr>
          <w:w w:val="95"/>
          <w:vertAlign w:val="baseline"/>
        </w:rPr>
        <w:t>医</w:t>
      </w:r>
      <w:r>
        <w:rPr>
          <w:w w:val="95"/>
          <w:vertAlign w:val="baseline"/>
        </w:rPr>
        <w:t>学</w:t>
      </w:r>
      <w:r>
        <w:rPr>
          <w:w w:val="95"/>
          <w:vertAlign w:val="baseline"/>
        </w:rPr>
        <w:t>咨</w:t>
      </w:r>
      <w:r>
        <w:rPr>
          <w:w w:val="95"/>
          <w:vertAlign w:val="baseline"/>
        </w:rPr>
        <w:t>询</w:t>
      </w:r>
      <w:r>
        <w:rPr>
          <w:w w:val="95"/>
          <w:vertAlign w:val="baseline"/>
        </w:rPr>
        <w:t>、</w:t>
      </w:r>
      <w:r>
        <w:rPr>
          <w:w w:val="95"/>
          <w:vertAlign w:val="baseline"/>
        </w:rPr>
        <w:t>治</w:t>
      </w:r>
      <w:r>
        <w:rPr>
          <w:w w:val="95"/>
          <w:vertAlign w:val="baseline"/>
        </w:rPr>
        <w:t>疗</w:t>
      </w:r>
      <w:r>
        <w:rPr>
          <w:w w:val="95"/>
          <w:vertAlign w:val="baseline"/>
        </w:rPr>
        <w:t>、</w:t>
      </w:r>
      <w:r>
        <w:rPr>
          <w:w w:val="95"/>
          <w:vertAlign w:val="baseline"/>
        </w:rPr>
        <w:t>服</w:t>
      </w:r>
      <w:r>
        <w:rPr>
          <w:w w:val="95"/>
          <w:vertAlign w:val="baseline"/>
        </w:rPr>
        <w:t>用</w:t>
      </w:r>
      <w:r>
        <w:rPr>
          <w:w w:val="95"/>
          <w:vertAlign w:val="baseline"/>
        </w:rPr>
        <w:t>药</w:t>
      </w:r>
      <w:r>
        <w:rPr>
          <w:w w:val="95"/>
          <w:vertAlign w:val="baseline"/>
        </w:rPr>
        <w:t>物</w:t>
      </w:r>
      <w:r>
        <w:rPr>
          <w:w w:val="95"/>
          <w:vertAlign w:val="baseline"/>
        </w:rPr>
        <w:t>或</w:t>
      </w:r>
      <w:r>
        <w:rPr>
          <w:w w:val="95"/>
          <w:vertAlign w:val="baseline"/>
        </w:rPr>
        <w:t>者</w:t>
      </w:r>
      <w:r>
        <w:rPr>
          <w:w w:val="95"/>
          <w:vertAlign w:val="baseline"/>
        </w:rPr>
        <w:t>发</w:t>
      </w:r>
      <w:r>
        <w:rPr>
          <w:w w:val="95"/>
          <w:vertAlign w:val="baseline"/>
        </w:rPr>
        <w:t>病</w:t>
      </w:r>
      <w:r>
        <w:rPr>
          <w:w w:val="95"/>
          <w:vertAlign w:val="baseline"/>
        </w:rPr>
        <w:t>的</w:t>
      </w:r>
      <w:r>
        <w:rPr>
          <w:w w:val="95"/>
          <w:vertAlign w:val="baseline"/>
        </w:rPr>
        <w:t>，</w:t>
      </w:r>
      <w:r>
        <w:rPr>
          <w:w w:val="95"/>
          <w:vertAlign w:val="baseline"/>
        </w:rPr>
        <w:t>无</w:t>
      </w:r>
      <w:r>
        <w:rPr>
          <w:w w:val="95"/>
          <w:vertAlign w:val="baseline"/>
        </w:rPr>
        <w:t>等</w:t>
      </w:r>
      <w:r>
        <w:rPr>
          <w:w w:val="95"/>
          <w:vertAlign w:val="baseline"/>
        </w:rPr>
        <w:t>待</w:t>
      </w:r>
      <w:r>
        <w:rPr>
          <w:w w:val="95"/>
          <w:vertAlign w:val="baseline"/>
        </w:rPr>
        <w:t>期</w:t>
      </w:r>
      <w:r>
        <w:rPr>
          <w:spacing w:val="-10"/>
          <w:w w:val="95"/>
          <w:vertAlign w:val="baseline"/>
        </w:rPr>
        <w:t>。</w:t>
      </w:r>
    </w:p>
    <w:p>
      <w:pPr>
        <w:pStyle w:val="BodyText"/>
        <w:spacing w:before="9"/>
        <w:ind w:left="0"/>
        <w:rPr>
          <w:sz w:val="27"/>
        </w:rPr>
      </w:pPr>
    </w:p>
    <w:p>
      <w:pPr>
        <w:pStyle w:val="BodyText"/>
        <w:spacing w:line="278" w:lineRule="auto"/>
        <w:ind w:right="6944"/>
        <w:jc w:val="both"/>
      </w:pPr>
      <w:r>
        <w:rPr/>
        <w:t>第四条</w:t>
      </w:r>
      <w:r>
        <w:rPr>
          <w:spacing w:val="80"/>
          <w:w w:val="150"/>
        </w:rPr>
        <w:t>  </w:t>
      </w:r>
      <w:r>
        <w:rPr/>
        <w:t>保险责任</w:t>
      </w:r>
      <w:r>
        <w:rPr>
          <w:spacing w:val="-2"/>
        </w:rPr>
        <w:t>一、一般医疗保险金</w:t>
      </w:r>
    </w:p>
    <w:p>
      <w:pPr>
        <w:pStyle w:val="BodyText"/>
        <w:spacing w:line="278" w:lineRule="auto"/>
        <w:ind w:right="732"/>
        <w:jc w:val="both"/>
      </w:pPr>
      <w:r>
        <w:rPr>
          <w:spacing w:val="-11"/>
        </w:rPr>
        <w:t>在本合同有效期内，被保险人因意外伤害或在等待期后因意外伤害以外的原因发病且经我们</w:t>
      </w:r>
      <w:r>
        <w:rPr/>
        <w:t>认可的中国大陆地区医院的</w:t>
      </w:r>
      <w:r>
        <w:rPr>
          <w:b/>
        </w:rPr>
        <w:t>专</w:t>
      </w:r>
      <w:r>
        <w:rPr>
          <w:b/>
        </w:rPr>
        <w:t>科</w:t>
      </w:r>
      <w:r>
        <w:rPr>
          <w:b/>
        </w:rPr>
        <w:t>医生</w:t>
      </w:r>
      <w:r>
        <w:rPr>
          <w:rFonts w:ascii="Times New Roman" w:eastAsia="Times New Roman"/>
          <w:b/>
          <w:vertAlign w:val="superscript"/>
        </w:rPr>
        <w:t>4</w:t>
      </w:r>
      <w:r>
        <w:rPr>
          <w:spacing w:val="-2"/>
          <w:vertAlign w:val="baseline"/>
        </w:rPr>
        <w:t>确诊需至医院接受相关治疗的，我们对下述 </w:t>
      </w:r>
      <w:r>
        <w:rPr>
          <w:rFonts w:ascii="Times New Roman" w:eastAsia="Times New Roman"/>
          <w:vertAlign w:val="baseline"/>
        </w:rPr>
        <w:t>1</w:t>
      </w:r>
      <w:r>
        <w:rPr>
          <w:rFonts w:ascii="Times New Roman" w:eastAsia="Times New Roman"/>
          <w:spacing w:val="-13"/>
          <w:vertAlign w:val="baseline"/>
        </w:rPr>
        <w:t> </w:t>
      </w:r>
      <w:r>
        <w:rPr>
          <w:spacing w:val="-13"/>
          <w:vertAlign w:val="baseline"/>
        </w:rPr>
        <w:t>至 </w:t>
      </w:r>
      <w:r>
        <w:rPr>
          <w:rFonts w:ascii="Times New Roman" w:eastAsia="Times New Roman"/>
          <w:vertAlign w:val="baseline"/>
        </w:rPr>
        <w:t>4</w:t>
      </w:r>
      <w:r>
        <w:rPr>
          <w:rFonts w:ascii="Times New Roman" w:eastAsia="Times New Roman"/>
          <w:spacing w:val="-13"/>
          <w:vertAlign w:val="baseline"/>
        </w:rPr>
        <w:t> </w:t>
      </w:r>
      <w:r>
        <w:rPr>
          <w:vertAlign w:val="baseline"/>
        </w:rPr>
        <w:t>类</w:t>
      </w:r>
      <w:r>
        <w:rPr>
          <w:spacing w:val="-2"/>
          <w:vertAlign w:val="baseline"/>
        </w:rPr>
        <w:t>费用，</w:t>
      </w:r>
      <w:r>
        <w:rPr>
          <w:rFonts w:ascii="黑体" w:eastAsia="黑体"/>
          <w:color w:val="000000"/>
          <w:spacing w:val="-2"/>
          <w:shd w:fill="D9D9D9" w:color="auto" w:val="clear"/>
          <w:vertAlign w:val="baseline"/>
        </w:rPr>
        <w:t>在扣除约定的免赔额后按约定的赔付比例给付一般医疗保险金</w:t>
      </w:r>
      <w:r>
        <w:rPr>
          <w:color w:val="000000"/>
          <w:spacing w:val="-2"/>
          <w:shd w:fill="D9D9D9" w:color="auto" w:val="clear"/>
          <w:vertAlign w:val="baseline"/>
        </w:rPr>
        <w:t>。</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4"/>
        <w:ind w:left="0"/>
        <w:rPr>
          <w:sz w:val="10"/>
        </w:rPr>
      </w:pPr>
      <w:r>
        <w:rPr/>
        <w:drawing>
          <wp:anchor distT="0" distB="0" distL="0" distR="0" allowOverlap="1" layoutInCell="1" locked="0" behindDoc="0" simplePos="0" relativeHeight="1">
            <wp:simplePos x="0" y="0"/>
            <wp:positionH relativeFrom="page">
              <wp:posOffset>1141475</wp:posOffset>
            </wp:positionH>
            <wp:positionV relativeFrom="paragraph">
              <wp:posOffset>99307</wp:posOffset>
            </wp:positionV>
            <wp:extent cx="1828833" cy="6857"/>
            <wp:effectExtent l="0" t="0" r="0" b="0"/>
            <wp:wrapTopAndBottom/>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1828833" cy="6857"/>
                    </a:xfrm>
                    <a:prstGeom prst="rect">
                      <a:avLst/>
                    </a:prstGeom>
                  </pic:spPr>
                </pic:pic>
              </a:graphicData>
            </a:graphic>
          </wp:anchor>
        </w:drawing>
      </w:r>
    </w:p>
    <w:p>
      <w:pPr>
        <w:spacing w:line="225" w:lineRule="exact" w:before="87"/>
        <w:ind w:left="737" w:right="0" w:firstLine="0"/>
        <w:jc w:val="left"/>
        <w:rPr>
          <w:sz w:val="18"/>
        </w:rPr>
      </w:pPr>
      <w:r>
        <w:rPr>
          <w:rFonts w:ascii="Times New Roman" w:eastAsia="Times New Roman"/>
          <w:w w:val="95"/>
          <w:sz w:val="18"/>
          <w:vertAlign w:val="superscript"/>
        </w:rPr>
        <w:t>1</w:t>
      </w:r>
      <w:r>
        <w:rPr>
          <w:b/>
          <w:w w:val="95"/>
          <w:sz w:val="18"/>
          <w:vertAlign w:val="baseline"/>
        </w:rPr>
        <w:t>周</w:t>
      </w:r>
      <w:r>
        <w:rPr>
          <w:b/>
          <w:w w:val="95"/>
          <w:sz w:val="18"/>
          <w:vertAlign w:val="baseline"/>
        </w:rPr>
        <w:t>岁</w:t>
      </w:r>
      <w:r>
        <w:rPr>
          <w:b/>
          <w:w w:val="95"/>
          <w:sz w:val="18"/>
          <w:vertAlign w:val="baseline"/>
        </w:rPr>
        <w:t>：</w:t>
      </w:r>
      <w:r>
        <w:rPr>
          <w:w w:val="95"/>
          <w:sz w:val="18"/>
          <w:vertAlign w:val="baseline"/>
        </w:rPr>
        <w:t>以</w:t>
      </w:r>
      <w:r>
        <w:rPr>
          <w:w w:val="95"/>
          <w:sz w:val="18"/>
          <w:vertAlign w:val="baseline"/>
        </w:rPr>
        <w:t>有</w:t>
      </w:r>
      <w:r>
        <w:rPr>
          <w:w w:val="95"/>
          <w:sz w:val="18"/>
          <w:vertAlign w:val="baseline"/>
        </w:rPr>
        <w:t>效</w:t>
      </w:r>
      <w:r>
        <w:rPr>
          <w:w w:val="95"/>
          <w:sz w:val="18"/>
          <w:vertAlign w:val="baseline"/>
        </w:rPr>
        <w:t>身</w:t>
      </w:r>
      <w:r>
        <w:rPr>
          <w:w w:val="95"/>
          <w:sz w:val="18"/>
          <w:vertAlign w:val="baseline"/>
        </w:rPr>
        <w:t>份</w:t>
      </w:r>
      <w:r>
        <w:rPr>
          <w:w w:val="95"/>
          <w:sz w:val="18"/>
          <w:vertAlign w:val="baseline"/>
        </w:rPr>
        <w:t>证</w:t>
      </w:r>
      <w:r>
        <w:rPr>
          <w:w w:val="95"/>
          <w:sz w:val="18"/>
          <w:vertAlign w:val="baseline"/>
        </w:rPr>
        <w:t>件</w:t>
      </w:r>
      <w:r>
        <w:rPr>
          <w:w w:val="95"/>
          <w:sz w:val="18"/>
          <w:vertAlign w:val="baseline"/>
        </w:rPr>
        <w:t>中</w:t>
      </w:r>
      <w:r>
        <w:rPr>
          <w:w w:val="95"/>
          <w:sz w:val="18"/>
          <w:vertAlign w:val="baseline"/>
        </w:rPr>
        <w:t>记</w:t>
      </w:r>
      <w:r>
        <w:rPr>
          <w:w w:val="95"/>
          <w:sz w:val="18"/>
          <w:vertAlign w:val="baseline"/>
        </w:rPr>
        <w:t>载</w:t>
      </w:r>
      <w:r>
        <w:rPr>
          <w:w w:val="95"/>
          <w:sz w:val="18"/>
          <w:vertAlign w:val="baseline"/>
        </w:rPr>
        <w:t>的</w:t>
      </w:r>
      <w:r>
        <w:rPr>
          <w:w w:val="95"/>
          <w:sz w:val="18"/>
          <w:vertAlign w:val="baseline"/>
        </w:rPr>
        <w:t>出</w:t>
      </w:r>
      <w:r>
        <w:rPr>
          <w:w w:val="95"/>
          <w:sz w:val="18"/>
          <w:vertAlign w:val="baseline"/>
        </w:rPr>
        <w:t>生</w:t>
      </w:r>
      <w:r>
        <w:rPr>
          <w:w w:val="95"/>
          <w:sz w:val="18"/>
          <w:vertAlign w:val="baseline"/>
        </w:rPr>
        <w:t>日</w:t>
      </w:r>
      <w:r>
        <w:rPr>
          <w:w w:val="95"/>
          <w:sz w:val="18"/>
          <w:vertAlign w:val="baseline"/>
        </w:rPr>
        <w:t>期</w:t>
      </w:r>
      <w:r>
        <w:rPr>
          <w:w w:val="95"/>
          <w:sz w:val="18"/>
          <w:vertAlign w:val="baseline"/>
        </w:rPr>
        <w:t>为</w:t>
      </w:r>
      <w:r>
        <w:rPr>
          <w:w w:val="95"/>
          <w:sz w:val="18"/>
          <w:vertAlign w:val="baseline"/>
        </w:rPr>
        <w:t>基</w:t>
      </w:r>
      <w:r>
        <w:rPr>
          <w:w w:val="95"/>
          <w:sz w:val="18"/>
          <w:vertAlign w:val="baseline"/>
        </w:rPr>
        <w:t>准</w:t>
      </w:r>
      <w:r>
        <w:rPr>
          <w:w w:val="95"/>
          <w:sz w:val="18"/>
          <w:vertAlign w:val="baseline"/>
        </w:rPr>
        <w:t>计</w:t>
      </w:r>
      <w:r>
        <w:rPr>
          <w:w w:val="95"/>
          <w:sz w:val="18"/>
          <w:vertAlign w:val="baseline"/>
        </w:rPr>
        <w:t>算</w:t>
      </w:r>
      <w:r>
        <w:rPr>
          <w:spacing w:val="-10"/>
          <w:w w:val="95"/>
          <w:sz w:val="18"/>
          <w:vertAlign w:val="baseline"/>
        </w:rPr>
        <w:t>。</w:t>
      </w:r>
    </w:p>
    <w:p>
      <w:pPr>
        <w:spacing w:line="220" w:lineRule="exact" w:before="0"/>
        <w:ind w:left="737" w:right="0" w:firstLine="0"/>
        <w:jc w:val="left"/>
        <w:rPr>
          <w:sz w:val="18"/>
        </w:rPr>
      </w:pPr>
      <w:r>
        <w:rPr>
          <w:rFonts w:ascii="Times New Roman" w:eastAsia="Times New Roman"/>
          <w:w w:val="95"/>
          <w:sz w:val="18"/>
          <w:vertAlign w:val="superscript"/>
        </w:rPr>
        <w:t>2</w:t>
      </w:r>
      <w:r>
        <w:rPr>
          <w:b/>
          <w:w w:val="95"/>
          <w:sz w:val="18"/>
          <w:vertAlign w:val="baseline"/>
        </w:rPr>
        <w:t>发</w:t>
      </w:r>
      <w:r>
        <w:rPr>
          <w:b/>
          <w:w w:val="95"/>
          <w:sz w:val="18"/>
          <w:vertAlign w:val="baseline"/>
        </w:rPr>
        <w:t>病</w:t>
      </w:r>
      <w:r>
        <w:rPr>
          <w:b/>
          <w:w w:val="95"/>
          <w:sz w:val="18"/>
          <w:vertAlign w:val="baseline"/>
        </w:rPr>
        <w:t>：</w:t>
      </w:r>
      <w:r>
        <w:rPr>
          <w:w w:val="95"/>
          <w:sz w:val="18"/>
          <w:vertAlign w:val="baseline"/>
        </w:rPr>
        <w:t>指</w:t>
      </w:r>
      <w:r>
        <w:rPr>
          <w:w w:val="95"/>
          <w:sz w:val="18"/>
          <w:vertAlign w:val="baseline"/>
        </w:rPr>
        <w:t>被</w:t>
      </w:r>
      <w:r>
        <w:rPr>
          <w:w w:val="95"/>
          <w:sz w:val="18"/>
          <w:vertAlign w:val="baseline"/>
        </w:rPr>
        <w:t>保</w:t>
      </w:r>
      <w:r>
        <w:rPr>
          <w:w w:val="95"/>
          <w:sz w:val="18"/>
          <w:vertAlign w:val="baseline"/>
        </w:rPr>
        <w:t>险</w:t>
      </w:r>
      <w:r>
        <w:rPr>
          <w:w w:val="95"/>
          <w:sz w:val="18"/>
          <w:vertAlign w:val="baseline"/>
        </w:rPr>
        <w:t>人</w:t>
      </w:r>
      <w:r>
        <w:rPr>
          <w:w w:val="95"/>
          <w:sz w:val="18"/>
          <w:vertAlign w:val="baseline"/>
        </w:rPr>
        <w:t>出</w:t>
      </w:r>
      <w:r>
        <w:rPr>
          <w:w w:val="95"/>
          <w:sz w:val="18"/>
          <w:vertAlign w:val="baseline"/>
        </w:rPr>
        <w:t>现</w:t>
      </w:r>
      <w:r>
        <w:rPr>
          <w:w w:val="95"/>
          <w:sz w:val="18"/>
          <w:vertAlign w:val="baseline"/>
        </w:rPr>
        <w:t>本</w:t>
      </w:r>
      <w:r>
        <w:rPr>
          <w:w w:val="95"/>
          <w:sz w:val="18"/>
          <w:vertAlign w:val="baseline"/>
        </w:rPr>
        <w:t>合</w:t>
      </w:r>
      <w:r>
        <w:rPr>
          <w:w w:val="95"/>
          <w:sz w:val="18"/>
          <w:vertAlign w:val="baseline"/>
        </w:rPr>
        <w:t>同</w:t>
      </w:r>
      <w:r>
        <w:rPr>
          <w:w w:val="95"/>
          <w:sz w:val="18"/>
          <w:vertAlign w:val="baseline"/>
        </w:rPr>
        <w:t>所</w:t>
      </w:r>
      <w:r>
        <w:rPr>
          <w:w w:val="95"/>
          <w:sz w:val="18"/>
          <w:vertAlign w:val="baseline"/>
        </w:rPr>
        <w:t>定</w:t>
      </w:r>
      <w:r>
        <w:rPr>
          <w:w w:val="95"/>
          <w:sz w:val="18"/>
          <w:vertAlign w:val="baseline"/>
        </w:rPr>
        <w:t>义</w:t>
      </w:r>
      <w:r>
        <w:rPr>
          <w:w w:val="95"/>
          <w:sz w:val="18"/>
          <w:vertAlign w:val="baseline"/>
        </w:rPr>
        <w:t>的</w:t>
      </w:r>
      <w:r>
        <w:rPr>
          <w:w w:val="95"/>
          <w:sz w:val="18"/>
          <w:vertAlign w:val="baseline"/>
        </w:rPr>
        <w:t>疾</w:t>
      </w:r>
      <w:r>
        <w:rPr>
          <w:w w:val="95"/>
          <w:sz w:val="18"/>
          <w:vertAlign w:val="baseline"/>
        </w:rPr>
        <w:t>病</w:t>
      </w:r>
      <w:r>
        <w:rPr>
          <w:w w:val="95"/>
          <w:sz w:val="18"/>
          <w:vertAlign w:val="baseline"/>
        </w:rPr>
        <w:t>的</w:t>
      </w:r>
      <w:r>
        <w:rPr>
          <w:w w:val="95"/>
          <w:sz w:val="18"/>
          <w:vertAlign w:val="baseline"/>
        </w:rPr>
        <w:t>前</w:t>
      </w:r>
      <w:r>
        <w:rPr>
          <w:w w:val="95"/>
          <w:sz w:val="18"/>
          <w:vertAlign w:val="baseline"/>
        </w:rPr>
        <w:t>兆</w:t>
      </w:r>
      <w:r>
        <w:rPr>
          <w:w w:val="95"/>
          <w:sz w:val="18"/>
          <w:vertAlign w:val="baseline"/>
        </w:rPr>
        <w:t>或</w:t>
      </w:r>
      <w:r>
        <w:rPr>
          <w:w w:val="95"/>
          <w:sz w:val="18"/>
          <w:vertAlign w:val="baseline"/>
        </w:rPr>
        <w:t>者</w:t>
      </w:r>
      <w:r>
        <w:rPr>
          <w:w w:val="95"/>
          <w:sz w:val="18"/>
          <w:vertAlign w:val="baseline"/>
        </w:rPr>
        <w:t>异</w:t>
      </w:r>
      <w:r>
        <w:rPr>
          <w:w w:val="95"/>
          <w:sz w:val="18"/>
          <w:vertAlign w:val="baseline"/>
        </w:rPr>
        <w:t>常</w:t>
      </w:r>
      <w:r>
        <w:rPr>
          <w:w w:val="95"/>
          <w:sz w:val="18"/>
          <w:vertAlign w:val="baseline"/>
        </w:rPr>
        <w:t>的</w:t>
      </w:r>
      <w:r>
        <w:rPr>
          <w:w w:val="95"/>
          <w:sz w:val="18"/>
          <w:vertAlign w:val="baseline"/>
        </w:rPr>
        <w:t>身</w:t>
      </w:r>
      <w:r>
        <w:rPr>
          <w:w w:val="95"/>
          <w:sz w:val="18"/>
          <w:vertAlign w:val="baseline"/>
        </w:rPr>
        <w:t>体</w:t>
      </w:r>
      <w:r>
        <w:rPr>
          <w:w w:val="95"/>
          <w:sz w:val="18"/>
          <w:vertAlign w:val="baseline"/>
        </w:rPr>
        <w:t>状</w:t>
      </w:r>
      <w:r>
        <w:rPr>
          <w:w w:val="95"/>
          <w:sz w:val="18"/>
          <w:vertAlign w:val="baseline"/>
        </w:rPr>
        <w:t>况</w:t>
      </w:r>
      <w:r>
        <w:rPr>
          <w:w w:val="95"/>
          <w:sz w:val="18"/>
          <w:vertAlign w:val="baseline"/>
        </w:rPr>
        <w:t>，</w:t>
      </w:r>
      <w:r>
        <w:rPr>
          <w:w w:val="95"/>
          <w:sz w:val="18"/>
          <w:vertAlign w:val="baseline"/>
        </w:rPr>
        <w:t>且</w:t>
      </w:r>
      <w:r>
        <w:rPr>
          <w:w w:val="95"/>
          <w:sz w:val="18"/>
          <w:vertAlign w:val="baseline"/>
        </w:rPr>
        <w:t>已</w:t>
      </w:r>
      <w:r>
        <w:rPr>
          <w:w w:val="95"/>
          <w:sz w:val="18"/>
          <w:vertAlign w:val="baseline"/>
        </w:rPr>
        <w:t>经</w:t>
      </w:r>
      <w:r>
        <w:rPr>
          <w:w w:val="95"/>
          <w:sz w:val="18"/>
          <w:vertAlign w:val="baseline"/>
        </w:rPr>
        <w:t>显</w:t>
      </w:r>
      <w:r>
        <w:rPr>
          <w:w w:val="95"/>
          <w:sz w:val="18"/>
          <w:vertAlign w:val="baseline"/>
        </w:rPr>
        <w:t>现</w:t>
      </w:r>
      <w:r>
        <w:rPr>
          <w:w w:val="95"/>
          <w:sz w:val="18"/>
          <w:vertAlign w:val="baseline"/>
        </w:rPr>
        <w:t>足</w:t>
      </w:r>
      <w:r>
        <w:rPr>
          <w:w w:val="95"/>
          <w:sz w:val="18"/>
          <w:vertAlign w:val="baseline"/>
        </w:rPr>
        <w:t>以</w:t>
      </w:r>
      <w:r>
        <w:rPr>
          <w:w w:val="95"/>
          <w:sz w:val="18"/>
          <w:vertAlign w:val="baseline"/>
        </w:rPr>
        <w:t>使</w:t>
      </w:r>
      <w:r>
        <w:rPr>
          <w:w w:val="95"/>
          <w:sz w:val="18"/>
          <w:vertAlign w:val="baseline"/>
        </w:rPr>
        <w:t>一</w:t>
      </w:r>
      <w:r>
        <w:rPr>
          <w:w w:val="95"/>
          <w:sz w:val="18"/>
          <w:vertAlign w:val="baseline"/>
        </w:rPr>
        <w:t>般</w:t>
      </w:r>
      <w:r>
        <w:rPr>
          <w:w w:val="95"/>
          <w:sz w:val="18"/>
          <w:vertAlign w:val="baseline"/>
        </w:rPr>
        <w:t>人</w:t>
      </w:r>
      <w:r>
        <w:rPr>
          <w:w w:val="95"/>
          <w:sz w:val="18"/>
          <w:vertAlign w:val="baseline"/>
        </w:rPr>
        <w:t>引</w:t>
      </w:r>
      <w:r>
        <w:rPr>
          <w:spacing w:val="-10"/>
          <w:w w:val="95"/>
          <w:sz w:val="18"/>
          <w:vertAlign w:val="baseline"/>
        </w:rPr>
        <w:t>起</w:t>
      </w:r>
    </w:p>
    <w:p>
      <w:pPr>
        <w:spacing w:line="220" w:lineRule="exact" w:before="0"/>
        <w:ind w:left="737" w:right="0" w:firstLine="0"/>
        <w:jc w:val="left"/>
        <w:rPr>
          <w:sz w:val="18"/>
        </w:rPr>
      </w:pPr>
      <w:r>
        <w:rPr>
          <w:spacing w:val="-1"/>
          <w:sz w:val="18"/>
        </w:rPr>
        <w:t>关注并寻求诊断、治理或护理的病症。</w:t>
      </w:r>
    </w:p>
    <w:p>
      <w:pPr>
        <w:spacing w:line="220" w:lineRule="exact" w:before="0"/>
        <w:ind w:left="737" w:right="0" w:firstLine="0"/>
        <w:jc w:val="left"/>
        <w:rPr>
          <w:sz w:val="18"/>
        </w:rPr>
      </w:pPr>
      <w:r>
        <w:rPr>
          <w:rFonts w:ascii="Times New Roman" w:eastAsia="Times New Roman"/>
          <w:w w:val="95"/>
          <w:sz w:val="18"/>
          <w:vertAlign w:val="superscript"/>
        </w:rPr>
        <w:t>3</w:t>
      </w:r>
      <w:r>
        <w:rPr>
          <w:b/>
          <w:w w:val="95"/>
          <w:sz w:val="18"/>
          <w:vertAlign w:val="baseline"/>
        </w:rPr>
        <w:t>意</w:t>
      </w:r>
      <w:r>
        <w:rPr>
          <w:b/>
          <w:w w:val="95"/>
          <w:sz w:val="18"/>
          <w:vertAlign w:val="baseline"/>
        </w:rPr>
        <w:t>外</w:t>
      </w:r>
      <w:r>
        <w:rPr>
          <w:b/>
          <w:w w:val="95"/>
          <w:sz w:val="18"/>
          <w:vertAlign w:val="baseline"/>
        </w:rPr>
        <w:t>伤</w:t>
      </w:r>
      <w:r>
        <w:rPr>
          <w:b/>
          <w:w w:val="95"/>
          <w:sz w:val="18"/>
          <w:vertAlign w:val="baseline"/>
        </w:rPr>
        <w:t>害</w:t>
      </w:r>
      <w:r>
        <w:rPr>
          <w:b/>
          <w:w w:val="95"/>
          <w:sz w:val="18"/>
          <w:vertAlign w:val="baseline"/>
        </w:rPr>
        <w:t>：</w:t>
      </w:r>
      <w:r>
        <w:rPr>
          <w:w w:val="95"/>
          <w:sz w:val="18"/>
          <w:vertAlign w:val="baseline"/>
        </w:rPr>
        <w:t>指</w:t>
      </w:r>
      <w:r>
        <w:rPr>
          <w:w w:val="95"/>
          <w:sz w:val="18"/>
          <w:vertAlign w:val="baseline"/>
        </w:rPr>
        <w:t>遭</w:t>
      </w:r>
      <w:r>
        <w:rPr>
          <w:w w:val="95"/>
          <w:sz w:val="18"/>
          <w:vertAlign w:val="baseline"/>
        </w:rPr>
        <w:t>受</w:t>
      </w:r>
      <w:r>
        <w:rPr>
          <w:w w:val="95"/>
          <w:sz w:val="18"/>
          <w:vertAlign w:val="baseline"/>
        </w:rPr>
        <w:t>外</w:t>
      </w:r>
      <w:r>
        <w:rPr>
          <w:w w:val="95"/>
          <w:sz w:val="18"/>
          <w:vertAlign w:val="baseline"/>
        </w:rPr>
        <w:t>来</w:t>
      </w:r>
      <w:r>
        <w:rPr>
          <w:w w:val="95"/>
          <w:sz w:val="18"/>
          <w:vertAlign w:val="baseline"/>
        </w:rPr>
        <w:t>的</w:t>
      </w:r>
      <w:r>
        <w:rPr>
          <w:w w:val="95"/>
          <w:sz w:val="18"/>
          <w:vertAlign w:val="baseline"/>
        </w:rPr>
        <w:t>、</w:t>
      </w:r>
      <w:r>
        <w:rPr>
          <w:w w:val="95"/>
          <w:sz w:val="18"/>
          <w:vertAlign w:val="baseline"/>
        </w:rPr>
        <w:t>突</w:t>
      </w:r>
      <w:r>
        <w:rPr>
          <w:w w:val="95"/>
          <w:sz w:val="18"/>
          <w:vertAlign w:val="baseline"/>
        </w:rPr>
        <w:t>发</w:t>
      </w:r>
      <w:r>
        <w:rPr>
          <w:w w:val="95"/>
          <w:sz w:val="18"/>
          <w:vertAlign w:val="baseline"/>
        </w:rPr>
        <w:t>的</w:t>
      </w:r>
      <w:r>
        <w:rPr>
          <w:w w:val="95"/>
          <w:sz w:val="18"/>
          <w:vertAlign w:val="baseline"/>
        </w:rPr>
        <w:t>、</w:t>
      </w:r>
      <w:r>
        <w:rPr>
          <w:w w:val="95"/>
          <w:sz w:val="18"/>
          <w:vertAlign w:val="baseline"/>
        </w:rPr>
        <w:t>非</w:t>
      </w:r>
      <w:r>
        <w:rPr>
          <w:w w:val="95"/>
          <w:sz w:val="18"/>
          <w:vertAlign w:val="baseline"/>
        </w:rPr>
        <w:t>本</w:t>
      </w:r>
      <w:r>
        <w:rPr>
          <w:w w:val="95"/>
          <w:sz w:val="18"/>
          <w:vertAlign w:val="baseline"/>
        </w:rPr>
        <w:t>意</w:t>
      </w:r>
      <w:r>
        <w:rPr>
          <w:w w:val="95"/>
          <w:sz w:val="18"/>
          <w:vertAlign w:val="baseline"/>
        </w:rPr>
        <w:t>的</w:t>
      </w:r>
      <w:r>
        <w:rPr>
          <w:w w:val="95"/>
          <w:sz w:val="18"/>
          <w:vertAlign w:val="baseline"/>
        </w:rPr>
        <w:t>、</w:t>
      </w:r>
      <w:r>
        <w:rPr>
          <w:w w:val="95"/>
          <w:sz w:val="18"/>
          <w:vertAlign w:val="baseline"/>
        </w:rPr>
        <w:t>非</w:t>
      </w:r>
      <w:r>
        <w:rPr>
          <w:w w:val="95"/>
          <w:sz w:val="18"/>
          <w:vertAlign w:val="baseline"/>
        </w:rPr>
        <w:t>疾</w:t>
      </w:r>
      <w:r>
        <w:rPr>
          <w:w w:val="95"/>
          <w:sz w:val="18"/>
          <w:vertAlign w:val="baseline"/>
        </w:rPr>
        <w:t>病</w:t>
      </w:r>
      <w:r>
        <w:rPr>
          <w:w w:val="95"/>
          <w:sz w:val="18"/>
          <w:vertAlign w:val="baseline"/>
        </w:rPr>
        <w:t>的</w:t>
      </w:r>
      <w:r>
        <w:rPr>
          <w:w w:val="95"/>
          <w:sz w:val="18"/>
          <w:vertAlign w:val="baseline"/>
        </w:rPr>
        <w:t>使</w:t>
      </w:r>
      <w:r>
        <w:rPr>
          <w:w w:val="95"/>
          <w:sz w:val="18"/>
          <w:vertAlign w:val="baseline"/>
        </w:rPr>
        <w:t>身</w:t>
      </w:r>
      <w:r>
        <w:rPr>
          <w:w w:val="95"/>
          <w:sz w:val="18"/>
          <w:vertAlign w:val="baseline"/>
        </w:rPr>
        <w:t>体</w:t>
      </w:r>
      <w:r>
        <w:rPr>
          <w:w w:val="95"/>
          <w:sz w:val="18"/>
          <w:vertAlign w:val="baseline"/>
        </w:rPr>
        <w:t>受</w:t>
      </w:r>
      <w:r>
        <w:rPr>
          <w:w w:val="95"/>
          <w:sz w:val="18"/>
          <w:vertAlign w:val="baseline"/>
        </w:rPr>
        <w:t>到</w:t>
      </w:r>
      <w:r>
        <w:rPr>
          <w:w w:val="95"/>
          <w:sz w:val="18"/>
          <w:vertAlign w:val="baseline"/>
        </w:rPr>
        <w:t>伤</w:t>
      </w:r>
      <w:r>
        <w:rPr>
          <w:w w:val="95"/>
          <w:sz w:val="18"/>
          <w:vertAlign w:val="baseline"/>
        </w:rPr>
        <w:t>害</w:t>
      </w:r>
      <w:r>
        <w:rPr>
          <w:w w:val="95"/>
          <w:sz w:val="18"/>
          <w:vertAlign w:val="baseline"/>
        </w:rPr>
        <w:t>的</w:t>
      </w:r>
      <w:r>
        <w:rPr>
          <w:w w:val="95"/>
          <w:sz w:val="18"/>
          <w:vertAlign w:val="baseline"/>
        </w:rPr>
        <w:t>客</w:t>
      </w:r>
      <w:r>
        <w:rPr>
          <w:w w:val="95"/>
          <w:sz w:val="18"/>
          <w:vertAlign w:val="baseline"/>
        </w:rPr>
        <w:t>观</w:t>
      </w:r>
      <w:r>
        <w:rPr>
          <w:w w:val="95"/>
          <w:sz w:val="18"/>
          <w:vertAlign w:val="baseline"/>
        </w:rPr>
        <w:t>事</w:t>
      </w:r>
      <w:r>
        <w:rPr>
          <w:w w:val="95"/>
          <w:sz w:val="18"/>
          <w:vertAlign w:val="baseline"/>
        </w:rPr>
        <w:t>件</w:t>
      </w:r>
      <w:r>
        <w:rPr>
          <w:spacing w:val="-10"/>
          <w:w w:val="95"/>
          <w:sz w:val="18"/>
          <w:vertAlign w:val="baseline"/>
        </w:rPr>
        <w:t>。</w:t>
      </w:r>
    </w:p>
    <w:p>
      <w:pPr>
        <w:spacing w:line="220" w:lineRule="exact" w:before="0"/>
        <w:ind w:left="737" w:right="0" w:firstLine="0"/>
        <w:jc w:val="left"/>
        <w:rPr>
          <w:sz w:val="18"/>
        </w:rPr>
      </w:pPr>
      <w:r>
        <w:rPr>
          <w:rFonts w:ascii="Times New Roman" w:eastAsia="Times New Roman"/>
          <w:w w:val="95"/>
          <w:sz w:val="18"/>
          <w:vertAlign w:val="superscript"/>
        </w:rPr>
        <w:t>4</w:t>
      </w:r>
      <w:r>
        <w:rPr>
          <w:b/>
          <w:w w:val="95"/>
          <w:sz w:val="18"/>
          <w:vertAlign w:val="baseline"/>
        </w:rPr>
        <w:t>专</w:t>
      </w:r>
      <w:r>
        <w:rPr>
          <w:b/>
          <w:w w:val="95"/>
          <w:sz w:val="18"/>
          <w:vertAlign w:val="baseline"/>
        </w:rPr>
        <w:t>科</w:t>
      </w:r>
      <w:r>
        <w:rPr>
          <w:b/>
          <w:w w:val="95"/>
          <w:sz w:val="18"/>
          <w:vertAlign w:val="baseline"/>
        </w:rPr>
        <w:t>医</w:t>
      </w:r>
      <w:r>
        <w:rPr>
          <w:b/>
          <w:w w:val="95"/>
          <w:sz w:val="18"/>
          <w:vertAlign w:val="baseline"/>
        </w:rPr>
        <w:t>生</w:t>
      </w:r>
      <w:r>
        <w:rPr>
          <w:b/>
          <w:w w:val="95"/>
          <w:sz w:val="18"/>
          <w:vertAlign w:val="baseline"/>
        </w:rPr>
        <w:t>：</w:t>
      </w:r>
      <w:r>
        <w:rPr>
          <w:w w:val="95"/>
          <w:sz w:val="18"/>
          <w:vertAlign w:val="baseline"/>
        </w:rPr>
        <w:t>专</w:t>
      </w:r>
      <w:r>
        <w:rPr>
          <w:w w:val="95"/>
          <w:sz w:val="18"/>
          <w:vertAlign w:val="baseline"/>
        </w:rPr>
        <w:t>科</w:t>
      </w:r>
      <w:r>
        <w:rPr>
          <w:w w:val="95"/>
          <w:sz w:val="18"/>
          <w:vertAlign w:val="baseline"/>
        </w:rPr>
        <w:t>医</w:t>
      </w:r>
      <w:r>
        <w:rPr>
          <w:w w:val="95"/>
          <w:sz w:val="18"/>
          <w:vertAlign w:val="baseline"/>
        </w:rPr>
        <w:t>生</w:t>
      </w:r>
      <w:r>
        <w:rPr>
          <w:w w:val="95"/>
          <w:sz w:val="18"/>
          <w:vertAlign w:val="baseline"/>
        </w:rPr>
        <w:t>应</w:t>
      </w:r>
      <w:r>
        <w:rPr>
          <w:w w:val="95"/>
          <w:sz w:val="18"/>
          <w:vertAlign w:val="baseline"/>
        </w:rPr>
        <w:t>当</w:t>
      </w:r>
      <w:r>
        <w:rPr>
          <w:w w:val="95"/>
          <w:sz w:val="18"/>
          <w:vertAlign w:val="baseline"/>
        </w:rPr>
        <w:t>同</w:t>
      </w:r>
      <w:r>
        <w:rPr>
          <w:w w:val="95"/>
          <w:sz w:val="18"/>
          <w:vertAlign w:val="baseline"/>
        </w:rPr>
        <w:t>时</w:t>
      </w:r>
      <w:r>
        <w:rPr>
          <w:w w:val="95"/>
          <w:sz w:val="18"/>
          <w:vertAlign w:val="baseline"/>
        </w:rPr>
        <w:t>满</w:t>
      </w:r>
      <w:r>
        <w:rPr>
          <w:w w:val="95"/>
          <w:sz w:val="18"/>
          <w:vertAlign w:val="baseline"/>
        </w:rPr>
        <w:t>足</w:t>
      </w:r>
      <w:r>
        <w:rPr>
          <w:w w:val="95"/>
          <w:sz w:val="18"/>
          <w:vertAlign w:val="baseline"/>
        </w:rPr>
        <w:t>以</w:t>
      </w:r>
      <w:r>
        <w:rPr>
          <w:w w:val="95"/>
          <w:sz w:val="18"/>
          <w:vertAlign w:val="baseline"/>
        </w:rPr>
        <w:t>下</w:t>
      </w:r>
      <w:r>
        <w:rPr>
          <w:w w:val="95"/>
          <w:sz w:val="18"/>
          <w:vertAlign w:val="baseline"/>
        </w:rPr>
        <w:t>四</w:t>
      </w:r>
      <w:r>
        <w:rPr>
          <w:w w:val="95"/>
          <w:sz w:val="18"/>
          <w:vertAlign w:val="baseline"/>
        </w:rPr>
        <w:t>项</w:t>
      </w:r>
      <w:r>
        <w:rPr>
          <w:w w:val="95"/>
          <w:sz w:val="18"/>
          <w:vertAlign w:val="baseline"/>
        </w:rPr>
        <w:t>资</w:t>
      </w:r>
      <w:r>
        <w:rPr>
          <w:w w:val="95"/>
          <w:sz w:val="18"/>
          <w:vertAlign w:val="baseline"/>
        </w:rPr>
        <w:t>格</w:t>
      </w:r>
      <w:r>
        <w:rPr>
          <w:w w:val="95"/>
          <w:sz w:val="18"/>
          <w:vertAlign w:val="baseline"/>
        </w:rPr>
        <w:t>条</w:t>
      </w:r>
      <w:r>
        <w:rPr>
          <w:w w:val="95"/>
          <w:sz w:val="18"/>
          <w:vertAlign w:val="baseline"/>
        </w:rPr>
        <w:t>件</w:t>
      </w:r>
      <w:r>
        <w:rPr>
          <w:spacing w:val="-10"/>
          <w:w w:val="95"/>
          <w:sz w:val="18"/>
          <w:vertAlign w:val="baseline"/>
        </w:rPr>
        <w:t>：</w:t>
      </w:r>
    </w:p>
    <w:p>
      <w:pPr>
        <w:pStyle w:val="ListParagraph"/>
        <w:numPr>
          <w:ilvl w:val="0"/>
          <w:numId w:val="1"/>
        </w:numPr>
        <w:tabs>
          <w:tab w:pos="1277" w:val="left" w:leader="none"/>
          <w:tab w:pos="1278" w:val="left" w:leader="none"/>
        </w:tabs>
        <w:spacing w:line="220" w:lineRule="exact" w:before="0" w:after="0"/>
        <w:ind w:left="1277" w:right="0" w:hanging="361"/>
        <w:jc w:val="left"/>
        <w:rPr>
          <w:sz w:val="18"/>
        </w:rPr>
      </w:pPr>
      <w:r>
        <w:rPr>
          <w:spacing w:val="-1"/>
          <w:sz w:val="18"/>
        </w:rPr>
        <w:t>具有有效的中华人民共和国《医师资格证书》；</w:t>
      </w:r>
    </w:p>
    <w:p>
      <w:pPr>
        <w:pStyle w:val="ListParagraph"/>
        <w:numPr>
          <w:ilvl w:val="0"/>
          <w:numId w:val="1"/>
        </w:numPr>
        <w:tabs>
          <w:tab w:pos="1277" w:val="left" w:leader="none"/>
          <w:tab w:pos="1278" w:val="left" w:leader="none"/>
        </w:tabs>
        <w:spacing w:line="220" w:lineRule="exact" w:before="0" w:after="0"/>
        <w:ind w:left="1277" w:right="0" w:hanging="361"/>
        <w:jc w:val="left"/>
        <w:rPr>
          <w:sz w:val="18"/>
        </w:rPr>
      </w:pPr>
      <w:r>
        <w:rPr>
          <w:spacing w:val="-1"/>
          <w:sz w:val="18"/>
        </w:rPr>
        <w:t>具有有效的中华人民共和国《医师执业证书》，并按期到相关部门登记注册；</w:t>
      </w:r>
    </w:p>
    <w:p>
      <w:pPr>
        <w:pStyle w:val="ListParagraph"/>
        <w:numPr>
          <w:ilvl w:val="0"/>
          <w:numId w:val="1"/>
        </w:numPr>
        <w:tabs>
          <w:tab w:pos="1277" w:val="left" w:leader="none"/>
          <w:tab w:pos="1278" w:val="left" w:leader="none"/>
        </w:tabs>
        <w:spacing w:line="220" w:lineRule="exact" w:before="0" w:after="0"/>
        <w:ind w:left="1277" w:right="0" w:hanging="361"/>
        <w:jc w:val="left"/>
        <w:rPr>
          <w:sz w:val="18"/>
        </w:rPr>
      </w:pPr>
      <w:r>
        <w:rPr>
          <w:spacing w:val="-1"/>
          <w:sz w:val="18"/>
        </w:rPr>
        <w:t>具有有效的中华人民共和国主治医师或主治医师以上职称的《医师职称证书》；</w:t>
      </w:r>
    </w:p>
    <w:p>
      <w:pPr>
        <w:pStyle w:val="ListParagraph"/>
        <w:numPr>
          <w:ilvl w:val="0"/>
          <w:numId w:val="1"/>
        </w:numPr>
        <w:tabs>
          <w:tab w:pos="1277" w:val="left" w:leader="none"/>
          <w:tab w:pos="1278" w:val="left" w:leader="none"/>
        </w:tabs>
        <w:spacing w:line="225" w:lineRule="exact" w:before="0" w:after="0"/>
        <w:ind w:left="1277" w:right="0" w:hanging="361"/>
        <w:jc w:val="left"/>
        <w:rPr>
          <w:sz w:val="18"/>
        </w:rPr>
      </w:pPr>
      <w:r>
        <w:rPr>
          <w:spacing w:val="-1"/>
          <w:sz w:val="18"/>
        </w:rPr>
        <w:t>在二级或二级以上医院的相应科室从事临床工作三年以上。</w:t>
      </w:r>
    </w:p>
    <w:p>
      <w:pPr>
        <w:spacing w:after="0" w:line="225" w:lineRule="exact"/>
        <w:jc w:val="left"/>
        <w:rPr>
          <w:sz w:val="18"/>
        </w:rPr>
        <w:sectPr>
          <w:pgSz w:w="11910" w:h="16840"/>
          <w:pgMar w:header="0" w:footer="1168" w:top="1440" w:bottom="1360" w:left="1060" w:right="1060"/>
        </w:sectPr>
      </w:pPr>
    </w:p>
    <w:p>
      <w:pPr>
        <w:spacing w:before="90"/>
        <w:ind w:left="737" w:right="0" w:firstLine="0"/>
        <w:jc w:val="left"/>
        <w:rPr>
          <w:sz w:val="21"/>
        </w:rPr>
      </w:pPr>
      <w:r>
        <w:rPr>
          <w:rFonts w:ascii="Times New Roman" w:eastAsia="Times New Roman"/>
          <w:w w:val="95"/>
          <w:sz w:val="21"/>
        </w:rPr>
        <w:t>1</w:t>
      </w:r>
      <w:r>
        <w:rPr>
          <w:w w:val="95"/>
          <w:sz w:val="21"/>
        </w:rPr>
        <w:t>、</w:t>
      </w:r>
      <w:r>
        <w:rPr>
          <w:spacing w:val="7"/>
          <w:sz w:val="21"/>
        </w:rPr>
        <w:t> </w:t>
      </w:r>
      <w:r>
        <w:rPr>
          <w:b/>
          <w:w w:val="95"/>
          <w:sz w:val="21"/>
        </w:rPr>
        <w:t>住院</w:t>
      </w:r>
      <w:r>
        <w:rPr>
          <w:rFonts w:ascii="Times New Roman" w:eastAsia="Times New Roman"/>
          <w:b/>
          <w:w w:val="95"/>
          <w:sz w:val="21"/>
          <w:vertAlign w:val="superscript"/>
        </w:rPr>
        <w:t>5</w:t>
      </w:r>
      <w:r>
        <w:rPr>
          <w:w w:val="95"/>
          <w:sz w:val="21"/>
          <w:vertAlign w:val="baseline"/>
        </w:rPr>
        <w:t>医</w:t>
      </w:r>
      <w:r>
        <w:rPr>
          <w:w w:val="95"/>
          <w:sz w:val="21"/>
          <w:vertAlign w:val="baseline"/>
        </w:rPr>
        <w:t>疗</w:t>
      </w:r>
      <w:r>
        <w:rPr>
          <w:w w:val="95"/>
          <w:sz w:val="21"/>
          <w:vertAlign w:val="baseline"/>
        </w:rPr>
        <w:t>费</w:t>
      </w:r>
      <w:r>
        <w:rPr>
          <w:spacing w:val="-10"/>
          <w:w w:val="95"/>
          <w:sz w:val="21"/>
          <w:vertAlign w:val="baseline"/>
        </w:rPr>
        <w:t>用</w:t>
      </w:r>
    </w:p>
    <w:p>
      <w:pPr>
        <w:pStyle w:val="BodyText"/>
        <w:spacing w:line="278" w:lineRule="auto" w:before="43"/>
        <w:ind w:right="779"/>
      </w:pPr>
      <w:r>
        <w:rPr>
          <w:spacing w:val="-2"/>
        </w:rPr>
        <w:t>指被保险人在该中国大陆地区医院住院期间内实际支出的</w:t>
      </w:r>
      <w:r>
        <w:rPr>
          <w:b/>
          <w:spacing w:val="-2"/>
        </w:rPr>
        <w:t>必</w:t>
      </w:r>
      <w:r>
        <w:rPr>
          <w:b/>
          <w:spacing w:val="-2"/>
        </w:rPr>
        <w:t>要</w:t>
      </w:r>
      <w:r>
        <w:rPr>
          <w:b/>
          <w:spacing w:val="-2"/>
        </w:rPr>
        <w:t>且</w:t>
      </w:r>
      <w:r>
        <w:rPr>
          <w:b/>
          <w:spacing w:val="-2"/>
        </w:rPr>
        <w:t>合</w:t>
      </w:r>
      <w:r>
        <w:rPr>
          <w:b/>
          <w:spacing w:val="-2"/>
        </w:rPr>
        <w:t>理</w:t>
      </w:r>
      <w:r>
        <w:rPr>
          <w:b/>
          <w:spacing w:val="-2"/>
        </w:rPr>
        <w:t>的</w:t>
      </w:r>
      <w:r>
        <w:rPr>
          <w:rFonts w:ascii="Times New Roman" w:eastAsia="Times New Roman"/>
          <w:b/>
          <w:spacing w:val="-2"/>
          <w:vertAlign w:val="superscript"/>
        </w:rPr>
        <w:t>6</w:t>
      </w:r>
      <w:r>
        <w:rPr>
          <w:spacing w:val="-2"/>
          <w:vertAlign w:val="baseline"/>
        </w:rPr>
        <w:t>住院医疗费用。住</w:t>
      </w:r>
      <w:r>
        <w:rPr>
          <w:spacing w:val="-2"/>
          <w:vertAlign w:val="baseline"/>
        </w:rPr>
        <w:t>院医疗费用包括：</w:t>
      </w:r>
    </w:p>
    <w:p>
      <w:pPr>
        <w:pStyle w:val="ListParagraph"/>
        <w:numPr>
          <w:ilvl w:val="1"/>
          <w:numId w:val="1"/>
        </w:numPr>
        <w:tabs>
          <w:tab w:pos="1583" w:val="left" w:leader="none"/>
          <w:tab w:pos="1584" w:val="left" w:leader="none"/>
        </w:tabs>
        <w:spacing w:line="269" w:lineRule="exact" w:before="0" w:after="0"/>
        <w:ind w:left="1583" w:right="0" w:hanging="421"/>
        <w:jc w:val="left"/>
        <w:rPr>
          <w:sz w:val="21"/>
        </w:rPr>
      </w:pPr>
      <w:r>
        <w:rPr>
          <w:b/>
          <w:w w:val="95"/>
          <w:sz w:val="21"/>
        </w:rPr>
        <w:t>床</w:t>
      </w:r>
      <w:r>
        <w:rPr>
          <w:b/>
          <w:w w:val="95"/>
          <w:sz w:val="21"/>
        </w:rPr>
        <w:t>位</w:t>
      </w:r>
      <w:r>
        <w:rPr>
          <w:b/>
          <w:w w:val="95"/>
          <w:sz w:val="21"/>
        </w:rPr>
        <w:t>费</w:t>
      </w:r>
      <w:r>
        <w:rPr>
          <w:rFonts w:ascii="Times New Roman" w:eastAsia="Times New Roman"/>
          <w:b/>
          <w:spacing w:val="-5"/>
          <w:w w:val="95"/>
          <w:sz w:val="21"/>
          <w:vertAlign w:val="superscript"/>
        </w:rPr>
        <w:t>7</w:t>
      </w:r>
      <w:r>
        <w:rPr>
          <w:spacing w:val="-5"/>
          <w:w w:val="95"/>
          <w:sz w:val="21"/>
          <w:vertAlign w:val="baseline"/>
        </w:rPr>
        <w:t>；</w:t>
      </w:r>
    </w:p>
    <w:p>
      <w:pPr>
        <w:pStyle w:val="ListParagraph"/>
        <w:numPr>
          <w:ilvl w:val="1"/>
          <w:numId w:val="1"/>
        </w:numPr>
        <w:tabs>
          <w:tab w:pos="1583" w:val="left" w:leader="none"/>
          <w:tab w:pos="1584" w:val="left" w:leader="none"/>
        </w:tabs>
        <w:spacing w:line="240" w:lineRule="auto" w:before="43" w:after="0"/>
        <w:ind w:left="1583" w:right="0" w:hanging="421"/>
        <w:jc w:val="left"/>
        <w:rPr>
          <w:sz w:val="21"/>
        </w:rPr>
      </w:pPr>
      <w:r>
        <w:rPr>
          <w:b/>
          <w:w w:val="95"/>
          <w:sz w:val="21"/>
        </w:rPr>
        <w:t>膳</w:t>
      </w:r>
      <w:r>
        <w:rPr>
          <w:b/>
          <w:w w:val="95"/>
          <w:sz w:val="21"/>
        </w:rPr>
        <w:t>食</w:t>
      </w:r>
      <w:r>
        <w:rPr>
          <w:b/>
          <w:w w:val="95"/>
          <w:sz w:val="21"/>
        </w:rPr>
        <w:t>费</w:t>
      </w:r>
      <w:r>
        <w:rPr>
          <w:rFonts w:ascii="Times New Roman" w:eastAsia="Times New Roman"/>
          <w:b/>
          <w:w w:val="95"/>
          <w:sz w:val="21"/>
          <w:vertAlign w:val="superscript"/>
        </w:rPr>
        <w:t>8</w:t>
      </w:r>
      <w:r>
        <w:rPr>
          <w:w w:val="95"/>
          <w:sz w:val="21"/>
          <w:vertAlign w:val="baseline"/>
        </w:rPr>
        <w:t>、</w:t>
      </w:r>
      <w:r>
        <w:rPr>
          <w:b/>
          <w:w w:val="95"/>
          <w:sz w:val="21"/>
          <w:vertAlign w:val="baseline"/>
        </w:rPr>
        <w:t>护</w:t>
      </w:r>
      <w:r>
        <w:rPr>
          <w:b/>
          <w:w w:val="95"/>
          <w:sz w:val="21"/>
          <w:vertAlign w:val="baseline"/>
        </w:rPr>
        <w:t>理</w:t>
      </w:r>
      <w:r>
        <w:rPr>
          <w:b/>
          <w:w w:val="95"/>
          <w:sz w:val="21"/>
          <w:vertAlign w:val="baseline"/>
        </w:rPr>
        <w:t>费</w:t>
      </w:r>
      <w:r>
        <w:rPr>
          <w:rFonts w:ascii="Times New Roman" w:eastAsia="Times New Roman"/>
          <w:b/>
          <w:spacing w:val="-5"/>
          <w:w w:val="95"/>
          <w:sz w:val="21"/>
          <w:vertAlign w:val="superscript"/>
        </w:rPr>
        <w:t>9</w:t>
      </w:r>
      <w:r>
        <w:rPr>
          <w:spacing w:val="-5"/>
          <w:w w:val="95"/>
          <w:sz w:val="21"/>
          <w:vertAlign w:val="baseline"/>
        </w:rPr>
        <w:t>；</w:t>
      </w:r>
    </w:p>
    <w:p>
      <w:pPr>
        <w:pStyle w:val="ListParagraph"/>
        <w:numPr>
          <w:ilvl w:val="1"/>
          <w:numId w:val="1"/>
        </w:numPr>
        <w:tabs>
          <w:tab w:pos="1583" w:val="left" w:leader="none"/>
          <w:tab w:pos="1584" w:val="left" w:leader="none"/>
        </w:tabs>
        <w:spacing w:line="240" w:lineRule="auto" w:before="43" w:after="0"/>
        <w:ind w:left="1583" w:right="0" w:hanging="421"/>
        <w:jc w:val="left"/>
        <w:rPr>
          <w:sz w:val="21"/>
        </w:rPr>
      </w:pPr>
      <w:r>
        <w:rPr>
          <w:b/>
          <w:w w:val="95"/>
          <w:sz w:val="21"/>
        </w:rPr>
        <w:t>检</w:t>
      </w:r>
      <w:r>
        <w:rPr>
          <w:b/>
          <w:w w:val="95"/>
          <w:sz w:val="21"/>
        </w:rPr>
        <w:t>查</w:t>
      </w:r>
      <w:r>
        <w:rPr>
          <w:b/>
          <w:w w:val="95"/>
          <w:sz w:val="21"/>
        </w:rPr>
        <w:t>检</w:t>
      </w:r>
      <w:r>
        <w:rPr>
          <w:b/>
          <w:w w:val="95"/>
          <w:sz w:val="21"/>
        </w:rPr>
        <w:t>验</w:t>
      </w:r>
      <w:r>
        <w:rPr>
          <w:b/>
          <w:w w:val="95"/>
          <w:sz w:val="21"/>
        </w:rPr>
        <w:t>费</w:t>
      </w:r>
      <w:r>
        <w:rPr>
          <w:rFonts w:ascii="Times New Roman" w:eastAsia="Times New Roman"/>
          <w:b/>
          <w:spacing w:val="-5"/>
          <w:w w:val="95"/>
          <w:sz w:val="21"/>
          <w:vertAlign w:val="superscript"/>
        </w:rPr>
        <w:t>10</w:t>
      </w:r>
      <w:r>
        <w:rPr>
          <w:spacing w:val="-5"/>
          <w:w w:val="95"/>
          <w:sz w:val="21"/>
          <w:vertAlign w:val="baseline"/>
        </w:rPr>
        <w:t>；</w:t>
      </w:r>
    </w:p>
    <w:p>
      <w:pPr>
        <w:pStyle w:val="ListParagraph"/>
        <w:numPr>
          <w:ilvl w:val="1"/>
          <w:numId w:val="1"/>
        </w:numPr>
        <w:tabs>
          <w:tab w:pos="1583" w:val="left" w:leader="none"/>
          <w:tab w:pos="1584" w:val="left" w:leader="none"/>
        </w:tabs>
        <w:spacing w:line="240" w:lineRule="auto" w:before="43" w:after="0"/>
        <w:ind w:left="1583" w:right="0" w:hanging="421"/>
        <w:jc w:val="left"/>
        <w:rPr>
          <w:sz w:val="21"/>
        </w:rPr>
      </w:pPr>
      <w:r>
        <w:rPr>
          <w:b/>
          <w:w w:val="95"/>
          <w:sz w:val="21"/>
        </w:rPr>
        <w:t>手</w:t>
      </w:r>
      <w:r>
        <w:rPr>
          <w:b/>
          <w:w w:val="95"/>
          <w:sz w:val="21"/>
        </w:rPr>
        <w:t>术</w:t>
      </w:r>
      <w:r>
        <w:rPr>
          <w:b/>
          <w:w w:val="95"/>
          <w:sz w:val="21"/>
        </w:rPr>
        <w:t>费</w:t>
      </w:r>
      <w:r>
        <w:rPr>
          <w:b/>
          <w:w w:val="95"/>
          <w:sz w:val="21"/>
        </w:rPr>
        <w:t>用</w:t>
      </w:r>
      <w:r>
        <w:rPr>
          <w:rFonts w:ascii="Times New Roman" w:eastAsia="Times New Roman"/>
          <w:b/>
          <w:w w:val="95"/>
          <w:sz w:val="21"/>
          <w:vertAlign w:val="superscript"/>
        </w:rPr>
        <w:t>11</w:t>
      </w:r>
      <w:r>
        <w:rPr>
          <w:w w:val="95"/>
          <w:sz w:val="21"/>
          <w:vertAlign w:val="baseline"/>
        </w:rPr>
        <w:t>、</w:t>
      </w:r>
      <w:r>
        <w:rPr>
          <w:b/>
          <w:w w:val="95"/>
          <w:sz w:val="21"/>
          <w:vertAlign w:val="baseline"/>
        </w:rPr>
        <w:t>药</w:t>
      </w:r>
      <w:r>
        <w:rPr>
          <w:b/>
          <w:w w:val="95"/>
          <w:sz w:val="21"/>
          <w:vertAlign w:val="baseline"/>
        </w:rPr>
        <w:t>品</w:t>
      </w:r>
      <w:r>
        <w:rPr>
          <w:b/>
          <w:w w:val="95"/>
          <w:sz w:val="21"/>
          <w:vertAlign w:val="baseline"/>
        </w:rPr>
        <w:t>费</w:t>
      </w:r>
      <w:r>
        <w:rPr>
          <w:rFonts w:ascii="Times New Roman" w:eastAsia="Times New Roman"/>
          <w:b/>
          <w:w w:val="95"/>
          <w:sz w:val="21"/>
          <w:vertAlign w:val="superscript"/>
        </w:rPr>
        <w:t>12</w:t>
      </w:r>
      <w:r>
        <w:rPr>
          <w:w w:val="95"/>
          <w:sz w:val="21"/>
          <w:vertAlign w:val="baseline"/>
        </w:rPr>
        <w:t>、</w:t>
      </w:r>
      <w:r>
        <w:rPr>
          <w:b/>
          <w:w w:val="95"/>
          <w:sz w:val="21"/>
          <w:vertAlign w:val="baseline"/>
        </w:rPr>
        <w:t>诊</w:t>
      </w:r>
      <w:r>
        <w:rPr>
          <w:b/>
          <w:w w:val="95"/>
          <w:sz w:val="21"/>
          <w:vertAlign w:val="baseline"/>
        </w:rPr>
        <w:t>疗</w:t>
      </w:r>
      <w:r>
        <w:rPr>
          <w:b/>
          <w:w w:val="95"/>
          <w:sz w:val="21"/>
          <w:vertAlign w:val="baseline"/>
        </w:rPr>
        <w:t>费</w:t>
      </w:r>
      <w:r>
        <w:rPr>
          <w:rFonts w:ascii="Times New Roman" w:eastAsia="Times New Roman"/>
          <w:b/>
          <w:spacing w:val="-5"/>
          <w:w w:val="95"/>
          <w:sz w:val="21"/>
          <w:vertAlign w:val="superscript"/>
        </w:rPr>
        <w:t>13</w:t>
      </w:r>
      <w:r>
        <w:rPr>
          <w:spacing w:val="-5"/>
          <w:w w:val="95"/>
          <w:sz w:val="21"/>
          <w:vertAlign w:val="baseline"/>
        </w:rPr>
        <w:t>；</w:t>
      </w:r>
    </w:p>
    <w:p>
      <w:pPr>
        <w:pStyle w:val="ListParagraph"/>
        <w:numPr>
          <w:ilvl w:val="1"/>
          <w:numId w:val="1"/>
        </w:numPr>
        <w:tabs>
          <w:tab w:pos="1583" w:val="left" w:leader="none"/>
          <w:tab w:pos="1584" w:val="left" w:leader="none"/>
        </w:tabs>
        <w:spacing w:line="240" w:lineRule="auto" w:before="43" w:after="0"/>
        <w:ind w:left="1583" w:right="0" w:hanging="421"/>
        <w:jc w:val="left"/>
        <w:rPr>
          <w:sz w:val="21"/>
        </w:rPr>
      </w:pPr>
      <w:r>
        <w:rPr>
          <w:b/>
          <w:w w:val="95"/>
          <w:sz w:val="21"/>
        </w:rPr>
        <w:t>治</w:t>
      </w:r>
      <w:r>
        <w:rPr>
          <w:b/>
          <w:w w:val="95"/>
          <w:sz w:val="21"/>
        </w:rPr>
        <w:t>疗</w:t>
      </w:r>
      <w:r>
        <w:rPr>
          <w:b/>
          <w:w w:val="95"/>
          <w:sz w:val="21"/>
        </w:rPr>
        <w:t>费</w:t>
      </w:r>
      <w:r>
        <w:rPr>
          <w:rFonts w:ascii="Times New Roman" w:eastAsia="Times New Roman"/>
          <w:b/>
          <w:spacing w:val="-5"/>
          <w:w w:val="95"/>
          <w:sz w:val="21"/>
          <w:vertAlign w:val="superscript"/>
        </w:rPr>
        <w:t>14</w:t>
      </w:r>
      <w:r>
        <w:rPr>
          <w:spacing w:val="-5"/>
          <w:w w:val="95"/>
          <w:sz w:val="21"/>
          <w:vertAlign w:val="baseline"/>
        </w:rPr>
        <w:t>；</w:t>
      </w:r>
    </w:p>
    <w:p>
      <w:pPr>
        <w:pStyle w:val="ListParagraph"/>
        <w:numPr>
          <w:ilvl w:val="1"/>
          <w:numId w:val="1"/>
        </w:numPr>
        <w:tabs>
          <w:tab w:pos="1583" w:val="left" w:leader="none"/>
          <w:tab w:pos="1584" w:val="left" w:leader="none"/>
        </w:tabs>
        <w:spacing w:line="240" w:lineRule="auto" w:before="43" w:after="0"/>
        <w:ind w:left="1583" w:right="0" w:hanging="421"/>
        <w:jc w:val="left"/>
        <w:rPr>
          <w:b/>
          <w:sz w:val="21"/>
        </w:rPr>
      </w:pPr>
      <w:r>
        <w:rPr>
          <w:b/>
          <w:w w:val="95"/>
          <w:sz w:val="21"/>
        </w:rPr>
        <w:t>加</w:t>
      </w:r>
      <w:r>
        <w:rPr>
          <w:b/>
          <w:w w:val="95"/>
          <w:sz w:val="21"/>
        </w:rPr>
        <w:t>床</w:t>
      </w:r>
      <w:r>
        <w:rPr>
          <w:b/>
          <w:w w:val="95"/>
          <w:sz w:val="21"/>
        </w:rPr>
        <w:t>费</w:t>
      </w:r>
      <w:r>
        <w:rPr>
          <w:rFonts w:ascii="Times New Roman" w:eastAsia="Times New Roman"/>
          <w:b/>
          <w:w w:val="95"/>
          <w:sz w:val="21"/>
          <w:vertAlign w:val="superscript"/>
        </w:rPr>
        <w:t>15</w:t>
      </w:r>
      <w:r>
        <w:rPr>
          <w:b/>
          <w:spacing w:val="-10"/>
          <w:w w:val="95"/>
          <w:sz w:val="21"/>
          <w:vertAlign w:val="baseline"/>
        </w:rPr>
        <w:t>。</w:t>
      </w:r>
    </w:p>
    <w:p>
      <w:pPr>
        <w:pStyle w:val="BodyText"/>
        <w:spacing w:line="278" w:lineRule="auto" w:before="43"/>
        <w:ind w:right="731"/>
        <w:jc w:val="both"/>
      </w:pPr>
      <w:r>
        <w:rPr>
          <w:spacing w:val="-4"/>
        </w:rPr>
        <w:t>若被保险人在本合同等待期后、保险期间届满前开始住院治疗，且在保险期间届满时治疗仍</w:t>
      </w:r>
      <w:r>
        <w:rPr>
          <w:spacing w:val="-4"/>
        </w:rPr>
        <w:t>未结束的，我们将延续承担因本次住院发生的、不超过该保险期间届满后三十天（含）内的</w:t>
      </w:r>
      <w:r>
        <w:rPr>
          <w:spacing w:val="-8"/>
        </w:rPr>
        <w:t>必要且合理的住院医疗费用，并且该延续期间住院医疗费用计入该次住院治疗开始日所属的</w:t>
      </w:r>
    </w:p>
    <w:p>
      <w:pPr>
        <w:pStyle w:val="BodyText"/>
        <w:spacing w:before="11"/>
        <w:ind w:left="0"/>
        <w:rPr>
          <w:sz w:val="22"/>
        </w:rPr>
      </w:pPr>
      <w:r>
        <w:rPr/>
        <w:drawing>
          <wp:anchor distT="0" distB="0" distL="0" distR="0" allowOverlap="1" layoutInCell="1" locked="0" behindDoc="0" simplePos="0" relativeHeight="2">
            <wp:simplePos x="0" y="0"/>
            <wp:positionH relativeFrom="page">
              <wp:posOffset>1141475</wp:posOffset>
            </wp:positionH>
            <wp:positionV relativeFrom="paragraph">
              <wp:posOffset>201694</wp:posOffset>
            </wp:positionV>
            <wp:extent cx="1828867" cy="6857"/>
            <wp:effectExtent l="0" t="0" r="0" b="0"/>
            <wp:wrapTopAndBottom/>
            <wp:docPr id="5" name="image2.png"/>
            <wp:cNvGraphicFramePr>
              <a:graphicFrameLocks noChangeAspect="1"/>
            </wp:cNvGraphicFramePr>
            <a:graphic>
              <a:graphicData uri="http://schemas.openxmlformats.org/drawingml/2006/picture">
                <pic:pic>
                  <pic:nvPicPr>
                    <pic:cNvPr id="6" name="image2.png"/>
                    <pic:cNvPicPr/>
                  </pic:nvPicPr>
                  <pic:blipFill>
                    <a:blip r:embed="rId7" cstate="print"/>
                    <a:stretch>
                      <a:fillRect/>
                    </a:stretch>
                  </pic:blipFill>
                  <pic:spPr>
                    <a:xfrm>
                      <a:off x="0" y="0"/>
                      <a:ext cx="1828867" cy="6857"/>
                    </a:xfrm>
                    <a:prstGeom prst="rect">
                      <a:avLst/>
                    </a:prstGeom>
                  </pic:spPr>
                </pic:pic>
              </a:graphicData>
            </a:graphic>
          </wp:anchor>
        </w:drawing>
      </w:r>
    </w:p>
    <w:p>
      <w:pPr>
        <w:spacing w:before="90"/>
        <w:ind w:left="737" w:right="0" w:firstLine="0"/>
        <w:jc w:val="left"/>
        <w:rPr>
          <w:sz w:val="18"/>
        </w:rPr>
      </w:pPr>
      <w:r>
        <w:rPr>
          <w:rFonts w:ascii="Times New Roman" w:eastAsia="Times New Roman"/>
          <w:w w:val="95"/>
          <w:sz w:val="18"/>
          <w:vertAlign w:val="superscript"/>
        </w:rPr>
        <w:t>5</w:t>
      </w:r>
      <w:r>
        <w:rPr>
          <w:b/>
          <w:w w:val="95"/>
          <w:sz w:val="18"/>
          <w:vertAlign w:val="baseline"/>
        </w:rPr>
        <w:t>住</w:t>
      </w:r>
      <w:r>
        <w:rPr>
          <w:b/>
          <w:w w:val="95"/>
          <w:sz w:val="18"/>
          <w:vertAlign w:val="baseline"/>
        </w:rPr>
        <w:t>院</w:t>
      </w:r>
      <w:r>
        <w:rPr>
          <w:b/>
          <w:w w:val="95"/>
          <w:sz w:val="18"/>
          <w:vertAlign w:val="baseline"/>
        </w:rPr>
        <w:t>：</w:t>
      </w:r>
      <w:r>
        <w:rPr>
          <w:w w:val="95"/>
          <w:sz w:val="18"/>
          <w:vertAlign w:val="baseline"/>
        </w:rPr>
        <w:t>指</w:t>
      </w:r>
      <w:r>
        <w:rPr>
          <w:w w:val="95"/>
          <w:sz w:val="18"/>
          <w:vertAlign w:val="baseline"/>
        </w:rPr>
        <w:t>被</w:t>
      </w:r>
      <w:r>
        <w:rPr>
          <w:w w:val="95"/>
          <w:sz w:val="18"/>
          <w:vertAlign w:val="baseline"/>
        </w:rPr>
        <w:t>保</w:t>
      </w:r>
      <w:r>
        <w:rPr>
          <w:w w:val="95"/>
          <w:sz w:val="18"/>
          <w:vertAlign w:val="baseline"/>
        </w:rPr>
        <w:t>险</w:t>
      </w:r>
      <w:r>
        <w:rPr>
          <w:w w:val="95"/>
          <w:sz w:val="18"/>
          <w:vertAlign w:val="baseline"/>
        </w:rPr>
        <w:t>人</w:t>
      </w:r>
      <w:r>
        <w:rPr>
          <w:w w:val="95"/>
          <w:sz w:val="18"/>
          <w:vertAlign w:val="baseline"/>
        </w:rPr>
        <w:t>因</w:t>
      </w:r>
      <w:r>
        <w:rPr>
          <w:w w:val="95"/>
          <w:sz w:val="18"/>
          <w:vertAlign w:val="baseline"/>
        </w:rPr>
        <w:t>意</w:t>
      </w:r>
      <w:r>
        <w:rPr>
          <w:w w:val="95"/>
          <w:sz w:val="18"/>
          <w:vertAlign w:val="baseline"/>
        </w:rPr>
        <w:t>外</w:t>
      </w:r>
      <w:r>
        <w:rPr>
          <w:w w:val="95"/>
          <w:sz w:val="18"/>
          <w:vertAlign w:val="baseline"/>
        </w:rPr>
        <w:t>伤</w:t>
      </w:r>
      <w:r>
        <w:rPr>
          <w:w w:val="95"/>
          <w:sz w:val="18"/>
          <w:vertAlign w:val="baseline"/>
        </w:rPr>
        <w:t>害</w:t>
      </w:r>
      <w:r>
        <w:rPr>
          <w:w w:val="95"/>
          <w:sz w:val="18"/>
          <w:vertAlign w:val="baseline"/>
        </w:rPr>
        <w:t>或</w:t>
      </w:r>
      <w:r>
        <w:rPr>
          <w:w w:val="95"/>
          <w:sz w:val="18"/>
          <w:vertAlign w:val="baseline"/>
        </w:rPr>
        <w:t>疾</w:t>
      </w:r>
      <w:r>
        <w:rPr>
          <w:w w:val="95"/>
          <w:sz w:val="18"/>
          <w:vertAlign w:val="baseline"/>
        </w:rPr>
        <w:t>病</w:t>
      </w:r>
      <w:r>
        <w:rPr>
          <w:w w:val="95"/>
          <w:sz w:val="18"/>
          <w:vertAlign w:val="baseline"/>
        </w:rPr>
        <w:t>而</w:t>
      </w:r>
      <w:r>
        <w:rPr>
          <w:w w:val="95"/>
          <w:sz w:val="18"/>
          <w:vertAlign w:val="baseline"/>
        </w:rPr>
        <w:t>入</w:t>
      </w:r>
      <w:r>
        <w:rPr>
          <w:w w:val="95"/>
          <w:sz w:val="18"/>
          <w:vertAlign w:val="baseline"/>
        </w:rPr>
        <w:t>住</w:t>
      </w:r>
      <w:r>
        <w:rPr>
          <w:w w:val="95"/>
          <w:sz w:val="18"/>
          <w:vertAlign w:val="baseline"/>
        </w:rPr>
        <w:t>医</w:t>
      </w:r>
      <w:r>
        <w:rPr>
          <w:w w:val="95"/>
          <w:sz w:val="18"/>
          <w:vertAlign w:val="baseline"/>
        </w:rPr>
        <w:t>院</w:t>
      </w:r>
      <w:r>
        <w:rPr>
          <w:w w:val="95"/>
          <w:sz w:val="18"/>
          <w:vertAlign w:val="baseline"/>
        </w:rPr>
        <w:t>之</w:t>
      </w:r>
      <w:r>
        <w:rPr>
          <w:w w:val="95"/>
          <w:sz w:val="18"/>
          <w:vertAlign w:val="baseline"/>
        </w:rPr>
        <w:t>正</w:t>
      </w:r>
      <w:r>
        <w:rPr>
          <w:w w:val="95"/>
          <w:sz w:val="18"/>
          <w:vertAlign w:val="baseline"/>
        </w:rPr>
        <w:t>式</w:t>
      </w:r>
      <w:r>
        <w:rPr>
          <w:w w:val="95"/>
          <w:sz w:val="18"/>
          <w:vertAlign w:val="baseline"/>
        </w:rPr>
        <w:t>病</w:t>
      </w:r>
      <w:r>
        <w:rPr>
          <w:w w:val="95"/>
          <w:sz w:val="18"/>
          <w:vertAlign w:val="baseline"/>
        </w:rPr>
        <w:t>房</w:t>
      </w:r>
      <w:r>
        <w:rPr>
          <w:w w:val="95"/>
          <w:sz w:val="18"/>
          <w:vertAlign w:val="baseline"/>
        </w:rPr>
        <w:t>接</w:t>
      </w:r>
      <w:r>
        <w:rPr>
          <w:w w:val="95"/>
          <w:sz w:val="18"/>
          <w:vertAlign w:val="baseline"/>
        </w:rPr>
        <w:t>受</w:t>
      </w:r>
      <w:r>
        <w:rPr>
          <w:w w:val="95"/>
          <w:sz w:val="18"/>
          <w:vertAlign w:val="baseline"/>
        </w:rPr>
        <w:t>全</w:t>
      </w:r>
      <w:r>
        <w:rPr>
          <w:w w:val="95"/>
          <w:sz w:val="18"/>
          <w:vertAlign w:val="baseline"/>
        </w:rPr>
        <w:t>天</w:t>
      </w:r>
      <w:r>
        <w:rPr>
          <w:w w:val="95"/>
          <w:sz w:val="18"/>
          <w:vertAlign w:val="baseline"/>
        </w:rPr>
        <w:t>候</w:t>
      </w:r>
      <w:r>
        <w:rPr>
          <w:w w:val="95"/>
          <w:sz w:val="18"/>
          <w:vertAlign w:val="baseline"/>
        </w:rPr>
        <w:t>二</w:t>
      </w:r>
      <w:r>
        <w:rPr>
          <w:w w:val="95"/>
          <w:sz w:val="18"/>
          <w:vertAlign w:val="baseline"/>
        </w:rPr>
        <w:t>十</w:t>
      </w:r>
      <w:r>
        <w:rPr>
          <w:w w:val="95"/>
          <w:sz w:val="18"/>
          <w:vertAlign w:val="baseline"/>
        </w:rPr>
        <w:t>四</w:t>
      </w:r>
      <w:r>
        <w:rPr>
          <w:w w:val="95"/>
          <w:sz w:val="18"/>
          <w:vertAlign w:val="baseline"/>
        </w:rPr>
        <w:t>小</w:t>
      </w:r>
      <w:r>
        <w:rPr>
          <w:w w:val="95"/>
          <w:sz w:val="18"/>
          <w:vertAlign w:val="baseline"/>
        </w:rPr>
        <w:t>时</w:t>
      </w:r>
      <w:r>
        <w:rPr>
          <w:w w:val="95"/>
          <w:sz w:val="18"/>
          <w:vertAlign w:val="baseline"/>
        </w:rPr>
        <w:t>监</w:t>
      </w:r>
      <w:r>
        <w:rPr>
          <w:w w:val="95"/>
          <w:sz w:val="18"/>
          <w:vertAlign w:val="baseline"/>
        </w:rPr>
        <w:t>护</w:t>
      </w:r>
      <w:r>
        <w:rPr>
          <w:w w:val="95"/>
          <w:sz w:val="18"/>
          <w:vertAlign w:val="baseline"/>
        </w:rPr>
        <w:t>治</w:t>
      </w:r>
      <w:r>
        <w:rPr>
          <w:w w:val="95"/>
          <w:sz w:val="18"/>
          <w:vertAlign w:val="baseline"/>
        </w:rPr>
        <w:t>疗</w:t>
      </w:r>
      <w:r>
        <w:rPr>
          <w:w w:val="95"/>
          <w:sz w:val="18"/>
          <w:vertAlign w:val="baseline"/>
        </w:rPr>
        <w:t>的</w:t>
      </w:r>
      <w:r>
        <w:rPr>
          <w:w w:val="95"/>
          <w:sz w:val="18"/>
          <w:vertAlign w:val="baseline"/>
        </w:rPr>
        <w:t>过</w:t>
      </w:r>
      <w:r>
        <w:rPr>
          <w:w w:val="95"/>
          <w:sz w:val="18"/>
          <w:vertAlign w:val="baseline"/>
        </w:rPr>
        <w:t>程</w:t>
      </w:r>
      <w:r>
        <w:rPr>
          <w:w w:val="95"/>
          <w:sz w:val="18"/>
          <w:vertAlign w:val="baseline"/>
        </w:rPr>
        <w:t>，</w:t>
      </w:r>
      <w:r>
        <w:rPr>
          <w:w w:val="95"/>
          <w:sz w:val="18"/>
          <w:vertAlign w:val="baseline"/>
        </w:rPr>
        <w:t>住</w:t>
      </w:r>
      <w:r>
        <w:rPr>
          <w:spacing w:val="-10"/>
          <w:w w:val="95"/>
          <w:sz w:val="18"/>
          <w:vertAlign w:val="baseline"/>
        </w:rPr>
        <w:t>院</w:t>
      </w:r>
    </w:p>
    <w:p>
      <w:pPr>
        <w:spacing w:before="3"/>
        <w:ind w:left="737" w:right="0" w:firstLine="0"/>
        <w:jc w:val="left"/>
        <w:rPr>
          <w:sz w:val="18"/>
        </w:rPr>
      </w:pPr>
      <w:r>
        <w:rPr/>
        <w:pict>
          <v:shape style="position:absolute;margin-left:116.879997pt;margin-top:11.790319pt;width:243pt;height:11.5pt;mso-position-horizontal-relative:page;mso-position-vertical-relative:paragraph;z-index:15730176" type="#_x0000_t202" id="docshape4" filled="true" fillcolor="#d9d9d9" stroked="false">
            <v:textbox inset="0,0,0,0">
              <w:txbxContent>
                <w:p>
                  <w:pPr>
                    <w:spacing w:line="227" w:lineRule="exact" w:before="0"/>
                    <w:ind w:left="0" w:right="-15" w:firstLine="0"/>
                    <w:jc w:val="left"/>
                    <w:rPr>
                      <w:rFonts w:ascii="黑体" w:eastAsia="黑体"/>
                      <w:color w:val="000000"/>
                      <w:sz w:val="18"/>
                    </w:rPr>
                  </w:pPr>
                  <w:r>
                    <w:rPr>
                      <w:rFonts w:ascii="黑体" w:eastAsia="黑体"/>
                      <w:color w:val="000000"/>
                      <w:sz w:val="18"/>
                    </w:rPr>
                    <w:t>被保险人在医院的（门）急诊观察室、家庭病床（房）</w:t>
                  </w:r>
                  <w:r>
                    <w:rPr>
                      <w:rFonts w:ascii="黑体" w:eastAsia="黑体"/>
                      <w:color w:val="000000"/>
                      <w:spacing w:val="-4"/>
                      <w:sz w:val="18"/>
                    </w:rPr>
                    <w:t>入住；</w:t>
                  </w:r>
                </w:p>
              </w:txbxContent>
            </v:textbox>
            <v:fill type="solid"/>
            <w10:wrap type="none"/>
          </v:shape>
        </w:pict>
      </w:r>
      <w:r>
        <w:rPr/>
        <w:pict>
          <v:shape style="position:absolute;margin-left:296.880005pt;margin-top:.03032pt;width:81pt;height:11.8pt;mso-position-horizontal-relative:page;mso-position-vertical-relative:paragraph;z-index:15730688" type="#_x0000_t202" id="docshape5" filled="true" fillcolor="#d9d9d9" stroked="false">
            <v:textbox inset="0,0,0,0">
              <w:txbxContent>
                <w:p>
                  <w:pPr>
                    <w:spacing w:before="2"/>
                    <w:ind w:left="0" w:right="-15" w:firstLine="0"/>
                    <w:jc w:val="left"/>
                    <w:rPr>
                      <w:rFonts w:ascii="黑体" w:eastAsia="黑体"/>
                      <w:color w:val="000000"/>
                      <w:sz w:val="18"/>
                    </w:rPr>
                  </w:pPr>
                  <w:r>
                    <w:rPr>
                      <w:rFonts w:ascii="黑体" w:eastAsia="黑体"/>
                      <w:color w:val="000000"/>
                      <w:spacing w:val="-2"/>
                      <w:sz w:val="18"/>
                    </w:rPr>
                    <w:t>但不包括下列情况：</w:t>
                  </w:r>
                </w:p>
              </w:txbxContent>
            </v:textbox>
            <v:fill type="solid"/>
            <w10:wrap type="none"/>
          </v:shape>
        </w:pict>
      </w:r>
      <w:r>
        <w:rPr>
          <w:spacing w:val="-1"/>
          <w:sz w:val="18"/>
        </w:rPr>
        <w:t>期间以被保险人正式办理入院、出院手续为准计算。</w:t>
      </w:r>
    </w:p>
    <w:p>
      <w:pPr>
        <w:spacing w:before="11"/>
        <w:ind w:left="917" w:right="0" w:firstLine="0"/>
        <w:jc w:val="left"/>
        <w:rPr>
          <w:rFonts w:ascii="Times New Roman"/>
          <w:sz w:val="18"/>
        </w:rPr>
      </w:pPr>
      <w:r>
        <w:rPr>
          <w:rFonts w:ascii="Times New Roman"/>
          <w:spacing w:val="-5"/>
          <w:sz w:val="18"/>
        </w:rPr>
        <w:t>1)</w:t>
      </w:r>
    </w:p>
    <w:p>
      <w:pPr>
        <w:pStyle w:val="ListParagraph"/>
        <w:numPr>
          <w:ilvl w:val="0"/>
          <w:numId w:val="2"/>
        </w:numPr>
        <w:tabs>
          <w:tab w:pos="1278" w:val="left" w:leader="none"/>
        </w:tabs>
        <w:spacing w:line="228" w:lineRule="auto" w:before="10" w:after="0"/>
        <w:ind w:left="1277" w:right="791" w:hanging="360"/>
        <w:jc w:val="both"/>
        <w:rPr>
          <w:rFonts w:ascii="黑体" w:eastAsia="黑体"/>
          <w:sz w:val="18"/>
        </w:rPr>
      </w:pPr>
      <w:r>
        <w:rPr>
          <w:rFonts w:ascii="黑体" w:eastAsia="黑体"/>
          <w:color w:val="000000"/>
          <w:sz w:val="18"/>
          <w:shd w:fill="D9D9D9" w:color="auto" w:val="clear"/>
        </w:rPr>
        <w:t>被保险人在特需医疗部病房、国际医疗部病房、</w:t>
      </w:r>
      <w:r>
        <w:rPr>
          <w:rFonts w:ascii="Times New Roman" w:eastAsia="Times New Roman"/>
          <w:color w:val="000000"/>
          <w:sz w:val="18"/>
          <w:shd w:fill="D9D9D9" w:color="auto" w:val="clear"/>
        </w:rPr>
        <w:t>VIP</w:t>
      </w:r>
      <w:r>
        <w:rPr>
          <w:rFonts w:ascii="Times New Roman" w:eastAsia="Times New Roman"/>
          <w:color w:val="000000"/>
          <w:spacing w:val="-12"/>
          <w:sz w:val="18"/>
          <w:shd w:fill="D9D9D9" w:color="auto" w:val="clear"/>
        </w:rPr>
        <w:t> </w:t>
      </w:r>
      <w:r>
        <w:rPr>
          <w:rFonts w:ascii="黑体" w:eastAsia="黑体"/>
          <w:color w:val="000000"/>
          <w:sz w:val="18"/>
          <w:shd w:fill="D9D9D9" w:color="auto" w:val="clear"/>
        </w:rPr>
        <w:t>病房、干部病房或其他不属于基本医疗保险范</w:t>
      </w:r>
      <w:r>
        <w:rPr>
          <w:rFonts w:ascii="黑体" w:eastAsia="黑体"/>
          <w:color w:val="000000"/>
          <w:spacing w:val="15030"/>
          <w:sz w:val="18"/>
          <w:shd w:fill="D9D9D9" w:color="auto" w:val="clear"/>
        </w:rPr>
        <w:t> </w:t>
      </w:r>
      <w:r>
        <w:rPr>
          <w:rFonts w:ascii="黑体" w:eastAsia="黑体"/>
          <w:color w:val="000000"/>
          <w:spacing w:val="-2"/>
          <w:sz w:val="18"/>
          <w:shd w:fill="D9D9D9" w:color="auto" w:val="clear"/>
        </w:rPr>
        <w:t>畴的高等级病房入住；</w:t>
      </w:r>
    </w:p>
    <w:p>
      <w:pPr>
        <w:pStyle w:val="ListParagraph"/>
        <w:numPr>
          <w:ilvl w:val="0"/>
          <w:numId w:val="2"/>
        </w:numPr>
        <w:tabs>
          <w:tab w:pos="1278" w:val="left" w:leader="none"/>
        </w:tabs>
        <w:spacing w:line="218" w:lineRule="exact" w:before="0" w:after="0"/>
        <w:ind w:left="1277" w:right="0" w:hanging="361"/>
        <w:jc w:val="both"/>
        <w:rPr>
          <w:rFonts w:ascii="黑体" w:eastAsia="黑体"/>
          <w:sz w:val="18"/>
        </w:rPr>
      </w:pPr>
      <w:r>
        <w:rPr>
          <w:rFonts w:ascii="黑体" w:eastAsia="黑体"/>
          <w:color w:val="000000"/>
          <w:spacing w:val="-1"/>
          <w:sz w:val="18"/>
          <w:shd w:fill="D9D9D9" w:color="auto" w:val="clear"/>
        </w:rPr>
        <w:t>被保险人入住康复科、康复病床或接受康复治疗；</w:t>
      </w:r>
    </w:p>
    <w:p>
      <w:pPr>
        <w:pStyle w:val="ListParagraph"/>
        <w:numPr>
          <w:ilvl w:val="0"/>
          <w:numId w:val="2"/>
        </w:numPr>
        <w:tabs>
          <w:tab w:pos="1278" w:val="left" w:leader="none"/>
        </w:tabs>
        <w:spacing w:line="228" w:lineRule="auto" w:before="5" w:after="0"/>
        <w:ind w:left="1277" w:right="764" w:hanging="360"/>
        <w:jc w:val="both"/>
        <w:rPr>
          <w:rFonts w:ascii="黑体" w:eastAsia="黑体"/>
          <w:sz w:val="18"/>
        </w:rPr>
      </w:pPr>
      <w:r>
        <w:rPr>
          <w:rFonts w:ascii="黑体" w:eastAsia="黑体"/>
          <w:color w:val="000000"/>
          <w:spacing w:val="-2"/>
          <w:sz w:val="18"/>
          <w:shd w:fill="D9D9D9" w:color="auto" w:val="clear"/>
        </w:rPr>
        <w:t>被保险人住院期间一日内未接受与入院诊断相关的检查和治疗，或一日内住院不满二十四小时；</w:t>
      </w:r>
      <w:r>
        <w:rPr>
          <w:rFonts w:ascii="黑体" w:eastAsia="黑体"/>
          <w:color w:val="000000"/>
          <w:spacing w:val="-2"/>
          <w:sz w:val="18"/>
        </w:rPr>
        <w:t>但</w:t>
      </w:r>
      <w:r>
        <w:rPr>
          <w:rFonts w:ascii="黑体" w:eastAsia="黑体"/>
          <w:color w:val="000000"/>
          <w:spacing w:val="-2"/>
          <w:sz w:val="18"/>
        </w:rPr>
        <w:t>遵医嘱到外院接受临时治疗的不受此限；</w:t>
      </w:r>
    </w:p>
    <w:p>
      <w:pPr>
        <w:pStyle w:val="ListParagraph"/>
        <w:numPr>
          <w:ilvl w:val="0"/>
          <w:numId w:val="2"/>
        </w:numPr>
        <w:tabs>
          <w:tab w:pos="1278" w:val="left" w:leader="none"/>
        </w:tabs>
        <w:spacing w:line="218" w:lineRule="exact" w:before="0" w:after="0"/>
        <w:ind w:left="1277" w:right="0" w:hanging="361"/>
        <w:jc w:val="both"/>
        <w:rPr>
          <w:rFonts w:ascii="黑体" w:eastAsia="黑体"/>
          <w:sz w:val="18"/>
        </w:rPr>
      </w:pPr>
      <w:r>
        <w:rPr>
          <w:rFonts w:ascii="黑体" w:eastAsia="黑体"/>
          <w:color w:val="000000"/>
          <w:spacing w:val="-2"/>
          <w:sz w:val="18"/>
          <w:shd w:fill="D9D9D9" w:color="auto" w:val="clear"/>
        </w:rPr>
        <w:t>被保险人住院体检；</w:t>
      </w:r>
    </w:p>
    <w:p>
      <w:pPr>
        <w:pStyle w:val="ListParagraph"/>
        <w:numPr>
          <w:ilvl w:val="0"/>
          <w:numId w:val="2"/>
        </w:numPr>
        <w:tabs>
          <w:tab w:pos="1278" w:val="left" w:leader="none"/>
        </w:tabs>
        <w:spacing w:line="228" w:lineRule="auto" w:before="4" w:after="0"/>
        <w:ind w:left="1277" w:right="764" w:hanging="360"/>
        <w:jc w:val="both"/>
        <w:rPr>
          <w:rFonts w:ascii="黑体" w:eastAsia="黑体"/>
          <w:sz w:val="18"/>
        </w:rPr>
      </w:pPr>
      <w:r>
        <w:rPr>
          <w:rFonts w:ascii="黑体" w:eastAsia="黑体"/>
          <w:color w:val="000000"/>
          <w:spacing w:val="-2"/>
          <w:sz w:val="18"/>
          <w:shd w:fill="D9D9D9" w:color="auto" w:val="clear"/>
        </w:rPr>
        <w:t>挂床住院及其他不合理的住院或住院病人应当出院而拒不出院。</w:t>
      </w:r>
      <w:r>
        <w:rPr>
          <w:rFonts w:ascii="黑体" w:eastAsia="黑体"/>
          <w:color w:val="000000"/>
          <w:spacing w:val="-2"/>
          <w:sz w:val="18"/>
        </w:rPr>
        <w:t>挂床住院指办理正式住院手续的被</w:t>
      </w:r>
      <w:r>
        <w:rPr>
          <w:rFonts w:ascii="黑体" w:eastAsia="黑体"/>
          <w:color w:val="000000"/>
          <w:spacing w:val="-2"/>
          <w:sz w:val="18"/>
        </w:rPr>
        <w:t>保险人，在住院期间每日非二十四小时在床、在院。具体表现包括在住院期间连续若干日无任何治</w:t>
      </w:r>
      <w:r>
        <w:rPr>
          <w:rFonts w:ascii="黑体" w:eastAsia="黑体"/>
          <w:color w:val="000000"/>
          <w:spacing w:val="-2"/>
          <w:sz w:val="18"/>
        </w:rPr>
        <w:t>疗，只发生护理费、诊疗费、床位费等情况。</w:t>
      </w:r>
    </w:p>
    <w:p>
      <w:pPr>
        <w:spacing w:line="228" w:lineRule="exact" w:before="0"/>
        <w:ind w:left="737" w:right="0" w:firstLine="0"/>
        <w:jc w:val="left"/>
        <w:rPr>
          <w:sz w:val="18"/>
        </w:rPr>
      </w:pPr>
      <w:r>
        <w:rPr>
          <w:rFonts w:ascii="Times New Roman" w:eastAsia="Times New Roman"/>
          <w:w w:val="95"/>
          <w:sz w:val="18"/>
          <w:vertAlign w:val="superscript"/>
        </w:rPr>
        <w:t>6</w:t>
      </w:r>
      <w:r>
        <w:rPr>
          <w:b/>
          <w:w w:val="95"/>
          <w:sz w:val="18"/>
          <w:vertAlign w:val="baseline"/>
        </w:rPr>
        <w:t>必</w:t>
      </w:r>
      <w:r>
        <w:rPr>
          <w:b/>
          <w:w w:val="95"/>
          <w:sz w:val="18"/>
          <w:vertAlign w:val="baseline"/>
        </w:rPr>
        <w:t>要</w:t>
      </w:r>
      <w:r>
        <w:rPr>
          <w:b/>
          <w:w w:val="95"/>
          <w:sz w:val="18"/>
          <w:vertAlign w:val="baseline"/>
        </w:rPr>
        <w:t>且合</w:t>
      </w:r>
      <w:r>
        <w:rPr>
          <w:b/>
          <w:w w:val="95"/>
          <w:sz w:val="18"/>
          <w:vertAlign w:val="baseline"/>
        </w:rPr>
        <w:t>理</w:t>
      </w:r>
      <w:r>
        <w:rPr>
          <w:b/>
          <w:w w:val="95"/>
          <w:sz w:val="18"/>
          <w:vertAlign w:val="baseline"/>
        </w:rPr>
        <w:t>的</w:t>
      </w:r>
      <w:r>
        <w:rPr>
          <w:b/>
          <w:w w:val="95"/>
          <w:sz w:val="18"/>
          <w:vertAlign w:val="baseline"/>
        </w:rPr>
        <w:t>：</w:t>
      </w:r>
      <w:r>
        <w:rPr>
          <w:w w:val="95"/>
          <w:sz w:val="18"/>
          <w:vertAlign w:val="baseline"/>
        </w:rPr>
        <w:t>指</w:t>
      </w:r>
      <w:r>
        <w:rPr>
          <w:w w:val="95"/>
          <w:sz w:val="18"/>
          <w:vertAlign w:val="baseline"/>
        </w:rPr>
        <w:t>符</w:t>
      </w:r>
      <w:r>
        <w:rPr>
          <w:w w:val="95"/>
          <w:sz w:val="18"/>
          <w:vertAlign w:val="baseline"/>
        </w:rPr>
        <w:t>合</w:t>
      </w:r>
      <w:r>
        <w:rPr>
          <w:w w:val="95"/>
          <w:sz w:val="18"/>
          <w:vertAlign w:val="baseline"/>
        </w:rPr>
        <w:t>通</w:t>
      </w:r>
      <w:r>
        <w:rPr>
          <w:w w:val="95"/>
          <w:sz w:val="18"/>
          <w:vertAlign w:val="baseline"/>
        </w:rPr>
        <w:t>常</w:t>
      </w:r>
      <w:r>
        <w:rPr>
          <w:w w:val="95"/>
          <w:sz w:val="18"/>
          <w:vertAlign w:val="baseline"/>
        </w:rPr>
        <w:t>惯</w:t>
      </w:r>
      <w:r>
        <w:rPr>
          <w:w w:val="95"/>
          <w:sz w:val="18"/>
          <w:vertAlign w:val="baseline"/>
        </w:rPr>
        <w:t>例</w:t>
      </w:r>
      <w:r>
        <w:rPr>
          <w:w w:val="95"/>
          <w:sz w:val="18"/>
          <w:vertAlign w:val="baseline"/>
        </w:rPr>
        <w:t>且</w:t>
      </w:r>
      <w:r>
        <w:rPr>
          <w:w w:val="95"/>
          <w:sz w:val="18"/>
          <w:vertAlign w:val="baseline"/>
        </w:rPr>
        <w:t>医</w:t>
      </w:r>
      <w:r>
        <w:rPr>
          <w:w w:val="95"/>
          <w:sz w:val="18"/>
          <w:vertAlign w:val="baseline"/>
        </w:rPr>
        <w:t>学</w:t>
      </w:r>
      <w:r>
        <w:rPr>
          <w:w w:val="95"/>
          <w:sz w:val="18"/>
          <w:vertAlign w:val="baseline"/>
        </w:rPr>
        <w:t>必</w:t>
      </w:r>
      <w:r>
        <w:rPr>
          <w:w w:val="95"/>
          <w:sz w:val="18"/>
          <w:vertAlign w:val="baseline"/>
        </w:rPr>
        <w:t>需</w:t>
      </w:r>
      <w:r>
        <w:rPr>
          <w:w w:val="95"/>
          <w:sz w:val="18"/>
          <w:vertAlign w:val="baseline"/>
        </w:rPr>
        <w:t>的</w:t>
      </w:r>
      <w:r>
        <w:rPr>
          <w:w w:val="95"/>
          <w:sz w:val="18"/>
          <w:vertAlign w:val="baseline"/>
        </w:rPr>
        <w:t>。</w:t>
      </w:r>
      <w:r>
        <w:rPr>
          <w:w w:val="95"/>
          <w:sz w:val="18"/>
          <w:vertAlign w:val="baseline"/>
        </w:rPr>
        <w:t>其</w:t>
      </w:r>
      <w:r>
        <w:rPr>
          <w:w w:val="95"/>
          <w:sz w:val="18"/>
          <w:vertAlign w:val="baseline"/>
        </w:rPr>
        <w:t>定</w:t>
      </w:r>
      <w:r>
        <w:rPr>
          <w:w w:val="95"/>
          <w:sz w:val="18"/>
          <w:vertAlign w:val="baseline"/>
        </w:rPr>
        <w:t>义</w:t>
      </w:r>
      <w:r>
        <w:rPr>
          <w:w w:val="95"/>
          <w:sz w:val="18"/>
          <w:vertAlign w:val="baseline"/>
        </w:rPr>
        <w:t>下</w:t>
      </w:r>
      <w:r>
        <w:rPr>
          <w:w w:val="95"/>
          <w:sz w:val="18"/>
          <w:vertAlign w:val="baseline"/>
        </w:rPr>
        <w:t>的</w:t>
      </w:r>
      <w:r>
        <w:rPr>
          <w:w w:val="95"/>
          <w:sz w:val="18"/>
          <w:vertAlign w:val="baseline"/>
        </w:rPr>
        <w:t>医</w:t>
      </w:r>
      <w:r>
        <w:rPr>
          <w:w w:val="95"/>
          <w:sz w:val="18"/>
          <w:vertAlign w:val="baseline"/>
        </w:rPr>
        <w:t>疗</w:t>
      </w:r>
      <w:r>
        <w:rPr>
          <w:w w:val="95"/>
          <w:sz w:val="18"/>
          <w:vertAlign w:val="baseline"/>
        </w:rPr>
        <w:t>费</w:t>
      </w:r>
      <w:r>
        <w:rPr>
          <w:w w:val="95"/>
          <w:sz w:val="18"/>
          <w:vertAlign w:val="baseline"/>
        </w:rPr>
        <w:t>用</w:t>
      </w:r>
      <w:r>
        <w:rPr>
          <w:w w:val="95"/>
          <w:sz w:val="18"/>
          <w:vertAlign w:val="baseline"/>
        </w:rPr>
        <w:t>与</w:t>
      </w:r>
      <w:r>
        <w:rPr>
          <w:w w:val="95"/>
          <w:sz w:val="18"/>
          <w:vertAlign w:val="baseline"/>
        </w:rPr>
        <w:t>接</w:t>
      </w:r>
      <w:r>
        <w:rPr>
          <w:w w:val="95"/>
          <w:sz w:val="18"/>
          <w:vertAlign w:val="baseline"/>
        </w:rPr>
        <w:t>受</w:t>
      </w:r>
      <w:r>
        <w:rPr>
          <w:w w:val="95"/>
          <w:sz w:val="18"/>
          <w:vertAlign w:val="baseline"/>
        </w:rPr>
        <w:t>医</w:t>
      </w:r>
      <w:r>
        <w:rPr>
          <w:w w:val="95"/>
          <w:sz w:val="18"/>
          <w:vertAlign w:val="baseline"/>
        </w:rPr>
        <w:t>疗</w:t>
      </w:r>
      <w:r>
        <w:rPr>
          <w:w w:val="95"/>
          <w:sz w:val="18"/>
          <w:vertAlign w:val="baseline"/>
        </w:rPr>
        <w:t>服</w:t>
      </w:r>
      <w:r>
        <w:rPr>
          <w:w w:val="95"/>
          <w:sz w:val="18"/>
          <w:vertAlign w:val="baseline"/>
        </w:rPr>
        <w:t>务</w:t>
      </w:r>
      <w:r>
        <w:rPr>
          <w:w w:val="95"/>
          <w:sz w:val="18"/>
          <w:vertAlign w:val="baseline"/>
        </w:rPr>
        <w:t>所</w:t>
      </w:r>
      <w:r>
        <w:rPr>
          <w:w w:val="95"/>
          <w:sz w:val="18"/>
          <w:vertAlign w:val="baseline"/>
        </w:rPr>
        <w:t>在</w:t>
      </w:r>
      <w:r>
        <w:rPr>
          <w:w w:val="95"/>
          <w:sz w:val="18"/>
          <w:vertAlign w:val="baseline"/>
        </w:rPr>
        <w:t>地</w:t>
      </w:r>
      <w:r>
        <w:rPr>
          <w:w w:val="95"/>
          <w:sz w:val="18"/>
          <w:vertAlign w:val="baseline"/>
        </w:rPr>
        <w:t>通</w:t>
      </w:r>
      <w:r>
        <w:rPr>
          <w:w w:val="95"/>
          <w:sz w:val="18"/>
          <w:vertAlign w:val="baseline"/>
        </w:rPr>
        <w:t>行</w:t>
      </w:r>
      <w:r>
        <w:rPr>
          <w:w w:val="95"/>
          <w:sz w:val="18"/>
          <w:vertAlign w:val="baseline"/>
        </w:rPr>
        <w:t>治</w:t>
      </w:r>
      <w:r>
        <w:rPr>
          <w:w w:val="95"/>
          <w:sz w:val="18"/>
          <w:vertAlign w:val="baseline"/>
        </w:rPr>
        <w:t>疗</w:t>
      </w:r>
      <w:r>
        <w:rPr>
          <w:w w:val="95"/>
          <w:sz w:val="18"/>
          <w:vertAlign w:val="baseline"/>
        </w:rPr>
        <w:t>规</w:t>
      </w:r>
      <w:r>
        <w:rPr>
          <w:w w:val="95"/>
          <w:sz w:val="18"/>
          <w:vertAlign w:val="baseline"/>
        </w:rPr>
        <w:t>范</w:t>
      </w:r>
      <w:r>
        <w:rPr>
          <w:spacing w:val="-10"/>
          <w:w w:val="95"/>
          <w:sz w:val="18"/>
          <w:vertAlign w:val="baseline"/>
        </w:rPr>
        <w:t>、</w:t>
      </w:r>
    </w:p>
    <w:p>
      <w:pPr>
        <w:spacing w:line="231" w:lineRule="exact" w:before="2"/>
        <w:ind w:left="737" w:right="0" w:firstLine="0"/>
        <w:jc w:val="left"/>
        <w:rPr>
          <w:sz w:val="18"/>
        </w:rPr>
      </w:pPr>
      <w:r>
        <w:rPr>
          <w:spacing w:val="-1"/>
          <w:sz w:val="18"/>
        </w:rPr>
        <w:t>通行治疗方法、平均医疗费用价格水平一致，且必须符合下列所有条件：</w:t>
      </w:r>
    </w:p>
    <w:p>
      <w:pPr>
        <w:pStyle w:val="ListParagraph"/>
        <w:numPr>
          <w:ilvl w:val="0"/>
          <w:numId w:val="3"/>
        </w:numPr>
        <w:tabs>
          <w:tab w:pos="1277" w:val="left" w:leader="none"/>
          <w:tab w:pos="1278" w:val="left" w:leader="none"/>
        </w:tabs>
        <w:spacing w:line="225" w:lineRule="exact" w:before="0" w:after="0"/>
        <w:ind w:left="1277" w:right="0" w:hanging="361"/>
        <w:jc w:val="left"/>
        <w:rPr>
          <w:sz w:val="18"/>
        </w:rPr>
      </w:pPr>
      <w:r>
        <w:rPr>
          <w:spacing w:val="-1"/>
          <w:sz w:val="18"/>
        </w:rPr>
        <w:t>治疗意外伤害或者疾病所必需的项目；</w:t>
      </w:r>
    </w:p>
    <w:p>
      <w:pPr>
        <w:pStyle w:val="ListParagraph"/>
        <w:numPr>
          <w:ilvl w:val="0"/>
          <w:numId w:val="3"/>
        </w:numPr>
        <w:tabs>
          <w:tab w:pos="1277" w:val="left" w:leader="none"/>
          <w:tab w:pos="1278" w:val="left" w:leader="none"/>
        </w:tabs>
        <w:spacing w:line="220" w:lineRule="exact" w:before="0" w:after="0"/>
        <w:ind w:left="1277" w:right="0" w:hanging="361"/>
        <w:jc w:val="left"/>
        <w:rPr>
          <w:sz w:val="18"/>
        </w:rPr>
      </w:pPr>
      <w:r>
        <w:rPr>
          <w:spacing w:val="-1"/>
          <w:sz w:val="18"/>
        </w:rPr>
        <w:t>不超过安全、足量治疗原则的项目；</w:t>
      </w:r>
    </w:p>
    <w:p>
      <w:pPr>
        <w:pStyle w:val="ListParagraph"/>
        <w:numPr>
          <w:ilvl w:val="0"/>
          <w:numId w:val="3"/>
        </w:numPr>
        <w:tabs>
          <w:tab w:pos="1277" w:val="left" w:leader="none"/>
          <w:tab w:pos="1278" w:val="left" w:leader="none"/>
        </w:tabs>
        <w:spacing w:line="220" w:lineRule="exact" w:before="0" w:after="0"/>
        <w:ind w:left="1277" w:right="0" w:hanging="361"/>
        <w:jc w:val="left"/>
        <w:rPr>
          <w:sz w:val="18"/>
        </w:rPr>
      </w:pPr>
      <w:r>
        <w:rPr>
          <w:spacing w:val="-1"/>
          <w:sz w:val="18"/>
        </w:rPr>
        <w:t>由医生开具的处方药；</w:t>
      </w:r>
    </w:p>
    <w:p>
      <w:pPr>
        <w:pStyle w:val="ListParagraph"/>
        <w:numPr>
          <w:ilvl w:val="0"/>
          <w:numId w:val="3"/>
        </w:numPr>
        <w:tabs>
          <w:tab w:pos="1277" w:val="left" w:leader="none"/>
          <w:tab w:pos="1278" w:val="left" w:leader="none"/>
        </w:tabs>
        <w:spacing w:line="220" w:lineRule="exact" w:before="0" w:after="0"/>
        <w:ind w:left="1277" w:right="0" w:hanging="361"/>
        <w:jc w:val="left"/>
        <w:rPr>
          <w:sz w:val="18"/>
        </w:rPr>
      </w:pPr>
      <w:r>
        <w:rPr>
          <w:spacing w:val="-1"/>
          <w:sz w:val="18"/>
        </w:rPr>
        <w:t>非试验性的、非研究性的项目；</w:t>
      </w:r>
    </w:p>
    <w:p>
      <w:pPr>
        <w:pStyle w:val="ListParagraph"/>
        <w:numPr>
          <w:ilvl w:val="0"/>
          <w:numId w:val="3"/>
        </w:numPr>
        <w:tabs>
          <w:tab w:pos="1277" w:val="left" w:leader="none"/>
          <w:tab w:pos="1278" w:val="left" w:leader="none"/>
        </w:tabs>
        <w:spacing w:line="221" w:lineRule="exact" w:before="0" w:after="0"/>
        <w:ind w:left="1277" w:right="0" w:hanging="361"/>
        <w:jc w:val="left"/>
        <w:rPr>
          <w:sz w:val="18"/>
        </w:rPr>
      </w:pPr>
      <w:r>
        <w:rPr>
          <w:spacing w:val="-1"/>
          <w:sz w:val="18"/>
        </w:rPr>
        <w:t>与接受治疗当地普遍接受的医疗专业实践标准一致的项目。</w:t>
      </w:r>
    </w:p>
    <w:p>
      <w:pPr>
        <w:spacing w:line="242" w:lineRule="auto" w:before="0"/>
        <w:ind w:left="737" w:right="764" w:firstLine="0"/>
        <w:jc w:val="left"/>
        <w:rPr>
          <w:sz w:val="18"/>
        </w:rPr>
      </w:pPr>
      <w:r>
        <w:rPr>
          <w:spacing w:val="-2"/>
          <w:sz w:val="18"/>
        </w:rPr>
        <w:t>对是否符合通常惯例和医学必需由我们根据客观、审慎、合理的原则进行审核；如果被保险人对审核结果</w:t>
      </w:r>
      <w:r>
        <w:rPr>
          <w:spacing w:val="-2"/>
          <w:sz w:val="18"/>
        </w:rPr>
        <w:t>有不同意见，可由双方认同的权威医学机构或者权威医学专家进行审核鉴定。</w:t>
      </w:r>
    </w:p>
    <w:p>
      <w:pPr>
        <w:spacing w:line="223" w:lineRule="exact" w:before="0"/>
        <w:ind w:left="737" w:right="0" w:firstLine="0"/>
        <w:jc w:val="left"/>
        <w:rPr>
          <w:rFonts w:ascii="黑体" w:eastAsia="黑体"/>
          <w:sz w:val="18"/>
        </w:rPr>
      </w:pPr>
      <w:r>
        <w:rPr>
          <w:rFonts w:ascii="Times New Roman" w:eastAsia="Times New Roman"/>
          <w:w w:val="95"/>
          <w:sz w:val="18"/>
          <w:vertAlign w:val="superscript"/>
        </w:rPr>
        <w:t>7</w:t>
      </w:r>
      <w:r>
        <w:rPr>
          <w:b/>
          <w:w w:val="95"/>
          <w:sz w:val="18"/>
          <w:vertAlign w:val="baseline"/>
        </w:rPr>
        <w:t>床</w:t>
      </w:r>
      <w:r>
        <w:rPr>
          <w:b/>
          <w:w w:val="95"/>
          <w:sz w:val="18"/>
          <w:vertAlign w:val="baseline"/>
        </w:rPr>
        <w:t>位</w:t>
      </w:r>
      <w:r>
        <w:rPr>
          <w:b/>
          <w:w w:val="95"/>
          <w:sz w:val="18"/>
          <w:vertAlign w:val="baseline"/>
        </w:rPr>
        <w:t>费：</w:t>
      </w:r>
      <w:r>
        <w:rPr>
          <w:w w:val="95"/>
          <w:sz w:val="18"/>
          <w:vertAlign w:val="baseline"/>
        </w:rPr>
        <w:t>指被</w:t>
      </w:r>
      <w:r>
        <w:rPr>
          <w:w w:val="95"/>
          <w:sz w:val="18"/>
          <w:vertAlign w:val="baseline"/>
        </w:rPr>
        <w:t>保</w:t>
      </w:r>
      <w:r>
        <w:rPr>
          <w:w w:val="95"/>
          <w:sz w:val="18"/>
          <w:vertAlign w:val="baseline"/>
        </w:rPr>
        <w:t>险</w:t>
      </w:r>
      <w:r>
        <w:rPr>
          <w:w w:val="95"/>
          <w:sz w:val="18"/>
          <w:vertAlign w:val="baseline"/>
        </w:rPr>
        <w:t>人</w:t>
      </w:r>
      <w:r>
        <w:rPr>
          <w:w w:val="95"/>
          <w:sz w:val="18"/>
          <w:vertAlign w:val="baseline"/>
        </w:rPr>
        <w:t>在</w:t>
      </w:r>
      <w:r>
        <w:rPr>
          <w:w w:val="95"/>
          <w:sz w:val="18"/>
          <w:vertAlign w:val="baseline"/>
        </w:rPr>
        <w:t>住</w:t>
      </w:r>
      <w:r>
        <w:rPr>
          <w:w w:val="95"/>
          <w:sz w:val="18"/>
          <w:vertAlign w:val="baseline"/>
        </w:rPr>
        <w:t>院</w:t>
      </w:r>
      <w:r>
        <w:rPr>
          <w:w w:val="95"/>
          <w:sz w:val="18"/>
          <w:vertAlign w:val="baseline"/>
        </w:rPr>
        <w:t>期</w:t>
      </w:r>
      <w:r>
        <w:rPr>
          <w:w w:val="95"/>
          <w:sz w:val="18"/>
          <w:vertAlign w:val="baseline"/>
        </w:rPr>
        <w:t>间</w:t>
      </w:r>
      <w:r>
        <w:rPr>
          <w:w w:val="95"/>
          <w:sz w:val="18"/>
          <w:vertAlign w:val="baseline"/>
        </w:rPr>
        <w:t>发</w:t>
      </w:r>
      <w:r>
        <w:rPr>
          <w:w w:val="95"/>
          <w:sz w:val="18"/>
          <w:vertAlign w:val="baseline"/>
        </w:rPr>
        <w:t>生</w:t>
      </w:r>
      <w:r>
        <w:rPr>
          <w:w w:val="95"/>
          <w:sz w:val="18"/>
          <w:vertAlign w:val="baseline"/>
        </w:rPr>
        <w:t>的</w:t>
      </w:r>
      <w:r>
        <w:rPr>
          <w:w w:val="95"/>
          <w:sz w:val="18"/>
          <w:vertAlign w:val="baseline"/>
        </w:rPr>
        <w:t>医</w:t>
      </w:r>
      <w:r>
        <w:rPr>
          <w:w w:val="95"/>
          <w:sz w:val="18"/>
          <w:vertAlign w:val="baseline"/>
        </w:rPr>
        <w:t>院</w:t>
      </w:r>
      <w:r>
        <w:rPr>
          <w:w w:val="95"/>
          <w:sz w:val="18"/>
          <w:vertAlign w:val="baseline"/>
        </w:rPr>
        <w:t>床</w:t>
      </w:r>
      <w:r>
        <w:rPr>
          <w:w w:val="95"/>
          <w:sz w:val="18"/>
          <w:vertAlign w:val="baseline"/>
        </w:rPr>
        <w:t>位</w:t>
      </w:r>
      <w:r>
        <w:rPr>
          <w:w w:val="95"/>
          <w:sz w:val="18"/>
          <w:vertAlign w:val="baseline"/>
        </w:rPr>
        <w:t>的</w:t>
      </w:r>
      <w:r>
        <w:rPr>
          <w:w w:val="95"/>
          <w:sz w:val="18"/>
          <w:vertAlign w:val="baseline"/>
        </w:rPr>
        <w:t>费</w:t>
      </w:r>
      <w:r>
        <w:rPr>
          <w:w w:val="95"/>
          <w:sz w:val="18"/>
          <w:vertAlign w:val="baseline"/>
        </w:rPr>
        <w:t>用</w:t>
      </w:r>
      <w:r>
        <w:rPr>
          <w:w w:val="95"/>
          <w:sz w:val="18"/>
          <w:vertAlign w:val="baseline"/>
        </w:rPr>
        <w:t>，</w:t>
      </w:r>
      <w:r>
        <w:rPr>
          <w:w w:val="95"/>
          <w:sz w:val="18"/>
          <w:vertAlign w:val="baseline"/>
        </w:rPr>
        <w:t>包</w:t>
      </w:r>
      <w:r>
        <w:rPr>
          <w:w w:val="95"/>
          <w:sz w:val="18"/>
          <w:vertAlign w:val="baseline"/>
        </w:rPr>
        <w:t>括</w:t>
      </w:r>
      <w:r>
        <w:rPr>
          <w:w w:val="95"/>
          <w:sz w:val="18"/>
          <w:vertAlign w:val="baseline"/>
        </w:rPr>
        <w:t>普</w:t>
      </w:r>
      <w:r>
        <w:rPr>
          <w:w w:val="95"/>
          <w:sz w:val="18"/>
          <w:vertAlign w:val="baseline"/>
        </w:rPr>
        <w:t>通</w:t>
      </w:r>
      <w:r>
        <w:rPr>
          <w:w w:val="95"/>
          <w:sz w:val="18"/>
          <w:vertAlign w:val="baseline"/>
        </w:rPr>
        <w:t>床</w:t>
      </w:r>
      <w:r>
        <w:rPr>
          <w:w w:val="95"/>
          <w:sz w:val="18"/>
          <w:vertAlign w:val="baseline"/>
        </w:rPr>
        <w:t>位</w:t>
      </w:r>
      <w:r>
        <w:rPr>
          <w:w w:val="95"/>
          <w:sz w:val="18"/>
          <w:vertAlign w:val="baseline"/>
        </w:rPr>
        <w:t>费</w:t>
      </w:r>
      <w:r>
        <w:rPr>
          <w:w w:val="95"/>
          <w:sz w:val="18"/>
          <w:vertAlign w:val="baseline"/>
        </w:rPr>
        <w:t>和</w:t>
      </w:r>
      <w:r>
        <w:rPr>
          <w:w w:val="95"/>
          <w:sz w:val="18"/>
          <w:vertAlign w:val="baseline"/>
        </w:rPr>
        <w:t>重</w:t>
      </w:r>
      <w:r>
        <w:rPr>
          <w:w w:val="95"/>
          <w:sz w:val="18"/>
          <w:vertAlign w:val="baseline"/>
        </w:rPr>
        <w:t>症</w:t>
      </w:r>
      <w:r>
        <w:rPr>
          <w:w w:val="95"/>
          <w:sz w:val="18"/>
          <w:vertAlign w:val="baseline"/>
        </w:rPr>
        <w:t>监</w:t>
      </w:r>
      <w:r>
        <w:rPr>
          <w:w w:val="95"/>
          <w:sz w:val="18"/>
          <w:vertAlign w:val="baseline"/>
        </w:rPr>
        <w:t>护</w:t>
      </w:r>
      <w:r>
        <w:rPr>
          <w:w w:val="95"/>
          <w:sz w:val="18"/>
          <w:vertAlign w:val="baseline"/>
        </w:rPr>
        <w:t>室</w:t>
      </w:r>
      <w:r>
        <w:rPr>
          <w:w w:val="95"/>
          <w:sz w:val="18"/>
          <w:vertAlign w:val="baseline"/>
        </w:rPr>
        <w:t>床</w:t>
      </w:r>
      <w:r>
        <w:rPr>
          <w:w w:val="95"/>
          <w:sz w:val="18"/>
          <w:vertAlign w:val="baseline"/>
        </w:rPr>
        <w:t>位</w:t>
      </w:r>
      <w:r>
        <w:rPr>
          <w:w w:val="95"/>
          <w:sz w:val="18"/>
          <w:vertAlign w:val="baseline"/>
        </w:rPr>
        <w:t>费</w:t>
      </w:r>
      <w:r>
        <w:rPr>
          <w:w w:val="95"/>
          <w:sz w:val="18"/>
          <w:vertAlign w:val="baseline"/>
        </w:rPr>
        <w:t>，</w:t>
      </w:r>
      <w:r>
        <w:rPr>
          <w:rFonts w:ascii="黑体" w:eastAsia="黑体"/>
          <w:color w:val="000000"/>
          <w:w w:val="95"/>
          <w:sz w:val="18"/>
          <w:shd w:fill="D9D9D9" w:color="auto" w:val="clear"/>
          <w:vertAlign w:val="baseline"/>
        </w:rPr>
        <w:t>不</w:t>
      </w:r>
      <w:r>
        <w:rPr>
          <w:rFonts w:ascii="黑体" w:eastAsia="黑体"/>
          <w:color w:val="000000"/>
          <w:w w:val="95"/>
          <w:sz w:val="18"/>
          <w:shd w:fill="D9D9D9" w:color="auto" w:val="clear"/>
          <w:vertAlign w:val="baseline"/>
        </w:rPr>
        <w:t>包</w:t>
      </w:r>
      <w:r>
        <w:rPr>
          <w:rFonts w:ascii="黑体" w:eastAsia="黑体"/>
          <w:color w:val="000000"/>
          <w:spacing w:val="-10"/>
          <w:w w:val="95"/>
          <w:sz w:val="18"/>
          <w:shd w:fill="D9D9D9" w:color="auto" w:val="clear"/>
          <w:vertAlign w:val="baseline"/>
        </w:rPr>
        <w:t>括</w:t>
      </w:r>
    </w:p>
    <w:p>
      <w:pPr>
        <w:spacing w:line="220" w:lineRule="exact" w:before="0"/>
        <w:ind w:left="737" w:right="0" w:firstLine="0"/>
        <w:jc w:val="left"/>
        <w:rPr>
          <w:rFonts w:ascii="黑体" w:eastAsia="黑体"/>
          <w:sz w:val="18"/>
        </w:rPr>
      </w:pPr>
      <w:r>
        <w:rPr>
          <w:rFonts w:ascii="黑体" w:eastAsia="黑体"/>
          <w:color w:val="000000"/>
          <w:spacing w:val="-1"/>
          <w:sz w:val="18"/>
          <w:shd w:fill="D9D9D9" w:color="auto" w:val="clear"/>
        </w:rPr>
        <w:t>陪床、观察床位和家庭病床的费用。</w:t>
      </w:r>
    </w:p>
    <w:p>
      <w:pPr>
        <w:spacing w:line="220" w:lineRule="exact" w:before="0"/>
        <w:ind w:left="737" w:right="0" w:firstLine="0"/>
        <w:jc w:val="left"/>
        <w:rPr>
          <w:sz w:val="18"/>
        </w:rPr>
      </w:pPr>
      <w:r>
        <w:rPr>
          <w:rFonts w:ascii="Times New Roman" w:eastAsia="Times New Roman"/>
          <w:w w:val="95"/>
          <w:sz w:val="18"/>
          <w:vertAlign w:val="superscript"/>
        </w:rPr>
        <w:t>8</w:t>
      </w:r>
      <w:r>
        <w:rPr>
          <w:b/>
          <w:w w:val="95"/>
          <w:sz w:val="18"/>
          <w:vertAlign w:val="baseline"/>
        </w:rPr>
        <w:t>膳</w:t>
      </w:r>
      <w:r>
        <w:rPr>
          <w:b/>
          <w:w w:val="95"/>
          <w:sz w:val="18"/>
          <w:vertAlign w:val="baseline"/>
        </w:rPr>
        <w:t>食</w:t>
      </w:r>
      <w:r>
        <w:rPr>
          <w:b/>
          <w:w w:val="95"/>
          <w:sz w:val="18"/>
          <w:vertAlign w:val="baseline"/>
        </w:rPr>
        <w:t>费：</w:t>
      </w:r>
      <w:r>
        <w:rPr>
          <w:w w:val="95"/>
          <w:sz w:val="18"/>
          <w:vertAlign w:val="baseline"/>
        </w:rPr>
        <w:t>指住</w:t>
      </w:r>
      <w:r>
        <w:rPr>
          <w:w w:val="95"/>
          <w:sz w:val="18"/>
          <w:vertAlign w:val="baseline"/>
        </w:rPr>
        <w:t>院</w:t>
      </w:r>
      <w:r>
        <w:rPr>
          <w:w w:val="95"/>
          <w:sz w:val="18"/>
          <w:vertAlign w:val="baseline"/>
        </w:rPr>
        <w:t>期</w:t>
      </w:r>
      <w:r>
        <w:rPr>
          <w:w w:val="95"/>
          <w:sz w:val="18"/>
          <w:vertAlign w:val="baseline"/>
        </w:rPr>
        <w:t>间</w:t>
      </w:r>
      <w:r>
        <w:rPr>
          <w:w w:val="95"/>
          <w:sz w:val="18"/>
          <w:vertAlign w:val="baseline"/>
        </w:rPr>
        <w:t>根</w:t>
      </w:r>
      <w:r>
        <w:rPr>
          <w:w w:val="95"/>
          <w:sz w:val="18"/>
          <w:vertAlign w:val="baseline"/>
        </w:rPr>
        <w:t>据</w:t>
      </w:r>
      <w:r>
        <w:rPr>
          <w:w w:val="95"/>
          <w:sz w:val="18"/>
          <w:vertAlign w:val="baseline"/>
        </w:rPr>
        <w:t>我</w:t>
      </w:r>
      <w:r>
        <w:rPr>
          <w:w w:val="95"/>
          <w:sz w:val="18"/>
          <w:vertAlign w:val="baseline"/>
        </w:rPr>
        <w:t>们</w:t>
      </w:r>
      <w:r>
        <w:rPr>
          <w:w w:val="95"/>
          <w:sz w:val="18"/>
          <w:vertAlign w:val="baseline"/>
        </w:rPr>
        <w:t>认</w:t>
      </w:r>
      <w:r>
        <w:rPr>
          <w:w w:val="95"/>
          <w:sz w:val="18"/>
          <w:vertAlign w:val="baseline"/>
        </w:rPr>
        <w:t>可</w:t>
      </w:r>
      <w:r>
        <w:rPr>
          <w:w w:val="95"/>
          <w:sz w:val="18"/>
          <w:vertAlign w:val="baseline"/>
        </w:rPr>
        <w:t>的</w:t>
      </w:r>
      <w:r>
        <w:rPr>
          <w:w w:val="95"/>
          <w:sz w:val="18"/>
          <w:vertAlign w:val="baseline"/>
        </w:rPr>
        <w:t>专</w:t>
      </w:r>
      <w:r>
        <w:rPr>
          <w:w w:val="95"/>
          <w:sz w:val="18"/>
          <w:vertAlign w:val="baseline"/>
        </w:rPr>
        <w:t>科</w:t>
      </w:r>
      <w:r>
        <w:rPr>
          <w:w w:val="95"/>
          <w:sz w:val="18"/>
          <w:vertAlign w:val="baseline"/>
        </w:rPr>
        <w:t>医</w:t>
      </w:r>
      <w:r>
        <w:rPr>
          <w:w w:val="95"/>
          <w:sz w:val="18"/>
          <w:vertAlign w:val="baseline"/>
        </w:rPr>
        <w:t>生</w:t>
      </w:r>
      <w:r>
        <w:rPr>
          <w:w w:val="95"/>
          <w:sz w:val="18"/>
          <w:vertAlign w:val="baseline"/>
        </w:rPr>
        <w:t>的</w:t>
      </w:r>
      <w:r>
        <w:rPr>
          <w:w w:val="95"/>
          <w:sz w:val="18"/>
          <w:vertAlign w:val="baseline"/>
        </w:rPr>
        <w:t>医</w:t>
      </w:r>
      <w:r>
        <w:rPr>
          <w:w w:val="95"/>
          <w:sz w:val="18"/>
          <w:vertAlign w:val="baseline"/>
        </w:rPr>
        <w:t>嘱</w:t>
      </w:r>
      <w:r>
        <w:rPr>
          <w:w w:val="95"/>
          <w:sz w:val="18"/>
          <w:vertAlign w:val="baseline"/>
        </w:rPr>
        <w:t>，</w:t>
      </w:r>
      <w:r>
        <w:rPr>
          <w:w w:val="95"/>
          <w:sz w:val="18"/>
          <w:vertAlign w:val="baseline"/>
        </w:rPr>
        <w:t>由</w:t>
      </w:r>
      <w:r>
        <w:rPr>
          <w:w w:val="95"/>
          <w:sz w:val="18"/>
          <w:vertAlign w:val="baseline"/>
        </w:rPr>
        <w:t>作</w:t>
      </w:r>
      <w:r>
        <w:rPr>
          <w:w w:val="95"/>
          <w:sz w:val="18"/>
          <w:vertAlign w:val="baseline"/>
        </w:rPr>
        <w:t>为</w:t>
      </w:r>
      <w:r>
        <w:rPr>
          <w:w w:val="95"/>
          <w:sz w:val="18"/>
          <w:vertAlign w:val="baseline"/>
        </w:rPr>
        <w:t>医</w:t>
      </w:r>
      <w:r>
        <w:rPr>
          <w:w w:val="95"/>
          <w:sz w:val="18"/>
          <w:vertAlign w:val="baseline"/>
        </w:rPr>
        <w:t>院</w:t>
      </w:r>
      <w:r>
        <w:rPr>
          <w:w w:val="95"/>
          <w:sz w:val="18"/>
          <w:vertAlign w:val="baseline"/>
        </w:rPr>
        <w:t>内</w:t>
      </w:r>
      <w:r>
        <w:rPr>
          <w:w w:val="95"/>
          <w:sz w:val="18"/>
          <w:vertAlign w:val="baseline"/>
        </w:rPr>
        <w:t>部</w:t>
      </w:r>
      <w:r>
        <w:rPr>
          <w:w w:val="95"/>
          <w:sz w:val="18"/>
          <w:vertAlign w:val="baseline"/>
        </w:rPr>
        <w:t>专</w:t>
      </w:r>
      <w:r>
        <w:rPr>
          <w:w w:val="95"/>
          <w:sz w:val="18"/>
          <w:vertAlign w:val="baseline"/>
        </w:rPr>
        <w:t>属</w:t>
      </w:r>
      <w:r>
        <w:rPr>
          <w:w w:val="95"/>
          <w:sz w:val="18"/>
          <w:vertAlign w:val="baseline"/>
        </w:rPr>
        <w:t>部</w:t>
      </w:r>
      <w:r>
        <w:rPr>
          <w:w w:val="95"/>
          <w:sz w:val="18"/>
          <w:vertAlign w:val="baseline"/>
        </w:rPr>
        <w:t>门</w:t>
      </w:r>
      <w:r>
        <w:rPr>
          <w:w w:val="95"/>
          <w:sz w:val="18"/>
          <w:vertAlign w:val="baseline"/>
        </w:rPr>
        <w:t>的</w:t>
      </w:r>
      <w:r>
        <w:rPr>
          <w:w w:val="95"/>
          <w:sz w:val="18"/>
          <w:vertAlign w:val="baseline"/>
        </w:rPr>
        <w:t>、</w:t>
      </w:r>
      <w:r>
        <w:rPr>
          <w:w w:val="95"/>
          <w:sz w:val="18"/>
          <w:vertAlign w:val="baseline"/>
        </w:rPr>
        <w:t>为</w:t>
      </w:r>
      <w:r>
        <w:rPr>
          <w:w w:val="95"/>
          <w:sz w:val="18"/>
          <w:vertAlign w:val="baseline"/>
        </w:rPr>
        <w:t>住</w:t>
      </w:r>
      <w:r>
        <w:rPr>
          <w:w w:val="95"/>
          <w:sz w:val="18"/>
          <w:vertAlign w:val="baseline"/>
        </w:rPr>
        <w:t>院</w:t>
      </w:r>
      <w:r>
        <w:rPr>
          <w:w w:val="95"/>
          <w:sz w:val="18"/>
          <w:vertAlign w:val="baseline"/>
        </w:rPr>
        <w:t>病</w:t>
      </w:r>
      <w:r>
        <w:rPr>
          <w:w w:val="95"/>
          <w:sz w:val="18"/>
          <w:vertAlign w:val="baseline"/>
        </w:rPr>
        <w:t>人</w:t>
      </w:r>
      <w:r>
        <w:rPr>
          <w:w w:val="95"/>
          <w:sz w:val="18"/>
          <w:vertAlign w:val="baseline"/>
        </w:rPr>
        <w:t>配</w:t>
      </w:r>
      <w:r>
        <w:rPr>
          <w:w w:val="95"/>
          <w:sz w:val="18"/>
          <w:vertAlign w:val="baseline"/>
        </w:rPr>
        <w:t>餐</w:t>
      </w:r>
      <w:r>
        <w:rPr>
          <w:spacing w:val="-10"/>
          <w:w w:val="95"/>
          <w:sz w:val="18"/>
          <w:vertAlign w:val="baseline"/>
        </w:rPr>
        <w:t>的</w:t>
      </w:r>
    </w:p>
    <w:p>
      <w:pPr>
        <w:spacing w:line="230" w:lineRule="auto" w:before="0"/>
        <w:ind w:left="737" w:right="764" w:firstLine="0"/>
        <w:jc w:val="left"/>
        <w:rPr>
          <w:sz w:val="18"/>
        </w:rPr>
      </w:pPr>
      <w:r>
        <w:rPr>
          <w:spacing w:val="-2"/>
          <w:sz w:val="18"/>
        </w:rPr>
        <w:t>食堂配送的膳食费用。膳食费应包含在医疗账单内；根据各医院的惯例，可以作为独立的款项、也可以合</w:t>
      </w:r>
      <w:r>
        <w:rPr>
          <w:spacing w:val="-2"/>
          <w:sz w:val="18"/>
        </w:rPr>
        <w:t>并在病房费等其他款项内。</w:t>
      </w:r>
    </w:p>
    <w:p>
      <w:pPr>
        <w:spacing w:line="216" w:lineRule="exact" w:before="0"/>
        <w:ind w:left="737" w:right="0" w:firstLine="0"/>
        <w:jc w:val="left"/>
        <w:rPr>
          <w:sz w:val="18"/>
        </w:rPr>
      </w:pPr>
      <w:r>
        <w:rPr>
          <w:rFonts w:ascii="Times New Roman" w:eastAsia="Times New Roman"/>
          <w:w w:val="95"/>
          <w:sz w:val="18"/>
          <w:vertAlign w:val="superscript"/>
        </w:rPr>
        <w:t>9</w:t>
      </w:r>
      <w:r>
        <w:rPr>
          <w:b/>
          <w:w w:val="95"/>
          <w:sz w:val="18"/>
          <w:vertAlign w:val="baseline"/>
        </w:rPr>
        <w:t>护</w:t>
      </w:r>
      <w:r>
        <w:rPr>
          <w:b/>
          <w:w w:val="95"/>
          <w:sz w:val="18"/>
          <w:vertAlign w:val="baseline"/>
        </w:rPr>
        <w:t>理</w:t>
      </w:r>
      <w:r>
        <w:rPr>
          <w:b/>
          <w:w w:val="95"/>
          <w:sz w:val="18"/>
          <w:vertAlign w:val="baseline"/>
        </w:rPr>
        <w:t>费：</w:t>
      </w:r>
      <w:r>
        <w:rPr>
          <w:w w:val="95"/>
          <w:sz w:val="18"/>
          <w:vertAlign w:val="baseline"/>
        </w:rPr>
        <w:t>指根</w:t>
      </w:r>
      <w:r>
        <w:rPr>
          <w:w w:val="95"/>
          <w:sz w:val="18"/>
          <w:vertAlign w:val="baseline"/>
        </w:rPr>
        <w:t>据</w:t>
      </w:r>
      <w:r>
        <w:rPr>
          <w:w w:val="95"/>
          <w:sz w:val="18"/>
          <w:vertAlign w:val="baseline"/>
        </w:rPr>
        <w:t>我</w:t>
      </w:r>
      <w:r>
        <w:rPr>
          <w:w w:val="95"/>
          <w:sz w:val="18"/>
          <w:vertAlign w:val="baseline"/>
        </w:rPr>
        <w:t>们</w:t>
      </w:r>
      <w:r>
        <w:rPr>
          <w:w w:val="95"/>
          <w:sz w:val="18"/>
          <w:vertAlign w:val="baseline"/>
        </w:rPr>
        <w:t>认</w:t>
      </w:r>
      <w:r>
        <w:rPr>
          <w:w w:val="95"/>
          <w:sz w:val="18"/>
          <w:vertAlign w:val="baseline"/>
        </w:rPr>
        <w:t>可</w:t>
      </w:r>
      <w:r>
        <w:rPr>
          <w:w w:val="95"/>
          <w:sz w:val="18"/>
          <w:vertAlign w:val="baseline"/>
        </w:rPr>
        <w:t>的</w:t>
      </w:r>
      <w:r>
        <w:rPr>
          <w:w w:val="95"/>
          <w:sz w:val="18"/>
          <w:vertAlign w:val="baseline"/>
        </w:rPr>
        <w:t>专</w:t>
      </w:r>
      <w:r>
        <w:rPr>
          <w:w w:val="95"/>
          <w:sz w:val="18"/>
          <w:vertAlign w:val="baseline"/>
        </w:rPr>
        <w:t>科</w:t>
      </w:r>
      <w:r>
        <w:rPr>
          <w:w w:val="95"/>
          <w:sz w:val="18"/>
          <w:vertAlign w:val="baseline"/>
        </w:rPr>
        <w:t>医</w:t>
      </w:r>
      <w:r>
        <w:rPr>
          <w:w w:val="95"/>
          <w:sz w:val="18"/>
          <w:vertAlign w:val="baseline"/>
        </w:rPr>
        <w:t>生</w:t>
      </w:r>
      <w:r>
        <w:rPr>
          <w:w w:val="95"/>
          <w:sz w:val="18"/>
          <w:vertAlign w:val="baseline"/>
        </w:rPr>
        <w:t>的</w:t>
      </w:r>
      <w:r>
        <w:rPr>
          <w:w w:val="95"/>
          <w:sz w:val="18"/>
          <w:vertAlign w:val="baseline"/>
        </w:rPr>
        <w:t>医</w:t>
      </w:r>
      <w:r>
        <w:rPr>
          <w:w w:val="95"/>
          <w:sz w:val="18"/>
          <w:vertAlign w:val="baseline"/>
        </w:rPr>
        <w:t>嘱</w:t>
      </w:r>
      <w:r>
        <w:rPr>
          <w:w w:val="95"/>
          <w:sz w:val="18"/>
          <w:vertAlign w:val="baseline"/>
        </w:rPr>
        <w:t>所</w:t>
      </w:r>
      <w:r>
        <w:rPr>
          <w:w w:val="95"/>
          <w:sz w:val="18"/>
          <w:vertAlign w:val="baseline"/>
        </w:rPr>
        <w:t>示</w:t>
      </w:r>
      <w:r>
        <w:rPr>
          <w:w w:val="95"/>
          <w:sz w:val="18"/>
          <w:vertAlign w:val="baseline"/>
        </w:rPr>
        <w:t>的</w:t>
      </w:r>
      <w:r>
        <w:rPr>
          <w:w w:val="95"/>
          <w:sz w:val="18"/>
          <w:vertAlign w:val="baseline"/>
        </w:rPr>
        <w:t>护</w:t>
      </w:r>
      <w:r>
        <w:rPr>
          <w:w w:val="95"/>
          <w:sz w:val="18"/>
          <w:vertAlign w:val="baseline"/>
        </w:rPr>
        <w:t>理</w:t>
      </w:r>
      <w:r>
        <w:rPr>
          <w:w w:val="95"/>
          <w:sz w:val="18"/>
          <w:vertAlign w:val="baseline"/>
        </w:rPr>
        <w:t>等</w:t>
      </w:r>
      <w:r>
        <w:rPr>
          <w:w w:val="95"/>
          <w:sz w:val="18"/>
          <w:vertAlign w:val="baseline"/>
        </w:rPr>
        <w:t>级</w:t>
      </w:r>
      <w:r>
        <w:rPr>
          <w:w w:val="95"/>
          <w:sz w:val="18"/>
          <w:vertAlign w:val="baseline"/>
        </w:rPr>
        <w:t>确</w:t>
      </w:r>
      <w:r>
        <w:rPr>
          <w:w w:val="95"/>
          <w:sz w:val="18"/>
          <w:vertAlign w:val="baseline"/>
        </w:rPr>
        <w:t>定</w:t>
      </w:r>
      <w:r>
        <w:rPr>
          <w:w w:val="95"/>
          <w:sz w:val="18"/>
          <w:vertAlign w:val="baseline"/>
        </w:rPr>
        <w:t>的</w:t>
      </w:r>
      <w:r>
        <w:rPr>
          <w:w w:val="95"/>
          <w:sz w:val="18"/>
          <w:vertAlign w:val="baseline"/>
        </w:rPr>
        <w:t>护</w:t>
      </w:r>
      <w:r>
        <w:rPr>
          <w:w w:val="95"/>
          <w:sz w:val="18"/>
          <w:vertAlign w:val="baseline"/>
        </w:rPr>
        <w:t>理</w:t>
      </w:r>
      <w:r>
        <w:rPr>
          <w:w w:val="95"/>
          <w:sz w:val="18"/>
          <w:vertAlign w:val="baseline"/>
        </w:rPr>
        <w:t>费</w:t>
      </w:r>
      <w:r>
        <w:rPr>
          <w:w w:val="95"/>
          <w:sz w:val="18"/>
          <w:vertAlign w:val="baseline"/>
        </w:rPr>
        <w:t>用</w:t>
      </w:r>
      <w:r>
        <w:rPr>
          <w:spacing w:val="-10"/>
          <w:w w:val="95"/>
          <w:sz w:val="18"/>
          <w:vertAlign w:val="baseline"/>
        </w:rPr>
        <w:t>。</w:t>
      </w:r>
    </w:p>
    <w:p>
      <w:pPr>
        <w:spacing w:line="220" w:lineRule="exact" w:before="0"/>
        <w:ind w:left="737" w:right="0" w:firstLine="0"/>
        <w:jc w:val="left"/>
        <w:rPr>
          <w:sz w:val="18"/>
        </w:rPr>
      </w:pPr>
      <w:r>
        <w:rPr>
          <w:rFonts w:ascii="Times New Roman" w:eastAsia="Times New Roman"/>
          <w:w w:val="95"/>
          <w:sz w:val="18"/>
          <w:vertAlign w:val="superscript"/>
        </w:rPr>
        <w:t>10</w:t>
      </w:r>
      <w:r>
        <w:rPr>
          <w:b/>
          <w:w w:val="95"/>
          <w:sz w:val="18"/>
          <w:vertAlign w:val="baseline"/>
        </w:rPr>
        <w:t>检</w:t>
      </w:r>
      <w:r>
        <w:rPr>
          <w:b/>
          <w:w w:val="95"/>
          <w:sz w:val="18"/>
          <w:vertAlign w:val="baseline"/>
        </w:rPr>
        <w:t>查</w:t>
      </w:r>
      <w:r>
        <w:rPr>
          <w:b/>
          <w:w w:val="95"/>
          <w:sz w:val="18"/>
          <w:vertAlign w:val="baseline"/>
        </w:rPr>
        <w:t>检验费：</w:t>
      </w:r>
      <w:r>
        <w:rPr>
          <w:w w:val="95"/>
          <w:sz w:val="18"/>
          <w:vertAlign w:val="baseline"/>
        </w:rPr>
        <w:t>指</w:t>
      </w:r>
      <w:r>
        <w:rPr>
          <w:w w:val="95"/>
          <w:sz w:val="18"/>
          <w:vertAlign w:val="baseline"/>
        </w:rPr>
        <w:t>住</w:t>
      </w:r>
      <w:r>
        <w:rPr>
          <w:w w:val="95"/>
          <w:sz w:val="18"/>
          <w:vertAlign w:val="baseline"/>
        </w:rPr>
        <w:t>院</w:t>
      </w:r>
      <w:r>
        <w:rPr>
          <w:w w:val="95"/>
          <w:sz w:val="18"/>
          <w:vertAlign w:val="baseline"/>
        </w:rPr>
        <w:t>期</w:t>
      </w:r>
      <w:r>
        <w:rPr>
          <w:w w:val="95"/>
          <w:sz w:val="18"/>
          <w:vertAlign w:val="baseline"/>
        </w:rPr>
        <w:t>间</w:t>
      </w:r>
      <w:r>
        <w:rPr>
          <w:w w:val="95"/>
          <w:sz w:val="18"/>
          <w:vertAlign w:val="baseline"/>
        </w:rPr>
        <w:t>实</w:t>
      </w:r>
      <w:r>
        <w:rPr>
          <w:w w:val="95"/>
          <w:sz w:val="18"/>
          <w:vertAlign w:val="baseline"/>
        </w:rPr>
        <w:t>际</w:t>
      </w:r>
      <w:r>
        <w:rPr>
          <w:w w:val="95"/>
          <w:sz w:val="18"/>
          <w:vertAlign w:val="baseline"/>
        </w:rPr>
        <w:t>发</w:t>
      </w:r>
      <w:r>
        <w:rPr>
          <w:w w:val="95"/>
          <w:sz w:val="18"/>
          <w:vertAlign w:val="baseline"/>
        </w:rPr>
        <w:t>生</w:t>
      </w:r>
      <w:r>
        <w:rPr>
          <w:w w:val="95"/>
          <w:sz w:val="18"/>
          <w:vertAlign w:val="baseline"/>
        </w:rPr>
        <w:t>的</w:t>
      </w:r>
      <w:r>
        <w:rPr>
          <w:w w:val="95"/>
          <w:sz w:val="18"/>
          <w:vertAlign w:val="baseline"/>
        </w:rPr>
        <w:t>、</w:t>
      </w:r>
      <w:r>
        <w:rPr>
          <w:w w:val="95"/>
          <w:sz w:val="18"/>
          <w:vertAlign w:val="baseline"/>
        </w:rPr>
        <w:t>以</w:t>
      </w:r>
      <w:r>
        <w:rPr>
          <w:w w:val="95"/>
          <w:sz w:val="18"/>
          <w:vertAlign w:val="baseline"/>
        </w:rPr>
        <w:t>诊</w:t>
      </w:r>
      <w:r>
        <w:rPr>
          <w:w w:val="95"/>
          <w:sz w:val="18"/>
          <w:vertAlign w:val="baseline"/>
        </w:rPr>
        <w:t>断</w:t>
      </w:r>
      <w:r>
        <w:rPr>
          <w:w w:val="95"/>
          <w:sz w:val="18"/>
          <w:vertAlign w:val="baseline"/>
        </w:rPr>
        <w:t>疾</w:t>
      </w:r>
      <w:r>
        <w:rPr>
          <w:w w:val="95"/>
          <w:sz w:val="18"/>
          <w:vertAlign w:val="baseline"/>
        </w:rPr>
        <w:t>病</w:t>
      </w:r>
      <w:r>
        <w:rPr>
          <w:w w:val="95"/>
          <w:sz w:val="18"/>
          <w:vertAlign w:val="baseline"/>
        </w:rPr>
        <w:t>为</w:t>
      </w:r>
      <w:r>
        <w:rPr>
          <w:w w:val="95"/>
          <w:sz w:val="18"/>
          <w:vertAlign w:val="baseline"/>
        </w:rPr>
        <w:t>目</w:t>
      </w:r>
      <w:r>
        <w:rPr>
          <w:w w:val="95"/>
          <w:sz w:val="18"/>
          <w:vertAlign w:val="baseline"/>
        </w:rPr>
        <w:t>的</w:t>
      </w:r>
      <w:r>
        <w:rPr>
          <w:w w:val="95"/>
          <w:sz w:val="18"/>
          <w:vertAlign w:val="baseline"/>
        </w:rPr>
        <w:t>，</w:t>
      </w:r>
      <w:r>
        <w:rPr>
          <w:w w:val="95"/>
          <w:sz w:val="18"/>
          <w:vertAlign w:val="baseline"/>
        </w:rPr>
        <w:t>采</w:t>
      </w:r>
      <w:r>
        <w:rPr>
          <w:w w:val="95"/>
          <w:sz w:val="18"/>
          <w:vertAlign w:val="baseline"/>
        </w:rPr>
        <w:t>取</w:t>
      </w:r>
      <w:r>
        <w:rPr>
          <w:w w:val="95"/>
          <w:sz w:val="18"/>
          <w:vertAlign w:val="baseline"/>
        </w:rPr>
        <w:t>必</w:t>
      </w:r>
      <w:r>
        <w:rPr>
          <w:w w:val="95"/>
          <w:sz w:val="18"/>
          <w:vertAlign w:val="baseline"/>
        </w:rPr>
        <w:t>要</w:t>
      </w:r>
      <w:r>
        <w:rPr>
          <w:w w:val="95"/>
          <w:sz w:val="18"/>
          <w:vertAlign w:val="baseline"/>
        </w:rPr>
        <w:t>的</w:t>
      </w:r>
      <w:r>
        <w:rPr>
          <w:w w:val="95"/>
          <w:sz w:val="18"/>
          <w:vertAlign w:val="baseline"/>
        </w:rPr>
        <w:t>医</w:t>
      </w:r>
      <w:r>
        <w:rPr>
          <w:w w:val="95"/>
          <w:sz w:val="18"/>
          <w:vertAlign w:val="baseline"/>
        </w:rPr>
        <w:t>学</w:t>
      </w:r>
      <w:r>
        <w:rPr>
          <w:w w:val="95"/>
          <w:sz w:val="18"/>
          <w:vertAlign w:val="baseline"/>
        </w:rPr>
        <w:t>手</w:t>
      </w:r>
      <w:r>
        <w:rPr>
          <w:w w:val="95"/>
          <w:sz w:val="18"/>
          <w:vertAlign w:val="baseline"/>
        </w:rPr>
        <w:t>段</w:t>
      </w:r>
      <w:r>
        <w:rPr>
          <w:w w:val="95"/>
          <w:sz w:val="18"/>
          <w:vertAlign w:val="baseline"/>
        </w:rPr>
        <w:t>进</w:t>
      </w:r>
      <w:r>
        <w:rPr>
          <w:w w:val="95"/>
          <w:sz w:val="18"/>
          <w:vertAlign w:val="baseline"/>
        </w:rPr>
        <w:t>行</w:t>
      </w:r>
      <w:r>
        <w:rPr>
          <w:w w:val="95"/>
          <w:sz w:val="18"/>
          <w:vertAlign w:val="baseline"/>
        </w:rPr>
        <w:t>检</w:t>
      </w:r>
      <w:r>
        <w:rPr>
          <w:w w:val="95"/>
          <w:sz w:val="18"/>
          <w:vertAlign w:val="baseline"/>
        </w:rPr>
        <w:t>查</w:t>
      </w:r>
      <w:r>
        <w:rPr>
          <w:w w:val="95"/>
          <w:sz w:val="18"/>
          <w:vertAlign w:val="baseline"/>
        </w:rPr>
        <w:t>及</w:t>
      </w:r>
      <w:r>
        <w:rPr>
          <w:w w:val="95"/>
          <w:sz w:val="18"/>
          <w:vertAlign w:val="baseline"/>
        </w:rPr>
        <w:t>检</w:t>
      </w:r>
      <w:r>
        <w:rPr>
          <w:w w:val="95"/>
          <w:sz w:val="18"/>
          <w:vertAlign w:val="baseline"/>
        </w:rPr>
        <w:t>验</w:t>
      </w:r>
      <w:r>
        <w:rPr>
          <w:w w:val="95"/>
          <w:sz w:val="18"/>
          <w:vertAlign w:val="baseline"/>
        </w:rPr>
        <w:t>而</w:t>
      </w:r>
      <w:r>
        <w:rPr>
          <w:w w:val="95"/>
          <w:sz w:val="18"/>
          <w:vertAlign w:val="baseline"/>
        </w:rPr>
        <w:t>发</w:t>
      </w:r>
      <w:r>
        <w:rPr>
          <w:spacing w:val="-10"/>
          <w:w w:val="95"/>
          <w:sz w:val="18"/>
          <w:vertAlign w:val="baseline"/>
        </w:rPr>
        <w:t>生</w:t>
      </w:r>
    </w:p>
    <w:p>
      <w:pPr>
        <w:spacing w:line="228" w:lineRule="auto" w:before="2"/>
        <w:ind w:left="737" w:right="739" w:firstLine="0"/>
        <w:jc w:val="left"/>
        <w:rPr>
          <w:sz w:val="18"/>
        </w:rPr>
      </w:pPr>
      <w:r>
        <w:rPr>
          <w:spacing w:val="4"/>
          <w:sz w:val="18"/>
        </w:rPr>
        <w:t>的合理的医疗费用，包括</w:t>
      </w:r>
      <w:r>
        <w:rPr>
          <w:rFonts w:ascii="Times New Roman" w:eastAsia="Times New Roman"/>
          <w:sz w:val="18"/>
        </w:rPr>
        <w:t>X</w:t>
      </w:r>
      <w:r>
        <w:rPr>
          <w:rFonts w:ascii="Times New Roman" w:eastAsia="Times New Roman"/>
          <w:spacing w:val="-12"/>
          <w:sz w:val="18"/>
        </w:rPr>
        <w:t> </w:t>
      </w:r>
      <w:r>
        <w:rPr>
          <w:sz w:val="18"/>
        </w:rPr>
        <w:t>光费、心电图费、</w:t>
      </w:r>
      <w:r>
        <w:rPr>
          <w:rFonts w:ascii="Times New Roman" w:eastAsia="Times New Roman"/>
          <w:sz w:val="18"/>
        </w:rPr>
        <w:t>B</w:t>
      </w:r>
      <w:r>
        <w:rPr>
          <w:rFonts w:ascii="Times New Roman" w:eastAsia="Times New Roman"/>
          <w:spacing w:val="-11"/>
          <w:sz w:val="18"/>
        </w:rPr>
        <w:t> </w:t>
      </w:r>
      <w:r>
        <w:rPr>
          <w:sz w:val="18"/>
        </w:rPr>
        <w:t>超费、脑电图费、内窥镜费、肺功能仪费、分子生化检验</w:t>
      </w:r>
      <w:r>
        <w:rPr>
          <w:spacing w:val="-2"/>
          <w:sz w:val="18"/>
        </w:rPr>
        <w:t>费和血、尿、便常规检验费等。</w:t>
      </w:r>
    </w:p>
    <w:p>
      <w:pPr>
        <w:spacing w:line="218" w:lineRule="exact" w:before="0"/>
        <w:ind w:left="737" w:right="0" w:firstLine="0"/>
        <w:jc w:val="left"/>
        <w:rPr>
          <w:sz w:val="18"/>
        </w:rPr>
      </w:pPr>
      <w:r>
        <w:rPr>
          <w:rFonts w:ascii="Times New Roman" w:eastAsia="Times New Roman"/>
          <w:w w:val="95"/>
          <w:sz w:val="18"/>
          <w:vertAlign w:val="superscript"/>
        </w:rPr>
        <w:t>11</w:t>
      </w:r>
      <w:r>
        <w:rPr>
          <w:b/>
          <w:w w:val="95"/>
          <w:sz w:val="18"/>
          <w:vertAlign w:val="baseline"/>
        </w:rPr>
        <w:t>手</w:t>
      </w:r>
      <w:r>
        <w:rPr>
          <w:b/>
          <w:w w:val="95"/>
          <w:sz w:val="18"/>
          <w:vertAlign w:val="baseline"/>
        </w:rPr>
        <w:t>术</w:t>
      </w:r>
      <w:r>
        <w:rPr>
          <w:b/>
          <w:w w:val="95"/>
          <w:sz w:val="18"/>
          <w:vertAlign w:val="baseline"/>
        </w:rPr>
        <w:t>费</w:t>
      </w:r>
      <w:r>
        <w:rPr>
          <w:b/>
          <w:w w:val="95"/>
          <w:sz w:val="18"/>
          <w:vertAlign w:val="baseline"/>
        </w:rPr>
        <w:t>用</w:t>
      </w:r>
      <w:r>
        <w:rPr>
          <w:b/>
          <w:w w:val="95"/>
          <w:sz w:val="18"/>
          <w:vertAlign w:val="baseline"/>
        </w:rPr>
        <w:t>：</w:t>
      </w:r>
      <w:r>
        <w:rPr>
          <w:w w:val="95"/>
          <w:sz w:val="18"/>
          <w:vertAlign w:val="baseline"/>
        </w:rPr>
        <w:t>指</w:t>
      </w:r>
      <w:r>
        <w:rPr>
          <w:w w:val="95"/>
          <w:sz w:val="18"/>
          <w:vertAlign w:val="baseline"/>
        </w:rPr>
        <w:t>当</w:t>
      </w:r>
      <w:r>
        <w:rPr>
          <w:w w:val="95"/>
          <w:sz w:val="18"/>
          <w:vertAlign w:val="baseline"/>
        </w:rPr>
        <w:t>地</w:t>
      </w:r>
      <w:r>
        <w:rPr>
          <w:w w:val="95"/>
          <w:sz w:val="18"/>
          <w:vertAlign w:val="baseline"/>
        </w:rPr>
        <w:t>卫</w:t>
      </w:r>
      <w:r>
        <w:rPr>
          <w:w w:val="95"/>
          <w:sz w:val="18"/>
          <w:vertAlign w:val="baseline"/>
        </w:rPr>
        <w:t>生</w:t>
      </w:r>
      <w:r>
        <w:rPr>
          <w:w w:val="95"/>
          <w:sz w:val="18"/>
          <w:vertAlign w:val="baseline"/>
        </w:rPr>
        <w:t>行</w:t>
      </w:r>
      <w:r>
        <w:rPr>
          <w:w w:val="95"/>
          <w:sz w:val="18"/>
          <w:vertAlign w:val="baseline"/>
        </w:rPr>
        <w:t>政</w:t>
      </w:r>
      <w:r>
        <w:rPr>
          <w:w w:val="95"/>
          <w:sz w:val="18"/>
          <w:vertAlign w:val="baseline"/>
        </w:rPr>
        <w:t>部</w:t>
      </w:r>
      <w:r>
        <w:rPr>
          <w:w w:val="95"/>
          <w:sz w:val="18"/>
          <w:vertAlign w:val="baseline"/>
        </w:rPr>
        <w:t>门</w:t>
      </w:r>
      <w:r>
        <w:rPr>
          <w:w w:val="95"/>
          <w:sz w:val="18"/>
          <w:vertAlign w:val="baseline"/>
        </w:rPr>
        <w:t>规</w:t>
      </w:r>
      <w:r>
        <w:rPr>
          <w:w w:val="95"/>
          <w:sz w:val="18"/>
          <w:vertAlign w:val="baseline"/>
        </w:rPr>
        <w:t>定</w:t>
      </w:r>
      <w:r>
        <w:rPr>
          <w:w w:val="95"/>
          <w:sz w:val="18"/>
          <w:vertAlign w:val="baseline"/>
        </w:rPr>
        <w:t>的</w:t>
      </w:r>
      <w:r>
        <w:rPr>
          <w:w w:val="95"/>
          <w:sz w:val="18"/>
          <w:vertAlign w:val="baseline"/>
        </w:rPr>
        <w:t>手</w:t>
      </w:r>
      <w:r>
        <w:rPr>
          <w:w w:val="95"/>
          <w:sz w:val="18"/>
          <w:vertAlign w:val="baseline"/>
        </w:rPr>
        <w:t>术</w:t>
      </w:r>
      <w:r>
        <w:rPr>
          <w:w w:val="95"/>
          <w:sz w:val="18"/>
          <w:vertAlign w:val="baseline"/>
        </w:rPr>
        <w:t>项</w:t>
      </w:r>
      <w:r>
        <w:rPr>
          <w:w w:val="95"/>
          <w:sz w:val="18"/>
          <w:vertAlign w:val="baseline"/>
        </w:rPr>
        <w:t>目</w:t>
      </w:r>
      <w:r>
        <w:rPr>
          <w:w w:val="95"/>
          <w:sz w:val="18"/>
          <w:vertAlign w:val="baseline"/>
        </w:rPr>
        <w:t>的</w:t>
      </w:r>
      <w:r>
        <w:rPr>
          <w:w w:val="95"/>
          <w:sz w:val="18"/>
          <w:vertAlign w:val="baseline"/>
        </w:rPr>
        <w:t>费</w:t>
      </w:r>
      <w:r>
        <w:rPr>
          <w:w w:val="95"/>
          <w:sz w:val="18"/>
          <w:vertAlign w:val="baseline"/>
        </w:rPr>
        <w:t>用</w:t>
      </w:r>
      <w:r>
        <w:rPr>
          <w:w w:val="95"/>
          <w:sz w:val="18"/>
          <w:vertAlign w:val="baseline"/>
        </w:rPr>
        <w:t>。</w:t>
      </w:r>
      <w:r>
        <w:rPr>
          <w:w w:val="95"/>
          <w:sz w:val="18"/>
          <w:vertAlign w:val="baseline"/>
        </w:rPr>
        <w:t>包</w:t>
      </w:r>
      <w:r>
        <w:rPr>
          <w:w w:val="95"/>
          <w:sz w:val="18"/>
          <w:vertAlign w:val="baseline"/>
        </w:rPr>
        <w:t>括</w:t>
      </w:r>
      <w:r>
        <w:rPr>
          <w:w w:val="95"/>
          <w:sz w:val="18"/>
          <w:vertAlign w:val="baseline"/>
        </w:rPr>
        <w:t>手</w:t>
      </w:r>
      <w:r>
        <w:rPr>
          <w:w w:val="95"/>
          <w:sz w:val="18"/>
          <w:vertAlign w:val="baseline"/>
        </w:rPr>
        <w:t>术</w:t>
      </w:r>
      <w:r>
        <w:rPr>
          <w:w w:val="95"/>
          <w:sz w:val="18"/>
          <w:vertAlign w:val="baseline"/>
        </w:rPr>
        <w:t>费</w:t>
      </w:r>
      <w:r>
        <w:rPr>
          <w:w w:val="95"/>
          <w:sz w:val="18"/>
          <w:vertAlign w:val="baseline"/>
        </w:rPr>
        <w:t>、</w:t>
      </w:r>
      <w:r>
        <w:rPr>
          <w:w w:val="95"/>
          <w:sz w:val="18"/>
          <w:vertAlign w:val="baseline"/>
        </w:rPr>
        <w:t>麻</w:t>
      </w:r>
      <w:r>
        <w:rPr>
          <w:w w:val="95"/>
          <w:sz w:val="18"/>
          <w:vertAlign w:val="baseline"/>
        </w:rPr>
        <w:t>醉</w:t>
      </w:r>
      <w:r>
        <w:rPr>
          <w:w w:val="95"/>
          <w:sz w:val="18"/>
          <w:vertAlign w:val="baseline"/>
        </w:rPr>
        <w:t>费</w:t>
      </w:r>
      <w:r>
        <w:rPr>
          <w:w w:val="95"/>
          <w:sz w:val="18"/>
          <w:vertAlign w:val="baseline"/>
        </w:rPr>
        <w:t>、</w:t>
      </w:r>
      <w:r>
        <w:rPr>
          <w:w w:val="95"/>
          <w:sz w:val="18"/>
          <w:vertAlign w:val="baseline"/>
        </w:rPr>
        <w:t>手</w:t>
      </w:r>
      <w:r>
        <w:rPr>
          <w:w w:val="95"/>
          <w:sz w:val="18"/>
          <w:vertAlign w:val="baseline"/>
        </w:rPr>
        <w:t>术</w:t>
      </w:r>
      <w:r>
        <w:rPr>
          <w:w w:val="95"/>
          <w:sz w:val="18"/>
          <w:vertAlign w:val="baseline"/>
        </w:rPr>
        <w:t>监</w:t>
      </w:r>
      <w:r>
        <w:rPr>
          <w:w w:val="95"/>
          <w:sz w:val="18"/>
          <w:vertAlign w:val="baseline"/>
        </w:rPr>
        <w:t>测</w:t>
      </w:r>
      <w:r>
        <w:rPr>
          <w:w w:val="95"/>
          <w:sz w:val="18"/>
          <w:vertAlign w:val="baseline"/>
        </w:rPr>
        <w:t>费</w:t>
      </w:r>
      <w:r>
        <w:rPr>
          <w:w w:val="95"/>
          <w:sz w:val="18"/>
          <w:vertAlign w:val="baseline"/>
        </w:rPr>
        <w:t>、</w:t>
      </w:r>
      <w:r>
        <w:rPr>
          <w:w w:val="95"/>
          <w:sz w:val="18"/>
          <w:vertAlign w:val="baseline"/>
        </w:rPr>
        <w:t>手</w:t>
      </w:r>
      <w:r>
        <w:rPr>
          <w:w w:val="95"/>
          <w:sz w:val="18"/>
          <w:vertAlign w:val="baseline"/>
        </w:rPr>
        <w:t>术</w:t>
      </w:r>
      <w:r>
        <w:rPr>
          <w:w w:val="95"/>
          <w:sz w:val="18"/>
          <w:vertAlign w:val="baseline"/>
        </w:rPr>
        <w:t>材</w:t>
      </w:r>
      <w:r>
        <w:rPr>
          <w:spacing w:val="-10"/>
          <w:w w:val="95"/>
          <w:sz w:val="18"/>
          <w:vertAlign w:val="baseline"/>
        </w:rPr>
        <w:t>料</w:t>
      </w:r>
    </w:p>
    <w:p>
      <w:pPr>
        <w:spacing w:line="220" w:lineRule="exact" w:before="0"/>
        <w:ind w:left="737" w:right="0" w:firstLine="0"/>
        <w:jc w:val="left"/>
        <w:rPr>
          <w:sz w:val="18"/>
        </w:rPr>
      </w:pPr>
      <w:r>
        <w:rPr>
          <w:spacing w:val="-1"/>
          <w:sz w:val="18"/>
        </w:rPr>
        <w:t>费、术中用药费、手术设备费。</w:t>
      </w:r>
    </w:p>
    <w:p>
      <w:pPr>
        <w:spacing w:line="220" w:lineRule="exact" w:before="0"/>
        <w:ind w:left="737" w:right="0" w:firstLine="0"/>
        <w:jc w:val="left"/>
        <w:rPr>
          <w:sz w:val="18"/>
        </w:rPr>
      </w:pPr>
      <w:r>
        <w:rPr>
          <w:rFonts w:ascii="Times New Roman" w:eastAsia="Times New Roman"/>
          <w:w w:val="95"/>
          <w:sz w:val="18"/>
          <w:vertAlign w:val="superscript"/>
        </w:rPr>
        <w:t>12</w:t>
      </w:r>
      <w:r>
        <w:rPr>
          <w:b/>
          <w:w w:val="95"/>
          <w:sz w:val="18"/>
          <w:vertAlign w:val="baseline"/>
        </w:rPr>
        <w:t>药</w:t>
      </w:r>
      <w:r>
        <w:rPr>
          <w:b/>
          <w:w w:val="95"/>
          <w:sz w:val="18"/>
          <w:vertAlign w:val="baseline"/>
        </w:rPr>
        <w:t>品</w:t>
      </w:r>
      <w:r>
        <w:rPr>
          <w:b/>
          <w:w w:val="95"/>
          <w:sz w:val="18"/>
          <w:vertAlign w:val="baseline"/>
        </w:rPr>
        <w:t>费：</w:t>
      </w:r>
      <w:r>
        <w:rPr>
          <w:w w:val="95"/>
          <w:sz w:val="18"/>
          <w:vertAlign w:val="baseline"/>
        </w:rPr>
        <w:t>住院</w:t>
      </w:r>
      <w:r>
        <w:rPr>
          <w:w w:val="95"/>
          <w:sz w:val="18"/>
          <w:vertAlign w:val="baseline"/>
        </w:rPr>
        <w:t>期</w:t>
      </w:r>
      <w:r>
        <w:rPr>
          <w:w w:val="95"/>
          <w:sz w:val="18"/>
          <w:vertAlign w:val="baseline"/>
        </w:rPr>
        <w:t>间</w:t>
      </w:r>
      <w:r>
        <w:rPr>
          <w:w w:val="95"/>
          <w:sz w:val="18"/>
          <w:vertAlign w:val="baseline"/>
        </w:rPr>
        <w:t>实</w:t>
      </w:r>
      <w:r>
        <w:rPr>
          <w:w w:val="95"/>
          <w:sz w:val="18"/>
          <w:vertAlign w:val="baseline"/>
        </w:rPr>
        <w:t>际</w:t>
      </w:r>
      <w:r>
        <w:rPr>
          <w:w w:val="95"/>
          <w:sz w:val="18"/>
          <w:vertAlign w:val="baseline"/>
        </w:rPr>
        <w:t>发</w:t>
      </w:r>
      <w:r>
        <w:rPr>
          <w:w w:val="95"/>
          <w:sz w:val="18"/>
          <w:vertAlign w:val="baseline"/>
        </w:rPr>
        <w:t>生</w:t>
      </w:r>
      <w:r>
        <w:rPr>
          <w:w w:val="95"/>
          <w:sz w:val="18"/>
          <w:vertAlign w:val="baseline"/>
        </w:rPr>
        <w:t>的</w:t>
      </w:r>
      <w:r>
        <w:rPr>
          <w:w w:val="95"/>
          <w:sz w:val="18"/>
          <w:vertAlign w:val="baseline"/>
        </w:rPr>
        <w:t>合</w:t>
      </w:r>
      <w:r>
        <w:rPr>
          <w:w w:val="95"/>
          <w:sz w:val="18"/>
          <w:vertAlign w:val="baseline"/>
        </w:rPr>
        <w:t>理</w:t>
      </w:r>
      <w:r>
        <w:rPr>
          <w:w w:val="95"/>
          <w:sz w:val="18"/>
          <w:vertAlign w:val="baseline"/>
        </w:rPr>
        <w:t>且</w:t>
      </w:r>
      <w:r>
        <w:rPr>
          <w:w w:val="95"/>
          <w:sz w:val="18"/>
          <w:vertAlign w:val="baseline"/>
        </w:rPr>
        <w:t>必</w:t>
      </w:r>
      <w:r>
        <w:rPr>
          <w:w w:val="95"/>
          <w:sz w:val="18"/>
          <w:vertAlign w:val="baseline"/>
        </w:rPr>
        <w:t>须</w:t>
      </w:r>
      <w:r>
        <w:rPr>
          <w:w w:val="95"/>
          <w:sz w:val="18"/>
          <w:vertAlign w:val="baseline"/>
        </w:rPr>
        <w:t>的</w:t>
      </w:r>
      <w:r>
        <w:rPr>
          <w:w w:val="95"/>
          <w:sz w:val="18"/>
          <w:vertAlign w:val="baseline"/>
        </w:rPr>
        <w:t>由</w:t>
      </w:r>
      <w:r>
        <w:rPr>
          <w:w w:val="95"/>
          <w:sz w:val="18"/>
          <w:vertAlign w:val="baseline"/>
        </w:rPr>
        <w:t>我</w:t>
      </w:r>
      <w:r>
        <w:rPr>
          <w:w w:val="95"/>
          <w:sz w:val="18"/>
          <w:vertAlign w:val="baseline"/>
        </w:rPr>
        <w:t>们</w:t>
      </w:r>
      <w:r>
        <w:rPr>
          <w:w w:val="95"/>
          <w:sz w:val="18"/>
          <w:vertAlign w:val="baseline"/>
        </w:rPr>
        <w:t>认</w:t>
      </w:r>
      <w:r>
        <w:rPr>
          <w:w w:val="95"/>
          <w:sz w:val="18"/>
          <w:vertAlign w:val="baseline"/>
        </w:rPr>
        <w:t>可</w:t>
      </w:r>
      <w:r>
        <w:rPr>
          <w:w w:val="95"/>
          <w:sz w:val="18"/>
          <w:vertAlign w:val="baseline"/>
        </w:rPr>
        <w:t>的</w:t>
      </w:r>
      <w:r>
        <w:rPr>
          <w:w w:val="95"/>
          <w:sz w:val="18"/>
          <w:vertAlign w:val="baseline"/>
        </w:rPr>
        <w:t>专</w:t>
      </w:r>
      <w:r>
        <w:rPr>
          <w:w w:val="95"/>
          <w:sz w:val="18"/>
          <w:vertAlign w:val="baseline"/>
        </w:rPr>
        <w:t>科</w:t>
      </w:r>
      <w:r>
        <w:rPr>
          <w:w w:val="95"/>
          <w:sz w:val="18"/>
          <w:vertAlign w:val="baseline"/>
        </w:rPr>
        <w:t>医</w:t>
      </w:r>
      <w:r>
        <w:rPr>
          <w:w w:val="95"/>
          <w:sz w:val="18"/>
          <w:vertAlign w:val="baseline"/>
        </w:rPr>
        <w:t>生</w:t>
      </w:r>
      <w:r>
        <w:rPr>
          <w:w w:val="95"/>
          <w:sz w:val="18"/>
          <w:vertAlign w:val="baseline"/>
        </w:rPr>
        <w:t>开</w:t>
      </w:r>
      <w:r>
        <w:rPr>
          <w:w w:val="95"/>
          <w:sz w:val="18"/>
          <w:vertAlign w:val="baseline"/>
        </w:rPr>
        <w:t>具</w:t>
      </w:r>
      <w:r>
        <w:rPr>
          <w:w w:val="95"/>
          <w:sz w:val="18"/>
          <w:vertAlign w:val="baseline"/>
        </w:rPr>
        <w:t>的</w:t>
      </w:r>
      <w:r>
        <w:rPr>
          <w:w w:val="95"/>
          <w:sz w:val="18"/>
          <w:vertAlign w:val="baseline"/>
        </w:rPr>
        <w:t>具</w:t>
      </w:r>
      <w:r>
        <w:rPr>
          <w:w w:val="95"/>
          <w:sz w:val="18"/>
          <w:vertAlign w:val="baseline"/>
        </w:rPr>
        <w:t>有</w:t>
      </w:r>
      <w:r>
        <w:rPr>
          <w:w w:val="95"/>
          <w:sz w:val="18"/>
          <w:vertAlign w:val="baseline"/>
        </w:rPr>
        <w:t>国</w:t>
      </w:r>
      <w:r>
        <w:rPr>
          <w:w w:val="95"/>
          <w:sz w:val="18"/>
          <w:vertAlign w:val="baseline"/>
        </w:rPr>
        <w:t>家</w:t>
      </w:r>
      <w:r>
        <w:rPr>
          <w:w w:val="95"/>
          <w:sz w:val="18"/>
          <w:vertAlign w:val="baseline"/>
        </w:rPr>
        <w:t>相</w:t>
      </w:r>
      <w:r>
        <w:rPr>
          <w:w w:val="95"/>
          <w:sz w:val="18"/>
          <w:vertAlign w:val="baseline"/>
        </w:rPr>
        <w:t>关</w:t>
      </w:r>
      <w:r>
        <w:rPr>
          <w:w w:val="95"/>
          <w:sz w:val="18"/>
          <w:vertAlign w:val="baseline"/>
        </w:rPr>
        <w:t>监</w:t>
      </w:r>
      <w:r>
        <w:rPr>
          <w:w w:val="95"/>
          <w:sz w:val="18"/>
          <w:vertAlign w:val="baseline"/>
        </w:rPr>
        <w:t>督</w:t>
      </w:r>
      <w:r>
        <w:rPr>
          <w:w w:val="95"/>
          <w:sz w:val="18"/>
          <w:vertAlign w:val="baseline"/>
        </w:rPr>
        <w:t>管</w:t>
      </w:r>
      <w:r>
        <w:rPr>
          <w:w w:val="95"/>
          <w:sz w:val="18"/>
          <w:vertAlign w:val="baseline"/>
        </w:rPr>
        <w:t>理</w:t>
      </w:r>
      <w:r>
        <w:rPr>
          <w:w w:val="95"/>
          <w:sz w:val="18"/>
          <w:vertAlign w:val="baseline"/>
        </w:rPr>
        <w:t>部</w:t>
      </w:r>
      <w:r>
        <w:rPr>
          <w:w w:val="95"/>
          <w:sz w:val="18"/>
          <w:vertAlign w:val="baseline"/>
        </w:rPr>
        <w:t>门</w:t>
      </w:r>
      <w:r>
        <w:rPr>
          <w:spacing w:val="-10"/>
          <w:w w:val="95"/>
          <w:sz w:val="18"/>
          <w:vertAlign w:val="baseline"/>
        </w:rPr>
        <w:t>核</w:t>
      </w:r>
    </w:p>
    <w:p>
      <w:pPr>
        <w:spacing w:line="228" w:lineRule="auto" w:before="3"/>
        <w:ind w:left="737" w:right="764" w:firstLine="0"/>
        <w:jc w:val="both"/>
        <w:rPr>
          <w:rFonts w:ascii="黑体" w:eastAsia="黑体"/>
          <w:sz w:val="18"/>
        </w:rPr>
      </w:pPr>
      <w:r>
        <w:rPr>
          <w:spacing w:val="-2"/>
          <w:sz w:val="18"/>
        </w:rPr>
        <w:t>发的药品批准文号或者进口药品注册证书、医药产品注册证书的国产或进口药品的费用。</w:t>
      </w:r>
      <w:r>
        <w:rPr>
          <w:rFonts w:ascii="黑体" w:eastAsia="黑体"/>
          <w:color w:val="000000"/>
          <w:spacing w:val="-2"/>
          <w:sz w:val="18"/>
          <w:shd w:fill="D9D9D9" w:color="auto" w:val="clear"/>
        </w:rPr>
        <w:t>药品费不包括在</w:t>
      </w:r>
      <w:r>
        <w:rPr>
          <w:rFonts w:ascii="黑体" w:eastAsia="黑体"/>
          <w:color w:val="000000"/>
          <w:spacing w:val="40"/>
          <w:sz w:val="18"/>
          <w:shd w:fill="D9D9D9" w:color="auto" w:val="clear"/>
        </w:rPr>
        <w:t> </w:t>
      </w:r>
      <w:r>
        <w:rPr>
          <w:rFonts w:ascii="黑体" w:eastAsia="黑体"/>
          <w:color w:val="000000"/>
          <w:spacing w:val="-2"/>
          <w:sz w:val="18"/>
          <w:shd w:fill="D9D9D9" w:color="auto" w:val="clear"/>
        </w:rPr>
        <w:t>治疗时当地政府适用的《城镇职工基本医疗保险药品目录》及相关规定中不予给付的下列药品：营养补充</w:t>
      </w:r>
      <w:r>
        <w:rPr>
          <w:rFonts w:ascii="黑体" w:eastAsia="黑体"/>
          <w:color w:val="000000"/>
          <w:spacing w:val="-2"/>
          <w:sz w:val="18"/>
          <w:shd w:fill="D9D9D9" w:color="auto" w:val="clear"/>
        </w:rPr>
        <w:t>类药品，免疫功能调节类药品，美容及减肥类药品，预防类药品以及中草药类药品。</w:t>
      </w:r>
    </w:p>
    <w:p>
      <w:pPr>
        <w:spacing w:line="219" w:lineRule="exact" w:before="0"/>
        <w:ind w:left="737" w:right="0" w:firstLine="0"/>
        <w:jc w:val="left"/>
        <w:rPr>
          <w:sz w:val="18"/>
        </w:rPr>
      </w:pPr>
      <w:r>
        <w:rPr>
          <w:rFonts w:ascii="Times New Roman" w:eastAsia="Times New Roman"/>
          <w:w w:val="95"/>
          <w:sz w:val="18"/>
          <w:vertAlign w:val="superscript"/>
        </w:rPr>
        <w:t>13</w:t>
      </w:r>
      <w:r>
        <w:rPr>
          <w:b/>
          <w:w w:val="95"/>
          <w:sz w:val="18"/>
          <w:vertAlign w:val="baseline"/>
        </w:rPr>
        <w:t>诊</w:t>
      </w:r>
      <w:r>
        <w:rPr>
          <w:b/>
          <w:w w:val="95"/>
          <w:sz w:val="18"/>
          <w:vertAlign w:val="baseline"/>
        </w:rPr>
        <w:t>疗</w:t>
      </w:r>
      <w:r>
        <w:rPr>
          <w:b/>
          <w:w w:val="95"/>
          <w:sz w:val="18"/>
          <w:vertAlign w:val="baseline"/>
        </w:rPr>
        <w:t>费：</w:t>
      </w:r>
      <w:r>
        <w:rPr>
          <w:w w:val="95"/>
          <w:sz w:val="18"/>
          <w:vertAlign w:val="baseline"/>
        </w:rPr>
        <w:t>指由</w:t>
      </w:r>
      <w:r>
        <w:rPr>
          <w:w w:val="95"/>
          <w:sz w:val="18"/>
          <w:vertAlign w:val="baseline"/>
        </w:rPr>
        <w:t>我</w:t>
      </w:r>
      <w:r>
        <w:rPr>
          <w:w w:val="95"/>
          <w:sz w:val="18"/>
          <w:vertAlign w:val="baseline"/>
        </w:rPr>
        <w:t>们</w:t>
      </w:r>
      <w:r>
        <w:rPr>
          <w:w w:val="95"/>
          <w:sz w:val="18"/>
          <w:vertAlign w:val="baseline"/>
        </w:rPr>
        <w:t>认</w:t>
      </w:r>
      <w:r>
        <w:rPr>
          <w:w w:val="95"/>
          <w:sz w:val="18"/>
          <w:vertAlign w:val="baseline"/>
        </w:rPr>
        <w:t>可</w:t>
      </w:r>
      <w:r>
        <w:rPr>
          <w:w w:val="95"/>
          <w:sz w:val="18"/>
          <w:vertAlign w:val="baseline"/>
        </w:rPr>
        <w:t>的</w:t>
      </w:r>
      <w:r>
        <w:rPr>
          <w:w w:val="95"/>
          <w:sz w:val="18"/>
          <w:vertAlign w:val="baseline"/>
        </w:rPr>
        <w:t>专</w:t>
      </w:r>
      <w:r>
        <w:rPr>
          <w:w w:val="95"/>
          <w:sz w:val="18"/>
          <w:vertAlign w:val="baseline"/>
        </w:rPr>
        <w:t>科</w:t>
      </w:r>
      <w:r>
        <w:rPr>
          <w:w w:val="95"/>
          <w:sz w:val="18"/>
          <w:vertAlign w:val="baseline"/>
        </w:rPr>
        <w:t>医</w:t>
      </w:r>
      <w:r>
        <w:rPr>
          <w:w w:val="95"/>
          <w:sz w:val="18"/>
          <w:vertAlign w:val="baseline"/>
        </w:rPr>
        <w:t>生</w:t>
      </w:r>
      <w:r>
        <w:rPr>
          <w:w w:val="95"/>
          <w:sz w:val="18"/>
          <w:vertAlign w:val="baseline"/>
        </w:rPr>
        <w:t>所</w:t>
      </w:r>
      <w:r>
        <w:rPr>
          <w:w w:val="95"/>
          <w:sz w:val="18"/>
          <w:vertAlign w:val="baseline"/>
        </w:rPr>
        <w:t>实</w:t>
      </w:r>
      <w:r>
        <w:rPr>
          <w:w w:val="95"/>
          <w:sz w:val="18"/>
          <w:vertAlign w:val="baseline"/>
        </w:rPr>
        <w:t>施</w:t>
      </w:r>
      <w:r>
        <w:rPr>
          <w:w w:val="95"/>
          <w:sz w:val="18"/>
          <w:vertAlign w:val="baseline"/>
        </w:rPr>
        <w:t>的</w:t>
      </w:r>
      <w:r>
        <w:rPr>
          <w:w w:val="95"/>
          <w:sz w:val="18"/>
          <w:vertAlign w:val="baseline"/>
        </w:rPr>
        <w:t>病</w:t>
      </w:r>
      <w:r>
        <w:rPr>
          <w:w w:val="95"/>
          <w:sz w:val="18"/>
          <w:vertAlign w:val="baseline"/>
        </w:rPr>
        <w:t>情</w:t>
      </w:r>
      <w:r>
        <w:rPr>
          <w:w w:val="95"/>
          <w:sz w:val="18"/>
          <w:vertAlign w:val="baseline"/>
        </w:rPr>
        <w:t>咨</w:t>
      </w:r>
      <w:r>
        <w:rPr>
          <w:w w:val="95"/>
          <w:sz w:val="18"/>
          <w:vertAlign w:val="baseline"/>
        </w:rPr>
        <w:t>询</w:t>
      </w:r>
      <w:r>
        <w:rPr>
          <w:w w:val="95"/>
          <w:sz w:val="18"/>
          <w:vertAlign w:val="baseline"/>
        </w:rPr>
        <w:t>及</w:t>
      </w:r>
      <w:r>
        <w:rPr>
          <w:w w:val="95"/>
          <w:sz w:val="18"/>
          <w:vertAlign w:val="baseline"/>
        </w:rPr>
        <w:t>检</w:t>
      </w:r>
      <w:r>
        <w:rPr>
          <w:w w:val="95"/>
          <w:sz w:val="18"/>
          <w:vertAlign w:val="baseline"/>
        </w:rPr>
        <w:t>查</w:t>
      </w:r>
      <w:r>
        <w:rPr>
          <w:w w:val="95"/>
          <w:sz w:val="18"/>
          <w:vertAlign w:val="baseline"/>
        </w:rPr>
        <w:t>、</w:t>
      </w:r>
      <w:r>
        <w:rPr>
          <w:w w:val="95"/>
          <w:sz w:val="18"/>
          <w:vertAlign w:val="baseline"/>
        </w:rPr>
        <w:t>各</w:t>
      </w:r>
      <w:r>
        <w:rPr>
          <w:w w:val="95"/>
          <w:sz w:val="18"/>
          <w:vertAlign w:val="baseline"/>
        </w:rPr>
        <w:t>种</w:t>
      </w:r>
      <w:r>
        <w:rPr>
          <w:w w:val="95"/>
          <w:sz w:val="18"/>
          <w:vertAlign w:val="baseline"/>
        </w:rPr>
        <w:t>器</w:t>
      </w:r>
      <w:r>
        <w:rPr>
          <w:w w:val="95"/>
          <w:sz w:val="18"/>
          <w:vertAlign w:val="baseline"/>
        </w:rPr>
        <w:t>械</w:t>
      </w:r>
      <w:r>
        <w:rPr>
          <w:w w:val="95"/>
          <w:sz w:val="18"/>
          <w:vertAlign w:val="baseline"/>
        </w:rPr>
        <w:t>或</w:t>
      </w:r>
      <w:r>
        <w:rPr>
          <w:w w:val="95"/>
          <w:sz w:val="18"/>
          <w:vertAlign w:val="baseline"/>
        </w:rPr>
        <w:t>仪</w:t>
      </w:r>
      <w:r>
        <w:rPr>
          <w:w w:val="95"/>
          <w:sz w:val="18"/>
          <w:vertAlign w:val="baseline"/>
        </w:rPr>
        <w:t>器</w:t>
      </w:r>
      <w:r>
        <w:rPr>
          <w:w w:val="95"/>
          <w:sz w:val="18"/>
          <w:vertAlign w:val="baseline"/>
        </w:rPr>
        <w:t>检</w:t>
      </w:r>
      <w:r>
        <w:rPr>
          <w:w w:val="95"/>
          <w:sz w:val="18"/>
          <w:vertAlign w:val="baseline"/>
        </w:rPr>
        <w:t>查</w:t>
      </w:r>
      <w:r>
        <w:rPr>
          <w:w w:val="95"/>
          <w:sz w:val="18"/>
          <w:vertAlign w:val="baseline"/>
        </w:rPr>
        <w:t>、</w:t>
      </w:r>
      <w:r>
        <w:rPr>
          <w:w w:val="95"/>
          <w:sz w:val="18"/>
          <w:vertAlign w:val="baseline"/>
        </w:rPr>
        <w:t>诊</w:t>
      </w:r>
      <w:r>
        <w:rPr>
          <w:w w:val="95"/>
          <w:sz w:val="18"/>
          <w:vertAlign w:val="baseline"/>
        </w:rPr>
        <w:t>断</w:t>
      </w:r>
      <w:r>
        <w:rPr>
          <w:w w:val="95"/>
          <w:sz w:val="18"/>
          <w:vertAlign w:val="baseline"/>
        </w:rPr>
        <w:t>、</w:t>
      </w:r>
      <w:r>
        <w:rPr>
          <w:w w:val="95"/>
          <w:sz w:val="18"/>
          <w:vertAlign w:val="baseline"/>
        </w:rPr>
        <w:t>治</w:t>
      </w:r>
      <w:r>
        <w:rPr>
          <w:w w:val="95"/>
          <w:sz w:val="18"/>
          <w:vertAlign w:val="baseline"/>
        </w:rPr>
        <w:t>疗</w:t>
      </w:r>
      <w:r>
        <w:rPr>
          <w:w w:val="95"/>
          <w:sz w:val="18"/>
          <w:vertAlign w:val="baseline"/>
        </w:rPr>
        <w:t>方</w:t>
      </w:r>
      <w:r>
        <w:rPr>
          <w:w w:val="95"/>
          <w:sz w:val="18"/>
          <w:vertAlign w:val="baseline"/>
        </w:rPr>
        <w:t>案</w:t>
      </w:r>
      <w:r>
        <w:rPr>
          <w:spacing w:val="-10"/>
          <w:w w:val="95"/>
          <w:sz w:val="18"/>
          <w:vertAlign w:val="baseline"/>
        </w:rPr>
        <w:t>拟</w:t>
      </w:r>
    </w:p>
    <w:p>
      <w:pPr>
        <w:spacing w:line="220" w:lineRule="exact" w:before="0"/>
        <w:ind w:left="737" w:right="0" w:firstLine="0"/>
        <w:jc w:val="left"/>
        <w:rPr>
          <w:sz w:val="18"/>
        </w:rPr>
      </w:pPr>
      <w:r>
        <w:rPr>
          <w:spacing w:val="-1"/>
          <w:sz w:val="18"/>
        </w:rPr>
        <w:t>定等各项医疗服务所收取的费用。</w:t>
      </w:r>
    </w:p>
    <w:p>
      <w:pPr>
        <w:spacing w:line="220" w:lineRule="exact" w:before="0"/>
        <w:ind w:left="737" w:right="0" w:firstLine="0"/>
        <w:jc w:val="left"/>
        <w:rPr>
          <w:sz w:val="18"/>
        </w:rPr>
      </w:pPr>
      <w:r>
        <w:rPr>
          <w:rFonts w:ascii="Times New Roman" w:eastAsia="Times New Roman"/>
          <w:w w:val="95"/>
          <w:sz w:val="18"/>
          <w:vertAlign w:val="superscript"/>
        </w:rPr>
        <w:t>14</w:t>
      </w:r>
      <w:r>
        <w:rPr>
          <w:b/>
          <w:w w:val="95"/>
          <w:sz w:val="18"/>
          <w:vertAlign w:val="baseline"/>
        </w:rPr>
        <w:t>治</w:t>
      </w:r>
      <w:r>
        <w:rPr>
          <w:b/>
          <w:w w:val="95"/>
          <w:sz w:val="18"/>
          <w:vertAlign w:val="baseline"/>
        </w:rPr>
        <w:t>疗</w:t>
      </w:r>
      <w:r>
        <w:rPr>
          <w:b/>
          <w:w w:val="95"/>
          <w:sz w:val="18"/>
          <w:vertAlign w:val="baseline"/>
        </w:rPr>
        <w:t>费：</w:t>
      </w:r>
      <w:r>
        <w:rPr>
          <w:w w:val="95"/>
          <w:sz w:val="18"/>
          <w:vertAlign w:val="baseline"/>
        </w:rPr>
        <w:t>指住</w:t>
      </w:r>
      <w:r>
        <w:rPr>
          <w:w w:val="95"/>
          <w:sz w:val="18"/>
          <w:vertAlign w:val="baseline"/>
        </w:rPr>
        <w:t>院</w:t>
      </w:r>
      <w:r>
        <w:rPr>
          <w:w w:val="95"/>
          <w:sz w:val="18"/>
          <w:vertAlign w:val="baseline"/>
        </w:rPr>
        <w:t>期</w:t>
      </w:r>
      <w:r>
        <w:rPr>
          <w:w w:val="95"/>
          <w:sz w:val="18"/>
          <w:vertAlign w:val="baseline"/>
        </w:rPr>
        <w:t>间</w:t>
      </w:r>
      <w:r>
        <w:rPr>
          <w:w w:val="95"/>
          <w:sz w:val="18"/>
          <w:vertAlign w:val="baseline"/>
        </w:rPr>
        <w:t>以</w:t>
      </w:r>
      <w:r>
        <w:rPr>
          <w:w w:val="95"/>
          <w:sz w:val="18"/>
          <w:vertAlign w:val="baseline"/>
        </w:rPr>
        <w:t>治</w:t>
      </w:r>
      <w:r>
        <w:rPr>
          <w:w w:val="95"/>
          <w:sz w:val="18"/>
          <w:vertAlign w:val="baseline"/>
        </w:rPr>
        <w:t>疗</w:t>
      </w:r>
      <w:r>
        <w:rPr>
          <w:w w:val="95"/>
          <w:sz w:val="18"/>
          <w:vertAlign w:val="baseline"/>
        </w:rPr>
        <w:t>疾</w:t>
      </w:r>
      <w:r>
        <w:rPr>
          <w:w w:val="95"/>
          <w:sz w:val="18"/>
          <w:vertAlign w:val="baseline"/>
        </w:rPr>
        <w:t>病</w:t>
      </w:r>
      <w:r>
        <w:rPr>
          <w:w w:val="95"/>
          <w:sz w:val="18"/>
          <w:vertAlign w:val="baseline"/>
        </w:rPr>
        <w:t>为</w:t>
      </w:r>
      <w:r>
        <w:rPr>
          <w:w w:val="95"/>
          <w:sz w:val="18"/>
          <w:vertAlign w:val="baseline"/>
        </w:rPr>
        <w:t>目</w:t>
      </w:r>
      <w:r>
        <w:rPr>
          <w:w w:val="95"/>
          <w:sz w:val="18"/>
          <w:vertAlign w:val="baseline"/>
        </w:rPr>
        <w:t>的</w:t>
      </w:r>
      <w:r>
        <w:rPr>
          <w:w w:val="95"/>
          <w:sz w:val="18"/>
          <w:vertAlign w:val="baseline"/>
        </w:rPr>
        <w:t>，</w:t>
      </w:r>
      <w:r>
        <w:rPr>
          <w:w w:val="95"/>
          <w:sz w:val="18"/>
          <w:vertAlign w:val="baseline"/>
        </w:rPr>
        <w:t>提</w:t>
      </w:r>
      <w:r>
        <w:rPr>
          <w:w w:val="95"/>
          <w:sz w:val="18"/>
          <w:vertAlign w:val="baseline"/>
        </w:rPr>
        <w:t>供</w:t>
      </w:r>
      <w:r>
        <w:rPr>
          <w:w w:val="95"/>
          <w:sz w:val="18"/>
          <w:vertAlign w:val="baseline"/>
        </w:rPr>
        <w:t>必</w:t>
      </w:r>
      <w:r>
        <w:rPr>
          <w:w w:val="95"/>
          <w:sz w:val="18"/>
          <w:vertAlign w:val="baseline"/>
        </w:rPr>
        <w:t>要</w:t>
      </w:r>
      <w:r>
        <w:rPr>
          <w:w w:val="95"/>
          <w:sz w:val="18"/>
          <w:vertAlign w:val="baseline"/>
        </w:rPr>
        <w:t>的</w:t>
      </w:r>
      <w:r>
        <w:rPr>
          <w:w w:val="95"/>
          <w:sz w:val="18"/>
          <w:vertAlign w:val="baseline"/>
        </w:rPr>
        <w:t>医</w:t>
      </w:r>
      <w:r>
        <w:rPr>
          <w:w w:val="95"/>
          <w:sz w:val="18"/>
          <w:vertAlign w:val="baseline"/>
        </w:rPr>
        <w:t>学</w:t>
      </w:r>
      <w:r>
        <w:rPr>
          <w:w w:val="95"/>
          <w:sz w:val="18"/>
          <w:vertAlign w:val="baseline"/>
        </w:rPr>
        <w:t>手</w:t>
      </w:r>
      <w:r>
        <w:rPr>
          <w:w w:val="95"/>
          <w:sz w:val="18"/>
          <w:vertAlign w:val="baseline"/>
        </w:rPr>
        <w:t>段</w:t>
      </w:r>
      <w:r>
        <w:rPr>
          <w:w w:val="95"/>
          <w:sz w:val="18"/>
          <w:vertAlign w:val="baseline"/>
        </w:rPr>
        <w:t>而</w:t>
      </w:r>
      <w:r>
        <w:rPr>
          <w:w w:val="95"/>
          <w:sz w:val="18"/>
          <w:vertAlign w:val="baseline"/>
        </w:rPr>
        <w:t>发</w:t>
      </w:r>
      <w:r>
        <w:rPr>
          <w:w w:val="95"/>
          <w:sz w:val="18"/>
          <w:vertAlign w:val="baseline"/>
        </w:rPr>
        <w:t>生</w:t>
      </w:r>
      <w:r>
        <w:rPr>
          <w:w w:val="95"/>
          <w:sz w:val="18"/>
          <w:vertAlign w:val="baseline"/>
        </w:rPr>
        <w:t>的</w:t>
      </w:r>
      <w:r>
        <w:rPr>
          <w:w w:val="95"/>
          <w:sz w:val="18"/>
          <w:vertAlign w:val="baseline"/>
        </w:rPr>
        <w:t>合</w:t>
      </w:r>
      <w:r>
        <w:rPr>
          <w:w w:val="95"/>
          <w:sz w:val="18"/>
          <w:vertAlign w:val="baseline"/>
        </w:rPr>
        <w:t>理</w:t>
      </w:r>
      <w:r>
        <w:rPr>
          <w:w w:val="95"/>
          <w:sz w:val="18"/>
          <w:vertAlign w:val="baseline"/>
        </w:rPr>
        <w:t>的</w:t>
      </w:r>
      <w:r>
        <w:rPr>
          <w:w w:val="95"/>
          <w:sz w:val="18"/>
          <w:vertAlign w:val="baseline"/>
        </w:rPr>
        <w:t>治</w:t>
      </w:r>
      <w:r>
        <w:rPr>
          <w:w w:val="95"/>
          <w:sz w:val="18"/>
          <w:vertAlign w:val="baseline"/>
        </w:rPr>
        <w:t>疗</w:t>
      </w:r>
      <w:r>
        <w:rPr>
          <w:w w:val="95"/>
          <w:sz w:val="18"/>
          <w:vertAlign w:val="baseline"/>
        </w:rPr>
        <w:t>者</w:t>
      </w:r>
      <w:r>
        <w:rPr>
          <w:w w:val="95"/>
          <w:sz w:val="18"/>
          <w:vertAlign w:val="baseline"/>
        </w:rPr>
        <w:t>的</w:t>
      </w:r>
      <w:r>
        <w:rPr>
          <w:w w:val="95"/>
          <w:sz w:val="18"/>
          <w:vertAlign w:val="baseline"/>
        </w:rPr>
        <w:t>技</w:t>
      </w:r>
      <w:r>
        <w:rPr>
          <w:w w:val="95"/>
          <w:sz w:val="18"/>
          <w:vertAlign w:val="baseline"/>
        </w:rPr>
        <w:t>术</w:t>
      </w:r>
      <w:r>
        <w:rPr>
          <w:w w:val="95"/>
          <w:sz w:val="18"/>
          <w:vertAlign w:val="baseline"/>
        </w:rPr>
        <w:t>劳</w:t>
      </w:r>
      <w:r>
        <w:rPr>
          <w:w w:val="95"/>
          <w:sz w:val="18"/>
          <w:vertAlign w:val="baseline"/>
        </w:rPr>
        <w:t>务</w:t>
      </w:r>
      <w:r>
        <w:rPr>
          <w:w w:val="95"/>
          <w:sz w:val="18"/>
          <w:vertAlign w:val="baseline"/>
        </w:rPr>
        <w:t>费</w:t>
      </w:r>
      <w:r>
        <w:rPr>
          <w:w w:val="95"/>
          <w:sz w:val="18"/>
          <w:vertAlign w:val="baseline"/>
        </w:rPr>
        <w:t>和</w:t>
      </w:r>
      <w:r>
        <w:rPr>
          <w:spacing w:val="-10"/>
          <w:w w:val="95"/>
          <w:sz w:val="18"/>
          <w:vertAlign w:val="baseline"/>
        </w:rPr>
        <w:t>医</w:t>
      </w:r>
    </w:p>
    <w:p>
      <w:pPr>
        <w:spacing w:line="220" w:lineRule="exact" w:before="0"/>
        <w:ind w:left="737" w:right="0" w:firstLine="0"/>
        <w:jc w:val="left"/>
        <w:rPr>
          <w:sz w:val="18"/>
        </w:rPr>
      </w:pPr>
      <w:r>
        <w:rPr>
          <w:spacing w:val="-1"/>
          <w:sz w:val="18"/>
        </w:rPr>
        <w:t>疗器械使用费，以及消耗品的费用，包括注射费、输血费、输氧费、体外反搏费等。</w:t>
      </w:r>
    </w:p>
    <w:p>
      <w:pPr>
        <w:spacing w:line="228" w:lineRule="auto" w:before="4"/>
        <w:ind w:left="737" w:right="733" w:hanging="1"/>
        <w:jc w:val="both"/>
        <w:rPr>
          <w:sz w:val="18"/>
        </w:rPr>
      </w:pPr>
      <w:r>
        <w:rPr>
          <w:rFonts w:ascii="Times New Roman" w:eastAsia="Times New Roman"/>
          <w:sz w:val="18"/>
          <w:vertAlign w:val="superscript"/>
        </w:rPr>
        <w:t>15</w:t>
      </w:r>
      <w:r>
        <w:rPr>
          <w:b/>
          <w:w w:val="99"/>
          <w:sz w:val="18"/>
          <w:vertAlign w:val="baseline"/>
        </w:rPr>
        <w:t>加床费：</w:t>
      </w:r>
      <w:r>
        <w:rPr>
          <w:spacing w:val="-13"/>
          <w:sz w:val="18"/>
          <w:vertAlign w:val="baseline"/>
        </w:rPr>
        <w:t>指未满 </w:t>
      </w:r>
      <w:r>
        <w:rPr>
          <w:rFonts w:ascii="Times New Roman" w:eastAsia="Times New Roman"/>
          <w:sz w:val="18"/>
          <w:vertAlign w:val="baseline"/>
        </w:rPr>
        <w:t>18</w:t>
      </w:r>
      <w:r>
        <w:rPr>
          <w:rFonts w:ascii="Times New Roman" w:eastAsia="Times New Roman"/>
          <w:spacing w:val="-1"/>
          <w:sz w:val="18"/>
          <w:vertAlign w:val="baseline"/>
        </w:rPr>
        <w:t> </w:t>
      </w:r>
      <w:r>
        <w:rPr>
          <w:sz w:val="18"/>
          <w:vertAlign w:val="baseline"/>
        </w:rPr>
        <w:t>周岁的被保险人在住院治疗期间，根据合同约定给付其合法监护人（</w:t>
      </w:r>
      <w:r>
        <w:rPr>
          <w:spacing w:val="-23"/>
          <w:sz w:val="18"/>
          <w:vertAlign w:val="baseline"/>
        </w:rPr>
        <w:t>限 </w:t>
      </w:r>
      <w:r>
        <w:rPr>
          <w:rFonts w:ascii="Times New Roman" w:eastAsia="Times New Roman"/>
          <w:sz w:val="18"/>
          <w:vertAlign w:val="baseline"/>
        </w:rPr>
        <w:t>1</w:t>
      </w:r>
      <w:r>
        <w:rPr>
          <w:rFonts w:ascii="Times New Roman" w:eastAsia="Times New Roman"/>
          <w:spacing w:val="-1"/>
          <w:sz w:val="18"/>
          <w:vertAlign w:val="baseline"/>
        </w:rPr>
        <w:t> </w:t>
      </w:r>
      <w:r>
        <w:rPr>
          <w:sz w:val="18"/>
          <w:vertAlign w:val="baseline"/>
        </w:rPr>
        <w:t>人）</w:t>
      </w:r>
      <w:r>
        <w:rPr>
          <w:spacing w:val="-5"/>
          <w:sz w:val="18"/>
          <w:vertAlign w:val="baseline"/>
        </w:rPr>
        <w:t>在医院</w:t>
      </w:r>
      <w:r>
        <w:rPr>
          <w:sz w:val="18"/>
          <w:vertAlign w:val="baseline"/>
        </w:rPr>
        <w:t>留宿发生的加床费；或女性被保险人在住院医疗期间，根据合同约定给付其一周岁以下哺乳期婴儿在医院留宿发生的加床费。</w:t>
      </w:r>
    </w:p>
    <w:p>
      <w:pPr>
        <w:spacing w:after="0" w:line="228" w:lineRule="auto"/>
        <w:jc w:val="both"/>
        <w:rPr>
          <w:sz w:val="18"/>
        </w:rPr>
        <w:sectPr>
          <w:pgSz w:w="11910" w:h="16840"/>
          <w:pgMar w:header="0" w:footer="1168" w:top="1400" w:bottom="1360" w:left="1060" w:right="1060"/>
        </w:sectPr>
      </w:pPr>
    </w:p>
    <w:p>
      <w:pPr>
        <w:pStyle w:val="BodyText"/>
        <w:spacing w:before="50"/>
      </w:pPr>
      <w:r>
        <w:rPr>
          <w:spacing w:val="-2"/>
        </w:rPr>
        <w:t>保险期间。</w:t>
      </w:r>
    </w:p>
    <w:p>
      <w:pPr>
        <w:pStyle w:val="BodyText"/>
        <w:spacing w:before="43"/>
      </w:pPr>
      <w:r>
        <w:rPr>
          <w:rFonts w:ascii="Times New Roman" w:eastAsia="Times New Roman"/>
        </w:rPr>
        <w:t>2</w:t>
      </w:r>
      <w:r>
        <w:rPr>
          <w:spacing w:val="-9"/>
        </w:rPr>
        <w:t>、 特殊门诊医疗费用</w:t>
      </w:r>
    </w:p>
    <w:p>
      <w:pPr>
        <w:pStyle w:val="BodyText"/>
        <w:spacing w:line="278" w:lineRule="auto" w:before="43"/>
        <w:ind w:right="854"/>
      </w:pPr>
      <w:r>
        <w:rPr>
          <w:spacing w:val="-2"/>
        </w:rPr>
        <w:t>指被保险人在该中国大陆地区医院进行特殊门诊治疗期间内实际支出的必要且合理的特殊</w:t>
      </w:r>
      <w:r>
        <w:rPr>
          <w:spacing w:val="-2"/>
        </w:rPr>
        <w:t>门诊医疗费用。特殊门诊治疗包括：</w:t>
      </w:r>
    </w:p>
    <w:p>
      <w:pPr>
        <w:pStyle w:val="ListParagraph"/>
        <w:numPr>
          <w:ilvl w:val="1"/>
          <w:numId w:val="3"/>
        </w:numPr>
        <w:tabs>
          <w:tab w:pos="1577" w:val="left" w:leader="none"/>
          <w:tab w:pos="1578" w:val="left" w:leader="none"/>
        </w:tabs>
        <w:spacing w:line="269" w:lineRule="exact" w:before="0" w:after="0"/>
        <w:ind w:left="1577" w:right="0" w:hanging="421"/>
        <w:jc w:val="left"/>
        <w:rPr>
          <w:sz w:val="21"/>
        </w:rPr>
      </w:pPr>
      <w:r>
        <w:rPr>
          <w:spacing w:val="-2"/>
          <w:sz w:val="21"/>
        </w:rPr>
        <w:t>门诊肾透析；</w:t>
      </w:r>
    </w:p>
    <w:p>
      <w:pPr>
        <w:pStyle w:val="ListParagraph"/>
        <w:numPr>
          <w:ilvl w:val="1"/>
          <w:numId w:val="3"/>
        </w:numPr>
        <w:tabs>
          <w:tab w:pos="1577" w:val="left" w:leader="none"/>
          <w:tab w:pos="1578" w:val="left" w:leader="none"/>
        </w:tabs>
        <w:spacing w:line="278" w:lineRule="auto" w:before="43" w:after="0"/>
        <w:ind w:left="1577" w:right="1742" w:hanging="420"/>
        <w:jc w:val="left"/>
        <w:rPr>
          <w:sz w:val="21"/>
        </w:rPr>
      </w:pPr>
      <w:r>
        <w:rPr>
          <w:spacing w:val="-2"/>
          <w:sz w:val="21"/>
        </w:rPr>
        <w:t>门诊</w:t>
      </w:r>
      <w:r>
        <w:rPr>
          <w:b/>
          <w:spacing w:val="-2"/>
          <w:sz w:val="21"/>
        </w:rPr>
        <w:t>恶</w:t>
      </w:r>
      <w:r>
        <w:rPr>
          <w:b/>
          <w:spacing w:val="-2"/>
          <w:sz w:val="21"/>
        </w:rPr>
        <w:t>性</w:t>
      </w:r>
      <w:r>
        <w:rPr>
          <w:b/>
          <w:spacing w:val="-2"/>
          <w:sz w:val="21"/>
        </w:rPr>
        <w:t>肿瘤</w:t>
      </w:r>
      <w:r>
        <w:rPr>
          <w:rFonts w:ascii="Times New Roman" w:eastAsia="Times New Roman"/>
          <w:b/>
          <w:spacing w:val="-2"/>
          <w:sz w:val="21"/>
          <w:vertAlign w:val="superscript"/>
        </w:rPr>
        <w:t>16</w:t>
      </w:r>
      <w:r>
        <w:rPr>
          <w:spacing w:val="-2"/>
          <w:sz w:val="21"/>
          <w:vertAlign w:val="baseline"/>
        </w:rPr>
        <w:t>治疗，包括</w:t>
      </w:r>
      <w:r>
        <w:rPr>
          <w:b/>
          <w:spacing w:val="-2"/>
          <w:sz w:val="21"/>
          <w:vertAlign w:val="baseline"/>
        </w:rPr>
        <w:t>化</w:t>
      </w:r>
      <w:r>
        <w:rPr>
          <w:b/>
          <w:spacing w:val="-2"/>
          <w:sz w:val="21"/>
          <w:vertAlign w:val="baseline"/>
        </w:rPr>
        <w:t>学</w:t>
      </w:r>
      <w:r>
        <w:rPr>
          <w:b/>
          <w:spacing w:val="-2"/>
          <w:sz w:val="21"/>
          <w:vertAlign w:val="baseline"/>
        </w:rPr>
        <w:t>疗</w:t>
      </w:r>
      <w:r>
        <w:rPr>
          <w:b/>
          <w:spacing w:val="-2"/>
          <w:sz w:val="21"/>
          <w:vertAlign w:val="baseline"/>
        </w:rPr>
        <w:t>法</w:t>
      </w:r>
      <w:r>
        <w:rPr>
          <w:rFonts w:ascii="Times New Roman" w:eastAsia="Times New Roman"/>
          <w:b/>
          <w:spacing w:val="-2"/>
          <w:sz w:val="21"/>
          <w:vertAlign w:val="superscript"/>
        </w:rPr>
        <w:t>17</w:t>
      </w:r>
      <w:r>
        <w:rPr>
          <w:spacing w:val="-2"/>
          <w:sz w:val="21"/>
          <w:vertAlign w:val="baseline"/>
        </w:rPr>
        <w:t>、</w:t>
      </w:r>
      <w:r>
        <w:rPr>
          <w:b/>
          <w:spacing w:val="-2"/>
          <w:sz w:val="21"/>
          <w:vertAlign w:val="baseline"/>
        </w:rPr>
        <w:t>放</w:t>
      </w:r>
      <w:r>
        <w:rPr>
          <w:b/>
          <w:spacing w:val="-2"/>
          <w:sz w:val="21"/>
          <w:vertAlign w:val="baseline"/>
        </w:rPr>
        <w:t>射</w:t>
      </w:r>
      <w:r>
        <w:rPr>
          <w:b/>
          <w:spacing w:val="-2"/>
          <w:sz w:val="21"/>
          <w:vertAlign w:val="baseline"/>
        </w:rPr>
        <w:t>疗</w:t>
      </w:r>
      <w:r>
        <w:rPr>
          <w:b/>
          <w:spacing w:val="-2"/>
          <w:sz w:val="21"/>
          <w:vertAlign w:val="baseline"/>
        </w:rPr>
        <w:t>法</w:t>
      </w:r>
      <w:r>
        <w:rPr>
          <w:rFonts w:ascii="Times New Roman" w:eastAsia="Times New Roman"/>
          <w:b/>
          <w:spacing w:val="-2"/>
          <w:sz w:val="21"/>
          <w:vertAlign w:val="superscript"/>
        </w:rPr>
        <w:t>18</w:t>
      </w:r>
      <w:r>
        <w:rPr>
          <w:spacing w:val="-2"/>
          <w:sz w:val="21"/>
          <w:vertAlign w:val="baseline"/>
        </w:rPr>
        <w:t>、</w:t>
      </w:r>
      <w:r>
        <w:rPr>
          <w:b/>
          <w:spacing w:val="-2"/>
          <w:sz w:val="21"/>
          <w:vertAlign w:val="baseline"/>
        </w:rPr>
        <w:t>肿</w:t>
      </w:r>
      <w:r>
        <w:rPr>
          <w:b/>
          <w:spacing w:val="-2"/>
          <w:sz w:val="21"/>
          <w:vertAlign w:val="baseline"/>
        </w:rPr>
        <w:t>瘤</w:t>
      </w:r>
      <w:r>
        <w:rPr>
          <w:b/>
          <w:spacing w:val="-2"/>
          <w:sz w:val="21"/>
          <w:vertAlign w:val="baseline"/>
        </w:rPr>
        <w:t>免</w:t>
      </w:r>
      <w:r>
        <w:rPr>
          <w:b/>
          <w:spacing w:val="-2"/>
          <w:sz w:val="21"/>
          <w:vertAlign w:val="baseline"/>
        </w:rPr>
        <w:t>疫疗法</w:t>
      </w:r>
      <w:r>
        <w:rPr>
          <w:rFonts w:ascii="Times New Roman" w:eastAsia="Times New Roman"/>
          <w:b/>
          <w:spacing w:val="-2"/>
          <w:sz w:val="21"/>
          <w:vertAlign w:val="superscript"/>
        </w:rPr>
        <w:t>19</w:t>
      </w:r>
      <w:r>
        <w:rPr>
          <w:spacing w:val="-2"/>
          <w:sz w:val="21"/>
          <w:vertAlign w:val="baseline"/>
        </w:rPr>
        <w:t>、</w:t>
      </w:r>
      <w:r>
        <w:rPr>
          <w:b/>
          <w:spacing w:val="-2"/>
          <w:sz w:val="21"/>
          <w:vertAlign w:val="baseline"/>
        </w:rPr>
        <w:t>肿瘤内</w:t>
      </w:r>
      <w:r>
        <w:rPr>
          <w:b/>
          <w:spacing w:val="-2"/>
          <w:sz w:val="21"/>
          <w:vertAlign w:val="baseline"/>
        </w:rPr>
        <w:t>分</w:t>
      </w:r>
      <w:r>
        <w:rPr>
          <w:b/>
          <w:spacing w:val="-2"/>
          <w:sz w:val="21"/>
          <w:vertAlign w:val="baseline"/>
        </w:rPr>
        <w:t>泌</w:t>
      </w:r>
      <w:r>
        <w:rPr>
          <w:b/>
          <w:spacing w:val="-2"/>
          <w:sz w:val="21"/>
          <w:vertAlign w:val="baseline"/>
        </w:rPr>
        <w:t>疗法</w:t>
      </w:r>
      <w:r>
        <w:rPr>
          <w:rFonts w:ascii="Times New Roman" w:eastAsia="Times New Roman"/>
          <w:b/>
          <w:spacing w:val="-2"/>
          <w:sz w:val="21"/>
          <w:vertAlign w:val="superscript"/>
        </w:rPr>
        <w:t>20</w:t>
      </w:r>
      <w:r>
        <w:rPr>
          <w:spacing w:val="-2"/>
          <w:sz w:val="21"/>
          <w:vertAlign w:val="baseline"/>
        </w:rPr>
        <w:t>、</w:t>
      </w:r>
      <w:r>
        <w:rPr>
          <w:b/>
          <w:spacing w:val="-2"/>
          <w:sz w:val="21"/>
          <w:vertAlign w:val="baseline"/>
        </w:rPr>
        <w:t>肿</w:t>
      </w:r>
      <w:r>
        <w:rPr>
          <w:b/>
          <w:spacing w:val="-2"/>
          <w:sz w:val="21"/>
          <w:vertAlign w:val="baseline"/>
        </w:rPr>
        <w:t>瘤</w:t>
      </w:r>
      <w:r>
        <w:rPr>
          <w:b/>
          <w:spacing w:val="-2"/>
          <w:sz w:val="21"/>
          <w:vertAlign w:val="baseline"/>
        </w:rPr>
        <w:t>靶</w:t>
      </w:r>
      <w:r>
        <w:rPr>
          <w:b/>
          <w:spacing w:val="-2"/>
          <w:sz w:val="21"/>
          <w:vertAlign w:val="baseline"/>
        </w:rPr>
        <w:t>向</w:t>
      </w:r>
      <w:r>
        <w:rPr>
          <w:b/>
          <w:spacing w:val="-2"/>
          <w:sz w:val="21"/>
          <w:vertAlign w:val="baseline"/>
        </w:rPr>
        <w:t>疗</w:t>
      </w:r>
      <w:r>
        <w:rPr>
          <w:b/>
          <w:spacing w:val="-2"/>
          <w:sz w:val="21"/>
          <w:vertAlign w:val="baseline"/>
        </w:rPr>
        <w:t>法</w:t>
      </w:r>
      <w:r>
        <w:rPr>
          <w:rFonts w:ascii="Times New Roman" w:eastAsia="Times New Roman"/>
          <w:b/>
          <w:spacing w:val="-2"/>
          <w:sz w:val="21"/>
          <w:vertAlign w:val="superscript"/>
        </w:rPr>
        <w:t>21</w:t>
      </w:r>
      <w:r>
        <w:rPr>
          <w:spacing w:val="-2"/>
          <w:sz w:val="21"/>
          <w:vertAlign w:val="baseline"/>
        </w:rPr>
        <w:t>；</w:t>
      </w:r>
    </w:p>
    <w:p>
      <w:pPr>
        <w:pStyle w:val="ListParagraph"/>
        <w:numPr>
          <w:ilvl w:val="1"/>
          <w:numId w:val="3"/>
        </w:numPr>
        <w:tabs>
          <w:tab w:pos="1577" w:val="left" w:leader="none"/>
          <w:tab w:pos="1578" w:val="left" w:leader="none"/>
        </w:tabs>
        <w:spacing w:line="269" w:lineRule="exact" w:before="0" w:after="0"/>
        <w:ind w:left="1577" w:right="0" w:hanging="421"/>
        <w:jc w:val="left"/>
        <w:rPr>
          <w:sz w:val="21"/>
        </w:rPr>
      </w:pPr>
      <w:r>
        <w:rPr>
          <w:spacing w:val="-1"/>
          <w:sz w:val="21"/>
        </w:rPr>
        <w:t>器官移植后抗排异治疗。</w:t>
      </w:r>
    </w:p>
    <w:p>
      <w:pPr>
        <w:pStyle w:val="BodyText"/>
        <w:spacing w:before="43"/>
      </w:pPr>
      <w:r>
        <w:rPr>
          <w:rFonts w:ascii="Times New Roman" w:eastAsia="Times New Roman"/>
        </w:rPr>
        <w:t>3</w:t>
      </w:r>
      <w:r>
        <w:rPr>
          <w:spacing w:val="-9"/>
        </w:rPr>
        <w:t>、 门诊手术医疗费用</w:t>
      </w:r>
    </w:p>
    <w:p>
      <w:pPr>
        <w:pStyle w:val="BodyText"/>
        <w:spacing w:line="278" w:lineRule="auto" w:before="43"/>
        <w:ind w:right="854"/>
      </w:pPr>
      <w:r>
        <w:rPr>
          <w:spacing w:val="-2"/>
        </w:rPr>
        <w:t>指被保险人在该中国大陆地区医院进行门诊手术治疗期间内实际支出的必要且合理的门诊</w:t>
      </w:r>
      <w:r>
        <w:rPr>
          <w:spacing w:val="-2"/>
        </w:rPr>
        <w:t>手术医疗费用。</w:t>
      </w:r>
    </w:p>
    <w:p>
      <w:pPr>
        <w:pStyle w:val="BodyText"/>
        <w:spacing w:line="269" w:lineRule="exact"/>
        <w:jc w:val="both"/>
      </w:pPr>
      <w:r>
        <w:rPr>
          <w:rFonts w:ascii="Times New Roman" w:eastAsia="Times New Roman"/>
        </w:rPr>
        <w:t>4</w:t>
      </w:r>
      <w:r>
        <w:rPr>
          <w:spacing w:val="-9"/>
        </w:rPr>
        <w:t>、 住院前后门急诊医疗费用</w:t>
      </w:r>
    </w:p>
    <w:p>
      <w:pPr>
        <w:pStyle w:val="BodyText"/>
        <w:spacing w:line="278" w:lineRule="auto" w:before="43"/>
        <w:ind w:right="733"/>
        <w:jc w:val="both"/>
      </w:pPr>
      <w:r>
        <w:rPr>
          <w:spacing w:val="-4"/>
        </w:rPr>
        <w:t>指被保险人在该中国大陆地区医院住院前（含住院当日）三十天（含）和出院后（含出院当日）三十天（含）内，因与该次住院相同原因接受门急诊治疗实际支出的必要且合理的医疗</w:t>
      </w:r>
      <w:r>
        <w:rPr>
          <w:spacing w:val="-2"/>
        </w:rPr>
        <w:t>费用（</w:t>
      </w:r>
      <w:r>
        <w:rPr>
          <w:rFonts w:ascii="黑体" w:eastAsia="黑体"/>
          <w:color w:val="000000"/>
          <w:spacing w:val="-2"/>
          <w:shd w:fill="D9D9D9" w:color="auto" w:val="clear"/>
        </w:rPr>
        <w:t>此项费用不包含特殊门诊医疗费用和门诊手术医疗费用</w:t>
      </w:r>
      <w:r>
        <w:rPr>
          <w:color w:val="000000"/>
          <w:spacing w:val="-2"/>
        </w:rPr>
        <w:t>）。</w:t>
      </w:r>
    </w:p>
    <w:p>
      <w:pPr>
        <w:pStyle w:val="BodyText"/>
        <w:spacing w:before="10"/>
        <w:ind w:left="0"/>
        <w:rPr>
          <w:sz w:val="18"/>
        </w:rPr>
      </w:pPr>
    </w:p>
    <w:p>
      <w:pPr>
        <w:pStyle w:val="BodyText"/>
        <w:spacing w:line="278" w:lineRule="auto" w:before="71"/>
        <w:ind w:right="732"/>
        <w:jc w:val="both"/>
        <w:rPr>
          <w:rFonts w:ascii="黑体" w:eastAsia="黑体"/>
        </w:rPr>
      </w:pPr>
      <w:r>
        <w:rPr>
          <w:rFonts w:ascii="黑体" w:eastAsia="黑体"/>
          <w:color w:val="000000"/>
          <w:spacing w:val="-11"/>
          <w:shd w:fill="D9D9D9" w:color="auto" w:val="clear"/>
        </w:rPr>
        <w:t>在同一保险期间内，我们给付的一般医疗保险金总额以本合同约定的一般医疗保险金年度给</w:t>
      </w:r>
      <w:r>
        <w:rPr>
          <w:rFonts w:ascii="黑体" w:eastAsia="黑体"/>
          <w:color w:val="000000"/>
          <w:spacing w:val="40"/>
          <w:shd w:fill="D9D9D9" w:color="auto" w:val="clear"/>
        </w:rPr>
        <w:t> </w:t>
      </w:r>
      <w:r>
        <w:rPr>
          <w:rFonts w:ascii="黑体" w:eastAsia="黑体"/>
          <w:color w:val="000000"/>
          <w:spacing w:val="-12"/>
          <w:shd w:fill="D9D9D9" w:color="auto" w:val="clear"/>
        </w:rPr>
        <w:t>付限额为限，一次或累计给付的一般医疗保险金总额达到本合同约定的一般医疗保险金年度</w:t>
      </w:r>
      <w:r>
        <w:rPr>
          <w:rFonts w:ascii="黑体" w:eastAsia="黑体"/>
          <w:color w:val="000000"/>
          <w:spacing w:val="-2"/>
          <w:shd w:fill="D9D9D9" w:color="auto" w:val="clear"/>
        </w:rPr>
        <w:t>给付限额时，一般医疗保险金责任终止。</w:t>
      </w:r>
    </w:p>
    <w:p>
      <w:pPr>
        <w:pStyle w:val="BodyText"/>
        <w:spacing w:before="4"/>
        <w:ind w:left="0"/>
        <w:rPr>
          <w:rFonts w:ascii="黑体"/>
          <w:sz w:val="24"/>
        </w:rPr>
      </w:pPr>
    </w:p>
    <w:p>
      <w:pPr>
        <w:pStyle w:val="BodyText"/>
      </w:pPr>
      <w:r>
        <w:rPr>
          <w:spacing w:val="-1"/>
        </w:rPr>
        <w:t>二、重大疾病医疗保险金</w:t>
      </w:r>
    </w:p>
    <w:p>
      <w:pPr>
        <w:pStyle w:val="BodyText"/>
        <w:spacing w:line="278" w:lineRule="auto" w:before="43"/>
        <w:ind w:right="732"/>
        <w:jc w:val="both"/>
      </w:pPr>
      <w:r>
        <w:rPr>
          <w:spacing w:val="-11"/>
        </w:rPr>
        <w:t>在本合同有效期内，被保险人因意外伤害或在等待期后因意外伤害以外的原因首次发病且经</w:t>
      </w:r>
      <w:r>
        <w:rPr>
          <w:spacing w:val="-2"/>
        </w:rPr>
        <w:t>我们认可的中国大陆地区医院的专科医生</w:t>
      </w:r>
      <w:r>
        <w:rPr>
          <w:b/>
          <w:spacing w:val="-2"/>
        </w:rPr>
        <w:t>确诊</w:t>
      </w:r>
      <w:r>
        <w:rPr>
          <w:b/>
          <w:spacing w:val="-2"/>
        </w:rPr>
        <w:t>初</w:t>
      </w:r>
      <w:r>
        <w:rPr>
          <w:b/>
          <w:spacing w:val="-2"/>
        </w:rPr>
        <w:t>次</w:t>
      </w:r>
      <w:r>
        <w:rPr>
          <w:b/>
          <w:spacing w:val="-2"/>
        </w:rPr>
        <w:t>罹</w:t>
      </w:r>
      <w:r>
        <w:rPr>
          <w:b/>
          <w:spacing w:val="-2"/>
        </w:rPr>
        <w:t>患</w:t>
      </w:r>
      <w:r>
        <w:rPr>
          <w:rFonts w:ascii="Times New Roman" w:eastAsia="Times New Roman"/>
          <w:b/>
          <w:spacing w:val="-2"/>
          <w:vertAlign w:val="superscript"/>
        </w:rPr>
        <w:t>22</w:t>
      </w:r>
      <w:r>
        <w:rPr>
          <w:spacing w:val="-2"/>
          <w:vertAlign w:val="baseline"/>
        </w:rPr>
        <w:t>本合同所定义的</w:t>
      </w:r>
      <w:r>
        <w:rPr>
          <w:b/>
          <w:spacing w:val="-2"/>
          <w:vertAlign w:val="baseline"/>
        </w:rPr>
        <w:t>重</w:t>
      </w:r>
      <w:r>
        <w:rPr>
          <w:b/>
          <w:spacing w:val="-2"/>
          <w:vertAlign w:val="baseline"/>
        </w:rPr>
        <w:t>大</w:t>
      </w:r>
      <w:r>
        <w:rPr>
          <w:b/>
          <w:spacing w:val="-2"/>
          <w:vertAlign w:val="baseline"/>
        </w:rPr>
        <w:t>疾</w:t>
      </w:r>
      <w:r>
        <w:rPr>
          <w:b/>
          <w:spacing w:val="-2"/>
          <w:vertAlign w:val="baseline"/>
        </w:rPr>
        <w:t>病</w:t>
      </w:r>
      <w:r>
        <w:rPr>
          <w:rFonts w:ascii="Times New Roman" w:eastAsia="Times New Roman"/>
          <w:b/>
          <w:spacing w:val="-2"/>
          <w:vertAlign w:val="superscript"/>
        </w:rPr>
        <w:t>23</w:t>
      </w:r>
      <w:r>
        <w:rPr>
          <w:spacing w:val="-2"/>
          <w:vertAlign w:val="baseline"/>
        </w:rPr>
        <w:t>，并在</w:t>
      </w:r>
      <w:r>
        <w:rPr>
          <w:spacing w:val="-6"/>
          <w:vertAlign w:val="baseline"/>
        </w:rPr>
        <w:t>我们认可的中国大陆地区医院进行治疗的，我们先按本合同第四条第一款的约定给付一般医</w:t>
      </w:r>
    </w:p>
    <w:p>
      <w:pPr>
        <w:pStyle w:val="BodyText"/>
        <w:spacing w:before="9"/>
        <w:ind w:left="0"/>
        <w:rPr>
          <w:sz w:val="26"/>
        </w:rPr>
      </w:pPr>
      <w:r>
        <w:rPr/>
        <w:drawing>
          <wp:anchor distT="0" distB="0" distL="0" distR="0" allowOverlap="1" layoutInCell="1" locked="0" behindDoc="0" simplePos="0" relativeHeight="5">
            <wp:simplePos x="0" y="0"/>
            <wp:positionH relativeFrom="page">
              <wp:posOffset>1141475</wp:posOffset>
            </wp:positionH>
            <wp:positionV relativeFrom="paragraph">
              <wp:posOffset>233060</wp:posOffset>
            </wp:positionV>
            <wp:extent cx="1828766" cy="6858"/>
            <wp:effectExtent l="0" t="0" r="0" b="0"/>
            <wp:wrapTopAndBottom/>
            <wp:docPr id="7" name="image2.png"/>
            <wp:cNvGraphicFramePr>
              <a:graphicFrameLocks noChangeAspect="1"/>
            </wp:cNvGraphicFramePr>
            <a:graphic>
              <a:graphicData uri="http://schemas.openxmlformats.org/drawingml/2006/picture">
                <pic:pic>
                  <pic:nvPicPr>
                    <pic:cNvPr id="8" name="image2.png"/>
                    <pic:cNvPicPr/>
                  </pic:nvPicPr>
                  <pic:blipFill>
                    <a:blip r:embed="rId7" cstate="print"/>
                    <a:stretch>
                      <a:fillRect/>
                    </a:stretch>
                  </pic:blipFill>
                  <pic:spPr>
                    <a:xfrm>
                      <a:off x="0" y="0"/>
                      <a:ext cx="1828766" cy="6858"/>
                    </a:xfrm>
                    <a:prstGeom prst="rect">
                      <a:avLst/>
                    </a:prstGeom>
                  </pic:spPr>
                </pic:pic>
              </a:graphicData>
            </a:graphic>
          </wp:anchor>
        </w:drawing>
      </w:r>
    </w:p>
    <w:p>
      <w:pPr>
        <w:spacing w:line="225" w:lineRule="exact" w:before="87"/>
        <w:ind w:left="737" w:right="0" w:firstLine="0"/>
        <w:jc w:val="left"/>
        <w:rPr>
          <w:sz w:val="18"/>
        </w:rPr>
      </w:pPr>
      <w:r>
        <w:rPr>
          <w:rFonts w:ascii="Times New Roman" w:eastAsia="Times New Roman"/>
          <w:w w:val="95"/>
          <w:sz w:val="18"/>
          <w:vertAlign w:val="superscript"/>
        </w:rPr>
        <w:t>16</w:t>
      </w:r>
      <w:r>
        <w:rPr>
          <w:b/>
          <w:w w:val="95"/>
          <w:sz w:val="18"/>
          <w:vertAlign w:val="baseline"/>
        </w:rPr>
        <w:t>恶</w:t>
      </w:r>
      <w:r>
        <w:rPr>
          <w:b/>
          <w:w w:val="95"/>
          <w:sz w:val="18"/>
          <w:vertAlign w:val="baseline"/>
        </w:rPr>
        <w:t>性</w:t>
      </w:r>
      <w:r>
        <w:rPr>
          <w:b/>
          <w:w w:val="95"/>
          <w:sz w:val="18"/>
          <w:vertAlign w:val="baseline"/>
        </w:rPr>
        <w:t>肿</w:t>
      </w:r>
      <w:r>
        <w:rPr>
          <w:b/>
          <w:w w:val="95"/>
          <w:sz w:val="18"/>
          <w:vertAlign w:val="baseline"/>
        </w:rPr>
        <w:t>瘤</w:t>
      </w:r>
      <w:r>
        <w:rPr>
          <w:b/>
          <w:w w:val="95"/>
          <w:sz w:val="18"/>
          <w:vertAlign w:val="baseline"/>
        </w:rPr>
        <w:t>：</w:t>
      </w:r>
      <w:r>
        <w:rPr>
          <w:w w:val="95"/>
          <w:sz w:val="18"/>
          <w:vertAlign w:val="baseline"/>
        </w:rPr>
        <w:t>指</w:t>
      </w:r>
      <w:r>
        <w:rPr>
          <w:w w:val="95"/>
          <w:sz w:val="18"/>
          <w:vertAlign w:val="baseline"/>
        </w:rPr>
        <w:t>恶</w:t>
      </w:r>
      <w:r>
        <w:rPr>
          <w:w w:val="95"/>
          <w:sz w:val="18"/>
          <w:vertAlign w:val="baseline"/>
        </w:rPr>
        <w:t>性</w:t>
      </w:r>
      <w:r>
        <w:rPr>
          <w:w w:val="95"/>
          <w:sz w:val="18"/>
          <w:vertAlign w:val="baseline"/>
        </w:rPr>
        <w:t>细</w:t>
      </w:r>
      <w:r>
        <w:rPr>
          <w:w w:val="95"/>
          <w:sz w:val="18"/>
          <w:vertAlign w:val="baseline"/>
        </w:rPr>
        <w:t>胞</w:t>
      </w:r>
      <w:r>
        <w:rPr>
          <w:w w:val="95"/>
          <w:sz w:val="18"/>
          <w:vertAlign w:val="baseline"/>
        </w:rPr>
        <w:t>不</w:t>
      </w:r>
      <w:r>
        <w:rPr>
          <w:w w:val="95"/>
          <w:sz w:val="18"/>
          <w:vertAlign w:val="baseline"/>
        </w:rPr>
        <w:t>受</w:t>
      </w:r>
      <w:r>
        <w:rPr>
          <w:w w:val="95"/>
          <w:sz w:val="18"/>
          <w:vertAlign w:val="baseline"/>
        </w:rPr>
        <w:t>控</w:t>
      </w:r>
      <w:r>
        <w:rPr>
          <w:w w:val="95"/>
          <w:sz w:val="18"/>
          <w:vertAlign w:val="baseline"/>
        </w:rPr>
        <w:t>制</w:t>
      </w:r>
      <w:r>
        <w:rPr>
          <w:w w:val="95"/>
          <w:sz w:val="18"/>
          <w:vertAlign w:val="baseline"/>
        </w:rPr>
        <w:t>的</w:t>
      </w:r>
      <w:r>
        <w:rPr>
          <w:w w:val="95"/>
          <w:sz w:val="18"/>
          <w:vertAlign w:val="baseline"/>
        </w:rPr>
        <w:t>进</w:t>
      </w:r>
      <w:r>
        <w:rPr>
          <w:w w:val="95"/>
          <w:sz w:val="18"/>
          <w:vertAlign w:val="baseline"/>
        </w:rPr>
        <w:t>行</w:t>
      </w:r>
      <w:r>
        <w:rPr>
          <w:w w:val="95"/>
          <w:sz w:val="18"/>
          <w:vertAlign w:val="baseline"/>
        </w:rPr>
        <w:t>性</w:t>
      </w:r>
      <w:r>
        <w:rPr>
          <w:w w:val="95"/>
          <w:sz w:val="18"/>
          <w:vertAlign w:val="baseline"/>
        </w:rPr>
        <w:t>增</w:t>
      </w:r>
      <w:r>
        <w:rPr>
          <w:w w:val="95"/>
          <w:sz w:val="18"/>
          <w:vertAlign w:val="baseline"/>
        </w:rPr>
        <w:t>长</w:t>
      </w:r>
      <w:r>
        <w:rPr>
          <w:w w:val="95"/>
          <w:sz w:val="18"/>
          <w:vertAlign w:val="baseline"/>
        </w:rPr>
        <w:t>和</w:t>
      </w:r>
      <w:r>
        <w:rPr>
          <w:w w:val="95"/>
          <w:sz w:val="18"/>
          <w:vertAlign w:val="baseline"/>
        </w:rPr>
        <w:t>扩</w:t>
      </w:r>
      <w:r>
        <w:rPr>
          <w:w w:val="95"/>
          <w:sz w:val="18"/>
          <w:vertAlign w:val="baseline"/>
        </w:rPr>
        <w:t>散</w:t>
      </w:r>
      <w:r>
        <w:rPr>
          <w:w w:val="95"/>
          <w:sz w:val="18"/>
          <w:vertAlign w:val="baseline"/>
        </w:rPr>
        <w:t>，</w:t>
      </w:r>
      <w:r>
        <w:rPr>
          <w:w w:val="95"/>
          <w:sz w:val="18"/>
          <w:vertAlign w:val="baseline"/>
        </w:rPr>
        <w:t>浸</w:t>
      </w:r>
      <w:r>
        <w:rPr>
          <w:w w:val="95"/>
          <w:sz w:val="18"/>
          <w:vertAlign w:val="baseline"/>
        </w:rPr>
        <w:t>润</w:t>
      </w:r>
      <w:r>
        <w:rPr>
          <w:w w:val="95"/>
          <w:sz w:val="18"/>
          <w:vertAlign w:val="baseline"/>
        </w:rPr>
        <w:t>和</w:t>
      </w:r>
      <w:r>
        <w:rPr>
          <w:w w:val="95"/>
          <w:sz w:val="18"/>
          <w:vertAlign w:val="baseline"/>
        </w:rPr>
        <w:t>破</w:t>
      </w:r>
      <w:r>
        <w:rPr>
          <w:w w:val="95"/>
          <w:sz w:val="18"/>
          <w:vertAlign w:val="baseline"/>
        </w:rPr>
        <w:t>坏</w:t>
      </w:r>
      <w:r>
        <w:rPr>
          <w:w w:val="95"/>
          <w:sz w:val="18"/>
          <w:vertAlign w:val="baseline"/>
        </w:rPr>
        <w:t>周</w:t>
      </w:r>
      <w:r>
        <w:rPr>
          <w:w w:val="95"/>
          <w:sz w:val="18"/>
          <w:vertAlign w:val="baseline"/>
        </w:rPr>
        <w:t>围</w:t>
      </w:r>
      <w:r>
        <w:rPr>
          <w:w w:val="95"/>
          <w:sz w:val="18"/>
          <w:vertAlign w:val="baseline"/>
        </w:rPr>
        <w:t>正</w:t>
      </w:r>
      <w:r>
        <w:rPr>
          <w:w w:val="95"/>
          <w:sz w:val="18"/>
          <w:vertAlign w:val="baseline"/>
        </w:rPr>
        <w:t>常</w:t>
      </w:r>
      <w:r>
        <w:rPr>
          <w:w w:val="95"/>
          <w:sz w:val="18"/>
          <w:vertAlign w:val="baseline"/>
        </w:rPr>
        <w:t>组</w:t>
      </w:r>
      <w:r>
        <w:rPr>
          <w:w w:val="95"/>
          <w:sz w:val="18"/>
          <w:vertAlign w:val="baseline"/>
        </w:rPr>
        <w:t>织</w:t>
      </w:r>
      <w:r>
        <w:rPr>
          <w:w w:val="95"/>
          <w:sz w:val="18"/>
          <w:vertAlign w:val="baseline"/>
        </w:rPr>
        <w:t>，</w:t>
      </w:r>
      <w:r>
        <w:rPr>
          <w:w w:val="95"/>
          <w:sz w:val="18"/>
          <w:vertAlign w:val="baseline"/>
        </w:rPr>
        <w:t>可</w:t>
      </w:r>
      <w:r>
        <w:rPr>
          <w:w w:val="95"/>
          <w:sz w:val="18"/>
          <w:vertAlign w:val="baseline"/>
        </w:rPr>
        <w:t>以</w:t>
      </w:r>
      <w:r>
        <w:rPr>
          <w:w w:val="95"/>
          <w:sz w:val="18"/>
          <w:vertAlign w:val="baseline"/>
        </w:rPr>
        <w:t>经</w:t>
      </w:r>
      <w:r>
        <w:rPr>
          <w:w w:val="95"/>
          <w:sz w:val="18"/>
          <w:vertAlign w:val="baseline"/>
        </w:rPr>
        <w:t>血</w:t>
      </w:r>
      <w:r>
        <w:rPr>
          <w:w w:val="95"/>
          <w:sz w:val="18"/>
          <w:vertAlign w:val="baseline"/>
        </w:rPr>
        <w:t>管</w:t>
      </w:r>
      <w:r>
        <w:rPr>
          <w:w w:val="95"/>
          <w:sz w:val="18"/>
          <w:vertAlign w:val="baseline"/>
        </w:rPr>
        <w:t>、</w:t>
      </w:r>
      <w:r>
        <w:rPr>
          <w:w w:val="95"/>
          <w:sz w:val="18"/>
          <w:vertAlign w:val="baseline"/>
        </w:rPr>
        <w:t>淋</w:t>
      </w:r>
      <w:r>
        <w:rPr>
          <w:w w:val="95"/>
          <w:sz w:val="18"/>
          <w:vertAlign w:val="baseline"/>
        </w:rPr>
        <w:t>巴</w:t>
      </w:r>
      <w:r>
        <w:rPr>
          <w:spacing w:val="-10"/>
          <w:w w:val="95"/>
          <w:sz w:val="18"/>
          <w:vertAlign w:val="baseline"/>
        </w:rPr>
        <w:t>管</w:t>
      </w:r>
    </w:p>
    <w:p>
      <w:pPr>
        <w:spacing w:line="228" w:lineRule="auto" w:before="4"/>
        <w:ind w:left="737" w:right="764" w:firstLine="0"/>
        <w:jc w:val="left"/>
        <w:rPr>
          <w:rFonts w:ascii="黑体" w:eastAsia="黑体"/>
          <w:sz w:val="18"/>
        </w:rPr>
      </w:pPr>
      <w:r>
        <w:rPr>
          <w:spacing w:val="-2"/>
          <w:sz w:val="18"/>
        </w:rPr>
        <w:t>和体腔扩散转移到身体其它部位的疾病。经病理学检查结果明确诊断，临床诊断属于世界卫生组织《疾病</w:t>
      </w:r>
      <w:r>
        <w:rPr>
          <w:spacing w:val="-2"/>
          <w:sz w:val="18"/>
        </w:rPr>
        <w:t>和有关健康问题的国际统计分类》（</w:t>
      </w:r>
      <w:r>
        <w:rPr>
          <w:rFonts w:ascii="Times New Roman" w:eastAsia="Times New Roman"/>
          <w:spacing w:val="-2"/>
          <w:sz w:val="18"/>
        </w:rPr>
        <w:t>ICD-10</w:t>
      </w:r>
      <w:r>
        <w:rPr>
          <w:spacing w:val="-2"/>
          <w:sz w:val="18"/>
        </w:rPr>
        <w:t>）的恶性肿瘤范畴。</w:t>
      </w:r>
      <w:r>
        <w:rPr>
          <w:rFonts w:ascii="黑体" w:eastAsia="黑体"/>
          <w:color w:val="000000"/>
          <w:spacing w:val="-2"/>
          <w:sz w:val="18"/>
          <w:shd w:fill="D9D9D9" w:color="auto" w:val="clear"/>
        </w:rPr>
        <w:t>下列疾病不在保障范围内：</w:t>
      </w:r>
    </w:p>
    <w:p>
      <w:pPr>
        <w:pStyle w:val="ListParagraph"/>
        <w:numPr>
          <w:ilvl w:val="0"/>
          <w:numId w:val="4"/>
        </w:numPr>
        <w:tabs>
          <w:tab w:pos="1188" w:val="left" w:leader="none"/>
        </w:tabs>
        <w:spacing w:line="218" w:lineRule="exact" w:before="0" w:after="0"/>
        <w:ind w:left="1187" w:right="0" w:hanging="241"/>
        <w:jc w:val="left"/>
        <w:rPr>
          <w:rFonts w:ascii="黑体" w:eastAsia="黑体"/>
          <w:sz w:val="18"/>
        </w:rPr>
      </w:pPr>
      <w:r>
        <w:rPr>
          <w:rFonts w:ascii="黑体" w:eastAsia="黑体"/>
          <w:color w:val="000000"/>
          <w:spacing w:val="-3"/>
          <w:sz w:val="18"/>
          <w:shd w:fill="D9D9D9" w:color="auto" w:val="clear"/>
        </w:rPr>
        <w:t>原位癌；</w:t>
      </w:r>
    </w:p>
    <w:p>
      <w:pPr>
        <w:pStyle w:val="ListParagraph"/>
        <w:numPr>
          <w:ilvl w:val="0"/>
          <w:numId w:val="4"/>
        </w:numPr>
        <w:tabs>
          <w:tab w:pos="1188" w:val="left" w:leader="none"/>
        </w:tabs>
        <w:spacing w:line="220" w:lineRule="exact" w:before="0" w:after="0"/>
        <w:ind w:left="1187" w:right="0" w:hanging="241"/>
        <w:jc w:val="left"/>
        <w:rPr>
          <w:rFonts w:ascii="黑体" w:eastAsia="黑体"/>
          <w:sz w:val="18"/>
        </w:rPr>
      </w:pPr>
      <w:r>
        <w:rPr>
          <w:rFonts w:ascii="黑体" w:eastAsia="黑体"/>
          <w:color w:val="000000"/>
          <w:spacing w:val="-2"/>
          <w:sz w:val="18"/>
          <w:shd w:fill="D9D9D9" w:color="auto" w:val="clear"/>
        </w:rPr>
        <w:t>相当于</w:t>
      </w:r>
      <w:r>
        <w:rPr>
          <w:rFonts w:ascii="Times New Roman" w:eastAsia="Times New Roman"/>
          <w:color w:val="000000"/>
          <w:spacing w:val="-2"/>
          <w:sz w:val="18"/>
          <w:shd w:fill="D9D9D9" w:color="auto" w:val="clear"/>
        </w:rPr>
        <w:t>Binet</w:t>
      </w:r>
      <w:r>
        <w:rPr>
          <w:rFonts w:ascii="黑体" w:eastAsia="黑体"/>
          <w:color w:val="000000"/>
          <w:spacing w:val="-2"/>
          <w:sz w:val="18"/>
          <w:shd w:fill="D9D9D9" w:color="auto" w:val="clear"/>
        </w:rPr>
        <w:t>分期方案</w:t>
      </w:r>
      <w:r>
        <w:rPr>
          <w:rFonts w:ascii="Times New Roman" w:eastAsia="Times New Roman"/>
          <w:color w:val="000000"/>
          <w:spacing w:val="-2"/>
          <w:sz w:val="18"/>
          <w:shd w:fill="D9D9D9" w:color="auto" w:val="clear"/>
        </w:rPr>
        <w:t>A</w:t>
      </w:r>
      <w:r>
        <w:rPr>
          <w:rFonts w:ascii="黑体" w:eastAsia="黑体"/>
          <w:color w:val="000000"/>
          <w:spacing w:val="-3"/>
          <w:sz w:val="18"/>
          <w:shd w:fill="D9D9D9" w:color="auto" w:val="clear"/>
        </w:rPr>
        <w:t>期程度的慢性淋巴细胞白血病；</w:t>
      </w:r>
    </w:p>
    <w:p>
      <w:pPr>
        <w:pStyle w:val="ListParagraph"/>
        <w:numPr>
          <w:ilvl w:val="0"/>
          <w:numId w:val="4"/>
        </w:numPr>
        <w:tabs>
          <w:tab w:pos="1188" w:val="left" w:leader="none"/>
        </w:tabs>
        <w:spacing w:line="220" w:lineRule="exact" w:before="0" w:after="0"/>
        <w:ind w:left="1187" w:right="0" w:hanging="241"/>
        <w:jc w:val="left"/>
        <w:rPr>
          <w:rFonts w:ascii="黑体" w:eastAsia="黑体"/>
          <w:sz w:val="18"/>
        </w:rPr>
      </w:pPr>
      <w:r>
        <w:rPr>
          <w:rFonts w:ascii="黑体" w:eastAsia="黑体"/>
          <w:color w:val="000000"/>
          <w:sz w:val="18"/>
          <w:shd w:fill="D9D9D9" w:color="auto" w:val="clear"/>
        </w:rPr>
        <w:t>相当于</w:t>
      </w:r>
      <w:r>
        <w:rPr>
          <w:rFonts w:ascii="Times New Roman" w:eastAsia="Times New Roman"/>
          <w:color w:val="000000"/>
          <w:sz w:val="18"/>
          <w:shd w:fill="D9D9D9" w:color="auto" w:val="clear"/>
        </w:rPr>
        <w:t>AnnArbor</w:t>
      </w:r>
      <w:r>
        <w:rPr>
          <w:rFonts w:ascii="黑体" w:eastAsia="黑体"/>
          <w:color w:val="000000"/>
          <w:sz w:val="18"/>
          <w:shd w:fill="D9D9D9" w:color="auto" w:val="clear"/>
        </w:rPr>
        <w:t>分期方案</w:t>
      </w:r>
      <w:r>
        <w:rPr>
          <w:rFonts w:ascii="Times New Roman" w:eastAsia="Times New Roman"/>
          <w:color w:val="000000"/>
          <w:sz w:val="18"/>
          <w:shd w:fill="D9D9D9" w:color="auto" w:val="clear"/>
        </w:rPr>
        <w:t>I</w:t>
      </w:r>
      <w:r>
        <w:rPr>
          <w:rFonts w:ascii="黑体" w:eastAsia="黑体"/>
          <w:color w:val="000000"/>
          <w:spacing w:val="-1"/>
          <w:sz w:val="18"/>
          <w:shd w:fill="D9D9D9" w:color="auto" w:val="clear"/>
        </w:rPr>
        <w:t>期程度的何杰金氏病；</w:t>
      </w:r>
    </w:p>
    <w:p>
      <w:pPr>
        <w:pStyle w:val="ListParagraph"/>
        <w:numPr>
          <w:ilvl w:val="0"/>
          <w:numId w:val="4"/>
        </w:numPr>
        <w:tabs>
          <w:tab w:pos="1188" w:val="left" w:leader="none"/>
        </w:tabs>
        <w:spacing w:line="220" w:lineRule="exact" w:before="0" w:after="0"/>
        <w:ind w:left="1187" w:right="0" w:hanging="241"/>
        <w:jc w:val="left"/>
        <w:rPr>
          <w:rFonts w:ascii="黑体" w:eastAsia="黑体"/>
          <w:sz w:val="18"/>
        </w:rPr>
      </w:pPr>
      <w:r>
        <w:rPr>
          <w:rFonts w:ascii="黑体" w:eastAsia="黑体"/>
          <w:color w:val="000000"/>
          <w:sz w:val="18"/>
          <w:shd w:fill="D9D9D9" w:color="auto" w:val="clear"/>
        </w:rPr>
        <w:t>皮肤癌</w:t>
      </w:r>
      <w:r>
        <w:rPr>
          <w:rFonts w:ascii="黑体" w:eastAsia="黑体"/>
          <w:color w:val="000000"/>
          <w:sz w:val="18"/>
        </w:rPr>
        <w:t>（不包括恶性黑色素瘤及已发生转移的皮肤癌</w:t>
      </w:r>
      <w:r>
        <w:rPr>
          <w:rFonts w:ascii="黑体" w:eastAsia="黑体"/>
          <w:color w:val="000000"/>
          <w:spacing w:val="-5"/>
          <w:sz w:val="18"/>
        </w:rPr>
        <w:t>）；</w:t>
      </w:r>
    </w:p>
    <w:p>
      <w:pPr>
        <w:pStyle w:val="ListParagraph"/>
        <w:numPr>
          <w:ilvl w:val="0"/>
          <w:numId w:val="4"/>
        </w:numPr>
        <w:tabs>
          <w:tab w:pos="1144" w:val="left" w:leader="none"/>
        </w:tabs>
        <w:spacing w:line="220" w:lineRule="exact" w:before="0" w:after="0"/>
        <w:ind w:left="1143" w:right="0" w:hanging="197"/>
        <w:jc w:val="left"/>
        <w:rPr>
          <w:rFonts w:ascii="黑体" w:eastAsia="黑体"/>
          <w:sz w:val="18"/>
        </w:rPr>
      </w:pPr>
      <w:r>
        <w:rPr>
          <w:rFonts w:ascii="Times New Roman" w:eastAsia="Times New Roman"/>
          <w:color w:val="000000"/>
          <w:sz w:val="18"/>
          <w:shd w:fill="D9D9D9" w:color="auto" w:val="clear"/>
        </w:rPr>
        <w:t>TNM</w:t>
      </w:r>
      <w:r>
        <w:rPr>
          <w:rFonts w:ascii="Times New Roman" w:eastAsia="Times New Roman"/>
          <w:color w:val="000000"/>
          <w:spacing w:val="41"/>
          <w:sz w:val="18"/>
          <w:shd w:fill="D9D9D9" w:color="auto" w:val="clear"/>
        </w:rPr>
        <w:t> </w:t>
      </w:r>
      <w:r>
        <w:rPr>
          <w:rFonts w:ascii="黑体" w:eastAsia="黑体"/>
          <w:color w:val="000000"/>
          <w:sz w:val="18"/>
          <w:shd w:fill="D9D9D9" w:color="auto" w:val="clear"/>
        </w:rPr>
        <w:t>分期为</w:t>
      </w:r>
      <w:r>
        <w:rPr>
          <w:rFonts w:ascii="Times New Roman" w:eastAsia="Times New Roman"/>
          <w:color w:val="000000"/>
          <w:sz w:val="18"/>
          <w:shd w:fill="D9D9D9" w:color="auto" w:val="clear"/>
        </w:rPr>
        <w:t>T</w:t>
      </w:r>
      <w:r>
        <w:rPr>
          <w:rFonts w:ascii="Times New Roman" w:eastAsia="Times New Roman"/>
          <w:color w:val="000000"/>
          <w:sz w:val="9"/>
        </w:rPr>
        <w:t>1</w:t>
      </w:r>
      <w:r>
        <w:rPr>
          <w:rFonts w:ascii="Times New Roman" w:eastAsia="Times New Roman"/>
          <w:color w:val="000000"/>
          <w:sz w:val="18"/>
          <w:shd w:fill="D9D9D9" w:color="auto" w:val="clear"/>
        </w:rPr>
        <w:t>N</w:t>
      </w:r>
      <w:r>
        <w:rPr>
          <w:rFonts w:ascii="Times New Roman" w:eastAsia="Times New Roman"/>
          <w:color w:val="000000"/>
          <w:sz w:val="9"/>
        </w:rPr>
        <w:t>0</w:t>
      </w:r>
      <w:r>
        <w:rPr>
          <w:rFonts w:ascii="Times New Roman" w:eastAsia="Times New Roman"/>
          <w:color w:val="000000"/>
          <w:sz w:val="18"/>
          <w:shd w:fill="D9D9D9" w:color="auto" w:val="clear"/>
        </w:rPr>
        <w:t>M</w:t>
      </w:r>
      <w:r>
        <w:rPr>
          <w:rFonts w:ascii="Times New Roman" w:eastAsia="Times New Roman"/>
          <w:color w:val="000000"/>
          <w:sz w:val="9"/>
        </w:rPr>
        <w:t>0</w:t>
      </w:r>
      <w:r>
        <w:rPr>
          <w:rFonts w:ascii="Times New Roman" w:eastAsia="Times New Roman"/>
          <w:color w:val="000000"/>
          <w:spacing w:val="21"/>
          <w:sz w:val="9"/>
        </w:rPr>
        <w:t> </w:t>
      </w:r>
      <w:r>
        <w:rPr>
          <w:rFonts w:ascii="黑体" w:eastAsia="黑体"/>
          <w:color w:val="000000"/>
          <w:spacing w:val="-1"/>
          <w:sz w:val="18"/>
          <w:shd w:fill="D9D9D9" w:color="auto" w:val="clear"/>
        </w:rPr>
        <w:t>期或更轻分期的前列腺癌；</w:t>
      </w:r>
    </w:p>
    <w:p>
      <w:pPr>
        <w:pStyle w:val="ListParagraph"/>
        <w:numPr>
          <w:ilvl w:val="0"/>
          <w:numId w:val="4"/>
        </w:numPr>
        <w:tabs>
          <w:tab w:pos="1188" w:val="left" w:leader="none"/>
        </w:tabs>
        <w:spacing w:line="220" w:lineRule="exact" w:before="0" w:after="0"/>
        <w:ind w:left="1187" w:right="0" w:hanging="241"/>
        <w:jc w:val="left"/>
        <w:rPr>
          <w:rFonts w:ascii="黑体" w:eastAsia="黑体"/>
          <w:sz w:val="18"/>
        </w:rPr>
      </w:pPr>
      <w:r>
        <w:rPr>
          <w:rFonts w:ascii="黑体" w:eastAsia="黑体"/>
          <w:color w:val="000000"/>
          <w:spacing w:val="-1"/>
          <w:sz w:val="18"/>
          <w:shd w:fill="D9D9D9" w:color="auto" w:val="clear"/>
        </w:rPr>
        <w:t>感染艾滋病病毒或患艾滋病期间所患恶性肿瘤。</w:t>
      </w:r>
    </w:p>
    <w:p>
      <w:pPr>
        <w:spacing w:line="220" w:lineRule="exact" w:before="0"/>
        <w:ind w:left="737" w:right="0" w:firstLine="0"/>
        <w:jc w:val="left"/>
        <w:rPr>
          <w:sz w:val="18"/>
        </w:rPr>
      </w:pPr>
      <w:r>
        <w:rPr>
          <w:rFonts w:ascii="Times New Roman" w:eastAsia="Times New Roman"/>
          <w:w w:val="95"/>
          <w:sz w:val="18"/>
          <w:vertAlign w:val="superscript"/>
        </w:rPr>
        <w:t>17</w:t>
      </w:r>
      <w:r>
        <w:rPr>
          <w:b/>
          <w:w w:val="95"/>
          <w:sz w:val="18"/>
          <w:vertAlign w:val="baseline"/>
        </w:rPr>
        <w:t>化</w:t>
      </w:r>
      <w:r>
        <w:rPr>
          <w:b/>
          <w:w w:val="95"/>
          <w:sz w:val="18"/>
          <w:vertAlign w:val="baseline"/>
        </w:rPr>
        <w:t>学</w:t>
      </w:r>
      <w:r>
        <w:rPr>
          <w:b/>
          <w:w w:val="95"/>
          <w:sz w:val="18"/>
          <w:vertAlign w:val="baseline"/>
        </w:rPr>
        <w:t>疗</w:t>
      </w:r>
      <w:r>
        <w:rPr>
          <w:b/>
          <w:w w:val="95"/>
          <w:sz w:val="18"/>
          <w:vertAlign w:val="baseline"/>
        </w:rPr>
        <w:t>法</w:t>
      </w:r>
      <w:r>
        <w:rPr>
          <w:b/>
          <w:w w:val="95"/>
          <w:sz w:val="18"/>
          <w:vertAlign w:val="baseline"/>
        </w:rPr>
        <w:t>：</w:t>
      </w:r>
      <w:r>
        <w:rPr>
          <w:w w:val="95"/>
          <w:sz w:val="18"/>
          <w:vertAlign w:val="baseline"/>
        </w:rPr>
        <w:t>指</w:t>
      </w:r>
      <w:r>
        <w:rPr>
          <w:w w:val="95"/>
          <w:sz w:val="18"/>
          <w:vertAlign w:val="baseline"/>
        </w:rPr>
        <w:t>针</w:t>
      </w:r>
      <w:r>
        <w:rPr>
          <w:w w:val="95"/>
          <w:sz w:val="18"/>
          <w:vertAlign w:val="baseline"/>
        </w:rPr>
        <w:t>对</w:t>
      </w:r>
      <w:r>
        <w:rPr>
          <w:w w:val="95"/>
          <w:sz w:val="18"/>
          <w:vertAlign w:val="baseline"/>
        </w:rPr>
        <w:t>于</w:t>
      </w:r>
      <w:r>
        <w:rPr>
          <w:w w:val="95"/>
          <w:sz w:val="18"/>
          <w:vertAlign w:val="baseline"/>
        </w:rPr>
        <w:t>恶</w:t>
      </w:r>
      <w:r>
        <w:rPr>
          <w:w w:val="95"/>
          <w:sz w:val="18"/>
          <w:vertAlign w:val="baseline"/>
        </w:rPr>
        <w:t>性</w:t>
      </w:r>
      <w:r>
        <w:rPr>
          <w:w w:val="95"/>
          <w:sz w:val="18"/>
          <w:vertAlign w:val="baseline"/>
        </w:rPr>
        <w:t>肿</w:t>
      </w:r>
      <w:r>
        <w:rPr>
          <w:w w:val="95"/>
          <w:sz w:val="18"/>
          <w:vertAlign w:val="baseline"/>
        </w:rPr>
        <w:t>瘤</w:t>
      </w:r>
      <w:r>
        <w:rPr>
          <w:w w:val="95"/>
          <w:sz w:val="18"/>
          <w:vertAlign w:val="baseline"/>
        </w:rPr>
        <w:t>的</w:t>
      </w:r>
      <w:r>
        <w:rPr>
          <w:w w:val="95"/>
          <w:sz w:val="18"/>
          <w:vertAlign w:val="baseline"/>
        </w:rPr>
        <w:t>化</w:t>
      </w:r>
      <w:r>
        <w:rPr>
          <w:w w:val="95"/>
          <w:sz w:val="18"/>
          <w:vertAlign w:val="baseline"/>
        </w:rPr>
        <w:t>学</w:t>
      </w:r>
      <w:r>
        <w:rPr>
          <w:w w:val="95"/>
          <w:sz w:val="18"/>
          <w:vertAlign w:val="baseline"/>
        </w:rPr>
        <w:t>治</w:t>
      </w:r>
      <w:r>
        <w:rPr>
          <w:w w:val="95"/>
          <w:sz w:val="18"/>
          <w:vertAlign w:val="baseline"/>
        </w:rPr>
        <w:t>疗</w:t>
      </w:r>
      <w:r>
        <w:rPr>
          <w:w w:val="95"/>
          <w:sz w:val="18"/>
          <w:vertAlign w:val="baseline"/>
        </w:rPr>
        <w:t>。</w:t>
      </w:r>
      <w:r>
        <w:rPr>
          <w:w w:val="95"/>
          <w:sz w:val="18"/>
          <w:vertAlign w:val="baseline"/>
        </w:rPr>
        <w:t>化</w:t>
      </w:r>
      <w:r>
        <w:rPr>
          <w:w w:val="95"/>
          <w:sz w:val="18"/>
          <w:vertAlign w:val="baseline"/>
        </w:rPr>
        <w:t>疗</w:t>
      </w:r>
      <w:r>
        <w:rPr>
          <w:w w:val="95"/>
          <w:sz w:val="18"/>
          <w:vertAlign w:val="baseline"/>
        </w:rPr>
        <w:t>是</w:t>
      </w:r>
      <w:r>
        <w:rPr>
          <w:w w:val="95"/>
          <w:sz w:val="18"/>
          <w:vertAlign w:val="baseline"/>
        </w:rPr>
        <w:t>使</w:t>
      </w:r>
      <w:r>
        <w:rPr>
          <w:w w:val="95"/>
          <w:sz w:val="18"/>
          <w:vertAlign w:val="baseline"/>
        </w:rPr>
        <w:t>用</w:t>
      </w:r>
      <w:r>
        <w:rPr>
          <w:w w:val="95"/>
          <w:sz w:val="18"/>
          <w:vertAlign w:val="baseline"/>
        </w:rPr>
        <w:t>医</w:t>
      </w:r>
      <w:r>
        <w:rPr>
          <w:w w:val="95"/>
          <w:sz w:val="18"/>
          <w:vertAlign w:val="baseline"/>
        </w:rPr>
        <w:t>学</w:t>
      </w:r>
      <w:r>
        <w:rPr>
          <w:w w:val="95"/>
          <w:sz w:val="18"/>
          <w:vertAlign w:val="baseline"/>
        </w:rPr>
        <w:t>界</w:t>
      </w:r>
      <w:r>
        <w:rPr>
          <w:w w:val="95"/>
          <w:sz w:val="18"/>
          <w:vertAlign w:val="baseline"/>
        </w:rPr>
        <w:t>公</w:t>
      </w:r>
      <w:r>
        <w:rPr>
          <w:w w:val="95"/>
          <w:sz w:val="18"/>
          <w:vertAlign w:val="baseline"/>
        </w:rPr>
        <w:t>认</w:t>
      </w:r>
      <w:r>
        <w:rPr>
          <w:w w:val="95"/>
          <w:sz w:val="18"/>
          <w:vertAlign w:val="baseline"/>
        </w:rPr>
        <w:t>的</w:t>
      </w:r>
      <w:r>
        <w:rPr>
          <w:w w:val="95"/>
          <w:sz w:val="18"/>
          <w:vertAlign w:val="baseline"/>
        </w:rPr>
        <w:t>化</w:t>
      </w:r>
      <w:r>
        <w:rPr>
          <w:w w:val="95"/>
          <w:sz w:val="18"/>
          <w:vertAlign w:val="baseline"/>
        </w:rPr>
        <w:t>疗</w:t>
      </w:r>
      <w:r>
        <w:rPr>
          <w:w w:val="95"/>
          <w:sz w:val="18"/>
          <w:vertAlign w:val="baseline"/>
        </w:rPr>
        <w:t>药</w:t>
      </w:r>
      <w:r>
        <w:rPr>
          <w:w w:val="95"/>
          <w:sz w:val="18"/>
          <w:vertAlign w:val="baseline"/>
        </w:rPr>
        <w:t>物</w:t>
      </w:r>
      <w:r>
        <w:rPr>
          <w:w w:val="95"/>
          <w:sz w:val="18"/>
          <w:vertAlign w:val="baseline"/>
        </w:rPr>
        <w:t>以</w:t>
      </w:r>
      <w:r>
        <w:rPr>
          <w:w w:val="95"/>
          <w:sz w:val="18"/>
          <w:vertAlign w:val="baseline"/>
        </w:rPr>
        <w:t>杀</w:t>
      </w:r>
      <w:r>
        <w:rPr>
          <w:w w:val="95"/>
          <w:sz w:val="18"/>
          <w:vertAlign w:val="baseline"/>
        </w:rPr>
        <w:t>死</w:t>
      </w:r>
      <w:r>
        <w:rPr>
          <w:w w:val="95"/>
          <w:sz w:val="18"/>
          <w:vertAlign w:val="baseline"/>
        </w:rPr>
        <w:t>癌</w:t>
      </w:r>
      <w:r>
        <w:rPr>
          <w:w w:val="95"/>
          <w:sz w:val="18"/>
          <w:vertAlign w:val="baseline"/>
        </w:rPr>
        <w:t>细</w:t>
      </w:r>
      <w:r>
        <w:rPr>
          <w:w w:val="95"/>
          <w:sz w:val="18"/>
          <w:vertAlign w:val="baseline"/>
        </w:rPr>
        <w:t>胞</w:t>
      </w:r>
      <w:r>
        <w:rPr>
          <w:w w:val="95"/>
          <w:sz w:val="18"/>
          <w:vertAlign w:val="baseline"/>
        </w:rPr>
        <w:t>、</w:t>
      </w:r>
      <w:r>
        <w:rPr>
          <w:w w:val="95"/>
          <w:sz w:val="18"/>
          <w:vertAlign w:val="baseline"/>
        </w:rPr>
        <w:t>抑</w:t>
      </w:r>
      <w:r>
        <w:rPr>
          <w:w w:val="95"/>
          <w:sz w:val="18"/>
          <w:vertAlign w:val="baseline"/>
        </w:rPr>
        <w:t>制</w:t>
      </w:r>
      <w:r>
        <w:rPr>
          <w:w w:val="95"/>
          <w:sz w:val="18"/>
          <w:vertAlign w:val="baseline"/>
        </w:rPr>
        <w:t>癌</w:t>
      </w:r>
      <w:r>
        <w:rPr>
          <w:spacing w:val="-10"/>
          <w:w w:val="95"/>
          <w:sz w:val="18"/>
          <w:vertAlign w:val="baseline"/>
        </w:rPr>
        <w:t>细</w:t>
      </w:r>
    </w:p>
    <w:p>
      <w:pPr>
        <w:spacing w:line="220" w:lineRule="exact" w:before="0"/>
        <w:ind w:left="737" w:right="0" w:firstLine="0"/>
        <w:jc w:val="left"/>
        <w:rPr>
          <w:sz w:val="18"/>
        </w:rPr>
      </w:pPr>
      <w:r>
        <w:rPr>
          <w:spacing w:val="-1"/>
          <w:sz w:val="18"/>
        </w:rPr>
        <w:t>胞生长繁殖为目的而进行的治疗。本合同所指的化疗为被保险人根据医嘱，在医院进行的静脉注射化疗。</w:t>
      </w:r>
    </w:p>
    <w:p>
      <w:pPr>
        <w:spacing w:line="220" w:lineRule="exact" w:before="0"/>
        <w:ind w:left="737" w:right="0" w:firstLine="0"/>
        <w:jc w:val="left"/>
        <w:rPr>
          <w:sz w:val="18"/>
        </w:rPr>
      </w:pPr>
      <w:r>
        <w:rPr>
          <w:rFonts w:ascii="Times New Roman" w:eastAsia="Times New Roman"/>
          <w:w w:val="95"/>
          <w:sz w:val="18"/>
          <w:vertAlign w:val="superscript"/>
        </w:rPr>
        <w:t>18</w:t>
      </w:r>
      <w:r>
        <w:rPr>
          <w:b/>
          <w:w w:val="95"/>
          <w:sz w:val="18"/>
          <w:vertAlign w:val="baseline"/>
        </w:rPr>
        <w:t>放</w:t>
      </w:r>
      <w:r>
        <w:rPr>
          <w:b/>
          <w:w w:val="95"/>
          <w:sz w:val="18"/>
          <w:vertAlign w:val="baseline"/>
        </w:rPr>
        <w:t>射</w:t>
      </w:r>
      <w:r>
        <w:rPr>
          <w:b/>
          <w:w w:val="95"/>
          <w:sz w:val="18"/>
          <w:vertAlign w:val="baseline"/>
        </w:rPr>
        <w:t>疗</w:t>
      </w:r>
      <w:r>
        <w:rPr>
          <w:b/>
          <w:w w:val="95"/>
          <w:sz w:val="18"/>
          <w:vertAlign w:val="baseline"/>
        </w:rPr>
        <w:t>法</w:t>
      </w:r>
      <w:r>
        <w:rPr>
          <w:b/>
          <w:w w:val="95"/>
          <w:sz w:val="18"/>
          <w:vertAlign w:val="baseline"/>
        </w:rPr>
        <w:t>：</w:t>
      </w:r>
      <w:r>
        <w:rPr>
          <w:w w:val="95"/>
          <w:sz w:val="18"/>
          <w:vertAlign w:val="baseline"/>
        </w:rPr>
        <w:t>指</w:t>
      </w:r>
      <w:r>
        <w:rPr>
          <w:w w:val="95"/>
          <w:sz w:val="18"/>
          <w:vertAlign w:val="baseline"/>
        </w:rPr>
        <w:t>针</w:t>
      </w:r>
      <w:r>
        <w:rPr>
          <w:w w:val="95"/>
          <w:sz w:val="18"/>
          <w:vertAlign w:val="baseline"/>
        </w:rPr>
        <w:t>对</w:t>
      </w:r>
      <w:r>
        <w:rPr>
          <w:w w:val="95"/>
          <w:sz w:val="18"/>
          <w:vertAlign w:val="baseline"/>
        </w:rPr>
        <w:t>恶</w:t>
      </w:r>
      <w:r>
        <w:rPr>
          <w:w w:val="95"/>
          <w:sz w:val="18"/>
          <w:vertAlign w:val="baseline"/>
        </w:rPr>
        <w:t>性</w:t>
      </w:r>
      <w:r>
        <w:rPr>
          <w:w w:val="95"/>
          <w:sz w:val="18"/>
          <w:vertAlign w:val="baseline"/>
        </w:rPr>
        <w:t>肿</w:t>
      </w:r>
      <w:r>
        <w:rPr>
          <w:w w:val="95"/>
          <w:sz w:val="18"/>
          <w:vertAlign w:val="baseline"/>
        </w:rPr>
        <w:t>瘤</w:t>
      </w:r>
      <w:r>
        <w:rPr>
          <w:w w:val="95"/>
          <w:sz w:val="18"/>
          <w:vertAlign w:val="baseline"/>
        </w:rPr>
        <w:t>的</w:t>
      </w:r>
      <w:r>
        <w:rPr>
          <w:w w:val="95"/>
          <w:sz w:val="18"/>
          <w:vertAlign w:val="baseline"/>
        </w:rPr>
        <w:t>放</w:t>
      </w:r>
      <w:r>
        <w:rPr>
          <w:w w:val="95"/>
          <w:sz w:val="18"/>
          <w:vertAlign w:val="baseline"/>
        </w:rPr>
        <w:t>射</w:t>
      </w:r>
      <w:r>
        <w:rPr>
          <w:w w:val="95"/>
          <w:sz w:val="18"/>
          <w:vertAlign w:val="baseline"/>
        </w:rPr>
        <w:t>治</w:t>
      </w:r>
      <w:r>
        <w:rPr>
          <w:w w:val="95"/>
          <w:sz w:val="18"/>
          <w:vertAlign w:val="baseline"/>
        </w:rPr>
        <w:t>疗</w:t>
      </w:r>
      <w:r>
        <w:rPr>
          <w:w w:val="95"/>
          <w:sz w:val="18"/>
          <w:vertAlign w:val="baseline"/>
        </w:rPr>
        <w:t>。</w:t>
      </w:r>
      <w:r>
        <w:rPr>
          <w:w w:val="95"/>
          <w:sz w:val="18"/>
          <w:vertAlign w:val="baseline"/>
        </w:rPr>
        <w:t>放</w:t>
      </w:r>
      <w:r>
        <w:rPr>
          <w:w w:val="95"/>
          <w:sz w:val="18"/>
          <w:vertAlign w:val="baseline"/>
        </w:rPr>
        <w:t>疗</w:t>
      </w:r>
      <w:r>
        <w:rPr>
          <w:w w:val="95"/>
          <w:sz w:val="18"/>
          <w:vertAlign w:val="baseline"/>
        </w:rPr>
        <w:t>是</w:t>
      </w:r>
      <w:r>
        <w:rPr>
          <w:w w:val="95"/>
          <w:sz w:val="18"/>
          <w:vertAlign w:val="baseline"/>
        </w:rPr>
        <w:t>使</w:t>
      </w:r>
      <w:r>
        <w:rPr>
          <w:w w:val="95"/>
          <w:sz w:val="18"/>
          <w:vertAlign w:val="baseline"/>
        </w:rPr>
        <w:t>用</w:t>
      </w:r>
      <w:r>
        <w:rPr>
          <w:w w:val="95"/>
          <w:sz w:val="18"/>
          <w:vertAlign w:val="baseline"/>
        </w:rPr>
        <w:t>各</w:t>
      </w:r>
      <w:r>
        <w:rPr>
          <w:w w:val="95"/>
          <w:sz w:val="18"/>
          <w:vertAlign w:val="baseline"/>
        </w:rPr>
        <w:t>种</w:t>
      </w:r>
      <w:r>
        <w:rPr>
          <w:w w:val="95"/>
          <w:sz w:val="18"/>
          <w:vertAlign w:val="baseline"/>
        </w:rPr>
        <w:t>不</w:t>
      </w:r>
      <w:r>
        <w:rPr>
          <w:w w:val="95"/>
          <w:sz w:val="18"/>
          <w:vertAlign w:val="baseline"/>
        </w:rPr>
        <w:t>同</w:t>
      </w:r>
      <w:r>
        <w:rPr>
          <w:w w:val="95"/>
          <w:sz w:val="18"/>
          <w:vertAlign w:val="baseline"/>
        </w:rPr>
        <w:t>能</w:t>
      </w:r>
      <w:r>
        <w:rPr>
          <w:w w:val="95"/>
          <w:sz w:val="18"/>
          <w:vertAlign w:val="baseline"/>
        </w:rPr>
        <w:t>量</w:t>
      </w:r>
      <w:r>
        <w:rPr>
          <w:w w:val="95"/>
          <w:sz w:val="18"/>
          <w:vertAlign w:val="baseline"/>
        </w:rPr>
        <w:t>的</w:t>
      </w:r>
      <w:r>
        <w:rPr>
          <w:w w:val="95"/>
          <w:sz w:val="18"/>
          <w:vertAlign w:val="baseline"/>
        </w:rPr>
        <w:t>射</w:t>
      </w:r>
      <w:r>
        <w:rPr>
          <w:w w:val="95"/>
          <w:sz w:val="18"/>
          <w:vertAlign w:val="baseline"/>
        </w:rPr>
        <w:t>线</w:t>
      </w:r>
      <w:r>
        <w:rPr>
          <w:w w:val="95"/>
          <w:sz w:val="18"/>
          <w:vertAlign w:val="baseline"/>
        </w:rPr>
        <w:t>照</w:t>
      </w:r>
      <w:r>
        <w:rPr>
          <w:w w:val="95"/>
          <w:sz w:val="18"/>
          <w:vertAlign w:val="baseline"/>
        </w:rPr>
        <w:t>射</w:t>
      </w:r>
      <w:r>
        <w:rPr>
          <w:w w:val="95"/>
          <w:sz w:val="18"/>
          <w:vertAlign w:val="baseline"/>
        </w:rPr>
        <w:t>肿</w:t>
      </w:r>
      <w:r>
        <w:rPr>
          <w:w w:val="95"/>
          <w:sz w:val="18"/>
          <w:vertAlign w:val="baseline"/>
        </w:rPr>
        <w:t>瘤</w:t>
      </w:r>
      <w:r>
        <w:rPr>
          <w:w w:val="95"/>
          <w:sz w:val="18"/>
          <w:vertAlign w:val="baseline"/>
        </w:rPr>
        <w:t>组</w:t>
      </w:r>
      <w:r>
        <w:rPr>
          <w:w w:val="95"/>
          <w:sz w:val="18"/>
          <w:vertAlign w:val="baseline"/>
        </w:rPr>
        <w:t>织</w:t>
      </w:r>
      <w:r>
        <w:rPr>
          <w:w w:val="95"/>
          <w:sz w:val="18"/>
          <w:vertAlign w:val="baseline"/>
        </w:rPr>
        <w:t>，</w:t>
      </w:r>
      <w:r>
        <w:rPr>
          <w:w w:val="95"/>
          <w:sz w:val="18"/>
          <w:vertAlign w:val="baseline"/>
        </w:rPr>
        <w:t>以</w:t>
      </w:r>
      <w:r>
        <w:rPr>
          <w:w w:val="95"/>
          <w:sz w:val="18"/>
          <w:vertAlign w:val="baseline"/>
        </w:rPr>
        <w:t>抑</w:t>
      </w:r>
      <w:r>
        <w:rPr>
          <w:w w:val="95"/>
          <w:sz w:val="18"/>
          <w:vertAlign w:val="baseline"/>
        </w:rPr>
        <w:t>制</w:t>
      </w:r>
      <w:r>
        <w:rPr>
          <w:w w:val="95"/>
          <w:sz w:val="18"/>
          <w:vertAlign w:val="baseline"/>
        </w:rPr>
        <w:t>和</w:t>
      </w:r>
      <w:r>
        <w:rPr>
          <w:w w:val="95"/>
          <w:sz w:val="18"/>
          <w:vertAlign w:val="baseline"/>
        </w:rPr>
        <w:t>杀</w:t>
      </w:r>
      <w:r>
        <w:rPr>
          <w:spacing w:val="-10"/>
          <w:w w:val="95"/>
          <w:sz w:val="18"/>
          <w:vertAlign w:val="baseline"/>
        </w:rPr>
        <w:t>灭</w:t>
      </w:r>
    </w:p>
    <w:p>
      <w:pPr>
        <w:spacing w:line="220" w:lineRule="exact" w:before="0"/>
        <w:ind w:left="737" w:right="0" w:firstLine="0"/>
        <w:jc w:val="left"/>
        <w:rPr>
          <w:sz w:val="18"/>
        </w:rPr>
      </w:pPr>
      <w:r>
        <w:rPr>
          <w:spacing w:val="-1"/>
          <w:sz w:val="18"/>
        </w:rPr>
        <w:t>癌细胞为目的而进行的治疗。本合同所指的放疗为被保险人根据医嘱，在医院的专门科室进行的放疗。</w:t>
      </w:r>
    </w:p>
    <w:p>
      <w:pPr>
        <w:spacing w:line="220" w:lineRule="exact" w:before="0"/>
        <w:ind w:left="737" w:right="0" w:firstLine="0"/>
        <w:jc w:val="left"/>
        <w:rPr>
          <w:sz w:val="18"/>
        </w:rPr>
      </w:pPr>
      <w:r>
        <w:rPr>
          <w:rFonts w:ascii="Times New Roman" w:eastAsia="Times New Roman"/>
          <w:w w:val="95"/>
          <w:sz w:val="18"/>
          <w:vertAlign w:val="superscript"/>
        </w:rPr>
        <w:t>19</w:t>
      </w:r>
      <w:r>
        <w:rPr>
          <w:b/>
          <w:w w:val="95"/>
          <w:sz w:val="18"/>
          <w:vertAlign w:val="baseline"/>
        </w:rPr>
        <w:t>肿</w:t>
      </w:r>
      <w:r>
        <w:rPr>
          <w:b/>
          <w:w w:val="95"/>
          <w:sz w:val="18"/>
          <w:vertAlign w:val="baseline"/>
        </w:rPr>
        <w:t>瘤</w:t>
      </w:r>
      <w:r>
        <w:rPr>
          <w:b/>
          <w:w w:val="95"/>
          <w:sz w:val="18"/>
          <w:vertAlign w:val="baseline"/>
        </w:rPr>
        <w:t>免疫</w:t>
      </w:r>
      <w:r>
        <w:rPr>
          <w:b/>
          <w:w w:val="95"/>
          <w:sz w:val="18"/>
          <w:vertAlign w:val="baseline"/>
        </w:rPr>
        <w:t>疗</w:t>
      </w:r>
      <w:r>
        <w:rPr>
          <w:b/>
          <w:w w:val="95"/>
          <w:sz w:val="18"/>
          <w:vertAlign w:val="baseline"/>
        </w:rPr>
        <w:t>法</w:t>
      </w:r>
      <w:r>
        <w:rPr>
          <w:b/>
          <w:w w:val="95"/>
          <w:sz w:val="18"/>
          <w:vertAlign w:val="baseline"/>
        </w:rPr>
        <w:t>：</w:t>
      </w:r>
      <w:r>
        <w:rPr>
          <w:w w:val="95"/>
          <w:sz w:val="18"/>
          <w:vertAlign w:val="baseline"/>
        </w:rPr>
        <w:t>指</w:t>
      </w:r>
      <w:r>
        <w:rPr>
          <w:w w:val="95"/>
          <w:sz w:val="18"/>
          <w:vertAlign w:val="baseline"/>
        </w:rPr>
        <w:t>应</w:t>
      </w:r>
      <w:r>
        <w:rPr>
          <w:w w:val="95"/>
          <w:sz w:val="18"/>
          <w:vertAlign w:val="baseline"/>
        </w:rPr>
        <w:t>用</w:t>
      </w:r>
      <w:r>
        <w:rPr>
          <w:w w:val="95"/>
          <w:sz w:val="18"/>
          <w:vertAlign w:val="baseline"/>
        </w:rPr>
        <w:t>免</w:t>
      </w:r>
      <w:r>
        <w:rPr>
          <w:w w:val="95"/>
          <w:sz w:val="18"/>
          <w:vertAlign w:val="baseline"/>
        </w:rPr>
        <w:t>疫</w:t>
      </w:r>
      <w:r>
        <w:rPr>
          <w:w w:val="95"/>
          <w:sz w:val="18"/>
          <w:vertAlign w:val="baseline"/>
        </w:rPr>
        <w:t>学</w:t>
      </w:r>
      <w:r>
        <w:rPr>
          <w:w w:val="95"/>
          <w:sz w:val="18"/>
          <w:vertAlign w:val="baseline"/>
        </w:rPr>
        <w:t>原</w:t>
      </w:r>
      <w:r>
        <w:rPr>
          <w:w w:val="95"/>
          <w:sz w:val="18"/>
          <w:vertAlign w:val="baseline"/>
        </w:rPr>
        <w:t>理</w:t>
      </w:r>
      <w:r>
        <w:rPr>
          <w:w w:val="95"/>
          <w:sz w:val="18"/>
          <w:vertAlign w:val="baseline"/>
        </w:rPr>
        <w:t>和</w:t>
      </w:r>
      <w:r>
        <w:rPr>
          <w:w w:val="95"/>
          <w:sz w:val="18"/>
          <w:vertAlign w:val="baseline"/>
        </w:rPr>
        <w:t>方</w:t>
      </w:r>
      <w:r>
        <w:rPr>
          <w:w w:val="95"/>
          <w:sz w:val="18"/>
          <w:vertAlign w:val="baseline"/>
        </w:rPr>
        <w:t>法</w:t>
      </w:r>
      <w:r>
        <w:rPr>
          <w:w w:val="95"/>
          <w:sz w:val="18"/>
          <w:vertAlign w:val="baseline"/>
        </w:rPr>
        <w:t>，</w:t>
      </w:r>
      <w:r>
        <w:rPr>
          <w:w w:val="95"/>
          <w:sz w:val="18"/>
          <w:vertAlign w:val="baseline"/>
        </w:rPr>
        <w:t>使</w:t>
      </w:r>
      <w:r>
        <w:rPr>
          <w:w w:val="95"/>
          <w:sz w:val="18"/>
          <w:vertAlign w:val="baseline"/>
        </w:rPr>
        <w:t>用</w:t>
      </w:r>
      <w:r>
        <w:rPr>
          <w:w w:val="95"/>
          <w:sz w:val="18"/>
          <w:vertAlign w:val="baseline"/>
        </w:rPr>
        <w:t>肿</w:t>
      </w:r>
      <w:r>
        <w:rPr>
          <w:w w:val="95"/>
          <w:sz w:val="18"/>
          <w:vertAlign w:val="baseline"/>
        </w:rPr>
        <w:t>瘤</w:t>
      </w:r>
      <w:r>
        <w:rPr>
          <w:w w:val="95"/>
          <w:sz w:val="18"/>
          <w:vertAlign w:val="baseline"/>
        </w:rPr>
        <w:t>免</w:t>
      </w:r>
      <w:r>
        <w:rPr>
          <w:w w:val="95"/>
          <w:sz w:val="18"/>
          <w:vertAlign w:val="baseline"/>
        </w:rPr>
        <w:t>疫</w:t>
      </w:r>
      <w:r>
        <w:rPr>
          <w:w w:val="95"/>
          <w:sz w:val="18"/>
          <w:vertAlign w:val="baseline"/>
        </w:rPr>
        <w:t>治</w:t>
      </w:r>
      <w:r>
        <w:rPr>
          <w:w w:val="95"/>
          <w:sz w:val="18"/>
          <w:vertAlign w:val="baseline"/>
        </w:rPr>
        <w:t>疗</w:t>
      </w:r>
      <w:r>
        <w:rPr>
          <w:w w:val="95"/>
          <w:sz w:val="18"/>
          <w:vertAlign w:val="baseline"/>
        </w:rPr>
        <w:t>药</w:t>
      </w:r>
      <w:r>
        <w:rPr>
          <w:w w:val="95"/>
          <w:sz w:val="18"/>
          <w:vertAlign w:val="baseline"/>
        </w:rPr>
        <w:t>物</w:t>
      </w:r>
      <w:r>
        <w:rPr>
          <w:w w:val="95"/>
          <w:sz w:val="18"/>
          <w:vertAlign w:val="baseline"/>
        </w:rPr>
        <w:t>提</w:t>
      </w:r>
      <w:r>
        <w:rPr>
          <w:w w:val="95"/>
          <w:sz w:val="18"/>
          <w:vertAlign w:val="baseline"/>
        </w:rPr>
        <w:t>高</w:t>
      </w:r>
      <w:r>
        <w:rPr>
          <w:w w:val="95"/>
          <w:sz w:val="18"/>
          <w:vertAlign w:val="baseline"/>
        </w:rPr>
        <w:t>肿</w:t>
      </w:r>
      <w:r>
        <w:rPr>
          <w:w w:val="95"/>
          <w:sz w:val="18"/>
          <w:vertAlign w:val="baseline"/>
        </w:rPr>
        <w:t>瘤</w:t>
      </w:r>
      <w:r>
        <w:rPr>
          <w:w w:val="95"/>
          <w:sz w:val="18"/>
          <w:vertAlign w:val="baseline"/>
        </w:rPr>
        <w:t>细</w:t>
      </w:r>
      <w:r>
        <w:rPr>
          <w:w w:val="95"/>
          <w:sz w:val="18"/>
          <w:vertAlign w:val="baseline"/>
        </w:rPr>
        <w:t>胞</w:t>
      </w:r>
      <w:r>
        <w:rPr>
          <w:w w:val="95"/>
          <w:sz w:val="18"/>
          <w:vertAlign w:val="baseline"/>
        </w:rPr>
        <w:t>的</w:t>
      </w:r>
      <w:r>
        <w:rPr>
          <w:w w:val="95"/>
          <w:sz w:val="18"/>
          <w:vertAlign w:val="baseline"/>
        </w:rPr>
        <w:t>免</w:t>
      </w:r>
      <w:r>
        <w:rPr>
          <w:w w:val="95"/>
          <w:sz w:val="18"/>
          <w:vertAlign w:val="baseline"/>
        </w:rPr>
        <w:t>疫</w:t>
      </w:r>
      <w:r>
        <w:rPr>
          <w:w w:val="95"/>
          <w:sz w:val="18"/>
          <w:vertAlign w:val="baseline"/>
        </w:rPr>
        <w:t>原</w:t>
      </w:r>
      <w:r>
        <w:rPr>
          <w:w w:val="95"/>
          <w:sz w:val="18"/>
          <w:vertAlign w:val="baseline"/>
        </w:rPr>
        <w:t>性</w:t>
      </w:r>
      <w:r>
        <w:rPr>
          <w:w w:val="95"/>
          <w:sz w:val="18"/>
          <w:vertAlign w:val="baseline"/>
        </w:rPr>
        <w:t>和</w:t>
      </w:r>
      <w:r>
        <w:rPr>
          <w:w w:val="95"/>
          <w:sz w:val="18"/>
          <w:vertAlign w:val="baseline"/>
        </w:rPr>
        <w:t>对</w:t>
      </w:r>
      <w:r>
        <w:rPr>
          <w:w w:val="95"/>
          <w:sz w:val="18"/>
          <w:vertAlign w:val="baseline"/>
        </w:rPr>
        <w:t>效</w:t>
      </w:r>
      <w:r>
        <w:rPr>
          <w:w w:val="95"/>
          <w:sz w:val="18"/>
          <w:vertAlign w:val="baseline"/>
        </w:rPr>
        <w:t>应</w:t>
      </w:r>
      <w:r>
        <w:rPr>
          <w:spacing w:val="-10"/>
          <w:w w:val="95"/>
          <w:sz w:val="18"/>
          <w:vertAlign w:val="baseline"/>
        </w:rPr>
        <w:t>细</w:t>
      </w:r>
    </w:p>
    <w:p>
      <w:pPr>
        <w:spacing w:line="228" w:lineRule="auto" w:before="3"/>
        <w:ind w:left="737" w:right="764" w:firstLine="0"/>
        <w:jc w:val="both"/>
        <w:rPr>
          <w:sz w:val="18"/>
        </w:rPr>
      </w:pPr>
      <w:r>
        <w:rPr>
          <w:spacing w:val="-2"/>
          <w:sz w:val="18"/>
        </w:rPr>
        <w:t>胞杀伤的敏感性，激发和增强机体抗肿瘤免疫应答，并应用免疫细胞和效应分子输注宿主体内，协同机体</w:t>
      </w:r>
      <w:r>
        <w:rPr>
          <w:spacing w:val="-2"/>
          <w:sz w:val="18"/>
        </w:rPr>
        <w:t>免疫系统杀伤肿瘤、抑制肿瘤生长。本合同所指的肿瘤免疫疗法使用的药物需符合法律、法规要求并经过</w:t>
      </w:r>
      <w:r>
        <w:rPr>
          <w:spacing w:val="-2"/>
          <w:sz w:val="18"/>
        </w:rPr>
        <w:t>国家相关监督管理部门批准用于临床治疗。</w:t>
      </w:r>
    </w:p>
    <w:p>
      <w:pPr>
        <w:spacing w:line="219" w:lineRule="exact" w:before="0"/>
        <w:ind w:left="737" w:right="0" w:firstLine="0"/>
        <w:jc w:val="left"/>
        <w:rPr>
          <w:sz w:val="18"/>
        </w:rPr>
      </w:pPr>
      <w:r>
        <w:rPr>
          <w:rFonts w:ascii="Times New Roman" w:eastAsia="Times New Roman"/>
          <w:w w:val="95"/>
          <w:sz w:val="18"/>
          <w:vertAlign w:val="superscript"/>
        </w:rPr>
        <w:t>20</w:t>
      </w:r>
      <w:r>
        <w:rPr>
          <w:b/>
          <w:w w:val="95"/>
          <w:sz w:val="18"/>
          <w:vertAlign w:val="baseline"/>
        </w:rPr>
        <w:t>肿</w:t>
      </w:r>
      <w:r>
        <w:rPr>
          <w:b/>
          <w:w w:val="95"/>
          <w:sz w:val="18"/>
          <w:vertAlign w:val="baseline"/>
        </w:rPr>
        <w:t>瘤</w:t>
      </w:r>
      <w:r>
        <w:rPr>
          <w:b/>
          <w:w w:val="95"/>
          <w:sz w:val="18"/>
          <w:vertAlign w:val="baseline"/>
        </w:rPr>
        <w:t>内分</w:t>
      </w:r>
      <w:r>
        <w:rPr>
          <w:b/>
          <w:w w:val="95"/>
          <w:sz w:val="18"/>
          <w:vertAlign w:val="baseline"/>
        </w:rPr>
        <w:t>泌</w:t>
      </w:r>
      <w:r>
        <w:rPr>
          <w:b/>
          <w:w w:val="95"/>
          <w:sz w:val="18"/>
          <w:vertAlign w:val="baseline"/>
        </w:rPr>
        <w:t>疗</w:t>
      </w:r>
      <w:r>
        <w:rPr>
          <w:b/>
          <w:w w:val="95"/>
          <w:sz w:val="18"/>
          <w:vertAlign w:val="baseline"/>
        </w:rPr>
        <w:t>法</w:t>
      </w:r>
      <w:r>
        <w:rPr>
          <w:b/>
          <w:w w:val="95"/>
          <w:sz w:val="18"/>
          <w:vertAlign w:val="baseline"/>
        </w:rPr>
        <w:t>：</w:t>
      </w:r>
      <w:r>
        <w:rPr>
          <w:w w:val="95"/>
          <w:sz w:val="18"/>
          <w:vertAlign w:val="baseline"/>
        </w:rPr>
        <w:t>指</w:t>
      </w:r>
      <w:r>
        <w:rPr>
          <w:w w:val="95"/>
          <w:sz w:val="18"/>
          <w:vertAlign w:val="baseline"/>
        </w:rPr>
        <w:t>针</w:t>
      </w:r>
      <w:r>
        <w:rPr>
          <w:w w:val="95"/>
          <w:sz w:val="18"/>
          <w:vertAlign w:val="baseline"/>
        </w:rPr>
        <w:t>对</w:t>
      </w:r>
      <w:r>
        <w:rPr>
          <w:w w:val="95"/>
          <w:sz w:val="18"/>
          <w:vertAlign w:val="baseline"/>
        </w:rPr>
        <w:t>于</w:t>
      </w:r>
      <w:r>
        <w:rPr>
          <w:w w:val="95"/>
          <w:sz w:val="18"/>
          <w:vertAlign w:val="baseline"/>
        </w:rPr>
        <w:t>恶</w:t>
      </w:r>
      <w:r>
        <w:rPr>
          <w:w w:val="95"/>
          <w:sz w:val="18"/>
          <w:vertAlign w:val="baseline"/>
        </w:rPr>
        <w:t>性</w:t>
      </w:r>
      <w:r>
        <w:rPr>
          <w:w w:val="95"/>
          <w:sz w:val="18"/>
          <w:vertAlign w:val="baseline"/>
        </w:rPr>
        <w:t>肿</w:t>
      </w:r>
      <w:r>
        <w:rPr>
          <w:w w:val="95"/>
          <w:sz w:val="18"/>
          <w:vertAlign w:val="baseline"/>
        </w:rPr>
        <w:t>瘤</w:t>
      </w:r>
      <w:r>
        <w:rPr>
          <w:w w:val="95"/>
          <w:sz w:val="18"/>
          <w:vertAlign w:val="baseline"/>
        </w:rPr>
        <w:t>的</w:t>
      </w:r>
      <w:r>
        <w:rPr>
          <w:w w:val="95"/>
          <w:sz w:val="18"/>
          <w:vertAlign w:val="baseline"/>
        </w:rPr>
        <w:t>内</w:t>
      </w:r>
      <w:r>
        <w:rPr>
          <w:w w:val="95"/>
          <w:sz w:val="18"/>
          <w:vertAlign w:val="baseline"/>
        </w:rPr>
        <w:t>分</w:t>
      </w:r>
      <w:r>
        <w:rPr>
          <w:w w:val="95"/>
          <w:sz w:val="18"/>
          <w:vertAlign w:val="baseline"/>
        </w:rPr>
        <w:t>泌</w:t>
      </w:r>
      <w:r>
        <w:rPr>
          <w:w w:val="95"/>
          <w:sz w:val="18"/>
          <w:vertAlign w:val="baseline"/>
        </w:rPr>
        <w:t>疗</w:t>
      </w:r>
      <w:r>
        <w:rPr>
          <w:w w:val="95"/>
          <w:sz w:val="18"/>
          <w:vertAlign w:val="baseline"/>
        </w:rPr>
        <w:t>法</w:t>
      </w:r>
      <w:r>
        <w:rPr>
          <w:w w:val="95"/>
          <w:sz w:val="18"/>
          <w:vertAlign w:val="baseline"/>
        </w:rPr>
        <w:t>，</w:t>
      </w:r>
      <w:r>
        <w:rPr>
          <w:w w:val="95"/>
          <w:sz w:val="18"/>
          <w:vertAlign w:val="baseline"/>
        </w:rPr>
        <w:t>用</w:t>
      </w:r>
      <w:r>
        <w:rPr>
          <w:w w:val="95"/>
          <w:sz w:val="18"/>
          <w:vertAlign w:val="baseline"/>
        </w:rPr>
        <w:t>药</w:t>
      </w:r>
      <w:r>
        <w:rPr>
          <w:w w:val="95"/>
          <w:sz w:val="18"/>
          <w:vertAlign w:val="baseline"/>
        </w:rPr>
        <w:t>物</w:t>
      </w:r>
      <w:r>
        <w:rPr>
          <w:w w:val="95"/>
          <w:sz w:val="18"/>
          <w:vertAlign w:val="baseline"/>
        </w:rPr>
        <w:t>抑</w:t>
      </w:r>
      <w:r>
        <w:rPr>
          <w:w w:val="95"/>
          <w:sz w:val="18"/>
          <w:vertAlign w:val="baseline"/>
        </w:rPr>
        <w:t>制</w:t>
      </w:r>
      <w:r>
        <w:rPr>
          <w:w w:val="95"/>
          <w:sz w:val="18"/>
          <w:vertAlign w:val="baseline"/>
        </w:rPr>
        <w:t>激</w:t>
      </w:r>
      <w:r>
        <w:rPr>
          <w:w w:val="95"/>
          <w:sz w:val="18"/>
          <w:vertAlign w:val="baseline"/>
        </w:rPr>
        <w:t>素</w:t>
      </w:r>
      <w:r>
        <w:rPr>
          <w:w w:val="95"/>
          <w:sz w:val="18"/>
          <w:vertAlign w:val="baseline"/>
        </w:rPr>
        <w:t>生</w:t>
      </w:r>
      <w:r>
        <w:rPr>
          <w:w w:val="95"/>
          <w:sz w:val="18"/>
          <w:vertAlign w:val="baseline"/>
        </w:rPr>
        <w:t>成</w:t>
      </w:r>
      <w:r>
        <w:rPr>
          <w:w w:val="95"/>
          <w:sz w:val="18"/>
          <w:vertAlign w:val="baseline"/>
        </w:rPr>
        <w:t>和</w:t>
      </w:r>
      <w:r>
        <w:rPr>
          <w:w w:val="95"/>
          <w:sz w:val="18"/>
          <w:vertAlign w:val="baseline"/>
        </w:rPr>
        <w:t>激</w:t>
      </w:r>
      <w:r>
        <w:rPr>
          <w:w w:val="95"/>
          <w:sz w:val="18"/>
          <w:vertAlign w:val="baseline"/>
        </w:rPr>
        <w:t>素</w:t>
      </w:r>
      <w:r>
        <w:rPr>
          <w:w w:val="95"/>
          <w:sz w:val="18"/>
          <w:vertAlign w:val="baseline"/>
        </w:rPr>
        <w:t>反</w:t>
      </w:r>
      <w:r>
        <w:rPr>
          <w:w w:val="95"/>
          <w:sz w:val="18"/>
          <w:vertAlign w:val="baseline"/>
        </w:rPr>
        <w:t>应</w:t>
      </w:r>
      <w:r>
        <w:rPr>
          <w:w w:val="95"/>
          <w:sz w:val="18"/>
          <w:vertAlign w:val="baseline"/>
        </w:rPr>
        <w:t>，</w:t>
      </w:r>
      <w:r>
        <w:rPr>
          <w:w w:val="95"/>
          <w:sz w:val="18"/>
          <w:vertAlign w:val="baseline"/>
        </w:rPr>
        <w:t>杀</w:t>
      </w:r>
      <w:r>
        <w:rPr>
          <w:w w:val="95"/>
          <w:sz w:val="18"/>
          <w:vertAlign w:val="baseline"/>
        </w:rPr>
        <w:t>死</w:t>
      </w:r>
      <w:r>
        <w:rPr>
          <w:w w:val="95"/>
          <w:sz w:val="18"/>
          <w:vertAlign w:val="baseline"/>
        </w:rPr>
        <w:t>癌</w:t>
      </w:r>
      <w:r>
        <w:rPr>
          <w:w w:val="95"/>
          <w:sz w:val="18"/>
          <w:vertAlign w:val="baseline"/>
        </w:rPr>
        <w:t>细</w:t>
      </w:r>
      <w:r>
        <w:rPr>
          <w:w w:val="95"/>
          <w:sz w:val="18"/>
          <w:vertAlign w:val="baseline"/>
        </w:rPr>
        <w:t>胞</w:t>
      </w:r>
      <w:r>
        <w:rPr>
          <w:w w:val="95"/>
          <w:sz w:val="18"/>
          <w:vertAlign w:val="baseline"/>
        </w:rPr>
        <w:t>或</w:t>
      </w:r>
      <w:r>
        <w:rPr>
          <w:spacing w:val="-10"/>
          <w:w w:val="95"/>
          <w:sz w:val="18"/>
          <w:vertAlign w:val="baseline"/>
        </w:rPr>
        <w:t>抑</w:t>
      </w:r>
    </w:p>
    <w:p>
      <w:pPr>
        <w:spacing w:line="228" w:lineRule="auto" w:before="4"/>
        <w:ind w:left="737" w:right="764" w:firstLine="0"/>
        <w:jc w:val="left"/>
        <w:rPr>
          <w:sz w:val="18"/>
        </w:rPr>
      </w:pPr>
      <w:r>
        <w:rPr>
          <w:spacing w:val="-2"/>
          <w:sz w:val="18"/>
        </w:rPr>
        <w:t>制癌细胞的生长。本合同所指的内分泌疗法使用的药物需符合法律、法规要求并经过国家相关监督管理部</w:t>
      </w:r>
      <w:r>
        <w:rPr>
          <w:spacing w:val="-2"/>
          <w:sz w:val="18"/>
        </w:rPr>
        <w:t>门批准用于临床治疗。</w:t>
      </w:r>
    </w:p>
    <w:p>
      <w:pPr>
        <w:spacing w:line="218" w:lineRule="exact" w:before="0"/>
        <w:ind w:left="737" w:right="0" w:firstLine="0"/>
        <w:jc w:val="left"/>
        <w:rPr>
          <w:sz w:val="18"/>
        </w:rPr>
      </w:pPr>
      <w:r>
        <w:rPr>
          <w:rFonts w:ascii="Times New Roman" w:eastAsia="Times New Roman"/>
          <w:w w:val="95"/>
          <w:sz w:val="18"/>
          <w:vertAlign w:val="superscript"/>
        </w:rPr>
        <w:t>21</w:t>
      </w:r>
      <w:r>
        <w:rPr>
          <w:b/>
          <w:w w:val="95"/>
          <w:sz w:val="18"/>
          <w:vertAlign w:val="baseline"/>
        </w:rPr>
        <w:t>肿</w:t>
      </w:r>
      <w:r>
        <w:rPr>
          <w:b/>
          <w:w w:val="95"/>
          <w:sz w:val="18"/>
          <w:vertAlign w:val="baseline"/>
        </w:rPr>
        <w:t>瘤</w:t>
      </w:r>
      <w:r>
        <w:rPr>
          <w:b/>
          <w:w w:val="95"/>
          <w:sz w:val="18"/>
          <w:vertAlign w:val="baseline"/>
        </w:rPr>
        <w:t>靶向</w:t>
      </w:r>
      <w:r>
        <w:rPr>
          <w:b/>
          <w:w w:val="95"/>
          <w:sz w:val="18"/>
          <w:vertAlign w:val="baseline"/>
        </w:rPr>
        <w:t>疗</w:t>
      </w:r>
      <w:r>
        <w:rPr>
          <w:b/>
          <w:w w:val="95"/>
          <w:sz w:val="18"/>
          <w:vertAlign w:val="baseline"/>
        </w:rPr>
        <w:t>法</w:t>
      </w:r>
      <w:r>
        <w:rPr>
          <w:b/>
          <w:w w:val="95"/>
          <w:sz w:val="18"/>
          <w:vertAlign w:val="baseline"/>
        </w:rPr>
        <w:t>：</w:t>
      </w:r>
      <w:r>
        <w:rPr>
          <w:w w:val="95"/>
          <w:sz w:val="18"/>
          <w:vertAlign w:val="baseline"/>
        </w:rPr>
        <w:t>指</w:t>
      </w:r>
      <w:r>
        <w:rPr>
          <w:w w:val="95"/>
          <w:sz w:val="18"/>
          <w:vertAlign w:val="baseline"/>
        </w:rPr>
        <w:t>在</w:t>
      </w:r>
      <w:r>
        <w:rPr>
          <w:w w:val="95"/>
          <w:sz w:val="18"/>
          <w:vertAlign w:val="baseline"/>
        </w:rPr>
        <w:t>细</w:t>
      </w:r>
      <w:r>
        <w:rPr>
          <w:w w:val="95"/>
          <w:sz w:val="18"/>
          <w:vertAlign w:val="baseline"/>
        </w:rPr>
        <w:t>胞</w:t>
      </w:r>
      <w:r>
        <w:rPr>
          <w:w w:val="95"/>
          <w:sz w:val="18"/>
          <w:vertAlign w:val="baseline"/>
        </w:rPr>
        <w:t>分</w:t>
      </w:r>
      <w:r>
        <w:rPr>
          <w:w w:val="95"/>
          <w:sz w:val="18"/>
          <w:vertAlign w:val="baseline"/>
        </w:rPr>
        <w:t>子</w:t>
      </w:r>
      <w:r>
        <w:rPr>
          <w:w w:val="95"/>
          <w:sz w:val="18"/>
          <w:vertAlign w:val="baseline"/>
        </w:rPr>
        <w:t>水</w:t>
      </w:r>
      <w:r>
        <w:rPr>
          <w:w w:val="95"/>
          <w:sz w:val="18"/>
          <w:vertAlign w:val="baseline"/>
        </w:rPr>
        <w:t>平</w:t>
      </w:r>
      <w:r>
        <w:rPr>
          <w:w w:val="95"/>
          <w:sz w:val="18"/>
          <w:vertAlign w:val="baseline"/>
        </w:rPr>
        <w:t>上</w:t>
      </w:r>
      <w:r>
        <w:rPr>
          <w:w w:val="95"/>
          <w:sz w:val="18"/>
          <w:vertAlign w:val="baseline"/>
        </w:rPr>
        <w:t>，</w:t>
      </w:r>
      <w:r>
        <w:rPr>
          <w:w w:val="95"/>
          <w:sz w:val="18"/>
          <w:vertAlign w:val="baseline"/>
        </w:rPr>
        <w:t>针</w:t>
      </w:r>
      <w:r>
        <w:rPr>
          <w:w w:val="95"/>
          <w:sz w:val="18"/>
          <w:vertAlign w:val="baseline"/>
        </w:rPr>
        <w:t>对</w:t>
      </w:r>
      <w:r>
        <w:rPr>
          <w:w w:val="95"/>
          <w:sz w:val="18"/>
          <w:vertAlign w:val="baseline"/>
        </w:rPr>
        <w:t>已</w:t>
      </w:r>
      <w:r>
        <w:rPr>
          <w:w w:val="95"/>
          <w:sz w:val="18"/>
          <w:vertAlign w:val="baseline"/>
        </w:rPr>
        <w:t>经</w:t>
      </w:r>
      <w:r>
        <w:rPr>
          <w:w w:val="95"/>
          <w:sz w:val="18"/>
          <w:vertAlign w:val="baseline"/>
        </w:rPr>
        <w:t>明</w:t>
      </w:r>
      <w:r>
        <w:rPr>
          <w:w w:val="95"/>
          <w:sz w:val="18"/>
          <w:vertAlign w:val="baseline"/>
        </w:rPr>
        <w:t>确</w:t>
      </w:r>
      <w:r>
        <w:rPr>
          <w:w w:val="95"/>
          <w:sz w:val="18"/>
          <w:vertAlign w:val="baseline"/>
        </w:rPr>
        <w:t>的</w:t>
      </w:r>
      <w:r>
        <w:rPr>
          <w:w w:val="95"/>
          <w:sz w:val="18"/>
          <w:vertAlign w:val="baseline"/>
        </w:rPr>
        <w:t>致</w:t>
      </w:r>
      <w:r>
        <w:rPr>
          <w:w w:val="95"/>
          <w:sz w:val="18"/>
          <w:vertAlign w:val="baseline"/>
        </w:rPr>
        <w:t>癌</w:t>
      </w:r>
      <w:r>
        <w:rPr>
          <w:w w:val="95"/>
          <w:sz w:val="18"/>
          <w:vertAlign w:val="baseline"/>
        </w:rPr>
        <w:t>点</w:t>
      </w:r>
      <w:r>
        <w:rPr>
          <w:w w:val="95"/>
          <w:sz w:val="18"/>
          <w:vertAlign w:val="baseline"/>
        </w:rPr>
        <w:t>来</w:t>
      </w:r>
      <w:r>
        <w:rPr>
          <w:w w:val="95"/>
          <w:sz w:val="18"/>
          <w:vertAlign w:val="baseline"/>
        </w:rPr>
        <w:t>设</w:t>
      </w:r>
      <w:r>
        <w:rPr>
          <w:w w:val="95"/>
          <w:sz w:val="18"/>
          <w:vertAlign w:val="baseline"/>
        </w:rPr>
        <w:t>计</w:t>
      </w:r>
      <w:r>
        <w:rPr>
          <w:w w:val="95"/>
          <w:sz w:val="18"/>
          <w:vertAlign w:val="baseline"/>
        </w:rPr>
        <w:t>相</w:t>
      </w:r>
      <w:r>
        <w:rPr>
          <w:w w:val="95"/>
          <w:sz w:val="18"/>
          <w:vertAlign w:val="baseline"/>
        </w:rPr>
        <w:t>应</w:t>
      </w:r>
      <w:r>
        <w:rPr>
          <w:w w:val="95"/>
          <w:sz w:val="18"/>
          <w:vertAlign w:val="baseline"/>
        </w:rPr>
        <w:t>的</w:t>
      </w:r>
      <w:r>
        <w:rPr>
          <w:w w:val="95"/>
          <w:sz w:val="18"/>
          <w:vertAlign w:val="baseline"/>
        </w:rPr>
        <w:t>靶</w:t>
      </w:r>
      <w:r>
        <w:rPr>
          <w:w w:val="95"/>
          <w:sz w:val="18"/>
          <w:vertAlign w:val="baseline"/>
        </w:rPr>
        <w:t>向</w:t>
      </w:r>
      <w:r>
        <w:rPr>
          <w:w w:val="95"/>
          <w:sz w:val="18"/>
          <w:vertAlign w:val="baseline"/>
        </w:rPr>
        <w:t>治</w:t>
      </w:r>
      <w:r>
        <w:rPr>
          <w:w w:val="95"/>
          <w:sz w:val="18"/>
          <w:vertAlign w:val="baseline"/>
        </w:rPr>
        <w:t>疗</w:t>
      </w:r>
      <w:r>
        <w:rPr>
          <w:w w:val="95"/>
          <w:sz w:val="18"/>
          <w:vertAlign w:val="baseline"/>
        </w:rPr>
        <w:t>药</w:t>
      </w:r>
      <w:r>
        <w:rPr>
          <w:w w:val="95"/>
          <w:sz w:val="18"/>
          <w:vertAlign w:val="baseline"/>
        </w:rPr>
        <w:t>物</w:t>
      </w:r>
      <w:r>
        <w:rPr>
          <w:w w:val="95"/>
          <w:sz w:val="18"/>
          <w:vertAlign w:val="baseline"/>
        </w:rPr>
        <w:t>，</w:t>
      </w:r>
      <w:r>
        <w:rPr>
          <w:w w:val="95"/>
          <w:sz w:val="18"/>
          <w:vertAlign w:val="baseline"/>
        </w:rPr>
        <w:t>利</w:t>
      </w:r>
      <w:r>
        <w:rPr>
          <w:w w:val="95"/>
          <w:sz w:val="18"/>
          <w:vertAlign w:val="baseline"/>
        </w:rPr>
        <w:t>用</w:t>
      </w:r>
      <w:r>
        <w:rPr>
          <w:w w:val="95"/>
          <w:sz w:val="18"/>
          <w:vertAlign w:val="baseline"/>
        </w:rPr>
        <w:t>具</w:t>
      </w:r>
      <w:r>
        <w:rPr>
          <w:w w:val="95"/>
          <w:sz w:val="18"/>
          <w:vertAlign w:val="baseline"/>
        </w:rPr>
        <w:t>有</w:t>
      </w:r>
      <w:r>
        <w:rPr>
          <w:spacing w:val="-10"/>
          <w:w w:val="95"/>
          <w:sz w:val="18"/>
          <w:vertAlign w:val="baseline"/>
        </w:rPr>
        <w:t>一</w:t>
      </w:r>
    </w:p>
    <w:p>
      <w:pPr>
        <w:spacing w:line="228" w:lineRule="auto" w:before="4"/>
        <w:ind w:left="737" w:right="764" w:firstLine="0"/>
        <w:jc w:val="left"/>
        <w:rPr>
          <w:sz w:val="18"/>
        </w:rPr>
      </w:pPr>
      <w:r>
        <w:rPr>
          <w:spacing w:val="-2"/>
          <w:sz w:val="18"/>
        </w:rPr>
        <w:t>定特异性的载体，将药物或其他杀伤肿瘤细胞的活性物质选择性地运送到肿瘤部位攻击癌细胞的疗法。本</w:t>
      </w:r>
      <w:r>
        <w:rPr>
          <w:spacing w:val="-1"/>
          <w:sz w:val="18"/>
        </w:rPr>
        <w:t>合同所指的靶向疗法使用的药物需符合法律、法规要求并经过国家相关监督管理部门批准用于临床治疗。</w:t>
      </w:r>
    </w:p>
    <w:p>
      <w:pPr>
        <w:spacing w:line="226" w:lineRule="exact" w:before="0"/>
        <w:ind w:left="737" w:right="0" w:firstLine="0"/>
        <w:jc w:val="left"/>
        <w:rPr>
          <w:rFonts w:ascii="黑体" w:eastAsia="黑体"/>
          <w:sz w:val="18"/>
        </w:rPr>
      </w:pPr>
      <w:r>
        <w:rPr>
          <w:rFonts w:ascii="Times New Roman" w:eastAsia="Times New Roman"/>
          <w:w w:val="95"/>
          <w:sz w:val="18"/>
          <w:vertAlign w:val="superscript"/>
        </w:rPr>
        <w:t>22</w:t>
      </w:r>
      <w:r>
        <w:rPr>
          <w:b/>
          <w:w w:val="95"/>
          <w:sz w:val="18"/>
          <w:vertAlign w:val="baseline"/>
        </w:rPr>
        <w:t>确</w:t>
      </w:r>
      <w:r>
        <w:rPr>
          <w:b/>
          <w:w w:val="95"/>
          <w:sz w:val="18"/>
          <w:vertAlign w:val="baseline"/>
        </w:rPr>
        <w:t>诊</w:t>
      </w:r>
      <w:r>
        <w:rPr>
          <w:b/>
          <w:w w:val="95"/>
          <w:sz w:val="18"/>
          <w:vertAlign w:val="baseline"/>
        </w:rPr>
        <w:t>初次</w:t>
      </w:r>
      <w:r>
        <w:rPr>
          <w:b/>
          <w:w w:val="95"/>
          <w:sz w:val="18"/>
          <w:vertAlign w:val="baseline"/>
        </w:rPr>
        <w:t>罹</w:t>
      </w:r>
      <w:r>
        <w:rPr>
          <w:b/>
          <w:w w:val="95"/>
          <w:sz w:val="18"/>
          <w:vertAlign w:val="baseline"/>
        </w:rPr>
        <w:t>患</w:t>
      </w:r>
      <w:r>
        <w:rPr>
          <w:b/>
          <w:w w:val="95"/>
          <w:sz w:val="18"/>
          <w:vertAlign w:val="baseline"/>
        </w:rPr>
        <w:t>：</w:t>
      </w:r>
      <w:r>
        <w:rPr>
          <w:w w:val="95"/>
          <w:sz w:val="18"/>
          <w:vertAlign w:val="baseline"/>
        </w:rPr>
        <w:t>指</w:t>
      </w:r>
      <w:r>
        <w:rPr>
          <w:w w:val="95"/>
          <w:sz w:val="18"/>
          <w:vertAlign w:val="baseline"/>
        </w:rPr>
        <w:t>被</w:t>
      </w:r>
      <w:r>
        <w:rPr>
          <w:w w:val="95"/>
          <w:sz w:val="18"/>
          <w:vertAlign w:val="baseline"/>
        </w:rPr>
        <w:t>保</w:t>
      </w:r>
      <w:r>
        <w:rPr>
          <w:w w:val="95"/>
          <w:sz w:val="18"/>
          <w:vertAlign w:val="baseline"/>
        </w:rPr>
        <w:t>险</w:t>
      </w:r>
      <w:r>
        <w:rPr>
          <w:w w:val="95"/>
          <w:sz w:val="18"/>
          <w:vertAlign w:val="baseline"/>
        </w:rPr>
        <w:t>人</w:t>
      </w:r>
      <w:r>
        <w:rPr>
          <w:w w:val="95"/>
          <w:sz w:val="18"/>
          <w:vertAlign w:val="baseline"/>
        </w:rPr>
        <w:t>自</w:t>
      </w:r>
      <w:r>
        <w:rPr>
          <w:w w:val="95"/>
          <w:sz w:val="18"/>
          <w:vertAlign w:val="baseline"/>
        </w:rPr>
        <w:t>出</w:t>
      </w:r>
      <w:r>
        <w:rPr>
          <w:w w:val="95"/>
          <w:sz w:val="18"/>
          <w:vertAlign w:val="baseline"/>
        </w:rPr>
        <w:t>生</w:t>
      </w:r>
      <w:r>
        <w:rPr>
          <w:w w:val="95"/>
          <w:sz w:val="18"/>
          <w:vertAlign w:val="baseline"/>
        </w:rPr>
        <w:t>之</w:t>
      </w:r>
      <w:r>
        <w:rPr>
          <w:w w:val="95"/>
          <w:sz w:val="18"/>
          <w:vertAlign w:val="baseline"/>
        </w:rPr>
        <w:t>日</w:t>
      </w:r>
      <w:r>
        <w:rPr>
          <w:w w:val="95"/>
          <w:sz w:val="18"/>
          <w:vertAlign w:val="baseline"/>
        </w:rPr>
        <w:t>起</w:t>
      </w:r>
      <w:r>
        <w:rPr>
          <w:w w:val="95"/>
          <w:sz w:val="18"/>
          <w:vertAlign w:val="baseline"/>
        </w:rPr>
        <w:t>第</w:t>
      </w:r>
      <w:r>
        <w:rPr>
          <w:w w:val="95"/>
          <w:sz w:val="18"/>
          <w:vertAlign w:val="baseline"/>
        </w:rPr>
        <w:t>一</w:t>
      </w:r>
      <w:r>
        <w:rPr>
          <w:w w:val="95"/>
          <w:sz w:val="18"/>
          <w:vertAlign w:val="baseline"/>
        </w:rPr>
        <w:t>次</w:t>
      </w:r>
      <w:r>
        <w:rPr>
          <w:w w:val="95"/>
          <w:sz w:val="18"/>
          <w:vertAlign w:val="baseline"/>
        </w:rPr>
        <w:t>经</w:t>
      </w:r>
      <w:r>
        <w:rPr>
          <w:w w:val="95"/>
          <w:sz w:val="18"/>
          <w:vertAlign w:val="baseline"/>
        </w:rPr>
        <w:t>医</w:t>
      </w:r>
      <w:r>
        <w:rPr>
          <w:w w:val="95"/>
          <w:sz w:val="18"/>
          <w:vertAlign w:val="baseline"/>
        </w:rPr>
        <w:t>院</w:t>
      </w:r>
      <w:r>
        <w:rPr>
          <w:w w:val="95"/>
          <w:sz w:val="18"/>
          <w:vertAlign w:val="baseline"/>
        </w:rPr>
        <w:t>确</w:t>
      </w:r>
      <w:r>
        <w:rPr>
          <w:w w:val="95"/>
          <w:sz w:val="18"/>
          <w:vertAlign w:val="baseline"/>
        </w:rPr>
        <w:t>诊</w:t>
      </w:r>
      <w:r>
        <w:rPr>
          <w:w w:val="95"/>
          <w:sz w:val="18"/>
          <w:vertAlign w:val="baseline"/>
        </w:rPr>
        <w:t>患</w:t>
      </w:r>
      <w:r>
        <w:rPr>
          <w:w w:val="95"/>
          <w:sz w:val="18"/>
          <w:vertAlign w:val="baseline"/>
        </w:rPr>
        <w:t>有</w:t>
      </w:r>
      <w:r>
        <w:rPr>
          <w:w w:val="95"/>
          <w:sz w:val="18"/>
          <w:vertAlign w:val="baseline"/>
        </w:rPr>
        <w:t>某</w:t>
      </w:r>
      <w:r>
        <w:rPr>
          <w:w w:val="95"/>
          <w:sz w:val="18"/>
          <w:vertAlign w:val="baseline"/>
        </w:rPr>
        <w:t>种</w:t>
      </w:r>
      <w:r>
        <w:rPr>
          <w:w w:val="95"/>
          <w:sz w:val="18"/>
          <w:vertAlign w:val="baseline"/>
        </w:rPr>
        <w:t>疾</w:t>
      </w:r>
      <w:r>
        <w:rPr>
          <w:w w:val="95"/>
          <w:sz w:val="18"/>
          <w:vertAlign w:val="baseline"/>
        </w:rPr>
        <w:t>病</w:t>
      </w:r>
      <w:r>
        <w:rPr>
          <w:w w:val="95"/>
          <w:sz w:val="18"/>
          <w:vertAlign w:val="baseline"/>
        </w:rPr>
        <w:t>，</w:t>
      </w:r>
      <w:r>
        <w:rPr>
          <w:rFonts w:ascii="黑体" w:eastAsia="黑体"/>
          <w:w w:val="95"/>
          <w:sz w:val="18"/>
          <w:vertAlign w:val="baseline"/>
        </w:rPr>
        <w:t>而</w:t>
      </w:r>
      <w:r>
        <w:rPr>
          <w:rFonts w:ascii="黑体" w:eastAsia="黑体"/>
          <w:w w:val="95"/>
          <w:sz w:val="18"/>
          <w:vertAlign w:val="baseline"/>
        </w:rPr>
        <w:t>不</w:t>
      </w:r>
      <w:r>
        <w:rPr>
          <w:rFonts w:ascii="黑体" w:eastAsia="黑体"/>
          <w:w w:val="95"/>
          <w:sz w:val="18"/>
          <w:vertAlign w:val="baseline"/>
        </w:rPr>
        <w:t>是</w:t>
      </w:r>
      <w:r>
        <w:rPr>
          <w:rFonts w:ascii="黑体" w:eastAsia="黑体"/>
          <w:w w:val="95"/>
          <w:sz w:val="18"/>
          <w:vertAlign w:val="baseline"/>
        </w:rPr>
        <w:t>指</w:t>
      </w:r>
      <w:r>
        <w:rPr>
          <w:rFonts w:ascii="黑体" w:eastAsia="黑体"/>
          <w:w w:val="95"/>
          <w:sz w:val="18"/>
          <w:vertAlign w:val="baseline"/>
        </w:rPr>
        <w:t>自</w:t>
      </w:r>
      <w:r>
        <w:rPr>
          <w:rFonts w:ascii="黑体" w:eastAsia="黑体"/>
          <w:w w:val="95"/>
          <w:sz w:val="18"/>
          <w:vertAlign w:val="baseline"/>
        </w:rPr>
        <w:t>本</w:t>
      </w:r>
      <w:r>
        <w:rPr>
          <w:rFonts w:ascii="黑体" w:eastAsia="黑体"/>
          <w:w w:val="95"/>
          <w:sz w:val="18"/>
          <w:vertAlign w:val="baseline"/>
        </w:rPr>
        <w:t>合</w:t>
      </w:r>
      <w:r>
        <w:rPr>
          <w:rFonts w:ascii="黑体" w:eastAsia="黑体"/>
          <w:w w:val="95"/>
          <w:sz w:val="18"/>
          <w:vertAlign w:val="baseline"/>
        </w:rPr>
        <w:t>同</w:t>
      </w:r>
      <w:r>
        <w:rPr>
          <w:rFonts w:ascii="黑体" w:eastAsia="黑体"/>
          <w:w w:val="95"/>
          <w:sz w:val="18"/>
          <w:vertAlign w:val="baseline"/>
        </w:rPr>
        <w:t>生</w:t>
      </w:r>
      <w:r>
        <w:rPr>
          <w:rFonts w:ascii="黑体" w:eastAsia="黑体"/>
          <w:w w:val="95"/>
          <w:sz w:val="18"/>
          <w:vertAlign w:val="baseline"/>
        </w:rPr>
        <w:t>效</w:t>
      </w:r>
      <w:r>
        <w:rPr>
          <w:rFonts w:ascii="黑体" w:eastAsia="黑体"/>
          <w:w w:val="95"/>
          <w:sz w:val="18"/>
          <w:vertAlign w:val="baseline"/>
        </w:rPr>
        <w:t>、</w:t>
      </w:r>
      <w:r>
        <w:rPr>
          <w:rFonts w:ascii="黑体" w:eastAsia="黑体"/>
          <w:spacing w:val="-10"/>
          <w:w w:val="95"/>
          <w:sz w:val="18"/>
          <w:vertAlign w:val="baseline"/>
        </w:rPr>
        <w:t>复</w:t>
      </w:r>
    </w:p>
    <w:p>
      <w:pPr>
        <w:spacing w:line="230" w:lineRule="exact" w:before="4"/>
        <w:ind w:left="737" w:right="0" w:firstLine="0"/>
        <w:jc w:val="left"/>
        <w:rPr>
          <w:rFonts w:ascii="黑体" w:eastAsia="黑体"/>
          <w:sz w:val="18"/>
        </w:rPr>
      </w:pPr>
      <w:r>
        <w:rPr>
          <w:rFonts w:ascii="黑体" w:eastAsia="黑体"/>
          <w:spacing w:val="-1"/>
          <w:sz w:val="18"/>
        </w:rPr>
        <w:t>效之后第一次经医院确诊患有某种疾病。</w:t>
      </w:r>
    </w:p>
    <w:p>
      <w:pPr>
        <w:spacing w:line="230" w:lineRule="exact" w:before="0"/>
        <w:ind w:left="737" w:right="0" w:firstLine="0"/>
        <w:jc w:val="left"/>
        <w:rPr>
          <w:sz w:val="18"/>
        </w:rPr>
      </w:pPr>
      <w:r>
        <w:rPr>
          <w:rFonts w:ascii="Times New Roman" w:eastAsia="Times New Roman"/>
          <w:w w:val="95"/>
          <w:sz w:val="18"/>
          <w:vertAlign w:val="superscript"/>
        </w:rPr>
        <w:t>23</w:t>
      </w:r>
      <w:r>
        <w:rPr>
          <w:b/>
          <w:w w:val="95"/>
          <w:sz w:val="18"/>
          <w:vertAlign w:val="baseline"/>
        </w:rPr>
        <w:t>重</w:t>
      </w:r>
      <w:r>
        <w:rPr>
          <w:b/>
          <w:w w:val="95"/>
          <w:sz w:val="18"/>
          <w:vertAlign w:val="baseline"/>
        </w:rPr>
        <w:t>大</w:t>
      </w:r>
      <w:r>
        <w:rPr>
          <w:b/>
          <w:w w:val="95"/>
          <w:sz w:val="18"/>
          <w:vertAlign w:val="baseline"/>
        </w:rPr>
        <w:t>疾</w:t>
      </w:r>
      <w:r>
        <w:rPr>
          <w:b/>
          <w:w w:val="95"/>
          <w:sz w:val="18"/>
          <w:vertAlign w:val="baseline"/>
        </w:rPr>
        <w:t>病</w:t>
      </w:r>
      <w:r>
        <w:rPr>
          <w:b/>
          <w:w w:val="95"/>
          <w:sz w:val="18"/>
          <w:vertAlign w:val="baseline"/>
        </w:rPr>
        <w:t>：</w:t>
      </w:r>
      <w:r>
        <w:rPr>
          <w:w w:val="95"/>
          <w:sz w:val="18"/>
          <w:vertAlign w:val="baseline"/>
        </w:rPr>
        <w:t>重</w:t>
      </w:r>
      <w:r>
        <w:rPr>
          <w:w w:val="95"/>
          <w:sz w:val="18"/>
          <w:vertAlign w:val="baseline"/>
        </w:rPr>
        <w:t>大</w:t>
      </w:r>
      <w:r>
        <w:rPr>
          <w:w w:val="95"/>
          <w:sz w:val="18"/>
          <w:vertAlign w:val="baseline"/>
        </w:rPr>
        <w:t>疾</w:t>
      </w:r>
      <w:r>
        <w:rPr>
          <w:w w:val="95"/>
          <w:sz w:val="18"/>
          <w:vertAlign w:val="baseline"/>
        </w:rPr>
        <w:t>病</w:t>
      </w:r>
      <w:r>
        <w:rPr>
          <w:w w:val="95"/>
          <w:sz w:val="18"/>
          <w:vertAlign w:val="baseline"/>
        </w:rPr>
        <w:t>种</w:t>
      </w:r>
      <w:r>
        <w:rPr>
          <w:w w:val="95"/>
          <w:sz w:val="18"/>
          <w:vertAlign w:val="baseline"/>
        </w:rPr>
        <w:t>类</w:t>
      </w:r>
      <w:r>
        <w:rPr>
          <w:w w:val="95"/>
          <w:sz w:val="18"/>
          <w:vertAlign w:val="baseline"/>
        </w:rPr>
        <w:t>及</w:t>
      </w:r>
      <w:r>
        <w:rPr>
          <w:w w:val="95"/>
          <w:sz w:val="18"/>
          <w:vertAlign w:val="baseline"/>
        </w:rPr>
        <w:t>定</w:t>
      </w:r>
      <w:r>
        <w:rPr>
          <w:w w:val="95"/>
          <w:sz w:val="18"/>
          <w:vertAlign w:val="baseline"/>
        </w:rPr>
        <w:t>义</w:t>
      </w:r>
      <w:r>
        <w:rPr>
          <w:w w:val="95"/>
          <w:sz w:val="18"/>
          <w:vertAlign w:val="baseline"/>
        </w:rPr>
        <w:t>见</w:t>
      </w:r>
      <w:r>
        <w:rPr>
          <w:w w:val="95"/>
          <w:sz w:val="18"/>
          <w:vertAlign w:val="baseline"/>
        </w:rPr>
        <w:t>《</w:t>
      </w:r>
      <w:r>
        <w:rPr>
          <w:w w:val="95"/>
          <w:sz w:val="18"/>
          <w:vertAlign w:val="baseline"/>
        </w:rPr>
        <w:t>附</w:t>
      </w:r>
      <w:r>
        <w:rPr>
          <w:w w:val="95"/>
          <w:sz w:val="18"/>
          <w:vertAlign w:val="baseline"/>
        </w:rPr>
        <w:t>表</w:t>
      </w:r>
      <w:r>
        <w:rPr>
          <w:w w:val="95"/>
          <w:sz w:val="18"/>
          <w:vertAlign w:val="baseline"/>
        </w:rPr>
        <w:t>一</w:t>
      </w:r>
      <w:r>
        <w:rPr>
          <w:w w:val="95"/>
          <w:sz w:val="18"/>
          <w:vertAlign w:val="baseline"/>
        </w:rPr>
        <w:t>：</w:t>
      </w:r>
      <w:r>
        <w:rPr>
          <w:w w:val="95"/>
          <w:sz w:val="18"/>
          <w:vertAlign w:val="baseline"/>
        </w:rPr>
        <w:t>重</w:t>
      </w:r>
      <w:r>
        <w:rPr>
          <w:w w:val="95"/>
          <w:sz w:val="18"/>
          <w:vertAlign w:val="baseline"/>
        </w:rPr>
        <w:t>大</w:t>
      </w:r>
      <w:r>
        <w:rPr>
          <w:w w:val="95"/>
          <w:sz w:val="18"/>
          <w:vertAlign w:val="baseline"/>
        </w:rPr>
        <w:t>疾</w:t>
      </w:r>
      <w:r>
        <w:rPr>
          <w:w w:val="95"/>
          <w:sz w:val="18"/>
          <w:vertAlign w:val="baseline"/>
        </w:rPr>
        <w:t>病</w:t>
      </w:r>
      <w:r>
        <w:rPr>
          <w:w w:val="95"/>
          <w:sz w:val="18"/>
          <w:vertAlign w:val="baseline"/>
        </w:rPr>
        <w:t>种</w:t>
      </w:r>
      <w:r>
        <w:rPr>
          <w:w w:val="95"/>
          <w:sz w:val="18"/>
          <w:vertAlign w:val="baseline"/>
        </w:rPr>
        <w:t>类</w:t>
      </w:r>
      <w:r>
        <w:rPr>
          <w:w w:val="95"/>
          <w:sz w:val="18"/>
          <w:vertAlign w:val="baseline"/>
        </w:rPr>
        <w:t>表</w:t>
      </w:r>
      <w:r>
        <w:rPr>
          <w:w w:val="95"/>
          <w:sz w:val="18"/>
          <w:vertAlign w:val="baseline"/>
        </w:rPr>
        <w:t>》</w:t>
      </w:r>
      <w:r>
        <w:rPr>
          <w:spacing w:val="-10"/>
          <w:w w:val="95"/>
          <w:sz w:val="18"/>
          <w:vertAlign w:val="baseline"/>
        </w:rPr>
        <w:t>。</w:t>
      </w:r>
    </w:p>
    <w:p>
      <w:pPr>
        <w:spacing w:after="0" w:line="230" w:lineRule="exact"/>
        <w:jc w:val="left"/>
        <w:rPr>
          <w:sz w:val="18"/>
        </w:rPr>
        <w:sectPr>
          <w:pgSz w:w="11910" w:h="16840"/>
          <w:pgMar w:header="0" w:footer="1168" w:top="1440" w:bottom="1360" w:left="1060" w:right="1060"/>
        </w:sectPr>
      </w:pPr>
    </w:p>
    <w:p>
      <w:pPr>
        <w:pStyle w:val="BodyText"/>
        <w:spacing w:line="278" w:lineRule="auto" w:before="50"/>
        <w:ind w:right="732"/>
        <w:jc w:val="both"/>
      </w:pPr>
      <w:r>
        <w:rPr>
          <w:spacing w:val="-12"/>
        </w:rPr>
        <w:t>疗保险金，当我们累计给付的一般医疗保险金总额达到本合同约定的一般医疗保险金年度给</w:t>
      </w:r>
      <w:r>
        <w:rPr>
          <w:w w:val="95"/>
        </w:rPr>
        <w:t>付</w:t>
      </w:r>
      <w:r>
        <w:rPr>
          <w:w w:val="95"/>
        </w:rPr>
        <w:t>限</w:t>
      </w:r>
      <w:r>
        <w:rPr>
          <w:w w:val="95"/>
        </w:rPr>
        <w:t>额</w:t>
      </w:r>
      <w:r>
        <w:rPr>
          <w:w w:val="95"/>
        </w:rPr>
        <w:t>时</w:t>
      </w:r>
      <w:r>
        <w:rPr>
          <w:w w:val="95"/>
        </w:rPr>
        <w:t>，</w:t>
      </w:r>
      <w:r>
        <w:rPr>
          <w:w w:val="95"/>
        </w:rPr>
        <w:t>我</w:t>
      </w:r>
      <w:r>
        <w:rPr>
          <w:w w:val="95"/>
        </w:rPr>
        <w:t>们</w:t>
      </w:r>
      <w:r>
        <w:rPr>
          <w:w w:val="95"/>
        </w:rPr>
        <w:t>对</w:t>
      </w:r>
      <w:r>
        <w:rPr>
          <w:w w:val="95"/>
        </w:rPr>
        <w:t>因</w:t>
      </w:r>
      <w:r>
        <w:rPr>
          <w:w w:val="95"/>
        </w:rPr>
        <w:t>治</w:t>
      </w:r>
      <w:r>
        <w:rPr>
          <w:w w:val="95"/>
        </w:rPr>
        <w:t>疗</w:t>
      </w:r>
      <w:r>
        <w:rPr>
          <w:w w:val="95"/>
        </w:rPr>
        <w:t>该</w:t>
      </w:r>
      <w:r>
        <w:rPr>
          <w:w w:val="95"/>
        </w:rPr>
        <w:t>重</w:t>
      </w:r>
      <w:r>
        <w:rPr>
          <w:w w:val="95"/>
        </w:rPr>
        <w:t>大</w:t>
      </w:r>
      <w:r>
        <w:rPr>
          <w:w w:val="95"/>
        </w:rPr>
        <w:t>疾</w:t>
      </w:r>
      <w:r>
        <w:rPr>
          <w:w w:val="95"/>
        </w:rPr>
        <w:t>病</w:t>
      </w:r>
      <w:r>
        <w:rPr>
          <w:w w:val="95"/>
        </w:rPr>
        <w:t>而</w:t>
      </w:r>
      <w:r>
        <w:rPr>
          <w:w w:val="95"/>
        </w:rPr>
        <w:t>产</w:t>
      </w:r>
      <w:r>
        <w:rPr>
          <w:w w:val="95"/>
        </w:rPr>
        <w:t>生</w:t>
      </w:r>
      <w:r>
        <w:rPr>
          <w:w w:val="95"/>
        </w:rPr>
        <w:t>的</w:t>
      </w:r>
      <w:r>
        <w:rPr>
          <w:w w:val="95"/>
        </w:rPr>
        <w:t>下</w:t>
      </w:r>
      <w:r>
        <w:rPr>
          <w:w w:val="95"/>
        </w:rPr>
        <w:t>述</w:t>
      </w:r>
      <w:r>
        <w:rPr>
          <w:w w:val="95"/>
        </w:rPr>
        <w:t> </w:t>
      </w:r>
      <w:r>
        <w:rPr>
          <w:rFonts w:ascii="Times New Roman" w:eastAsia="Times New Roman"/>
          <w:w w:val="95"/>
        </w:rPr>
        <w:t>1</w:t>
      </w:r>
      <w:r>
        <w:rPr>
          <w:rFonts w:ascii="Times New Roman" w:eastAsia="Times New Roman"/>
          <w:spacing w:val="40"/>
        </w:rPr>
        <w:t> </w:t>
      </w:r>
      <w:r>
        <w:rPr>
          <w:w w:val="95"/>
        </w:rPr>
        <w:t>至 </w:t>
      </w:r>
      <w:r>
        <w:rPr>
          <w:rFonts w:ascii="Times New Roman" w:eastAsia="Times New Roman"/>
          <w:w w:val="95"/>
        </w:rPr>
        <w:t>5</w:t>
      </w:r>
      <w:r>
        <w:rPr>
          <w:rFonts w:ascii="Times New Roman" w:eastAsia="Times New Roman"/>
          <w:spacing w:val="40"/>
        </w:rPr>
        <w:t> </w:t>
      </w:r>
      <w:r>
        <w:rPr>
          <w:w w:val="95"/>
        </w:rPr>
        <w:t>类</w:t>
      </w:r>
      <w:r>
        <w:rPr>
          <w:w w:val="95"/>
        </w:rPr>
        <w:t>费</w:t>
      </w:r>
      <w:r>
        <w:rPr>
          <w:w w:val="95"/>
        </w:rPr>
        <w:t>用</w:t>
      </w:r>
      <w:r>
        <w:rPr>
          <w:w w:val="95"/>
        </w:rPr>
        <w:t>，</w:t>
      </w:r>
      <w:r>
        <w:rPr>
          <w:rFonts w:ascii="黑体" w:eastAsia="黑体"/>
          <w:color w:val="000000"/>
          <w:w w:val="95"/>
          <w:shd w:fill="D9D9D9" w:color="auto" w:val="clear"/>
        </w:rPr>
        <w:t>按</w:t>
      </w:r>
      <w:r>
        <w:rPr>
          <w:rFonts w:ascii="黑体" w:eastAsia="黑体"/>
          <w:color w:val="000000"/>
          <w:w w:val="95"/>
          <w:shd w:fill="D9D9D9" w:color="auto" w:val="clear"/>
        </w:rPr>
        <w:t>本</w:t>
      </w:r>
      <w:r>
        <w:rPr>
          <w:rFonts w:ascii="黑体" w:eastAsia="黑体"/>
          <w:color w:val="000000"/>
          <w:w w:val="95"/>
          <w:shd w:fill="D9D9D9" w:color="auto" w:val="clear"/>
        </w:rPr>
        <w:t>合</w:t>
      </w:r>
      <w:r>
        <w:rPr>
          <w:rFonts w:ascii="黑体" w:eastAsia="黑体"/>
          <w:color w:val="000000"/>
          <w:w w:val="95"/>
          <w:shd w:fill="D9D9D9" w:color="auto" w:val="clear"/>
        </w:rPr>
        <w:t>同</w:t>
      </w:r>
      <w:r>
        <w:rPr>
          <w:rFonts w:ascii="黑体" w:eastAsia="黑体"/>
          <w:color w:val="000000"/>
          <w:w w:val="95"/>
          <w:shd w:fill="D9D9D9" w:color="auto" w:val="clear"/>
        </w:rPr>
        <w:t>第</w:t>
      </w:r>
      <w:r>
        <w:rPr>
          <w:rFonts w:ascii="黑体" w:eastAsia="黑体"/>
          <w:color w:val="000000"/>
          <w:w w:val="95"/>
          <w:shd w:fill="D9D9D9" w:color="auto" w:val="clear"/>
        </w:rPr>
        <w:t>五</w:t>
      </w:r>
      <w:r>
        <w:rPr>
          <w:rFonts w:ascii="黑体" w:eastAsia="黑体"/>
          <w:color w:val="000000"/>
          <w:w w:val="95"/>
          <w:shd w:fill="D9D9D9" w:color="auto" w:val="clear"/>
        </w:rPr>
        <w:t>条</w:t>
      </w:r>
      <w:r>
        <w:rPr>
          <w:rFonts w:ascii="黑体" w:eastAsia="黑体"/>
          <w:color w:val="000000"/>
          <w:w w:val="95"/>
          <w:shd w:fill="D9D9D9" w:color="auto" w:val="clear"/>
        </w:rPr>
        <w:t>约</w:t>
      </w:r>
      <w:r>
        <w:rPr>
          <w:rFonts w:ascii="黑体" w:eastAsia="黑体"/>
          <w:color w:val="000000"/>
          <w:w w:val="95"/>
          <w:shd w:fill="D9D9D9" w:color="auto" w:val="clear"/>
        </w:rPr>
        <w:t>定</w:t>
      </w:r>
      <w:r>
        <w:rPr>
          <w:rFonts w:ascii="黑体" w:eastAsia="黑体"/>
          <w:color w:val="000000"/>
          <w:w w:val="95"/>
          <w:shd w:fill="D9D9D9" w:color="auto" w:val="clear"/>
        </w:rPr>
        <w:t>的</w:t>
      </w:r>
      <w:r>
        <w:rPr>
          <w:rFonts w:ascii="黑体" w:eastAsia="黑体"/>
          <w:color w:val="000000"/>
          <w:w w:val="95"/>
          <w:shd w:fill="D9D9D9" w:color="auto" w:val="clear"/>
        </w:rPr>
        <w:t>赔</w:t>
      </w:r>
      <w:r>
        <w:rPr>
          <w:rFonts w:ascii="黑体" w:eastAsia="黑体"/>
          <w:color w:val="000000"/>
          <w:spacing w:val="40"/>
          <w:shd w:fill="D9D9D9" w:color="auto" w:val="clear"/>
        </w:rPr>
        <w:t> </w:t>
      </w:r>
      <w:r>
        <w:rPr>
          <w:rFonts w:ascii="黑体" w:eastAsia="黑体"/>
          <w:color w:val="000000"/>
          <w:spacing w:val="-2"/>
          <w:shd w:fill="D9D9D9" w:color="auto" w:val="clear"/>
        </w:rPr>
        <w:t>付比例给付重大疾病医疗保险金</w:t>
      </w:r>
      <w:r>
        <w:rPr>
          <w:color w:val="000000"/>
          <w:spacing w:val="-2"/>
        </w:rPr>
        <w:t>。</w:t>
      </w:r>
    </w:p>
    <w:p>
      <w:pPr>
        <w:pStyle w:val="BodyText"/>
        <w:spacing w:line="269" w:lineRule="exact"/>
        <w:jc w:val="both"/>
      </w:pPr>
      <w:r>
        <w:rPr>
          <w:rFonts w:ascii="Times New Roman" w:eastAsia="Times New Roman"/>
        </w:rPr>
        <w:t>1</w:t>
      </w:r>
      <w:r>
        <w:rPr>
          <w:spacing w:val="-9"/>
        </w:rPr>
        <w:t>、 重大疾病住院医疗费用</w:t>
      </w:r>
    </w:p>
    <w:p>
      <w:pPr>
        <w:pStyle w:val="BodyText"/>
        <w:spacing w:line="278" w:lineRule="auto" w:before="43"/>
        <w:ind w:right="854"/>
      </w:pPr>
      <w:r>
        <w:rPr>
          <w:spacing w:val="-2"/>
        </w:rPr>
        <w:t>指被保险人在该中国大陆地区医院住院期间内实际支出的必要且合理的重大疾病住院医疗</w:t>
      </w:r>
      <w:r>
        <w:rPr>
          <w:spacing w:val="-2"/>
        </w:rPr>
        <w:t>费用。住院医疗费用包括：</w:t>
      </w:r>
    </w:p>
    <w:p>
      <w:pPr>
        <w:pStyle w:val="ListParagraph"/>
        <w:numPr>
          <w:ilvl w:val="1"/>
          <w:numId w:val="4"/>
        </w:numPr>
        <w:tabs>
          <w:tab w:pos="1583" w:val="left" w:leader="none"/>
          <w:tab w:pos="1584" w:val="left" w:leader="none"/>
        </w:tabs>
        <w:spacing w:line="269" w:lineRule="exact" w:before="0" w:after="0"/>
        <w:ind w:left="1583" w:right="0" w:hanging="421"/>
        <w:jc w:val="left"/>
        <w:rPr>
          <w:sz w:val="21"/>
        </w:rPr>
      </w:pPr>
      <w:r>
        <w:rPr>
          <w:spacing w:val="-3"/>
          <w:sz w:val="21"/>
        </w:rPr>
        <w:t>床位费；</w:t>
      </w:r>
    </w:p>
    <w:p>
      <w:pPr>
        <w:pStyle w:val="ListParagraph"/>
        <w:numPr>
          <w:ilvl w:val="1"/>
          <w:numId w:val="4"/>
        </w:numPr>
        <w:tabs>
          <w:tab w:pos="1583" w:val="left" w:leader="none"/>
          <w:tab w:pos="1584" w:val="left" w:leader="none"/>
        </w:tabs>
        <w:spacing w:line="240" w:lineRule="auto" w:before="43" w:after="0"/>
        <w:ind w:left="1583" w:right="0" w:hanging="421"/>
        <w:jc w:val="left"/>
        <w:rPr>
          <w:sz w:val="21"/>
        </w:rPr>
      </w:pPr>
      <w:r>
        <w:rPr>
          <w:spacing w:val="-2"/>
          <w:sz w:val="21"/>
        </w:rPr>
        <w:t>膳食费、护理费；</w:t>
      </w:r>
    </w:p>
    <w:p>
      <w:pPr>
        <w:pStyle w:val="ListParagraph"/>
        <w:numPr>
          <w:ilvl w:val="1"/>
          <w:numId w:val="4"/>
        </w:numPr>
        <w:tabs>
          <w:tab w:pos="1583" w:val="left" w:leader="none"/>
          <w:tab w:pos="1584" w:val="left" w:leader="none"/>
        </w:tabs>
        <w:spacing w:line="240" w:lineRule="auto" w:before="43" w:after="0"/>
        <w:ind w:left="1583" w:right="0" w:hanging="421"/>
        <w:jc w:val="left"/>
        <w:rPr>
          <w:sz w:val="21"/>
        </w:rPr>
      </w:pPr>
      <w:r>
        <w:rPr>
          <w:spacing w:val="-2"/>
          <w:sz w:val="21"/>
        </w:rPr>
        <w:t>检查检验费；</w:t>
      </w:r>
    </w:p>
    <w:p>
      <w:pPr>
        <w:pStyle w:val="ListParagraph"/>
        <w:numPr>
          <w:ilvl w:val="1"/>
          <w:numId w:val="4"/>
        </w:numPr>
        <w:tabs>
          <w:tab w:pos="1583" w:val="left" w:leader="none"/>
          <w:tab w:pos="1584" w:val="left" w:leader="none"/>
        </w:tabs>
        <w:spacing w:line="240" w:lineRule="auto" w:before="43" w:after="0"/>
        <w:ind w:left="1583" w:right="0" w:hanging="421"/>
        <w:jc w:val="left"/>
        <w:rPr>
          <w:sz w:val="21"/>
        </w:rPr>
      </w:pPr>
      <w:r>
        <w:rPr>
          <w:spacing w:val="-1"/>
          <w:sz w:val="21"/>
        </w:rPr>
        <w:t>手术费、药品费、诊疗费；</w:t>
      </w:r>
    </w:p>
    <w:p>
      <w:pPr>
        <w:pStyle w:val="ListParagraph"/>
        <w:numPr>
          <w:ilvl w:val="1"/>
          <w:numId w:val="4"/>
        </w:numPr>
        <w:tabs>
          <w:tab w:pos="1583" w:val="left" w:leader="none"/>
          <w:tab w:pos="1584" w:val="left" w:leader="none"/>
        </w:tabs>
        <w:spacing w:line="240" w:lineRule="auto" w:before="43" w:after="0"/>
        <w:ind w:left="1583" w:right="0" w:hanging="421"/>
        <w:jc w:val="left"/>
        <w:rPr>
          <w:sz w:val="21"/>
        </w:rPr>
      </w:pPr>
      <w:r>
        <w:rPr>
          <w:spacing w:val="-3"/>
          <w:sz w:val="21"/>
        </w:rPr>
        <w:t>治疗费；</w:t>
      </w:r>
    </w:p>
    <w:p>
      <w:pPr>
        <w:pStyle w:val="ListParagraph"/>
        <w:numPr>
          <w:ilvl w:val="1"/>
          <w:numId w:val="4"/>
        </w:numPr>
        <w:tabs>
          <w:tab w:pos="1583" w:val="left" w:leader="none"/>
          <w:tab w:pos="1584" w:val="left" w:leader="none"/>
        </w:tabs>
        <w:spacing w:line="240" w:lineRule="auto" w:before="43" w:after="0"/>
        <w:ind w:left="1583" w:right="0" w:hanging="421"/>
        <w:jc w:val="left"/>
        <w:rPr>
          <w:sz w:val="21"/>
        </w:rPr>
      </w:pPr>
      <w:r>
        <w:rPr>
          <w:spacing w:val="-3"/>
          <w:sz w:val="21"/>
        </w:rPr>
        <w:t>加床费。</w:t>
      </w:r>
    </w:p>
    <w:p>
      <w:pPr>
        <w:pStyle w:val="BodyText"/>
        <w:spacing w:line="278" w:lineRule="auto" w:before="43"/>
        <w:ind w:right="523"/>
      </w:pPr>
      <w:r>
        <w:rPr>
          <w:spacing w:val="-2"/>
        </w:rPr>
        <w:t>若被保险人在本合同等待期后、保险期间届满前开始住院治疗，且在保险期间届满时治疗仍</w:t>
      </w:r>
      <w:r>
        <w:rPr>
          <w:spacing w:val="-2"/>
        </w:rPr>
        <w:t> </w:t>
      </w:r>
      <w:r>
        <w:rPr>
          <w:spacing w:val="-20"/>
        </w:rPr>
        <w:t>未结束的，我们将延续承担因本次重大疾病住院发生的、不超过该保险期间届满后三十天</w:t>
      </w:r>
      <w:r>
        <w:rPr>
          <w:spacing w:val="-2"/>
        </w:rPr>
        <w:t>（含）</w:t>
      </w:r>
      <w:r>
        <w:rPr>
          <w:spacing w:val="-7"/>
        </w:rPr>
        <w:t>内的必要且合理的重大疾病住院医疗费用，并且该延续期间重大疾病住院医疗费用计入该次</w:t>
      </w:r>
      <w:r>
        <w:rPr>
          <w:spacing w:val="40"/>
        </w:rPr>
        <w:t> </w:t>
      </w:r>
      <w:r>
        <w:rPr>
          <w:spacing w:val="-2"/>
        </w:rPr>
        <w:t>重大疾病住院治疗开始日所属的保险期间。</w:t>
      </w:r>
    </w:p>
    <w:p>
      <w:pPr>
        <w:pStyle w:val="BodyText"/>
        <w:spacing w:line="269" w:lineRule="exact"/>
      </w:pPr>
      <w:r>
        <w:rPr>
          <w:rFonts w:ascii="Times New Roman" w:eastAsia="Times New Roman"/>
        </w:rPr>
        <w:t>2</w:t>
      </w:r>
      <w:r>
        <w:rPr>
          <w:spacing w:val="-9"/>
        </w:rPr>
        <w:t>、 重大疾病特殊门诊医疗费用</w:t>
      </w:r>
    </w:p>
    <w:p>
      <w:pPr>
        <w:pStyle w:val="BodyText"/>
        <w:spacing w:line="278" w:lineRule="auto" w:before="43"/>
        <w:ind w:right="854"/>
      </w:pPr>
      <w:r>
        <w:rPr>
          <w:spacing w:val="-2"/>
        </w:rPr>
        <w:t>指被保险人在该中国大陆地区医院进行特殊门诊治疗期间内实际支出的必要且合理的重大</w:t>
      </w:r>
      <w:r>
        <w:rPr>
          <w:spacing w:val="-2"/>
        </w:rPr>
        <w:t>疾病特殊门诊医疗费用。特殊门诊治疗包括：</w:t>
      </w:r>
    </w:p>
    <w:p>
      <w:pPr>
        <w:pStyle w:val="ListParagraph"/>
        <w:numPr>
          <w:ilvl w:val="0"/>
          <w:numId w:val="5"/>
        </w:numPr>
        <w:tabs>
          <w:tab w:pos="1577" w:val="left" w:leader="none"/>
          <w:tab w:pos="1578" w:val="left" w:leader="none"/>
        </w:tabs>
        <w:spacing w:line="269" w:lineRule="exact" w:before="0" w:after="0"/>
        <w:ind w:left="1577" w:right="0" w:hanging="421"/>
        <w:jc w:val="left"/>
        <w:rPr>
          <w:sz w:val="21"/>
        </w:rPr>
      </w:pPr>
      <w:r>
        <w:rPr>
          <w:spacing w:val="-2"/>
          <w:sz w:val="21"/>
        </w:rPr>
        <w:t>门诊肾透析；</w:t>
      </w:r>
    </w:p>
    <w:p>
      <w:pPr>
        <w:pStyle w:val="ListParagraph"/>
        <w:numPr>
          <w:ilvl w:val="0"/>
          <w:numId w:val="5"/>
        </w:numPr>
        <w:tabs>
          <w:tab w:pos="1577" w:val="left" w:leader="none"/>
          <w:tab w:pos="1578" w:val="left" w:leader="none"/>
        </w:tabs>
        <w:spacing w:line="278" w:lineRule="auto" w:before="43" w:after="0"/>
        <w:ind w:left="1577" w:right="626" w:hanging="420"/>
        <w:jc w:val="left"/>
        <w:rPr>
          <w:sz w:val="21"/>
        </w:rPr>
      </w:pPr>
      <w:r>
        <w:rPr>
          <w:spacing w:val="-2"/>
          <w:sz w:val="21"/>
        </w:rPr>
        <w:t>门诊恶性肿瘤治疗，包括化学疗法、放射疗法、肿瘤免疫疗法、肿瘤内分泌疗法、</w:t>
      </w:r>
      <w:r>
        <w:rPr>
          <w:spacing w:val="-2"/>
          <w:sz w:val="21"/>
        </w:rPr>
        <w:t>肿瘤靶向疗法；</w:t>
      </w:r>
    </w:p>
    <w:p>
      <w:pPr>
        <w:pStyle w:val="ListParagraph"/>
        <w:numPr>
          <w:ilvl w:val="0"/>
          <w:numId w:val="5"/>
        </w:numPr>
        <w:tabs>
          <w:tab w:pos="1577" w:val="left" w:leader="none"/>
          <w:tab w:pos="1578" w:val="left" w:leader="none"/>
        </w:tabs>
        <w:spacing w:line="269" w:lineRule="exact" w:before="0" w:after="0"/>
        <w:ind w:left="1577" w:right="0" w:hanging="421"/>
        <w:jc w:val="left"/>
        <w:rPr>
          <w:sz w:val="21"/>
        </w:rPr>
      </w:pPr>
      <w:r>
        <w:rPr>
          <w:spacing w:val="-1"/>
          <w:sz w:val="21"/>
        </w:rPr>
        <w:t>器官移植后抗排异治疗。</w:t>
      </w:r>
    </w:p>
    <w:p>
      <w:pPr>
        <w:pStyle w:val="BodyText"/>
        <w:spacing w:before="42"/>
      </w:pPr>
      <w:r>
        <w:rPr>
          <w:rFonts w:ascii="Times New Roman" w:eastAsia="Times New Roman"/>
        </w:rPr>
        <w:t>3</w:t>
      </w:r>
      <w:r>
        <w:rPr>
          <w:spacing w:val="-9"/>
        </w:rPr>
        <w:t>、 重大疾病门诊手术医疗费用</w:t>
      </w:r>
    </w:p>
    <w:p>
      <w:pPr>
        <w:pStyle w:val="BodyText"/>
        <w:spacing w:line="278" w:lineRule="auto" w:before="43"/>
        <w:ind w:right="854"/>
      </w:pPr>
      <w:r>
        <w:rPr>
          <w:spacing w:val="-2"/>
        </w:rPr>
        <w:t>指被保险人在该中国大陆地区医院进行门诊手术治疗期间内实际支出的必要且合理的重大</w:t>
      </w:r>
      <w:r>
        <w:rPr>
          <w:spacing w:val="-2"/>
        </w:rPr>
        <w:t>疾病门诊手术医疗费用。</w:t>
      </w:r>
    </w:p>
    <w:p>
      <w:pPr>
        <w:pStyle w:val="BodyText"/>
        <w:spacing w:line="269" w:lineRule="exact"/>
      </w:pPr>
      <w:r>
        <w:rPr>
          <w:rFonts w:ascii="Times New Roman" w:eastAsia="Times New Roman"/>
        </w:rPr>
        <w:t>4</w:t>
      </w:r>
      <w:r>
        <w:rPr>
          <w:spacing w:val="-9"/>
        </w:rPr>
        <w:t>、 重大疾病住院前后门急诊医疗费用</w:t>
      </w:r>
    </w:p>
    <w:p>
      <w:pPr>
        <w:pStyle w:val="BodyText"/>
        <w:spacing w:line="278" w:lineRule="auto" w:before="43"/>
        <w:ind w:right="626"/>
      </w:pPr>
      <w:r>
        <w:rPr>
          <w:spacing w:val="-2"/>
        </w:rPr>
        <w:t>指被保险人在该中国大陆地区医院住院前（含住院当日）三十天（含）和出院后（含出院当</w:t>
      </w:r>
      <w:r>
        <w:rPr>
          <w:spacing w:val="-2"/>
        </w:rPr>
        <w:t>日）三十天（含）内，因与该次重大疾病住院相同原因接受门急诊治疗实际支出的必要且合</w:t>
      </w:r>
      <w:r>
        <w:rPr>
          <w:spacing w:val="-17"/>
        </w:rPr>
        <w:t>理的医疗费用</w:t>
      </w:r>
      <w:r>
        <w:rPr>
          <w:rFonts w:ascii="黑体" w:eastAsia="黑体"/>
          <w:spacing w:val="-2"/>
        </w:rPr>
        <w:t>（</w:t>
      </w:r>
      <w:r>
        <w:rPr>
          <w:rFonts w:ascii="黑体" w:eastAsia="黑体"/>
          <w:color w:val="000000"/>
          <w:spacing w:val="-2"/>
          <w:shd w:fill="D9D9D9" w:color="auto" w:val="clear"/>
        </w:rPr>
        <w:t>此项费用不包含重大疾病特殊门诊医疗费用和重大疾病门诊手术医疗费用</w:t>
      </w:r>
      <w:r>
        <w:rPr>
          <w:rFonts w:ascii="黑体" w:eastAsia="黑体"/>
          <w:color w:val="000000"/>
          <w:spacing w:val="-105"/>
          <w:shd w:fill="D9D9D9" w:color="auto" w:val="clear"/>
        </w:rPr>
        <w:t>）</w:t>
      </w:r>
      <w:r>
        <w:rPr>
          <w:rFonts w:ascii="黑体" w:eastAsia="黑体"/>
          <w:color w:val="000000"/>
          <w:spacing w:val="-2"/>
          <w:shd w:fill="D9D9D9" w:color="auto" w:val="clear"/>
        </w:rPr>
        <w:t>。</w:t>
      </w:r>
      <w:r>
        <w:rPr>
          <w:rFonts w:ascii="黑体" w:eastAsia="黑体"/>
          <w:color w:val="000000"/>
          <w:spacing w:val="-2"/>
        </w:rPr>
        <w:t> </w:t>
      </w:r>
      <w:r>
        <w:rPr>
          <w:rFonts w:ascii="Times New Roman" w:eastAsia="Times New Roman"/>
          <w:color w:val="000000"/>
        </w:rPr>
        <w:t>5</w:t>
      </w:r>
      <w:r>
        <w:rPr>
          <w:color w:val="000000"/>
          <w:spacing w:val="-8"/>
        </w:rPr>
        <w:t>、 质子重离子医疗费用</w:t>
      </w:r>
    </w:p>
    <w:p>
      <w:pPr>
        <w:spacing w:line="278" w:lineRule="auto" w:before="0"/>
        <w:ind w:left="737" w:right="731" w:firstLine="0"/>
        <w:jc w:val="left"/>
        <w:rPr>
          <w:sz w:val="21"/>
        </w:rPr>
      </w:pPr>
      <w:r>
        <w:rPr>
          <w:spacing w:val="-2"/>
          <w:sz w:val="21"/>
        </w:rPr>
        <w:t>指被保险人在上海市质子重离子医院接受</w:t>
      </w:r>
      <w:r>
        <w:rPr>
          <w:b/>
          <w:spacing w:val="-2"/>
          <w:sz w:val="21"/>
        </w:rPr>
        <w:t>质子、</w:t>
      </w:r>
      <w:r>
        <w:rPr>
          <w:b/>
          <w:spacing w:val="-2"/>
          <w:sz w:val="21"/>
        </w:rPr>
        <w:t>重</w:t>
      </w:r>
      <w:r>
        <w:rPr>
          <w:b/>
          <w:spacing w:val="-2"/>
          <w:sz w:val="21"/>
        </w:rPr>
        <w:t>离</w:t>
      </w:r>
      <w:r>
        <w:rPr>
          <w:b/>
          <w:spacing w:val="-2"/>
          <w:sz w:val="21"/>
        </w:rPr>
        <w:t>子</w:t>
      </w:r>
      <w:r>
        <w:rPr>
          <w:b/>
          <w:spacing w:val="-2"/>
          <w:sz w:val="21"/>
        </w:rPr>
        <w:t>放</w:t>
      </w:r>
      <w:r>
        <w:rPr>
          <w:b/>
          <w:spacing w:val="-2"/>
          <w:sz w:val="21"/>
        </w:rPr>
        <w:t>射</w:t>
      </w:r>
      <w:r>
        <w:rPr>
          <w:b/>
          <w:spacing w:val="-2"/>
          <w:sz w:val="21"/>
        </w:rPr>
        <w:t>治</w:t>
      </w:r>
      <w:r>
        <w:rPr>
          <w:b/>
          <w:spacing w:val="-2"/>
          <w:sz w:val="21"/>
        </w:rPr>
        <w:t>疗</w:t>
      </w:r>
      <w:r>
        <w:rPr>
          <w:rFonts w:ascii="Times New Roman" w:eastAsia="Times New Roman"/>
          <w:b/>
          <w:spacing w:val="-2"/>
          <w:sz w:val="21"/>
          <w:vertAlign w:val="superscript"/>
        </w:rPr>
        <w:t>24</w:t>
      </w:r>
      <w:r>
        <w:rPr>
          <w:spacing w:val="-2"/>
          <w:sz w:val="21"/>
          <w:vertAlign w:val="baseline"/>
        </w:rPr>
        <w:t>期间实际支出的必要且合</w:t>
      </w:r>
      <w:r>
        <w:rPr>
          <w:spacing w:val="-2"/>
          <w:sz w:val="21"/>
          <w:vertAlign w:val="baseline"/>
        </w:rPr>
        <w:t>理的质子重离子医疗费用。</w:t>
      </w:r>
    </w:p>
    <w:p>
      <w:pPr>
        <w:pStyle w:val="BodyText"/>
        <w:spacing w:before="10"/>
        <w:ind w:left="0"/>
        <w:rPr>
          <w:sz w:val="18"/>
        </w:rPr>
      </w:pPr>
    </w:p>
    <w:p>
      <w:pPr>
        <w:pStyle w:val="BodyText"/>
        <w:spacing w:line="278" w:lineRule="auto" w:before="71"/>
        <w:ind w:right="732"/>
        <w:jc w:val="both"/>
        <w:rPr>
          <w:rFonts w:ascii="黑体" w:eastAsia="黑体"/>
        </w:rPr>
      </w:pPr>
      <w:r>
        <w:rPr>
          <w:rFonts w:ascii="黑体" w:eastAsia="黑体"/>
          <w:color w:val="000000"/>
          <w:spacing w:val="-11"/>
          <w:shd w:fill="D9D9D9" w:color="auto" w:val="clear"/>
        </w:rPr>
        <w:t>在同一保险期间内，我们给付的重大疾病医疗保险金总额以本合同约定的重大疾病医疗保险</w:t>
      </w:r>
      <w:r>
        <w:rPr>
          <w:rFonts w:ascii="黑体" w:eastAsia="黑体"/>
          <w:color w:val="000000"/>
          <w:spacing w:val="-11"/>
          <w:shd w:fill="D9D9D9" w:color="auto" w:val="clear"/>
        </w:rPr>
        <w:t>金年度给付限额为限，一次或累计给付的重大疾病医疗保险金总额达到本合同约定的重大疾</w:t>
      </w:r>
      <w:r>
        <w:rPr>
          <w:rFonts w:ascii="黑体" w:eastAsia="黑体"/>
          <w:color w:val="000000"/>
          <w:spacing w:val="40"/>
          <w:shd w:fill="D9D9D9" w:color="auto" w:val="clear"/>
        </w:rPr>
        <w:t> </w:t>
      </w:r>
      <w:r>
        <w:rPr>
          <w:rFonts w:ascii="黑体" w:eastAsia="黑体"/>
          <w:color w:val="000000"/>
          <w:spacing w:val="-2"/>
          <w:shd w:fill="D9D9D9" w:color="auto" w:val="clear"/>
        </w:rPr>
        <w:t>病医疗保险金年度给付限额时，重大疾病医疗保险金责任终止。</w:t>
      </w:r>
    </w:p>
    <w:p>
      <w:pPr>
        <w:pStyle w:val="BodyText"/>
        <w:spacing w:before="4"/>
        <w:ind w:left="0"/>
        <w:rPr>
          <w:rFonts w:ascii="黑体"/>
          <w:sz w:val="24"/>
        </w:rPr>
      </w:pPr>
    </w:p>
    <w:p>
      <w:pPr>
        <w:pStyle w:val="BodyText"/>
      </w:pPr>
      <w:r>
        <w:rPr>
          <w:spacing w:val="-1"/>
        </w:rPr>
        <w:t>三、特定疾病赴日医疗保险金</w:t>
      </w:r>
    </w:p>
    <w:p>
      <w:pPr>
        <w:pStyle w:val="BodyText"/>
        <w:spacing w:line="278" w:lineRule="auto" w:before="43"/>
        <w:ind w:right="731"/>
      </w:pPr>
      <w:r>
        <w:rPr>
          <w:spacing w:val="-11"/>
        </w:rPr>
        <w:t>在本合同有效期内，被保险人因意外伤害或在等待期后因意外伤害以外的原因首次发病且经</w:t>
      </w:r>
      <w:r>
        <w:rPr>
          <w:w w:val="95"/>
        </w:rPr>
        <w:t>我</w:t>
      </w:r>
      <w:r>
        <w:rPr>
          <w:w w:val="95"/>
        </w:rPr>
        <w:t>们</w:t>
      </w:r>
      <w:r>
        <w:rPr>
          <w:w w:val="95"/>
        </w:rPr>
        <w:t>认</w:t>
      </w:r>
      <w:r>
        <w:rPr>
          <w:w w:val="95"/>
        </w:rPr>
        <w:t>可</w:t>
      </w:r>
      <w:r>
        <w:rPr>
          <w:w w:val="95"/>
        </w:rPr>
        <w:t>的</w:t>
      </w:r>
      <w:r>
        <w:rPr>
          <w:w w:val="95"/>
        </w:rPr>
        <w:t>中</w:t>
      </w:r>
      <w:r>
        <w:rPr>
          <w:w w:val="95"/>
        </w:rPr>
        <w:t>国</w:t>
      </w:r>
      <w:r>
        <w:rPr>
          <w:w w:val="95"/>
        </w:rPr>
        <w:t>大</w:t>
      </w:r>
      <w:r>
        <w:rPr>
          <w:w w:val="95"/>
        </w:rPr>
        <w:t>陆</w:t>
      </w:r>
      <w:r>
        <w:rPr>
          <w:w w:val="95"/>
        </w:rPr>
        <w:t>地</w:t>
      </w:r>
      <w:r>
        <w:rPr>
          <w:w w:val="95"/>
        </w:rPr>
        <w:t>区</w:t>
      </w:r>
      <w:r>
        <w:rPr>
          <w:w w:val="95"/>
        </w:rPr>
        <w:t>医</w:t>
      </w:r>
      <w:r>
        <w:rPr>
          <w:w w:val="95"/>
        </w:rPr>
        <w:t>院</w:t>
      </w:r>
      <w:r>
        <w:rPr>
          <w:w w:val="95"/>
        </w:rPr>
        <w:t>的</w:t>
      </w:r>
      <w:r>
        <w:rPr>
          <w:w w:val="95"/>
        </w:rPr>
        <w:t>专</w:t>
      </w:r>
      <w:r>
        <w:rPr>
          <w:w w:val="95"/>
        </w:rPr>
        <w:t>科</w:t>
      </w:r>
      <w:r>
        <w:rPr>
          <w:w w:val="95"/>
        </w:rPr>
        <w:t>医</w:t>
      </w:r>
      <w:r>
        <w:rPr>
          <w:w w:val="95"/>
        </w:rPr>
        <w:t>生</w:t>
      </w:r>
      <w:r>
        <w:rPr>
          <w:w w:val="95"/>
        </w:rPr>
        <w:t>确</w:t>
      </w:r>
      <w:r>
        <w:rPr>
          <w:w w:val="95"/>
        </w:rPr>
        <w:t>诊</w:t>
      </w:r>
      <w:r>
        <w:rPr>
          <w:w w:val="95"/>
        </w:rPr>
        <w:t>初</w:t>
      </w:r>
      <w:r>
        <w:rPr>
          <w:w w:val="95"/>
        </w:rPr>
        <w:t>次</w:t>
      </w:r>
      <w:r>
        <w:rPr>
          <w:w w:val="95"/>
        </w:rPr>
        <w:t>罹</w:t>
      </w:r>
      <w:r>
        <w:rPr>
          <w:w w:val="95"/>
        </w:rPr>
        <w:t>患</w:t>
      </w:r>
      <w:r>
        <w:rPr>
          <w:w w:val="95"/>
        </w:rPr>
        <w:t>本</w:t>
      </w:r>
      <w:r>
        <w:rPr>
          <w:w w:val="95"/>
        </w:rPr>
        <w:t>合</w:t>
      </w:r>
      <w:r>
        <w:rPr>
          <w:w w:val="95"/>
        </w:rPr>
        <w:t>同</w:t>
      </w:r>
      <w:r>
        <w:rPr>
          <w:w w:val="95"/>
        </w:rPr>
        <w:t>所</w:t>
      </w:r>
      <w:r>
        <w:rPr>
          <w:w w:val="95"/>
        </w:rPr>
        <w:t>定</w:t>
      </w:r>
      <w:r>
        <w:rPr>
          <w:w w:val="95"/>
        </w:rPr>
        <w:t>义</w:t>
      </w:r>
      <w:r>
        <w:rPr>
          <w:w w:val="95"/>
        </w:rPr>
        <w:t>的</w:t>
      </w:r>
      <w:r>
        <w:rPr>
          <w:b/>
          <w:w w:val="95"/>
        </w:rPr>
        <w:t>特</w:t>
      </w:r>
      <w:r>
        <w:rPr>
          <w:b/>
          <w:w w:val="95"/>
        </w:rPr>
        <w:t>定</w:t>
      </w:r>
      <w:r>
        <w:rPr>
          <w:b/>
          <w:w w:val="95"/>
        </w:rPr>
        <w:t>疾</w:t>
      </w:r>
      <w:r>
        <w:rPr>
          <w:b/>
          <w:w w:val="95"/>
        </w:rPr>
        <w:t>病</w:t>
      </w:r>
      <w:r>
        <w:rPr>
          <w:rFonts w:ascii="Times New Roman" w:eastAsia="Times New Roman"/>
          <w:b/>
          <w:w w:val="95"/>
          <w:vertAlign w:val="superscript"/>
        </w:rPr>
        <w:t>25</w:t>
      </w:r>
      <w:r>
        <w:rPr>
          <w:w w:val="95"/>
          <w:vertAlign w:val="baseline"/>
        </w:rPr>
        <w:t>，</w:t>
      </w:r>
      <w:r>
        <w:rPr>
          <w:w w:val="95"/>
          <w:vertAlign w:val="baseline"/>
        </w:rPr>
        <w:t>被</w:t>
      </w:r>
      <w:r>
        <w:rPr>
          <w:w w:val="95"/>
          <w:vertAlign w:val="baseline"/>
        </w:rPr>
        <w:t>保</w:t>
      </w:r>
      <w:r>
        <w:rPr>
          <w:spacing w:val="-10"/>
          <w:w w:val="95"/>
          <w:vertAlign w:val="baseline"/>
        </w:rPr>
        <w:t>险</w:t>
      </w:r>
    </w:p>
    <w:p>
      <w:pPr>
        <w:pStyle w:val="BodyText"/>
        <w:spacing w:before="10"/>
        <w:ind w:left="0"/>
        <w:rPr>
          <w:sz w:val="9"/>
        </w:rPr>
      </w:pPr>
      <w:r>
        <w:rPr/>
        <w:drawing>
          <wp:anchor distT="0" distB="0" distL="0" distR="0" allowOverlap="1" layoutInCell="1" locked="0" behindDoc="0" simplePos="0" relativeHeight="6">
            <wp:simplePos x="0" y="0"/>
            <wp:positionH relativeFrom="page">
              <wp:posOffset>1141475</wp:posOffset>
            </wp:positionH>
            <wp:positionV relativeFrom="paragraph">
              <wp:posOffset>95417</wp:posOffset>
            </wp:positionV>
            <wp:extent cx="1828766" cy="6858"/>
            <wp:effectExtent l="0" t="0" r="0" b="0"/>
            <wp:wrapTopAndBottom/>
            <wp:docPr id="9" name="image2.png"/>
            <wp:cNvGraphicFramePr>
              <a:graphicFrameLocks noChangeAspect="1"/>
            </wp:cNvGraphicFramePr>
            <a:graphic>
              <a:graphicData uri="http://schemas.openxmlformats.org/drawingml/2006/picture">
                <pic:pic>
                  <pic:nvPicPr>
                    <pic:cNvPr id="10" name="image2.png"/>
                    <pic:cNvPicPr/>
                  </pic:nvPicPr>
                  <pic:blipFill>
                    <a:blip r:embed="rId7" cstate="print"/>
                    <a:stretch>
                      <a:fillRect/>
                    </a:stretch>
                  </pic:blipFill>
                  <pic:spPr>
                    <a:xfrm>
                      <a:off x="0" y="0"/>
                      <a:ext cx="1828766" cy="6858"/>
                    </a:xfrm>
                    <a:prstGeom prst="rect">
                      <a:avLst/>
                    </a:prstGeom>
                  </pic:spPr>
                </pic:pic>
              </a:graphicData>
            </a:graphic>
          </wp:anchor>
        </w:drawing>
      </w:r>
    </w:p>
    <w:p>
      <w:pPr>
        <w:spacing w:line="225" w:lineRule="exact" w:before="87"/>
        <w:ind w:left="737" w:right="0" w:firstLine="0"/>
        <w:jc w:val="left"/>
        <w:rPr>
          <w:sz w:val="18"/>
        </w:rPr>
      </w:pPr>
      <w:r>
        <w:rPr>
          <w:rFonts w:ascii="Times New Roman" w:eastAsia="Times New Roman"/>
          <w:w w:val="95"/>
          <w:sz w:val="18"/>
          <w:vertAlign w:val="superscript"/>
        </w:rPr>
        <w:t>24</w:t>
      </w:r>
      <w:r>
        <w:rPr>
          <w:b/>
          <w:w w:val="95"/>
          <w:sz w:val="18"/>
          <w:vertAlign w:val="baseline"/>
        </w:rPr>
        <w:t>质</w:t>
      </w:r>
      <w:r>
        <w:rPr>
          <w:b/>
          <w:w w:val="95"/>
          <w:sz w:val="18"/>
          <w:vertAlign w:val="baseline"/>
        </w:rPr>
        <w:t>子</w:t>
      </w:r>
      <w:r>
        <w:rPr>
          <w:b/>
          <w:w w:val="95"/>
          <w:sz w:val="18"/>
          <w:vertAlign w:val="baseline"/>
        </w:rPr>
        <w:t>、重</w:t>
      </w:r>
      <w:r>
        <w:rPr>
          <w:b/>
          <w:w w:val="95"/>
          <w:sz w:val="18"/>
          <w:vertAlign w:val="baseline"/>
        </w:rPr>
        <w:t>离</w:t>
      </w:r>
      <w:r>
        <w:rPr>
          <w:b/>
          <w:w w:val="95"/>
          <w:sz w:val="18"/>
          <w:vertAlign w:val="baseline"/>
        </w:rPr>
        <w:t>子</w:t>
      </w:r>
      <w:r>
        <w:rPr>
          <w:b/>
          <w:w w:val="95"/>
          <w:sz w:val="18"/>
          <w:vertAlign w:val="baseline"/>
        </w:rPr>
        <w:t>放</w:t>
      </w:r>
      <w:r>
        <w:rPr>
          <w:b/>
          <w:w w:val="95"/>
          <w:sz w:val="18"/>
          <w:vertAlign w:val="baseline"/>
        </w:rPr>
        <w:t>射</w:t>
      </w:r>
      <w:r>
        <w:rPr>
          <w:b/>
          <w:w w:val="95"/>
          <w:sz w:val="18"/>
          <w:vertAlign w:val="baseline"/>
        </w:rPr>
        <w:t>治</w:t>
      </w:r>
      <w:r>
        <w:rPr>
          <w:b/>
          <w:w w:val="95"/>
          <w:sz w:val="18"/>
          <w:vertAlign w:val="baseline"/>
        </w:rPr>
        <w:t>疗</w:t>
      </w:r>
      <w:r>
        <w:rPr>
          <w:b/>
          <w:w w:val="95"/>
          <w:sz w:val="18"/>
          <w:vertAlign w:val="baseline"/>
        </w:rPr>
        <w:t>：</w:t>
      </w:r>
      <w:r>
        <w:rPr>
          <w:w w:val="95"/>
          <w:sz w:val="18"/>
          <w:vertAlign w:val="baseline"/>
        </w:rPr>
        <w:t>指</w:t>
      </w:r>
      <w:r>
        <w:rPr>
          <w:w w:val="95"/>
          <w:sz w:val="18"/>
          <w:vertAlign w:val="baseline"/>
        </w:rPr>
        <w:t>利</w:t>
      </w:r>
      <w:r>
        <w:rPr>
          <w:w w:val="95"/>
          <w:sz w:val="18"/>
          <w:vertAlign w:val="baseline"/>
        </w:rPr>
        <w:t>用</w:t>
      </w:r>
      <w:r>
        <w:rPr>
          <w:w w:val="95"/>
          <w:sz w:val="18"/>
          <w:vertAlign w:val="baseline"/>
        </w:rPr>
        <w:t>质</w:t>
      </w:r>
      <w:r>
        <w:rPr>
          <w:w w:val="95"/>
          <w:sz w:val="18"/>
          <w:vertAlign w:val="baseline"/>
        </w:rPr>
        <w:t>子</w:t>
      </w:r>
      <w:r>
        <w:rPr>
          <w:w w:val="95"/>
          <w:sz w:val="18"/>
          <w:vertAlign w:val="baseline"/>
        </w:rPr>
        <w:t>和</w:t>
      </w:r>
      <w:r>
        <w:rPr>
          <w:w w:val="95"/>
          <w:sz w:val="18"/>
          <w:vertAlign w:val="baseline"/>
        </w:rPr>
        <w:t>重</w:t>
      </w:r>
      <w:r>
        <w:rPr>
          <w:w w:val="95"/>
          <w:sz w:val="18"/>
          <w:vertAlign w:val="baseline"/>
        </w:rPr>
        <w:t>离</w:t>
      </w:r>
      <w:r>
        <w:rPr>
          <w:w w:val="95"/>
          <w:sz w:val="18"/>
          <w:vertAlign w:val="baseline"/>
        </w:rPr>
        <w:t>子</w:t>
      </w:r>
      <w:r>
        <w:rPr>
          <w:w w:val="95"/>
          <w:sz w:val="18"/>
          <w:vertAlign w:val="baseline"/>
        </w:rPr>
        <w:t>对</w:t>
      </w:r>
      <w:r>
        <w:rPr>
          <w:w w:val="95"/>
          <w:sz w:val="18"/>
          <w:vertAlign w:val="baseline"/>
        </w:rPr>
        <w:t>肿</w:t>
      </w:r>
      <w:r>
        <w:rPr>
          <w:w w:val="95"/>
          <w:sz w:val="18"/>
          <w:vertAlign w:val="baseline"/>
        </w:rPr>
        <w:t>瘤</w:t>
      </w:r>
      <w:r>
        <w:rPr>
          <w:w w:val="95"/>
          <w:sz w:val="18"/>
          <w:vertAlign w:val="baseline"/>
        </w:rPr>
        <w:t>进</w:t>
      </w:r>
      <w:r>
        <w:rPr>
          <w:w w:val="95"/>
          <w:sz w:val="18"/>
          <w:vertAlign w:val="baseline"/>
        </w:rPr>
        <w:t>行</w:t>
      </w:r>
      <w:r>
        <w:rPr>
          <w:w w:val="95"/>
          <w:sz w:val="18"/>
          <w:vertAlign w:val="baseline"/>
        </w:rPr>
        <w:t>放</w:t>
      </w:r>
      <w:r>
        <w:rPr>
          <w:w w:val="95"/>
          <w:sz w:val="18"/>
          <w:vertAlign w:val="baseline"/>
        </w:rPr>
        <w:t>射</w:t>
      </w:r>
      <w:r>
        <w:rPr>
          <w:w w:val="95"/>
          <w:sz w:val="18"/>
          <w:vertAlign w:val="baseline"/>
        </w:rPr>
        <w:t>治</w:t>
      </w:r>
      <w:r>
        <w:rPr>
          <w:w w:val="95"/>
          <w:sz w:val="18"/>
          <w:vertAlign w:val="baseline"/>
        </w:rPr>
        <w:t>疗</w:t>
      </w:r>
      <w:r>
        <w:rPr>
          <w:w w:val="95"/>
          <w:sz w:val="18"/>
          <w:vertAlign w:val="baseline"/>
        </w:rPr>
        <w:t>的</w:t>
      </w:r>
      <w:r>
        <w:rPr>
          <w:w w:val="95"/>
          <w:sz w:val="18"/>
          <w:vertAlign w:val="baseline"/>
        </w:rPr>
        <w:t>技</w:t>
      </w:r>
      <w:r>
        <w:rPr>
          <w:w w:val="95"/>
          <w:sz w:val="18"/>
          <w:vertAlign w:val="baseline"/>
        </w:rPr>
        <w:t>术</w:t>
      </w:r>
      <w:r>
        <w:rPr>
          <w:w w:val="95"/>
          <w:sz w:val="18"/>
          <w:vertAlign w:val="baseline"/>
        </w:rPr>
        <w:t>。</w:t>
      </w:r>
      <w:r>
        <w:rPr>
          <w:w w:val="95"/>
          <w:sz w:val="18"/>
          <w:vertAlign w:val="baseline"/>
        </w:rPr>
        <w:t>本</w:t>
      </w:r>
      <w:r>
        <w:rPr>
          <w:w w:val="95"/>
          <w:sz w:val="18"/>
          <w:vertAlign w:val="baseline"/>
        </w:rPr>
        <w:t>合</w:t>
      </w:r>
      <w:r>
        <w:rPr>
          <w:w w:val="95"/>
          <w:sz w:val="18"/>
          <w:vertAlign w:val="baseline"/>
        </w:rPr>
        <w:t>同</w:t>
      </w:r>
      <w:r>
        <w:rPr>
          <w:w w:val="95"/>
          <w:sz w:val="18"/>
          <w:vertAlign w:val="baseline"/>
        </w:rPr>
        <w:t>所</w:t>
      </w:r>
      <w:r>
        <w:rPr>
          <w:w w:val="95"/>
          <w:sz w:val="18"/>
          <w:vertAlign w:val="baseline"/>
        </w:rPr>
        <w:t>指</w:t>
      </w:r>
      <w:r>
        <w:rPr>
          <w:w w:val="95"/>
          <w:sz w:val="18"/>
          <w:vertAlign w:val="baseline"/>
        </w:rPr>
        <w:t>的</w:t>
      </w:r>
      <w:r>
        <w:rPr>
          <w:w w:val="95"/>
          <w:sz w:val="18"/>
          <w:vertAlign w:val="baseline"/>
        </w:rPr>
        <w:t>质</w:t>
      </w:r>
      <w:r>
        <w:rPr>
          <w:w w:val="95"/>
          <w:sz w:val="18"/>
          <w:vertAlign w:val="baseline"/>
        </w:rPr>
        <w:t>子</w:t>
      </w:r>
      <w:r>
        <w:rPr>
          <w:w w:val="95"/>
          <w:sz w:val="18"/>
          <w:vertAlign w:val="baseline"/>
        </w:rPr>
        <w:t>、</w:t>
      </w:r>
      <w:r>
        <w:rPr>
          <w:w w:val="95"/>
          <w:sz w:val="18"/>
          <w:vertAlign w:val="baseline"/>
        </w:rPr>
        <w:t>重</w:t>
      </w:r>
      <w:r>
        <w:rPr>
          <w:w w:val="95"/>
          <w:sz w:val="18"/>
          <w:vertAlign w:val="baseline"/>
        </w:rPr>
        <w:t>离</w:t>
      </w:r>
      <w:r>
        <w:rPr>
          <w:spacing w:val="-10"/>
          <w:w w:val="95"/>
          <w:sz w:val="18"/>
          <w:vertAlign w:val="baseline"/>
        </w:rPr>
        <w:t>子</w:t>
      </w:r>
    </w:p>
    <w:p>
      <w:pPr>
        <w:spacing w:line="220" w:lineRule="exact" w:before="0"/>
        <w:ind w:left="737" w:right="0" w:firstLine="0"/>
        <w:jc w:val="left"/>
        <w:rPr>
          <w:sz w:val="18"/>
        </w:rPr>
      </w:pPr>
      <w:r>
        <w:rPr>
          <w:spacing w:val="-5"/>
          <w:sz w:val="18"/>
        </w:rPr>
        <w:t>放射治疗是指被保险人根据医嘱，在上海市质子重离子医院的专门治疗室内接受的质子和重离子放射治疗。</w:t>
      </w:r>
    </w:p>
    <w:p>
      <w:pPr>
        <w:spacing w:line="225" w:lineRule="exact" w:before="0"/>
        <w:ind w:left="737" w:right="0" w:firstLine="0"/>
        <w:jc w:val="left"/>
        <w:rPr>
          <w:sz w:val="18"/>
        </w:rPr>
      </w:pPr>
      <w:r>
        <w:rPr>
          <w:rFonts w:ascii="Times New Roman" w:eastAsia="Times New Roman"/>
          <w:w w:val="95"/>
          <w:sz w:val="18"/>
          <w:vertAlign w:val="superscript"/>
        </w:rPr>
        <w:t>25</w:t>
      </w:r>
      <w:r>
        <w:rPr>
          <w:b/>
          <w:w w:val="95"/>
          <w:sz w:val="18"/>
          <w:vertAlign w:val="baseline"/>
        </w:rPr>
        <w:t>特</w:t>
      </w:r>
      <w:r>
        <w:rPr>
          <w:b/>
          <w:w w:val="95"/>
          <w:sz w:val="18"/>
          <w:vertAlign w:val="baseline"/>
        </w:rPr>
        <w:t>定</w:t>
      </w:r>
      <w:r>
        <w:rPr>
          <w:b/>
          <w:w w:val="95"/>
          <w:sz w:val="18"/>
          <w:vertAlign w:val="baseline"/>
        </w:rPr>
        <w:t>疾</w:t>
      </w:r>
      <w:r>
        <w:rPr>
          <w:b/>
          <w:w w:val="95"/>
          <w:sz w:val="18"/>
          <w:vertAlign w:val="baseline"/>
        </w:rPr>
        <w:t>病</w:t>
      </w:r>
      <w:r>
        <w:rPr>
          <w:b/>
          <w:w w:val="95"/>
          <w:sz w:val="18"/>
          <w:vertAlign w:val="baseline"/>
        </w:rPr>
        <w:t>：</w:t>
      </w:r>
      <w:r>
        <w:rPr>
          <w:w w:val="95"/>
          <w:sz w:val="18"/>
          <w:vertAlign w:val="baseline"/>
        </w:rPr>
        <w:t>特</w:t>
      </w:r>
      <w:r>
        <w:rPr>
          <w:w w:val="95"/>
          <w:sz w:val="18"/>
          <w:vertAlign w:val="baseline"/>
        </w:rPr>
        <w:t>定</w:t>
      </w:r>
      <w:r>
        <w:rPr>
          <w:w w:val="95"/>
          <w:sz w:val="18"/>
          <w:vertAlign w:val="baseline"/>
        </w:rPr>
        <w:t>疾</w:t>
      </w:r>
      <w:r>
        <w:rPr>
          <w:w w:val="95"/>
          <w:sz w:val="18"/>
          <w:vertAlign w:val="baseline"/>
        </w:rPr>
        <w:t>病</w:t>
      </w:r>
      <w:r>
        <w:rPr>
          <w:w w:val="95"/>
          <w:sz w:val="18"/>
          <w:vertAlign w:val="baseline"/>
        </w:rPr>
        <w:t>种</w:t>
      </w:r>
      <w:r>
        <w:rPr>
          <w:w w:val="95"/>
          <w:sz w:val="18"/>
          <w:vertAlign w:val="baseline"/>
        </w:rPr>
        <w:t>类</w:t>
      </w:r>
      <w:r>
        <w:rPr>
          <w:w w:val="95"/>
          <w:sz w:val="18"/>
          <w:vertAlign w:val="baseline"/>
        </w:rPr>
        <w:t>及</w:t>
      </w:r>
      <w:r>
        <w:rPr>
          <w:w w:val="95"/>
          <w:sz w:val="18"/>
          <w:vertAlign w:val="baseline"/>
        </w:rPr>
        <w:t>定</w:t>
      </w:r>
      <w:r>
        <w:rPr>
          <w:w w:val="95"/>
          <w:sz w:val="18"/>
          <w:vertAlign w:val="baseline"/>
        </w:rPr>
        <w:t>义</w:t>
      </w:r>
      <w:r>
        <w:rPr>
          <w:w w:val="95"/>
          <w:sz w:val="18"/>
          <w:vertAlign w:val="baseline"/>
        </w:rPr>
        <w:t>见</w:t>
      </w:r>
      <w:r>
        <w:rPr>
          <w:w w:val="95"/>
          <w:sz w:val="18"/>
          <w:vertAlign w:val="baseline"/>
        </w:rPr>
        <w:t>《</w:t>
      </w:r>
      <w:r>
        <w:rPr>
          <w:w w:val="95"/>
          <w:sz w:val="18"/>
          <w:vertAlign w:val="baseline"/>
        </w:rPr>
        <w:t>附</w:t>
      </w:r>
      <w:r>
        <w:rPr>
          <w:w w:val="95"/>
          <w:sz w:val="18"/>
          <w:vertAlign w:val="baseline"/>
        </w:rPr>
        <w:t>表</w:t>
      </w:r>
      <w:r>
        <w:rPr>
          <w:w w:val="95"/>
          <w:sz w:val="18"/>
          <w:vertAlign w:val="baseline"/>
        </w:rPr>
        <w:t>二</w:t>
      </w:r>
      <w:r>
        <w:rPr>
          <w:w w:val="95"/>
          <w:sz w:val="18"/>
          <w:vertAlign w:val="baseline"/>
        </w:rPr>
        <w:t>：</w:t>
      </w:r>
      <w:r>
        <w:rPr>
          <w:w w:val="95"/>
          <w:sz w:val="18"/>
          <w:vertAlign w:val="baseline"/>
        </w:rPr>
        <w:t>特</w:t>
      </w:r>
      <w:r>
        <w:rPr>
          <w:w w:val="95"/>
          <w:sz w:val="18"/>
          <w:vertAlign w:val="baseline"/>
        </w:rPr>
        <w:t>定</w:t>
      </w:r>
      <w:r>
        <w:rPr>
          <w:w w:val="95"/>
          <w:sz w:val="18"/>
          <w:vertAlign w:val="baseline"/>
        </w:rPr>
        <w:t>疾</w:t>
      </w:r>
      <w:r>
        <w:rPr>
          <w:w w:val="95"/>
          <w:sz w:val="18"/>
          <w:vertAlign w:val="baseline"/>
        </w:rPr>
        <w:t>病</w:t>
      </w:r>
      <w:r>
        <w:rPr>
          <w:w w:val="95"/>
          <w:sz w:val="18"/>
          <w:vertAlign w:val="baseline"/>
        </w:rPr>
        <w:t>种</w:t>
      </w:r>
      <w:r>
        <w:rPr>
          <w:w w:val="95"/>
          <w:sz w:val="18"/>
          <w:vertAlign w:val="baseline"/>
        </w:rPr>
        <w:t>类</w:t>
      </w:r>
      <w:r>
        <w:rPr>
          <w:w w:val="95"/>
          <w:sz w:val="18"/>
          <w:vertAlign w:val="baseline"/>
        </w:rPr>
        <w:t>表</w:t>
      </w:r>
      <w:r>
        <w:rPr>
          <w:w w:val="95"/>
          <w:sz w:val="18"/>
          <w:vertAlign w:val="baseline"/>
        </w:rPr>
        <w:t>》</w:t>
      </w:r>
      <w:r>
        <w:rPr>
          <w:spacing w:val="-10"/>
          <w:w w:val="95"/>
          <w:sz w:val="18"/>
          <w:vertAlign w:val="baseline"/>
        </w:rPr>
        <w:t>。</w:t>
      </w:r>
    </w:p>
    <w:p>
      <w:pPr>
        <w:spacing w:after="0" w:line="225" w:lineRule="exact"/>
        <w:jc w:val="left"/>
        <w:rPr>
          <w:sz w:val="18"/>
        </w:rPr>
        <w:sectPr>
          <w:pgSz w:w="11910" w:h="16840"/>
          <w:pgMar w:header="0" w:footer="1168" w:top="1440" w:bottom="1360" w:left="1060" w:right="1060"/>
        </w:sectPr>
      </w:pPr>
    </w:p>
    <w:p>
      <w:pPr>
        <w:pStyle w:val="BodyText"/>
        <w:spacing w:line="278" w:lineRule="auto" w:before="90"/>
        <w:ind w:right="732"/>
        <w:jc w:val="both"/>
      </w:pPr>
      <w:r>
        <w:rPr>
          <w:spacing w:val="-2"/>
        </w:rPr>
        <w:t>人在</w:t>
      </w:r>
      <w:r>
        <w:rPr>
          <w:b/>
          <w:spacing w:val="-2"/>
        </w:rPr>
        <w:t>特</w:t>
      </w:r>
      <w:r>
        <w:rPr>
          <w:b/>
          <w:spacing w:val="-2"/>
        </w:rPr>
        <w:t>定</w:t>
      </w:r>
      <w:r>
        <w:rPr>
          <w:b/>
          <w:spacing w:val="-2"/>
        </w:rPr>
        <w:t>疾</w:t>
      </w:r>
      <w:r>
        <w:rPr>
          <w:b/>
          <w:spacing w:val="-2"/>
        </w:rPr>
        <w:t>病</w:t>
      </w:r>
      <w:r>
        <w:rPr>
          <w:b/>
          <w:spacing w:val="-2"/>
        </w:rPr>
        <w:t>确</w:t>
      </w:r>
      <w:r>
        <w:rPr>
          <w:b/>
          <w:spacing w:val="-2"/>
        </w:rPr>
        <w:t>诊</w:t>
      </w:r>
      <w:r>
        <w:rPr>
          <w:b/>
          <w:spacing w:val="-2"/>
        </w:rPr>
        <w:t>之</w:t>
      </w:r>
      <w:r>
        <w:rPr>
          <w:b/>
          <w:spacing w:val="-2"/>
        </w:rPr>
        <w:t>日</w:t>
      </w:r>
      <w:r>
        <w:rPr>
          <w:rFonts w:ascii="Times New Roman" w:eastAsia="Times New Roman"/>
          <w:b/>
          <w:spacing w:val="-2"/>
          <w:vertAlign w:val="superscript"/>
        </w:rPr>
        <w:t>26</w:t>
      </w:r>
      <w:r>
        <w:rPr>
          <w:spacing w:val="-2"/>
          <w:vertAlign w:val="baseline"/>
        </w:rPr>
        <w:t>后，通过我们授权的</w:t>
      </w:r>
      <w:r>
        <w:rPr>
          <w:b/>
          <w:spacing w:val="-2"/>
          <w:vertAlign w:val="baseline"/>
        </w:rPr>
        <w:t>海</w:t>
      </w:r>
      <w:r>
        <w:rPr>
          <w:b/>
          <w:spacing w:val="-2"/>
          <w:vertAlign w:val="baseline"/>
        </w:rPr>
        <w:t>外</w:t>
      </w:r>
      <w:r>
        <w:rPr>
          <w:b/>
          <w:spacing w:val="-2"/>
          <w:vertAlign w:val="baseline"/>
        </w:rPr>
        <w:t>医</w:t>
      </w:r>
      <w:r>
        <w:rPr>
          <w:b/>
          <w:spacing w:val="-2"/>
          <w:vertAlign w:val="baseline"/>
        </w:rPr>
        <w:t>疗</w:t>
      </w:r>
      <w:r>
        <w:rPr>
          <w:b/>
          <w:spacing w:val="-2"/>
          <w:vertAlign w:val="baseline"/>
        </w:rPr>
        <w:t>服</w:t>
      </w:r>
      <w:r>
        <w:rPr>
          <w:b/>
          <w:spacing w:val="-2"/>
          <w:vertAlign w:val="baseline"/>
        </w:rPr>
        <w:t>务</w:t>
      </w:r>
      <w:r>
        <w:rPr>
          <w:b/>
          <w:spacing w:val="-2"/>
          <w:vertAlign w:val="baseline"/>
        </w:rPr>
        <w:t>机构</w:t>
      </w:r>
      <w:r>
        <w:rPr>
          <w:rFonts w:ascii="Times New Roman" w:eastAsia="Times New Roman"/>
          <w:b/>
          <w:spacing w:val="-2"/>
          <w:vertAlign w:val="superscript"/>
        </w:rPr>
        <w:t>27</w:t>
      </w:r>
      <w:r>
        <w:rPr>
          <w:spacing w:val="-2"/>
          <w:vertAlign w:val="baseline"/>
        </w:rPr>
        <w:t>的安排前往推荐的日本地</w:t>
      </w:r>
      <w:r>
        <w:rPr>
          <w:spacing w:val="-11"/>
          <w:vertAlign w:val="baseline"/>
        </w:rPr>
        <w:t>区医院进行治疗的，我们对其在该日本地区医院内实际支出的因为治疗该特定疾病而发生的</w:t>
      </w:r>
      <w:r>
        <w:rPr>
          <w:spacing w:val="-2"/>
          <w:vertAlign w:val="baseline"/>
        </w:rPr>
        <w:t>必要且合理的医疗费用，给付特定疾病赴日医疗保险金。</w:t>
      </w:r>
    </w:p>
    <w:p>
      <w:pPr>
        <w:pStyle w:val="BodyText"/>
        <w:spacing w:before="10"/>
        <w:ind w:left="0"/>
        <w:rPr>
          <w:sz w:val="23"/>
        </w:rPr>
      </w:pPr>
    </w:p>
    <w:p>
      <w:pPr>
        <w:spacing w:line="268" w:lineRule="auto" w:before="1"/>
        <w:ind w:left="737" w:right="626" w:firstLine="0"/>
        <w:jc w:val="left"/>
        <w:rPr>
          <w:sz w:val="22"/>
        </w:rPr>
      </w:pPr>
      <w:r>
        <w:rPr>
          <w:spacing w:val="-6"/>
          <w:sz w:val="21"/>
        </w:rPr>
        <w:t>若被保险人在本合同等待期后、保险期间届满前</w:t>
      </w:r>
      <w:r>
        <w:rPr>
          <w:spacing w:val="-2"/>
          <w:sz w:val="22"/>
        </w:rPr>
        <w:t>通</w:t>
      </w:r>
      <w:r>
        <w:rPr>
          <w:spacing w:val="-2"/>
          <w:sz w:val="22"/>
        </w:rPr>
        <w:t>过</w:t>
      </w:r>
      <w:r>
        <w:rPr>
          <w:spacing w:val="-2"/>
          <w:sz w:val="22"/>
        </w:rPr>
        <w:t>我</w:t>
      </w:r>
      <w:r>
        <w:rPr>
          <w:spacing w:val="-2"/>
          <w:sz w:val="22"/>
        </w:rPr>
        <w:t>们</w:t>
      </w:r>
      <w:r>
        <w:rPr>
          <w:spacing w:val="-2"/>
          <w:sz w:val="22"/>
        </w:rPr>
        <w:t>授</w:t>
      </w:r>
      <w:r>
        <w:rPr>
          <w:spacing w:val="-2"/>
          <w:sz w:val="22"/>
        </w:rPr>
        <w:t>权</w:t>
      </w:r>
      <w:r>
        <w:rPr>
          <w:spacing w:val="-2"/>
          <w:sz w:val="22"/>
        </w:rPr>
        <w:t>的</w:t>
      </w:r>
      <w:r>
        <w:rPr>
          <w:spacing w:val="-2"/>
          <w:sz w:val="22"/>
        </w:rPr>
        <w:t>海</w:t>
      </w:r>
      <w:r>
        <w:rPr>
          <w:spacing w:val="-2"/>
          <w:sz w:val="22"/>
        </w:rPr>
        <w:t>外</w:t>
      </w:r>
      <w:r>
        <w:rPr>
          <w:spacing w:val="-2"/>
          <w:sz w:val="22"/>
        </w:rPr>
        <w:t>医</w:t>
      </w:r>
      <w:r>
        <w:rPr>
          <w:spacing w:val="-2"/>
          <w:sz w:val="22"/>
        </w:rPr>
        <w:t>疗</w:t>
      </w:r>
      <w:r>
        <w:rPr>
          <w:spacing w:val="-2"/>
          <w:sz w:val="22"/>
        </w:rPr>
        <w:t>服</w:t>
      </w:r>
      <w:r>
        <w:rPr>
          <w:spacing w:val="-2"/>
          <w:sz w:val="22"/>
        </w:rPr>
        <w:t>务</w:t>
      </w:r>
      <w:r>
        <w:rPr>
          <w:spacing w:val="-2"/>
          <w:sz w:val="22"/>
        </w:rPr>
        <w:t>机</w:t>
      </w:r>
      <w:r>
        <w:rPr>
          <w:spacing w:val="-2"/>
          <w:sz w:val="22"/>
        </w:rPr>
        <w:t>构</w:t>
      </w:r>
      <w:r>
        <w:rPr>
          <w:spacing w:val="-2"/>
          <w:sz w:val="22"/>
        </w:rPr>
        <w:t>的</w:t>
      </w:r>
      <w:r>
        <w:rPr>
          <w:spacing w:val="-2"/>
          <w:sz w:val="22"/>
        </w:rPr>
        <w:t>安</w:t>
      </w:r>
      <w:r>
        <w:rPr>
          <w:spacing w:val="-2"/>
          <w:sz w:val="22"/>
        </w:rPr>
        <w:t>排</w:t>
      </w:r>
      <w:r>
        <w:rPr>
          <w:spacing w:val="-2"/>
          <w:sz w:val="22"/>
        </w:rPr>
        <w:t>前</w:t>
      </w:r>
      <w:r>
        <w:rPr>
          <w:spacing w:val="-2"/>
          <w:sz w:val="22"/>
        </w:rPr>
        <w:t>往</w:t>
      </w:r>
      <w:r>
        <w:rPr>
          <w:spacing w:val="-2"/>
          <w:sz w:val="22"/>
        </w:rPr>
        <w:t>推</w:t>
      </w:r>
      <w:r>
        <w:rPr>
          <w:spacing w:val="-2"/>
          <w:sz w:val="22"/>
        </w:rPr>
        <w:t>荐</w:t>
      </w:r>
      <w:r>
        <w:rPr>
          <w:spacing w:val="-2"/>
          <w:sz w:val="22"/>
        </w:rPr>
        <w:t>的</w:t>
      </w:r>
      <w:r>
        <w:rPr>
          <w:spacing w:val="-2"/>
          <w:sz w:val="22"/>
        </w:rPr>
        <w:t>日</w:t>
      </w:r>
      <w:r>
        <w:rPr>
          <w:spacing w:val="-2"/>
          <w:sz w:val="22"/>
        </w:rPr>
        <w:t>本</w:t>
      </w:r>
      <w:r>
        <w:rPr>
          <w:spacing w:val="-2"/>
          <w:sz w:val="22"/>
        </w:rPr>
        <w:t>地</w:t>
      </w:r>
      <w:r>
        <w:rPr>
          <w:spacing w:val="-2"/>
          <w:sz w:val="22"/>
        </w:rPr>
        <w:t>区</w:t>
      </w:r>
      <w:r>
        <w:rPr>
          <w:spacing w:val="-2"/>
          <w:sz w:val="22"/>
        </w:rPr>
        <w:t>医</w:t>
      </w:r>
      <w:r>
        <w:rPr>
          <w:spacing w:val="-2"/>
          <w:sz w:val="22"/>
        </w:rPr>
        <w:t>院</w:t>
      </w:r>
      <w:r>
        <w:rPr>
          <w:spacing w:val="-2"/>
          <w:sz w:val="22"/>
        </w:rPr>
        <w:t>进</w:t>
      </w:r>
      <w:r>
        <w:rPr>
          <w:spacing w:val="-2"/>
          <w:sz w:val="22"/>
        </w:rPr>
        <w:t>行</w:t>
      </w:r>
      <w:r>
        <w:rPr>
          <w:spacing w:val="-2"/>
          <w:sz w:val="22"/>
        </w:rPr>
        <w:t>治</w:t>
      </w:r>
      <w:r>
        <w:rPr>
          <w:spacing w:val="-2"/>
          <w:sz w:val="22"/>
        </w:rPr>
        <w:t>疗</w:t>
      </w:r>
      <w:r>
        <w:rPr>
          <w:spacing w:val="-2"/>
          <w:sz w:val="22"/>
        </w:rPr>
        <w:t>，</w:t>
      </w:r>
      <w:r>
        <w:rPr>
          <w:spacing w:val="-2"/>
          <w:sz w:val="21"/>
        </w:rPr>
        <w:t>且在保险期间届满时治疗仍未结束的，我们将延续承</w:t>
      </w:r>
      <w:r>
        <w:rPr>
          <w:spacing w:val="-2"/>
          <w:sz w:val="21"/>
        </w:rPr>
        <w:t>担因本次治疗发生的、不超过该保险期间届满后三十天（含）内的必要且合理的医疗费用，</w:t>
      </w:r>
      <w:r>
        <w:rPr>
          <w:spacing w:val="-2"/>
          <w:sz w:val="21"/>
        </w:rPr>
        <w:t>并且该延续期间的医疗费用</w:t>
      </w:r>
      <w:r>
        <w:rPr>
          <w:spacing w:val="-2"/>
          <w:sz w:val="22"/>
        </w:rPr>
        <w:t>计</w:t>
      </w:r>
      <w:r>
        <w:rPr>
          <w:spacing w:val="-2"/>
          <w:sz w:val="22"/>
        </w:rPr>
        <w:t>入</w:t>
      </w:r>
      <w:r>
        <w:rPr>
          <w:spacing w:val="-2"/>
          <w:sz w:val="22"/>
        </w:rPr>
        <w:t>该</w:t>
      </w:r>
      <w:r>
        <w:rPr>
          <w:spacing w:val="-2"/>
          <w:sz w:val="22"/>
        </w:rPr>
        <w:t>次</w:t>
      </w:r>
      <w:r>
        <w:rPr>
          <w:spacing w:val="-2"/>
          <w:sz w:val="22"/>
        </w:rPr>
        <w:t>特</w:t>
      </w:r>
      <w:r>
        <w:rPr>
          <w:spacing w:val="-2"/>
          <w:sz w:val="22"/>
        </w:rPr>
        <w:t>定</w:t>
      </w:r>
      <w:r>
        <w:rPr>
          <w:spacing w:val="-2"/>
          <w:sz w:val="22"/>
        </w:rPr>
        <w:t>疾</w:t>
      </w:r>
      <w:r>
        <w:rPr>
          <w:spacing w:val="-2"/>
          <w:sz w:val="22"/>
        </w:rPr>
        <w:t>病</w:t>
      </w:r>
      <w:r>
        <w:rPr>
          <w:spacing w:val="-2"/>
          <w:sz w:val="22"/>
        </w:rPr>
        <w:t>治</w:t>
      </w:r>
      <w:r>
        <w:rPr>
          <w:spacing w:val="-2"/>
          <w:sz w:val="22"/>
        </w:rPr>
        <w:t>疗</w:t>
      </w:r>
      <w:r>
        <w:rPr>
          <w:spacing w:val="-2"/>
          <w:sz w:val="22"/>
        </w:rPr>
        <w:t>开</w:t>
      </w:r>
      <w:r>
        <w:rPr>
          <w:spacing w:val="-2"/>
          <w:sz w:val="22"/>
        </w:rPr>
        <w:t>始</w:t>
      </w:r>
      <w:r>
        <w:rPr>
          <w:spacing w:val="-2"/>
          <w:sz w:val="22"/>
        </w:rPr>
        <w:t>日</w:t>
      </w:r>
      <w:r>
        <w:rPr>
          <w:spacing w:val="-2"/>
          <w:sz w:val="22"/>
        </w:rPr>
        <w:t>所</w:t>
      </w:r>
      <w:r>
        <w:rPr>
          <w:spacing w:val="-2"/>
          <w:sz w:val="22"/>
        </w:rPr>
        <w:t>属</w:t>
      </w:r>
      <w:r>
        <w:rPr>
          <w:spacing w:val="-2"/>
          <w:sz w:val="22"/>
        </w:rPr>
        <w:t>的</w:t>
      </w:r>
      <w:r>
        <w:rPr>
          <w:spacing w:val="-2"/>
          <w:sz w:val="22"/>
        </w:rPr>
        <w:t>保</w:t>
      </w:r>
      <w:r>
        <w:rPr>
          <w:spacing w:val="-2"/>
          <w:sz w:val="22"/>
        </w:rPr>
        <w:t>险</w:t>
      </w:r>
      <w:r>
        <w:rPr>
          <w:spacing w:val="-2"/>
          <w:sz w:val="22"/>
        </w:rPr>
        <w:t>期</w:t>
      </w:r>
      <w:r>
        <w:rPr>
          <w:spacing w:val="-2"/>
          <w:sz w:val="22"/>
        </w:rPr>
        <w:t>间</w:t>
      </w:r>
      <w:r>
        <w:rPr>
          <w:spacing w:val="-2"/>
          <w:sz w:val="22"/>
        </w:rPr>
        <w:t>。</w:t>
      </w:r>
    </w:p>
    <w:p>
      <w:pPr>
        <w:pStyle w:val="BodyText"/>
        <w:spacing w:before="10"/>
        <w:ind w:left="0"/>
        <w:rPr>
          <w:sz w:val="22"/>
        </w:rPr>
      </w:pPr>
      <w:r>
        <w:rPr/>
        <w:drawing>
          <wp:anchor distT="0" distB="0" distL="0" distR="0" allowOverlap="1" layoutInCell="1" locked="0" behindDoc="1" simplePos="0" relativeHeight="486582272">
            <wp:simplePos x="0" y="0"/>
            <wp:positionH relativeFrom="page">
              <wp:posOffset>1141475</wp:posOffset>
            </wp:positionH>
            <wp:positionV relativeFrom="paragraph">
              <wp:posOffset>597360</wp:posOffset>
            </wp:positionV>
            <wp:extent cx="5067300" cy="172974"/>
            <wp:effectExtent l="0" t="0" r="0" b="0"/>
            <wp:wrapNone/>
            <wp:docPr id="11" name="image3.png"/>
            <wp:cNvGraphicFramePr>
              <a:graphicFrameLocks noChangeAspect="1"/>
            </wp:cNvGraphicFramePr>
            <a:graphic>
              <a:graphicData uri="http://schemas.openxmlformats.org/drawingml/2006/picture">
                <pic:pic>
                  <pic:nvPicPr>
                    <pic:cNvPr id="12" name="image3.png"/>
                    <pic:cNvPicPr/>
                  </pic:nvPicPr>
                  <pic:blipFill>
                    <a:blip r:embed="rId8" cstate="print"/>
                    <a:stretch>
                      <a:fillRect/>
                    </a:stretch>
                  </pic:blipFill>
                  <pic:spPr>
                    <a:xfrm>
                      <a:off x="0" y="0"/>
                      <a:ext cx="5067300" cy="172974"/>
                    </a:xfrm>
                    <a:prstGeom prst="rect">
                      <a:avLst/>
                    </a:prstGeom>
                  </pic:spPr>
                </pic:pic>
              </a:graphicData>
            </a:graphic>
          </wp:anchor>
        </w:drawing>
      </w:r>
      <w:r>
        <w:rPr/>
        <w:pict>
          <v:shape style="position:absolute;margin-left:89.879997pt;margin-top:47.036251pt;width:399pt;height:13.65pt;mso-position-horizontal-relative:page;mso-position-vertical-relative:paragraph;z-index:-16733696" type="#_x0000_t202" id="docshape6" filled="false" stroked="false">
            <v:textbox inset="0,0,0,0">
              <w:txbxContent>
                <w:p>
                  <w:pPr>
                    <w:pStyle w:val="BodyText"/>
                    <w:spacing w:before="1"/>
                    <w:ind w:left="0" w:right="-15"/>
                    <w:rPr>
                      <w:rFonts w:ascii="黑体" w:eastAsia="黑体"/>
                    </w:rPr>
                  </w:pPr>
                  <w:r>
                    <w:rPr>
                      <w:rFonts w:ascii="黑体" w:eastAsia="黑体"/>
                      <w:spacing w:val="-1"/>
                    </w:rPr>
                    <w:t>约定的特定疾病赴日医疗保险金年度给付限额时，特定疾病赴日医疗保险金责任终止。</w:t>
                  </w:r>
                </w:p>
              </w:txbxContent>
            </v:textbox>
            <w10:wrap type="none"/>
          </v:shape>
        </w:pict>
      </w:r>
      <w:r>
        <w:rPr/>
        <w:pict>
          <v:shape style="position:absolute;margin-left:89.879997pt;margin-top:31.436251pt;width:415.65pt;height:13.65pt;mso-position-horizontal-relative:page;mso-position-vertical-relative:paragraph;z-index:-16733184" type="#_x0000_t202" id="docshape7" filled="true" fillcolor="#d9d9d9" stroked="false">
            <v:textbox inset="0,0,0,0">
              <w:txbxContent>
                <w:p>
                  <w:pPr>
                    <w:pStyle w:val="BodyText"/>
                    <w:spacing w:before="1"/>
                    <w:ind w:left="0" w:right="-15"/>
                    <w:rPr>
                      <w:rFonts w:ascii="黑体" w:eastAsia="黑体"/>
                      <w:color w:val="000000"/>
                    </w:rPr>
                  </w:pPr>
                  <w:r>
                    <w:rPr>
                      <w:rFonts w:ascii="黑体" w:eastAsia="黑体"/>
                      <w:color w:val="000000"/>
                      <w:spacing w:val="-8"/>
                    </w:rPr>
                    <w:t>医疗保险金年度给付限额为限。一次或累计给付的特定疾病赴日医疗保险金总额达到本合同</w:t>
                  </w:r>
                </w:p>
              </w:txbxContent>
            </v:textbox>
            <v:fill type="solid"/>
            <w10:wrap type="none"/>
          </v:shape>
        </w:pict>
      </w:r>
      <w:r>
        <w:rPr/>
        <w:pict>
          <v:shape style="position:absolute;margin-left:89.879997pt;margin-top:15.83625pt;width:415.65pt;height:13.65pt;mso-position-horizontal-relative:page;mso-position-vertical-relative:paragraph;z-index:-15723520;mso-wrap-distance-left:0;mso-wrap-distance-right:0" type="#_x0000_t202" id="docshape8" filled="true" fillcolor="#d9d9d9" stroked="false">
            <v:textbox inset="0,0,0,0">
              <w:txbxContent>
                <w:p>
                  <w:pPr>
                    <w:pStyle w:val="BodyText"/>
                    <w:spacing w:before="1"/>
                    <w:ind w:left="0" w:right="-15"/>
                    <w:rPr>
                      <w:rFonts w:ascii="黑体" w:eastAsia="黑体"/>
                      <w:color w:val="000000"/>
                    </w:rPr>
                  </w:pPr>
                  <w:r>
                    <w:rPr>
                      <w:rFonts w:ascii="黑体" w:eastAsia="黑体"/>
                      <w:color w:val="000000"/>
                      <w:spacing w:val="-10"/>
                    </w:rPr>
                    <w:t>在同一保险期间内，我们给付的特定疾病赴日医疗保险金总额以本合同约定的特定疾病赴日</w:t>
                  </w:r>
                </w:p>
              </w:txbxContent>
            </v:textbox>
            <v:fill type="solid"/>
            <w10:wrap type="topAndBottom"/>
          </v:shape>
        </w:pict>
      </w:r>
    </w:p>
    <w:p>
      <w:pPr>
        <w:pStyle w:val="BodyText"/>
        <w:ind w:left="0"/>
        <w:rPr>
          <w:sz w:val="22"/>
        </w:rPr>
      </w:pPr>
    </w:p>
    <w:p>
      <w:pPr>
        <w:pStyle w:val="BodyText"/>
        <w:spacing w:before="71"/>
      </w:pPr>
      <w:r>
        <w:rPr>
          <w:spacing w:val="-1"/>
        </w:rPr>
        <w:t>四、特殊情况下的一次性补偿保险金</w:t>
      </w:r>
    </w:p>
    <w:p>
      <w:pPr>
        <w:pStyle w:val="BodyText"/>
        <w:spacing w:line="278" w:lineRule="auto" w:before="43"/>
        <w:ind w:right="626"/>
        <w:rPr>
          <w:rFonts w:ascii="黑体" w:eastAsia="黑体"/>
        </w:rPr>
      </w:pPr>
      <w:r>
        <w:rPr>
          <w:spacing w:val="-11"/>
        </w:rPr>
        <w:t>在本合同有效期内，被保险人因意外伤害或在等待期后因意外伤害以外的原因首次发病且经</w:t>
      </w:r>
      <w:r>
        <w:rPr>
          <w:spacing w:val="-2"/>
        </w:rPr>
        <w:t>我们认可的中国大陆地区医院的专科医生确诊初次罹患本合同《附表二：特定疾病种类表》</w:t>
      </w:r>
      <w:r>
        <w:rPr>
          <w:spacing w:val="-19"/>
        </w:rPr>
        <w:t>所定义的特定疾病，但尚未发生第四条第三款约定的赔付，由于客观因素</w:t>
      </w:r>
      <w:r>
        <w:rPr>
          <w:spacing w:val="-2"/>
        </w:rPr>
        <w:t>（例如签证拒签等）</w:t>
      </w:r>
      <w:r>
        <w:rPr>
          <w:spacing w:val="-11"/>
        </w:rPr>
        <w:t>或被保险人主观意愿，被保险人不能或者不愿前往我们授权的海外医疗服务机构推荐的日本</w:t>
      </w:r>
      <w:r>
        <w:rPr>
          <w:spacing w:val="-2"/>
        </w:rPr>
        <w:t>地区医院进行治疗的，被保险人可向我们申请特殊情况下的一次性补偿，我们按人民币</w:t>
      </w:r>
      <w:r>
        <w:rPr>
          <w:spacing w:val="-2"/>
        </w:rPr>
        <w:t> </w:t>
      </w:r>
      <w:r>
        <w:rPr>
          <w:rFonts w:ascii="Times New Roman" w:eastAsia="Times New Roman"/>
          <w:spacing w:val="-2"/>
        </w:rPr>
        <w:t>68,000</w:t>
      </w:r>
      <w:r>
        <w:rPr>
          <w:spacing w:val="-2"/>
        </w:rPr>
        <w:t>元（大写：陆万捌仟元）给付特殊情况下的一次性补偿保险金，</w:t>
      </w:r>
      <w:r>
        <w:rPr>
          <w:rFonts w:ascii="黑体" w:eastAsia="黑体"/>
          <w:spacing w:val="-2"/>
        </w:rPr>
        <w:t>本合同终止。</w:t>
      </w:r>
    </w:p>
    <w:p>
      <w:pPr>
        <w:pStyle w:val="BodyText"/>
        <w:spacing w:before="3"/>
        <w:ind w:left="0"/>
        <w:rPr>
          <w:rFonts w:ascii="黑体"/>
          <w:sz w:val="24"/>
        </w:rPr>
      </w:pPr>
    </w:p>
    <w:p>
      <w:pPr>
        <w:pStyle w:val="BodyText"/>
        <w:jc w:val="both"/>
        <w:rPr>
          <w:rFonts w:ascii="黑体" w:eastAsia="黑体"/>
        </w:rPr>
      </w:pPr>
      <w:r>
        <w:rPr/>
        <w:t>第五条</w:t>
      </w:r>
      <w:r>
        <w:rPr>
          <w:spacing w:val="52"/>
          <w:w w:val="150"/>
        </w:rPr>
        <w:t>   </w:t>
      </w:r>
      <w:r>
        <w:rPr>
          <w:rFonts w:ascii="黑体" w:eastAsia="黑体"/>
          <w:spacing w:val="-2"/>
        </w:rPr>
        <w:t>补偿原则和赔付比例</w:t>
      </w:r>
    </w:p>
    <w:p>
      <w:pPr>
        <w:pStyle w:val="BodyText"/>
        <w:spacing w:line="278" w:lineRule="auto" w:before="43"/>
        <w:ind w:right="732"/>
        <w:jc w:val="both"/>
        <w:rPr>
          <w:rFonts w:ascii="黑体" w:eastAsia="黑体"/>
        </w:rPr>
      </w:pPr>
      <w:r>
        <w:rPr>
          <w:rFonts w:ascii="黑体" w:eastAsia="黑体"/>
          <w:color w:val="000000"/>
          <w:spacing w:val="-2"/>
          <w:shd w:fill="D9D9D9" w:color="auto" w:val="clear"/>
        </w:rPr>
        <w:t>若被保险人发生的属于保险责任范围内的医疗费用已通过</w:t>
      </w:r>
      <w:r>
        <w:rPr>
          <w:rFonts w:ascii="黑体" w:eastAsia="黑体" w:hint="eastAsia"/>
          <w:b/>
          <w:color w:val="000000"/>
          <w:spacing w:val="-2"/>
          <w:shd w:fill="D9D9D9" w:color="auto" w:val="clear"/>
        </w:rPr>
        <w:t>基</w:t>
      </w:r>
      <w:r>
        <w:rPr>
          <w:rFonts w:ascii="黑体" w:eastAsia="黑体" w:hint="eastAsia"/>
          <w:b/>
          <w:color w:val="000000"/>
          <w:spacing w:val="-2"/>
          <w:shd w:fill="D9D9D9" w:color="auto" w:val="clear"/>
        </w:rPr>
        <w:t>本</w:t>
      </w:r>
      <w:r>
        <w:rPr>
          <w:rFonts w:ascii="黑体" w:eastAsia="黑体" w:hint="eastAsia"/>
          <w:b/>
          <w:color w:val="000000"/>
          <w:spacing w:val="-2"/>
          <w:shd w:fill="D9D9D9" w:color="auto" w:val="clear"/>
        </w:rPr>
        <w:t>医</w:t>
      </w:r>
      <w:r>
        <w:rPr>
          <w:rFonts w:ascii="黑体" w:eastAsia="黑体" w:hint="eastAsia"/>
          <w:b/>
          <w:color w:val="000000"/>
          <w:spacing w:val="-2"/>
          <w:shd w:fill="D9D9D9" w:color="auto" w:val="clear"/>
        </w:rPr>
        <w:t>疗</w:t>
      </w:r>
      <w:r>
        <w:rPr>
          <w:rFonts w:ascii="黑体" w:eastAsia="黑体" w:hint="eastAsia"/>
          <w:b/>
          <w:color w:val="000000"/>
          <w:spacing w:val="-2"/>
          <w:shd w:fill="D9D9D9" w:color="auto" w:val="clear"/>
        </w:rPr>
        <w:t>保</w:t>
      </w:r>
      <w:r>
        <w:rPr>
          <w:rFonts w:ascii="黑体" w:eastAsia="黑体" w:hint="eastAsia"/>
          <w:b/>
          <w:color w:val="000000"/>
          <w:spacing w:val="-2"/>
          <w:shd w:fill="D9D9D9" w:color="auto" w:val="clear"/>
        </w:rPr>
        <w:t>险</w:t>
      </w:r>
      <w:r>
        <w:rPr>
          <w:rFonts w:ascii="Times New Roman" w:eastAsia="Times New Roman"/>
          <w:b/>
          <w:color w:val="000000"/>
          <w:spacing w:val="-2"/>
          <w:shd w:fill="D9D9D9" w:color="auto" w:val="clear"/>
          <w:vertAlign w:val="superscript"/>
        </w:rPr>
        <w:t>28</w:t>
      </w:r>
      <w:r>
        <w:rPr>
          <w:rFonts w:ascii="黑体" w:eastAsia="黑体"/>
          <w:color w:val="000000"/>
          <w:spacing w:val="-2"/>
          <w:shd w:fill="D9D9D9" w:color="auto" w:val="clear"/>
          <w:vertAlign w:val="baseline"/>
        </w:rPr>
        <w:t>、公费医疗、商业</w:t>
      </w:r>
      <w:r>
        <w:rPr>
          <w:rFonts w:ascii="黑体" w:eastAsia="黑体"/>
          <w:color w:val="000000"/>
          <w:spacing w:val="40"/>
          <w:shd w:fill="D9D9D9" w:color="auto" w:val="clear"/>
          <w:vertAlign w:val="baseline"/>
        </w:rPr>
        <w:t> </w:t>
      </w:r>
      <w:r>
        <w:rPr>
          <w:rFonts w:ascii="黑体" w:eastAsia="黑体"/>
          <w:color w:val="000000"/>
          <w:spacing w:val="-2"/>
          <w:shd w:fill="D9D9D9" w:color="auto" w:val="clear"/>
          <w:vertAlign w:val="baseline"/>
        </w:rPr>
        <w:t>性</w:t>
      </w:r>
      <w:r>
        <w:rPr>
          <w:rFonts w:ascii="黑体" w:eastAsia="黑体" w:hint="eastAsia"/>
          <w:b/>
          <w:color w:val="000000"/>
          <w:spacing w:val="-2"/>
          <w:shd w:fill="D9D9D9" w:color="auto" w:val="clear"/>
          <w:vertAlign w:val="baseline"/>
        </w:rPr>
        <w:t>费</w:t>
      </w:r>
      <w:r>
        <w:rPr>
          <w:rFonts w:ascii="黑体" w:eastAsia="黑体" w:hint="eastAsia"/>
          <w:b/>
          <w:color w:val="000000"/>
          <w:spacing w:val="-2"/>
          <w:shd w:fill="D9D9D9" w:color="auto" w:val="clear"/>
          <w:vertAlign w:val="baseline"/>
        </w:rPr>
        <w:t>用</w:t>
      </w:r>
      <w:r>
        <w:rPr>
          <w:rFonts w:ascii="黑体" w:eastAsia="黑体" w:hint="eastAsia"/>
          <w:b/>
          <w:color w:val="000000"/>
          <w:spacing w:val="-2"/>
          <w:shd w:fill="D9D9D9" w:color="auto" w:val="clear"/>
          <w:vertAlign w:val="baseline"/>
        </w:rPr>
        <w:t>补</w:t>
      </w:r>
      <w:r>
        <w:rPr>
          <w:rFonts w:ascii="黑体" w:eastAsia="黑体" w:hint="eastAsia"/>
          <w:b/>
          <w:color w:val="000000"/>
          <w:spacing w:val="-2"/>
          <w:shd w:fill="D9D9D9" w:color="auto" w:val="clear"/>
          <w:vertAlign w:val="baseline"/>
        </w:rPr>
        <w:t>偿</w:t>
      </w:r>
      <w:r>
        <w:rPr>
          <w:rFonts w:ascii="黑体" w:eastAsia="黑体" w:hint="eastAsia"/>
          <w:b/>
          <w:color w:val="000000"/>
          <w:spacing w:val="-2"/>
          <w:shd w:fill="D9D9D9" w:color="auto" w:val="clear"/>
          <w:vertAlign w:val="baseline"/>
        </w:rPr>
        <w:t>型</w:t>
      </w:r>
      <w:r>
        <w:rPr>
          <w:rFonts w:ascii="黑体" w:eastAsia="黑体" w:hint="eastAsia"/>
          <w:b/>
          <w:color w:val="000000"/>
          <w:spacing w:val="-2"/>
          <w:shd w:fill="D9D9D9" w:color="auto" w:val="clear"/>
          <w:vertAlign w:val="baseline"/>
        </w:rPr>
        <w:t>医</w:t>
      </w:r>
      <w:r>
        <w:rPr>
          <w:rFonts w:ascii="黑体" w:eastAsia="黑体" w:hint="eastAsia"/>
          <w:b/>
          <w:color w:val="000000"/>
          <w:spacing w:val="-2"/>
          <w:shd w:fill="D9D9D9" w:color="auto" w:val="clear"/>
          <w:vertAlign w:val="baseline"/>
        </w:rPr>
        <w:t>疗</w:t>
      </w:r>
      <w:r>
        <w:rPr>
          <w:rFonts w:ascii="黑体" w:eastAsia="黑体" w:hint="eastAsia"/>
          <w:b/>
          <w:color w:val="000000"/>
          <w:spacing w:val="-2"/>
          <w:shd w:fill="D9D9D9" w:color="auto" w:val="clear"/>
          <w:vertAlign w:val="baseline"/>
        </w:rPr>
        <w:t>保</w:t>
      </w:r>
      <w:r>
        <w:rPr>
          <w:rFonts w:ascii="黑体" w:eastAsia="黑体" w:hint="eastAsia"/>
          <w:b/>
          <w:color w:val="000000"/>
          <w:spacing w:val="-2"/>
          <w:shd w:fill="D9D9D9" w:color="auto" w:val="clear"/>
          <w:vertAlign w:val="baseline"/>
        </w:rPr>
        <w:t>险</w:t>
      </w:r>
      <w:r>
        <w:rPr>
          <w:rFonts w:ascii="Times New Roman" w:eastAsia="Times New Roman"/>
          <w:b/>
          <w:color w:val="000000"/>
          <w:spacing w:val="-2"/>
          <w:shd w:fill="D9D9D9" w:color="auto" w:val="clear"/>
          <w:vertAlign w:val="superscript"/>
        </w:rPr>
        <w:t>29</w:t>
      </w:r>
      <w:r>
        <w:rPr>
          <w:rFonts w:ascii="黑体" w:eastAsia="黑体"/>
          <w:color w:val="000000"/>
          <w:spacing w:val="-2"/>
          <w:shd w:fill="D9D9D9" w:color="auto" w:val="clear"/>
          <w:vertAlign w:val="baseline"/>
        </w:rPr>
        <w:t>、互助机构或其他机构等途径得到了部分补偿，我们仅对剩余部分</w:t>
      </w:r>
      <w:r>
        <w:rPr>
          <w:rFonts w:ascii="黑体" w:eastAsia="黑体"/>
          <w:color w:val="000000"/>
          <w:spacing w:val="-4"/>
          <w:shd w:fill="D9D9D9" w:color="auto" w:val="clear"/>
          <w:vertAlign w:val="baseline"/>
        </w:rPr>
        <w:t>按照本合同的约定进行给付。</w:t>
      </w:r>
      <w:r>
        <w:rPr>
          <w:rFonts w:ascii="黑体" w:eastAsia="黑体"/>
          <w:color w:val="000000"/>
          <w:spacing w:val="-4"/>
          <w:vertAlign w:val="baseline"/>
        </w:rPr>
        <w:t>基本医疗保险个人账户部分支出视为个人支付，不属于已获得</w:t>
      </w:r>
      <w:r>
        <w:rPr>
          <w:rFonts w:ascii="黑体" w:eastAsia="黑体"/>
          <w:color w:val="000000"/>
          <w:spacing w:val="-2"/>
          <w:vertAlign w:val="baseline"/>
        </w:rPr>
        <w:t>的医疗费用补偿。</w:t>
      </w:r>
    </w:p>
    <w:p>
      <w:pPr>
        <w:pStyle w:val="BodyText"/>
        <w:spacing w:before="4"/>
        <w:ind w:left="0"/>
        <w:rPr>
          <w:rFonts w:ascii="黑体"/>
          <w:sz w:val="18"/>
        </w:rPr>
      </w:pPr>
    </w:p>
    <w:p>
      <w:pPr>
        <w:pStyle w:val="BodyText"/>
        <w:spacing w:before="77"/>
        <w:rPr>
          <w:rFonts w:ascii="黑体" w:eastAsia="黑体"/>
        </w:rPr>
      </w:pPr>
      <w:r>
        <w:rPr>
          <w:rFonts w:ascii="黑体" w:eastAsia="黑体"/>
          <w:color w:val="000000"/>
          <w:spacing w:val="-2"/>
          <w:shd w:fill="D9D9D9" w:color="auto" w:val="clear"/>
        </w:rPr>
        <w:t>本合同约定的医疗费用赔付比例为</w:t>
      </w:r>
      <w:r>
        <w:rPr>
          <w:rFonts w:ascii="Times New Roman" w:eastAsia="Times New Roman"/>
          <w:color w:val="000000"/>
          <w:spacing w:val="-2"/>
          <w:shd w:fill="D9D9D9" w:color="auto" w:val="clear"/>
        </w:rPr>
        <w:t>100%</w:t>
      </w:r>
      <w:r>
        <w:rPr>
          <w:rFonts w:ascii="黑体" w:eastAsia="黑体"/>
          <w:color w:val="000000"/>
          <w:spacing w:val="-3"/>
          <w:shd w:fill="D9D9D9" w:color="auto" w:val="clear"/>
        </w:rPr>
        <w:t>，但以下两种情况例外：</w:t>
      </w:r>
    </w:p>
    <w:p>
      <w:pPr>
        <w:pStyle w:val="BodyText"/>
        <w:spacing w:line="278" w:lineRule="auto" w:before="43"/>
        <w:ind w:left="1097" w:right="732" w:hanging="360"/>
        <w:jc w:val="both"/>
        <w:rPr>
          <w:rFonts w:ascii="黑体" w:eastAsia="黑体"/>
        </w:rPr>
      </w:pPr>
      <w:r>
        <w:rPr>
          <w:rFonts w:ascii="Times New Roman" w:eastAsia="Times New Roman"/>
          <w:w w:val="95"/>
        </w:rPr>
        <w:t>1</w:t>
      </w:r>
      <w:r>
        <w:rPr>
          <w:rFonts w:ascii="黑体" w:eastAsia="黑体"/>
          <w:w w:val="95"/>
        </w:rPr>
        <w:t>、</w:t>
      </w:r>
      <w:r>
        <w:rPr>
          <w:rFonts w:ascii="黑体" w:eastAsia="黑体"/>
          <w:spacing w:val="22"/>
        </w:rPr>
        <w:t> </w:t>
      </w:r>
      <w:r>
        <w:rPr>
          <w:rFonts w:ascii="黑体" w:eastAsia="黑体"/>
          <w:color w:val="000000"/>
          <w:w w:val="95"/>
          <w:shd w:fill="D9D9D9" w:color="auto" w:val="clear"/>
        </w:rPr>
        <w:t>若</w:t>
      </w:r>
      <w:r>
        <w:rPr>
          <w:rFonts w:ascii="黑体" w:eastAsia="黑体"/>
          <w:color w:val="000000"/>
          <w:w w:val="95"/>
          <w:shd w:fill="D9D9D9" w:color="auto" w:val="clear"/>
        </w:rPr>
        <w:t>被</w:t>
      </w:r>
      <w:r>
        <w:rPr>
          <w:rFonts w:ascii="黑体" w:eastAsia="黑体"/>
          <w:color w:val="000000"/>
          <w:w w:val="95"/>
          <w:shd w:fill="D9D9D9" w:color="auto" w:val="clear"/>
        </w:rPr>
        <w:t>保</w:t>
      </w:r>
      <w:r>
        <w:rPr>
          <w:rFonts w:ascii="黑体" w:eastAsia="黑体"/>
          <w:color w:val="000000"/>
          <w:w w:val="95"/>
          <w:shd w:fill="D9D9D9" w:color="auto" w:val="clear"/>
        </w:rPr>
        <w:t>险</w:t>
      </w:r>
      <w:r>
        <w:rPr>
          <w:rFonts w:ascii="黑体" w:eastAsia="黑体"/>
          <w:color w:val="000000"/>
          <w:w w:val="95"/>
          <w:shd w:fill="D9D9D9" w:color="auto" w:val="clear"/>
        </w:rPr>
        <w:t>人</w:t>
      </w:r>
      <w:r>
        <w:rPr>
          <w:rFonts w:ascii="黑体" w:eastAsia="黑体"/>
          <w:color w:val="000000"/>
          <w:w w:val="95"/>
          <w:shd w:fill="D9D9D9" w:color="auto" w:val="clear"/>
        </w:rPr>
        <w:t>在</w:t>
      </w:r>
      <w:r>
        <w:rPr>
          <w:rFonts w:ascii="黑体" w:eastAsia="黑体"/>
          <w:color w:val="000000"/>
          <w:w w:val="95"/>
          <w:shd w:fill="D9D9D9" w:color="auto" w:val="clear"/>
        </w:rPr>
        <w:t>我</w:t>
      </w:r>
      <w:r>
        <w:rPr>
          <w:rFonts w:ascii="黑体" w:eastAsia="黑体"/>
          <w:color w:val="000000"/>
          <w:w w:val="95"/>
          <w:shd w:fill="D9D9D9" w:color="auto" w:val="clear"/>
        </w:rPr>
        <w:t>们</w:t>
      </w:r>
      <w:r>
        <w:rPr>
          <w:rFonts w:ascii="黑体" w:eastAsia="黑体"/>
          <w:color w:val="000000"/>
          <w:w w:val="95"/>
          <w:shd w:fill="D9D9D9" w:color="auto" w:val="clear"/>
        </w:rPr>
        <w:t>认</w:t>
      </w:r>
      <w:r>
        <w:rPr>
          <w:rFonts w:ascii="黑体" w:eastAsia="黑体"/>
          <w:color w:val="000000"/>
          <w:w w:val="95"/>
          <w:shd w:fill="D9D9D9" w:color="auto" w:val="clear"/>
        </w:rPr>
        <w:t>可</w:t>
      </w:r>
      <w:r>
        <w:rPr>
          <w:rFonts w:ascii="黑体" w:eastAsia="黑体"/>
          <w:color w:val="000000"/>
          <w:w w:val="95"/>
          <w:shd w:fill="D9D9D9" w:color="auto" w:val="clear"/>
        </w:rPr>
        <w:t>的</w:t>
      </w:r>
      <w:r>
        <w:rPr>
          <w:rFonts w:ascii="黑体" w:eastAsia="黑体"/>
          <w:color w:val="000000"/>
          <w:w w:val="95"/>
          <w:shd w:fill="D9D9D9" w:color="auto" w:val="clear"/>
        </w:rPr>
        <w:t>中</w:t>
      </w:r>
      <w:r>
        <w:rPr>
          <w:rFonts w:ascii="黑体" w:eastAsia="黑体"/>
          <w:color w:val="000000"/>
          <w:w w:val="95"/>
          <w:shd w:fill="D9D9D9" w:color="auto" w:val="clear"/>
        </w:rPr>
        <w:t>国</w:t>
      </w:r>
      <w:r>
        <w:rPr>
          <w:rFonts w:ascii="黑体" w:eastAsia="黑体"/>
          <w:color w:val="000000"/>
          <w:w w:val="95"/>
          <w:shd w:fill="D9D9D9" w:color="auto" w:val="clear"/>
        </w:rPr>
        <w:t>大</w:t>
      </w:r>
      <w:r>
        <w:rPr>
          <w:rFonts w:ascii="黑体" w:eastAsia="黑体"/>
          <w:color w:val="000000"/>
          <w:w w:val="95"/>
          <w:shd w:fill="D9D9D9" w:color="auto" w:val="clear"/>
        </w:rPr>
        <w:t>陆</w:t>
      </w:r>
      <w:r>
        <w:rPr>
          <w:rFonts w:ascii="黑体" w:eastAsia="黑体"/>
          <w:color w:val="000000"/>
          <w:w w:val="95"/>
          <w:shd w:fill="D9D9D9" w:color="auto" w:val="clear"/>
        </w:rPr>
        <w:t>地</w:t>
      </w:r>
      <w:r>
        <w:rPr>
          <w:rFonts w:ascii="黑体" w:eastAsia="黑体"/>
          <w:color w:val="000000"/>
          <w:w w:val="95"/>
          <w:shd w:fill="D9D9D9" w:color="auto" w:val="clear"/>
        </w:rPr>
        <w:t>区</w:t>
      </w:r>
      <w:r>
        <w:rPr>
          <w:rFonts w:ascii="黑体" w:eastAsia="黑体"/>
          <w:color w:val="000000"/>
          <w:w w:val="95"/>
          <w:shd w:fill="D9D9D9" w:color="auto" w:val="clear"/>
        </w:rPr>
        <w:t>医</w:t>
      </w:r>
      <w:r>
        <w:rPr>
          <w:rFonts w:ascii="黑体" w:eastAsia="黑体"/>
          <w:color w:val="000000"/>
          <w:w w:val="95"/>
          <w:shd w:fill="D9D9D9" w:color="auto" w:val="clear"/>
        </w:rPr>
        <w:t>院</w:t>
      </w:r>
      <w:r>
        <w:rPr>
          <w:rFonts w:ascii="黑体" w:eastAsia="黑体"/>
          <w:color w:val="000000"/>
          <w:w w:val="95"/>
          <w:shd w:fill="D9D9D9" w:color="auto" w:val="clear"/>
        </w:rPr>
        <w:t>进</w:t>
      </w:r>
      <w:r>
        <w:rPr>
          <w:rFonts w:ascii="黑体" w:eastAsia="黑体"/>
          <w:color w:val="000000"/>
          <w:w w:val="95"/>
          <w:shd w:fill="D9D9D9" w:color="auto" w:val="clear"/>
        </w:rPr>
        <w:t>行</w:t>
      </w:r>
      <w:r>
        <w:rPr>
          <w:rFonts w:ascii="黑体" w:eastAsia="黑体"/>
          <w:color w:val="000000"/>
          <w:w w:val="95"/>
          <w:shd w:fill="D9D9D9" w:color="auto" w:val="clear"/>
        </w:rPr>
        <w:t>治</w:t>
      </w:r>
      <w:r>
        <w:rPr>
          <w:rFonts w:ascii="黑体" w:eastAsia="黑体"/>
          <w:color w:val="000000"/>
          <w:w w:val="95"/>
          <w:shd w:fill="D9D9D9" w:color="auto" w:val="clear"/>
        </w:rPr>
        <w:t>疗</w:t>
      </w:r>
      <w:r>
        <w:rPr>
          <w:rFonts w:ascii="黑体" w:eastAsia="黑体"/>
          <w:color w:val="000000"/>
          <w:w w:val="95"/>
          <w:shd w:fill="D9D9D9" w:color="auto" w:val="clear"/>
        </w:rPr>
        <w:t>的</w:t>
      </w:r>
      <w:r>
        <w:rPr>
          <w:rFonts w:ascii="黑体" w:eastAsia="黑体"/>
          <w:color w:val="000000"/>
          <w:w w:val="95"/>
          <w:shd w:fill="D9D9D9" w:color="auto" w:val="clear"/>
        </w:rPr>
        <w:t>，</w:t>
      </w:r>
      <w:r>
        <w:rPr>
          <w:rFonts w:ascii="黑体" w:eastAsia="黑体"/>
          <w:color w:val="000000"/>
          <w:w w:val="95"/>
          <w:shd w:fill="D9D9D9" w:color="auto" w:val="clear"/>
        </w:rPr>
        <w:t>质</w:t>
      </w:r>
      <w:r>
        <w:rPr>
          <w:rFonts w:ascii="黑体" w:eastAsia="黑体"/>
          <w:color w:val="000000"/>
          <w:w w:val="95"/>
          <w:shd w:fill="D9D9D9" w:color="auto" w:val="clear"/>
        </w:rPr>
        <w:t>子</w:t>
      </w:r>
      <w:r>
        <w:rPr>
          <w:rFonts w:ascii="黑体" w:eastAsia="黑体"/>
          <w:color w:val="000000"/>
          <w:w w:val="95"/>
          <w:shd w:fill="D9D9D9" w:color="auto" w:val="clear"/>
        </w:rPr>
        <w:t>重</w:t>
      </w:r>
      <w:r>
        <w:rPr>
          <w:rFonts w:ascii="黑体" w:eastAsia="黑体"/>
          <w:color w:val="000000"/>
          <w:w w:val="95"/>
          <w:shd w:fill="D9D9D9" w:color="auto" w:val="clear"/>
        </w:rPr>
        <w:t>离</w:t>
      </w:r>
      <w:r>
        <w:rPr>
          <w:rFonts w:ascii="黑体" w:eastAsia="黑体"/>
          <w:color w:val="000000"/>
          <w:w w:val="95"/>
          <w:shd w:fill="D9D9D9" w:color="auto" w:val="clear"/>
        </w:rPr>
        <w:t>子</w:t>
      </w:r>
      <w:r>
        <w:rPr>
          <w:rFonts w:ascii="黑体" w:eastAsia="黑体"/>
          <w:color w:val="000000"/>
          <w:w w:val="95"/>
          <w:shd w:fill="D9D9D9" w:color="auto" w:val="clear"/>
        </w:rPr>
        <w:t>医</w:t>
      </w:r>
      <w:r>
        <w:rPr>
          <w:rFonts w:ascii="黑体" w:eastAsia="黑体"/>
          <w:color w:val="000000"/>
          <w:w w:val="95"/>
          <w:shd w:fill="D9D9D9" w:color="auto" w:val="clear"/>
        </w:rPr>
        <w:t>疗</w:t>
      </w:r>
      <w:r>
        <w:rPr>
          <w:rFonts w:ascii="黑体" w:eastAsia="黑体"/>
          <w:color w:val="000000"/>
          <w:w w:val="95"/>
          <w:shd w:fill="D9D9D9" w:color="auto" w:val="clear"/>
        </w:rPr>
        <w:t>费</w:t>
      </w:r>
      <w:r>
        <w:rPr>
          <w:rFonts w:ascii="黑体" w:eastAsia="黑体"/>
          <w:color w:val="000000"/>
          <w:w w:val="95"/>
          <w:shd w:fill="D9D9D9" w:color="auto" w:val="clear"/>
        </w:rPr>
        <w:t>用</w:t>
      </w:r>
      <w:r>
        <w:rPr>
          <w:rFonts w:ascii="黑体" w:eastAsia="黑体"/>
          <w:color w:val="000000"/>
          <w:w w:val="95"/>
          <w:shd w:fill="D9D9D9" w:color="auto" w:val="clear"/>
        </w:rPr>
        <w:t>的</w:t>
      </w:r>
      <w:r>
        <w:rPr>
          <w:rFonts w:ascii="黑体" w:eastAsia="黑体"/>
          <w:color w:val="000000"/>
          <w:w w:val="95"/>
          <w:shd w:fill="D9D9D9" w:color="auto" w:val="clear"/>
        </w:rPr>
        <w:t>赔</w:t>
      </w:r>
      <w:r>
        <w:rPr>
          <w:rFonts w:ascii="黑体" w:eastAsia="黑体"/>
          <w:color w:val="000000"/>
          <w:w w:val="95"/>
          <w:shd w:fill="D9D9D9" w:color="auto" w:val="clear"/>
        </w:rPr>
        <w:t>付</w:t>
      </w:r>
      <w:r>
        <w:rPr>
          <w:rFonts w:ascii="黑体" w:eastAsia="黑体"/>
          <w:color w:val="000000"/>
          <w:w w:val="95"/>
          <w:shd w:fill="D9D9D9" w:color="auto" w:val="clear"/>
        </w:rPr>
        <w:t>比</w:t>
      </w:r>
      <w:r>
        <w:rPr>
          <w:rFonts w:ascii="黑体" w:eastAsia="黑体"/>
          <w:color w:val="000000"/>
          <w:spacing w:val="80"/>
          <w:shd w:fill="D9D9D9" w:color="auto" w:val="clear"/>
        </w:rPr>
        <w:t> </w:t>
      </w:r>
      <w:r>
        <w:rPr>
          <w:rFonts w:ascii="黑体" w:eastAsia="黑体"/>
          <w:color w:val="000000"/>
          <w:spacing w:val="-2"/>
          <w:shd w:fill="D9D9D9" w:color="auto" w:val="clear"/>
        </w:rPr>
        <w:t>例为</w:t>
      </w:r>
      <w:r>
        <w:rPr>
          <w:rFonts w:ascii="Times New Roman" w:eastAsia="Times New Roman"/>
          <w:color w:val="000000"/>
          <w:spacing w:val="-2"/>
          <w:shd w:fill="D9D9D9" w:color="auto" w:val="clear"/>
        </w:rPr>
        <w:t>60%</w:t>
      </w:r>
      <w:r>
        <w:rPr>
          <w:rFonts w:ascii="黑体" w:eastAsia="黑体"/>
          <w:color w:val="000000"/>
          <w:spacing w:val="-2"/>
          <w:shd w:fill="D9D9D9" w:color="auto" w:val="clear"/>
        </w:rPr>
        <w:t>。</w:t>
      </w:r>
    </w:p>
    <w:p>
      <w:pPr>
        <w:pStyle w:val="BodyText"/>
        <w:spacing w:line="278" w:lineRule="auto"/>
        <w:ind w:left="1097" w:right="732" w:hanging="360"/>
        <w:jc w:val="both"/>
        <w:rPr>
          <w:rFonts w:ascii="黑体" w:eastAsia="黑体"/>
        </w:rPr>
      </w:pPr>
      <w:r>
        <w:rPr>
          <w:rFonts w:ascii="Times New Roman" w:eastAsia="Times New Roman"/>
          <w:spacing w:val="-1"/>
        </w:rPr>
        <w:t>2</w:t>
      </w:r>
      <w:r>
        <w:rPr>
          <w:rFonts w:ascii="黑体" w:eastAsia="黑体"/>
          <w:spacing w:val="-30"/>
        </w:rPr>
        <w:t>、 </w:t>
      </w:r>
      <w:r>
        <w:rPr>
          <w:rFonts w:ascii="黑体" w:eastAsia="黑体"/>
          <w:color w:val="000000"/>
          <w:spacing w:val="-3"/>
          <w:shd w:fill="D9D9D9" w:color="auto" w:val="clear"/>
        </w:rPr>
        <w:t>若被保险人在我们认可的中国大陆地区医院进行治疗，且投保时被保险人享有基本医疗</w:t>
      </w:r>
      <w:r>
        <w:rPr>
          <w:rFonts w:ascii="黑体" w:eastAsia="黑体"/>
          <w:color w:val="000000"/>
          <w:shd w:fill="D9D9D9" w:color="auto" w:val="clear"/>
        </w:rPr>
        <w:t>保险或公费医疗保障，但</w:t>
      </w:r>
      <w:r>
        <w:rPr>
          <w:rFonts w:ascii="黑体" w:eastAsia="黑体" w:hint="eastAsia"/>
          <w:b/>
          <w:color w:val="000000"/>
          <w:w w:val="99"/>
          <w:shd w:fill="D9D9D9" w:color="auto" w:val="clear"/>
        </w:rPr>
        <w:t>保险事故</w:t>
      </w:r>
      <w:r>
        <w:rPr>
          <w:rFonts w:ascii="Times New Roman" w:eastAsia="Times New Roman"/>
          <w:b/>
          <w:color w:val="000000"/>
          <w:w w:val="100"/>
          <w:shd w:fill="D9D9D9" w:color="auto" w:val="clear"/>
          <w:vertAlign w:val="superscript"/>
        </w:rPr>
        <w:t>30</w:t>
      </w:r>
      <w:r>
        <w:rPr>
          <w:rFonts w:ascii="黑体" w:eastAsia="黑体"/>
          <w:color w:val="000000"/>
          <w:shd w:fill="D9D9D9" w:color="auto" w:val="clear"/>
          <w:vertAlign w:val="baseline"/>
        </w:rPr>
        <w:t>发生时不再享有基本医疗保险或公费医疗保障，或                                                                                                                                                    </w:t>
      </w:r>
      <w:r>
        <w:rPr>
          <w:rFonts w:ascii="黑体" w:eastAsia="黑体"/>
          <w:color w:val="000000"/>
          <w:spacing w:val="-2"/>
          <w:shd w:fill="D9D9D9" w:color="auto" w:val="clear"/>
          <w:vertAlign w:val="baseline"/>
        </w:rPr>
        <w:t>在理赔时未从基本医疗保险或公费医疗获得医疗费用补偿的，我们按照本合同约定的医疗费用的</w:t>
      </w:r>
      <w:r>
        <w:rPr>
          <w:rFonts w:ascii="Times New Roman" w:eastAsia="Times New Roman"/>
          <w:color w:val="000000"/>
          <w:spacing w:val="-2"/>
          <w:shd w:fill="D9D9D9" w:color="auto" w:val="clear"/>
          <w:vertAlign w:val="baseline"/>
        </w:rPr>
        <w:t>60</w:t>
      </w:r>
      <w:r>
        <w:rPr>
          <w:rFonts w:ascii="Times New Roman" w:eastAsia="Times New Roman"/>
          <w:color w:val="000000"/>
          <w:spacing w:val="-1"/>
          <w:shd w:fill="D9D9D9" w:color="auto" w:val="clear"/>
          <w:vertAlign w:val="baseline"/>
        </w:rPr>
        <w:t>%</w:t>
      </w:r>
      <w:r>
        <w:rPr>
          <w:rFonts w:ascii="黑体" w:eastAsia="黑体"/>
          <w:color w:val="000000"/>
          <w:shd w:fill="D9D9D9" w:color="auto" w:val="clear"/>
          <w:vertAlign w:val="baseline"/>
        </w:rPr>
        <w:t>比例给付。</w:t>
      </w: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12"/>
        </w:rPr>
      </w:pPr>
      <w:r>
        <w:rPr/>
        <w:drawing>
          <wp:anchor distT="0" distB="0" distL="0" distR="0" allowOverlap="1" layoutInCell="1" locked="0" behindDoc="0" simplePos="0" relativeHeight="11">
            <wp:simplePos x="0" y="0"/>
            <wp:positionH relativeFrom="page">
              <wp:posOffset>1141475</wp:posOffset>
            </wp:positionH>
            <wp:positionV relativeFrom="paragraph">
              <wp:posOffset>112942</wp:posOffset>
            </wp:positionV>
            <wp:extent cx="1828833" cy="6857"/>
            <wp:effectExtent l="0" t="0" r="0" b="0"/>
            <wp:wrapTopAndBottom/>
            <wp:docPr id="13" name="image2.png"/>
            <wp:cNvGraphicFramePr>
              <a:graphicFrameLocks noChangeAspect="1"/>
            </wp:cNvGraphicFramePr>
            <a:graphic>
              <a:graphicData uri="http://schemas.openxmlformats.org/drawingml/2006/picture">
                <pic:pic>
                  <pic:nvPicPr>
                    <pic:cNvPr id="14" name="image2.png"/>
                    <pic:cNvPicPr/>
                  </pic:nvPicPr>
                  <pic:blipFill>
                    <a:blip r:embed="rId7" cstate="print"/>
                    <a:stretch>
                      <a:fillRect/>
                    </a:stretch>
                  </pic:blipFill>
                  <pic:spPr>
                    <a:xfrm>
                      <a:off x="0" y="0"/>
                      <a:ext cx="1828833" cy="6857"/>
                    </a:xfrm>
                    <a:prstGeom prst="rect">
                      <a:avLst/>
                    </a:prstGeom>
                  </pic:spPr>
                </pic:pic>
              </a:graphicData>
            </a:graphic>
          </wp:anchor>
        </w:drawing>
      </w:r>
    </w:p>
    <w:p>
      <w:pPr>
        <w:spacing w:line="225" w:lineRule="exact" w:before="87"/>
        <w:ind w:left="737" w:right="0" w:firstLine="0"/>
        <w:jc w:val="left"/>
        <w:rPr>
          <w:sz w:val="18"/>
        </w:rPr>
      </w:pPr>
      <w:r>
        <w:rPr>
          <w:rFonts w:ascii="Times New Roman" w:eastAsia="Times New Roman"/>
          <w:w w:val="95"/>
          <w:sz w:val="18"/>
          <w:vertAlign w:val="superscript"/>
        </w:rPr>
        <w:t>26</w:t>
      </w:r>
      <w:r>
        <w:rPr>
          <w:b/>
          <w:w w:val="95"/>
          <w:sz w:val="18"/>
          <w:vertAlign w:val="baseline"/>
        </w:rPr>
        <w:t>特</w:t>
      </w:r>
      <w:r>
        <w:rPr>
          <w:b/>
          <w:w w:val="95"/>
          <w:sz w:val="18"/>
          <w:vertAlign w:val="baseline"/>
        </w:rPr>
        <w:t>定</w:t>
      </w:r>
      <w:r>
        <w:rPr>
          <w:b/>
          <w:w w:val="95"/>
          <w:sz w:val="18"/>
          <w:vertAlign w:val="baseline"/>
        </w:rPr>
        <w:t>疾病</w:t>
      </w:r>
      <w:r>
        <w:rPr>
          <w:b/>
          <w:w w:val="95"/>
          <w:sz w:val="18"/>
          <w:vertAlign w:val="baseline"/>
        </w:rPr>
        <w:t>确</w:t>
      </w:r>
      <w:r>
        <w:rPr>
          <w:b/>
          <w:w w:val="95"/>
          <w:sz w:val="18"/>
          <w:vertAlign w:val="baseline"/>
        </w:rPr>
        <w:t>诊</w:t>
      </w:r>
      <w:r>
        <w:rPr>
          <w:b/>
          <w:w w:val="95"/>
          <w:sz w:val="18"/>
          <w:vertAlign w:val="baseline"/>
        </w:rPr>
        <w:t>之</w:t>
      </w:r>
      <w:r>
        <w:rPr>
          <w:b/>
          <w:w w:val="95"/>
          <w:sz w:val="18"/>
          <w:vertAlign w:val="baseline"/>
        </w:rPr>
        <w:t>日</w:t>
      </w:r>
      <w:r>
        <w:rPr>
          <w:b/>
          <w:w w:val="95"/>
          <w:sz w:val="18"/>
          <w:vertAlign w:val="baseline"/>
        </w:rPr>
        <w:t>：</w:t>
      </w:r>
      <w:r>
        <w:rPr>
          <w:w w:val="95"/>
          <w:sz w:val="18"/>
          <w:vertAlign w:val="baseline"/>
        </w:rPr>
        <w:t>指</w:t>
      </w:r>
      <w:r>
        <w:rPr>
          <w:w w:val="95"/>
          <w:sz w:val="18"/>
          <w:vertAlign w:val="baseline"/>
        </w:rPr>
        <w:t>保</w:t>
      </w:r>
      <w:r>
        <w:rPr>
          <w:w w:val="95"/>
          <w:sz w:val="18"/>
          <w:vertAlign w:val="baseline"/>
        </w:rPr>
        <w:t>险</w:t>
      </w:r>
      <w:r>
        <w:rPr>
          <w:w w:val="95"/>
          <w:sz w:val="18"/>
          <w:vertAlign w:val="baseline"/>
        </w:rPr>
        <w:t>期</w:t>
      </w:r>
      <w:r>
        <w:rPr>
          <w:w w:val="95"/>
          <w:sz w:val="18"/>
          <w:vertAlign w:val="baseline"/>
        </w:rPr>
        <w:t>间</w:t>
      </w:r>
      <w:r>
        <w:rPr>
          <w:w w:val="95"/>
          <w:sz w:val="18"/>
          <w:vertAlign w:val="baseline"/>
        </w:rPr>
        <w:t>内</w:t>
      </w:r>
      <w:r>
        <w:rPr>
          <w:w w:val="95"/>
          <w:sz w:val="18"/>
          <w:vertAlign w:val="baseline"/>
        </w:rPr>
        <w:t>经</w:t>
      </w:r>
      <w:r>
        <w:rPr>
          <w:w w:val="95"/>
          <w:sz w:val="18"/>
          <w:vertAlign w:val="baseline"/>
        </w:rPr>
        <w:t>病</w:t>
      </w:r>
      <w:r>
        <w:rPr>
          <w:w w:val="95"/>
          <w:sz w:val="18"/>
          <w:vertAlign w:val="baseline"/>
        </w:rPr>
        <w:t>理</w:t>
      </w:r>
      <w:r>
        <w:rPr>
          <w:w w:val="95"/>
          <w:sz w:val="18"/>
          <w:vertAlign w:val="baseline"/>
        </w:rPr>
        <w:t>学</w:t>
      </w:r>
      <w:r>
        <w:rPr>
          <w:w w:val="95"/>
          <w:sz w:val="18"/>
          <w:vertAlign w:val="baseline"/>
        </w:rPr>
        <w:t>检</w:t>
      </w:r>
      <w:r>
        <w:rPr>
          <w:w w:val="95"/>
          <w:sz w:val="18"/>
          <w:vertAlign w:val="baseline"/>
        </w:rPr>
        <w:t>查</w:t>
      </w:r>
      <w:r>
        <w:rPr>
          <w:w w:val="95"/>
          <w:sz w:val="18"/>
          <w:vertAlign w:val="baseline"/>
        </w:rPr>
        <w:t>结</w:t>
      </w:r>
      <w:r>
        <w:rPr>
          <w:w w:val="95"/>
          <w:sz w:val="18"/>
          <w:vertAlign w:val="baseline"/>
        </w:rPr>
        <w:t>果</w:t>
      </w:r>
      <w:r>
        <w:rPr>
          <w:w w:val="95"/>
          <w:sz w:val="18"/>
          <w:vertAlign w:val="baseline"/>
        </w:rPr>
        <w:t>明</w:t>
      </w:r>
      <w:r>
        <w:rPr>
          <w:w w:val="95"/>
          <w:sz w:val="18"/>
          <w:vertAlign w:val="baseline"/>
        </w:rPr>
        <w:t>确</w:t>
      </w:r>
      <w:r>
        <w:rPr>
          <w:w w:val="95"/>
          <w:sz w:val="18"/>
          <w:vertAlign w:val="baseline"/>
        </w:rPr>
        <w:t>诊</w:t>
      </w:r>
      <w:r>
        <w:rPr>
          <w:w w:val="95"/>
          <w:sz w:val="18"/>
          <w:vertAlign w:val="baseline"/>
        </w:rPr>
        <w:t>断</w:t>
      </w:r>
      <w:r>
        <w:rPr>
          <w:w w:val="95"/>
          <w:sz w:val="18"/>
          <w:vertAlign w:val="baseline"/>
        </w:rPr>
        <w:t>特</w:t>
      </w:r>
      <w:r>
        <w:rPr>
          <w:w w:val="95"/>
          <w:sz w:val="18"/>
          <w:vertAlign w:val="baseline"/>
        </w:rPr>
        <w:t>定</w:t>
      </w:r>
      <w:r>
        <w:rPr>
          <w:w w:val="95"/>
          <w:sz w:val="18"/>
          <w:vertAlign w:val="baseline"/>
        </w:rPr>
        <w:t>疾</w:t>
      </w:r>
      <w:r>
        <w:rPr>
          <w:w w:val="95"/>
          <w:sz w:val="18"/>
          <w:vertAlign w:val="baseline"/>
        </w:rPr>
        <w:t>病</w:t>
      </w:r>
      <w:r>
        <w:rPr>
          <w:w w:val="95"/>
          <w:sz w:val="18"/>
          <w:vertAlign w:val="baseline"/>
        </w:rPr>
        <w:t>的</w:t>
      </w:r>
      <w:r>
        <w:rPr>
          <w:w w:val="95"/>
          <w:sz w:val="18"/>
          <w:vertAlign w:val="baseline"/>
        </w:rPr>
        <w:t>日</w:t>
      </w:r>
      <w:r>
        <w:rPr>
          <w:w w:val="95"/>
          <w:sz w:val="18"/>
          <w:vertAlign w:val="baseline"/>
        </w:rPr>
        <w:t>期</w:t>
      </w:r>
      <w:r>
        <w:rPr>
          <w:rFonts w:ascii="Times New Roman" w:eastAsia="Times New Roman"/>
          <w:w w:val="95"/>
          <w:sz w:val="18"/>
          <w:vertAlign w:val="baseline"/>
        </w:rPr>
        <w:t>,</w:t>
      </w:r>
      <w:r>
        <w:rPr>
          <w:w w:val="95"/>
          <w:sz w:val="18"/>
          <w:vertAlign w:val="baseline"/>
        </w:rPr>
        <w:t>以手</w:t>
      </w:r>
      <w:r>
        <w:rPr>
          <w:w w:val="95"/>
          <w:sz w:val="18"/>
          <w:vertAlign w:val="baseline"/>
        </w:rPr>
        <w:t>术</w:t>
      </w:r>
      <w:r>
        <w:rPr>
          <w:w w:val="95"/>
          <w:sz w:val="18"/>
          <w:vertAlign w:val="baseline"/>
        </w:rPr>
        <w:t>病</w:t>
      </w:r>
      <w:r>
        <w:rPr>
          <w:w w:val="95"/>
          <w:sz w:val="18"/>
          <w:vertAlign w:val="baseline"/>
        </w:rPr>
        <w:t>理</w:t>
      </w:r>
      <w:r>
        <w:rPr>
          <w:w w:val="95"/>
          <w:sz w:val="18"/>
          <w:vertAlign w:val="baseline"/>
        </w:rPr>
        <w:t>取</w:t>
      </w:r>
      <w:r>
        <w:rPr>
          <w:w w:val="95"/>
          <w:sz w:val="18"/>
          <w:vertAlign w:val="baseline"/>
        </w:rPr>
        <w:t>材</w:t>
      </w:r>
      <w:r>
        <w:rPr>
          <w:w w:val="95"/>
          <w:sz w:val="18"/>
          <w:vertAlign w:val="baseline"/>
        </w:rPr>
        <w:t>或</w:t>
      </w:r>
      <w:r>
        <w:rPr>
          <w:w w:val="95"/>
          <w:sz w:val="18"/>
          <w:vertAlign w:val="baseline"/>
        </w:rPr>
        <w:t>病</w:t>
      </w:r>
      <w:r>
        <w:rPr>
          <w:w w:val="95"/>
          <w:sz w:val="18"/>
          <w:vertAlign w:val="baseline"/>
        </w:rPr>
        <w:t>理</w:t>
      </w:r>
      <w:r>
        <w:rPr>
          <w:spacing w:val="-10"/>
          <w:w w:val="95"/>
          <w:sz w:val="18"/>
          <w:vertAlign w:val="baseline"/>
        </w:rPr>
        <w:t>活</w:t>
      </w:r>
    </w:p>
    <w:p>
      <w:pPr>
        <w:spacing w:line="220" w:lineRule="exact" w:before="0"/>
        <w:ind w:left="737" w:right="0" w:firstLine="0"/>
        <w:jc w:val="left"/>
        <w:rPr>
          <w:sz w:val="18"/>
        </w:rPr>
      </w:pPr>
      <w:r>
        <w:rPr>
          <w:spacing w:val="-1"/>
          <w:sz w:val="18"/>
        </w:rPr>
        <w:t>检取材日期为特定疾病确诊之日。</w:t>
      </w:r>
    </w:p>
    <w:p>
      <w:pPr>
        <w:spacing w:line="220" w:lineRule="exact" w:before="0"/>
        <w:ind w:left="737" w:right="0" w:firstLine="0"/>
        <w:jc w:val="left"/>
        <w:rPr>
          <w:sz w:val="18"/>
        </w:rPr>
      </w:pPr>
      <w:r>
        <w:rPr>
          <w:rFonts w:ascii="Times New Roman" w:eastAsia="Times New Roman"/>
          <w:w w:val="95"/>
          <w:sz w:val="18"/>
          <w:vertAlign w:val="superscript"/>
        </w:rPr>
        <w:t>27</w:t>
      </w:r>
      <w:r>
        <w:rPr>
          <w:b/>
          <w:w w:val="95"/>
          <w:sz w:val="18"/>
          <w:vertAlign w:val="baseline"/>
        </w:rPr>
        <w:t>海</w:t>
      </w:r>
      <w:r>
        <w:rPr>
          <w:b/>
          <w:w w:val="95"/>
          <w:sz w:val="18"/>
          <w:vertAlign w:val="baseline"/>
        </w:rPr>
        <w:t>外</w:t>
      </w:r>
      <w:r>
        <w:rPr>
          <w:b/>
          <w:w w:val="95"/>
          <w:sz w:val="18"/>
          <w:vertAlign w:val="baseline"/>
        </w:rPr>
        <w:t>医疗</w:t>
      </w:r>
      <w:r>
        <w:rPr>
          <w:b/>
          <w:w w:val="95"/>
          <w:sz w:val="18"/>
          <w:vertAlign w:val="baseline"/>
        </w:rPr>
        <w:t>服</w:t>
      </w:r>
      <w:r>
        <w:rPr>
          <w:b/>
          <w:w w:val="95"/>
          <w:sz w:val="18"/>
          <w:vertAlign w:val="baseline"/>
        </w:rPr>
        <w:t>务</w:t>
      </w:r>
      <w:r>
        <w:rPr>
          <w:b/>
          <w:w w:val="95"/>
          <w:sz w:val="18"/>
          <w:vertAlign w:val="baseline"/>
        </w:rPr>
        <w:t>机</w:t>
      </w:r>
      <w:r>
        <w:rPr>
          <w:b/>
          <w:w w:val="95"/>
          <w:sz w:val="18"/>
          <w:vertAlign w:val="baseline"/>
        </w:rPr>
        <w:t>构</w:t>
      </w:r>
      <w:r>
        <w:rPr>
          <w:b/>
          <w:w w:val="95"/>
          <w:sz w:val="18"/>
          <w:vertAlign w:val="baseline"/>
        </w:rPr>
        <w:t>：</w:t>
      </w:r>
      <w:r>
        <w:rPr>
          <w:w w:val="95"/>
          <w:sz w:val="18"/>
          <w:vertAlign w:val="baseline"/>
        </w:rPr>
        <w:t>指</w:t>
      </w:r>
      <w:r>
        <w:rPr>
          <w:w w:val="95"/>
          <w:sz w:val="18"/>
          <w:vertAlign w:val="baseline"/>
        </w:rPr>
        <w:t>由</w:t>
      </w:r>
      <w:r>
        <w:rPr>
          <w:w w:val="95"/>
          <w:sz w:val="18"/>
          <w:vertAlign w:val="baseline"/>
        </w:rPr>
        <w:t>我</w:t>
      </w:r>
      <w:r>
        <w:rPr>
          <w:w w:val="95"/>
          <w:sz w:val="18"/>
          <w:vertAlign w:val="baseline"/>
        </w:rPr>
        <w:t>们</w:t>
      </w:r>
      <w:r>
        <w:rPr>
          <w:w w:val="95"/>
          <w:sz w:val="18"/>
          <w:vertAlign w:val="baseline"/>
        </w:rPr>
        <w:t>授</w:t>
      </w:r>
      <w:r>
        <w:rPr>
          <w:w w:val="95"/>
          <w:sz w:val="18"/>
          <w:vertAlign w:val="baseline"/>
        </w:rPr>
        <w:t>权</w:t>
      </w:r>
      <w:r>
        <w:rPr>
          <w:w w:val="95"/>
          <w:sz w:val="18"/>
          <w:vertAlign w:val="baseline"/>
        </w:rPr>
        <w:t>的</w:t>
      </w:r>
      <w:r>
        <w:rPr>
          <w:w w:val="95"/>
          <w:sz w:val="18"/>
          <w:vertAlign w:val="baseline"/>
        </w:rPr>
        <w:t>，</w:t>
      </w:r>
      <w:r>
        <w:rPr>
          <w:w w:val="95"/>
          <w:sz w:val="18"/>
          <w:vertAlign w:val="baseline"/>
        </w:rPr>
        <w:t>负</w:t>
      </w:r>
      <w:r>
        <w:rPr>
          <w:w w:val="95"/>
          <w:sz w:val="18"/>
          <w:vertAlign w:val="baseline"/>
        </w:rPr>
        <w:t>责</w:t>
      </w:r>
      <w:r>
        <w:rPr>
          <w:w w:val="95"/>
          <w:sz w:val="18"/>
          <w:vertAlign w:val="baseline"/>
        </w:rPr>
        <w:t>向</w:t>
      </w:r>
      <w:r>
        <w:rPr>
          <w:w w:val="95"/>
          <w:sz w:val="18"/>
          <w:vertAlign w:val="baseline"/>
        </w:rPr>
        <w:t>被</w:t>
      </w:r>
      <w:r>
        <w:rPr>
          <w:w w:val="95"/>
          <w:sz w:val="18"/>
          <w:vertAlign w:val="baseline"/>
        </w:rPr>
        <w:t>保</w:t>
      </w:r>
      <w:r>
        <w:rPr>
          <w:w w:val="95"/>
          <w:sz w:val="18"/>
          <w:vertAlign w:val="baseline"/>
        </w:rPr>
        <w:t>险</w:t>
      </w:r>
      <w:r>
        <w:rPr>
          <w:w w:val="95"/>
          <w:sz w:val="18"/>
          <w:vertAlign w:val="baseline"/>
        </w:rPr>
        <w:t>人</w:t>
      </w:r>
      <w:r>
        <w:rPr>
          <w:w w:val="95"/>
          <w:sz w:val="18"/>
          <w:vertAlign w:val="baseline"/>
        </w:rPr>
        <w:t>提</w:t>
      </w:r>
      <w:r>
        <w:rPr>
          <w:w w:val="95"/>
          <w:sz w:val="18"/>
          <w:vertAlign w:val="baseline"/>
        </w:rPr>
        <w:t>供</w:t>
      </w:r>
      <w:r>
        <w:rPr>
          <w:w w:val="95"/>
          <w:sz w:val="18"/>
          <w:vertAlign w:val="baseline"/>
        </w:rPr>
        <w:t>海</w:t>
      </w:r>
      <w:r>
        <w:rPr>
          <w:w w:val="95"/>
          <w:sz w:val="18"/>
          <w:vertAlign w:val="baseline"/>
        </w:rPr>
        <w:t>外</w:t>
      </w:r>
      <w:r>
        <w:rPr>
          <w:w w:val="95"/>
          <w:sz w:val="18"/>
          <w:vertAlign w:val="baseline"/>
        </w:rPr>
        <w:t>医</w:t>
      </w:r>
      <w:r>
        <w:rPr>
          <w:w w:val="95"/>
          <w:sz w:val="18"/>
          <w:vertAlign w:val="baseline"/>
        </w:rPr>
        <w:t>疗</w:t>
      </w:r>
      <w:r>
        <w:rPr>
          <w:w w:val="95"/>
          <w:sz w:val="18"/>
          <w:vertAlign w:val="baseline"/>
        </w:rPr>
        <w:t>服</w:t>
      </w:r>
      <w:r>
        <w:rPr>
          <w:w w:val="95"/>
          <w:sz w:val="18"/>
          <w:vertAlign w:val="baseline"/>
        </w:rPr>
        <w:t>务</w:t>
      </w:r>
      <w:r>
        <w:rPr>
          <w:w w:val="95"/>
          <w:sz w:val="18"/>
          <w:vertAlign w:val="baseline"/>
        </w:rPr>
        <w:t>安</w:t>
      </w:r>
      <w:r>
        <w:rPr>
          <w:w w:val="95"/>
          <w:sz w:val="18"/>
          <w:vertAlign w:val="baseline"/>
        </w:rPr>
        <w:t>排</w:t>
      </w:r>
      <w:r>
        <w:rPr>
          <w:w w:val="95"/>
          <w:sz w:val="18"/>
          <w:vertAlign w:val="baseline"/>
        </w:rPr>
        <w:t>的</w:t>
      </w:r>
      <w:r>
        <w:rPr>
          <w:w w:val="95"/>
          <w:sz w:val="18"/>
          <w:vertAlign w:val="baseline"/>
        </w:rPr>
        <w:t>服</w:t>
      </w:r>
      <w:r>
        <w:rPr>
          <w:w w:val="95"/>
          <w:sz w:val="18"/>
          <w:vertAlign w:val="baseline"/>
        </w:rPr>
        <w:t>务</w:t>
      </w:r>
      <w:r>
        <w:rPr>
          <w:w w:val="95"/>
          <w:sz w:val="18"/>
          <w:vertAlign w:val="baseline"/>
        </w:rPr>
        <w:t>机</w:t>
      </w:r>
      <w:r>
        <w:rPr>
          <w:w w:val="95"/>
          <w:sz w:val="18"/>
          <w:vertAlign w:val="baseline"/>
        </w:rPr>
        <w:t>构</w:t>
      </w:r>
      <w:r>
        <w:rPr>
          <w:w w:val="95"/>
          <w:sz w:val="18"/>
          <w:vertAlign w:val="baseline"/>
        </w:rPr>
        <w:t>，</w:t>
      </w:r>
      <w:r>
        <w:rPr>
          <w:w w:val="95"/>
          <w:sz w:val="18"/>
          <w:vertAlign w:val="baseline"/>
        </w:rPr>
        <w:t>其</w:t>
      </w:r>
      <w:r>
        <w:rPr>
          <w:w w:val="95"/>
          <w:sz w:val="18"/>
          <w:vertAlign w:val="baseline"/>
        </w:rPr>
        <w:t>代</w:t>
      </w:r>
      <w:r>
        <w:rPr>
          <w:w w:val="95"/>
          <w:sz w:val="18"/>
          <w:vertAlign w:val="baseline"/>
        </w:rPr>
        <w:t>表</w:t>
      </w:r>
      <w:r>
        <w:rPr>
          <w:w w:val="95"/>
          <w:sz w:val="18"/>
          <w:vertAlign w:val="baseline"/>
        </w:rPr>
        <w:t>我</w:t>
      </w:r>
      <w:r>
        <w:rPr>
          <w:spacing w:val="-10"/>
          <w:w w:val="95"/>
          <w:sz w:val="18"/>
          <w:vertAlign w:val="baseline"/>
        </w:rPr>
        <w:t>们</w:t>
      </w:r>
    </w:p>
    <w:p>
      <w:pPr>
        <w:spacing w:line="222" w:lineRule="exact" w:before="0"/>
        <w:ind w:left="737" w:right="0" w:firstLine="0"/>
        <w:jc w:val="left"/>
        <w:rPr>
          <w:sz w:val="18"/>
        </w:rPr>
      </w:pPr>
      <w:r>
        <w:rPr>
          <w:spacing w:val="-2"/>
          <w:sz w:val="18"/>
        </w:rPr>
        <w:t>提供服务。</w:t>
      </w:r>
    </w:p>
    <w:p>
      <w:pPr>
        <w:spacing w:line="227" w:lineRule="exact" w:before="0"/>
        <w:ind w:left="737" w:right="0" w:firstLine="0"/>
        <w:jc w:val="left"/>
        <w:rPr>
          <w:sz w:val="18"/>
        </w:rPr>
      </w:pPr>
      <w:r>
        <w:rPr>
          <w:rFonts w:ascii="Times New Roman" w:eastAsia="Times New Roman"/>
          <w:w w:val="95"/>
          <w:sz w:val="18"/>
          <w:vertAlign w:val="superscript"/>
        </w:rPr>
        <w:t>28</w:t>
      </w:r>
      <w:r>
        <w:rPr>
          <w:b/>
          <w:w w:val="95"/>
          <w:sz w:val="18"/>
          <w:vertAlign w:val="baseline"/>
        </w:rPr>
        <w:t>基</w:t>
      </w:r>
      <w:r>
        <w:rPr>
          <w:b/>
          <w:w w:val="95"/>
          <w:sz w:val="18"/>
          <w:vertAlign w:val="baseline"/>
        </w:rPr>
        <w:t>本</w:t>
      </w:r>
      <w:r>
        <w:rPr>
          <w:b/>
          <w:w w:val="95"/>
          <w:sz w:val="18"/>
          <w:vertAlign w:val="baseline"/>
        </w:rPr>
        <w:t>医疗保险</w:t>
      </w:r>
      <w:r>
        <w:rPr>
          <w:w w:val="95"/>
          <w:sz w:val="18"/>
          <w:vertAlign w:val="baseline"/>
        </w:rPr>
        <w:t>：</w:t>
      </w:r>
      <w:r>
        <w:rPr>
          <w:w w:val="95"/>
          <w:sz w:val="18"/>
          <w:vertAlign w:val="baseline"/>
        </w:rPr>
        <w:t>指</w:t>
      </w:r>
      <w:r>
        <w:rPr>
          <w:w w:val="95"/>
          <w:sz w:val="18"/>
          <w:vertAlign w:val="baseline"/>
        </w:rPr>
        <w:t>城</w:t>
      </w:r>
      <w:r>
        <w:rPr>
          <w:w w:val="95"/>
          <w:sz w:val="18"/>
          <w:vertAlign w:val="baseline"/>
        </w:rPr>
        <w:t>镇</w:t>
      </w:r>
      <w:r>
        <w:rPr>
          <w:w w:val="95"/>
          <w:sz w:val="18"/>
          <w:vertAlign w:val="baseline"/>
        </w:rPr>
        <w:t>职</w:t>
      </w:r>
      <w:r>
        <w:rPr>
          <w:w w:val="95"/>
          <w:sz w:val="18"/>
          <w:vertAlign w:val="baseline"/>
        </w:rPr>
        <w:t>工</w:t>
      </w:r>
      <w:r>
        <w:rPr>
          <w:w w:val="95"/>
          <w:sz w:val="18"/>
          <w:vertAlign w:val="baseline"/>
        </w:rPr>
        <w:t>基</w:t>
      </w:r>
      <w:r>
        <w:rPr>
          <w:w w:val="95"/>
          <w:sz w:val="18"/>
          <w:vertAlign w:val="baseline"/>
        </w:rPr>
        <w:t>本</w:t>
      </w:r>
      <w:r>
        <w:rPr>
          <w:w w:val="95"/>
          <w:sz w:val="18"/>
          <w:vertAlign w:val="baseline"/>
        </w:rPr>
        <w:t>医</w:t>
      </w:r>
      <w:r>
        <w:rPr>
          <w:w w:val="95"/>
          <w:sz w:val="18"/>
          <w:vertAlign w:val="baseline"/>
        </w:rPr>
        <w:t>疗</w:t>
      </w:r>
      <w:r>
        <w:rPr>
          <w:w w:val="95"/>
          <w:sz w:val="18"/>
          <w:vertAlign w:val="baseline"/>
        </w:rPr>
        <w:t>保</w:t>
      </w:r>
      <w:r>
        <w:rPr>
          <w:w w:val="95"/>
          <w:sz w:val="18"/>
          <w:vertAlign w:val="baseline"/>
        </w:rPr>
        <w:t>险</w:t>
      </w:r>
      <w:r>
        <w:rPr>
          <w:w w:val="95"/>
          <w:sz w:val="18"/>
          <w:vertAlign w:val="baseline"/>
        </w:rPr>
        <w:t>、</w:t>
      </w:r>
      <w:r>
        <w:rPr>
          <w:w w:val="95"/>
          <w:sz w:val="18"/>
          <w:vertAlign w:val="baseline"/>
        </w:rPr>
        <w:t>城</w:t>
      </w:r>
      <w:r>
        <w:rPr>
          <w:w w:val="95"/>
          <w:sz w:val="18"/>
          <w:vertAlign w:val="baseline"/>
        </w:rPr>
        <w:t>镇</w:t>
      </w:r>
      <w:r>
        <w:rPr>
          <w:w w:val="95"/>
          <w:sz w:val="18"/>
          <w:vertAlign w:val="baseline"/>
        </w:rPr>
        <w:t>居</w:t>
      </w:r>
      <w:r>
        <w:rPr>
          <w:w w:val="95"/>
          <w:sz w:val="18"/>
          <w:vertAlign w:val="baseline"/>
        </w:rPr>
        <w:t>民</w:t>
      </w:r>
      <w:r>
        <w:rPr>
          <w:w w:val="95"/>
          <w:sz w:val="18"/>
          <w:vertAlign w:val="baseline"/>
        </w:rPr>
        <w:t>基</w:t>
      </w:r>
      <w:r>
        <w:rPr>
          <w:w w:val="95"/>
          <w:sz w:val="18"/>
          <w:vertAlign w:val="baseline"/>
        </w:rPr>
        <w:t>本</w:t>
      </w:r>
      <w:r>
        <w:rPr>
          <w:w w:val="95"/>
          <w:sz w:val="18"/>
          <w:vertAlign w:val="baseline"/>
        </w:rPr>
        <w:t>医</w:t>
      </w:r>
      <w:r>
        <w:rPr>
          <w:w w:val="95"/>
          <w:sz w:val="18"/>
          <w:vertAlign w:val="baseline"/>
        </w:rPr>
        <w:t>疗</w:t>
      </w:r>
      <w:r>
        <w:rPr>
          <w:w w:val="95"/>
          <w:sz w:val="18"/>
          <w:vertAlign w:val="baseline"/>
        </w:rPr>
        <w:t>保</w:t>
      </w:r>
      <w:r>
        <w:rPr>
          <w:w w:val="95"/>
          <w:sz w:val="18"/>
          <w:vertAlign w:val="baseline"/>
        </w:rPr>
        <w:t>险</w:t>
      </w:r>
      <w:r>
        <w:rPr>
          <w:w w:val="95"/>
          <w:sz w:val="18"/>
          <w:vertAlign w:val="baseline"/>
        </w:rPr>
        <w:t>、</w:t>
      </w:r>
      <w:r>
        <w:rPr>
          <w:w w:val="95"/>
          <w:sz w:val="18"/>
          <w:vertAlign w:val="baseline"/>
        </w:rPr>
        <w:t>新</w:t>
      </w:r>
      <w:r>
        <w:rPr>
          <w:w w:val="95"/>
          <w:sz w:val="18"/>
          <w:vertAlign w:val="baseline"/>
        </w:rPr>
        <w:t>型</w:t>
      </w:r>
      <w:r>
        <w:rPr>
          <w:w w:val="95"/>
          <w:sz w:val="18"/>
          <w:vertAlign w:val="baseline"/>
        </w:rPr>
        <w:t>农</w:t>
      </w:r>
      <w:r>
        <w:rPr>
          <w:w w:val="95"/>
          <w:sz w:val="18"/>
          <w:vertAlign w:val="baseline"/>
        </w:rPr>
        <w:t>村</w:t>
      </w:r>
      <w:r>
        <w:rPr>
          <w:w w:val="95"/>
          <w:sz w:val="18"/>
          <w:vertAlign w:val="baseline"/>
        </w:rPr>
        <w:t>合</w:t>
      </w:r>
      <w:r>
        <w:rPr>
          <w:w w:val="95"/>
          <w:sz w:val="18"/>
          <w:vertAlign w:val="baseline"/>
        </w:rPr>
        <w:t>作</w:t>
      </w:r>
      <w:r>
        <w:rPr>
          <w:w w:val="95"/>
          <w:sz w:val="18"/>
          <w:vertAlign w:val="baseline"/>
        </w:rPr>
        <w:t>医</w:t>
      </w:r>
      <w:r>
        <w:rPr>
          <w:w w:val="95"/>
          <w:sz w:val="18"/>
          <w:vertAlign w:val="baseline"/>
        </w:rPr>
        <w:t>疗</w:t>
      </w:r>
      <w:r>
        <w:rPr>
          <w:w w:val="95"/>
          <w:sz w:val="18"/>
          <w:vertAlign w:val="baseline"/>
        </w:rPr>
        <w:t>等</w:t>
      </w:r>
      <w:r>
        <w:rPr>
          <w:w w:val="95"/>
          <w:sz w:val="18"/>
          <w:vertAlign w:val="baseline"/>
        </w:rPr>
        <w:t>政</w:t>
      </w:r>
      <w:r>
        <w:rPr>
          <w:w w:val="95"/>
          <w:sz w:val="18"/>
          <w:vertAlign w:val="baseline"/>
        </w:rPr>
        <w:t>府</w:t>
      </w:r>
      <w:r>
        <w:rPr>
          <w:w w:val="95"/>
          <w:sz w:val="18"/>
          <w:vertAlign w:val="baseline"/>
        </w:rPr>
        <w:t>举</w:t>
      </w:r>
      <w:r>
        <w:rPr>
          <w:w w:val="95"/>
          <w:sz w:val="18"/>
          <w:vertAlign w:val="baseline"/>
        </w:rPr>
        <w:t>办</w:t>
      </w:r>
      <w:r>
        <w:rPr>
          <w:w w:val="95"/>
          <w:sz w:val="18"/>
          <w:vertAlign w:val="baseline"/>
        </w:rPr>
        <w:t>的</w:t>
      </w:r>
      <w:r>
        <w:rPr>
          <w:spacing w:val="-10"/>
          <w:w w:val="95"/>
          <w:sz w:val="18"/>
          <w:vertAlign w:val="baseline"/>
        </w:rPr>
        <w:t>基</w:t>
      </w:r>
    </w:p>
    <w:p>
      <w:pPr>
        <w:spacing w:before="4"/>
        <w:ind w:left="737" w:right="0" w:firstLine="0"/>
        <w:jc w:val="left"/>
        <w:rPr>
          <w:sz w:val="18"/>
        </w:rPr>
      </w:pPr>
      <w:r>
        <w:rPr>
          <w:spacing w:val="-2"/>
          <w:sz w:val="18"/>
        </w:rPr>
        <w:t>本医疗保障项目。</w:t>
      </w:r>
    </w:p>
    <w:p>
      <w:pPr>
        <w:spacing w:before="2"/>
        <w:ind w:left="737" w:right="0" w:firstLine="0"/>
        <w:jc w:val="left"/>
        <w:rPr>
          <w:sz w:val="18"/>
        </w:rPr>
      </w:pPr>
      <w:r>
        <w:rPr>
          <w:rFonts w:ascii="Times New Roman" w:eastAsia="Times New Roman"/>
          <w:w w:val="95"/>
          <w:sz w:val="18"/>
          <w:vertAlign w:val="superscript"/>
        </w:rPr>
        <w:t>29</w:t>
      </w:r>
      <w:r>
        <w:rPr>
          <w:b/>
          <w:w w:val="95"/>
          <w:sz w:val="18"/>
          <w:vertAlign w:val="baseline"/>
        </w:rPr>
        <w:t>费</w:t>
      </w:r>
      <w:r>
        <w:rPr>
          <w:b/>
          <w:w w:val="95"/>
          <w:sz w:val="18"/>
          <w:vertAlign w:val="baseline"/>
        </w:rPr>
        <w:t>用</w:t>
      </w:r>
      <w:r>
        <w:rPr>
          <w:b/>
          <w:w w:val="95"/>
          <w:sz w:val="18"/>
          <w:vertAlign w:val="baseline"/>
        </w:rPr>
        <w:t>补偿</w:t>
      </w:r>
      <w:r>
        <w:rPr>
          <w:b/>
          <w:w w:val="95"/>
          <w:sz w:val="18"/>
          <w:vertAlign w:val="baseline"/>
        </w:rPr>
        <w:t>型</w:t>
      </w:r>
      <w:r>
        <w:rPr>
          <w:b/>
          <w:w w:val="95"/>
          <w:sz w:val="18"/>
          <w:vertAlign w:val="baseline"/>
        </w:rPr>
        <w:t>医</w:t>
      </w:r>
      <w:r>
        <w:rPr>
          <w:b/>
          <w:w w:val="95"/>
          <w:sz w:val="18"/>
          <w:vertAlign w:val="baseline"/>
        </w:rPr>
        <w:t>疗</w:t>
      </w:r>
      <w:r>
        <w:rPr>
          <w:b/>
          <w:w w:val="95"/>
          <w:sz w:val="18"/>
          <w:vertAlign w:val="baseline"/>
        </w:rPr>
        <w:t>保</w:t>
      </w:r>
      <w:r>
        <w:rPr>
          <w:b/>
          <w:w w:val="95"/>
          <w:sz w:val="18"/>
          <w:vertAlign w:val="baseline"/>
        </w:rPr>
        <w:t>险：</w:t>
      </w:r>
      <w:r>
        <w:rPr>
          <w:w w:val="95"/>
          <w:sz w:val="18"/>
          <w:vertAlign w:val="baseline"/>
        </w:rPr>
        <w:t>指根</w:t>
      </w:r>
      <w:r>
        <w:rPr>
          <w:w w:val="95"/>
          <w:sz w:val="18"/>
          <w:vertAlign w:val="baseline"/>
        </w:rPr>
        <w:t>据</w:t>
      </w:r>
      <w:r>
        <w:rPr>
          <w:w w:val="95"/>
          <w:sz w:val="18"/>
          <w:vertAlign w:val="baseline"/>
        </w:rPr>
        <w:t>被</w:t>
      </w:r>
      <w:r>
        <w:rPr>
          <w:w w:val="95"/>
          <w:sz w:val="18"/>
          <w:vertAlign w:val="baseline"/>
        </w:rPr>
        <w:t>保</w:t>
      </w:r>
      <w:r>
        <w:rPr>
          <w:w w:val="95"/>
          <w:sz w:val="18"/>
          <w:vertAlign w:val="baseline"/>
        </w:rPr>
        <w:t>险</w:t>
      </w:r>
      <w:r>
        <w:rPr>
          <w:w w:val="95"/>
          <w:sz w:val="18"/>
          <w:vertAlign w:val="baseline"/>
        </w:rPr>
        <w:t>人</w:t>
      </w:r>
      <w:r>
        <w:rPr>
          <w:w w:val="95"/>
          <w:sz w:val="18"/>
          <w:vertAlign w:val="baseline"/>
        </w:rPr>
        <w:t>实</w:t>
      </w:r>
      <w:r>
        <w:rPr>
          <w:w w:val="95"/>
          <w:sz w:val="18"/>
          <w:vertAlign w:val="baseline"/>
        </w:rPr>
        <w:t>际</w:t>
      </w:r>
      <w:r>
        <w:rPr>
          <w:w w:val="95"/>
          <w:sz w:val="18"/>
          <w:vertAlign w:val="baseline"/>
        </w:rPr>
        <w:t>发</w:t>
      </w:r>
      <w:r>
        <w:rPr>
          <w:w w:val="95"/>
          <w:sz w:val="18"/>
          <w:vertAlign w:val="baseline"/>
        </w:rPr>
        <w:t>生</w:t>
      </w:r>
      <w:r>
        <w:rPr>
          <w:w w:val="95"/>
          <w:sz w:val="18"/>
          <w:vertAlign w:val="baseline"/>
        </w:rPr>
        <w:t>的</w:t>
      </w:r>
      <w:r>
        <w:rPr>
          <w:w w:val="95"/>
          <w:sz w:val="18"/>
          <w:vertAlign w:val="baseline"/>
        </w:rPr>
        <w:t>医</w:t>
      </w:r>
      <w:r>
        <w:rPr>
          <w:w w:val="95"/>
          <w:sz w:val="18"/>
          <w:vertAlign w:val="baseline"/>
        </w:rPr>
        <w:t>疗</w:t>
      </w:r>
      <w:r>
        <w:rPr>
          <w:w w:val="95"/>
          <w:sz w:val="18"/>
          <w:vertAlign w:val="baseline"/>
        </w:rPr>
        <w:t>费</w:t>
      </w:r>
      <w:r>
        <w:rPr>
          <w:w w:val="95"/>
          <w:sz w:val="18"/>
          <w:vertAlign w:val="baseline"/>
        </w:rPr>
        <w:t>用</w:t>
      </w:r>
      <w:r>
        <w:rPr>
          <w:w w:val="95"/>
          <w:sz w:val="18"/>
          <w:vertAlign w:val="baseline"/>
        </w:rPr>
        <w:t>支</w:t>
      </w:r>
      <w:r>
        <w:rPr>
          <w:w w:val="95"/>
          <w:sz w:val="18"/>
          <w:vertAlign w:val="baseline"/>
        </w:rPr>
        <w:t>出</w:t>
      </w:r>
      <w:r>
        <w:rPr>
          <w:w w:val="95"/>
          <w:sz w:val="18"/>
          <w:vertAlign w:val="baseline"/>
        </w:rPr>
        <w:t>，</w:t>
      </w:r>
      <w:r>
        <w:rPr>
          <w:w w:val="95"/>
          <w:sz w:val="18"/>
          <w:vertAlign w:val="baseline"/>
        </w:rPr>
        <w:t>按</w:t>
      </w:r>
      <w:r>
        <w:rPr>
          <w:w w:val="95"/>
          <w:sz w:val="18"/>
          <w:vertAlign w:val="baseline"/>
        </w:rPr>
        <w:t>照</w:t>
      </w:r>
      <w:r>
        <w:rPr>
          <w:w w:val="95"/>
          <w:sz w:val="18"/>
          <w:vertAlign w:val="baseline"/>
        </w:rPr>
        <w:t>约</w:t>
      </w:r>
      <w:r>
        <w:rPr>
          <w:w w:val="95"/>
          <w:sz w:val="18"/>
          <w:vertAlign w:val="baseline"/>
        </w:rPr>
        <w:t>定</w:t>
      </w:r>
      <w:r>
        <w:rPr>
          <w:w w:val="95"/>
          <w:sz w:val="18"/>
          <w:vertAlign w:val="baseline"/>
        </w:rPr>
        <w:t>的</w:t>
      </w:r>
      <w:r>
        <w:rPr>
          <w:w w:val="95"/>
          <w:sz w:val="18"/>
          <w:vertAlign w:val="baseline"/>
        </w:rPr>
        <w:t>标</w:t>
      </w:r>
      <w:r>
        <w:rPr>
          <w:w w:val="95"/>
          <w:sz w:val="18"/>
          <w:vertAlign w:val="baseline"/>
        </w:rPr>
        <w:t>准</w:t>
      </w:r>
      <w:r>
        <w:rPr>
          <w:w w:val="95"/>
          <w:sz w:val="18"/>
          <w:vertAlign w:val="baseline"/>
        </w:rPr>
        <w:t>确</w:t>
      </w:r>
      <w:r>
        <w:rPr>
          <w:w w:val="95"/>
          <w:sz w:val="18"/>
          <w:vertAlign w:val="baseline"/>
        </w:rPr>
        <w:t>定</w:t>
      </w:r>
      <w:r>
        <w:rPr>
          <w:w w:val="95"/>
          <w:sz w:val="18"/>
          <w:vertAlign w:val="baseline"/>
        </w:rPr>
        <w:t>保</w:t>
      </w:r>
      <w:r>
        <w:rPr>
          <w:w w:val="95"/>
          <w:sz w:val="18"/>
          <w:vertAlign w:val="baseline"/>
        </w:rPr>
        <w:t>险</w:t>
      </w:r>
      <w:r>
        <w:rPr>
          <w:w w:val="95"/>
          <w:sz w:val="18"/>
          <w:vertAlign w:val="baseline"/>
        </w:rPr>
        <w:t>金</w:t>
      </w:r>
      <w:r>
        <w:rPr>
          <w:w w:val="95"/>
          <w:sz w:val="18"/>
          <w:vertAlign w:val="baseline"/>
        </w:rPr>
        <w:t>数</w:t>
      </w:r>
      <w:r>
        <w:rPr>
          <w:w w:val="95"/>
          <w:sz w:val="18"/>
          <w:vertAlign w:val="baseline"/>
        </w:rPr>
        <w:t>额</w:t>
      </w:r>
      <w:r>
        <w:rPr>
          <w:w w:val="95"/>
          <w:sz w:val="18"/>
          <w:vertAlign w:val="baseline"/>
        </w:rPr>
        <w:t>的</w:t>
      </w:r>
      <w:r>
        <w:rPr>
          <w:spacing w:val="-10"/>
          <w:w w:val="95"/>
          <w:sz w:val="18"/>
          <w:vertAlign w:val="baseline"/>
        </w:rPr>
        <w:t>医</w:t>
      </w:r>
    </w:p>
    <w:p>
      <w:pPr>
        <w:spacing w:before="3"/>
        <w:ind w:left="737" w:right="0" w:firstLine="0"/>
        <w:jc w:val="left"/>
        <w:rPr>
          <w:sz w:val="18"/>
        </w:rPr>
      </w:pPr>
      <w:r>
        <w:rPr>
          <w:spacing w:val="-3"/>
          <w:sz w:val="18"/>
        </w:rPr>
        <w:t>疗保险。</w:t>
      </w:r>
    </w:p>
    <w:p>
      <w:pPr>
        <w:spacing w:before="2"/>
        <w:ind w:left="737" w:right="0" w:firstLine="0"/>
        <w:jc w:val="left"/>
        <w:rPr>
          <w:sz w:val="18"/>
        </w:rPr>
      </w:pPr>
      <w:r>
        <w:rPr>
          <w:rFonts w:ascii="Times New Roman" w:eastAsia="Times New Roman"/>
          <w:sz w:val="18"/>
          <w:vertAlign w:val="superscript"/>
        </w:rPr>
        <w:t>30</w:t>
      </w:r>
      <w:r>
        <w:rPr>
          <w:rFonts w:ascii="Times New Roman" w:eastAsia="Times New Roman"/>
          <w:spacing w:val="37"/>
          <w:sz w:val="18"/>
          <w:vertAlign w:val="baseline"/>
        </w:rPr>
        <w:t> </w:t>
      </w:r>
      <w:r>
        <w:rPr>
          <w:b/>
          <w:sz w:val="18"/>
          <w:vertAlign w:val="baseline"/>
        </w:rPr>
        <w:t>保</w:t>
      </w:r>
      <w:r>
        <w:rPr>
          <w:b/>
          <w:sz w:val="18"/>
          <w:vertAlign w:val="baseline"/>
        </w:rPr>
        <w:t>险</w:t>
      </w:r>
      <w:r>
        <w:rPr>
          <w:b/>
          <w:sz w:val="18"/>
          <w:vertAlign w:val="baseline"/>
        </w:rPr>
        <w:t>事</w:t>
      </w:r>
      <w:r>
        <w:rPr>
          <w:b/>
          <w:sz w:val="18"/>
          <w:vertAlign w:val="baseline"/>
        </w:rPr>
        <w:t>故：</w:t>
      </w:r>
      <w:r>
        <w:rPr>
          <w:spacing w:val="-1"/>
          <w:sz w:val="18"/>
          <w:vertAlign w:val="baseline"/>
        </w:rPr>
        <w:t>指保险合同约定的保险责任范围内的事故。</w:t>
      </w:r>
    </w:p>
    <w:p>
      <w:pPr>
        <w:spacing w:after="0"/>
        <w:jc w:val="left"/>
        <w:rPr>
          <w:sz w:val="18"/>
        </w:rPr>
        <w:sectPr>
          <w:pgSz w:w="11910" w:h="16840"/>
          <w:pgMar w:header="0" w:footer="1168" w:top="1400" w:bottom="1360" w:left="1060" w:right="1060"/>
        </w:sectPr>
      </w:pPr>
    </w:p>
    <w:p>
      <w:pPr>
        <w:pStyle w:val="BodyText"/>
        <w:spacing w:before="50"/>
        <w:jc w:val="both"/>
        <w:rPr>
          <w:rFonts w:ascii="黑体" w:eastAsia="黑体"/>
        </w:rPr>
      </w:pPr>
      <w:r>
        <w:rPr/>
        <w:t>第六条</w:t>
      </w:r>
      <w:r>
        <w:rPr>
          <w:spacing w:val="52"/>
          <w:w w:val="150"/>
        </w:rPr>
        <w:t>   </w:t>
      </w:r>
      <w:r>
        <w:rPr>
          <w:rFonts w:ascii="黑体" w:eastAsia="黑体"/>
          <w:spacing w:val="-4"/>
        </w:rPr>
        <w:t>免赔额</w:t>
      </w:r>
    </w:p>
    <w:p>
      <w:pPr>
        <w:pStyle w:val="BodyText"/>
        <w:spacing w:line="278" w:lineRule="auto" w:before="43"/>
        <w:ind w:right="731"/>
        <w:jc w:val="both"/>
        <w:rPr>
          <w:rFonts w:ascii="黑体" w:eastAsia="黑体"/>
        </w:rPr>
      </w:pPr>
      <w:r>
        <w:rPr>
          <w:spacing w:val="-4"/>
        </w:rPr>
        <w:t>本合同中所指免赔额均指年免赔额，指在本合同保险期间内，应由被保险人自行承担，本合</w:t>
      </w:r>
      <w:r>
        <w:rPr>
          <w:spacing w:val="-4"/>
        </w:rPr>
        <w:t>同不予赔付的部分。被保险人从其他途径已获得的医疗费用补偿可用于抵扣免赔额，</w:t>
      </w:r>
      <w:r>
        <w:rPr>
          <w:rFonts w:ascii="黑体" w:eastAsia="黑体"/>
          <w:color w:val="000000"/>
          <w:spacing w:val="-4"/>
          <w:shd w:fill="D9D9D9" w:color="auto" w:val="clear"/>
        </w:rPr>
        <w:t>但通过</w:t>
      </w:r>
      <w:r>
        <w:rPr>
          <w:rFonts w:ascii="黑体" w:eastAsia="黑体"/>
          <w:color w:val="000000"/>
          <w:spacing w:val="-2"/>
          <w:shd w:fill="D9D9D9" w:color="auto" w:val="clear"/>
        </w:rPr>
        <w:t>基本医疗保险和公费医疗保障获得的补偿，不可用于抵扣免赔额。</w:t>
      </w:r>
    </w:p>
    <w:p>
      <w:pPr>
        <w:pStyle w:val="BodyText"/>
        <w:spacing w:line="269" w:lineRule="exact"/>
      </w:pPr>
      <w:r>
        <w:rPr>
          <w:rFonts w:ascii="黑体" w:eastAsia="黑体"/>
          <w:color w:val="000000"/>
          <w:spacing w:val="-3"/>
          <w:shd w:fill="D9D9D9" w:color="auto" w:val="clear"/>
        </w:rPr>
        <w:t>本合同中一般医疗保险金责任的免赔额为 </w:t>
      </w:r>
      <w:r>
        <w:rPr>
          <w:rFonts w:ascii="Times New Roman" w:eastAsia="Times New Roman"/>
          <w:color w:val="000000"/>
          <w:shd w:fill="D9D9D9" w:color="auto" w:val="clear"/>
        </w:rPr>
        <w:t>1</w:t>
      </w:r>
      <w:r>
        <w:rPr>
          <w:rFonts w:ascii="Times New Roman" w:eastAsia="Times New Roman"/>
          <w:color w:val="000000"/>
          <w:spacing w:val="-2"/>
          <w:shd w:fill="D9D9D9" w:color="auto" w:val="clear"/>
        </w:rPr>
        <w:t> </w:t>
      </w:r>
      <w:r>
        <w:rPr>
          <w:rFonts w:ascii="黑体" w:eastAsia="黑体"/>
          <w:color w:val="000000"/>
          <w:shd w:fill="D9D9D9" w:color="auto" w:val="clear"/>
        </w:rPr>
        <w:t>万元</w:t>
      </w:r>
      <w:r>
        <w:rPr>
          <w:color w:val="000000"/>
          <w:spacing w:val="-1"/>
        </w:rPr>
        <w:t>，其他保险金责任均无免赔额。</w:t>
      </w:r>
    </w:p>
    <w:p>
      <w:pPr>
        <w:pStyle w:val="BodyText"/>
        <w:spacing w:line="278" w:lineRule="auto" w:before="43"/>
        <w:ind w:right="731"/>
        <w:jc w:val="both"/>
      </w:pPr>
      <w:r>
        <w:rPr>
          <w:spacing w:val="-11"/>
        </w:rPr>
        <w:t>在本合同有效期内，若被保险人因意外伤害或在等待期后因意外伤害以外的原因首次发病且</w:t>
      </w:r>
      <w:r>
        <w:rPr>
          <w:spacing w:val="-5"/>
        </w:rPr>
        <w:t>经我们认可的中国大陆地区医院的专科医生确诊初次罹患本合同所定义的重大疾病，并在我</w:t>
      </w:r>
      <w:r>
        <w:rPr>
          <w:spacing w:val="-7"/>
        </w:rPr>
        <w:t>们认可的中国大陆地区医院进行治疗的，我们先按本合同第四条第一款的约定给付一般医疗</w:t>
      </w:r>
      <w:r>
        <w:rPr>
          <w:spacing w:val="-4"/>
        </w:rPr>
        <w:t>保险金时，不再扣除免赔额。自确诊重大疾病之日起，我们就当个保险期间内的医疗费用给</w:t>
      </w:r>
      <w:r>
        <w:rPr>
          <w:spacing w:val="-2"/>
        </w:rPr>
        <w:t>付一般医疗保险金时，也不再扣除免赔额。</w:t>
      </w:r>
    </w:p>
    <w:p>
      <w:pPr>
        <w:pStyle w:val="BodyText"/>
        <w:spacing w:before="4"/>
        <w:ind w:left="0"/>
        <w:rPr>
          <w:sz w:val="24"/>
        </w:rPr>
      </w:pPr>
    </w:p>
    <w:p>
      <w:pPr>
        <w:pStyle w:val="BodyText"/>
        <w:tabs>
          <w:tab w:pos="1997" w:val="left" w:leader="none"/>
        </w:tabs>
        <w:rPr>
          <w:rFonts w:ascii="黑体" w:eastAsia="黑体"/>
        </w:rPr>
      </w:pPr>
      <w:r>
        <w:rPr/>
        <w:t>第七</w:t>
      </w:r>
      <w:r>
        <w:rPr>
          <w:spacing w:val="-10"/>
        </w:rPr>
        <w:t>条</w:t>
      </w:r>
      <w:r>
        <w:rPr/>
        <w:tab/>
      </w:r>
      <w:r>
        <w:rPr>
          <w:rFonts w:ascii="黑体" w:eastAsia="黑体"/>
        </w:rPr>
        <w:t>责任免</w:t>
      </w:r>
      <w:r>
        <w:rPr>
          <w:rFonts w:ascii="黑体" w:eastAsia="黑体"/>
          <w:spacing w:val="-10"/>
        </w:rPr>
        <w:t>除</w:t>
      </w:r>
    </w:p>
    <w:p>
      <w:pPr>
        <w:pStyle w:val="BodyText"/>
        <w:spacing w:line="278" w:lineRule="auto" w:before="43"/>
        <w:ind w:right="522"/>
        <w:rPr>
          <w:rFonts w:ascii="黑体" w:eastAsia="黑体"/>
        </w:rPr>
      </w:pPr>
      <w:r>
        <w:rPr>
          <w:rFonts w:ascii="黑体" w:eastAsia="黑体"/>
          <w:color w:val="000000"/>
          <w:spacing w:val="-6"/>
          <w:shd w:fill="D9D9D9" w:color="auto" w:val="clear"/>
        </w:rPr>
        <w:t>因下列情形之一而发生保险事故或导致医疗费用支出的，我们不承担给付各项保险金的责任：</w:t>
      </w:r>
      <w:r>
        <w:rPr>
          <w:rFonts w:ascii="黑体" w:eastAsia="黑体"/>
          <w:color w:val="000000"/>
          <w:spacing w:val="-2"/>
        </w:rPr>
        <w:t>一、</w:t>
      </w:r>
      <w:r>
        <w:rPr>
          <w:rFonts w:ascii="黑体" w:eastAsia="黑体"/>
          <w:color w:val="000000"/>
          <w:spacing w:val="-2"/>
          <w:shd w:fill="D9D9D9" w:color="auto" w:val="clear"/>
        </w:rPr>
        <w:t>投保人对被保险人的故意杀害、故意伤害；</w:t>
      </w:r>
    </w:p>
    <w:p>
      <w:pPr>
        <w:spacing w:line="278" w:lineRule="auto" w:before="0"/>
        <w:ind w:left="737" w:right="899" w:firstLine="0"/>
        <w:jc w:val="left"/>
        <w:rPr>
          <w:rFonts w:ascii="黑体" w:eastAsia="黑体"/>
          <w:sz w:val="21"/>
        </w:rPr>
      </w:pPr>
      <w:r>
        <w:rPr>
          <w:rFonts w:ascii="黑体" w:eastAsia="黑体"/>
          <w:spacing w:val="-2"/>
          <w:sz w:val="21"/>
        </w:rPr>
        <w:t>二、</w:t>
      </w:r>
      <w:r>
        <w:rPr>
          <w:rFonts w:ascii="黑体" w:eastAsia="黑体"/>
          <w:color w:val="000000"/>
          <w:spacing w:val="-2"/>
          <w:sz w:val="21"/>
          <w:shd w:fill="D9D9D9" w:color="auto" w:val="clear"/>
        </w:rPr>
        <w:t>被保险人</w:t>
      </w:r>
      <w:r>
        <w:rPr>
          <w:rFonts w:ascii="黑体" w:eastAsia="黑体" w:hint="eastAsia"/>
          <w:b/>
          <w:color w:val="000000"/>
          <w:spacing w:val="-2"/>
          <w:sz w:val="21"/>
          <w:shd w:fill="D9D9D9" w:color="auto" w:val="clear"/>
        </w:rPr>
        <w:t>醉</w:t>
      </w:r>
      <w:r>
        <w:rPr>
          <w:rFonts w:ascii="黑体" w:eastAsia="黑体" w:hint="eastAsia"/>
          <w:b/>
          <w:color w:val="000000"/>
          <w:spacing w:val="-2"/>
          <w:sz w:val="21"/>
          <w:shd w:fill="D9D9D9" w:color="auto" w:val="clear"/>
        </w:rPr>
        <w:t>酒</w:t>
      </w:r>
      <w:r>
        <w:rPr>
          <w:rFonts w:ascii="Times New Roman" w:eastAsia="Times New Roman"/>
          <w:b/>
          <w:color w:val="000000"/>
          <w:spacing w:val="-2"/>
          <w:sz w:val="21"/>
          <w:shd w:fill="D9D9D9" w:color="auto" w:val="clear"/>
          <w:vertAlign w:val="superscript"/>
        </w:rPr>
        <w:t>31</w:t>
      </w:r>
      <w:r>
        <w:rPr>
          <w:rFonts w:ascii="黑体" w:eastAsia="黑体"/>
          <w:color w:val="000000"/>
          <w:spacing w:val="-2"/>
          <w:sz w:val="21"/>
          <w:shd w:fill="D9D9D9" w:color="auto" w:val="clear"/>
          <w:vertAlign w:val="baseline"/>
        </w:rPr>
        <w:t>、斗殴、故意自伤、故意犯罪或者抗拒依法采取的刑事强制措施；</w:t>
      </w:r>
      <w:r>
        <w:rPr>
          <w:rFonts w:ascii="黑体" w:eastAsia="黑体"/>
          <w:color w:val="000000"/>
          <w:spacing w:val="80"/>
          <w:sz w:val="21"/>
          <w:vertAlign w:val="baseline"/>
        </w:rPr>
        <w:t> </w:t>
      </w:r>
      <w:r>
        <w:rPr>
          <w:rFonts w:ascii="黑体" w:eastAsia="黑体"/>
          <w:color w:val="000000"/>
          <w:spacing w:val="-2"/>
          <w:sz w:val="21"/>
          <w:vertAlign w:val="baseline"/>
        </w:rPr>
        <w:t>三、</w:t>
      </w:r>
      <w:r>
        <w:rPr>
          <w:rFonts w:ascii="黑体" w:eastAsia="黑体"/>
          <w:color w:val="000000"/>
          <w:spacing w:val="-2"/>
          <w:sz w:val="21"/>
          <w:shd w:fill="D9D9D9" w:color="auto" w:val="clear"/>
          <w:vertAlign w:val="baseline"/>
        </w:rPr>
        <w:t>被保险人</w:t>
      </w:r>
      <w:r>
        <w:rPr>
          <w:rFonts w:ascii="黑体" w:eastAsia="黑体" w:hint="eastAsia"/>
          <w:b/>
          <w:color w:val="000000"/>
          <w:spacing w:val="-2"/>
          <w:sz w:val="21"/>
          <w:shd w:fill="D9D9D9" w:color="auto" w:val="clear"/>
          <w:vertAlign w:val="baseline"/>
        </w:rPr>
        <w:t>酒</w:t>
      </w:r>
      <w:r>
        <w:rPr>
          <w:rFonts w:ascii="黑体" w:eastAsia="黑体" w:hint="eastAsia"/>
          <w:b/>
          <w:color w:val="000000"/>
          <w:spacing w:val="-2"/>
          <w:sz w:val="21"/>
          <w:shd w:fill="D9D9D9" w:color="auto" w:val="clear"/>
          <w:vertAlign w:val="baseline"/>
        </w:rPr>
        <w:t>后</w:t>
      </w:r>
      <w:r>
        <w:rPr>
          <w:rFonts w:ascii="黑体" w:eastAsia="黑体" w:hint="eastAsia"/>
          <w:b/>
          <w:color w:val="000000"/>
          <w:spacing w:val="-2"/>
          <w:sz w:val="21"/>
          <w:shd w:fill="D9D9D9" w:color="auto" w:val="clear"/>
          <w:vertAlign w:val="baseline"/>
        </w:rPr>
        <w:t>驾</w:t>
      </w:r>
      <w:r>
        <w:rPr>
          <w:rFonts w:ascii="黑体" w:eastAsia="黑体" w:hint="eastAsia"/>
          <w:b/>
          <w:color w:val="000000"/>
          <w:spacing w:val="-2"/>
          <w:sz w:val="21"/>
          <w:shd w:fill="D9D9D9" w:color="auto" w:val="clear"/>
          <w:vertAlign w:val="baseline"/>
        </w:rPr>
        <w:t>驶</w:t>
      </w:r>
      <w:r>
        <w:rPr>
          <w:rFonts w:ascii="Times New Roman" w:eastAsia="Times New Roman"/>
          <w:b/>
          <w:color w:val="000000"/>
          <w:spacing w:val="-2"/>
          <w:sz w:val="21"/>
          <w:shd w:fill="D9D9D9" w:color="auto" w:val="clear"/>
          <w:vertAlign w:val="superscript"/>
        </w:rPr>
        <w:t>32</w:t>
      </w:r>
      <w:r>
        <w:rPr>
          <w:rFonts w:ascii="黑体" w:eastAsia="黑体"/>
          <w:color w:val="000000"/>
          <w:spacing w:val="-2"/>
          <w:sz w:val="21"/>
          <w:shd w:fill="D9D9D9" w:color="auto" w:val="clear"/>
          <w:vertAlign w:val="baseline"/>
        </w:rPr>
        <w:t>、</w:t>
      </w:r>
      <w:r>
        <w:rPr>
          <w:rFonts w:ascii="黑体" w:eastAsia="黑体" w:hint="eastAsia"/>
          <w:b/>
          <w:color w:val="000000"/>
          <w:spacing w:val="-2"/>
          <w:sz w:val="21"/>
          <w:shd w:fill="D9D9D9" w:color="auto" w:val="clear"/>
          <w:vertAlign w:val="baseline"/>
        </w:rPr>
        <w:t>无</w:t>
      </w:r>
      <w:r>
        <w:rPr>
          <w:rFonts w:ascii="黑体" w:eastAsia="黑体" w:hint="eastAsia"/>
          <w:b/>
          <w:color w:val="000000"/>
          <w:spacing w:val="-2"/>
          <w:sz w:val="21"/>
          <w:shd w:fill="D9D9D9" w:color="auto" w:val="clear"/>
          <w:vertAlign w:val="baseline"/>
        </w:rPr>
        <w:t>合</w:t>
      </w:r>
      <w:r>
        <w:rPr>
          <w:rFonts w:ascii="黑体" w:eastAsia="黑体" w:hint="eastAsia"/>
          <w:b/>
          <w:color w:val="000000"/>
          <w:spacing w:val="-2"/>
          <w:sz w:val="21"/>
          <w:shd w:fill="D9D9D9" w:color="auto" w:val="clear"/>
          <w:vertAlign w:val="baseline"/>
        </w:rPr>
        <w:t>法</w:t>
      </w:r>
      <w:r>
        <w:rPr>
          <w:rFonts w:ascii="黑体" w:eastAsia="黑体" w:hint="eastAsia"/>
          <w:b/>
          <w:color w:val="000000"/>
          <w:spacing w:val="-2"/>
          <w:sz w:val="21"/>
          <w:shd w:fill="D9D9D9" w:color="auto" w:val="clear"/>
          <w:vertAlign w:val="baseline"/>
        </w:rPr>
        <w:t>有</w:t>
      </w:r>
      <w:r>
        <w:rPr>
          <w:rFonts w:ascii="黑体" w:eastAsia="黑体" w:hint="eastAsia"/>
          <w:b/>
          <w:color w:val="000000"/>
          <w:spacing w:val="-2"/>
          <w:sz w:val="21"/>
          <w:shd w:fill="D9D9D9" w:color="auto" w:val="clear"/>
          <w:vertAlign w:val="baseline"/>
        </w:rPr>
        <w:t>效</w:t>
      </w:r>
      <w:r>
        <w:rPr>
          <w:rFonts w:ascii="黑体" w:eastAsia="黑体" w:hint="eastAsia"/>
          <w:b/>
          <w:color w:val="000000"/>
          <w:spacing w:val="-2"/>
          <w:sz w:val="21"/>
          <w:shd w:fill="D9D9D9" w:color="auto" w:val="clear"/>
          <w:vertAlign w:val="baseline"/>
        </w:rPr>
        <w:t>驾</w:t>
      </w:r>
      <w:r>
        <w:rPr>
          <w:rFonts w:ascii="黑体" w:eastAsia="黑体" w:hint="eastAsia"/>
          <w:b/>
          <w:color w:val="000000"/>
          <w:spacing w:val="-2"/>
          <w:sz w:val="21"/>
          <w:shd w:fill="D9D9D9" w:color="auto" w:val="clear"/>
          <w:vertAlign w:val="baseline"/>
        </w:rPr>
        <w:t>驶</w:t>
      </w:r>
      <w:r>
        <w:rPr>
          <w:rFonts w:ascii="黑体" w:eastAsia="黑体" w:hint="eastAsia"/>
          <w:b/>
          <w:color w:val="000000"/>
          <w:spacing w:val="-2"/>
          <w:sz w:val="21"/>
          <w:shd w:fill="D9D9D9" w:color="auto" w:val="clear"/>
          <w:vertAlign w:val="baseline"/>
        </w:rPr>
        <w:t>证</w:t>
      </w:r>
      <w:r>
        <w:rPr>
          <w:rFonts w:ascii="黑体" w:eastAsia="黑体" w:hint="eastAsia"/>
          <w:b/>
          <w:color w:val="000000"/>
          <w:spacing w:val="-2"/>
          <w:sz w:val="21"/>
          <w:shd w:fill="D9D9D9" w:color="auto" w:val="clear"/>
          <w:vertAlign w:val="baseline"/>
        </w:rPr>
        <w:t>驾</w:t>
      </w:r>
      <w:r>
        <w:rPr>
          <w:rFonts w:ascii="黑体" w:eastAsia="黑体" w:hint="eastAsia"/>
          <w:b/>
          <w:color w:val="000000"/>
          <w:spacing w:val="-2"/>
          <w:sz w:val="21"/>
          <w:shd w:fill="D9D9D9" w:color="auto" w:val="clear"/>
          <w:vertAlign w:val="baseline"/>
        </w:rPr>
        <w:t>驶</w:t>
      </w:r>
      <w:r>
        <w:rPr>
          <w:rFonts w:ascii="Times New Roman" w:eastAsia="Times New Roman"/>
          <w:b/>
          <w:color w:val="000000"/>
          <w:spacing w:val="-2"/>
          <w:sz w:val="21"/>
          <w:shd w:fill="D9D9D9" w:color="auto" w:val="clear"/>
          <w:vertAlign w:val="superscript"/>
        </w:rPr>
        <w:t>33</w:t>
      </w:r>
      <w:r>
        <w:rPr>
          <w:rFonts w:ascii="黑体" w:eastAsia="黑体"/>
          <w:color w:val="000000"/>
          <w:spacing w:val="-2"/>
          <w:sz w:val="21"/>
          <w:shd w:fill="D9D9D9" w:color="auto" w:val="clear"/>
          <w:vertAlign w:val="baseline"/>
        </w:rPr>
        <w:t>，或驾驶</w:t>
      </w:r>
      <w:r>
        <w:rPr>
          <w:rFonts w:ascii="黑体" w:eastAsia="黑体" w:hint="eastAsia"/>
          <w:b/>
          <w:color w:val="000000"/>
          <w:spacing w:val="-2"/>
          <w:sz w:val="21"/>
          <w:shd w:fill="D9D9D9" w:color="auto" w:val="clear"/>
          <w:vertAlign w:val="baseline"/>
        </w:rPr>
        <w:t>无有</w:t>
      </w:r>
      <w:r>
        <w:rPr>
          <w:rFonts w:ascii="黑体" w:eastAsia="黑体" w:hint="eastAsia"/>
          <w:b/>
          <w:color w:val="000000"/>
          <w:spacing w:val="-2"/>
          <w:sz w:val="21"/>
          <w:shd w:fill="D9D9D9" w:color="auto" w:val="clear"/>
          <w:vertAlign w:val="baseline"/>
        </w:rPr>
        <w:t>效</w:t>
      </w:r>
      <w:r>
        <w:rPr>
          <w:rFonts w:ascii="黑体" w:eastAsia="黑体" w:hint="eastAsia"/>
          <w:b/>
          <w:color w:val="000000"/>
          <w:spacing w:val="-2"/>
          <w:sz w:val="21"/>
          <w:shd w:fill="D9D9D9" w:color="auto" w:val="clear"/>
          <w:vertAlign w:val="baseline"/>
        </w:rPr>
        <w:t>行</w:t>
      </w:r>
      <w:r>
        <w:rPr>
          <w:rFonts w:ascii="黑体" w:eastAsia="黑体" w:hint="eastAsia"/>
          <w:b/>
          <w:color w:val="000000"/>
          <w:spacing w:val="-2"/>
          <w:sz w:val="21"/>
          <w:shd w:fill="D9D9D9" w:color="auto" w:val="clear"/>
          <w:vertAlign w:val="baseline"/>
        </w:rPr>
        <w:t>驶</w:t>
      </w:r>
      <w:r>
        <w:rPr>
          <w:rFonts w:ascii="黑体" w:eastAsia="黑体" w:hint="eastAsia"/>
          <w:b/>
          <w:color w:val="000000"/>
          <w:spacing w:val="-2"/>
          <w:sz w:val="21"/>
          <w:shd w:fill="D9D9D9" w:color="auto" w:val="clear"/>
          <w:vertAlign w:val="baseline"/>
        </w:rPr>
        <w:t>证</w:t>
      </w:r>
      <w:r>
        <w:rPr>
          <w:rFonts w:ascii="Times New Roman" w:eastAsia="Times New Roman"/>
          <w:b/>
          <w:color w:val="000000"/>
          <w:spacing w:val="-2"/>
          <w:sz w:val="21"/>
          <w:shd w:fill="D9D9D9" w:color="auto" w:val="clear"/>
          <w:vertAlign w:val="superscript"/>
        </w:rPr>
        <w:t>34</w:t>
      </w:r>
      <w:r>
        <w:rPr>
          <w:rFonts w:ascii="黑体" w:eastAsia="黑体"/>
          <w:color w:val="000000"/>
          <w:spacing w:val="-2"/>
          <w:sz w:val="21"/>
          <w:shd w:fill="D9D9D9" w:color="auto" w:val="clear"/>
          <w:vertAlign w:val="baseline"/>
        </w:rPr>
        <w:t>的</w:t>
      </w:r>
      <w:r>
        <w:rPr>
          <w:rFonts w:ascii="黑体" w:eastAsia="黑体" w:hint="eastAsia"/>
          <w:b/>
          <w:color w:val="000000"/>
          <w:spacing w:val="-2"/>
          <w:sz w:val="21"/>
          <w:shd w:fill="D9D9D9" w:color="auto" w:val="clear"/>
          <w:vertAlign w:val="baseline"/>
        </w:rPr>
        <w:t>机</w:t>
      </w:r>
      <w:r>
        <w:rPr>
          <w:rFonts w:ascii="黑体" w:eastAsia="黑体" w:hint="eastAsia"/>
          <w:b/>
          <w:color w:val="000000"/>
          <w:spacing w:val="-2"/>
          <w:sz w:val="21"/>
          <w:shd w:fill="D9D9D9" w:color="auto" w:val="clear"/>
          <w:vertAlign w:val="baseline"/>
        </w:rPr>
        <w:t>动</w:t>
      </w:r>
      <w:r>
        <w:rPr>
          <w:rFonts w:ascii="黑体" w:eastAsia="黑体" w:hint="eastAsia"/>
          <w:b/>
          <w:color w:val="000000"/>
          <w:spacing w:val="-2"/>
          <w:sz w:val="21"/>
          <w:shd w:fill="D9D9D9" w:color="auto" w:val="clear"/>
          <w:vertAlign w:val="baseline"/>
        </w:rPr>
        <w:t>车</w:t>
      </w:r>
      <w:r>
        <w:rPr>
          <w:rFonts w:ascii="Times New Roman" w:eastAsia="Times New Roman"/>
          <w:b/>
          <w:color w:val="000000"/>
          <w:spacing w:val="-2"/>
          <w:sz w:val="21"/>
          <w:shd w:fill="D9D9D9" w:color="auto" w:val="clear"/>
          <w:vertAlign w:val="superscript"/>
        </w:rPr>
        <w:t>35</w:t>
      </w:r>
      <w:r>
        <w:rPr>
          <w:rFonts w:ascii="黑体" w:eastAsia="黑体"/>
          <w:color w:val="000000"/>
          <w:spacing w:val="-2"/>
          <w:sz w:val="21"/>
          <w:shd w:fill="D9D9D9" w:color="auto" w:val="clear"/>
          <w:vertAlign w:val="baseline"/>
        </w:rPr>
        <w:t>；</w:t>
      </w:r>
      <w:r>
        <w:rPr>
          <w:rFonts w:ascii="黑体" w:eastAsia="黑体"/>
          <w:color w:val="000000"/>
          <w:spacing w:val="-2"/>
          <w:sz w:val="21"/>
          <w:vertAlign w:val="baseline"/>
        </w:rPr>
        <w:t>四、</w:t>
      </w:r>
      <w:r>
        <w:rPr>
          <w:rFonts w:ascii="黑体" w:eastAsia="黑体"/>
          <w:color w:val="000000"/>
          <w:spacing w:val="-2"/>
          <w:sz w:val="21"/>
          <w:shd w:fill="D9D9D9" w:color="auto" w:val="clear"/>
          <w:vertAlign w:val="baseline"/>
        </w:rPr>
        <w:t>被保险人主动吸食或注射</w:t>
      </w:r>
      <w:r>
        <w:rPr>
          <w:rFonts w:ascii="黑体" w:eastAsia="黑体" w:hint="eastAsia"/>
          <w:b/>
          <w:color w:val="000000"/>
          <w:spacing w:val="-2"/>
          <w:sz w:val="21"/>
          <w:shd w:fill="D9D9D9" w:color="auto" w:val="clear"/>
          <w:vertAlign w:val="baseline"/>
        </w:rPr>
        <w:t>毒品</w:t>
      </w:r>
      <w:r>
        <w:rPr>
          <w:rFonts w:ascii="Times New Roman" w:eastAsia="Times New Roman"/>
          <w:b/>
          <w:color w:val="000000"/>
          <w:spacing w:val="-2"/>
          <w:sz w:val="21"/>
          <w:shd w:fill="D9D9D9" w:color="auto" w:val="clear"/>
          <w:vertAlign w:val="superscript"/>
        </w:rPr>
        <w:t>36</w:t>
      </w:r>
      <w:r>
        <w:rPr>
          <w:rFonts w:ascii="黑体" w:eastAsia="黑体"/>
          <w:color w:val="000000"/>
          <w:spacing w:val="-2"/>
          <w:sz w:val="21"/>
          <w:shd w:fill="D9D9D9" w:color="auto" w:val="clear"/>
          <w:vertAlign w:val="baseline"/>
        </w:rPr>
        <w:t>；</w:t>
      </w:r>
    </w:p>
    <w:p>
      <w:pPr>
        <w:pStyle w:val="BodyText"/>
        <w:spacing w:line="278" w:lineRule="auto"/>
        <w:ind w:right="5264"/>
        <w:rPr>
          <w:rFonts w:ascii="黑体" w:eastAsia="黑体"/>
        </w:rPr>
      </w:pPr>
      <w:r>
        <w:rPr>
          <w:rFonts w:ascii="黑体" w:eastAsia="黑体"/>
          <w:spacing w:val="-2"/>
        </w:rPr>
        <w:t>五、</w:t>
      </w:r>
      <w:r>
        <w:rPr>
          <w:rFonts w:ascii="黑体" w:eastAsia="黑体"/>
          <w:color w:val="000000"/>
          <w:spacing w:val="-2"/>
          <w:shd w:fill="D9D9D9" w:color="auto" w:val="clear"/>
        </w:rPr>
        <w:t>战争、军事冲突、暴乱或武装叛乱；</w:t>
      </w:r>
      <w:r>
        <w:rPr>
          <w:rFonts w:ascii="黑体" w:eastAsia="黑体"/>
          <w:color w:val="000000"/>
          <w:spacing w:val="-2"/>
        </w:rPr>
        <w:t>六、</w:t>
      </w:r>
      <w:r>
        <w:rPr>
          <w:rFonts w:ascii="黑体" w:eastAsia="黑体"/>
          <w:color w:val="000000"/>
          <w:spacing w:val="-2"/>
          <w:shd w:fill="D9D9D9" w:color="auto" w:val="clear"/>
        </w:rPr>
        <w:t>核爆炸、核辐射或核污染；</w:t>
      </w:r>
    </w:p>
    <w:p>
      <w:pPr>
        <w:spacing w:line="278" w:lineRule="auto" w:before="0"/>
        <w:ind w:left="737" w:right="2389" w:firstLine="0"/>
        <w:jc w:val="left"/>
        <w:rPr>
          <w:rFonts w:ascii="黑体" w:eastAsia="黑体"/>
          <w:sz w:val="21"/>
        </w:rPr>
      </w:pPr>
      <w:r>
        <w:rPr>
          <w:rFonts w:ascii="黑体" w:eastAsia="黑体"/>
          <w:spacing w:val="-2"/>
          <w:sz w:val="21"/>
        </w:rPr>
        <w:t>七、</w:t>
      </w:r>
      <w:r>
        <w:rPr>
          <w:rFonts w:ascii="黑体" w:eastAsia="黑体"/>
          <w:color w:val="000000"/>
          <w:spacing w:val="-2"/>
          <w:sz w:val="21"/>
          <w:shd w:fill="D9D9D9" w:color="auto" w:val="clear"/>
        </w:rPr>
        <w:t>被保险人未遵医嘱，私自服用、涂用、注射药物、使用</w:t>
      </w:r>
      <w:r>
        <w:rPr>
          <w:rFonts w:ascii="黑体" w:eastAsia="黑体" w:hint="eastAsia"/>
          <w:b/>
          <w:color w:val="000000"/>
          <w:spacing w:val="-2"/>
          <w:sz w:val="21"/>
          <w:shd w:fill="D9D9D9" w:color="auto" w:val="clear"/>
        </w:rPr>
        <w:t>管</w:t>
      </w:r>
      <w:r>
        <w:rPr>
          <w:rFonts w:ascii="黑体" w:eastAsia="黑体" w:hint="eastAsia"/>
          <w:b/>
          <w:color w:val="000000"/>
          <w:spacing w:val="-2"/>
          <w:sz w:val="21"/>
          <w:shd w:fill="D9D9D9" w:color="auto" w:val="clear"/>
        </w:rPr>
        <w:t>制</w:t>
      </w:r>
      <w:r>
        <w:rPr>
          <w:rFonts w:ascii="黑体" w:eastAsia="黑体" w:hint="eastAsia"/>
          <w:b/>
          <w:color w:val="000000"/>
          <w:spacing w:val="-2"/>
          <w:sz w:val="21"/>
          <w:shd w:fill="D9D9D9" w:color="auto" w:val="clear"/>
        </w:rPr>
        <w:t>药</w:t>
      </w:r>
      <w:r>
        <w:rPr>
          <w:rFonts w:ascii="黑体" w:eastAsia="黑体" w:hint="eastAsia"/>
          <w:b/>
          <w:color w:val="000000"/>
          <w:spacing w:val="-2"/>
          <w:sz w:val="21"/>
          <w:shd w:fill="D9D9D9" w:color="auto" w:val="clear"/>
        </w:rPr>
        <w:t>品</w:t>
      </w:r>
      <w:r>
        <w:rPr>
          <w:rFonts w:ascii="Times New Roman" w:eastAsia="Times New Roman"/>
          <w:b/>
          <w:color w:val="000000"/>
          <w:spacing w:val="-2"/>
          <w:sz w:val="21"/>
          <w:shd w:fill="D9D9D9" w:color="auto" w:val="clear"/>
          <w:vertAlign w:val="superscript"/>
        </w:rPr>
        <w:t>37</w:t>
      </w:r>
      <w:r>
        <w:rPr>
          <w:rFonts w:ascii="黑体" w:eastAsia="黑体"/>
          <w:color w:val="000000"/>
          <w:spacing w:val="-2"/>
          <w:sz w:val="21"/>
          <w:shd w:fill="D9D9D9" w:color="auto" w:val="clear"/>
          <w:vertAlign w:val="baseline"/>
        </w:rPr>
        <w:t>；</w:t>
      </w:r>
      <w:r>
        <w:rPr>
          <w:rFonts w:ascii="黑体" w:eastAsia="黑体"/>
          <w:color w:val="000000"/>
          <w:spacing w:val="-2"/>
          <w:sz w:val="21"/>
          <w:vertAlign w:val="baseline"/>
        </w:rPr>
        <w:t>八、</w:t>
      </w:r>
      <w:r>
        <w:rPr>
          <w:rFonts w:ascii="黑体" w:eastAsia="黑体"/>
          <w:color w:val="000000"/>
          <w:spacing w:val="-2"/>
          <w:sz w:val="21"/>
          <w:shd w:fill="D9D9D9" w:color="auto" w:val="clear"/>
          <w:vertAlign w:val="baseline"/>
        </w:rPr>
        <w:t>被保险人患</w:t>
      </w:r>
      <w:r>
        <w:rPr>
          <w:rFonts w:ascii="黑体" w:eastAsia="黑体" w:hint="eastAsia"/>
          <w:b/>
          <w:color w:val="000000"/>
          <w:spacing w:val="-2"/>
          <w:sz w:val="21"/>
          <w:shd w:fill="D9D9D9" w:color="auto" w:val="clear"/>
          <w:vertAlign w:val="baseline"/>
        </w:rPr>
        <w:t>精</w:t>
      </w:r>
      <w:r>
        <w:rPr>
          <w:rFonts w:ascii="黑体" w:eastAsia="黑体" w:hint="eastAsia"/>
          <w:b/>
          <w:color w:val="000000"/>
          <w:spacing w:val="-2"/>
          <w:sz w:val="21"/>
          <w:shd w:fill="D9D9D9" w:color="auto" w:val="clear"/>
          <w:vertAlign w:val="baseline"/>
        </w:rPr>
        <w:t>神</w:t>
      </w:r>
      <w:r>
        <w:rPr>
          <w:rFonts w:ascii="黑体" w:eastAsia="黑体" w:hint="eastAsia"/>
          <w:b/>
          <w:color w:val="000000"/>
          <w:spacing w:val="-2"/>
          <w:sz w:val="21"/>
          <w:shd w:fill="D9D9D9" w:color="auto" w:val="clear"/>
          <w:vertAlign w:val="baseline"/>
        </w:rPr>
        <w:t>疾</w:t>
      </w:r>
      <w:r>
        <w:rPr>
          <w:rFonts w:ascii="黑体" w:eastAsia="黑体" w:hint="eastAsia"/>
          <w:b/>
          <w:color w:val="000000"/>
          <w:spacing w:val="-2"/>
          <w:sz w:val="21"/>
          <w:shd w:fill="D9D9D9" w:color="auto" w:val="clear"/>
          <w:vertAlign w:val="baseline"/>
        </w:rPr>
        <w:t>病</w:t>
      </w:r>
      <w:r>
        <w:rPr>
          <w:rFonts w:ascii="Times New Roman" w:eastAsia="Times New Roman"/>
          <w:b/>
          <w:color w:val="000000"/>
          <w:spacing w:val="-2"/>
          <w:sz w:val="21"/>
          <w:shd w:fill="D9D9D9" w:color="auto" w:val="clear"/>
          <w:vertAlign w:val="superscript"/>
        </w:rPr>
        <w:t>38</w:t>
      </w:r>
      <w:r>
        <w:rPr>
          <w:rFonts w:ascii="黑体" w:eastAsia="黑体"/>
          <w:color w:val="000000"/>
          <w:spacing w:val="-2"/>
          <w:sz w:val="21"/>
          <w:shd w:fill="D9D9D9" w:color="auto" w:val="clear"/>
          <w:vertAlign w:val="baseline"/>
        </w:rPr>
        <w:t>；</w:t>
      </w:r>
    </w:p>
    <w:p>
      <w:pPr>
        <w:spacing w:line="278" w:lineRule="auto" w:before="0"/>
        <w:ind w:left="1159" w:right="731" w:hanging="423"/>
        <w:jc w:val="left"/>
        <w:rPr>
          <w:rFonts w:ascii="黑体" w:eastAsia="黑体"/>
          <w:sz w:val="21"/>
        </w:rPr>
      </w:pPr>
      <w:r>
        <w:rPr>
          <w:rFonts w:ascii="黑体" w:eastAsia="黑体"/>
          <w:spacing w:val="-6"/>
          <w:sz w:val="21"/>
        </w:rPr>
        <w:t>九、</w:t>
      </w:r>
      <w:r>
        <w:rPr>
          <w:rFonts w:ascii="黑体" w:eastAsia="黑体" w:hint="eastAsia"/>
          <w:b/>
          <w:color w:val="000000"/>
          <w:spacing w:val="-6"/>
          <w:sz w:val="21"/>
          <w:shd w:fill="D9D9D9" w:color="auto" w:val="clear"/>
        </w:rPr>
        <w:t>遗</w:t>
      </w:r>
      <w:r>
        <w:rPr>
          <w:rFonts w:ascii="黑体" w:eastAsia="黑体" w:hint="eastAsia"/>
          <w:b/>
          <w:color w:val="000000"/>
          <w:spacing w:val="-6"/>
          <w:sz w:val="21"/>
          <w:shd w:fill="D9D9D9" w:color="auto" w:val="clear"/>
        </w:rPr>
        <w:t>传</w:t>
      </w:r>
      <w:r>
        <w:rPr>
          <w:rFonts w:ascii="黑体" w:eastAsia="黑体" w:hint="eastAsia"/>
          <w:b/>
          <w:color w:val="000000"/>
          <w:spacing w:val="-6"/>
          <w:sz w:val="21"/>
          <w:shd w:fill="D9D9D9" w:color="auto" w:val="clear"/>
        </w:rPr>
        <w:t>性</w:t>
      </w:r>
      <w:r>
        <w:rPr>
          <w:rFonts w:ascii="黑体" w:eastAsia="黑体" w:hint="eastAsia"/>
          <w:b/>
          <w:color w:val="000000"/>
          <w:spacing w:val="-6"/>
          <w:sz w:val="21"/>
          <w:shd w:fill="D9D9D9" w:color="auto" w:val="clear"/>
        </w:rPr>
        <w:t>疾</w:t>
      </w:r>
      <w:r>
        <w:rPr>
          <w:rFonts w:ascii="黑体" w:eastAsia="黑体" w:hint="eastAsia"/>
          <w:b/>
          <w:color w:val="000000"/>
          <w:spacing w:val="-6"/>
          <w:sz w:val="21"/>
          <w:shd w:fill="D9D9D9" w:color="auto" w:val="clear"/>
        </w:rPr>
        <w:t>病</w:t>
      </w:r>
      <w:r>
        <w:rPr>
          <w:rFonts w:ascii="Times New Roman" w:eastAsia="Times New Roman"/>
          <w:b/>
          <w:color w:val="000000"/>
          <w:spacing w:val="-6"/>
          <w:sz w:val="21"/>
          <w:shd w:fill="D9D9D9" w:color="auto" w:val="clear"/>
          <w:vertAlign w:val="superscript"/>
        </w:rPr>
        <w:t>39</w:t>
      </w:r>
      <w:r>
        <w:rPr>
          <w:rFonts w:ascii="黑体" w:eastAsia="黑体"/>
          <w:color w:val="000000"/>
          <w:spacing w:val="-6"/>
          <w:sz w:val="21"/>
          <w:shd w:fill="D9D9D9" w:color="auto" w:val="clear"/>
          <w:vertAlign w:val="baseline"/>
        </w:rPr>
        <w:t>，</w:t>
      </w:r>
      <w:r>
        <w:rPr>
          <w:rFonts w:ascii="黑体" w:eastAsia="黑体" w:hint="eastAsia"/>
          <w:b/>
          <w:color w:val="000000"/>
          <w:spacing w:val="-6"/>
          <w:sz w:val="21"/>
          <w:shd w:fill="D9D9D9" w:color="auto" w:val="clear"/>
          <w:vertAlign w:val="baseline"/>
        </w:rPr>
        <w:t>先</w:t>
      </w:r>
      <w:r>
        <w:rPr>
          <w:rFonts w:ascii="黑体" w:eastAsia="黑体" w:hint="eastAsia"/>
          <w:b/>
          <w:color w:val="000000"/>
          <w:spacing w:val="-6"/>
          <w:sz w:val="21"/>
          <w:shd w:fill="D9D9D9" w:color="auto" w:val="clear"/>
          <w:vertAlign w:val="baseline"/>
        </w:rPr>
        <w:t>天</w:t>
      </w:r>
      <w:r>
        <w:rPr>
          <w:rFonts w:ascii="黑体" w:eastAsia="黑体" w:hint="eastAsia"/>
          <w:b/>
          <w:color w:val="000000"/>
          <w:spacing w:val="-6"/>
          <w:sz w:val="21"/>
          <w:shd w:fill="D9D9D9" w:color="auto" w:val="clear"/>
          <w:vertAlign w:val="baseline"/>
        </w:rPr>
        <w:t>性</w:t>
      </w:r>
      <w:r>
        <w:rPr>
          <w:rFonts w:ascii="黑体" w:eastAsia="黑体" w:hint="eastAsia"/>
          <w:b/>
          <w:color w:val="000000"/>
          <w:spacing w:val="-6"/>
          <w:sz w:val="21"/>
          <w:shd w:fill="D9D9D9" w:color="auto" w:val="clear"/>
          <w:vertAlign w:val="baseline"/>
        </w:rPr>
        <w:t>畸形、变</w:t>
      </w:r>
      <w:r>
        <w:rPr>
          <w:rFonts w:ascii="黑体" w:eastAsia="黑体" w:hint="eastAsia"/>
          <w:b/>
          <w:color w:val="000000"/>
          <w:spacing w:val="-6"/>
          <w:sz w:val="21"/>
          <w:shd w:fill="D9D9D9" w:color="auto" w:val="clear"/>
          <w:vertAlign w:val="baseline"/>
        </w:rPr>
        <w:t>形</w:t>
      </w:r>
      <w:r>
        <w:rPr>
          <w:rFonts w:ascii="黑体" w:eastAsia="黑体" w:hint="eastAsia"/>
          <w:b/>
          <w:color w:val="000000"/>
          <w:spacing w:val="-6"/>
          <w:sz w:val="21"/>
          <w:shd w:fill="D9D9D9" w:color="auto" w:val="clear"/>
          <w:vertAlign w:val="baseline"/>
        </w:rPr>
        <w:t>或</w:t>
      </w:r>
      <w:r>
        <w:rPr>
          <w:rFonts w:ascii="黑体" w:eastAsia="黑体" w:hint="eastAsia"/>
          <w:b/>
          <w:color w:val="000000"/>
          <w:spacing w:val="-6"/>
          <w:sz w:val="21"/>
          <w:shd w:fill="D9D9D9" w:color="auto" w:val="clear"/>
          <w:vertAlign w:val="baseline"/>
        </w:rPr>
        <w:t>染</w:t>
      </w:r>
      <w:r>
        <w:rPr>
          <w:rFonts w:ascii="黑体" w:eastAsia="黑体" w:hint="eastAsia"/>
          <w:b/>
          <w:color w:val="000000"/>
          <w:spacing w:val="-6"/>
          <w:sz w:val="21"/>
          <w:shd w:fill="D9D9D9" w:color="auto" w:val="clear"/>
          <w:vertAlign w:val="baseline"/>
        </w:rPr>
        <w:t>色</w:t>
      </w:r>
      <w:r>
        <w:rPr>
          <w:rFonts w:ascii="黑体" w:eastAsia="黑体" w:hint="eastAsia"/>
          <w:b/>
          <w:color w:val="000000"/>
          <w:spacing w:val="-6"/>
          <w:sz w:val="21"/>
          <w:shd w:fill="D9D9D9" w:color="auto" w:val="clear"/>
          <w:vertAlign w:val="baseline"/>
        </w:rPr>
        <w:t>体</w:t>
      </w:r>
      <w:r>
        <w:rPr>
          <w:rFonts w:ascii="黑体" w:eastAsia="黑体" w:hint="eastAsia"/>
          <w:b/>
          <w:color w:val="000000"/>
          <w:spacing w:val="-6"/>
          <w:sz w:val="21"/>
          <w:shd w:fill="D9D9D9" w:color="auto" w:val="clear"/>
          <w:vertAlign w:val="baseline"/>
        </w:rPr>
        <w:t>异</w:t>
      </w:r>
      <w:r>
        <w:rPr>
          <w:rFonts w:ascii="黑体" w:eastAsia="黑体" w:hint="eastAsia"/>
          <w:b/>
          <w:color w:val="000000"/>
          <w:spacing w:val="-6"/>
          <w:sz w:val="21"/>
          <w:shd w:fill="D9D9D9" w:color="auto" w:val="clear"/>
          <w:vertAlign w:val="baseline"/>
        </w:rPr>
        <w:t>常</w:t>
      </w:r>
      <w:r>
        <w:rPr>
          <w:rFonts w:ascii="Times New Roman" w:eastAsia="Times New Roman"/>
          <w:b/>
          <w:color w:val="000000"/>
          <w:spacing w:val="-6"/>
          <w:sz w:val="21"/>
          <w:shd w:fill="D9D9D9" w:color="auto" w:val="clear"/>
          <w:vertAlign w:val="superscript"/>
        </w:rPr>
        <w:t>40</w:t>
      </w:r>
      <w:r>
        <w:rPr>
          <w:rFonts w:ascii="黑体" w:eastAsia="黑体"/>
          <w:color w:val="000000"/>
          <w:spacing w:val="-6"/>
          <w:sz w:val="21"/>
          <w:vertAlign w:val="baseline"/>
        </w:rPr>
        <w:t>（不包括《附表一：重大疾病种类表》</w:t>
      </w:r>
      <w:r>
        <w:rPr>
          <w:rFonts w:ascii="黑体" w:eastAsia="黑体"/>
          <w:color w:val="000000"/>
          <w:spacing w:val="-2"/>
          <w:sz w:val="21"/>
          <w:vertAlign w:val="baseline"/>
        </w:rPr>
        <w:t>中的第三十八类、第五十类、第六十三类、第八十类</w:t>
      </w:r>
      <w:r>
        <w:rPr>
          <w:rFonts w:ascii="黑体" w:eastAsia="黑体"/>
          <w:color w:val="000000"/>
          <w:spacing w:val="-105"/>
          <w:sz w:val="21"/>
          <w:vertAlign w:val="baseline"/>
        </w:rPr>
        <w:t>）</w:t>
      </w:r>
      <w:r>
        <w:rPr>
          <w:rFonts w:ascii="黑体" w:eastAsia="黑体"/>
          <w:color w:val="000000"/>
          <w:sz w:val="21"/>
          <w:vertAlign w:val="baseline"/>
        </w:rPr>
        <w:t>；</w:t>
      </w:r>
    </w:p>
    <w:p>
      <w:pPr>
        <w:pStyle w:val="BodyText"/>
        <w:spacing w:line="278" w:lineRule="auto"/>
        <w:ind w:left="1157" w:right="732" w:hanging="420"/>
        <w:rPr>
          <w:rFonts w:ascii="黑体" w:eastAsia="黑体"/>
        </w:rPr>
      </w:pPr>
      <w:r>
        <w:rPr>
          <w:rFonts w:ascii="黑体" w:eastAsia="黑体"/>
          <w:spacing w:val="-2"/>
        </w:rPr>
        <w:t>十、</w:t>
      </w:r>
      <w:r>
        <w:rPr>
          <w:rFonts w:ascii="黑体" w:eastAsia="黑体"/>
          <w:color w:val="000000"/>
          <w:spacing w:val="-2"/>
          <w:shd w:fill="D9D9D9" w:color="auto" w:val="clear"/>
        </w:rPr>
        <w:t>被保险人妊娠（包括病理妊娠</w:t>
      </w:r>
      <w:r>
        <w:rPr>
          <w:rFonts w:ascii="黑体" w:eastAsia="黑体"/>
          <w:color w:val="000000"/>
          <w:spacing w:val="-105"/>
          <w:shd w:fill="D9D9D9" w:color="auto" w:val="clear"/>
        </w:rPr>
        <w:t>）</w:t>
      </w:r>
      <w:r>
        <w:rPr>
          <w:rFonts w:ascii="黑体" w:eastAsia="黑体"/>
          <w:color w:val="000000"/>
          <w:spacing w:val="-2"/>
          <w:shd w:fill="D9D9D9" w:color="auto" w:val="clear"/>
        </w:rPr>
        <w:t>、流产、分娩、不孕不育症、人工受孕、避孕、绝育手</w:t>
      </w:r>
      <w:r>
        <w:rPr>
          <w:rFonts w:ascii="黑体" w:eastAsia="黑体"/>
          <w:color w:val="000000"/>
          <w:spacing w:val="-2"/>
          <w:shd w:fill="D9D9D9" w:color="auto" w:val="clear"/>
        </w:rPr>
        <w:t>术以及由以上原因引起之并发症；</w:t>
      </w:r>
    </w:p>
    <w:p>
      <w:pPr>
        <w:pStyle w:val="BodyText"/>
        <w:ind w:left="0"/>
        <w:rPr>
          <w:rFonts w:ascii="黑体"/>
          <w:sz w:val="20"/>
        </w:rPr>
      </w:pPr>
    </w:p>
    <w:p>
      <w:pPr>
        <w:pStyle w:val="BodyText"/>
        <w:spacing w:before="9"/>
        <w:ind w:left="0"/>
        <w:rPr>
          <w:rFonts w:ascii="黑体"/>
          <w:sz w:val="18"/>
        </w:rPr>
      </w:pPr>
      <w:r>
        <w:rPr/>
        <w:drawing>
          <wp:anchor distT="0" distB="0" distL="0" distR="0" allowOverlap="1" layoutInCell="1" locked="0" behindDoc="0" simplePos="0" relativeHeight="12">
            <wp:simplePos x="0" y="0"/>
            <wp:positionH relativeFrom="page">
              <wp:posOffset>1141475</wp:posOffset>
            </wp:positionH>
            <wp:positionV relativeFrom="paragraph">
              <wp:posOffset>167916</wp:posOffset>
            </wp:positionV>
            <wp:extent cx="1828867" cy="6858"/>
            <wp:effectExtent l="0" t="0" r="0" b="0"/>
            <wp:wrapTopAndBottom/>
            <wp:docPr id="15" name="image2.png"/>
            <wp:cNvGraphicFramePr>
              <a:graphicFrameLocks noChangeAspect="1"/>
            </wp:cNvGraphicFramePr>
            <a:graphic>
              <a:graphicData uri="http://schemas.openxmlformats.org/drawingml/2006/picture">
                <pic:pic>
                  <pic:nvPicPr>
                    <pic:cNvPr id="16" name="image2.png"/>
                    <pic:cNvPicPr/>
                  </pic:nvPicPr>
                  <pic:blipFill>
                    <a:blip r:embed="rId7" cstate="print"/>
                    <a:stretch>
                      <a:fillRect/>
                    </a:stretch>
                  </pic:blipFill>
                  <pic:spPr>
                    <a:xfrm>
                      <a:off x="0" y="0"/>
                      <a:ext cx="1828867" cy="6858"/>
                    </a:xfrm>
                    <a:prstGeom prst="rect">
                      <a:avLst/>
                    </a:prstGeom>
                  </pic:spPr>
                </pic:pic>
              </a:graphicData>
            </a:graphic>
          </wp:anchor>
        </w:drawing>
      </w:r>
    </w:p>
    <w:p>
      <w:pPr>
        <w:spacing w:line="225" w:lineRule="exact" w:before="87"/>
        <w:ind w:left="737" w:right="0" w:firstLine="0"/>
        <w:jc w:val="left"/>
        <w:rPr>
          <w:sz w:val="18"/>
        </w:rPr>
      </w:pPr>
      <w:r>
        <w:rPr>
          <w:rFonts w:ascii="Times New Roman" w:eastAsia="Times New Roman"/>
          <w:sz w:val="18"/>
          <w:vertAlign w:val="superscript"/>
        </w:rPr>
        <w:t>31</w:t>
      </w:r>
      <w:r>
        <w:rPr>
          <w:b/>
          <w:sz w:val="18"/>
          <w:vertAlign w:val="baseline"/>
        </w:rPr>
        <w:t>醉</w:t>
      </w:r>
      <w:r>
        <w:rPr>
          <w:b/>
          <w:sz w:val="18"/>
          <w:vertAlign w:val="baseline"/>
        </w:rPr>
        <w:t>酒</w:t>
      </w:r>
      <w:r>
        <w:rPr>
          <w:spacing w:val="-3"/>
          <w:sz w:val="18"/>
          <w:vertAlign w:val="baseline"/>
        </w:rPr>
        <w:t>：指每百毫升血液的酒精含量大于或等于 </w:t>
      </w:r>
      <w:r>
        <w:rPr>
          <w:rFonts w:ascii="Times New Roman" w:eastAsia="Times New Roman"/>
          <w:sz w:val="18"/>
          <w:vertAlign w:val="baseline"/>
        </w:rPr>
        <w:t>80</w:t>
      </w:r>
      <w:r>
        <w:rPr>
          <w:rFonts w:ascii="Times New Roman" w:eastAsia="Times New Roman"/>
          <w:spacing w:val="-5"/>
          <w:sz w:val="18"/>
          <w:vertAlign w:val="baseline"/>
        </w:rPr>
        <w:t> </w:t>
      </w:r>
      <w:r>
        <w:rPr>
          <w:spacing w:val="-4"/>
          <w:sz w:val="18"/>
          <w:vertAlign w:val="baseline"/>
        </w:rPr>
        <w:t>毫克。</w:t>
      </w:r>
    </w:p>
    <w:p>
      <w:pPr>
        <w:spacing w:line="220" w:lineRule="exact" w:before="0"/>
        <w:ind w:left="737" w:right="0" w:firstLine="0"/>
        <w:jc w:val="left"/>
        <w:rPr>
          <w:sz w:val="18"/>
        </w:rPr>
      </w:pPr>
      <w:r>
        <w:rPr>
          <w:rFonts w:ascii="Times New Roman" w:eastAsia="Times New Roman"/>
          <w:w w:val="95"/>
          <w:sz w:val="18"/>
          <w:vertAlign w:val="superscript"/>
        </w:rPr>
        <w:t>32</w:t>
      </w:r>
      <w:r>
        <w:rPr>
          <w:b/>
          <w:w w:val="95"/>
          <w:sz w:val="18"/>
          <w:vertAlign w:val="baseline"/>
        </w:rPr>
        <w:t>酒</w:t>
      </w:r>
      <w:r>
        <w:rPr>
          <w:b/>
          <w:w w:val="95"/>
          <w:sz w:val="18"/>
          <w:vertAlign w:val="baseline"/>
        </w:rPr>
        <w:t>后</w:t>
      </w:r>
      <w:r>
        <w:rPr>
          <w:b/>
          <w:w w:val="95"/>
          <w:sz w:val="18"/>
          <w:vertAlign w:val="baseline"/>
        </w:rPr>
        <w:t>驾驶</w:t>
      </w:r>
      <w:r>
        <w:rPr>
          <w:w w:val="95"/>
          <w:sz w:val="18"/>
          <w:vertAlign w:val="baseline"/>
        </w:rPr>
        <w:t>：指</w:t>
      </w:r>
      <w:r>
        <w:rPr>
          <w:w w:val="95"/>
          <w:sz w:val="18"/>
          <w:vertAlign w:val="baseline"/>
        </w:rPr>
        <w:t>经</w:t>
      </w:r>
      <w:r>
        <w:rPr>
          <w:w w:val="95"/>
          <w:sz w:val="18"/>
          <w:vertAlign w:val="baseline"/>
        </w:rPr>
        <w:t>检</w:t>
      </w:r>
      <w:r>
        <w:rPr>
          <w:w w:val="95"/>
          <w:sz w:val="18"/>
          <w:vertAlign w:val="baseline"/>
        </w:rPr>
        <w:t>测</w:t>
      </w:r>
      <w:r>
        <w:rPr>
          <w:w w:val="95"/>
          <w:sz w:val="18"/>
          <w:vertAlign w:val="baseline"/>
        </w:rPr>
        <w:t>或</w:t>
      </w:r>
      <w:r>
        <w:rPr>
          <w:w w:val="95"/>
          <w:sz w:val="18"/>
          <w:vertAlign w:val="baseline"/>
        </w:rPr>
        <w:t>鉴</w:t>
      </w:r>
      <w:r>
        <w:rPr>
          <w:w w:val="95"/>
          <w:sz w:val="18"/>
          <w:vertAlign w:val="baseline"/>
        </w:rPr>
        <w:t>定</w:t>
      </w:r>
      <w:r>
        <w:rPr>
          <w:w w:val="95"/>
          <w:sz w:val="18"/>
          <w:vertAlign w:val="baseline"/>
        </w:rPr>
        <w:t>，</w:t>
      </w:r>
      <w:r>
        <w:rPr>
          <w:w w:val="95"/>
          <w:sz w:val="18"/>
          <w:vertAlign w:val="baseline"/>
        </w:rPr>
        <w:t>发</w:t>
      </w:r>
      <w:r>
        <w:rPr>
          <w:w w:val="95"/>
          <w:sz w:val="18"/>
          <w:vertAlign w:val="baseline"/>
        </w:rPr>
        <w:t>生</w:t>
      </w:r>
      <w:r>
        <w:rPr>
          <w:w w:val="95"/>
          <w:sz w:val="18"/>
          <w:vertAlign w:val="baseline"/>
        </w:rPr>
        <w:t>事</w:t>
      </w:r>
      <w:r>
        <w:rPr>
          <w:w w:val="95"/>
          <w:sz w:val="18"/>
          <w:vertAlign w:val="baseline"/>
        </w:rPr>
        <w:t>故</w:t>
      </w:r>
      <w:r>
        <w:rPr>
          <w:w w:val="95"/>
          <w:sz w:val="18"/>
          <w:vertAlign w:val="baseline"/>
        </w:rPr>
        <w:t>时</w:t>
      </w:r>
      <w:r>
        <w:rPr>
          <w:w w:val="95"/>
          <w:sz w:val="18"/>
          <w:vertAlign w:val="baseline"/>
        </w:rPr>
        <w:t>车</w:t>
      </w:r>
      <w:r>
        <w:rPr>
          <w:w w:val="95"/>
          <w:sz w:val="18"/>
          <w:vertAlign w:val="baseline"/>
        </w:rPr>
        <w:t>辆</w:t>
      </w:r>
      <w:r>
        <w:rPr>
          <w:w w:val="95"/>
          <w:sz w:val="18"/>
          <w:vertAlign w:val="baseline"/>
        </w:rPr>
        <w:t>驾</w:t>
      </w:r>
      <w:r>
        <w:rPr>
          <w:w w:val="95"/>
          <w:sz w:val="18"/>
          <w:vertAlign w:val="baseline"/>
        </w:rPr>
        <w:t>驶</w:t>
      </w:r>
      <w:r>
        <w:rPr>
          <w:w w:val="95"/>
          <w:sz w:val="18"/>
          <w:vertAlign w:val="baseline"/>
        </w:rPr>
        <w:t>人</w:t>
      </w:r>
      <w:r>
        <w:rPr>
          <w:w w:val="95"/>
          <w:sz w:val="18"/>
          <w:vertAlign w:val="baseline"/>
        </w:rPr>
        <w:t>员</w:t>
      </w:r>
      <w:r>
        <w:rPr>
          <w:w w:val="95"/>
          <w:sz w:val="18"/>
          <w:vertAlign w:val="baseline"/>
        </w:rPr>
        <w:t>每</w:t>
      </w:r>
      <w:r>
        <w:rPr>
          <w:w w:val="95"/>
          <w:sz w:val="18"/>
          <w:vertAlign w:val="baseline"/>
        </w:rPr>
        <w:t>百</w:t>
      </w:r>
      <w:r>
        <w:rPr>
          <w:w w:val="95"/>
          <w:sz w:val="18"/>
          <w:vertAlign w:val="baseline"/>
        </w:rPr>
        <w:t>毫</w:t>
      </w:r>
      <w:r>
        <w:rPr>
          <w:w w:val="95"/>
          <w:sz w:val="18"/>
          <w:vertAlign w:val="baseline"/>
        </w:rPr>
        <w:t>升</w:t>
      </w:r>
      <w:r>
        <w:rPr>
          <w:w w:val="95"/>
          <w:sz w:val="18"/>
          <w:vertAlign w:val="baseline"/>
        </w:rPr>
        <w:t>血</w:t>
      </w:r>
      <w:r>
        <w:rPr>
          <w:w w:val="95"/>
          <w:sz w:val="18"/>
          <w:vertAlign w:val="baseline"/>
        </w:rPr>
        <w:t>液</w:t>
      </w:r>
      <w:r>
        <w:rPr>
          <w:w w:val="95"/>
          <w:sz w:val="18"/>
          <w:vertAlign w:val="baseline"/>
        </w:rPr>
        <w:t>中</w:t>
      </w:r>
      <w:r>
        <w:rPr>
          <w:w w:val="95"/>
          <w:sz w:val="18"/>
          <w:vertAlign w:val="baseline"/>
        </w:rPr>
        <w:t>的</w:t>
      </w:r>
      <w:r>
        <w:rPr>
          <w:w w:val="95"/>
          <w:sz w:val="18"/>
          <w:vertAlign w:val="baseline"/>
        </w:rPr>
        <w:t>酒</w:t>
      </w:r>
      <w:r>
        <w:rPr>
          <w:w w:val="95"/>
          <w:sz w:val="18"/>
          <w:vertAlign w:val="baseline"/>
        </w:rPr>
        <w:t>精</w:t>
      </w:r>
      <w:r>
        <w:rPr>
          <w:w w:val="95"/>
          <w:sz w:val="18"/>
          <w:vertAlign w:val="baseline"/>
        </w:rPr>
        <w:t>含</w:t>
      </w:r>
      <w:r>
        <w:rPr>
          <w:w w:val="95"/>
          <w:sz w:val="18"/>
          <w:vertAlign w:val="baseline"/>
        </w:rPr>
        <w:t>量</w:t>
      </w:r>
      <w:r>
        <w:rPr>
          <w:w w:val="95"/>
          <w:sz w:val="18"/>
          <w:vertAlign w:val="baseline"/>
        </w:rPr>
        <w:t>达</w:t>
      </w:r>
      <w:r>
        <w:rPr>
          <w:w w:val="95"/>
          <w:sz w:val="18"/>
          <w:vertAlign w:val="baseline"/>
        </w:rPr>
        <w:t>到</w:t>
      </w:r>
      <w:r>
        <w:rPr>
          <w:w w:val="95"/>
          <w:sz w:val="18"/>
          <w:vertAlign w:val="baseline"/>
        </w:rPr>
        <w:t>或</w:t>
      </w:r>
      <w:r>
        <w:rPr>
          <w:w w:val="95"/>
          <w:sz w:val="18"/>
          <w:vertAlign w:val="baseline"/>
        </w:rPr>
        <w:t>超</w:t>
      </w:r>
      <w:r>
        <w:rPr>
          <w:w w:val="95"/>
          <w:sz w:val="18"/>
          <w:vertAlign w:val="baseline"/>
        </w:rPr>
        <w:t>过</w:t>
      </w:r>
      <w:r>
        <w:rPr>
          <w:w w:val="95"/>
          <w:sz w:val="18"/>
          <w:vertAlign w:val="baseline"/>
        </w:rPr>
        <w:t>一</w:t>
      </w:r>
      <w:r>
        <w:rPr>
          <w:w w:val="95"/>
          <w:sz w:val="18"/>
          <w:vertAlign w:val="baseline"/>
        </w:rPr>
        <w:t>定</w:t>
      </w:r>
      <w:r>
        <w:rPr>
          <w:w w:val="95"/>
          <w:sz w:val="18"/>
          <w:vertAlign w:val="baseline"/>
        </w:rPr>
        <w:t>的</w:t>
      </w:r>
      <w:r>
        <w:rPr>
          <w:spacing w:val="-10"/>
          <w:w w:val="95"/>
          <w:sz w:val="18"/>
          <w:vertAlign w:val="baseline"/>
        </w:rPr>
        <w:t>标</w:t>
      </w:r>
    </w:p>
    <w:p>
      <w:pPr>
        <w:spacing w:line="220" w:lineRule="exact" w:before="0"/>
        <w:ind w:left="737" w:right="0" w:firstLine="0"/>
        <w:jc w:val="left"/>
        <w:rPr>
          <w:sz w:val="18"/>
        </w:rPr>
      </w:pPr>
      <w:r>
        <w:rPr>
          <w:spacing w:val="-1"/>
          <w:sz w:val="18"/>
        </w:rPr>
        <w:t>准，公安机关交通管理部门依据《道路交通安全法》的规定认定为饮酒后驾驶或醉酒后驾驶。</w:t>
      </w:r>
    </w:p>
    <w:p>
      <w:pPr>
        <w:spacing w:line="220" w:lineRule="exact" w:before="0"/>
        <w:ind w:left="737" w:right="0" w:firstLine="0"/>
        <w:jc w:val="left"/>
        <w:rPr>
          <w:sz w:val="18"/>
        </w:rPr>
      </w:pPr>
      <w:r>
        <w:rPr>
          <w:rFonts w:ascii="Times New Roman" w:eastAsia="Times New Roman"/>
          <w:w w:val="95"/>
          <w:sz w:val="18"/>
          <w:vertAlign w:val="superscript"/>
        </w:rPr>
        <w:t>33</w:t>
      </w:r>
      <w:r>
        <w:rPr>
          <w:b/>
          <w:w w:val="95"/>
          <w:sz w:val="18"/>
          <w:vertAlign w:val="baseline"/>
        </w:rPr>
        <w:t>无</w:t>
      </w:r>
      <w:r>
        <w:rPr>
          <w:b/>
          <w:w w:val="95"/>
          <w:sz w:val="18"/>
          <w:vertAlign w:val="baseline"/>
        </w:rPr>
        <w:t>合</w:t>
      </w:r>
      <w:r>
        <w:rPr>
          <w:b/>
          <w:w w:val="95"/>
          <w:sz w:val="18"/>
          <w:vertAlign w:val="baseline"/>
        </w:rPr>
        <w:t>法有</w:t>
      </w:r>
      <w:r>
        <w:rPr>
          <w:b/>
          <w:w w:val="95"/>
          <w:sz w:val="18"/>
          <w:vertAlign w:val="baseline"/>
        </w:rPr>
        <w:t>效</w:t>
      </w:r>
      <w:r>
        <w:rPr>
          <w:b/>
          <w:w w:val="95"/>
          <w:sz w:val="18"/>
          <w:vertAlign w:val="baseline"/>
        </w:rPr>
        <w:t>驾</w:t>
      </w:r>
      <w:r>
        <w:rPr>
          <w:b/>
          <w:w w:val="95"/>
          <w:sz w:val="18"/>
          <w:vertAlign w:val="baseline"/>
        </w:rPr>
        <w:t>驶</w:t>
      </w:r>
      <w:r>
        <w:rPr>
          <w:b/>
          <w:w w:val="95"/>
          <w:sz w:val="18"/>
          <w:vertAlign w:val="baseline"/>
        </w:rPr>
        <w:t>证</w:t>
      </w:r>
      <w:r>
        <w:rPr>
          <w:b/>
          <w:w w:val="95"/>
          <w:sz w:val="18"/>
          <w:vertAlign w:val="baseline"/>
        </w:rPr>
        <w:t>驾驶</w:t>
      </w:r>
      <w:r>
        <w:rPr>
          <w:w w:val="95"/>
          <w:sz w:val="18"/>
          <w:vertAlign w:val="baseline"/>
        </w:rPr>
        <w:t>：指</w:t>
      </w:r>
      <w:r>
        <w:rPr>
          <w:w w:val="95"/>
          <w:sz w:val="18"/>
          <w:vertAlign w:val="baseline"/>
        </w:rPr>
        <w:t>下</w:t>
      </w:r>
      <w:r>
        <w:rPr>
          <w:w w:val="95"/>
          <w:sz w:val="18"/>
          <w:vertAlign w:val="baseline"/>
        </w:rPr>
        <w:t>列</w:t>
      </w:r>
      <w:r>
        <w:rPr>
          <w:w w:val="95"/>
          <w:sz w:val="18"/>
          <w:vertAlign w:val="baseline"/>
        </w:rPr>
        <w:t>情</w:t>
      </w:r>
      <w:r>
        <w:rPr>
          <w:w w:val="95"/>
          <w:sz w:val="18"/>
          <w:vertAlign w:val="baseline"/>
        </w:rPr>
        <w:t>形</w:t>
      </w:r>
      <w:r>
        <w:rPr>
          <w:w w:val="95"/>
          <w:sz w:val="18"/>
          <w:vertAlign w:val="baseline"/>
        </w:rPr>
        <w:t>之</w:t>
      </w:r>
      <w:r>
        <w:rPr>
          <w:w w:val="95"/>
          <w:sz w:val="18"/>
          <w:vertAlign w:val="baseline"/>
        </w:rPr>
        <w:t>一</w:t>
      </w:r>
      <w:r>
        <w:rPr>
          <w:spacing w:val="-10"/>
          <w:w w:val="95"/>
          <w:sz w:val="18"/>
          <w:vertAlign w:val="baseline"/>
        </w:rPr>
        <w:t>：</w:t>
      </w:r>
    </w:p>
    <w:p>
      <w:pPr>
        <w:pStyle w:val="ListParagraph"/>
        <w:numPr>
          <w:ilvl w:val="0"/>
          <w:numId w:val="6"/>
        </w:numPr>
        <w:tabs>
          <w:tab w:pos="1277" w:val="left" w:leader="none"/>
          <w:tab w:pos="1278" w:val="left" w:leader="none"/>
        </w:tabs>
        <w:spacing w:line="220" w:lineRule="exact" w:before="0" w:after="0"/>
        <w:ind w:left="1277" w:right="0" w:hanging="361"/>
        <w:jc w:val="left"/>
        <w:rPr>
          <w:sz w:val="18"/>
        </w:rPr>
      </w:pPr>
      <w:r>
        <w:rPr>
          <w:spacing w:val="-2"/>
          <w:sz w:val="18"/>
        </w:rPr>
        <w:t>没有取得驾驶资格；</w:t>
      </w:r>
    </w:p>
    <w:p>
      <w:pPr>
        <w:pStyle w:val="ListParagraph"/>
        <w:numPr>
          <w:ilvl w:val="0"/>
          <w:numId w:val="6"/>
        </w:numPr>
        <w:tabs>
          <w:tab w:pos="1277" w:val="left" w:leader="none"/>
          <w:tab w:pos="1278" w:val="left" w:leader="none"/>
        </w:tabs>
        <w:spacing w:line="220" w:lineRule="exact" w:before="0" w:after="0"/>
        <w:ind w:left="1277" w:right="0" w:hanging="361"/>
        <w:jc w:val="left"/>
        <w:rPr>
          <w:sz w:val="18"/>
        </w:rPr>
      </w:pPr>
      <w:r>
        <w:rPr>
          <w:spacing w:val="-1"/>
          <w:sz w:val="18"/>
        </w:rPr>
        <w:t>驾驶与驾驶证准驾车型不相符合的车辆；</w:t>
      </w:r>
    </w:p>
    <w:p>
      <w:pPr>
        <w:pStyle w:val="ListParagraph"/>
        <w:numPr>
          <w:ilvl w:val="0"/>
          <w:numId w:val="6"/>
        </w:numPr>
        <w:tabs>
          <w:tab w:pos="1277" w:val="left" w:leader="none"/>
          <w:tab w:pos="1278" w:val="left" w:leader="none"/>
        </w:tabs>
        <w:spacing w:line="220" w:lineRule="exact" w:before="0" w:after="0"/>
        <w:ind w:left="1277" w:right="0" w:hanging="361"/>
        <w:jc w:val="left"/>
        <w:rPr>
          <w:sz w:val="18"/>
        </w:rPr>
      </w:pPr>
      <w:r>
        <w:rPr>
          <w:spacing w:val="-1"/>
          <w:sz w:val="18"/>
        </w:rPr>
        <w:t>持审验不合格的驾驶证驾驶；</w:t>
      </w:r>
    </w:p>
    <w:p>
      <w:pPr>
        <w:pStyle w:val="ListParagraph"/>
        <w:numPr>
          <w:ilvl w:val="0"/>
          <w:numId w:val="6"/>
        </w:numPr>
        <w:tabs>
          <w:tab w:pos="1277" w:val="left" w:leader="none"/>
          <w:tab w:pos="1278" w:val="left" w:leader="none"/>
        </w:tabs>
        <w:spacing w:line="220" w:lineRule="exact" w:before="0" w:after="0"/>
        <w:ind w:left="1277" w:right="0" w:hanging="361"/>
        <w:jc w:val="left"/>
        <w:rPr>
          <w:sz w:val="18"/>
        </w:rPr>
      </w:pPr>
      <w:r>
        <w:rPr>
          <w:spacing w:val="-1"/>
          <w:sz w:val="18"/>
        </w:rPr>
        <w:t>持学习驾驶证学习驾车时，无教练员随车指导，或不按指定时间、路线学习驾车。</w:t>
      </w:r>
    </w:p>
    <w:p>
      <w:pPr>
        <w:spacing w:line="220" w:lineRule="exact" w:before="0"/>
        <w:ind w:left="737" w:right="0" w:firstLine="0"/>
        <w:jc w:val="left"/>
        <w:rPr>
          <w:sz w:val="18"/>
        </w:rPr>
      </w:pPr>
      <w:r>
        <w:rPr>
          <w:rFonts w:ascii="Times New Roman" w:eastAsia="Times New Roman"/>
          <w:w w:val="95"/>
          <w:sz w:val="18"/>
          <w:vertAlign w:val="superscript"/>
        </w:rPr>
        <w:t>34</w:t>
      </w:r>
      <w:r>
        <w:rPr>
          <w:b/>
          <w:w w:val="95"/>
          <w:sz w:val="18"/>
          <w:vertAlign w:val="baseline"/>
        </w:rPr>
        <w:t>无</w:t>
      </w:r>
      <w:r>
        <w:rPr>
          <w:b/>
          <w:w w:val="95"/>
          <w:sz w:val="18"/>
          <w:vertAlign w:val="baseline"/>
        </w:rPr>
        <w:t>有</w:t>
      </w:r>
      <w:r>
        <w:rPr>
          <w:b/>
          <w:w w:val="95"/>
          <w:sz w:val="18"/>
          <w:vertAlign w:val="baseline"/>
        </w:rPr>
        <w:t>效行驶证</w:t>
      </w:r>
      <w:r>
        <w:rPr>
          <w:w w:val="95"/>
          <w:sz w:val="18"/>
          <w:vertAlign w:val="baseline"/>
        </w:rPr>
        <w:t>：</w:t>
      </w:r>
      <w:r>
        <w:rPr>
          <w:w w:val="95"/>
          <w:sz w:val="18"/>
          <w:vertAlign w:val="baseline"/>
        </w:rPr>
        <w:t>指</w:t>
      </w:r>
      <w:r>
        <w:rPr>
          <w:w w:val="95"/>
          <w:sz w:val="18"/>
          <w:vertAlign w:val="baseline"/>
        </w:rPr>
        <w:t>下</w:t>
      </w:r>
      <w:r>
        <w:rPr>
          <w:w w:val="95"/>
          <w:sz w:val="18"/>
          <w:vertAlign w:val="baseline"/>
        </w:rPr>
        <w:t>列</w:t>
      </w:r>
      <w:r>
        <w:rPr>
          <w:w w:val="95"/>
          <w:sz w:val="18"/>
          <w:vertAlign w:val="baseline"/>
        </w:rPr>
        <w:t>情</w:t>
      </w:r>
      <w:r>
        <w:rPr>
          <w:w w:val="95"/>
          <w:sz w:val="18"/>
          <w:vertAlign w:val="baseline"/>
        </w:rPr>
        <w:t>形</w:t>
      </w:r>
      <w:r>
        <w:rPr>
          <w:w w:val="95"/>
          <w:sz w:val="18"/>
          <w:vertAlign w:val="baseline"/>
        </w:rPr>
        <w:t>之</w:t>
      </w:r>
      <w:r>
        <w:rPr>
          <w:w w:val="95"/>
          <w:sz w:val="18"/>
          <w:vertAlign w:val="baseline"/>
        </w:rPr>
        <w:t>一</w:t>
      </w:r>
      <w:r>
        <w:rPr>
          <w:spacing w:val="-10"/>
          <w:w w:val="95"/>
          <w:sz w:val="18"/>
          <w:vertAlign w:val="baseline"/>
        </w:rPr>
        <w:t>：</w:t>
      </w:r>
    </w:p>
    <w:p>
      <w:pPr>
        <w:pStyle w:val="ListParagraph"/>
        <w:numPr>
          <w:ilvl w:val="0"/>
          <w:numId w:val="7"/>
        </w:numPr>
        <w:tabs>
          <w:tab w:pos="1277" w:val="left" w:leader="none"/>
          <w:tab w:pos="1278" w:val="left" w:leader="none"/>
        </w:tabs>
        <w:spacing w:line="220" w:lineRule="exact" w:before="0" w:after="0"/>
        <w:ind w:left="1277" w:right="0" w:hanging="361"/>
        <w:jc w:val="left"/>
        <w:rPr>
          <w:sz w:val="18"/>
        </w:rPr>
      </w:pPr>
      <w:r>
        <w:rPr>
          <w:spacing w:val="-1"/>
          <w:sz w:val="18"/>
        </w:rPr>
        <w:t>机动车被依法注销登记的；</w:t>
      </w:r>
    </w:p>
    <w:p>
      <w:pPr>
        <w:pStyle w:val="ListParagraph"/>
        <w:numPr>
          <w:ilvl w:val="0"/>
          <w:numId w:val="7"/>
        </w:numPr>
        <w:tabs>
          <w:tab w:pos="1277" w:val="left" w:leader="none"/>
          <w:tab w:pos="1278" w:val="left" w:leader="none"/>
        </w:tabs>
        <w:spacing w:line="220" w:lineRule="exact" w:before="0" w:after="0"/>
        <w:ind w:left="1277" w:right="0" w:hanging="361"/>
        <w:jc w:val="left"/>
        <w:rPr>
          <w:sz w:val="18"/>
        </w:rPr>
      </w:pPr>
      <w:r>
        <w:rPr>
          <w:spacing w:val="-1"/>
          <w:sz w:val="18"/>
        </w:rPr>
        <w:t>未依法按时进行或通过机动车安全技术检验。</w:t>
      </w:r>
    </w:p>
    <w:p>
      <w:pPr>
        <w:spacing w:line="220" w:lineRule="exact" w:before="0"/>
        <w:ind w:left="737" w:right="0" w:firstLine="0"/>
        <w:jc w:val="left"/>
        <w:rPr>
          <w:sz w:val="18"/>
        </w:rPr>
      </w:pPr>
      <w:r>
        <w:rPr>
          <w:rFonts w:ascii="Times New Roman" w:eastAsia="Times New Roman"/>
          <w:w w:val="95"/>
          <w:sz w:val="18"/>
          <w:vertAlign w:val="superscript"/>
        </w:rPr>
        <w:t>35</w:t>
      </w:r>
      <w:r>
        <w:rPr>
          <w:b/>
          <w:w w:val="95"/>
          <w:sz w:val="18"/>
          <w:vertAlign w:val="baseline"/>
        </w:rPr>
        <w:t>机</w:t>
      </w:r>
      <w:r>
        <w:rPr>
          <w:b/>
          <w:w w:val="95"/>
          <w:sz w:val="18"/>
          <w:vertAlign w:val="baseline"/>
        </w:rPr>
        <w:t>动</w:t>
      </w:r>
      <w:r>
        <w:rPr>
          <w:b/>
          <w:w w:val="95"/>
          <w:sz w:val="18"/>
          <w:vertAlign w:val="baseline"/>
        </w:rPr>
        <w:t>车</w:t>
      </w:r>
      <w:r>
        <w:rPr>
          <w:w w:val="95"/>
          <w:sz w:val="18"/>
          <w:vertAlign w:val="baseline"/>
        </w:rPr>
        <w:t>：</w:t>
      </w:r>
      <w:r>
        <w:rPr>
          <w:w w:val="95"/>
          <w:sz w:val="18"/>
          <w:vertAlign w:val="baseline"/>
        </w:rPr>
        <w:t>指</w:t>
      </w:r>
      <w:r>
        <w:rPr>
          <w:w w:val="95"/>
          <w:sz w:val="18"/>
          <w:vertAlign w:val="baseline"/>
        </w:rPr>
        <w:t>以</w:t>
      </w:r>
      <w:r>
        <w:rPr>
          <w:w w:val="95"/>
          <w:sz w:val="18"/>
          <w:vertAlign w:val="baseline"/>
        </w:rPr>
        <w:t>动</w:t>
      </w:r>
      <w:r>
        <w:rPr>
          <w:w w:val="95"/>
          <w:sz w:val="18"/>
          <w:vertAlign w:val="baseline"/>
        </w:rPr>
        <w:t>力</w:t>
      </w:r>
      <w:r>
        <w:rPr>
          <w:w w:val="95"/>
          <w:sz w:val="18"/>
          <w:vertAlign w:val="baseline"/>
        </w:rPr>
        <w:t>装</w:t>
      </w:r>
      <w:r>
        <w:rPr>
          <w:w w:val="95"/>
          <w:sz w:val="18"/>
          <w:vertAlign w:val="baseline"/>
        </w:rPr>
        <w:t>置</w:t>
      </w:r>
      <w:r>
        <w:rPr>
          <w:w w:val="95"/>
          <w:sz w:val="18"/>
          <w:vertAlign w:val="baseline"/>
        </w:rPr>
        <w:t>驱</w:t>
      </w:r>
      <w:r>
        <w:rPr>
          <w:w w:val="95"/>
          <w:sz w:val="18"/>
          <w:vertAlign w:val="baseline"/>
        </w:rPr>
        <w:t>动</w:t>
      </w:r>
      <w:r>
        <w:rPr>
          <w:w w:val="95"/>
          <w:sz w:val="18"/>
          <w:vertAlign w:val="baseline"/>
        </w:rPr>
        <w:t>或</w:t>
      </w:r>
      <w:r>
        <w:rPr>
          <w:w w:val="95"/>
          <w:sz w:val="18"/>
          <w:vertAlign w:val="baseline"/>
        </w:rPr>
        <w:t>者</w:t>
      </w:r>
      <w:r>
        <w:rPr>
          <w:w w:val="95"/>
          <w:sz w:val="18"/>
          <w:vertAlign w:val="baseline"/>
        </w:rPr>
        <w:t>牵</w:t>
      </w:r>
      <w:r>
        <w:rPr>
          <w:w w:val="95"/>
          <w:sz w:val="18"/>
          <w:vertAlign w:val="baseline"/>
        </w:rPr>
        <w:t>引</w:t>
      </w:r>
      <w:r>
        <w:rPr>
          <w:w w:val="95"/>
          <w:sz w:val="18"/>
          <w:vertAlign w:val="baseline"/>
        </w:rPr>
        <w:t>，</w:t>
      </w:r>
      <w:r>
        <w:rPr>
          <w:w w:val="95"/>
          <w:sz w:val="18"/>
          <w:vertAlign w:val="baseline"/>
        </w:rPr>
        <w:t>上</w:t>
      </w:r>
      <w:r>
        <w:rPr>
          <w:w w:val="95"/>
          <w:sz w:val="18"/>
          <w:vertAlign w:val="baseline"/>
        </w:rPr>
        <w:t>道</w:t>
      </w:r>
      <w:r>
        <w:rPr>
          <w:w w:val="95"/>
          <w:sz w:val="18"/>
          <w:vertAlign w:val="baseline"/>
        </w:rPr>
        <w:t>路</w:t>
      </w:r>
      <w:r>
        <w:rPr>
          <w:w w:val="95"/>
          <w:sz w:val="18"/>
          <w:vertAlign w:val="baseline"/>
        </w:rPr>
        <w:t>行</w:t>
      </w:r>
      <w:r>
        <w:rPr>
          <w:w w:val="95"/>
          <w:sz w:val="18"/>
          <w:vertAlign w:val="baseline"/>
        </w:rPr>
        <w:t>驶</w:t>
      </w:r>
      <w:r>
        <w:rPr>
          <w:w w:val="95"/>
          <w:sz w:val="18"/>
          <w:vertAlign w:val="baseline"/>
        </w:rPr>
        <w:t>的</w:t>
      </w:r>
      <w:r>
        <w:rPr>
          <w:w w:val="95"/>
          <w:sz w:val="18"/>
          <w:vertAlign w:val="baseline"/>
        </w:rPr>
        <w:t>供</w:t>
      </w:r>
      <w:r>
        <w:rPr>
          <w:w w:val="95"/>
          <w:sz w:val="18"/>
          <w:vertAlign w:val="baseline"/>
        </w:rPr>
        <w:t>人</w:t>
      </w:r>
      <w:r>
        <w:rPr>
          <w:w w:val="95"/>
          <w:sz w:val="18"/>
          <w:vertAlign w:val="baseline"/>
        </w:rPr>
        <w:t>员</w:t>
      </w:r>
      <w:r>
        <w:rPr>
          <w:w w:val="95"/>
          <w:sz w:val="18"/>
          <w:vertAlign w:val="baseline"/>
        </w:rPr>
        <w:t>乘</w:t>
      </w:r>
      <w:r>
        <w:rPr>
          <w:w w:val="95"/>
          <w:sz w:val="18"/>
          <w:vertAlign w:val="baseline"/>
        </w:rPr>
        <w:t>用</w:t>
      </w:r>
      <w:r>
        <w:rPr>
          <w:w w:val="95"/>
          <w:sz w:val="18"/>
          <w:vertAlign w:val="baseline"/>
        </w:rPr>
        <w:t>或</w:t>
      </w:r>
      <w:r>
        <w:rPr>
          <w:w w:val="95"/>
          <w:sz w:val="18"/>
          <w:vertAlign w:val="baseline"/>
        </w:rPr>
        <w:t>者</w:t>
      </w:r>
      <w:r>
        <w:rPr>
          <w:w w:val="95"/>
          <w:sz w:val="18"/>
          <w:vertAlign w:val="baseline"/>
        </w:rPr>
        <w:t>用</w:t>
      </w:r>
      <w:r>
        <w:rPr>
          <w:w w:val="95"/>
          <w:sz w:val="18"/>
          <w:vertAlign w:val="baseline"/>
        </w:rPr>
        <w:t>于</w:t>
      </w:r>
      <w:r>
        <w:rPr>
          <w:w w:val="95"/>
          <w:sz w:val="18"/>
          <w:vertAlign w:val="baseline"/>
        </w:rPr>
        <w:t>运</w:t>
      </w:r>
      <w:r>
        <w:rPr>
          <w:w w:val="95"/>
          <w:sz w:val="18"/>
          <w:vertAlign w:val="baseline"/>
        </w:rPr>
        <w:t>送</w:t>
      </w:r>
      <w:r>
        <w:rPr>
          <w:w w:val="95"/>
          <w:sz w:val="18"/>
          <w:vertAlign w:val="baseline"/>
        </w:rPr>
        <w:t>物</w:t>
      </w:r>
      <w:r>
        <w:rPr>
          <w:w w:val="95"/>
          <w:sz w:val="18"/>
          <w:vertAlign w:val="baseline"/>
        </w:rPr>
        <w:t>品</w:t>
      </w:r>
      <w:r>
        <w:rPr>
          <w:w w:val="95"/>
          <w:sz w:val="18"/>
          <w:vertAlign w:val="baseline"/>
        </w:rPr>
        <w:t>以</w:t>
      </w:r>
      <w:r>
        <w:rPr>
          <w:w w:val="95"/>
          <w:sz w:val="18"/>
          <w:vertAlign w:val="baseline"/>
        </w:rPr>
        <w:t>及</w:t>
      </w:r>
      <w:r>
        <w:rPr>
          <w:w w:val="95"/>
          <w:sz w:val="18"/>
          <w:vertAlign w:val="baseline"/>
        </w:rPr>
        <w:t>进</w:t>
      </w:r>
      <w:r>
        <w:rPr>
          <w:w w:val="95"/>
          <w:sz w:val="18"/>
          <w:vertAlign w:val="baseline"/>
        </w:rPr>
        <w:t>行</w:t>
      </w:r>
      <w:r>
        <w:rPr>
          <w:w w:val="95"/>
          <w:sz w:val="18"/>
          <w:vertAlign w:val="baseline"/>
        </w:rPr>
        <w:t>工</w:t>
      </w:r>
      <w:r>
        <w:rPr>
          <w:w w:val="95"/>
          <w:sz w:val="18"/>
          <w:vertAlign w:val="baseline"/>
        </w:rPr>
        <w:t>程</w:t>
      </w:r>
      <w:r>
        <w:rPr>
          <w:w w:val="95"/>
          <w:sz w:val="18"/>
          <w:vertAlign w:val="baseline"/>
        </w:rPr>
        <w:t>专</w:t>
      </w:r>
      <w:r>
        <w:rPr>
          <w:w w:val="95"/>
          <w:sz w:val="18"/>
          <w:vertAlign w:val="baseline"/>
        </w:rPr>
        <w:t>项</w:t>
      </w:r>
      <w:r>
        <w:rPr>
          <w:spacing w:val="-10"/>
          <w:w w:val="95"/>
          <w:sz w:val="18"/>
          <w:vertAlign w:val="baseline"/>
        </w:rPr>
        <w:t>作</w:t>
      </w:r>
    </w:p>
    <w:p>
      <w:pPr>
        <w:spacing w:line="220" w:lineRule="exact" w:before="0"/>
        <w:ind w:left="737" w:right="0" w:firstLine="0"/>
        <w:jc w:val="left"/>
        <w:rPr>
          <w:sz w:val="18"/>
        </w:rPr>
      </w:pPr>
      <w:r>
        <w:rPr>
          <w:spacing w:val="-2"/>
          <w:sz w:val="18"/>
        </w:rPr>
        <w:t>业的轮式车辆。</w:t>
      </w:r>
    </w:p>
    <w:p>
      <w:pPr>
        <w:spacing w:line="220" w:lineRule="exact" w:before="0"/>
        <w:ind w:left="737" w:right="0" w:firstLine="0"/>
        <w:jc w:val="left"/>
        <w:rPr>
          <w:sz w:val="18"/>
        </w:rPr>
      </w:pPr>
      <w:r>
        <w:rPr>
          <w:rFonts w:ascii="Times New Roman" w:eastAsia="Times New Roman"/>
          <w:w w:val="95"/>
          <w:sz w:val="18"/>
          <w:vertAlign w:val="superscript"/>
        </w:rPr>
        <w:t>36</w:t>
      </w:r>
      <w:r>
        <w:rPr>
          <w:b/>
          <w:w w:val="95"/>
          <w:sz w:val="18"/>
          <w:vertAlign w:val="baseline"/>
        </w:rPr>
        <w:t>毒</w:t>
      </w:r>
      <w:r>
        <w:rPr>
          <w:b/>
          <w:w w:val="95"/>
          <w:sz w:val="18"/>
          <w:vertAlign w:val="baseline"/>
        </w:rPr>
        <w:t>品</w:t>
      </w:r>
      <w:r>
        <w:rPr>
          <w:w w:val="95"/>
          <w:sz w:val="18"/>
          <w:vertAlign w:val="baseline"/>
        </w:rPr>
        <w:t>：</w:t>
      </w:r>
      <w:r>
        <w:rPr>
          <w:w w:val="95"/>
          <w:sz w:val="18"/>
          <w:vertAlign w:val="baseline"/>
        </w:rPr>
        <w:t>指</w:t>
      </w:r>
      <w:r>
        <w:rPr>
          <w:w w:val="95"/>
          <w:sz w:val="18"/>
          <w:vertAlign w:val="baseline"/>
        </w:rPr>
        <w:t>中</w:t>
      </w:r>
      <w:r>
        <w:rPr>
          <w:w w:val="95"/>
          <w:sz w:val="18"/>
          <w:vertAlign w:val="baseline"/>
        </w:rPr>
        <w:t>华</w:t>
      </w:r>
      <w:r>
        <w:rPr>
          <w:w w:val="95"/>
          <w:sz w:val="18"/>
          <w:vertAlign w:val="baseline"/>
        </w:rPr>
        <w:t>人</w:t>
      </w:r>
      <w:r>
        <w:rPr>
          <w:w w:val="95"/>
          <w:sz w:val="18"/>
          <w:vertAlign w:val="baseline"/>
        </w:rPr>
        <w:t>民</w:t>
      </w:r>
      <w:r>
        <w:rPr>
          <w:w w:val="95"/>
          <w:sz w:val="18"/>
          <w:vertAlign w:val="baseline"/>
        </w:rPr>
        <w:t>共</w:t>
      </w:r>
      <w:r>
        <w:rPr>
          <w:w w:val="95"/>
          <w:sz w:val="18"/>
          <w:vertAlign w:val="baseline"/>
        </w:rPr>
        <w:t>和</w:t>
      </w:r>
      <w:r>
        <w:rPr>
          <w:w w:val="95"/>
          <w:sz w:val="18"/>
          <w:vertAlign w:val="baseline"/>
        </w:rPr>
        <w:t>国</w:t>
      </w:r>
      <w:r>
        <w:rPr>
          <w:w w:val="95"/>
          <w:sz w:val="18"/>
          <w:vertAlign w:val="baseline"/>
        </w:rPr>
        <w:t>刑</w:t>
      </w:r>
      <w:r>
        <w:rPr>
          <w:w w:val="95"/>
          <w:sz w:val="18"/>
          <w:vertAlign w:val="baseline"/>
        </w:rPr>
        <w:t>法</w:t>
      </w:r>
      <w:r>
        <w:rPr>
          <w:w w:val="95"/>
          <w:sz w:val="18"/>
          <w:vertAlign w:val="baseline"/>
        </w:rPr>
        <w:t>规</w:t>
      </w:r>
      <w:r>
        <w:rPr>
          <w:w w:val="95"/>
          <w:sz w:val="18"/>
          <w:vertAlign w:val="baseline"/>
        </w:rPr>
        <w:t>定</w:t>
      </w:r>
      <w:r>
        <w:rPr>
          <w:w w:val="95"/>
          <w:sz w:val="18"/>
          <w:vertAlign w:val="baseline"/>
        </w:rPr>
        <w:t>的</w:t>
      </w:r>
      <w:r>
        <w:rPr>
          <w:w w:val="95"/>
          <w:sz w:val="18"/>
          <w:vertAlign w:val="baseline"/>
        </w:rPr>
        <w:t>鸦</w:t>
      </w:r>
      <w:r>
        <w:rPr>
          <w:w w:val="95"/>
          <w:sz w:val="18"/>
          <w:vertAlign w:val="baseline"/>
        </w:rPr>
        <w:t>片</w:t>
      </w:r>
      <w:r>
        <w:rPr>
          <w:w w:val="95"/>
          <w:sz w:val="18"/>
          <w:vertAlign w:val="baseline"/>
        </w:rPr>
        <w:t>、</w:t>
      </w:r>
      <w:r>
        <w:rPr>
          <w:w w:val="95"/>
          <w:sz w:val="18"/>
          <w:vertAlign w:val="baseline"/>
        </w:rPr>
        <w:t>海</w:t>
      </w:r>
      <w:r>
        <w:rPr>
          <w:w w:val="95"/>
          <w:sz w:val="18"/>
          <w:vertAlign w:val="baseline"/>
        </w:rPr>
        <w:t>洛</w:t>
      </w:r>
      <w:r>
        <w:rPr>
          <w:w w:val="95"/>
          <w:sz w:val="18"/>
          <w:vertAlign w:val="baseline"/>
        </w:rPr>
        <w:t>因</w:t>
      </w:r>
      <w:r>
        <w:rPr>
          <w:w w:val="95"/>
          <w:sz w:val="18"/>
          <w:vertAlign w:val="baseline"/>
        </w:rPr>
        <w:t>、</w:t>
      </w:r>
      <w:r>
        <w:rPr>
          <w:w w:val="95"/>
          <w:sz w:val="18"/>
          <w:vertAlign w:val="baseline"/>
        </w:rPr>
        <w:t>甲</w:t>
      </w:r>
      <w:r>
        <w:rPr>
          <w:w w:val="95"/>
          <w:sz w:val="18"/>
          <w:vertAlign w:val="baseline"/>
        </w:rPr>
        <w:t>基</w:t>
      </w:r>
      <w:r>
        <w:rPr>
          <w:w w:val="95"/>
          <w:sz w:val="18"/>
          <w:vertAlign w:val="baseline"/>
        </w:rPr>
        <w:t>苯</w:t>
      </w:r>
      <w:r>
        <w:rPr>
          <w:w w:val="95"/>
          <w:sz w:val="18"/>
          <w:vertAlign w:val="baseline"/>
        </w:rPr>
        <w:t>丙</w:t>
      </w:r>
      <w:r>
        <w:rPr>
          <w:w w:val="95"/>
          <w:sz w:val="18"/>
          <w:vertAlign w:val="baseline"/>
        </w:rPr>
        <w:t>胺（</w:t>
      </w:r>
      <w:r>
        <w:rPr>
          <w:w w:val="95"/>
          <w:sz w:val="18"/>
          <w:vertAlign w:val="baseline"/>
        </w:rPr>
        <w:t>冰</w:t>
      </w:r>
      <w:r>
        <w:rPr>
          <w:w w:val="95"/>
          <w:sz w:val="18"/>
          <w:vertAlign w:val="baseline"/>
        </w:rPr>
        <w:t>毒</w:t>
      </w:r>
      <w:r>
        <w:rPr>
          <w:w w:val="95"/>
          <w:sz w:val="18"/>
          <w:vertAlign w:val="baseline"/>
        </w:rPr>
        <w:t>）</w:t>
      </w:r>
      <w:r>
        <w:rPr>
          <w:w w:val="95"/>
          <w:sz w:val="18"/>
          <w:vertAlign w:val="baseline"/>
        </w:rPr>
        <w:t>、</w:t>
      </w:r>
      <w:r>
        <w:rPr>
          <w:w w:val="95"/>
          <w:sz w:val="18"/>
          <w:vertAlign w:val="baseline"/>
        </w:rPr>
        <w:t>吗</w:t>
      </w:r>
      <w:r>
        <w:rPr>
          <w:w w:val="95"/>
          <w:sz w:val="18"/>
          <w:vertAlign w:val="baseline"/>
        </w:rPr>
        <w:t>啡</w:t>
      </w:r>
      <w:r>
        <w:rPr>
          <w:w w:val="95"/>
          <w:sz w:val="18"/>
          <w:vertAlign w:val="baseline"/>
        </w:rPr>
        <w:t>、</w:t>
      </w:r>
      <w:r>
        <w:rPr>
          <w:w w:val="95"/>
          <w:sz w:val="18"/>
          <w:vertAlign w:val="baseline"/>
        </w:rPr>
        <w:t>大</w:t>
      </w:r>
      <w:r>
        <w:rPr>
          <w:w w:val="95"/>
          <w:sz w:val="18"/>
          <w:vertAlign w:val="baseline"/>
        </w:rPr>
        <w:t>麻</w:t>
      </w:r>
      <w:r>
        <w:rPr>
          <w:w w:val="95"/>
          <w:sz w:val="18"/>
          <w:vertAlign w:val="baseline"/>
        </w:rPr>
        <w:t>、</w:t>
      </w:r>
      <w:r>
        <w:rPr>
          <w:w w:val="95"/>
          <w:sz w:val="18"/>
          <w:vertAlign w:val="baseline"/>
        </w:rPr>
        <w:t>可</w:t>
      </w:r>
      <w:r>
        <w:rPr>
          <w:w w:val="95"/>
          <w:sz w:val="18"/>
          <w:vertAlign w:val="baseline"/>
        </w:rPr>
        <w:t>卡</w:t>
      </w:r>
      <w:r>
        <w:rPr>
          <w:w w:val="95"/>
          <w:sz w:val="18"/>
          <w:vertAlign w:val="baseline"/>
        </w:rPr>
        <w:t>因</w:t>
      </w:r>
      <w:r>
        <w:rPr>
          <w:w w:val="95"/>
          <w:sz w:val="18"/>
          <w:vertAlign w:val="baseline"/>
        </w:rPr>
        <w:t>以</w:t>
      </w:r>
      <w:r>
        <w:rPr>
          <w:w w:val="95"/>
          <w:sz w:val="18"/>
          <w:vertAlign w:val="baseline"/>
        </w:rPr>
        <w:t>及</w:t>
      </w:r>
      <w:r>
        <w:rPr>
          <w:w w:val="95"/>
          <w:sz w:val="18"/>
          <w:vertAlign w:val="baseline"/>
        </w:rPr>
        <w:t>国</w:t>
      </w:r>
      <w:r>
        <w:rPr>
          <w:spacing w:val="-10"/>
          <w:w w:val="95"/>
          <w:sz w:val="18"/>
          <w:vertAlign w:val="baseline"/>
        </w:rPr>
        <w:t>家</w:t>
      </w:r>
    </w:p>
    <w:p>
      <w:pPr>
        <w:spacing w:line="230" w:lineRule="auto" w:before="2"/>
        <w:ind w:left="737" w:right="764" w:firstLine="0"/>
        <w:jc w:val="left"/>
        <w:rPr>
          <w:sz w:val="18"/>
        </w:rPr>
      </w:pPr>
      <w:r>
        <w:rPr>
          <w:spacing w:val="-2"/>
          <w:sz w:val="18"/>
        </w:rPr>
        <w:t>规定管制的其他能够使人形成瘾癖的麻醉药品和精神药品，但不包括由医生开具并遵医嘱使用的用于治疗</w:t>
      </w:r>
      <w:r>
        <w:rPr>
          <w:spacing w:val="-2"/>
          <w:sz w:val="18"/>
        </w:rPr>
        <w:t>疾病但含有毒品成分的处方药品。</w:t>
      </w:r>
    </w:p>
    <w:p>
      <w:pPr>
        <w:spacing w:line="216" w:lineRule="exact" w:before="0"/>
        <w:ind w:left="737" w:right="0" w:firstLine="0"/>
        <w:jc w:val="left"/>
        <w:rPr>
          <w:sz w:val="18"/>
        </w:rPr>
      </w:pPr>
      <w:r>
        <w:rPr>
          <w:rFonts w:ascii="Times New Roman" w:eastAsia="Times New Roman"/>
          <w:w w:val="95"/>
          <w:sz w:val="18"/>
          <w:vertAlign w:val="superscript"/>
        </w:rPr>
        <w:t>37</w:t>
      </w:r>
      <w:r>
        <w:rPr>
          <w:b/>
          <w:w w:val="95"/>
          <w:sz w:val="18"/>
          <w:vertAlign w:val="baseline"/>
        </w:rPr>
        <w:t>管</w:t>
      </w:r>
      <w:r>
        <w:rPr>
          <w:b/>
          <w:w w:val="95"/>
          <w:sz w:val="18"/>
          <w:vertAlign w:val="baseline"/>
        </w:rPr>
        <w:t>制</w:t>
      </w:r>
      <w:r>
        <w:rPr>
          <w:b/>
          <w:w w:val="95"/>
          <w:sz w:val="18"/>
          <w:vertAlign w:val="baseline"/>
        </w:rPr>
        <w:t>药品</w:t>
      </w:r>
      <w:r>
        <w:rPr>
          <w:w w:val="95"/>
          <w:sz w:val="18"/>
          <w:vertAlign w:val="baseline"/>
        </w:rPr>
        <w:t>：指</w:t>
      </w:r>
      <w:r>
        <w:rPr>
          <w:w w:val="95"/>
          <w:sz w:val="18"/>
          <w:vertAlign w:val="baseline"/>
        </w:rPr>
        <w:t>根</w:t>
      </w:r>
      <w:r>
        <w:rPr>
          <w:w w:val="95"/>
          <w:sz w:val="18"/>
          <w:vertAlign w:val="baseline"/>
        </w:rPr>
        <w:t>据</w:t>
      </w:r>
      <w:r>
        <w:rPr>
          <w:w w:val="95"/>
          <w:sz w:val="18"/>
          <w:vertAlign w:val="baseline"/>
        </w:rPr>
        <w:t>《</w:t>
      </w:r>
      <w:r>
        <w:rPr>
          <w:w w:val="95"/>
          <w:sz w:val="18"/>
          <w:vertAlign w:val="baseline"/>
        </w:rPr>
        <w:t>中</w:t>
      </w:r>
      <w:r>
        <w:rPr>
          <w:w w:val="95"/>
          <w:sz w:val="18"/>
          <w:vertAlign w:val="baseline"/>
        </w:rPr>
        <w:t>华</w:t>
      </w:r>
      <w:r>
        <w:rPr>
          <w:w w:val="95"/>
          <w:sz w:val="18"/>
          <w:vertAlign w:val="baseline"/>
        </w:rPr>
        <w:t>人</w:t>
      </w:r>
      <w:r>
        <w:rPr>
          <w:w w:val="95"/>
          <w:sz w:val="18"/>
          <w:vertAlign w:val="baseline"/>
        </w:rPr>
        <w:t>民</w:t>
      </w:r>
      <w:r>
        <w:rPr>
          <w:w w:val="95"/>
          <w:sz w:val="18"/>
          <w:vertAlign w:val="baseline"/>
        </w:rPr>
        <w:t>共</w:t>
      </w:r>
      <w:r>
        <w:rPr>
          <w:w w:val="95"/>
          <w:sz w:val="18"/>
          <w:vertAlign w:val="baseline"/>
        </w:rPr>
        <w:t>和</w:t>
      </w:r>
      <w:r>
        <w:rPr>
          <w:w w:val="95"/>
          <w:sz w:val="18"/>
          <w:vertAlign w:val="baseline"/>
        </w:rPr>
        <w:t>国</w:t>
      </w:r>
      <w:r>
        <w:rPr>
          <w:w w:val="95"/>
          <w:sz w:val="18"/>
          <w:vertAlign w:val="baseline"/>
        </w:rPr>
        <w:t>药</w:t>
      </w:r>
      <w:r>
        <w:rPr>
          <w:w w:val="95"/>
          <w:sz w:val="18"/>
          <w:vertAlign w:val="baseline"/>
        </w:rPr>
        <w:t>品</w:t>
      </w:r>
      <w:r>
        <w:rPr>
          <w:w w:val="95"/>
          <w:sz w:val="18"/>
          <w:vertAlign w:val="baseline"/>
        </w:rPr>
        <w:t>管</w:t>
      </w:r>
      <w:r>
        <w:rPr>
          <w:w w:val="95"/>
          <w:sz w:val="18"/>
          <w:vertAlign w:val="baseline"/>
        </w:rPr>
        <w:t>理</w:t>
      </w:r>
      <w:r>
        <w:rPr>
          <w:w w:val="95"/>
          <w:sz w:val="18"/>
          <w:vertAlign w:val="baseline"/>
        </w:rPr>
        <w:t>法</w:t>
      </w:r>
      <w:r>
        <w:rPr>
          <w:w w:val="95"/>
          <w:sz w:val="18"/>
          <w:vertAlign w:val="baseline"/>
        </w:rPr>
        <w:t>》</w:t>
      </w:r>
      <w:r>
        <w:rPr>
          <w:w w:val="95"/>
          <w:sz w:val="18"/>
          <w:vertAlign w:val="baseline"/>
        </w:rPr>
        <w:t>及</w:t>
      </w:r>
      <w:r>
        <w:rPr>
          <w:w w:val="95"/>
          <w:sz w:val="18"/>
          <w:vertAlign w:val="baseline"/>
        </w:rPr>
        <w:t>有</w:t>
      </w:r>
      <w:r>
        <w:rPr>
          <w:w w:val="95"/>
          <w:sz w:val="18"/>
          <w:vertAlign w:val="baseline"/>
        </w:rPr>
        <w:t>关</w:t>
      </w:r>
      <w:r>
        <w:rPr>
          <w:w w:val="95"/>
          <w:sz w:val="18"/>
          <w:vertAlign w:val="baseline"/>
        </w:rPr>
        <w:t>法</w:t>
      </w:r>
      <w:r>
        <w:rPr>
          <w:w w:val="95"/>
          <w:sz w:val="18"/>
          <w:vertAlign w:val="baseline"/>
        </w:rPr>
        <w:t>规</w:t>
      </w:r>
      <w:r>
        <w:rPr>
          <w:w w:val="95"/>
          <w:sz w:val="18"/>
          <w:vertAlign w:val="baseline"/>
        </w:rPr>
        <w:t>被</w:t>
      </w:r>
      <w:r>
        <w:rPr>
          <w:w w:val="95"/>
          <w:sz w:val="18"/>
          <w:vertAlign w:val="baseline"/>
        </w:rPr>
        <w:t>列</w:t>
      </w:r>
      <w:r>
        <w:rPr>
          <w:w w:val="95"/>
          <w:sz w:val="18"/>
          <w:vertAlign w:val="baseline"/>
        </w:rPr>
        <w:t>为</w:t>
      </w:r>
      <w:r>
        <w:rPr>
          <w:w w:val="95"/>
          <w:sz w:val="18"/>
          <w:vertAlign w:val="baseline"/>
        </w:rPr>
        <w:t>特</w:t>
      </w:r>
      <w:r>
        <w:rPr>
          <w:w w:val="95"/>
          <w:sz w:val="18"/>
          <w:vertAlign w:val="baseline"/>
        </w:rPr>
        <w:t>殊</w:t>
      </w:r>
      <w:r>
        <w:rPr>
          <w:w w:val="95"/>
          <w:sz w:val="18"/>
          <w:vertAlign w:val="baseline"/>
        </w:rPr>
        <w:t>管</w:t>
      </w:r>
      <w:r>
        <w:rPr>
          <w:w w:val="95"/>
          <w:sz w:val="18"/>
          <w:vertAlign w:val="baseline"/>
        </w:rPr>
        <w:t>理</w:t>
      </w:r>
      <w:r>
        <w:rPr>
          <w:w w:val="95"/>
          <w:sz w:val="18"/>
          <w:vertAlign w:val="baseline"/>
        </w:rPr>
        <w:t>的</w:t>
      </w:r>
      <w:r>
        <w:rPr>
          <w:w w:val="95"/>
          <w:sz w:val="18"/>
          <w:vertAlign w:val="baseline"/>
        </w:rPr>
        <w:t>药</w:t>
      </w:r>
      <w:r>
        <w:rPr>
          <w:w w:val="95"/>
          <w:sz w:val="18"/>
          <w:vertAlign w:val="baseline"/>
        </w:rPr>
        <w:t>品</w:t>
      </w:r>
      <w:r>
        <w:rPr>
          <w:w w:val="95"/>
          <w:sz w:val="18"/>
          <w:vertAlign w:val="baseline"/>
        </w:rPr>
        <w:t>，</w:t>
      </w:r>
      <w:r>
        <w:rPr>
          <w:w w:val="95"/>
          <w:sz w:val="18"/>
          <w:vertAlign w:val="baseline"/>
        </w:rPr>
        <w:t>包</w:t>
      </w:r>
      <w:r>
        <w:rPr>
          <w:w w:val="95"/>
          <w:sz w:val="18"/>
          <w:vertAlign w:val="baseline"/>
        </w:rPr>
        <w:t>括</w:t>
      </w:r>
      <w:r>
        <w:rPr>
          <w:w w:val="95"/>
          <w:sz w:val="18"/>
          <w:vertAlign w:val="baseline"/>
        </w:rPr>
        <w:t>麻</w:t>
      </w:r>
      <w:r>
        <w:rPr>
          <w:w w:val="95"/>
          <w:sz w:val="18"/>
          <w:vertAlign w:val="baseline"/>
        </w:rPr>
        <w:t>醉</w:t>
      </w:r>
      <w:r>
        <w:rPr>
          <w:w w:val="95"/>
          <w:sz w:val="18"/>
          <w:vertAlign w:val="baseline"/>
        </w:rPr>
        <w:t>药</w:t>
      </w:r>
      <w:r>
        <w:rPr>
          <w:w w:val="95"/>
          <w:sz w:val="18"/>
          <w:vertAlign w:val="baseline"/>
        </w:rPr>
        <w:t>品</w:t>
      </w:r>
      <w:r>
        <w:rPr>
          <w:spacing w:val="-10"/>
          <w:w w:val="95"/>
          <w:sz w:val="18"/>
          <w:vertAlign w:val="baseline"/>
        </w:rPr>
        <w:t>、</w:t>
      </w:r>
    </w:p>
    <w:p>
      <w:pPr>
        <w:spacing w:line="220" w:lineRule="exact" w:before="0"/>
        <w:ind w:left="737" w:right="0" w:firstLine="0"/>
        <w:jc w:val="left"/>
        <w:rPr>
          <w:sz w:val="18"/>
        </w:rPr>
      </w:pPr>
      <w:r>
        <w:rPr>
          <w:spacing w:val="-1"/>
          <w:sz w:val="18"/>
        </w:rPr>
        <w:t>精神药品、毒性药品及放射性药品。</w:t>
      </w:r>
    </w:p>
    <w:p>
      <w:pPr>
        <w:spacing w:line="220" w:lineRule="exact" w:before="0"/>
        <w:ind w:left="737" w:right="0" w:firstLine="0"/>
        <w:jc w:val="left"/>
        <w:rPr>
          <w:sz w:val="18"/>
        </w:rPr>
      </w:pPr>
      <w:r>
        <w:rPr>
          <w:rFonts w:ascii="Times New Roman" w:eastAsia="Times New Roman"/>
          <w:w w:val="95"/>
          <w:sz w:val="18"/>
          <w:vertAlign w:val="superscript"/>
        </w:rPr>
        <w:t>38</w:t>
      </w:r>
      <w:r>
        <w:rPr>
          <w:b/>
          <w:w w:val="95"/>
          <w:sz w:val="18"/>
          <w:vertAlign w:val="baseline"/>
        </w:rPr>
        <w:t>精</w:t>
      </w:r>
      <w:r>
        <w:rPr>
          <w:b/>
          <w:w w:val="95"/>
          <w:sz w:val="18"/>
          <w:vertAlign w:val="baseline"/>
        </w:rPr>
        <w:t>神</w:t>
      </w:r>
      <w:r>
        <w:rPr>
          <w:b/>
          <w:w w:val="95"/>
          <w:sz w:val="18"/>
          <w:vertAlign w:val="baseline"/>
        </w:rPr>
        <w:t>疾病</w:t>
      </w:r>
      <w:r>
        <w:rPr>
          <w:w w:val="95"/>
          <w:sz w:val="18"/>
          <w:vertAlign w:val="baseline"/>
        </w:rPr>
        <w:t>：指</w:t>
      </w:r>
      <w:r>
        <w:rPr>
          <w:w w:val="95"/>
          <w:sz w:val="18"/>
          <w:vertAlign w:val="baseline"/>
        </w:rPr>
        <w:t>依</w:t>
      </w:r>
      <w:r>
        <w:rPr>
          <w:w w:val="95"/>
          <w:sz w:val="18"/>
          <w:vertAlign w:val="baseline"/>
        </w:rPr>
        <w:t>据</w:t>
      </w:r>
      <w:r>
        <w:rPr>
          <w:w w:val="95"/>
          <w:sz w:val="18"/>
          <w:vertAlign w:val="baseline"/>
        </w:rPr>
        <w:t>世</w:t>
      </w:r>
      <w:r>
        <w:rPr>
          <w:w w:val="95"/>
          <w:sz w:val="18"/>
          <w:vertAlign w:val="baseline"/>
        </w:rPr>
        <w:t>界</w:t>
      </w:r>
      <w:r>
        <w:rPr>
          <w:w w:val="95"/>
          <w:sz w:val="18"/>
          <w:vertAlign w:val="baseline"/>
        </w:rPr>
        <w:t>卫</w:t>
      </w:r>
      <w:r>
        <w:rPr>
          <w:w w:val="95"/>
          <w:sz w:val="18"/>
          <w:vertAlign w:val="baseline"/>
        </w:rPr>
        <w:t>生</w:t>
      </w:r>
      <w:r>
        <w:rPr>
          <w:w w:val="95"/>
          <w:sz w:val="18"/>
          <w:vertAlign w:val="baseline"/>
        </w:rPr>
        <w:t>组</w:t>
      </w:r>
      <w:r>
        <w:rPr>
          <w:w w:val="95"/>
          <w:sz w:val="18"/>
          <w:vertAlign w:val="baseline"/>
        </w:rPr>
        <w:t>织</w:t>
      </w:r>
      <w:r>
        <w:rPr>
          <w:w w:val="95"/>
          <w:sz w:val="18"/>
          <w:vertAlign w:val="baseline"/>
        </w:rPr>
        <w:t>《</w:t>
      </w:r>
      <w:r>
        <w:rPr>
          <w:w w:val="95"/>
          <w:sz w:val="18"/>
          <w:vertAlign w:val="baseline"/>
        </w:rPr>
        <w:t>疾</w:t>
      </w:r>
      <w:r>
        <w:rPr>
          <w:w w:val="95"/>
          <w:sz w:val="18"/>
          <w:vertAlign w:val="baseline"/>
        </w:rPr>
        <w:t>病</w:t>
      </w:r>
      <w:r>
        <w:rPr>
          <w:w w:val="95"/>
          <w:sz w:val="18"/>
          <w:vertAlign w:val="baseline"/>
        </w:rPr>
        <w:t>和</w:t>
      </w:r>
      <w:r>
        <w:rPr>
          <w:w w:val="95"/>
          <w:sz w:val="18"/>
          <w:vertAlign w:val="baseline"/>
        </w:rPr>
        <w:t>有</w:t>
      </w:r>
      <w:r>
        <w:rPr>
          <w:w w:val="95"/>
          <w:sz w:val="18"/>
          <w:vertAlign w:val="baseline"/>
        </w:rPr>
        <w:t>关</w:t>
      </w:r>
      <w:r>
        <w:rPr>
          <w:w w:val="95"/>
          <w:sz w:val="18"/>
          <w:vertAlign w:val="baseline"/>
        </w:rPr>
        <w:t>健</w:t>
      </w:r>
      <w:r>
        <w:rPr>
          <w:w w:val="95"/>
          <w:sz w:val="18"/>
          <w:vertAlign w:val="baseline"/>
        </w:rPr>
        <w:t>康</w:t>
      </w:r>
      <w:r>
        <w:rPr>
          <w:w w:val="95"/>
          <w:sz w:val="18"/>
          <w:vertAlign w:val="baseline"/>
        </w:rPr>
        <w:t>问</w:t>
      </w:r>
      <w:r>
        <w:rPr>
          <w:w w:val="95"/>
          <w:sz w:val="18"/>
          <w:vertAlign w:val="baseline"/>
        </w:rPr>
        <w:t>题</w:t>
      </w:r>
      <w:r>
        <w:rPr>
          <w:w w:val="95"/>
          <w:sz w:val="18"/>
          <w:vertAlign w:val="baseline"/>
        </w:rPr>
        <w:t>的</w:t>
      </w:r>
      <w:r>
        <w:rPr>
          <w:w w:val="95"/>
          <w:sz w:val="18"/>
          <w:vertAlign w:val="baseline"/>
        </w:rPr>
        <w:t>国</w:t>
      </w:r>
      <w:r>
        <w:rPr>
          <w:w w:val="95"/>
          <w:sz w:val="18"/>
          <w:vertAlign w:val="baseline"/>
        </w:rPr>
        <w:t>际</w:t>
      </w:r>
      <w:r>
        <w:rPr>
          <w:w w:val="95"/>
          <w:sz w:val="18"/>
          <w:vertAlign w:val="baseline"/>
        </w:rPr>
        <w:t>统</w:t>
      </w:r>
      <w:r>
        <w:rPr>
          <w:w w:val="95"/>
          <w:sz w:val="18"/>
          <w:vertAlign w:val="baseline"/>
        </w:rPr>
        <w:t>计</w:t>
      </w:r>
      <w:r>
        <w:rPr>
          <w:w w:val="95"/>
          <w:sz w:val="18"/>
          <w:vertAlign w:val="baseline"/>
        </w:rPr>
        <w:t>分</w:t>
      </w:r>
      <w:r>
        <w:rPr>
          <w:w w:val="95"/>
          <w:sz w:val="18"/>
          <w:vertAlign w:val="baseline"/>
        </w:rPr>
        <w:t>类</w:t>
      </w:r>
      <w:r>
        <w:rPr>
          <w:spacing w:val="-94"/>
          <w:w w:val="95"/>
          <w:sz w:val="18"/>
          <w:vertAlign w:val="baseline"/>
        </w:rPr>
        <w:t>》</w:t>
      </w:r>
      <w:r>
        <w:rPr>
          <w:w w:val="95"/>
          <w:sz w:val="18"/>
          <w:vertAlign w:val="baseline"/>
        </w:rPr>
        <w:t>（</w:t>
      </w:r>
      <w:r>
        <w:rPr>
          <w:rFonts w:ascii="Times New Roman" w:eastAsia="Times New Roman"/>
          <w:w w:val="95"/>
          <w:sz w:val="18"/>
          <w:vertAlign w:val="baseline"/>
        </w:rPr>
        <w:t>ICD-10</w:t>
      </w:r>
      <w:r>
        <w:rPr>
          <w:w w:val="95"/>
          <w:sz w:val="18"/>
          <w:vertAlign w:val="baseline"/>
        </w:rPr>
        <w:t>）</w:t>
      </w:r>
      <w:r>
        <w:rPr>
          <w:w w:val="95"/>
          <w:sz w:val="18"/>
          <w:vertAlign w:val="baseline"/>
        </w:rPr>
        <w:t>分</w:t>
      </w:r>
      <w:r>
        <w:rPr>
          <w:w w:val="95"/>
          <w:sz w:val="18"/>
          <w:vertAlign w:val="baseline"/>
        </w:rPr>
        <w:t>类</w:t>
      </w:r>
      <w:r>
        <w:rPr>
          <w:w w:val="95"/>
          <w:sz w:val="18"/>
          <w:vertAlign w:val="baseline"/>
        </w:rPr>
        <w:t>为</w:t>
      </w:r>
      <w:r>
        <w:rPr>
          <w:w w:val="95"/>
          <w:sz w:val="18"/>
          <w:vertAlign w:val="baseline"/>
        </w:rPr>
        <w:t>精</w:t>
      </w:r>
      <w:r>
        <w:rPr>
          <w:w w:val="95"/>
          <w:sz w:val="18"/>
          <w:vertAlign w:val="baseline"/>
        </w:rPr>
        <w:t>神</w:t>
      </w:r>
      <w:r>
        <w:rPr>
          <w:w w:val="95"/>
          <w:sz w:val="18"/>
          <w:vertAlign w:val="baseline"/>
        </w:rPr>
        <w:t>和</w:t>
      </w:r>
      <w:r>
        <w:rPr>
          <w:w w:val="95"/>
          <w:sz w:val="18"/>
          <w:vertAlign w:val="baseline"/>
        </w:rPr>
        <w:t>行</w:t>
      </w:r>
      <w:r>
        <w:rPr>
          <w:w w:val="95"/>
          <w:sz w:val="18"/>
          <w:vertAlign w:val="baseline"/>
        </w:rPr>
        <w:t>为</w:t>
      </w:r>
      <w:r>
        <w:rPr>
          <w:spacing w:val="-10"/>
          <w:w w:val="95"/>
          <w:sz w:val="18"/>
          <w:vertAlign w:val="baseline"/>
        </w:rPr>
        <w:t>障</w:t>
      </w:r>
    </w:p>
    <w:p>
      <w:pPr>
        <w:spacing w:line="220" w:lineRule="exact" w:before="0"/>
        <w:ind w:left="737" w:right="0" w:firstLine="0"/>
        <w:jc w:val="left"/>
        <w:rPr>
          <w:sz w:val="18"/>
        </w:rPr>
      </w:pPr>
      <w:r>
        <w:rPr>
          <w:spacing w:val="-2"/>
          <w:sz w:val="18"/>
        </w:rPr>
        <w:t>碍的疾病。</w:t>
      </w:r>
    </w:p>
    <w:p>
      <w:pPr>
        <w:spacing w:line="220" w:lineRule="exact" w:before="0"/>
        <w:ind w:left="737" w:right="0" w:firstLine="0"/>
        <w:jc w:val="left"/>
        <w:rPr>
          <w:sz w:val="18"/>
        </w:rPr>
      </w:pPr>
      <w:r>
        <w:rPr>
          <w:rFonts w:ascii="Times New Roman" w:eastAsia="Times New Roman"/>
          <w:w w:val="95"/>
          <w:sz w:val="18"/>
          <w:vertAlign w:val="superscript"/>
        </w:rPr>
        <w:t>39</w:t>
      </w:r>
      <w:r>
        <w:rPr>
          <w:b/>
          <w:w w:val="95"/>
          <w:sz w:val="18"/>
          <w:vertAlign w:val="baseline"/>
        </w:rPr>
        <w:t>遗</w:t>
      </w:r>
      <w:r>
        <w:rPr>
          <w:b/>
          <w:w w:val="95"/>
          <w:sz w:val="18"/>
          <w:vertAlign w:val="baseline"/>
        </w:rPr>
        <w:t>传</w:t>
      </w:r>
      <w:r>
        <w:rPr>
          <w:b/>
          <w:w w:val="95"/>
          <w:sz w:val="18"/>
          <w:vertAlign w:val="baseline"/>
        </w:rPr>
        <w:t>性</w:t>
      </w:r>
      <w:r>
        <w:rPr>
          <w:b/>
          <w:w w:val="95"/>
          <w:sz w:val="18"/>
          <w:vertAlign w:val="baseline"/>
        </w:rPr>
        <w:t>疾</w:t>
      </w:r>
      <w:r>
        <w:rPr>
          <w:b/>
          <w:w w:val="95"/>
          <w:sz w:val="18"/>
          <w:vertAlign w:val="baseline"/>
        </w:rPr>
        <w:t>病</w:t>
      </w:r>
      <w:r>
        <w:rPr>
          <w:w w:val="95"/>
          <w:sz w:val="18"/>
          <w:vertAlign w:val="baseline"/>
        </w:rPr>
        <w:t>：</w:t>
      </w:r>
      <w:r>
        <w:rPr>
          <w:w w:val="95"/>
          <w:sz w:val="18"/>
          <w:vertAlign w:val="baseline"/>
        </w:rPr>
        <w:t>指</w:t>
      </w:r>
      <w:r>
        <w:rPr>
          <w:w w:val="95"/>
          <w:sz w:val="18"/>
          <w:vertAlign w:val="baseline"/>
        </w:rPr>
        <w:t>生</w:t>
      </w:r>
      <w:r>
        <w:rPr>
          <w:w w:val="95"/>
          <w:sz w:val="18"/>
          <w:vertAlign w:val="baseline"/>
        </w:rPr>
        <w:t>殖</w:t>
      </w:r>
      <w:r>
        <w:rPr>
          <w:w w:val="95"/>
          <w:sz w:val="18"/>
          <w:vertAlign w:val="baseline"/>
        </w:rPr>
        <w:t>细</w:t>
      </w:r>
      <w:r>
        <w:rPr>
          <w:w w:val="95"/>
          <w:sz w:val="18"/>
          <w:vertAlign w:val="baseline"/>
        </w:rPr>
        <w:t>胞</w:t>
      </w:r>
      <w:r>
        <w:rPr>
          <w:w w:val="95"/>
          <w:sz w:val="18"/>
          <w:vertAlign w:val="baseline"/>
        </w:rPr>
        <w:t>或</w:t>
      </w:r>
      <w:r>
        <w:rPr>
          <w:w w:val="95"/>
          <w:sz w:val="18"/>
          <w:vertAlign w:val="baseline"/>
        </w:rPr>
        <w:t>受</w:t>
      </w:r>
      <w:r>
        <w:rPr>
          <w:w w:val="95"/>
          <w:sz w:val="18"/>
          <w:vertAlign w:val="baseline"/>
        </w:rPr>
        <w:t>精</w:t>
      </w:r>
      <w:r>
        <w:rPr>
          <w:w w:val="95"/>
          <w:sz w:val="18"/>
          <w:vertAlign w:val="baseline"/>
        </w:rPr>
        <w:t>卵</w:t>
      </w:r>
      <w:r>
        <w:rPr>
          <w:w w:val="95"/>
          <w:sz w:val="18"/>
          <w:vertAlign w:val="baseline"/>
        </w:rPr>
        <w:t>的</w:t>
      </w:r>
      <w:r>
        <w:rPr>
          <w:w w:val="95"/>
          <w:sz w:val="18"/>
          <w:vertAlign w:val="baseline"/>
        </w:rPr>
        <w:t>遗</w:t>
      </w:r>
      <w:r>
        <w:rPr>
          <w:w w:val="95"/>
          <w:sz w:val="18"/>
          <w:vertAlign w:val="baseline"/>
        </w:rPr>
        <w:t>传</w:t>
      </w:r>
      <w:r>
        <w:rPr>
          <w:w w:val="95"/>
          <w:sz w:val="18"/>
          <w:vertAlign w:val="baseline"/>
        </w:rPr>
        <w:t>物</w:t>
      </w:r>
      <w:r>
        <w:rPr>
          <w:w w:val="95"/>
          <w:sz w:val="18"/>
          <w:vertAlign w:val="baseline"/>
        </w:rPr>
        <w:t>质</w:t>
      </w:r>
      <w:r>
        <w:rPr>
          <w:w w:val="95"/>
          <w:sz w:val="18"/>
          <w:vertAlign w:val="baseline"/>
        </w:rPr>
        <w:t>（</w:t>
      </w:r>
      <w:r>
        <w:rPr>
          <w:w w:val="95"/>
          <w:sz w:val="18"/>
          <w:vertAlign w:val="baseline"/>
        </w:rPr>
        <w:t>染</w:t>
      </w:r>
      <w:r>
        <w:rPr>
          <w:w w:val="95"/>
          <w:sz w:val="18"/>
          <w:vertAlign w:val="baseline"/>
        </w:rPr>
        <w:t>色</w:t>
      </w:r>
      <w:r>
        <w:rPr>
          <w:w w:val="95"/>
          <w:sz w:val="18"/>
          <w:vertAlign w:val="baseline"/>
        </w:rPr>
        <w:t>体</w:t>
      </w:r>
      <w:r>
        <w:rPr>
          <w:w w:val="95"/>
          <w:sz w:val="18"/>
          <w:vertAlign w:val="baseline"/>
        </w:rPr>
        <w:t>和</w:t>
      </w:r>
      <w:r>
        <w:rPr>
          <w:w w:val="95"/>
          <w:sz w:val="18"/>
          <w:vertAlign w:val="baseline"/>
        </w:rPr>
        <w:t>基</w:t>
      </w:r>
      <w:r>
        <w:rPr>
          <w:w w:val="95"/>
          <w:sz w:val="18"/>
          <w:vertAlign w:val="baseline"/>
        </w:rPr>
        <w:t>因</w:t>
      </w:r>
      <w:r>
        <w:rPr>
          <w:w w:val="95"/>
          <w:sz w:val="18"/>
          <w:vertAlign w:val="baseline"/>
        </w:rPr>
        <w:t>）</w:t>
      </w:r>
      <w:r>
        <w:rPr>
          <w:w w:val="95"/>
          <w:sz w:val="18"/>
          <w:vertAlign w:val="baseline"/>
        </w:rPr>
        <w:t>发</w:t>
      </w:r>
      <w:r>
        <w:rPr>
          <w:w w:val="95"/>
          <w:sz w:val="18"/>
          <w:vertAlign w:val="baseline"/>
        </w:rPr>
        <w:t>生</w:t>
      </w:r>
      <w:r>
        <w:rPr>
          <w:w w:val="95"/>
          <w:sz w:val="18"/>
          <w:vertAlign w:val="baseline"/>
        </w:rPr>
        <w:t>突</w:t>
      </w:r>
      <w:r>
        <w:rPr>
          <w:w w:val="95"/>
          <w:sz w:val="18"/>
          <w:vertAlign w:val="baseline"/>
        </w:rPr>
        <w:t>变</w:t>
      </w:r>
      <w:r>
        <w:rPr>
          <w:w w:val="95"/>
          <w:sz w:val="18"/>
          <w:vertAlign w:val="baseline"/>
        </w:rPr>
        <w:t>或</w:t>
      </w:r>
      <w:r>
        <w:rPr>
          <w:w w:val="95"/>
          <w:sz w:val="18"/>
          <w:vertAlign w:val="baseline"/>
        </w:rPr>
        <w:t>畸</w:t>
      </w:r>
      <w:r>
        <w:rPr>
          <w:w w:val="95"/>
          <w:sz w:val="18"/>
          <w:vertAlign w:val="baseline"/>
        </w:rPr>
        <w:t>变</w:t>
      </w:r>
      <w:r>
        <w:rPr>
          <w:w w:val="95"/>
          <w:sz w:val="18"/>
          <w:vertAlign w:val="baseline"/>
        </w:rPr>
        <w:t>所</w:t>
      </w:r>
      <w:r>
        <w:rPr>
          <w:w w:val="95"/>
          <w:sz w:val="18"/>
          <w:vertAlign w:val="baseline"/>
        </w:rPr>
        <w:t>引</w:t>
      </w:r>
      <w:r>
        <w:rPr>
          <w:w w:val="95"/>
          <w:sz w:val="18"/>
          <w:vertAlign w:val="baseline"/>
        </w:rPr>
        <w:t>起</w:t>
      </w:r>
      <w:r>
        <w:rPr>
          <w:w w:val="95"/>
          <w:sz w:val="18"/>
          <w:vertAlign w:val="baseline"/>
        </w:rPr>
        <w:t>的</w:t>
      </w:r>
      <w:r>
        <w:rPr>
          <w:w w:val="95"/>
          <w:sz w:val="18"/>
          <w:vertAlign w:val="baseline"/>
        </w:rPr>
        <w:t>疾</w:t>
      </w:r>
      <w:r>
        <w:rPr>
          <w:w w:val="95"/>
          <w:sz w:val="18"/>
          <w:vertAlign w:val="baseline"/>
        </w:rPr>
        <w:t>病</w:t>
      </w:r>
      <w:r>
        <w:rPr>
          <w:w w:val="95"/>
          <w:sz w:val="18"/>
          <w:vertAlign w:val="baseline"/>
        </w:rPr>
        <w:t>，</w:t>
      </w:r>
      <w:r>
        <w:rPr>
          <w:w w:val="95"/>
          <w:sz w:val="18"/>
          <w:vertAlign w:val="baseline"/>
        </w:rPr>
        <w:t>通</w:t>
      </w:r>
      <w:r>
        <w:rPr>
          <w:w w:val="95"/>
          <w:sz w:val="18"/>
          <w:vertAlign w:val="baseline"/>
        </w:rPr>
        <w:t>常</w:t>
      </w:r>
      <w:r>
        <w:rPr>
          <w:spacing w:val="-10"/>
          <w:w w:val="95"/>
          <w:sz w:val="18"/>
          <w:vertAlign w:val="baseline"/>
        </w:rPr>
        <w:t>具</w:t>
      </w:r>
    </w:p>
    <w:p>
      <w:pPr>
        <w:spacing w:line="220" w:lineRule="exact" w:before="0"/>
        <w:ind w:left="737" w:right="0" w:firstLine="0"/>
        <w:jc w:val="left"/>
        <w:rPr>
          <w:sz w:val="18"/>
        </w:rPr>
      </w:pPr>
      <w:r>
        <w:rPr>
          <w:spacing w:val="-1"/>
          <w:sz w:val="18"/>
        </w:rPr>
        <w:t>有由亲代传至后代的垂直传递的特征。</w:t>
      </w:r>
    </w:p>
    <w:p>
      <w:pPr>
        <w:spacing w:line="220" w:lineRule="exact" w:before="0"/>
        <w:ind w:left="737" w:right="0" w:firstLine="0"/>
        <w:jc w:val="left"/>
        <w:rPr>
          <w:sz w:val="18"/>
        </w:rPr>
      </w:pPr>
      <w:r>
        <w:rPr>
          <w:rFonts w:ascii="Times New Roman" w:eastAsia="Times New Roman"/>
          <w:w w:val="95"/>
          <w:sz w:val="18"/>
          <w:vertAlign w:val="superscript"/>
        </w:rPr>
        <w:t>40</w:t>
      </w:r>
      <w:r>
        <w:rPr>
          <w:b/>
          <w:w w:val="95"/>
          <w:sz w:val="18"/>
          <w:vertAlign w:val="baseline"/>
        </w:rPr>
        <w:t>先</w:t>
      </w:r>
      <w:r>
        <w:rPr>
          <w:b/>
          <w:w w:val="95"/>
          <w:sz w:val="18"/>
          <w:vertAlign w:val="baseline"/>
        </w:rPr>
        <w:t>天</w:t>
      </w:r>
      <w:r>
        <w:rPr>
          <w:b/>
          <w:w w:val="95"/>
          <w:sz w:val="18"/>
          <w:vertAlign w:val="baseline"/>
        </w:rPr>
        <w:t>性畸</w:t>
      </w:r>
      <w:r>
        <w:rPr>
          <w:b/>
          <w:w w:val="95"/>
          <w:sz w:val="18"/>
          <w:vertAlign w:val="baseline"/>
        </w:rPr>
        <w:t>形</w:t>
      </w:r>
      <w:r>
        <w:rPr>
          <w:b/>
          <w:w w:val="95"/>
          <w:sz w:val="18"/>
          <w:vertAlign w:val="baseline"/>
        </w:rPr>
        <w:t>、</w:t>
      </w:r>
      <w:r>
        <w:rPr>
          <w:b/>
          <w:w w:val="95"/>
          <w:sz w:val="18"/>
          <w:vertAlign w:val="baseline"/>
        </w:rPr>
        <w:t>变</w:t>
      </w:r>
      <w:r>
        <w:rPr>
          <w:b/>
          <w:w w:val="95"/>
          <w:sz w:val="18"/>
          <w:vertAlign w:val="baseline"/>
        </w:rPr>
        <w:t>形</w:t>
      </w:r>
      <w:r>
        <w:rPr>
          <w:b/>
          <w:w w:val="95"/>
          <w:sz w:val="18"/>
          <w:vertAlign w:val="baseline"/>
        </w:rPr>
        <w:t>或染</w:t>
      </w:r>
      <w:r>
        <w:rPr>
          <w:b/>
          <w:w w:val="95"/>
          <w:sz w:val="18"/>
          <w:vertAlign w:val="baseline"/>
        </w:rPr>
        <w:t>色</w:t>
      </w:r>
      <w:r>
        <w:rPr>
          <w:b/>
          <w:w w:val="95"/>
          <w:sz w:val="18"/>
          <w:vertAlign w:val="baseline"/>
        </w:rPr>
        <w:t>体</w:t>
      </w:r>
      <w:r>
        <w:rPr>
          <w:b/>
          <w:w w:val="95"/>
          <w:sz w:val="18"/>
          <w:vertAlign w:val="baseline"/>
        </w:rPr>
        <w:t>异</w:t>
      </w:r>
      <w:r>
        <w:rPr>
          <w:b/>
          <w:w w:val="95"/>
          <w:sz w:val="18"/>
          <w:vertAlign w:val="baseline"/>
        </w:rPr>
        <w:t>常</w:t>
      </w:r>
      <w:r>
        <w:rPr>
          <w:w w:val="95"/>
          <w:sz w:val="18"/>
          <w:vertAlign w:val="baseline"/>
        </w:rPr>
        <w:t>：</w:t>
      </w:r>
      <w:r>
        <w:rPr>
          <w:w w:val="95"/>
          <w:sz w:val="18"/>
          <w:vertAlign w:val="baseline"/>
        </w:rPr>
        <w:t>指</w:t>
      </w:r>
      <w:r>
        <w:rPr>
          <w:w w:val="95"/>
          <w:sz w:val="18"/>
          <w:vertAlign w:val="baseline"/>
        </w:rPr>
        <w:t>被</w:t>
      </w:r>
      <w:r>
        <w:rPr>
          <w:w w:val="95"/>
          <w:sz w:val="18"/>
          <w:vertAlign w:val="baseline"/>
        </w:rPr>
        <w:t>保</w:t>
      </w:r>
      <w:r>
        <w:rPr>
          <w:w w:val="95"/>
          <w:sz w:val="18"/>
          <w:vertAlign w:val="baseline"/>
        </w:rPr>
        <w:t>险</w:t>
      </w:r>
      <w:r>
        <w:rPr>
          <w:w w:val="95"/>
          <w:sz w:val="18"/>
          <w:vertAlign w:val="baseline"/>
        </w:rPr>
        <w:t>人</w:t>
      </w:r>
      <w:r>
        <w:rPr>
          <w:w w:val="95"/>
          <w:sz w:val="18"/>
          <w:vertAlign w:val="baseline"/>
        </w:rPr>
        <w:t>出</w:t>
      </w:r>
      <w:r>
        <w:rPr>
          <w:w w:val="95"/>
          <w:sz w:val="18"/>
          <w:vertAlign w:val="baseline"/>
        </w:rPr>
        <w:t>生</w:t>
      </w:r>
      <w:r>
        <w:rPr>
          <w:w w:val="95"/>
          <w:sz w:val="18"/>
          <w:vertAlign w:val="baseline"/>
        </w:rPr>
        <w:t>时</w:t>
      </w:r>
      <w:r>
        <w:rPr>
          <w:w w:val="95"/>
          <w:sz w:val="18"/>
          <w:vertAlign w:val="baseline"/>
        </w:rPr>
        <w:t>就</w:t>
      </w:r>
      <w:r>
        <w:rPr>
          <w:w w:val="95"/>
          <w:sz w:val="18"/>
          <w:vertAlign w:val="baseline"/>
        </w:rPr>
        <w:t>具</w:t>
      </w:r>
      <w:r>
        <w:rPr>
          <w:w w:val="95"/>
          <w:sz w:val="18"/>
          <w:vertAlign w:val="baseline"/>
        </w:rPr>
        <w:t>有</w:t>
      </w:r>
      <w:r>
        <w:rPr>
          <w:w w:val="95"/>
          <w:sz w:val="18"/>
          <w:vertAlign w:val="baseline"/>
        </w:rPr>
        <w:t>的</w:t>
      </w:r>
      <w:r>
        <w:rPr>
          <w:w w:val="95"/>
          <w:sz w:val="18"/>
          <w:vertAlign w:val="baseline"/>
        </w:rPr>
        <w:t>畸</w:t>
      </w:r>
      <w:r>
        <w:rPr>
          <w:w w:val="95"/>
          <w:sz w:val="18"/>
          <w:vertAlign w:val="baseline"/>
        </w:rPr>
        <w:t>形</w:t>
      </w:r>
      <w:r>
        <w:rPr>
          <w:w w:val="95"/>
          <w:sz w:val="18"/>
          <w:vertAlign w:val="baseline"/>
        </w:rPr>
        <w:t>、</w:t>
      </w:r>
      <w:r>
        <w:rPr>
          <w:w w:val="95"/>
          <w:sz w:val="18"/>
          <w:vertAlign w:val="baseline"/>
        </w:rPr>
        <w:t>变</w:t>
      </w:r>
      <w:r>
        <w:rPr>
          <w:w w:val="95"/>
          <w:sz w:val="18"/>
          <w:vertAlign w:val="baseline"/>
        </w:rPr>
        <w:t>形</w:t>
      </w:r>
      <w:r>
        <w:rPr>
          <w:w w:val="95"/>
          <w:sz w:val="18"/>
          <w:vertAlign w:val="baseline"/>
        </w:rPr>
        <w:t>或</w:t>
      </w:r>
      <w:r>
        <w:rPr>
          <w:w w:val="95"/>
          <w:sz w:val="18"/>
          <w:vertAlign w:val="baseline"/>
        </w:rPr>
        <w:t>染</w:t>
      </w:r>
      <w:r>
        <w:rPr>
          <w:w w:val="95"/>
          <w:sz w:val="18"/>
          <w:vertAlign w:val="baseline"/>
        </w:rPr>
        <w:t>色</w:t>
      </w:r>
      <w:r>
        <w:rPr>
          <w:w w:val="95"/>
          <w:sz w:val="18"/>
          <w:vertAlign w:val="baseline"/>
        </w:rPr>
        <w:t>体</w:t>
      </w:r>
      <w:r>
        <w:rPr>
          <w:w w:val="95"/>
          <w:sz w:val="18"/>
          <w:vertAlign w:val="baseline"/>
        </w:rPr>
        <w:t>异</w:t>
      </w:r>
      <w:r>
        <w:rPr>
          <w:w w:val="95"/>
          <w:sz w:val="18"/>
          <w:vertAlign w:val="baseline"/>
        </w:rPr>
        <w:t>常</w:t>
      </w:r>
      <w:r>
        <w:rPr>
          <w:w w:val="95"/>
          <w:sz w:val="18"/>
          <w:vertAlign w:val="baseline"/>
        </w:rPr>
        <w:t>。</w:t>
      </w:r>
      <w:r>
        <w:rPr>
          <w:w w:val="95"/>
          <w:sz w:val="18"/>
          <w:vertAlign w:val="baseline"/>
        </w:rPr>
        <w:t>先</w:t>
      </w:r>
      <w:r>
        <w:rPr>
          <w:w w:val="95"/>
          <w:sz w:val="18"/>
          <w:vertAlign w:val="baseline"/>
        </w:rPr>
        <w:t>天</w:t>
      </w:r>
      <w:r>
        <w:rPr>
          <w:w w:val="95"/>
          <w:sz w:val="18"/>
          <w:vertAlign w:val="baseline"/>
        </w:rPr>
        <w:t>性</w:t>
      </w:r>
      <w:r>
        <w:rPr>
          <w:w w:val="95"/>
          <w:sz w:val="18"/>
          <w:vertAlign w:val="baseline"/>
        </w:rPr>
        <w:t>畸</w:t>
      </w:r>
      <w:r>
        <w:rPr>
          <w:w w:val="95"/>
          <w:sz w:val="18"/>
          <w:vertAlign w:val="baseline"/>
        </w:rPr>
        <w:t>形</w:t>
      </w:r>
      <w:r>
        <w:rPr>
          <w:spacing w:val="-10"/>
          <w:w w:val="95"/>
          <w:sz w:val="18"/>
          <w:vertAlign w:val="baseline"/>
        </w:rPr>
        <w:t>、</w:t>
      </w:r>
    </w:p>
    <w:p>
      <w:pPr>
        <w:spacing w:line="225" w:lineRule="exact" w:before="0"/>
        <w:ind w:left="737" w:right="0" w:firstLine="0"/>
        <w:jc w:val="left"/>
        <w:rPr>
          <w:sz w:val="18"/>
        </w:rPr>
      </w:pPr>
      <w:r>
        <w:rPr>
          <w:spacing w:val="-5"/>
          <w:sz w:val="18"/>
        </w:rPr>
        <w:t>变形和染色体异常依照世界卫生组织《疾病和有关健康问题的国际统计分类》</w:t>
      </w:r>
      <w:r>
        <w:rPr>
          <w:spacing w:val="-2"/>
          <w:sz w:val="18"/>
        </w:rPr>
        <w:t>（</w:t>
      </w:r>
      <w:r>
        <w:rPr>
          <w:rFonts w:ascii="Times New Roman" w:eastAsia="Times New Roman"/>
          <w:spacing w:val="-2"/>
          <w:sz w:val="18"/>
        </w:rPr>
        <w:t>ICD-10</w:t>
      </w:r>
      <w:r>
        <w:rPr>
          <w:spacing w:val="-2"/>
          <w:sz w:val="18"/>
        </w:rPr>
        <w:t>）</w:t>
      </w:r>
      <w:r>
        <w:rPr>
          <w:spacing w:val="-5"/>
          <w:sz w:val="18"/>
        </w:rPr>
        <w:t>确定。</w:t>
      </w:r>
    </w:p>
    <w:p>
      <w:pPr>
        <w:spacing w:after="0" w:line="225" w:lineRule="exact"/>
        <w:jc w:val="left"/>
        <w:rPr>
          <w:sz w:val="18"/>
        </w:rPr>
        <w:sectPr>
          <w:pgSz w:w="11910" w:h="16840"/>
          <w:pgMar w:header="0" w:footer="1168" w:top="1440" w:bottom="1360" w:left="1060" w:right="1060"/>
        </w:sectPr>
      </w:pPr>
    </w:p>
    <w:p>
      <w:pPr>
        <w:spacing w:line="278" w:lineRule="auto" w:before="90"/>
        <w:ind w:left="1587" w:right="728" w:hanging="850"/>
        <w:jc w:val="both"/>
        <w:rPr>
          <w:rFonts w:ascii="黑体" w:eastAsia="黑体"/>
          <w:sz w:val="21"/>
        </w:rPr>
      </w:pPr>
      <w:r>
        <w:rPr>
          <w:rFonts w:ascii="黑体" w:eastAsia="黑体"/>
          <w:sz w:val="21"/>
        </w:rPr>
        <w:t>十一、 </w:t>
      </w:r>
      <w:r>
        <w:rPr>
          <w:rFonts w:ascii="黑体" w:eastAsia="黑体"/>
          <w:color w:val="000000"/>
          <w:sz w:val="21"/>
          <w:shd w:fill="D9D9D9" w:color="auto" w:val="clear"/>
        </w:rPr>
        <w:t>被保险人进行</w:t>
      </w:r>
      <w:r>
        <w:rPr>
          <w:rFonts w:ascii="黑体" w:eastAsia="黑体" w:hint="eastAsia"/>
          <w:b/>
          <w:color w:val="000000"/>
          <w:sz w:val="21"/>
          <w:shd w:fill="D9D9D9" w:color="auto" w:val="clear"/>
        </w:rPr>
        <w:t>潜水</w:t>
      </w:r>
      <w:r>
        <w:rPr>
          <w:rFonts w:ascii="Times New Roman" w:eastAsia="Times New Roman"/>
          <w:b/>
          <w:color w:val="000000"/>
          <w:sz w:val="21"/>
          <w:shd w:fill="D9D9D9" w:color="auto" w:val="clear"/>
          <w:vertAlign w:val="superscript"/>
        </w:rPr>
        <w:t>41</w:t>
      </w:r>
      <w:r>
        <w:rPr>
          <w:rFonts w:ascii="黑体" w:eastAsia="黑体"/>
          <w:color w:val="000000"/>
          <w:sz w:val="21"/>
          <w:shd w:fill="D9D9D9" w:color="auto" w:val="clear"/>
          <w:vertAlign w:val="baseline"/>
        </w:rPr>
        <w:t>、滑水、滑雪、滑冰、滑翔翼、热气球、跳伞、</w:t>
      </w:r>
      <w:r>
        <w:rPr>
          <w:rFonts w:ascii="黑体" w:eastAsia="黑体" w:hint="eastAsia"/>
          <w:b/>
          <w:color w:val="000000"/>
          <w:sz w:val="21"/>
          <w:shd w:fill="D9D9D9" w:color="auto" w:val="clear"/>
          <w:vertAlign w:val="baseline"/>
        </w:rPr>
        <w:t>攀</w:t>
      </w:r>
      <w:r>
        <w:rPr>
          <w:rFonts w:ascii="黑体" w:eastAsia="黑体" w:hint="eastAsia"/>
          <w:b/>
          <w:color w:val="000000"/>
          <w:sz w:val="21"/>
          <w:shd w:fill="D9D9D9" w:color="auto" w:val="clear"/>
          <w:vertAlign w:val="baseline"/>
        </w:rPr>
        <w:t>岩</w:t>
      </w:r>
      <w:r>
        <w:rPr>
          <w:rFonts w:ascii="黑体" w:eastAsia="黑体" w:hint="eastAsia"/>
          <w:b/>
          <w:color w:val="000000"/>
          <w:sz w:val="21"/>
          <w:shd w:fill="D9D9D9" w:color="auto" w:val="clear"/>
          <w:vertAlign w:val="baseline"/>
        </w:rPr>
        <w:t>运</w:t>
      </w:r>
      <w:r>
        <w:rPr>
          <w:rFonts w:ascii="黑体" w:eastAsia="黑体" w:hint="eastAsia"/>
          <w:b/>
          <w:color w:val="000000"/>
          <w:sz w:val="21"/>
          <w:shd w:fill="D9D9D9" w:color="auto" w:val="clear"/>
          <w:vertAlign w:val="baseline"/>
        </w:rPr>
        <w:t>动</w:t>
      </w:r>
      <w:r>
        <w:rPr>
          <w:rFonts w:ascii="Times New Roman" w:eastAsia="Times New Roman"/>
          <w:b/>
          <w:color w:val="000000"/>
          <w:sz w:val="21"/>
          <w:shd w:fill="D9D9D9" w:color="auto" w:val="clear"/>
          <w:vertAlign w:val="superscript"/>
        </w:rPr>
        <w:t>42</w:t>
      </w:r>
      <w:r>
        <w:rPr>
          <w:rFonts w:ascii="黑体" w:eastAsia="黑体"/>
          <w:color w:val="000000"/>
          <w:sz w:val="21"/>
          <w:shd w:fill="D9D9D9" w:color="auto" w:val="clear"/>
          <w:vertAlign w:val="baseline"/>
        </w:rPr>
        <w:t>、</w:t>
      </w:r>
      <w:r>
        <w:rPr>
          <w:rFonts w:ascii="黑体" w:eastAsia="黑体"/>
          <w:color w:val="000000"/>
          <w:spacing w:val="40"/>
          <w:sz w:val="21"/>
          <w:shd w:fill="D9D9D9" w:color="auto" w:val="clear"/>
          <w:vertAlign w:val="baseline"/>
        </w:rPr>
        <w:t> </w:t>
      </w:r>
      <w:r>
        <w:rPr>
          <w:rFonts w:ascii="黑体" w:eastAsia="黑体" w:hint="eastAsia"/>
          <w:b/>
          <w:color w:val="000000"/>
          <w:spacing w:val="-2"/>
          <w:sz w:val="21"/>
          <w:shd w:fill="D9D9D9" w:color="auto" w:val="clear"/>
          <w:vertAlign w:val="baseline"/>
        </w:rPr>
        <w:t>探</w:t>
      </w:r>
      <w:r>
        <w:rPr>
          <w:rFonts w:ascii="黑体" w:eastAsia="黑体" w:hint="eastAsia"/>
          <w:b/>
          <w:color w:val="000000"/>
          <w:spacing w:val="-2"/>
          <w:sz w:val="21"/>
          <w:shd w:fill="D9D9D9" w:color="auto" w:val="clear"/>
          <w:vertAlign w:val="baseline"/>
        </w:rPr>
        <w:t>险</w:t>
      </w:r>
      <w:r>
        <w:rPr>
          <w:rFonts w:ascii="黑体" w:eastAsia="黑体" w:hint="eastAsia"/>
          <w:b/>
          <w:color w:val="000000"/>
          <w:spacing w:val="-2"/>
          <w:sz w:val="21"/>
          <w:shd w:fill="D9D9D9" w:color="auto" w:val="clear"/>
          <w:vertAlign w:val="baseline"/>
        </w:rPr>
        <w:t>活</w:t>
      </w:r>
      <w:r>
        <w:rPr>
          <w:rFonts w:ascii="黑体" w:eastAsia="黑体" w:hint="eastAsia"/>
          <w:b/>
          <w:color w:val="000000"/>
          <w:spacing w:val="-2"/>
          <w:sz w:val="21"/>
          <w:shd w:fill="D9D9D9" w:color="auto" w:val="clear"/>
          <w:vertAlign w:val="baseline"/>
        </w:rPr>
        <w:t>动</w:t>
      </w:r>
      <w:r>
        <w:rPr>
          <w:rFonts w:ascii="Times New Roman" w:eastAsia="Times New Roman"/>
          <w:b/>
          <w:color w:val="000000"/>
          <w:spacing w:val="-2"/>
          <w:sz w:val="21"/>
          <w:shd w:fill="D9D9D9" w:color="auto" w:val="clear"/>
          <w:vertAlign w:val="superscript"/>
        </w:rPr>
        <w:t>43</w:t>
      </w:r>
      <w:r>
        <w:rPr>
          <w:rFonts w:ascii="黑体" w:eastAsia="黑体" w:hint="eastAsia"/>
          <w:b/>
          <w:color w:val="000000"/>
          <w:spacing w:val="-2"/>
          <w:sz w:val="21"/>
          <w:shd w:fill="D9D9D9" w:color="auto" w:val="clear"/>
          <w:vertAlign w:val="baseline"/>
        </w:rPr>
        <w:t>、</w:t>
      </w:r>
      <w:r>
        <w:rPr>
          <w:rFonts w:ascii="黑体" w:eastAsia="黑体" w:hint="eastAsia"/>
          <w:b/>
          <w:color w:val="000000"/>
          <w:spacing w:val="-2"/>
          <w:sz w:val="21"/>
          <w:shd w:fill="D9D9D9" w:color="auto" w:val="clear"/>
          <w:vertAlign w:val="baseline"/>
        </w:rPr>
        <w:t>武</w:t>
      </w:r>
      <w:r>
        <w:rPr>
          <w:rFonts w:ascii="黑体" w:eastAsia="黑体" w:hint="eastAsia"/>
          <w:b/>
          <w:color w:val="000000"/>
          <w:spacing w:val="-2"/>
          <w:sz w:val="21"/>
          <w:shd w:fill="D9D9D9" w:color="auto" w:val="clear"/>
          <w:vertAlign w:val="baseline"/>
        </w:rPr>
        <w:t>术</w:t>
      </w:r>
      <w:r>
        <w:rPr>
          <w:rFonts w:ascii="Times New Roman" w:eastAsia="Times New Roman"/>
          <w:b/>
          <w:color w:val="000000"/>
          <w:spacing w:val="-2"/>
          <w:sz w:val="21"/>
          <w:shd w:fill="D9D9D9" w:color="auto" w:val="clear"/>
          <w:vertAlign w:val="superscript"/>
        </w:rPr>
        <w:t>44</w:t>
      </w:r>
      <w:r>
        <w:rPr>
          <w:rFonts w:ascii="黑体" w:eastAsia="黑体" w:hint="eastAsia"/>
          <w:b/>
          <w:color w:val="000000"/>
          <w:spacing w:val="-2"/>
          <w:sz w:val="21"/>
          <w:shd w:fill="D9D9D9" w:color="auto" w:val="clear"/>
          <w:vertAlign w:val="baseline"/>
        </w:rPr>
        <w:t>、</w:t>
      </w:r>
      <w:r>
        <w:rPr>
          <w:rFonts w:ascii="黑体" w:eastAsia="黑体"/>
          <w:color w:val="000000"/>
          <w:spacing w:val="-2"/>
          <w:sz w:val="21"/>
          <w:shd w:fill="D9D9D9" w:color="auto" w:val="clear"/>
          <w:vertAlign w:val="baseline"/>
        </w:rPr>
        <w:t>摔跤、柔道、空手道、跆拳道、拳击、蹦极、赛马、赛车、</w:t>
      </w:r>
      <w:r>
        <w:rPr>
          <w:rFonts w:ascii="黑体" w:eastAsia="黑体"/>
          <w:color w:val="000000"/>
          <w:spacing w:val="-2"/>
          <w:sz w:val="21"/>
          <w:shd w:fill="D9D9D9" w:color="auto" w:val="clear"/>
          <w:vertAlign w:val="baseline"/>
        </w:rPr>
        <w:t>驾驶卡丁车或</w:t>
      </w:r>
      <w:r>
        <w:rPr>
          <w:rFonts w:ascii="黑体" w:eastAsia="黑体" w:hint="eastAsia"/>
          <w:b/>
          <w:color w:val="000000"/>
          <w:spacing w:val="-2"/>
          <w:sz w:val="21"/>
          <w:shd w:fill="D9D9D9" w:color="auto" w:val="clear"/>
          <w:vertAlign w:val="baseline"/>
        </w:rPr>
        <w:t>特技</w:t>
      </w:r>
      <w:r>
        <w:rPr>
          <w:rFonts w:ascii="Times New Roman" w:eastAsia="Times New Roman"/>
          <w:b/>
          <w:color w:val="000000"/>
          <w:spacing w:val="-2"/>
          <w:sz w:val="21"/>
          <w:shd w:fill="D9D9D9" w:color="auto" w:val="clear"/>
          <w:vertAlign w:val="superscript"/>
        </w:rPr>
        <w:t>45</w:t>
      </w:r>
      <w:r>
        <w:rPr>
          <w:rFonts w:ascii="黑体" w:eastAsia="黑体"/>
          <w:color w:val="000000"/>
          <w:spacing w:val="-2"/>
          <w:sz w:val="21"/>
          <w:shd w:fill="D9D9D9" w:color="auto" w:val="clear"/>
          <w:vertAlign w:val="baseline"/>
        </w:rPr>
        <w:t>等高风险活动；</w:t>
      </w:r>
    </w:p>
    <w:p>
      <w:pPr>
        <w:spacing w:line="269" w:lineRule="exact" w:before="0"/>
        <w:ind w:left="737" w:right="0" w:firstLine="0"/>
        <w:jc w:val="both"/>
        <w:rPr>
          <w:rFonts w:ascii="黑体" w:eastAsia="黑体"/>
          <w:sz w:val="21"/>
        </w:rPr>
      </w:pPr>
      <w:r>
        <w:rPr>
          <w:rFonts w:ascii="黑体" w:eastAsia="黑体"/>
          <w:sz w:val="21"/>
        </w:rPr>
        <w:t>十二、</w:t>
      </w:r>
      <w:r>
        <w:rPr>
          <w:rFonts w:ascii="黑体" w:eastAsia="黑体"/>
          <w:spacing w:val="47"/>
          <w:w w:val="150"/>
          <w:sz w:val="21"/>
        </w:rPr>
        <w:t> </w:t>
      </w:r>
      <w:r>
        <w:rPr>
          <w:rFonts w:ascii="黑体" w:eastAsia="黑体"/>
          <w:color w:val="000000"/>
          <w:sz w:val="21"/>
          <w:shd w:fill="D9D9D9" w:color="auto" w:val="clear"/>
        </w:rPr>
        <w:t>被保险人进行</w:t>
      </w:r>
      <w:r>
        <w:rPr>
          <w:rFonts w:ascii="黑体" w:eastAsia="黑体" w:hint="eastAsia"/>
          <w:b/>
          <w:color w:val="000000"/>
          <w:sz w:val="21"/>
          <w:shd w:fill="D9D9D9" w:color="auto" w:val="clear"/>
        </w:rPr>
        <w:t>高</w:t>
      </w:r>
      <w:r>
        <w:rPr>
          <w:rFonts w:ascii="黑体" w:eastAsia="黑体" w:hint="eastAsia"/>
          <w:b/>
          <w:color w:val="000000"/>
          <w:sz w:val="21"/>
          <w:shd w:fill="D9D9D9" w:color="auto" w:val="clear"/>
        </w:rPr>
        <w:t>处</w:t>
      </w:r>
      <w:r>
        <w:rPr>
          <w:rFonts w:ascii="黑体" w:eastAsia="黑体" w:hint="eastAsia"/>
          <w:b/>
          <w:color w:val="000000"/>
          <w:sz w:val="21"/>
          <w:shd w:fill="D9D9D9" w:color="auto" w:val="clear"/>
        </w:rPr>
        <w:t>作</w:t>
      </w:r>
      <w:r>
        <w:rPr>
          <w:rFonts w:ascii="黑体" w:eastAsia="黑体" w:hint="eastAsia"/>
          <w:b/>
          <w:color w:val="000000"/>
          <w:sz w:val="21"/>
          <w:shd w:fill="D9D9D9" w:color="auto" w:val="clear"/>
        </w:rPr>
        <w:t>业</w:t>
      </w:r>
      <w:r>
        <w:rPr>
          <w:rFonts w:ascii="Times New Roman" w:eastAsia="Times New Roman"/>
          <w:b/>
          <w:color w:val="000000"/>
          <w:spacing w:val="-5"/>
          <w:sz w:val="21"/>
          <w:shd w:fill="D9D9D9" w:color="auto" w:val="clear"/>
          <w:vertAlign w:val="superscript"/>
        </w:rPr>
        <w:t>46</w:t>
      </w:r>
      <w:r>
        <w:rPr>
          <w:rFonts w:ascii="黑体" w:eastAsia="黑体"/>
          <w:color w:val="000000"/>
          <w:spacing w:val="-5"/>
          <w:sz w:val="21"/>
          <w:shd w:fill="D9D9D9" w:color="auto" w:val="clear"/>
          <w:vertAlign w:val="baseline"/>
        </w:rPr>
        <w:t>；</w:t>
      </w:r>
    </w:p>
    <w:p>
      <w:pPr>
        <w:spacing w:line="278" w:lineRule="auto" w:before="43"/>
        <w:ind w:left="1577" w:right="732" w:hanging="840"/>
        <w:jc w:val="both"/>
        <w:rPr>
          <w:rFonts w:ascii="黑体" w:eastAsia="黑体"/>
          <w:sz w:val="21"/>
        </w:rPr>
      </w:pPr>
      <w:r>
        <w:rPr>
          <w:rFonts w:ascii="黑体" w:eastAsia="黑体"/>
          <w:sz w:val="21"/>
        </w:rPr>
        <w:t>十三、 </w:t>
      </w:r>
      <w:r>
        <w:rPr>
          <w:rFonts w:ascii="黑体" w:eastAsia="黑体"/>
          <w:color w:val="000000"/>
          <w:sz w:val="21"/>
          <w:shd w:fill="D9D9D9" w:color="auto" w:val="clear"/>
        </w:rPr>
        <w:t>被保险人</w:t>
      </w:r>
      <w:r>
        <w:rPr>
          <w:rFonts w:ascii="黑体" w:eastAsia="黑体" w:hint="eastAsia"/>
          <w:b/>
          <w:color w:val="000000"/>
          <w:sz w:val="21"/>
          <w:shd w:fill="D9D9D9" w:color="auto" w:val="clear"/>
        </w:rPr>
        <w:t>感</w:t>
      </w:r>
      <w:r>
        <w:rPr>
          <w:rFonts w:ascii="黑体" w:eastAsia="黑体" w:hint="eastAsia"/>
          <w:b/>
          <w:color w:val="000000"/>
          <w:sz w:val="21"/>
          <w:shd w:fill="D9D9D9" w:color="auto" w:val="clear"/>
        </w:rPr>
        <w:t>染</w:t>
      </w:r>
      <w:r>
        <w:rPr>
          <w:rFonts w:ascii="黑体" w:eastAsia="黑体" w:hint="eastAsia"/>
          <w:b/>
          <w:color w:val="000000"/>
          <w:sz w:val="21"/>
          <w:shd w:fill="D9D9D9" w:color="auto" w:val="clear"/>
        </w:rPr>
        <w:t>艾</w:t>
      </w:r>
      <w:r>
        <w:rPr>
          <w:rFonts w:ascii="黑体" w:eastAsia="黑体" w:hint="eastAsia"/>
          <w:b/>
          <w:color w:val="000000"/>
          <w:sz w:val="21"/>
          <w:shd w:fill="D9D9D9" w:color="auto" w:val="clear"/>
        </w:rPr>
        <w:t>滋</w:t>
      </w:r>
      <w:r>
        <w:rPr>
          <w:rFonts w:ascii="黑体" w:eastAsia="黑体" w:hint="eastAsia"/>
          <w:b/>
          <w:color w:val="000000"/>
          <w:sz w:val="21"/>
          <w:shd w:fill="D9D9D9" w:color="auto" w:val="clear"/>
        </w:rPr>
        <w:t>病</w:t>
      </w:r>
      <w:r>
        <w:rPr>
          <w:rFonts w:ascii="黑体" w:eastAsia="黑体" w:hint="eastAsia"/>
          <w:b/>
          <w:color w:val="000000"/>
          <w:sz w:val="21"/>
          <w:shd w:fill="D9D9D9" w:color="auto" w:val="clear"/>
        </w:rPr>
        <w:t>病</w:t>
      </w:r>
      <w:r>
        <w:rPr>
          <w:rFonts w:ascii="黑体" w:eastAsia="黑体" w:hint="eastAsia"/>
          <w:b/>
          <w:color w:val="000000"/>
          <w:sz w:val="21"/>
          <w:shd w:fill="D9D9D9" w:color="auto" w:val="clear"/>
        </w:rPr>
        <w:t>毒</w:t>
      </w:r>
      <w:r>
        <w:rPr>
          <w:rFonts w:ascii="黑体" w:eastAsia="黑体" w:hint="eastAsia"/>
          <w:b/>
          <w:color w:val="000000"/>
          <w:sz w:val="21"/>
          <w:shd w:fill="D9D9D9" w:color="auto" w:val="clear"/>
        </w:rPr>
        <w:t>或</w:t>
      </w:r>
      <w:r>
        <w:rPr>
          <w:rFonts w:ascii="黑体" w:eastAsia="黑体" w:hint="eastAsia"/>
          <w:b/>
          <w:color w:val="000000"/>
          <w:sz w:val="21"/>
          <w:shd w:fill="D9D9D9" w:color="auto" w:val="clear"/>
        </w:rPr>
        <w:t>患</w:t>
      </w:r>
      <w:r>
        <w:rPr>
          <w:rFonts w:ascii="黑体" w:eastAsia="黑体" w:hint="eastAsia"/>
          <w:b/>
          <w:color w:val="000000"/>
          <w:sz w:val="21"/>
          <w:shd w:fill="D9D9D9" w:color="auto" w:val="clear"/>
        </w:rPr>
        <w:t>艾</w:t>
      </w:r>
      <w:r>
        <w:rPr>
          <w:rFonts w:ascii="黑体" w:eastAsia="黑体" w:hint="eastAsia"/>
          <w:b/>
          <w:color w:val="000000"/>
          <w:sz w:val="21"/>
          <w:shd w:fill="D9D9D9" w:color="auto" w:val="clear"/>
        </w:rPr>
        <w:t>滋</w:t>
      </w:r>
      <w:r>
        <w:rPr>
          <w:rFonts w:ascii="黑体" w:eastAsia="黑体" w:hint="eastAsia"/>
          <w:b/>
          <w:color w:val="000000"/>
          <w:sz w:val="21"/>
          <w:shd w:fill="D9D9D9" w:color="auto" w:val="clear"/>
        </w:rPr>
        <w:t>病</w:t>
      </w:r>
      <w:r>
        <w:rPr>
          <w:rFonts w:ascii="Times New Roman" w:eastAsia="Times New Roman"/>
          <w:b/>
          <w:color w:val="000000"/>
          <w:sz w:val="21"/>
          <w:shd w:fill="D9D9D9" w:color="auto" w:val="clear"/>
          <w:vertAlign w:val="superscript"/>
        </w:rPr>
        <w:t>47</w:t>
      </w:r>
      <w:r>
        <w:rPr>
          <w:rFonts w:ascii="黑体" w:eastAsia="黑体"/>
          <w:color w:val="000000"/>
          <w:sz w:val="21"/>
          <w:vertAlign w:val="baseline"/>
        </w:rPr>
        <w:t>（不包括《附表一：重大疾病种类表》中的</w:t>
      </w:r>
      <w:r>
        <w:rPr>
          <w:rFonts w:ascii="黑体" w:eastAsia="黑体"/>
          <w:color w:val="000000"/>
          <w:spacing w:val="-2"/>
          <w:sz w:val="21"/>
          <w:vertAlign w:val="baseline"/>
        </w:rPr>
        <w:t>第四十七类、第五十七类、第九十七类</w:t>
      </w:r>
      <w:r>
        <w:rPr>
          <w:rFonts w:ascii="黑体" w:eastAsia="黑体"/>
          <w:color w:val="000000"/>
          <w:spacing w:val="-105"/>
          <w:sz w:val="21"/>
          <w:vertAlign w:val="baseline"/>
        </w:rPr>
        <w:t>）</w:t>
      </w:r>
      <w:r>
        <w:rPr>
          <w:rFonts w:ascii="黑体" w:eastAsia="黑体"/>
          <w:color w:val="000000"/>
          <w:sz w:val="21"/>
          <w:vertAlign w:val="baseline"/>
        </w:rPr>
        <w:t>；</w:t>
      </w:r>
    </w:p>
    <w:p>
      <w:pPr>
        <w:pStyle w:val="BodyText"/>
        <w:spacing w:line="278" w:lineRule="auto"/>
        <w:ind w:left="1577" w:right="732" w:hanging="840"/>
        <w:jc w:val="both"/>
        <w:rPr>
          <w:rFonts w:ascii="黑体" w:eastAsia="黑体"/>
        </w:rPr>
      </w:pPr>
      <w:r>
        <w:rPr>
          <w:rFonts w:ascii="黑体" w:eastAsia="黑体"/>
          <w:spacing w:val="-4"/>
        </w:rPr>
        <w:t>十四、 </w:t>
      </w:r>
      <w:r>
        <w:rPr>
          <w:rFonts w:ascii="黑体" w:eastAsia="黑体"/>
          <w:color w:val="000000"/>
          <w:shd w:fill="D9D9D9" w:color="auto" w:val="clear"/>
        </w:rPr>
        <w:t>因器官移植所产生的器官供体本身以及因器官供体寻找、获取、储藏、运送器官而</w:t>
      </w:r>
      <w:r>
        <w:rPr>
          <w:rFonts w:ascii="黑体" w:eastAsia="黑体"/>
          <w:color w:val="000000"/>
          <w:spacing w:val="40"/>
          <w:shd w:fill="D9D9D9" w:color="auto" w:val="clear"/>
        </w:rPr>
        <w:t> </w:t>
      </w:r>
      <w:r>
        <w:rPr>
          <w:rFonts w:ascii="黑体" w:eastAsia="黑体"/>
          <w:color w:val="000000"/>
          <w:spacing w:val="-2"/>
          <w:shd w:fill="D9D9D9" w:color="auto" w:val="clear"/>
        </w:rPr>
        <w:t>发生的费用，以及为了移植目的而对器官捐赠人进行的器官摘除及</w:t>
      </w:r>
      <w:r>
        <w:rPr>
          <w:rFonts w:ascii="Times New Roman" w:eastAsia="Times New Roman"/>
          <w:color w:val="000000"/>
          <w:spacing w:val="-2"/>
          <w:shd w:fill="D9D9D9" w:color="auto" w:val="clear"/>
        </w:rPr>
        <w:t>/</w:t>
      </w:r>
      <w:r>
        <w:rPr>
          <w:rFonts w:ascii="黑体" w:eastAsia="黑体"/>
          <w:color w:val="000000"/>
          <w:spacing w:val="-2"/>
          <w:shd w:fill="D9D9D9" w:color="auto" w:val="clear"/>
        </w:rPr>
        <w:t>或骨髓取材</w:t>
      </w:r>
      <w:r>
        <w:rPr>
          <w:rFonts w:ascii="Times New Roman" w:eastAsia="Times New Roman"/>
          <w:color w:val="000000"/>
          <w:spacing w:val="-2"/>
          <w:shd w:fill="D9D9D9" w:color="auto" w:val="clear"/>
        </w:rPr>
        <w:t>,</w:t>
      </w:r>
      <w:r>
        <w:rPr>
          <w:rFonts w:ascii="黑体" w:eastAsia="黑体"/>
          <w:color w:val="000000"/>
          <w:spacing w:val="-2"/>
          <w:shd w:fill="D9D9D9" w:color="auto" w:val="clear"/>
        </w:rPr>
        <w:t>及</w:t>
      </w:r>
      <w:r>
        <w:rPr>
          <w:rFonts w:ascii="黑体" w:eastAsia="黑体"/>
          <w:color w:val="000000"/>
          <w:spacing w:val="-2"/>
          <w:shd w:fill="D9D9D9" w:color="auto" w:val="clear"/>
        </w:rPr>
        <w:t>与此相关的并发症的治疗费用；</w:t>
      </w:r>
    </w:p>
    <w:p>
      <w:pPr>
        <w:pStyle w:val="BodyText"/>
        <w:tabs>
          <w:tab w:pos="1577" w:val="left" w:leader="none"/>
        </w:tabs>
        <w:spacing w:line="278" w:lineRule="auto"/>
        <w:ind w:left="1577" w:right="628" w:hanging="840"/>
        <w:rPr>
          <w:rFonts w:ascii="黑体" w:eastAsia="黑体"/>
        </w:rPr>
      </w:pPr>
      <w:r>
        <w:rPr>
          <w:rFonts w:ascii="黑体" w:eastAsia="黑体"/>
          <w:spacing w:val="-4"/>
        </w:rPr>
        <w:t>十</w:t>
      </w:r>
      <w:r>
        <w:rPr>
          <w:rFonts w:ascii="黑体" w:eastAsia="黑体"/>
          <w:spacing w:val="-4"/>
        </w:rPr>
        <w:t>五</w:t>
      </w:r>
      <w:r>
        <w:rPr>
          <w:rFonts w:ascii="黑体" w:eastAsia="黑体"/>
          <w:spacing w:val="-4"/>
        </w:rPr>
        <w:t>、</w:t>
      </w:r>
      <w:r>
        <w:rPr>
          <w:rFonts w:ascii="黑体" w:eastAsia="黑体"/>
        </w:rPr>
        <w:tab/>
      </w:r>
      <w:r>
        <w:rPr>
          <w:rFonts w:ascii="黑体" w:eastAsia="黑体"/>
          <w:color w:val="000000"/>
          <w:spacing w:val="-2"/>
          <w:shd w:fill="D9D9D9" w:color="auto" w:val="clear"/>
        </w:rPr>
        <w:t>购买或</w:t>
      </w:r>
      <w:r>
        <w:rPr>
          <w:rFonts w:ascii="黑体" w:eastAsia="黑体"/>
          <w:color w:val="000000"/>
          <w:spacing w:val="-2"/>
          <w:shd w:fill="D9D9D9" w:color="auto" w:val="clear"/>
        </w:rPr>
        <w:t>租</w:t>
      </w:r>
      <w:r>
        <w:rPr>
          <w:rFonts w:ascii="黑体" w:eastAsia="黑体"/>
          <w:color w:val="000000"/>
          <w:spacing w:val="-2"/>
          <w:shd w:fill="D9D9D9" w:color="auto" w:val="clear"/>
        </w:rPr>
        <w:t>用</w:t>
      </w:r>
      <w:r>
        <w:rPr>
          <w:rFonts w:ascii="黑体" w:eastAsia="黑体"/>
          <w:color w:val="000000"/>
          <w:spacing w:val="-2"/>
          <w:shd w:fill="D9D9D9" w:color="auto" w:val="clear"/>
        </w:rPr>
        <w:t>任何类</w:t>
      </w:r>
      <w:r>
        <w:rPr>
          <w:rFonts w:ascii="黑体" w:eastAsia="黑体"/>
          <w:color w:val="000000"/>
          <w:spacing w:val="-2"/>
          <w:shd w:fill="D9D9D9" w:color="auto" w:val="clear"/>
        </w:rPr>
        <w:t>型</w:t>
      </w:r>
      <w:r>
        <w:rPr>
          <w:rFonts w:ascii="黑体" w:eastAsia="黑体"/>
          <w:color w:val="000000"/>
          <w:spacing w:val="-2"/>
          <w:shd w:fill="D9D9D9" w:color="auto" w:val="clear"/>
        </w:rPr>
        <w:t>的</w:t>
      </w:r>
      <w:r>
        <w:rPr>
          <w:rFonts w:ascii="黑体" w:eastAsia="黑体"/>
          <w:color w:val="000000"/>
          <w:spacing w:val="-2"/>
          <w:shd w:fill="D9D9D9" w:color="auto" w:val="clear"/>
        </w:rPr>
        <w:t>体外辅</w:t>
      </w:r>
      <w:r>
        <w:rPr>
          <w:rFonts w:ascii="黑体" w:eastAsia="黑体"/>
          <w:color w:val="000000"/>
          <w:spacing w:val="-2"/>
          <w:shd w:fill="D9D9D9" w:color="auto" w:val="clear"/>
        </w:rPr>
        <w:t>助</w:t>
      </w:r>
      <w:r>
        <w:rPr>
          <w:rFonts w:ascii="黑体" w:eastAsia="黑体"/>
          <w:color w:val="000000"/>
          <w:spacing w:val="-2"/>
          <w:shd w:fill="D9D9D9" w:color="auto" w:val="clear"/>
        </w:rPr>
        <w:t>器</w:t>
      </w:r>
      <w:r>
        <w:rPr>
          <w:rFonts w:ascii="黑体" w:eastAsia="黑体"/>
          <w:color w:val="000000"/>
          <w:spacing w:val="-2"/>
          <w:shd w:fill="D9D9D9" w:color="auto" w:val="clear"/>
        </w:rPr>
        <w:t>械，包</w:t>
      </w:r>
      <w:r>
        <w:rPr>
          <w:rFonts w:ascii="黑体" w:eastAsia="黑体"/>
          <w:color w:val="000000"/>
          <w:spacing w:val="-2"/>
          <w:shd w:fill="D9D9D9" w:color="auto" w:val="clear"/>
        </w:rPr>
        <w:t>括</w:t>
      </w:r>
      <w:r>
        <w:rPr>
          <w:rFonts w:ascii="黑体" w:eastAsia="黑体"/>
          <w:color w:val="000000"/>
          <w:spacing w:val="-2"/>
          <w:shd w:fill="D9D9D9" w:color="auto" w:val="clear"/>
        </w:rPr>
        <w:t>但</w:t>
      </w:r>
      <w:r>
        <w:rPr>
          <w:rFonts w:ascii="黑体" w:eastAsia="黑体"/>
          <w:color w:val="000000"/>
          <w:spacing w:val="-2"/>
          <w:shd w:fill="D9D9D9" w:color="auto" w:val="clear"/>
        </w:rPr>
        <w:t>不限于</w:t>
      </w:r>
      <w:r>
        <w:rPr>
          <w:rFonts w:ascii="黑体" w:eastAsia="黑体"/>
          <w:color w:val="000000"/>
          <w:spacing w:val="-2"/>
          <w:shd w:fill="D9D9D9" w:color="auto" w:val="clear"/>
        </w:rPr>
        <w:t>矫</w:t>
      </w:r>
      <w:r>
        <w:rPr>
          <w:rFonts w:ascii="黑体" w:eastAsia="黑体"/>
          <w:color w:val="000000"/>
          <w:spacing w:val="-2"/>
          <w:shd w:fill="D9D9D9" w:color="auto" w:val="clear"/>
        </w:rPr>
        <w:t>形</w:t>
      </w:r>
      <w:r>
        <w:rPr>
          <w:rFonts w:ascii="黑体" w:eastAsia="黑体"/>
          <w:color w:val="000000"/>
          <w:spacing w:val="-2"/>
          <w:shd w:fill="D9D9D9" w:color="auto" w:val="clear"/>
        </w:rPr>
        <w:t>器具、</w:t>
      </w:r>
      <w:r>
        <w:rPr>
          <w:rFonts w:ascii="黑体" w:eastAsia="黑体"/>
          <w:color w:val="000000"/>
          <w:spacing w:val="-2"/>
          <w:shd w:fill="D9D9D9" w:color="auto" w:val="clear"/>
        </w:rPr>
        <w:t>紧</w:t>
      </w:r>
      <w:r>
        <w:rPr>
          <w:rFonts w:ascii="黑体" w:eastAsia="黑体"/>
          <w:color w:val="000000"/>
          <w:spacing w:val="-2"/>
          <w:shd w:fill="D9D9D9" w:color="auto" w:val="clear"/>
        </w:rPr>
        <w:t>身</w:t>
      </w:r>
      <w:r>
        <w:rPr>
          <w:rFonts w:ascii="黑体" w:eastAsia="黑体"/>
          <w:color w:val="000000"/>
          <w:spacing w:val="-2"/>
          <w:shd w:fill="D9D9D9" w:color="auto" w:val="clear"/>
        </w:rPr>
        <w:t>胸衣、</w:t>
      </w:r>
      <w:r>
        <w:rPr>
          <w:rFonts w:ascii="黑体" w:eastAsia="黑体"/>
          <w:color w:val="000000"/>
          <w:spacing w:val="-2"/>
          <w:shd w:fill="D9D9D9" w:color="auto" w:val="clear"/>
        </w:rPr>
        <w:t>绷</w:t>
      </w:r>
      <w:r>
        <w:rPr>
          <w:rFonts w:ascii="黑体" w:eastAsia="黑体"/>
          <w:color w:val="000000"/>
          <w:spacing w:val="-2"/>
          <w:shd w:fill="D9D9D9" w:color="auto" w:val="clear"/>
        </w:rPr>
        <w:t>带</w:t>
      </w:r>
      <w:r>
        <w:rPr>
          <w:rFonts w:ascii="黑体" w:eastAsia="黑体"/>
          <w:color w:val="000000"/>
          <w:spacing w:val="-2"/>
          <w:shd w:fill="D9D9D9" w:color="auto" w:val="clear"/>
        </w:rPr>
        <w:t>、</w:t>
      </w:r>
      <w:r>
        <w:rPr>
          <w:rFonts w:ascii="黑体" w:eastAsia="黑体"/>
          <w:color w:val="000000"/>
          <w:spacing w:val="80"/>
          <w:w w:val="150"/>
          <w:shd w:fill="D9D9D9" w:color="auto" w:val="clear"/>
        </w:rPr>
        <w:t>                                         </w:t>
      </w:r>
      <w:r>
        <w:rPr>
          <w:rFonts w:ascii="黑体" w:eastAsia="黑体"/>
          <w:color w:val="000000"/>
          <w:spacing w:val="-2"/>
          <w:shd w:fill="D9D9D9" w:color="auto" w:val="clear"/>
        </w:rPr>
        <w:t>拐杖、</w:t>
      </w:r>
      <w:r>
        <w:rPr>
          <w:rFonts w:ascii="黑体" w:eastAsia="黑体"/>
          <w:color w:val="000000"/>
          <w:spacing w:val="-2"/>
          <w:shd w:fill="D9D9D9" w:color="auto" w:val="clear"/>
        </w:rPr>
        <w:t>人</w:t>
      </w:r>
      <w:r>
        <w:rPr>
          <w:rFonts w:ascii="黑体" w:eastAsia="黑体"/>
          <w:color w:val="000000"/>
          <w:spacing w:val="-2"/>
          <w:shd w:fill="D9D9D9" w:color="auto" w:val="clear"/>
        </w:rPr>
        <w:t>造</w:t>
      </w:r>
      <w:r>
        <w:rPr>
          <w:rFonts w:ascii="黑体" w:eastAsia="黑体"/>
          <w:color w:val="000000"/>
          <w:spacing w:val="-2"/>
          <w:shd w:fill="D9D9D9" w:color="auto" w:val="clear"/>
        </w:rPr>
        <w:t>部件或</w:t>
      </w:r>
      <w:r>
        <w:rPr>
          <w:rFonts w:ascii="黑体" w:eastAsia="黑体"/>
          <w:color w:val="000000"/>
          <w:spacing w:val="-2"/>
          <w:shd w:fill="D9D9D9" w:color="auto" w:val="clear"/>
        </w:rPr>
        <w:t>器</w:t>
      </w:r>
      <w:r>
        <w:rPr>
          <w:rFonts w:ascii="黑体" w:eastAsia="黑体"/>
          <w:color w:val="000000"/>
          <w:spacing w:val="-2"/>
          <w:shd w:fill="D9D9D9" w:color="auto" w:val="clear"/>
        </w:rPr>
        <w:t>官</w:t>
      </w:r>
      <w:r>
        <w:rPr>
          <w:rFonts w:ascii="黑体" w:eastAsia="黑体"/>
          <w:color w:val="000000"/>
          <w:spacing w:val="-2"/>
          <w:shd w:fill="D9D9D9" w:color="auto" w:val="clear"/>
        </w:rPr>
        <w:t>、假发（</w:t>
      </w:r>
      <w:r>
        <w:rPr>
          <w:rFonts w:ascii="黑体" w:eastAsia="黑体"/>
          <w:color w:val="000000"/>
          <w:spacing w:val="-2"/>
          <w:shd w:fill="D9D9D9" w:color="auto" w:val="clear"/>
        </w:rPr>
        <w:t>即</w:t>
      </w:r>
      <w:r>
        <w:rPr>
          <w:rFonts w:ascii="黑体" w:eastAsia="黑体"/>
          <w:color w:val="000000"/>
          <w:spacing w:val="-2"/>
          <w:shd w:fill="D9D9D9" w:color="auto" w:val="clear"/>
        </w:rPr>
        <w:t>使化疗</w:t>
      </w:r>
      <w:r>
        <w:rPr>
          <w:rFonts w:ascii="黑体" w:eastAsia="黑体"/>
          <w:color w:val="000000"/>
          <w:spacing w:val="-2"/>
          <w:shd w:fill="D9D9D9" w:color="auto" w:val="clear"/>
        </w:rPr>
        <w:t>过</w:t>
      </w:r>
      <w:r>
        <w:rPr>
          <w:rFonts w:ascii="黑体" w:eastAsia="黑体"/>
          <w:color w:val="000000"/>
          <w:spacing w:val="-2"/>
          <w:shd w:fill="D9D9D9" w:color="auto" w:val="clear"/>
        </w:rPr>
        <w:t>程</w:t>
      </w:r>
      <w:r>
        <w:rPr>
          <w:rFonts w:ascii="黑体" w:eastAsia="黑体"/>
          <w:color w:val="000000"/>
          <w:spacing w:val="-2"/>
          <w:shd w:fill="D9D9D9" w:color="auto" w:val="clear"/>
        </w:rPr>
        <w:t>中有必</w:t>
      </w:r>
      <w:r>
        <w:rPr>
          <w:rFonts w:ascii="黑体" w:eastAsia="黑体"/>
          <w:color w:val="000000"/>
          <w:spacing w:val="-2"/>
          <w:shd w:fill="D9D9D9" w:color="auto" w:val="clear"/>
        </w:rPr>
        <w:t>要</w:t>
      </w:r>
      <w:r>
        <w:rPr>
          <w:rFonts w:ascii="黑体" w:eastAsia="黑体"/>
          <w:color w:val="000000"/>
          <w:spacing w:val="-2"/>
          <w:shd w:fill="D9D9D9" w:color="auto" w:val="clear"/>
        </w:rPr>
        <w:t>使</w:t>
      </w:r>
      <w:r>
        <w:rPr>
          <w:rFonts w:ascii="黑体" w:eastAsia="黑体"/>
          <w:color w:val="000000"/>
          <w:spacing w:val="-2"/>
          <w:shd w:fill="D9D9D9" w:color="auto" w:val="clear"/>
        </w:rPr>
        <w:t>用</w:t>
      </w:r>
      <w:r>
        <w:rPr>
          <w:rFonts w:ascii="黑体" w:eastAsia="黑体"/>
          <w:color w:val="000000"/>
          <w:spacing w:val="-104"/>
          <w:shd w:fill="D9D9D9" w:color="auto" w:val="clear"/>
        </w:rPr>
        <w:t>）</w:t>
      </w:r>
      <w:r>
        <w:rPr>
          <w:rFonts w:ascii="黑体" w:eastAsia="黑体"/>
          <w:color w:val="000000"/>
          <w:spacing w:val="-2"/>
          <w:shd w:fill="D9D9D9" w:color="auto" w:val="clear"/>
        </w:rPr>
        <w:t>、</w:t>
      </w:r>
      <w:r>
        <w:rPr>
          <w:rFonts w:ascii="黑体" w:eastAsia="黑体"/>
          <w:color w:val="000000"/>
          <w:spacing w:val="-2"/>
          <w:shd w:fill="D9D9D9" w:color="auto" w:val="clear"/>
        </w:rPr>
        <w:t>疝</w:t>
      </w:r>
      <w:r>
        <w:rPr>
          <w:rFonts w:ascii="黑体" w:eastAsia="黑体"/>
          <w:color w:val="000000"/>
          <w:spacing w:val="-2"/>
          <w:shd w:fill="D9D9D9" w:color="auto" w:val="clear"/>
        </w:rPr>
        <w:t>带等其他类</w:t>
      </w:r>
      <w:r>
        <w:rPr>
          <w:rFonts w:ascii="黑体" w:eastAsia="黑体"/>
          <w:color w:val="000000"/>
          <w:spacing w:val="-2"/>
          <w:shd w:fill="D9D9D9" w:color="auto" w:val="clear"/>
        </w:rPr>
        <w:t>似</w:t>
      </w:r>
      <w:r>
        <w:rPr>
          <w:rFonts w:ascii="黑体" w:eastAsia="黑体"/>
          <w:color w:val="000000"/>
          <w:spacing w:val="-2"/>
          <w:shd w:fill="D9D9D9" w:color="auto" w:val="clear"/>
        </w:rPr>
        <w:t>器</w:t>
      </w:r>
      <w:r>
        <w:rPr>
          <w:rFonts w:ascii="黑体" w:eastAsia="黑体"/>
          <w:color w:val="000000"/>
          <w:spacing w:val="-2"/>
          <w:shd w:fill="D9D9D9" w:color="auto" w:val="clear"/>
        </w:rPr>
        <w:t>具</w:t>
      </w:r>
      <w:r>
        <w:rPr>
          <w:rFonts w:ascii="黑体" w:eastAsia="黑体"/>
          <w:color w:val="000000"/>
          <w:spacing w:val="-2"/>
          <w:shd w:fill="D9D9D9" w:color="auto" w:val="clear"/>
        </w:rPr>
        <w:t>用</w:t>
      </w:r>
      <w:r>
        <w:rPr>
          <w:rFonts w:ascii="黑体" w:eastAsia="黑体"/>
          <w:color w:val="000000"/>
          <w:spacing w:val="-2"/>
          <w:shd w:fill="D9D9D9" w:color="auto" w:val="clear"/>
        </w:rPr>
        <w:t>品</w:t>
      </w:r>
      <w:r>
        <w:rPr>
          <w:rFonts w:ascii="黑体" w:eastAsia="黑体"/>
          <w:color w:val="000000"/>
          <w:spacing w:val="-2"/>
          <w:shd w:fill="D9D9D9" w:color="auto" w:val="clear"/>
        </w:rPr>
        <w:t>产</w:t>
      </w:r>
      <w:r>
        <w:rPr>
          <w:rFonts w:ascii="黑体" w:eastAsia="黑体"/>
          <w:color w:val="000000"/>
          <w:spacing w:val="-2"/>
          <w:shd w:fill="D9D9D9" w:color="auto" w:val="clear"/>
        </w:rPr>
        <w:t>生</w:t>
      </w:r>
      <w:r>
        <w:rPr>
          <w:rFonts w:ascii="黑体" w:eastAsia="黑体"/>
          <w:color w:val="000000"/>
          <w:spacing w:val="-2"/>
          <w:shd w:fill="D9D9D9" w:color="auto" w:val="clear"/>
        </w:rPr>
        <w:t>的</w:t>
      </w:r>
      <w:r>
        <w:rPr>
          <w:rFonts w:ascii="黑体" w:eastAsia="黑体"/>
          <w:color w:val="000000"/>
          <w:spacing w:val="-2"/>
          <w:shd w:fill="D9D9D9" w:color="auto" w:val="clear"/>
        </w:rPr>
        <w:t>费</w:t>
      </w:r>
      <w:r>
        <w:rPr>
          <w:rFonts w:ascii="黑体" w:eastAsia="黑体"/>
          <w:color w:val="000000"/>
          <w:spacing w:val="-2"/>
          <w:shd w:fill="D9D9D9" w:color="auto" w:val="clear"/>
        </w:rPr>
        <w:t>用</w:t>
      </w:r>
      <w:r>
        <w:rPr>
          <w:rFonts w:ascii="黑体" w:eastAsia="黑体"/>
          <w:color w:val="000000"/>
          <w:spacing w:val="-2"/>
          <w:shd w:fill="D9D9D9" w:color="auto" w:val="clear"/>
        </w:rPr>
        <w:t>；</w:t>
      </w:r>
    </w:p>
    <w:p>
      <w:pPr>
        <w:pStyle w:val="BodyText"/>
        <w:tabs>
          <w:tab w:pos="1577" w:val="left" w:leader="none"/>
        </w:tabs>
        <w:spacing w:line="278" w:lineRule="auto"/>
        <w:ind w:right="521"/>
        <w:rPr>
          <w:rFonts w:ascii="黑体" w:eastAsia="黑体"/>
        </w:rPr>
      </w:pPr>
      <w:r>
        <w:rPr>
          <w:rFonts w:ascii="黑体" w:eastAsia="黑体"/>
          <w:spacing w:val="-4"/>
        </w:rPr>
        <w:t>十</w:t>
      </w:r>
      <w:r>
        <w:rPr>
          <w:rFonts w:ascii="黑体" w:eastAsia="黑体"/>
          <w:spacing w:val="-4"/>
        </w:rPr>
        <w:t>六</w:t>
      </w:r>
      <w:r>
        <w:rPr>
          <w:rFonts w:ascii="黑体" w:eastAsia="黑体"/>
          <w:spacing w:val="-4"/>
        </w:rPr>
        <w:t>、</w:t>
      </w:r>
      <w:r>
        <w:rPr>
          <w:rFonts w:ascii="黑体" w:eastAsia="黑体"/>
        </w:rPr>
        <w:tab/>
      </w:r>
      <w:r>
        <w:rPr>
          <w:rFonts w:ascii="黑体" w:eastAsia="黑体"/>
          <w:color w:val="000000"/>
          <w:spacing w:val="-2"/>
          <w:shd w:fill="D9D9D9" w:color="auto" w:val="clear"/>
        </w:rPr>
        <w:t>实</w:t>
      </w:r>
      <w:r>
        <w:rPr>
          <w:rFonts w:ascii="黑体" w:eastAsia="黑体"/>
          <w:color w:val="000000"/>
          <w:spacing w:val="-2"/>
          <w:shd w:fill="D9D9D9" w:color="auto" w:val="clear"/>
        </w:rPr>
        <w:t>验</w:t>
      </w:r>
      <w:r>
        <w:rPr>
          <w:rFonts w:ascii="黑体" w:eastAsia="黑体"/>
          <w:color w:val="000000"/>
          <w:spacing w:val="-2"/>
          <w:shd w:fill="D9D9D9" w:color="auto" w:val="clear"/>
        </w:rPr>
        <w:t>性</w:t>
      </w:r>
      <w:r>
        <w:rPr>
          <w:rFonts w:ascii="黑体" w:eastAsia="黑体"/>
          <w:color w:val="000000"/>
          <w:spacing w:val="-2"/>
          <w:shd w:fill="D9D9D9" w:color="auto" w:val="clear"/>
        </w:rPr>
        <w:t>治</w:t>
      </w:r>
      <w:r>
        <w:rPr>
          <w:rFonts w:ascii="黑体" w:eastAsia="黑体"/>
          <w:color w:val="000000"/>
          <w:spacing w:val="-2"/>
          <w:shd w:fill="D9D9D9" w:color="auto" w:val="clear"/>
        </w:rPr>
        <w:t>疗</w:t>
      </w:r>
      <w:r>
        <w:rPr>
          <w:rFonts w:ascii="黑体" w:eastAsia="黑体"/>
          <w:color w:val="000000"/>
          <w:spacing w:val="-2"/>
          <w:shd w:fill="D9D9D9" w:color="auto" w:val="clear"/>
        </w:rPr>
        <w:t>以</w:t>
      </w:r>
      <w:r>
        <w:rPr>
          <w:rFonts w:ascii="黑体" w:eastAsia="黑体"/>
          <w:color w:val="000000"/>
          <w:spacing w:val="-2"/>
          <w:shd w:fill="D9D9D9" w:color="auto" w:val="clear"/>
        </w:rPr>
        <w:t>及</w:t>
      </w:r>
      <w:r>
        <w:rPr>
          <w:rFonts w:ascii="黑体" w:eastAsia="黑体"/>
          <w:color w:val="000000"/>
          <w:spacing w:val="-2"/>
          <w:shd w:fill="D9D9D9" w:color="auto" w:val="clear"/>
        </w:rPr>
        <w:t>安</w:t>
      </w:r>
      <w:r>
        <w:rPr>
          <w:rFonts w:ascii="黑体" w:eastAsia="黑体"/>
          <w:color w:val="000000"/>
          <w:spacing w:val="-2"/>
          <w:shd w:fill="D9D9D9" w:color="auto" w:val="clear"/>
        </w:rPr>
        <w:t>全</w:t>
      </w:r>
      <w:r>
        <w:rPr>
          <w:rFonts w:ascii="黑体" w:eastAsia="黑体"/>
          <w:color w:val="000000"/>
          <w:spacing w:val="-2"/>
          <w:shd w:fill="D9D9D9" w:color="auto" w:val="clear"/>
        </w:rPr>
        <w:t>性</w:t>
      </w:r>
      <w:r>
        <w:rPr>
          <w:rFonts w:ascii="黑体" w:eastAsia="黑体"/>
          <w:color w:val="000000"/>
          <w:spacing w:val="-2"/>
          <w:shd w:fill="D9D9D9" w:color="auto" w:val="clear"/>
        </w:rPr>
        <w:t>和</w:t>
      </w:r>
      <w:r>
        <w:rPr>
          <w:rFonts w:ascii="黑体" w:eastAsia="黑体"/>
          <w:color w:val="000000"/>
          <w:spacing w:val="-2"/>
          <w:shd w:fill="D9D9D9" w:color="auto" w:val="clear"/>
        </w:rPr>
        <w:t>可</w:t>
      </w:r>
      <w:r>
        <w:rPr>
          <w:rFonts w:ascii="黑体" w:eastAsia="黑体"/>
          <w:color w:val="000000"/>
          <w:spacing w:val="-2"/>
          <w:shd w:fill="D9D9D9" w:color="auto" w:val="clear"/>
        </w:rPr>
        <w:t>靠</w:t>
      </w:r>
      <w:r>
        <w:rPr>
          <w:rFonts w:ascii="黑体" w:eastAsia="黑体"/>
          <w:color w:val="000000"/>
          <w:spacing w:val="-2"/>
          <w:shd w:fill="D9D9D9" w:color="auto" w:val="clear"/>
        </w:rPr>
        <w:t>性</w:t>
      </w:r>
      <w:r>
        <w:rPr>
          <w:rFonts w:ascii="黑体" w:eastAsia="黑体"/>
          <w:color w:val="000000"/>
          <w:spacing w:val="-2"/>
          <w:shd w:fill="D9D9D9" w:color="auto" w:val="clear"/>
        </w:rPr>
        <w:t>未</w:t>
      </w:r>
      <w:r>
        <w:rPr>
          <w:rFonts w:ascii="黑体" w:eastAsia="黑体"/>
          <w:color w:val="000000"/>
          <w:spacing w:val="-2"/>
          <w:shd w:fill="D9D9D9" w:color="auto" w:val="clear"/>
        </w:rPr>
        <w:t>经</w:t>
      </w:r>
      <w:r>
        <w:rPr>
          <w:rFonts w:ascii="黑体" w:eastAsia="黑体"/>
          <w:color w:val="000000"/>
          <w:spacing w:val="-2"/>
          <w:shd w:fill="D9D9D9" w:color="auto" w:val="clear"/>
        </w:rPr>
        <w:t>相</w:t>
      </w:r>
      <w:r>
        <w:rPr>
          <w:rFonts w:ascii="黑体" w:eastAsia="黑体"/>
          <w:color w:val="000000"/>
          <w:spacing w:val="-2"/>
          <w:shd w:fill="D9D9D9" w:color="auto" w:val="clear"/>
        </w:rPr>
        <w:t>关</w:t>
      </w:r>
      <w:r>
        <w:rPr>
          <w:rFonts w:ascii="黑体" w:eastAsia="黑体"/>
          <w:color w:val="000000"/>
          <w:spacing w:val="-2"/>
          <w:shd w:fill="D9D9D9" w:color="auto" w:val="clear"/>
        </w:rPr>
        <w:t>科</w:t>
      </w:r>
      <w:r>
        <w:rPr>
          <w:rFonts w:ascii="黑体" w:eastAsia="黑体"/>
          <w:color w:val="000000"/>
          <w:spacing w:val="-2"/>
          <w:shd w:fill="D9D9D9" w:color="auto" w:val="clear"/>
        </w:rPr>
        <w:t>学</w:t>
      </w:r>
      <w:r>
        <w:rPr>
          <w:rFonts w:ascii="黑体" w:eastAsia="黑体"/>
          <w:color w:val="000000"/>
          <w:spacing w:val="-2"/>
          <w:shd w:fill="D9D9D9" w:color="auto" w:val="clear"/>
        </w:rPr>
        <w:t>证</w:t>
      </w:r>
      <w:r>
        <w:rPr>
          <w:rFonts w:ascii="黑体" w:eastAsia="黑体"/>
          <w:color w:val="000000"/>
          <w:spacing w:val="-2"/>
          <w:shd w:fill="D9D9D9" w:color="auto" w:val="clear"/>
        </w:rPr>
        <w:t>明</w:t>
      </w:r>
      <w:r>
        <w:rPr>
          <w:rFonts w:ascii="黑体" w:eastAsia="黑体"/>
          <w:color w:val="000000"/>
          <w:spacing w:val="-2"/>
          <w:shd w:fill="D9D9D9" w:color="auto" w:val="clear"/>
        </w:rPr>
        <w:t>的</w:t>
      </w:r>
      <w:r>
        <w:rPr>
          <w:rFonts w:ascii="黑体" w:eastAsia="黑体"/>
          <w:color w:val="000000"/>
          <w:spacing w:val="-2"/>
          <w:shd w:fill="D9D9D9" w:color="auto" w:val="clear"/>
        </w:rPr>
        <w:t>诊</w:t>
      </w:r>
      <w:r>
        <w:rPr>
          <w:rFonts w:ascii="黑体" w:eastAsia="黑体"/>
          <w:color w:val="000000"/>
          <w:spacing w:val="-2"/>
          <w:shd w:fill="D9D9D9" w:color="auto" w:val="clear"/>
        </w:rPr>
        <w:t>断</w:t>
      </w:r>
      <w:r>
        <w:rPr>
          <w:rFonts w:ascii="黑体" w:eastAsia="黑体"/>
          <w:color w:val="000000"/>
          <w:spacing w:val="-2"/>
          <w:shd w:fill="D9D9D9" w:color="auto" w:val="clear"/>
        </w:rPr>
        <w:t>、</w:t>
      </w:r>
      <w:r>
        <w:rPr>
          <w:rFonts w:ascii="黑体" w:eastAsia="黑体"/>
          <w:color w:val="000000"/>
          <w:spacing w:val="-2"/>
          <w:shd w:fill="D9D9D9" w:color="auto" w:val="clear"/>
        </w:rPr>
        <w:t>治</w:t>
      </w:r>
      <w:r>
        <w:rPr>
          <w:rFonts w:ascii="黑体" w:eastAsia="黑体"/>
          <w:color w:val="000000"/>
          <w:spacing w:val="-2"/>
          <w:shd w:fill="D9D9D9" w:color="auto" w:val="clear"/>
        </w:rPr>
        <w:t>疗</w:t>
      </w:r>
      <w:r>
        <w:rPr>
          <w:rFonts w:ascii="黑体" w:eastAsia="黑体"/>
          <w:color w:val="000000"/>
          <w:spacing w:val="-2"/>
          <w:shd w:fill="D9D9D9" w:color="auto" w:val="clear"/>
        </w:rPr>
        <w:t>及</w:t>
      </w:r>
      <w:r>
        <w:rPr>
          <w:rFonts w:ascii="Times New Roman" w:eastAsia="Times New Roman"/>
          <w:color w:val="000000"/>
          <w:spacing w:val="-2"/>
          <w:shd w:fill="D9D9D9" w:color="auto" w:val="clear"/>
        </w:rPr>
        <w:t>/</w:t>
      </w:r>
      <w:r>
        <w:rPr>
          <w:rFonts w:ascii="黑体" w:eastAsia="黑体"/>
          <w:color w:val="000000"/>
          <w:spacing w:val="-2"/>
          <w:shd w:fill="D9D9D9" w:color="auto" w:val="clear"/>
        </w:rPr>
        <w:t>或</w:t>
      </w:r>
      <w:r>
        <w:rPr>
          <w:rFonts w:ascii="黑体" w:eastAsia="黑体"/>
          <w:color w:val="000000"/>
          <w:spacing w:val="-2"/>
          <w:shd w:fill="D9D9D9" w:color="auto" w:val="clear"/>
        </w:rPr>
        <w:t>外</w:t>
      </w:r>
      <w:r>
        <w:rPr>
          <w:rFonts w:ascii="黑体" w:eastAsia="黑体"/>
          <w:color w:val="000000"/>
          <w:spacing w:val="-2"/>
          <w:shd w:fill="D9D9D9" w:color="auto" w:val="clear"/>
        </w:rPr>
        <w:t>科</w:t>
      </w:r>
      <w:r>
        <w:rPr>
          <w:rFonts w:ascii="黑体" w:eastAsia="黑体"/>
          <w:color w:val="000000"/>
          <w:spacing w:val="-2"/>
          <w:shd w:fill="D9D9D9" w:color="auto" w:val="clear"/>
        </w:rPr>
        <w:t>手</w:t>
      </w:r>
      <w:r>
        <w:rPr>
          <w:rFonts w:ascii="黑体" w:eastAsia="黑体"/>
          <w:color w:val="000000"/>
          <w:spacing w:val="-2"/>
          <w:shd w:fill="D9D9D9" w:color="auto" w:val="clear"/>
        </w:rPr>
        <w:t>术</w:t>
      </w:r>
      <w:r>
        <w:rPr>
          <w:rFonts w:ascii="黑体" w:eastAsia="黑体"/>
          <w:color w:val="000000"/>
          <w:spacing w:val="-2"/>
          <w:shd w:fill="D9D9D9" w:color="auto" w:val="clear"/>
        </w:rPr>
        <w:t>；</w:t>
      </w:r>
      <w:r>
        <w:rPr>
          <w:rFonts w:ascii="黑体" w:eastAsia="黑体"/>
          <w:color w:val="000000"/>
          <w:spacing w:val="80"/>
          <w:w w:val="150"/>
        </w:rPr>
        <w:t> </w:t>
      </w:r>
      <w:r>
        <w:rPr>
          <w:rFonts w:ascii="黑体" w:eastAsia="黑体"/>
          <w:color w:val="000000"/>
          <w:spacing w:val="-4"/>
        </w:rPr>
        <w:t>十</w:t>
      </w:r>
      <w:r>
        <w:rPr>
          <w:rFonts w:ascii="黑体" w:eastAsia="黑体"/>
          <w:color w:val="000000"/>
          <w:spacing w:val="-4"/>
        </w:rPr>
        <w:t>七</w:t>
      </w:r>
      <w:r>
        <w:rPr>
          <w:rFonts w:ascii="黑体" w:eastAsia="黑体"/>
          <w:color w:val="000000"/>
          <w:spacing w:val="-4"/>
        </w:rPr>
        <w:t>、</w:t>
      </w:r>
      <w:r>
        <w:rPr>
          <w:rFonts w:ascii="黑体" w:eastAsia="黑体"/>
          <w:color w:val="000000"/>
        </w:rPr>
        <w:tab/>
      </w:r>
      <w:r>
        <w:rPr>
          <w:rFonts w:ascii="黑体" w:eastAsia="黑体"/>
          <w:color w:val="000000"/>
          <w:spacing w:val="-2"/>
          <w:shd w:fill="D9D9D9" w:color="auto" w:val="clear"/>
        </w:rPr>
        <w:t>被</w:t>
      </w:r>
      <w:r>
        <w:rPr>
          <w:rFonts w:ascii="黑体" w:eastAsia="黑体"/>
          <w:color w:val="000000"/>
          <w:spacing w:val="-2"/>
          <w:shd w:fill="D9D9D9" w:color="auto" w:val="clear"/>
        </w:rPr>
        <w:t>保</w:t>
      </w:r>
      <w:r>
        <w:rPr>
          <w:rFonts w:ascii="黑体" w:eastAsia="黑体"/>
          <w:color w:val="000000"/>
          <w:spacing w:val="-2"/>
          <w:shd w:fill="D9D9D9" w:color="auto" w:val="clear"/>
        </w:rPr>
        <w:t>险</w:t>
      </w:r>
      <w:r>
        <w:rPr>
          <w:rFonts w:ascii="黑体" w:eastAsia="黑体"/>
          <w:color w:val="000000"/>
          <w:spacing w:val="-2"/>
          <w:shd w:fill="D9D9D9" w:color="auto" w:val="clear"/>
        </w:rPr>
        <w:t>人</w:t>
      </w:r>
      <w:r>
        <w:rPr>
          <w:rFonts w:ascii="黑体" w:eastAsia="黑体"/>
          <w:color w:val="000000"/>
          <w:spacing w:val="-2"/>
          <w:shd w:fill="D9D9D9" w:color="auto" w:val="clear"/>
        </w:rPr>
        <w:t>在</w:t>
      </w:r>
      <w:r>
        <w:rPr>
          <w:rFonts w:ascii="黑体" w:eastAsia="黑体"/>
          <w:color w:val="000000"/>
          <w:spacing w:val="-2"/>
          <w:shd w:fill="D9D9D9" w:color="auto" w:val="clear"/>
        </w:rPr>
        <w:t>本</w:t>
      </w:r>
      <w:r>
        <w:rPr>
          <w:rFonts w:ascii="黑体" w:eastAsia="黑体"/>
          <w:color w:val="000000"/>
          <w:spacing w:val="-2"/>
          <w:shd w:fill="D9D9D9" w:color="auto" w:val="clear"/>
        </w:rPr>
        <w:t>合</w:t>
      </w:r>
      <w:r>
        <w:rPr>
          <w:rFonts w:ascii="黑体" w:eastAsia="黑体"/>
          <w:color w:val="000000"/>
          <w:spacing w:val="-2"/>
          <w:shd w:fill="D9D9D9" w:color="auto" w:val="clear"/>
        </w:rPr>
        <w:t>同</w:t>
      </w:r>
      <w:r>
        <w:rPr>
          <w:rFonts w:ascii="黑体" w:eastAsia="黑体"/>
          <w:color w:val="000000"/>
          <w:spacing w:val="-2"/>
          <w:shd w:fill="D9D9D9" w:color="auto" w:val="clear"/>
        </w:rPr>
        <w:t>生</w:t>
      </w:r>
      <w:r>
        <w:rPr>
          <w:rFonts w:ascii="黑体" w:eastAsia="黑体"/>
          <w:color w:val="000000"/>
          <w:spacing w:val="-2"/>
          <w:shd w:fill="D9D9D9" w:color="auto" w:val="clear"/>
        </w:rPr>
        <w:t>效</w:t>
      </w:r>
      <w:r>
        <w:rPr>
          <w:rFonts w:ascii="黑体" w:eastAsia="黑体"/>
          <w:color w:val="000000"/>
          <w:spacing w:val="-2"/>
          <w:shd w:fill="D9D9D9" w:color="auto" w:val="clear"/>
        </w:rPr>
        <w:t>日</w:t>
      </w:r>
      <w:r>
        <w:rPr>
          <w:rFonts w:ascii="黑体" w:eastAsia="黑体"/>
          <w:color w:val="000000"/>
          <w:spacing w:val="-2"/>
          <w:shd w:fill="D9D9D9" w:color="auto" w:val="clear"/>
        </w:rPr>
        <w:t>前</w:t>
      </w:r>
      <w:r>
        <w:rPr>
          <w:rFonts w:ascii="黑体" w:eastAsia="黑体"/>
          <w:color w:val="000000"/>
          <w:spacing w:val="-2"/>
          <w:shd w:fill="D9D9D9" w:color="auto" w:val="clear"/>
        </w:rPr>
        <w:t>所</w:t>
      </w:r>
      <w:r>
        <w:rPr>
          <w:rFonts w:ascii="黑体" w:eastAsia="黑体"/>
          <w:color w:val="000000"/>
          <w:spacing w:val="-2"/>
          <w:shd w:fill="D9D9D9" w:color="auto" w:val="clear"/>
        </w:rPr>
        <w:t>患</w:t>
      </w:r>
      <w:r>
        <w:rPr>
          <w:rFonts w:ascii="黑体" w:eastAsia="黑体" w:hint="eastAsia"/>
          <w:b/>
          <w:color w:val="000000"/>
          <w:spacing w:val="-2"/>
          <w:shd w:fill="D9D9D9" w:color="auto" w:val="clear"/>
        </w:rPr>
        <w:t>既</w:t>
      </w:r>
      <w:r>
        <w:rPr>
          <w:rFonts w:ascii="黑体" w:eastAsia="黑体" w:hint="eastAsia"/>
          <w:b/>
          <w:color w:val="000000"/>
          <w:spacing w:val="-2"/>
          <w:shd w:fill="D9D9D9" w:color="auto" w:val="clear"/>
        </w:rPr>
        <w:t>往</w:t>
      </w:r>
      <w:r>
        <w:rPr>
          <w:rFonts w:ascii="黑体" w:eastAsia="黑体" w:hint="eastAsia"/>
          <w:b/>
          <w:color w:val="000000"/>
          <w:spacing w:val="-2"/>
          <w:shd w:fill="D9D9D9" w:color="auto" w:val="clear"/>
        </w:rPr>
        <w:t>症</w:t>
      </w:r>
      <w:r>
        <w:rPr>
          <w:rFonts w:ascii="Times New Roman" w:eastAsia="Times New Roman"/>
          <w:b/>
          <w:color w:val="000000"/>
          <w:spacing w:val="-2"/>
          <w:shd w:fill="D9D9D9" w:color="auto" w:val="clear"/>
          <w:vertAlign w:val="superscript"/>
        </w:rPr>
        <w:t>48</w:t>
      </w:r>
      <w:r>
        <w:rPr>
          <w:rFonts w:ascii="黑体" w:eastAsia="黑体"/>
          <w:color w:val="000000"/>
          <w:spacing w:val="-2"/>
          <w:shd w:fill="D9D9D9" w:color="auto" w:val="clear"/>
          <w:vertAlign w:val="baseline"/>
        </w:rPr>
        <w:t>，</w:t>
      </w:r>
      <w:r>
        <w:rPr>
          <w:rFonts w:ascii="黑体" w:eastAsia="黑体"/>
          <w:color w:val="000000"/>
          <w:spacing w:val="-2"/>
          <w:vertAlign w:val="baseline"/>
        </w:rPr>
        <w:t>但</w:t>
      </w:r>
      <w:r>
        <w:rPr>
          <w:rFonts w:ascii="黑体" w:eastAsia="黑体"/>
          <w:color w:val="000000"/>
          <w:spacing w:val="-2"/>
          <w:vertAlign w:val="baseline"/>
        </w:rPr>
        <w:t>在</w:t>
      </w:r>
      <w:r>
        <w:rPr>
          <w:rFonts w:ascii="黑体" w:eastAsia="黑体"/>
          <w:color w:val="000000"/>
          <w:spacing w:val="-2"/>
          <w:vertAlign w:val="baseline"/>
        </w:rPr>
        <w:t>投</w:t>
      </w:r>
      <w:r>
        <w:rPr>
          <w:rFonts w:ascii="黑体" w:eastAsia="黑体"/>
          <w:color w:val="000000"/>
          <w:spacing w:val="-2"/>
          <w:vertAlign w:val="baseline"/>
        </w:rPr>
        <w:t>保</w:t>
      </w:r>
      <w:r>
        <w:rPr>
          <w:rFonts w:ascii="黑体" w:eastAsia="黑体"/>
          <w:color w:val="000000"/>
          <w:spacing w:val="-2"/>
          <w:vertAlign w:val="baseline"/>
        </w:rPr>
        <w:t>单</w:t>
      </w:r>
      <w:r>
        <w:rPr>
          <w:rFonts w:ascii="黑体" w:eastAsia="黑体"/>
          <w:color w:val="000000"/>
          <w:spacing w:val="-2"/>
          <w:vertAlign w:val="baseline"/>
        </w:rPr>
        <w:t>上</w:t>
      </w:r>
      <w:r>
        <w:rPr>
          <w:rFonts w:ascii="黑体" w:eastAsia="黑体"/>
          <w:color w:val="000000"/>
          <w:spacing w:val="-2"/>
          <w:vertAlign w:val="baseline"/>
        </w:rPr>
        <w:t>告</w:t>
      </w:r>
      <w:r>
        <w:rPr>
          <w:rFonts w:ascii="黑体" w:eastAsia="黑体"/>
          <w:color w:val="000000"/>
          <w:spacing w:val="-2"/>
          <w:vertAlign w:val="baseline"/>
        </w:rPr>
        <w:t>知</w:t>
      </w:r>
      <w:r>
        <w:rPr>
          <w:rFonts w:ascii="黑体" w:eastAsia="黑体"/>
          <w:color w:val="000000"/>
          <w:spacing w:val="-2"/>
          <w:vertAlign w:val="baseline"/>
        </w:rPr>
        <w:t>并</w:t>
      </w:r>
      <w:r>
        <w:rPr>
          <w:rFonts w:ascii="黑体" w:eastAsia="黑体"/>
          <w:color w:val="000000"/>
          <w:spacing w:val="-2"/>
          <w:vertAlign w:val="baseline"/>
        </w:rPr>
        <w:t>经</w:t>
      </w:r>
      <w:r>
        <w:rPr>
          <w:rFonts w:ascii="黑体" w:eastAsia="黑体"/>
          <w:color w:val="000000"/>
          <w:spacing w:val="-2"/>
          <w:vertAlign w:val="baseline"/>
        </w:rPr>
        <w:t>我</w:t>
      </w:r>
      <w:r>
        <w:rPr>
          <w:rFonts w:ascii="黑体" w:eastAsia="黑体"/>
          <w:color w:val="000000"/>
          <w:spacing w:val="-2"/>
          <w:vertAlign w:val="baseline"/>
        </w:rPr>
        <w:t>们</w:t>
      </w:r>
      <w:r>
        <w:rPr>
          <w:rFonts w:ascii="黑体" w:eastAsia="黑体"/>
          <w:color w:val="000000"/>
          <w:spacing w:val="-2"/>
          <w:vertAlign w:val="baseline"/>
        </w:rPr>
        <w:t>同</w:t>
      </w:r>
      <w:r>
        <w:rPr>
          <w:rFonts w:ascii="黑体" w:eastAsia="黑体"/>
          <w:color w:val="000000"/>
          <w:spacing w:val="-2"/>
          <w:vertAlign w:val="baseline"/>
        </w:rPr>
        <w:t>意</w:t>
      </w:r>
      <w:r>
        <w:rPr>
          <w:rFonts w:ascii="黑体" w:eastAsia="黑体"/>
          <w:color w:val="000000"/>
          <w:spacing w:val="-2"/>
          <w:vertAlign w:val="baseline"/>
        </w:rPr>
        <w:t>承</w:t>
      </w:r>
      <w:r>
        <w:rPr>
          <w:rFonts w:ascii="黑体" w:eastAsia="黑体"/>
          <w:color w:val="000000"/>
          <w:spacing w:val="-2"/>
          <w:vertAlign w:val="baseline"/>
        </w:rPr>
        <w:t>保</w:t>
      </w:r>
      <w:r>
        <w:rPr>
          <w:rFonts w:ascii="黑体" w:eastAsia="黑体"/>
          <w:color w:val="000000"/>
          <w:spacing w:val="-2"/>
          <w:vertAlign w:val="baseline"/>
        </w:rPr>
        <w:t>的</w:t>
      </w:r>
      <w:r>
        <w:rPr>
          <w:rFonts w:ascii="黑体" w:eastAsia="黑体"/>
          <w:color w:val="000000"/>
          <w:spacing w:val="-2"/>
          <w:vertAlign w:val="baseline"/>
        </w:rPr>
        <w:t>，</w:t>
      </w:r>
    </w:p>
    <w:p>
      <w:pPr>
        <w:pStyle w:val="BodyText"/>
        <w:spacing w:line="269" w:lineRule="exact"/>
        <w:ind w:left="1577"/>
        <w:rPr>
          <w:rFonts w:ascii="黑体" w:eastAsia="黑体"/>
        </w:rPr>
      </w:pPr>
      <w:r>
        <w:rPr>
          <w:rFonts w:ascii="黑体" w:eastAsia="黑体"/>
          <w:spacing w:val="-2"/>
        </w:rPr>
        <w:t>不在此限；</w:t>
      </w:r>
    </w:p>
    <w:p>
      <w:pPr>
        <w:pStyle w:val="BodyText"/>
        <w:spacing w:line="278" w:lineRule="auto" w:before="42"/>
        <w:ind w:left="1577" w:right="733" w:hanging="840"/>
        <w:jc w:val="both"/>
        <w:rPr>
          <w:rFonts w:ascii="黑体" w:eastAsia="黑体"/>
        </w:rPr>
      </w:pPr>
      <w:r>
        <w:rPr>
          <w:rFonts w:ascii="黑体" w:eastAsia="黑体"/>
          <w:spacing w:val="-4"/>
        </w:rPr>
        <w:t>十八、 </w:t>
      </w:r>
      <w:r>
        <w:rPr>
          <w:rFonts w:ascii="黑体" w:eastAsia="黑体"/>
          <w:color w:val="000000"/>
          <w:shd w:fill="D9D9D9" w:color="auto" w:val="clear"/>
        </w:rPr>
        <w:t>被保险人接受矫形、视力矫正手术、美容、变性手术、牙科治疗、牙科保健及非意</w:t>
      </w:r>
      <w:r>
        <w:rPr>
          <w:rFonts w:ascii="黑体" w:eastAsia="黑体"/>
          <w:color w:val="000000"/>
          <w:spacing w:val="-2"/>
          <w:shd w:fill="D9D9D9" w:color="auto" w:val="clear"/>
        </w:rPr>
        <w:t>外伤害事故所致的整容手术以及任何植入体内的材料费用；</w:t>
      </w:r>
    </w:p>
    <w:p>
      <w:pPr>
        <w:pStyle w:val="BodyText"/>
        <w:spacing w:line="278" w:lineRule="auto"/>
        <w:ind w:left="1577" w:right="732" w:hanging="840"/>
        <w:jc w:val="both"/>
        <w:rPr>
          <w:rFonts w:ascii="黑体" w:eastAsia="黑体"/>
        </w:rPr>
      </w:pPr>
      <w:r>
        <w:rPr>
          <w:rFonts w:ascii="黑体" w:eastAsia="黑体"/>
        </w:rPr>
        <w:t>十九、 </w:t>
      </w:r>
      <w:r>
        <w:rPr>
          <w:rFonts w:ascii="黑体" w:eastAsia="黑体"/>
          <w:color w:val="000000"/>
          <w:spacing w:val="-23"/>
          <w:shd w:fill="D9D9D9" w:color="auto" w:val="clear"/>
        </w:rPr>
        <w:t>康复治疗或训练、休养或疗养、健康体检、隔离治疗</w:t>
      </w:r>
      <w:r>
        <w:rPr>
          <w:rFonts w:ascii="黑体" w:eastAsia="黑体"/>
          <w:color w:val="000000"/>
          <w:shd w:fill="D9D9D9" w:color="auto" w:val="clear"/>
        </w:rPr>
        <w:t>（</w:t>
      </w:r>
      <w:r>
        <w:rPr>
          <w:rFonts w:ascii="黑体" w:eastAsia="黑体"/>
          <w:color w:val="000000"/>
        </w:rPr>
        <w:t>我们推荐或认可的医院除外</w:t>
      </w:r>
      <w:r>
        <w:rPr>
          <w:rFonts w:ascii="黑体" w:eastAsia="黑体"/>
          <w:color w:val="000000"/>
          <w:spacing w:val="-101"/>
        </w:rPr>
        <w:t>）</w:t>
      </w:r>
      <w:r>
        <w:rPr>
          <w:rFonts w:ascii="黑体" w:eastAsia="黑体"/>
          <w:color w:val="000000"/>
        </w:rPr>
        <w:t>、</w:t>
      </w:r>
      <w:r>
        <w:rPr>
          <w:rFonts w:ascii="黑体" w:eastAsia="黑体"/>
          <w:color w:val="000000"/>
          <w:spacing w:val="-13"/>
          <w:shd w:fill="D9D9D9" w:color="auto" w:val="clear"/>
        </w:rPr>
        <w:t>保健食品及用品、体外或植入的医疗辅助装置或用具</w:t>
      </w:r>
      <w:r>
        <w:rPr>
          <w:rFonts w:ascii="黑体" w:eastAsia="黑体"/>
          <w:color w:val="000000"/>
          <w:spacing w:val="-2"/>
          <w:shd w:fill="D9D9D9" w:color="auto" w:val="clear"/>
        </w:rPr>
        <w:t>（</w:t>
      </w:r>
      <w:r>
        <w:rPr>
          <w:rFonts w:ascii="黑体" w:eastAsia="黑体"/>
          <w:color w:val="000000"/>
          <w:spacing w:val="-18"/>
          <w:shd w:fill="D9D9D9" w:color="auto" w:val="clear"/>
        </w:rPr>
        <w:t>义肢、轮椅、拐杖、助听器、</w:t>
      </w:r>
      <w:r>
        <w:rPr>
          <w:rFonts w:ascii="黑体" w:eastAsia="黑体"/>
          <w:color w:val="000000"/>
          <w:spacing w:val="40"/>
          <w:shd w:fill="D9D9D9" w:color="auto" w:val="clear"/>
        </w:rPr>
        <w:t> </w:t>
      </w:r>
      <w:r>
        <w:rPr>
          <w:rFonts w:ascii="黑体" w:eastAsia="黑体"/>
          <w:color w:val="000000"/>
          <w:spacing w:val="-2"/>
          <w:shd w:fill="D9D9D9" w:color="auto" w:val="clear"/>
        </w:rPr>
        <w:t>眼镜或隐形眼镜、义眼等等）及其安装；</w:t>
      </w:r>
    </w:p>
    <w:p>
      <w:pPr>
        <w:pStyle w:val="BodyText"/>
        <w:spacing w:line="278" w:lineRule="auto"/>
        <w:ind w:left="1577" w:right="732" w:hanging="840"/>
        <w:jc w:val="both"/>
        <w:rPr>
          <w:rFonts w:ascii="黑体" w:eastAsia="黑体"/>
        </w:rPr>
      </w:pPr>
      <w:r>
        <w:rPr>
          <w:rFonts w:ascii="黑体" w:eastAsia="黑体"/>
        </w:rPr>
        <w:t>二十、 </w:t>
      </w:r>
      <w:r>
        <w:rPr>
          <w:rFonts w:ascii="黑体" w:eastAsia="黑体"/>
          <w:color w:val="000000"/>
          <w:spacing w:val="-4"/>
          <w:shd w:fill="D9D9D9" w:color="auto" w:val="clear"/>
        </w:rPr>
        <w:t>未经医生处方自行购买的药品或非医院药房购买的药品、滋补类中草药及其泡制的</w:t>
      </w:r>
      <w:r>
        <w:rPr>
          <w:rFonts w:ascii="黑体" w:eastAsia="黑体"/>
          <w:color w:val="000000"/>
          <w:spacing w:val="-2"/>
          <w:shd w:fill="D9D9D9" w:color="auto" w:val="clear"/>
        </w:rPr>
        <w:t>各类酒制剂、医生开具的超过三十天部分的药品费用；</w:t>
      </w:r>
    </w:p>
    <w:p>
      <w:pPr>
        <w:pStyle w:val="BodyText"/>
        <w:spacing w:line="278" w:lineRule="auto"/>
        <w:ind w:left="1577" w:right="733" w:hanging="840"/>
        <w:rPr>
          <w:rFonts w:ascii="黑体" w:eastAsia="黑体"/>
        </w:rPr>
      </w:pPr>
      <w:r>
        <w:rPr>
          <w:rFonts w:ascii="黑体" w:eastAsia="黑体"/>
          <w:spacing w:val="-4"/>
        </w:rPr>
        <w:t>二十一、</w:t>
      </w:r>
      <w:r>
        <w:rPr>
          <w:rFonts w:ascii="黑体" w:eastAsia="黑体"/>
          <w:color w:val="000000"/>
          <w:spacing w:val="-4"/>
          <w:shd w:fill="D9D9D9" w:color="auto" w:val="clear"/>
        </w:rPr>
        <w:t>各种医疗咨询和健康预测：如健康咨询、睡眠咨询、性咨询、心理咨询（一般心理</w:t>
      </w:r>
      <w:r>
        <w:rPr>
          <w:rFonts w:ascii="黑体" w:eastAsia="黑体"/>
          <w:color w:val="000000"/>
          <w:spacing w:val="-2"/>
          <w:shd w:fill="D9D9D9" w:color="auto" w:val="clear"/>
        </w:rPr>
        <w:t>问题，如职场问题、家庭问题、婚恋问题、个人发展、情绪管理等）等费用；</w:t>
      </w:r>
    </w:p>
    <w:p>
      <w:pPr>
        <w:spacing w:line="269" w:lineRule="exact" w:before="0"/>
        <w:ind w:left="737" w:right="0" w:firstLine="0"/>
        <w:jc w:val="left"/>
        <w:rPr>
          <w:rFonts w:ascii="黑体" w:eastAsia="黑体"/>
          <w:sz w:val="21"/>
        </w:rPr>
      </w:pPr>
      <w:r>
        <w:rPr>
          <w:rFonts w:ascii="黑体" w:eastAsia="黑体"/>
          <w:w w:val="95"/>
          <w:sz w:val="21"/>
        </w:rPr>
        <w:t>二</w:t>
      </w:r>
      <w:r>
        <w:rPr>
          <w:rFonts w:ascii="黑体" w:eastAsia="黑体"/>
          <w:w w:val="95"/>
          <w:sz w:val="21"/>
        </w:rPr>
        <w:t>十</w:t>
      </w:r>
      <w:r>
        <w:rPr>
          <w:rFonts w:ascii="黑体" w:eastAsia="黑体"/>
          <w:w w:val="95"/>
          <w:sz w:val="21"/>
        </w:rPr>
        <w:t>二</w:t>
      </w:r>
      <w:r>
        <w:rPr>
          <w:rFonts w:ascii="黑体" w:eastAsia="黑体"/>
          <w:w w:val="95"/>
          <w:sz w:val="21"/>
        </w:rPr>
        <w:t>、</w:t>
      </w:r>
      <w:r>
        <w:rPr>
          <w:rFonts w:ascii="黑体" w:eastAsia="黑体"/>
          <w:color w:val="000000"/>
          <w:w w:val="95"/>
          <w:sz w:val="21"/>
          <w:shd w:fill="D9D9D9" w:color="auto" w:val="clear"/>
        </w:rPr>
        <w:t>任</w:t>
      </w:r>
      <w:r>
        <w:rPr>
          <w:rFonts w:ascii="黑体" w:eastAsia="黑体"/>
          <w:color w:val="000000"/>
          <w:w w:val="95"/>
          <w:sz w:val="21"/>
          <w:shd w:fill="D9D9D9" w:color="auto" w:val="clear"/>
        </w:rPr>
        <w:t>何</w:t>
      </w:r>
      <w:r>
        <w:rPr>
          <w:rFonts w:ascii="黑体" w:eastAsia="黑体" w:hint="eastAsia"/>
          <w:b/>
          <w:color w:val="000000"/>
          <w:w w:val="95"/>
          <w:sz w:val="21"/>
          <w:shd w:fill="D9D9D9" w:color="auto" w:val="clear"/>
        </w:rPr>
        <w:t>替</w:t>
      </w:r>
      <w:r>
        <w:rPr>
          <w:rFonts w:ascii="黑体" w:eastAsia="黑体" w:hint="eastAsia"/>
          <w:b/>
          <w:color w:val="000000"/>
          <w:w w:val="95"/>
          <w:sz w:val="21"/>
          <w:shd w:fill="D9D9D9" w:color="auto" w:val="clear"/>
        </w:rPr>
        <w:t>代</w:t>
      </w:r>
      <w:r>
        <w:rPr>
          <w:rFonts w:ascii="黑体" w:eastAsia="黑体" w:hint="eastAsia"/>
          <w:b/>
          <w:color w:val="000000"/>
          <w:w w:val="95"/>
          <w:sz w:val="21"/>
          <w:shd w:fill="D9D9D9" w:color="auto" w:val="clear"/>
        </w:rPr>
        <w:t>疗法</w:t>
      </w:r>
      <w:r>
        <w:rPr>
          <w:rFonts w:ascii="Times New Roman" w:eastAsia="Times New Roman"/>
          <w:b/>
          <w:color w:val="000000"/>
          <w:w w:val="95"/>
          <w:sz w:val="21"/>
          <w:shd w:fill="D9D9D9" w:color="auto" w:val="clear"/>
          <w:vertAlign w:val="superscript"/>
        </w:rPr>
        <w:t>49</w:t>
      </w:r>
      <w:r>
        <w:rPr>
          <w:rFonts w:ascii="黑体" w:eastAsia="黑体"/>
          <w:color w:val="000000"/>
          <w:w w:val="95"/>
          <w:sz w:val="21"/>
          <w:shd w:fill="D9D9D9" w:color="auto" w:val="clear"/>
          <w:vertAlign w:val="baseline"/>
        </w:rPr>
        <w:t>产</w:t>
      </w:r>
      <w:r>
        <w:rPr>
          <w:rFonts w:ascii="黑体" w:eastAsia="黑体"/>
          <w:color w:val="000000"/>
          <w:w w:val="95"/>
          <w:sz w:val="21"/>
          <w:shd w:fill="D9D9D9" w:color="auto" w:val="clear"/>
          <w:vertAlign w:val="baseline"/>
        </w:rPr>
        <w:t>生</w:t>
      </w:r>
      <w:r>
        <w:rPr>
          <w:rFonts w:ascii="黑体" w:eastAsia="黑体"/>
          <w:color w:val="000000"/>
          <w:w w:val="95"/>
          <w:sz w:val="21"/>
          <w:shd w:fill="D9D9D9" w:color="auto" w:val="clear"/>
          <w:vertAlign w:val="baseline"/>
        </w:rPr>
        <w:t>的</w:t>
      </w:r>
      <w:r>
        <w:rPr>
          <w:rFonts w:ascii="黑体" w:eastAsia="黑体"/>
          <w:color w:val="000000"/>
          <w:w w:val="95"/>
          <w:sz w:val="21"/>
          <w:shd w:fill="D9D9D9" w:color="auto" w:val="clear"/>
          <w:vertAlign w:val="baseline"/>
        </w:rPr>
        <w:t>费</w:t>
      </w:r>
      <w:r>
        <w:rPr>
          <w:rFonts w:ascii="黑体" w:eastAsia="黑体"/>
          <w:color w:val="000000"/>
          <w:w w:val="95"/>
          <w:sz w:val="21"/>
          <w:shd w:fill="D9D9D9" w:color="auto" w:val="clear"/>
          <w:vertAlign w:val="baseline"/>
        </w:rPr>
        <w:t>用</w:t>
      </w:r>
      <w:r>
        <w:rPr>
          <w:rFonts w:ascii="黑体" w:eastAsia="黑体"/>
          <w:color w:val="000000"/>
          <w:spacing w:val="-10"/>
          <w:w w:val="95"/>
          <w:sz w:val="21"/>
          <w:shd w:fill="D9D9D9" w:color="auto" w:val="clear"/>
          <w:vertAlign w:val="baseline"/>
        </w:rPr>
        <w:t>；</w:t>
      </w:r>
    </w:p>
    <w:p>
      <w:pPr>
        <w:pStyle w:val="BodyText"/>
        <w:spacing w:line="278" w:lineRule="auto" w:before="42"/>
        <w:ind w:right="1340"/>
        <w:rPr>
          <w:rFonts w:ascii="黑体" w:eastAsia="黑体"/>
        </w:rPr>
      </w:pPr>
      <w:r>
        <w:rPr>
          <w:rFonts w:ascii="黑体" w:eastAsia="黑体"/>
          <w:spacing w:val="-2"/>
        </w:rPr>
        <w:t>二十三、</w:t>
      </w:r>
      <w:r>
        <w:rPr>
          <w:rFonts w:ascii="黑体" w:eastAsia="黑体"/>
          <w:color w:val="000000"/>
          <w:spacing w:val="-2"/>
          <w:shd w:fill="D9D9D9" w:color="auto" w:val="clear"/>
        </w:rPr>
        <w:t>任何由</w:t>
      </w:r>
      <w:r>
        <w:rPr>
          <w:rFonts w:ascii="黑体" w:eastAsia="黑体" w:hint="eastAsia"/>
          <w:b/>
          <w:color w:val="000000"/>
          <w:spacing w:val="-2"/>
          <w:shd w:fill="D9D9D9" w:color="auto" w:val="clear"/>
        </w:rPr>
        <w:t>脑综合症</w:t>
      </w:r>
      <w:r>
        <w:rPr>
          <w:rFonts w:ascii="Times New Roman" w:eastAsia="Times New Roman"/>
          <w:b/>
          <w:color w:val="000000"/>
          <w:spacing w:val="-2"/>
          <w:shd w:fill="D9D9D9" w:color="auto" w:val="clear"/>
          <w:vertAlign w:val="superscript"/>
        </w:rPr>
        <w:t>50</w:t>
      </w:r>
      <w:r>
        <w:rPr>
          <w:rFonts w:ascii="黑体" w:eastAsia="黑体"/>
          <w:color w:val="000000"/>
          <w:spacing w:val="-2"/>
          <w:shd w:fill="D9D9D9" w:color="auto" w:val="clear"/>
          <w:vertAlign w:val="baseline"/>
        </w:rPr>
        <w:t>、脑衰老或脑损伤产生的治疗后的监护费用或住院费用；</w:t>
      </w:r>
      <w:r>
        <w:rPr>
          <w:rFonts w:ascii="黑体" w:eastAsia="黑体"/>
          <w:color w:val="000000"/>
          <w:spacing w:val="-2"/>
          <w:vertAlign w:val="baseline"/>
        </w:rPr>
        <w:t>二十四、</w:t>
      </w:r>
      <w:r>
        <w:rPr>
          <w:rFonts w:ascii="黑体" w:eastAsia="黑体"/>
          <w:color w:val="000000"/>
          <w:spacing w:val="-2"/>
          <w:shd w:fill="D9D9D9" w:color="auto" w:val="clear"/>
          <w:vertAlign w:val="baseline"/>
        </w:rPr>
        <w:t>被保险人在不符合本合同约定的医院就诊发生的医疗费用。</w:t>
      </w:r>
    </w:p>
    <w:p>
      <w:pPr>
        <w:pStyle w:val="BodyText"/>
        <w:ind w:left="0"/>
        <w:rPr>
          <w:rFonts w:ascii="黑体"/>
          <w:sz w:val="20"/>
        </w:rPr>
      </w:pPr>
    </w:p>
    <w:p>
      <w:pPr>
        <w:pStyle w:val="BodyText"/>
        <w:ind w:left="0"/>
        <w:rPr>
          <w:rFonts w:ascii="黑体"/>
          <w:sz w:val="20"/>
        </w:rPr>
      </w:pPr>
    </w:p>
    <w:p>
      <w:pPr>
        <w:pStyle w:val="BodyText"/>
        <w:spacing w:before="9"/>
        <w:ind w:left="0"/>
        <w:rPr>
          <w:rFonts w:ascii="黑体"/>
          <w:sz w:val="15"/>
        </w:rPr>
      </w:pPr>
      <w:r>
        <w:rPr/>
        <w:drawing>
          <wp:anchor distT="0" distB="0" distL="0" distR="0" allowOverlap="1" layoutInCell="1" locked="0" behindDoc="0" simplePos="0" relativeHeight="13">
            <wp:simplePos x="0" y="0"/>
            <wp:positionH relativeFrom="page">
              <wp:posOffset>1141475</wp:posOffset>
            </wp:positionH>
            <wp:positionV relativeFrom="paragraph">
              <wp:posOffset>143385</wp:posOffset>
            </wp:positionV>
            <wp:extent cx="1828766" cy="6858"/>
            <wp:effectExtent l="0" t="0" r="0" b="0"/>
            <wp:wrapTopAndBottom/>
            <wp:docPr id="17" name="image2.png"/>
            <wp:cNvGraphicFramePr>
              <a:graphicFrameLocks noChangeAspect="1"/>
            </wp:cNvGraphicFramePr>
            <a:graphic>
              <a:graphicData uri="http://schemas.openxmlformats.org/drawingml/2006/picture">
                <pic:pic>
                  <pic:nvPicPr>
                    <pic:cNvPr id="18" name="image2.png"/>
                    <pic:cNvPicPr/>
                  </pic:nvPicPr>
                  <pic:blipFill>
                    <a:blip r:embed="rId7" cstate="print"/>
                    <a:stretch>
                      <a:fillRect/>
                    </a:stretch>
                  </pic:blipFill>
                  <pic:spPr>
                    <a:xfrm>
                      <a:off x="0" y="0"/>
                      <a:ext cx="1828766" cy="6858"/>
                    </a:xfrm>
                    <a:prstGeom prst="rect">
                      <a:avLst/>
                    </a:prstGeom>
                  </pic:spPr>
                </pic:pic>
              </a:graphicData>
            </a:graphic>
          </wp:anchor>
        </w:drawing>
      </w:r>
    </w:p>
    <w:p>
      <w:pPr>
        <w:spacing w:line="226" w:lineRule="exact" w:before="86"/>
        <w:ind w:left="737" w:right="0" w:firstLine="0"/>
        <w:jc w:val="left"/>
        <w:rPr>
          <w:sz w:val="18"/>
        </w:rPr>
      </w:pPr>
      <w:r>
        <w:rPr>
          <w:rFonts w:ascii="Times New Roman" w:eastAsia="Times New Roman"/>
          <w:w w:val="95"/>
          <w:sz w:val="18"/>
          <w:vertAlign w:val="superscript"/>
        </w:rPr>
        <w:t>41</w:t>
      </w:r>
      <w:r>
        <w:rPr>
          <w:b/>
          <w:w w:val="95"/>
          <w:sz w:val="18"/>
          <w:vertAlign w:val="baseline"/>
        </w:rPr>
        <w:t>潜</w:t>
      </w:r>
      <w:r>
        <w:rPr>
          <w:b/>
          <w:w w:val="95"/>
          <w:sz w:val="18"/>
          <w:vertAlign w:val="baseline"/>
        </w:rPr>
        <w:t>水</w:t>
      </w:r>
      <w:r>
        <w:rPr>
          <w:w w:val="95"/>
          <w:sz w:val="18"/>
          <w:vertAlign w:val="baseline"/>
        </w:rPr>
        <w:t>：</w:t>
      </w:r>
      <w:r>
        <w:rPr>
          <w:w w:val="95"/>
          <w:sz w:val="18"/>
          <w:vertAlign w:val="baseline"/>
        </w:rPr>
        <w:t>指</w:t>
      </w:r>
      <w:r>
        <w:rPr>
          <w:w w:val="95"/>
          <w:sz w:val="18"/>
          <w:vertAlign w:val="baseline"/>
        </w:rPr>
        <w:t>以</w:t>
      </w:r>
      <w:r>
        <w:rPr>
          <w:w w:val="95"/>
          <w:sz w:val="18"/>
          <w:vertAlign w:val="baseline"/>
        </w:rPr>
        <w:t>辅</w:t>
      </w:r>
      <w:r>
        <w:rPr>
          <w:w w:val="95"/>
          <w:sz w:val="18"/>
          <w:vertAlign w:val="baseline"/>
        </w:rPr>
        <w:t>助</w:t>
      </w:r>
      <w:r>
        <w:rPr>
          <w:w w:val="95"/>
          <w:sz w:val="18"/>
          <w:vertAlign w:val="baseline"/>
        </w:rPr>
        <w:t>呼</w:t>
      </w:r>
      <w:r>
        <w:rPr>
          <w:w w:val="95"/>
          <w:sz w:val="18"/>
          <w:vertAlign w:val="baseline"/>
        </w:rPr>
        <w:t>吸</w:t>
      </w:r>
      <w:r>
        <w:rPr>
          <w:w w:val="95"/>
          <w:sz w:val="18"/>
          <w:vertAlign w:val="baseline"/>
        </w:rPr>
        <w:t>器</w:t>
      </w:r>
      <w:r>
        <w:rPr>
          <w:w w:val="95"/>
          <w:sz w:val="18"/>
          <w:vertAlign w:val="baseline"/>
        </w:rPr>
        <w:t>材</w:t>
      </w:r>
      <w:r>
        <w:rPr>
          <w:w w:val="95"/>
          <w:sz w:val="18"/>
          <w:vertAlign w:val="baseline"/>
        </w:rPr>
        <w:t>在</w:t>
      </w:r>
      <w:r>
        <w:rPr>
          <w:w w:val="95"/>
          <w:sz w:val="18"/>
          <w:vertAlign w:val="baseline"/>
        </w:rPr>
        <w:t>江</w:t>
      </w:r>
      <w:r>
        <w:rPr>
          <w:w w:val="95"/>
          <w:sz w:val="18"/>
          <w:vertAlign w:val="baseline"/>
        </w:rPr>
        <w:t>、</w:t>
      </w:r>
      <w:r>
        <w:rPr>
          <w:w w:val="95"/>
          <w:sz w:val="18"/>
          <w:vertAlign w:val="baseline"/>
        </w:rPr>
        <w:t>河</w:t>
      </w:r>
      <w:r>
        <w:rPr>
          <w:w w:val="95"/>
          <w:sz w:val="18"/>
          <w:vertAlign w:val="baseline"/>
        </w:rPr>
        <w:t>、</w:t>
      </w:r>
      <w:r>
        <w:rPr>
          <w:w w:val="95"/>
          <w:sz w:val="18"/>
          <w:vertAlign w:val="baseline"/>
        </w:rPr>
        <w:t>湖</w:t>
      </w:r>
      <w:r>
        <w:rPr>
          <w:w w:val="95"/>
          <w:sz w:val="18"/>
          <w:vertAlign w:val="baseline"/>
        </w:rPr>
        <w:t>、</w:t>
      </w:r>
      <w:r>
        <w:rPr>
          <w:w w:val="95"/>
          <w:sz w:val="18"/>
          <w:vertAlign w:val="baseline"/>
        </w:rPr>
        <w:t>海</w:t>
      </w:r>
      <w:r>
        <w:rPr>
          <w:w w:val="95"/>
          <w:sz w:val="18"/>
          <w:vertAlign w:val="baseline"/>
        </w:rPr>
        <w:t>、</w:t>
      </w:r>
      <w:r>
        <w:rPr>
          <w:w w:val="95"/>
          <w:sz w:val="18"/>
          <w:vertAlign w:val="baseline"/>
        </w:rPr>
        <w:t>水</w:t>
      </w:r>
      <w:r>
        <w:rPr>
          <w:w w:val="95"/>
          <w:sz w:val="18"/>
          <w:vertAlign w:val="baseline"/>
        </w:rPr>
        <w:t>库</w:t>
      </w:r>
      <w:r>
        <w:rPr>
          <w:w w:val="95"/>
          <w:sz w:val="18"/>
          <w:vertAlign w:val="baseline"/>
        </w:rPr>
        <w:t>、</w:t>
      </w:r>
      <w:r>
        <w:rPr>
          <w:w w:val="95"/>
          <w:sz w:val="18"/>
          <w:vertAlign w:val="baseline"/>
        </w:rPr>
        <w:t>运</w:t>
      </w:r>
      <w:r>
        <w:rPr>
          <w:w w:val="95"/>
          <w:sz w:val="18"/>
          <w:vertAlign w:val="baseline"/>
        </w:rPr>
        <w:t>河</w:t>
      </w:r>
      <w:r>
        <w:rPr>
          <w:w w:val="95"/>
          <w:sz w:val="18"/>
          <w:vertAlign w:val="baseline"/>
        </w:rPr>
        <w:t>等</w:t>
      </w:r>
      <w:r>
        <w:rPr>
          <w:w w:val="95"/>
          <w:sz w:val="18"/>
          <w:vertAlign w:val="baseline"/>
        </w:rPr>
        <w:t>水</w:t>
      </w:r>
      <w:r>
        <w:rPr>
          <w:w w:val="95"/>
          <w:sz w:val="18"/>
          <w:vertAlign w:val="baseline"/>
        </w:rPr>
        <w:t>域</w:t>
      </w:r>
      <w:r>
        <w:rPr>
          <w:w w:val="95"/>
          <w:sz w:val="18"/>
          <w:vertAlign w:val="baseline"/>
        </w:rPr>
        <w:t>进</w:t>
      </w:r>
      <w:r>
        <w:rPr>
          <w:w w:val="95"/>
          <w:sz w:val="18"/>
          <w:vertAlign w:val="baseline"/>
        </w:rPr>
        <w:t>行</w:t>
      </w:r>
      <w:r>
        <w:rPr>
          <w:w w:val="95"/>
          <w:sz w:val="18"/>
          <w:vertAlign w:val="baseline"/>
        </w:rPr>
        <w:t>的</w:t>
      </w:r>
      <w:r>
        <w:rPr>
          <w:w w:val="95"/>
          <w:sz w:val="18"/>
          <w:vertAlign w:val="baseline"/>
        </w:rPr>
        <w:t>水</w:t>
      </w:r>
      <w:r>
        <w:rPr>
          <w:w w:val="95"/>
          <w:sz w:val="18"/>
          <w:vertAlign w:val="baseline"/>
        </w:rPr>
        <w:t>下</w:t>
      </w:r>
      <w:r>
        <w:rPr>
          <w:w w:val="95"/>
          <w:sz w:val="18"/>
          <w:vertAlign w:val="baseline"/>
        </w:rPr>
        <w:t>运</w:t>
      </w:r>
      <w:r>
        <w:rPr>
          <w:w w:val="95"/>
          <w:sz w:val="18"/>
          <w:vertAlign w:val="baseline"/>
        </w:rPr>
        <w:t>动</w:t>
      </w:r>
      <w:r>
        <w:rPr>
          <w:spacing w:val="-10"/>
          <w:w w:val="95"/>
          <w:sz w:val="18"/>
          <w:vertAlign w:val="baseline"/>
        </w:rPr>
        <w:t>。</w:t>
      </w:r>
    </w:p>
    <w:p>
      <w:pPr>
        <w:spacing w:line="220" w:lineRule="exact" w:before="0"/>
        <w:ind w:left="737" w:right="0" w:firstLine="0"/>
        <w:jc w:val="left"/>
        <w:rPr>
          <w:sz w:val="18"/>
        </w:rPr>
      </w:pPr>
      <w:r>
        <w:rPr>
          <w:rFonts w:ascii="Times New Roman" w:eastAsia="Times New Roman"/>
          <w:w w:val="95"/>
          <w:sz w:val="18"/>
          <w:vertAlign w:val="superscript"/>
        </w:rPr>
        <w:t>42</w:t>
      </w:r>
      <w:r>
        <w:rPr>
          <w:b/>
          <w:w w:val="95"/>
          <w:sz w:val="18"/>
          <w:vertAlign w:val="baseline"/>
        </w:rPr>
        <w:t>攀</w:t>
      </w:r>
      <w:r>
        <w:rPr>
          <w:b/>
          <w:w w:val="95"/>
          <w:sz w:val="18"/>
          <w:vertAlign w:val="baseline"/>
        </w:rPr>
        <w:t>岩</w:t>
      </w:r>
      <w:r>
        <w:rPr>
          <w:b/>
          <w:w w:val="95"/>
          <w:sz w:val="18"/>
          <w:vertAlign w:val="baseline"/>
        </w:rPr>
        <w:t>运动</w:t>
      </w:r>
      <w:r>
        <w:rPr>
          <w:w w:val="95"/>
          <w:sz w:val="18"/>
          <w:vertAlign w:val="baseline"/>
        </w:rPr>
        <w:t>：指</w:t>
      </w:r>
      <w:r>
        <w:rPr>
          <w:w w:val="95"/>
          <w:sz w:val="18"/>
          <w:vertAlign w:val="baseline"/>
        </w:rPr>
        <w:t>攀</w:t>
      </w:r>
      <w:r>
        <w:rPr>
          <w:w w:val="95"/>
          <w:sz w:val="18"/>
          <w:vertAlign w:val="baseline"/>
        </w:rPr>
        <w:t>登</w:t>
      </w:r>
      <w:r>
        <w:rPr>
          <w:w w:val="95"/>
          <w:sz w:val="18"/>
          <w:vertAlign w:val="baseline"/>
        </w:rPr>
        <w:t>悬</w:t>
      </w:r>
      <w:r>
        <w:rPr>
          <w:w w:val="95"/>
          <w:sz w:val="18"/>
          <w:vertAlign w:val="baseline"/>
        </w:rPr>
        <w:t>崖</w:t>
      </w:r>
      <w:r>
        <w:rPr>
          <w:w w:val="95"/>
          <w:sz w:val="18"/>
          <w:vertAlign w:val="baseline"/>
        </w:rPr>
        <w:t>、</w:t>
      </w:r>
      <w:r>
        <w:rPr>
          <w:w w:val="95"/>
          <w:sz w:val="18"/>
          <w:vertAlign w:val="baseline"/>
        </w:rPr>
        <w:t>楼</w:t>
      </w:r>
      <w:r>
        <w:rPr>
          <w:w w:val="95"/>
          <w:sz w:val="18"/>
          <w:vertAlign w:val="baseline"/>
        </w:rPr>
        <w:t>宇</w:t>
      </w:r>
      <w:r>
        <w:rPr>
          <w:w w:val="95"/>
          <w:sz w:val="18"/>
          <w:vertAlign w:val="baseline"/>
        </w:rPr>
        <w:t>外</w:t>
      </w:r>
      <w:r>
        <w:rPr>
          <w:w w:val="95"/>
          <w:sz w:val="18"/>
          <w:vertAlign w:val="baseline"/>
        </w:rPr>
        <w:t>墙</w:t>
      </w:r>
      <w:r>
        <w:rPr>
          <w:w w:val="95"/>
          <w:sz w:val="18"/>
          <w:vertAlign w:val="baseline"/>
        </w:rPr>
        <w:t>、</w:t>
      </w:r>
      <w:r>
        <w:rPr>
          <w:w w:val="95"/>
          <w:sz w:val="18"/>
          <w:vertAlign w:val="baseline"/>
        </w:rPr>
        <w:t>人</w:t>
      </w:r>
      <w:r>
        <w:rPr>
          <w:w w:val="95"/>
          <w:sz w:val="18"/>
          <w:vertAlign w:val="baseline"/>
        </w:rPr>
        <w:t>造</w:t>
      </w:r>
      <w:r>
        <w:rPr>
          <w:w w:val="95"/>
          <w:sz w:val="18"/>
          <w:vertAlign w:val="baseline"/>
        </w:rPr>
        <w:t>悬</w:t>
      </w:r>
      <w:r>
        <w:rPr>
          <w:w w:val="95"/>
          <w:sz w:val="18"/>
          <w:vertAlign w:val="baseline"/>
        </w:rPr>
        <w:t>崖</w:t>
      </w:r>
      <w:r>
        <w:rPr>
          <w:w w:val="95"/>
          <w:sz w:val="18"/>
          <w:vertAlign w:val="baseline"/>
        </w:rPr>
        <w:t>、</w:t>
      </w:r>
      <w:r>
        <w:rPr>
          <w:w w:val="95"/>
          <w:sz w:val="18"/>
          <w:vertAlign w:val="baseline"/>
        </w:rPr>
        <w:t>冰</w:t>
      </w:r>
      <w:r>
        <w:rPr>
          <w:w w:val="95"/>
          <w:sz w:val="18"/>
          <w:vertAlign w:val="baseline"/>
        </w:rPr>
        <w:t>崖</w:t>
      </w:r>
      <w:r>
        <w:rPr>
          <w:w w:val="95"/>
          <w:sz w:val="18"/>
          <w:vertAlign w:val="baseline"/>
        </w:rPr>
        <w:t>、</w:t>
      </w:r>
      <w:r>
        <w:rPr>
          <w:w w:val="95"/>
          <w:sz w:val="18"/>
          <w:vertAlign w:val="baseline"/>
        </w:rPr>
        <w:t>冰</w:t>
      </w:r>
      <w:r>
        <w:rPr>
          <w:w w:val="95"/>
          <w:sz w:val="18"/>
          <w:vertAlign w:val="baseline"/>
        </w:rPr>
        <w:t>山</w:t>
      </w:r>
      <w:r>
        <w:rPr>
          <w:w w:val="95"/>
          <w:sz w:val="18"/>
          <w:vertAlign w:val="baseline"/>
        </w:rPr>
        <w:t>等</w:t>
      </w:r>
      <w:r>
        <w:rPr>
          <w:w w:val="95"/>
          <w:sz w:val="18"/>
          <w:vertAlign w:val="baseline"/>
        </w:rPr>
        <w:t>运</w:t>
      </w:r>
      <w:r>
        <w:rPr>
          <w:w w:val="95"/>
          <w:sz w:val="18"/>
          <w:vertAlign w:val="baseline"/>
        </w:rPr>
        <w:t>动</w:t>
      </w:r>
      <w:r>
        <w:rPr>
          <w:spacing w:val="-10"/>
          <w:w w:val="95"/>
          <w:sz w:val="18"/>
          <w:vertAlign w:val="baseline"/>
        </w:rPr>
        <w:t>。</w:t>
      </w:r>
    </w:p>
    <w:p>
      <w:pPr>
        <w:spacing w:line="220" w:lineRule="exact" w:before="0"/>
        <w:ind w:left="737" w:right="0" w:firstLine="0"/>
        <w:jc w:val="left"/>
        <w:rPr>
          <w:sz w:val="18"/>
        </w:rPr>
      </w:pPr>
      <w:r>
        <w:rPr>
          <w:rFonts w:ascii="Times New Roman" w:eastAsia="Times New Roman"/>
          <w:w w:val="95"/>
          <w:sz w:val="18"/>
          <w:vertAlign w:val="superscript"/>
        </w:rPr>
        <w:t>43</w:t>
      </w:r>
      <w:r>
        <w:rPr>
          <w:b/>
          <w:w w:val="95"/>
          <w:sz w:val="18"/>
          <w:vertAlign w:val="baseline"/>
        </w:rPr>
        <w:t>探</w:t>
      </w:r>
      <w:r>
        <w:rPr>
          <w:b/>
          <w:w w:val="95"/>
          <w:sz w:val="18"/>
          <w:vertAlign w:val="baseline"/>
        </w:rPr>
        <w:t>险</w:t>
      </w:r>
      <w:r>
        <w:rPr>
          <w:b/>
          <w:w w:val="95"/>
          <w:sz w:val="18"/>
          <w:vertAlign w:val="baseline"/>
        </w:rPr>
        <w:t>活动</w:t>
      </w:r>
      <w:r>
        <w:rPr>
          <w:w w:val="95"/>
          <w:sz w:val="18"/>
          <w:vertAlign w:val="baseline"/>
        </w:rPr>
        <w:t>：指</w:t>
      </w:r>
      <w:r>
        <w:rPr>
          <w:w w:val="95"/>
          <w:sz w:val="18"/>
          <w:vertAlign w:val="baseline"/>
        </w:rPr>
        <w:t>明</w:t>
      </w:r>
      <w:r>
        <w:rPr>
          <w:w w:val="95"/>
          <w:sz w:val="18"/>
          <w:vertAlign w:val="baseline"/>
        </w:rPr>
        <w:t>知</w:t>
      </w:r>
      <w:r>
        <w:rPr>
          <w:w w:val="95"/>
          <w:sz w:val="18"/>
          <w:vertAlign w:val="baseline"/>
        </w:rPr>
        <w:t>在</w:t>
      </w:r>
      <w:r>
        <w:rPr>
          <w:w w:val="95"/>
          <w:sz w:val="18"/>
          <w:vertAlign w:val="baseline"/>
        </w:rPr>
        <w:t>某</w:t>
      </w:r>
      <w:r>
        <w:rPr>
          <w:w w:val="95"/>
          <w:sz w:val="18"/>
          <w:vertAlign w:val="baseline"/>
        </w:rPr>
        <w:t>种</w:t>
      </w:r>
      <w:r>
        <w:rPr>
          <w:w w:val="95"/>
          <w:sz w:val="18"/>
          <w:vertAlign w:val="baseline"/>
        </w:rPr>
        <w:t>特</w:t>
      </w:r>
      <w:r>
        <w:rPr>
          <w:w w:val="95"/>
          <w:sz w:val="18"/>
          <w:vertAlign w:val="baseline"/>
        </w:rPr>
        <w:t>定</w:t>
      </w:r>
      <w:r>
        <w:rPr>
          <w:w w:val="95"/>
          <w:sz w:val="18"/>
          <w:vertAlign w:val="baseline"/>
        </w:rPr>
        <w:t>的</w:t>
      </w:r>
      <w:r>
        <w:rPr>
          <w:w w:val="95"/>
          <w:sz w:val="18"/>
          <w:vertAlign w:val="baseline"/>
        </w:rPr>
        <w:t>自</w:t>
      </w:r>
      <w:r>
        <w:rPr>
          <w:w w:val="95"/>
          <w:sz w:val="18"/>
          <w:vertAlign w:val="baseline"/>
        </w:rPr>
        <w:t>然</w:t>
      </w:r>
      <w:r>
        <w:rPr>
          <w:w w:val="95"/>
          <w:sz w:val="18"/>
          <w:vertAlign w:val="baseline"/>
        </w:rPr>
        <w:t>条</w:t>
      </w:r>
      <w:r>
        <w:rPr>
          <w:w w:val="95"/>
          <w:sz w:val="18"/>
          <w:vertAlign w:val="baseline"/>
        </w:rPr>
        <w:t>件</w:t>
      </w:r>
      <w:r>
        <w:rPr>
          <w:w w:val="95"/>
          <w:sz w:val="18"/>
          <w:vertAlign w:val="baseline"/>
        </w:rPr>
        <w:t>下</w:t>
      </w:r>
      <w:r>
        <w:rPr>
          <w:w w:val="95"/>
          <w:sz w:val="18"/>
          <w:vertAlign w:val="baseline"/>
        </w:rPr>
        <w:t>有</w:t>
      </w:r>
      <w:r>
        <w:rPr>
          <w:w w:val="95"/>
          <w:sz w:val="18"/>
          <w:vertAlign w:val="baseline"/>
        </w:rPr>
        <w:t>失</w:t>
      </w:r>
      <w:r>
        <w:rPr>
          <w:w w:val="95"/>
          <w:sz w:val="18"/>
          <w:vertAlign w:val="baseline"/>
        </w:rPr>
        <w:t>去</w:t>
      </w:r>
      <w:r>
        <w:rPr>
          <w:w w:val="95"/>
          <w:sz w:val="18"/>
          <w:vertAlign w:val="baseline"/>
        </w:rPr>
        <w:t>生</w:t>
      </w:r>
      <w:r>
        <w:rPr>
          <w:w w:val="95"/>
          <w:sz w:val="18"/>
          <w:vertAlign w:val="baseline"/>
        </w:rPr>
        <w:t>命</w:t>
      </w:r>
      <w:r>
        <w:rPr>
          <w:w w:val="95"/>
          <w:sz w:val="18"/>
          <w:vertAlign w:val="baseline"/>
        </w:rPr>
        <w:t>或</w:t>
      </w:r>
      <w:r>
        <w:rPr>
          <w:w w:val="95"/>
          <w:sz w:val="18"/>
          <w:vertAlign w:val="baseline"/>
        </w:rPr>
        <w:t>使</w:t>
      </w:r>
      <w:r>
        <w:rPr>
          <w:w w:val="95"/>
          <w:sz w:val="18"/>
          <w:vertAlign w:val="baseline"/>
        </w:rPr>
        <w:t>身</w:t>
      </w:r>
      <w:r>
        <w:rPr>
          <w:w w:val="95"/>
          <w:sz w:val="18"/>
          <w:vertAlign w:val="baseline"/>
        </w:rPr>
        <w:t>体</w:t>
      </w:r>
      <w:r>
        <w:rPr>
          <w:w w:val="95"/>
          <w:sz w:val="18"/>
          <w:vertAlign w:val="baseline"/>
        </w:rPr>
        <w:t>受</w:t>
      </w:r>
      <w:r>
        <w:rPr>
          <w:w w:val="95"/>
          <w:sz w:val="18"/>
          <w:vertAlign w:val="baseline"/>
        </w:rPr>
        <w:t>到</w:t>
      </w:r>
      <w:r>
        <w:rPr>
          <w:w w:val="95"/>
          <w:sz w:val="18"/>
          <w:vertAlign w:val="baseline"/>
        </w:rPr>
        <w:t>伤</w:t>
      </w:r>
      <w:r>
        <w:rPr>
          <w:w w:val="95"/>
          <w:sz w:val="18"/>
          <w:vertAlign w:val="baseline"/>
        </w:rPr>
        <w:t>害</w:t>
      </w:r>
      <w:r>
        <w:rPr>
          <w:w w:val="95"/>
          <w:sz w:val="18"/>
          <w:vertAlign w:val="baseline"/>
        </w:rPr>
        <w:t>的</w:t>
      </w:r>
      <w:r>
        <w:rPr>
          <w:w w:val="95"/>
          <w:sz w:val="18"/>
          <w:vertAlign w:val="baseline"/>
        </w:rPr>
        <w:t>危</w:t>
      </w:r>
      <w:r>
        <w:rPr>
          <w:w w:val="95"/>
          <w:sz w:val="18"/>
          <w:vertAlign w:val="baseline"/>
        </w:rPr>
        <w:t>险</w:t>
      </w:r>
      <w:r>
        <w:rPr>
          <w:w w:val="95"/>
          <w:sz w:val="18"/>
          <w:vertAlign w:val="baseline"/>
        </w:rPr>
        <w:t>，</w:t>
      </w:r>
      <w:r>
        <w:rPr>
          <w:w w:val="95"/>
          <w:sz w:val="18"/>
          <w:vertAlign w:val="baseline"/>
        </w:rPr>
        <w:t>而</w:t>
      </w:r>
      <w:r>
        <w:rPr>
          <w:w w:val="95"/>
          <w:sz w:val="18"/>
          <w:vertAlign w:val="baseline"/>
        </w:rPr>
        <w:t>故</w:t>
      </w:r>
      <w:r>
        <w:rPr>
          <w:w w:val="95"/>
          <w:sz w:val="18"/>
          <w:vertAlign w:val="baseline"/>
        </w:rPr>
        <w:t>意</w:t>
      </w:r>
      <w:r>
        <w:rPr>
          <w:w w:val="95"/>
          <w:sz w:val="18"/>
          <w:vertAlign w:val="baseline"/>
        </w:rPr>
        <w:t>使</w:t>
      </w:r>
      <w:r>
        <w:rPr>
          <w:w w:val="95"/>
          <w:sz w:val="18"/>
          <w:vertAlign w:val="baseline"/>
        </w:rPr>
        <w:t>自</w:t>
      </w:r>
      <w:r>
        <w:rPr>
          <w:w w:val="95"/>
          <w:sz w:val="18"/>
          <w:vertAlign w:val="baseline"/>
        </w:rPr>
        <w:t>己</w:t>
      </w:r>
      <w:r>
        <w:rPr>
          <w:w w:val="95"/>
          <w:sz w:val="18"/>
          <w:vertAlign w:val="baseline"/>
        </w:rPr>
        <w:t>置</w:t>
      </w:r>
      <w:r>
        <w:rPr>
          <w:w w:val="95"/>
          <w:sz w:val="18"/>
          <w:vertAlign w:val="baseline"/>
        </w:rPr>
        <w:t>身</w:t>
      </w:r>
      <w:r>
        <w:rPr>
          <w:spacing w:val="-10"/>
          <w:w w:val="95"/>
          <w:sz w:val="18"/>
          <w:vertAlign w:val="baseline"/>
        </w:rPr>
        <w:t>其</w:t>
      </w:r>
    </w:p>
    <w:p>
      <w:pPr>
        <w:spacing w:line="220" w:lineRule="exact" w:before="0"/>
        <w:ind w:left="737" w:right="0" w:firstLine="0"/>
        <w:jc w:val="left"/>
        <w:rPr>
          <w:sz w:val="18"/>
        </w:rPr>
      </w:pPr>
      <w:r>
        <w:rPr>
          <w:spacing w:val="-1"/>
          <w:sz w:val="18"/>
        </w:rPr>
        <w:t>中的行为。如江河漂流、徒步穿越沙漠或人迹罕至的原始森林等活动。</w:t>
      </w:r>
    </w:p>
    <w:p>
      <w:pPr>
        <w:spacing w:line="220" w:lineRule="exact" w:before="0"/>
        <w:ind w:left="737" w:right="0" w:firstLine="0"/>
        <w:jc w:val="left"/>
        <w:rPr>
          <w:sz w:val="18"/>
        </w:rPr>
      </w:pPr>
      <w:r>
        <w:rPr>
          <w:rFonts w:ascii="Times New Roman" w:eastAsia="Times New Roman"/>
          <w:w w:val="95"/>
          <w:sz w:val="18"/>
          <w:vertAlign w:val="superscript"/>
        </w:rPr>
        <w:t>44</w:t>
      </w:r>
      <w:r>
        <w:rPr>
          <w:b/>
          <w:w w:val="95"/>
          <w:sz w:val="18"/>
          <w:vertAlign w:val="baseline"/>
        </w:rPr>
        <w:t>武</w:t>
      </w:r>
      <w:r>
        <w:rPr>
          <w:b/>
          <w:w w:val="95"/>
          <w:sz w:val="18"/>
          <w:vertAlign w:val="baseline"/>
        </w:rPr>
        <w:t>术</w:t>
      </w:r>
      <w:r>
        <w:rPr>
          <w:b/>
          <w:w w:val="95"/>
          <w:sz w:val="18"/>
          <w:vertAlign w:val="baseline"/>
        </w:rPr>
        <w:t>：</w:t>
      </w:r>
      <w:r>
        <w:rPr>
          <w:w w:val="95"/>
          <w:sz w:val="18"/>
          <w:vertAlign w:val="baseline"/>
        </w:rPr>
        <w:t>指</w:t>
      </w:r>
      <w:r>
        <w:rPr>
          <w:w w:val="95"/>
          <w:sz w:val="18"/>
          <w:vertAlign w:val="baseline"/>
        </w:rPr>
        <w:t>两</w:t>
      </w:r>
      <w:r>
        <w:rPr>
          <w:w w:val="95"/>
          <w:sz w:val="18"/>
          <w:vertAlign w:val="baseline"/>
        </w:rPr>
        <w:t>人</w:t>
      </w:r>
      <w:r>
        <w:rPr>
          <w:w w:val="95"/>
          <w:sz w:val="18"/>
          <w:vertAlign w:val="baseline"/>
        </w:rPr>
        <w:t>或</w:t>
      </w:r>
      <w:r>
        <w:rPr>
          <w:w w:val="95"/>
          <w:sz w:val="18"/>
          <w:vertAlign w:val="baseline"/>
        </w:rPr>
        <w:t>两</w:t>
      </w:r>
      <w:r>
        <w:rPr>
          <w:w w:val="95"/>
          <w:sz w:val="18"/>
          <w:vertAlign w:val="baseline"/>
        </w:rPr>
        <w:t>人</w:t>
      </w:r>
      <w:r>
        <w:rPr>
          <w:w w:val="95"/>
          <w:sz w:val="18"/>
          <w:vertAlign w:val="baseline"/>
        </w:rPr>
        <w:t>以</w:t>
      </w:r>
      <w:r>
        <w:rPr>
          <w:w w:val="95"/>
          <w:sz w:val="18"/>
          <w:vertAlign w:val="baseline"/>
        </w:rPr>
        <w:t>上</w:t>
      </w:r>
      <w:r>
        <w:rPr>
          <w:w w:val="95"/>
          <w:sz w:val="18"/>
          <w:vertAlign w:val="baseline"/>
        </w:rPr>
        <w:t>对</w:t>
      </w:r>
      <w:r>
        <w:rPr>
          <w:w w:val="95"/>
          <w:sz w:val="18"/>
          <w:vertAlign w:val="baseline"/>
        </w:rPr>
        <w:t>抗</w:t>
      </w:r>
      <w:r>
        <w:rPr>
          <w:w w:val="95"/>
          <w:sz w:val="18"/>
          <w:vertAlign w:val="baseline"/>
        </w:rPr>
        <w:t>柔</w:t>
      </w:r>
      <w:r>
        <w:rPr>
          <w:w w:val="95"/>
          <w:sz w:val="18"/>
          <w:vertAlign w:val="baseline"/>
        </w:rPr>
        <w:t>道</w:t>
      </w:r>
      <w:r>
        <w:rPr>
          <w:w w:val="95"/>
          <w:sz w:val="18"/>
          <w:vertAlign w:val="baseline"/>
        </w:rPr>
        <w:t>、</w:t>
      </w:r>
      <w:r>
        <w:rPr>
          <w:w w:val="95"/>
          <w:sz w:val="18"/>
          <w:vertAlign w:val="baseline"/>
        </w:rPr>
        <w:t>空</w:t>
      </w:r>
      <w:r>
        <w:rPr>
          <w:w w:val="95"/>
          <w:sz w:val="18"/>
          <w:vertAlign w:val="baseline"/>
        </w:rPr>
        <w:t>手</w:t>
      </w:r>
      <w:r>
        <w:rPr>
          <w:w w:val="95"/>
          <w:sz w:val="18"/>
          <w:vertAlign w:val="baseline"/>
        </w:rPr>
        <w:t>道</w:t>
      </w:r>
      <w:r>
        <w:rPr>
          <w:w w:val="95"/>
          <w:sz w:val="18"/>
          <w:vertAlign w:val="baseline"/>
        </w:rPr>
        <w:t>、</w:t>
      </w:r>
      <w:r>
        <w:rPr>
          <w:w w:val="95"/>
          <w:sz w:val="18"/>
          <w:vertAlign w:val="baseline"/>
        </w:rPr>
        <w:t>跆</w:t>
      </w:r>
      <w:r>
        <w:rPr>
          <w:w w:val="95"/>
          <w:sz w:val="18"/>
          <w:vertAlign w:val="baseline"/>
        </w:rPr>
        <w:t>拳</w:t>
      </w:r>
      <w:r>
        <w:rPr>
          <w:w w:val="95"/>
          <w:sz w:val="18"/>
          <w:vertAlign w:val="baseline"/>
        </w:rPr>
        <w:t>道</w:t>
      </w:r>
      <w:r>
        <w:rPr>
          <w:w w:val="95"/>
          <w:sz w:val="18"/>
          <w:vertAlign w:val="baseline"/>
        </w:rPr>
        <w:t>、</w:t>
      </w:r>
      <w:r>
        <w:rPr>
          <w:w w:val="95"/>
          <w:sz w:val="18"/>
          <w:vertAlign w:val="baseline"/>
        </w:rPr>
        <w:t>散</w:t>
      </w:r>
      <w:r>
        <w:rPr>
          <w:w w:val="95"/>
          <w:sz w:val="18"/>
          <w:vertAlign w:val="baseline"/>
        </w:rPr>
        <w:t>打</w:t>
      </w:r>
      <w:r>
        <w:rPr>
          <w:w w:val="95"/>
          <w:sz w:val="18"/>
          <w:vertAlign w:val="baseline"/>
        </w:rPr>
        <w:t>、</w:t>
      </w:r>
      <w:r>
        <w:rPr>
          <w:w w:val="95"/>
          <w:sz w:val="18"/>
          <w:vertAlign w:val="baseline"/>
        </w:rPr>
        <w:t>拳</w:t>
      </w:r>
      <w:r>
        <w:rPr>
          <w:w w:val="95"/>
          <w:sz w:val="18"/>
          <w:vertAlign w:val="baseline"/>
        </w:rPr>
        <w:t>击</w:t>
      </w:r>
      <w:r>
        <w:rPr>
          <w:w w:val="95"/>
          <w:sz w:val="18"/>
          <w:vertAlign w:val="baseline"/>
        </w:rPr>
        <w:t>等</w:t>
      </w:r>
      <w:r>
        <w:rPr>
          <w:w w:val="95"/>
          <w:sz w:val="18"/>
          <w:vertAlign w:val="baseline"/>
        </w:rPr>
        <w:t>各</w:t>
      </w:r>
      <w:r>
        <w:rPr>
          <w:w w:val="95"/>
          <w:sz w:val="18"/>
          <w:vertAlign w:val="baseline"/>
        </w:rPr>
        <w:t>种</w:t>
      </w:r>
      <w:r>
        <w:rPr>
          <w:w w:val="95"/>
          <w:sz w:val="18"/>
          <w:vertAlign w:val="baseline"/>
        </w:rPr>
        <w:t>拳</w:t>
      </w:r>
      <w:r>
        <w:rPr>
          <w:w w:val="95"/>
          <w:sz w:val="18"/>
          <w:vertAlign w:val="baseline"/>
        </w:rPr>
        <w:t>术</w:t>
      </w:r>
      <w:r>
        <w:rPr>
          <w:w w:val="95"/>
          <w:sz w:val="18"/>
          <w:vertAlign w:val="baseline"/>
        </w:rPr>
        <w:t>及</w:t>
      </w:r>
      <w:r>
        <w:rPr>
          <w:w w:val="95"/>
          <w:sz w:val="18"/>
          <w:vertAlign w:val="baseline"/>
        </w:rPr>
        <w:t>各</w:t>
      </w:r>
      <w:r>
        <w:rPr>
          <w:w w:val="95"/>
          <w:sz w:val="18"/>
          <w:vertAlign w:val="baseline"/>
        </w:rPr>
        <w:t>种</w:t>
      </w:r>
      <w:r>
        <w:rPr>
          <w:w w:val="95"/>
          <w:sz w:val="18"/>
          <w:vertAlign w:val="baseline"/>
        </w:rPr>
        <w:t>使</w:t>
      </w:r>
      <w:r>
        <w:rPr>
          <w:w w:val="95"/>
          <w:sz w:val="18"/>
          <w:vertAlign w:val="baseline"/>
        </w:rPr>
        <w:t>用</w:t>
      </w:r>
      <w:r>
        <w:rPr>
          <w:w w:val="95"/>
          <w:sz w:val="18"/>
          <w:vertAlign w:val="baseline"/>
        </w:rPr>
        <w:t>器</w:t>
      </w:r>
      <w:r>
        <w:rPr>
          <w:w w:val="95"/>
          <w:sz w:val="18"/>
          <w:vertAlign w:val="baseline"/>
        </w:rPr>
        <w:t>械</w:t>
      </w:r>
      <w:r>
        <w:rPr>
          <w:w w:val="95"/>
          <w:sz w:val="18"/>
          <w:vertAlign w:val="baseline"/>
        </w:rPr>
        <w:t>的</w:t>
      </w:r>
      <w:r>
        <w:rPr>
          <w:w w:val="95"/>
          <w:sz w:val="18"/>
          <w:vertAlign w:val="baseline"/>
        </w:rPr>
        <w:t>对</w:t>
      </w:r>
      <w:r>
        <w:rPr>
          <w:w w:val="95"/>
          <w:sz w:val="18"/>
          <w:vertAlign w:val="baseline"/>
        </w:rPr>
        <w:t>抗</w:t>
      </w:r>
      <w:r>
        <w:rPr>
          <w:spacing w:val="-10"/>
          <w:w w:val="95"/>
          <w:sz w:val="18"/>
          <w:vertAlign w:val="baseline"/>
        </w:rPr>
        <w:t>性</w:t>
      </w:r>
    </w:p>
    <w:p>
      <w:pPr>
        <w:spacing w:line="220" w:lineRule="exact" w:before="0"/>
        <w:ind w:left="737" w:right="0" w:firstLine="0"/>
        <w:jc w:val="left"/>
        <w:rPr>
          <w:sz w:val="18"/>
        </w:rPr>
      </w:pPr>
      <w:r>
        <w:rPr>
          <w:spacing w:val="-4"/>
          <w:sz w:val="18"/>
        </w:rPr>
        <w:t>比赛。</w:t>
      </w:r>
    </w:p>
    <w:p>
      <w:pPr>
        <w:spacing w:line="220" w:lineRule="exact" w:before="0"/>
        <w:ind w:left="737" w:right="0" w:firstLine="0"/>
        <w:jc w:val="left"/>
        <w:rPr>
          <w:sz w:val="18"/>
        </w:rPr>
      </w:pPr>
      <w:r>
        <w:rPr>
          <w:rFonts w:ascii="Times New Roman" w:eastAsia="Times New Roman"/>
          <w:w w:val="95"/>
          <w:sz w:val="18"/>
          <w:vertAlign w:val="superscript"/>
        </w:rPr>
        <w:t>45</w:t>
      </w:r>
      <w:r>
        <w:rPr>
          <w:b/>
          <w:w w:val="95"/>
          <w:sz w:val="18"/>
          <w:vertAlign w:val="baseline"/>
        </w:rPr>
        <w:t>特</w:t>
      </w:r>
      <w:r>
        <w:rPr>
          <w:b/>
          <w:w w:val="95"/>
          <w:sz w:val="18"/>
          <w:vertAlign w:val="baseline"/>
        </w:rPr>
        <w:t>技</w:t>
      </w:r>
      <w:r>
        <w:rPr>
          <w:w w:val="95"/>
          <w:sz w:val="18"/>
          <w:vertAlign w:val="baseline"/>
        </w:rPr>
        <w:t>：</w:t>
      </w:r>
      <w:r>
        <w:rPr>
          <w:w w:val="95"/>
          <w:sz w:val="18"/>
          <w:vertAlign w:val="baseline"/>
        </w:rPr>
        <w:t>指</w:t>
      </w:r>
      <w:r>
        <w:rPr>
          <w:w w:val="95"/>
          <w:sz w:val="18"/>
          <w:vertAlign w:val="baseline"/>
        </w:rPr>
        <w:t>马</w:t>
      </w:r>
      <w:r>
        <w:rPr>
          <w:w w:val="95"/>
          <w:sz w:val="18"/>
          <w:vertAlign w:val="baseline"/>
        </w:rPr>
        <w:t>术</w:t>
      </w:r>
      <w:r>
        <w:rPr>
          <w:w w:val="95"/>
          <w:sz w:val="18"/>
          <w:vertAlign w:val="baseline"/>
        </w:rPr>
        <w:t>、</w:t>
      </w:r>
      <w:r>
        <w:rPr>
          <w:w w:val="95"/>
          <w:sz w:val="18"/>
          <w:vertAlign w:val="baseline"/>
        </w:rPr>
        <w:t>杂</w:t>
      </w:r>
      <w:r>
        <w:rPr>
          <w:w w:val="95"/>
          <w:sz w:val="18"/>
          <w:vertAlign w:val="baseline"/>
        </w:rPr>
        <w:t>技</w:t>
      </w:r>
      <w:r>
        <w:rPr>
          <w:w w:val="95"/>
          <w:sz w:val="18"/>
          <w:vertAlign w:val="baseline"/>
        </w:rPr>
        <w:t>、</w:t>
      </w:r>
      <w:r>
        <w:rPr>
          <w:w w:val="95"/>
          <w:sz w:val="18"/>
          <w:vertAlign w:val="baseline"/>
        </w:rPr>
        <w:t>驯</w:t>
      </w:r>
      <w:r>
        <w:rPr>
          <w:w w:val="95"/>
          <w:sz w:val="18"/>
          <w:vertAlign w:val="baseline"/>
        </w:rPr>
        <w:t>兽</w:t>
      </w:r>
      <w:r>
        <w:rPr>
          <w:w w:val="95"/>
          <w:sz w:val="18"/>
          <w:vertAlign w:val="baseline"/>
        </w:rPr>
        <w:t>等</w:t>
      </w:r>
      <w:r>
        <w:rPr>
          <w:w w:val="95"/>
          <w:sz w:val="18"/>
          <w:vertAlign w:val="baseline"/>
        </w:rPr>
        <w:t>特</w:t>
      </w:r>
      <w:r>
        <w:rPr>
          <w:w w:val="95"/>
          <w:sz w:val="18"/>
          <w:vertAlign w:val="baseline"/>
        </w:rPr>
        <w:t>殊</w:t>
      </w:r>
      <w:r>
        <w:rPr>
          <w:w w:val="95"/>
          <w:sz w:val="18"/>
          <w:vertAlign w:val="baseline"/>
        </w:rPr>
        <w:t>训</w:t>
      </w:r>
      <w:r>
        <w:rPr>
          <w:w w:val="95"/>
          <w:sz w:val="18"/>
          <w:vertAlign w:val="baseline"/>
        </w:rPr>
        <w:t>练</w:t>
      </w:r>
      <w:r>
        <w:rPr>
          <w:w w:val="95"/>
          <w:sz w:val="18"/>
          <w:vertAlign w:val="baseline"/>
        </w:rPr>
        <w:t>或</w:t>
      </w:r>
      <w:r>
        <w:rPr>
          <w:w w:val="95"/>
          <w:sz w:val="18"/>
          <w:vertAlign w:val="baseline"/>
        </w:rPr>
        <w:t>表</w:t>
      </w:r>
      <w:r>
        <w:rPr>
          <w:w w:val="95"/>
          <w:sz w:val="18"/>
          <w:vertAlign w:val="baseline"/>
        </w:rPr>
        <w:t>演</w:t>
      </w:r>
      <w:r>
        <w:rPr>
          <w:spacing w:val="-10"/>
          <w:w w:val="95"/>
          <w:sz w:val="18"/>
          <w:vertAlign w:val="baseline"/>
        </w:rPr>
        <w:t>。</w:t>
      </w:r>
    </w:p>
    <w:p>
      <w:pPr>
        <w:spacing w:line="220" w:lineRule="exact" w:before="0"/>
        <w:ind w:left="737" w:right="0" w:firstLine="0"/>
        <w:jc w:val="left"/>
        <w:rPr>
          <w:sz w:val="18"/>
        </w:rPr>
      </w:pPr>
      <w:r>
        <w:rPr>
          <w:rFonts w:ascii="Times New Roman" w:eastAsia="Times New Roman"/>
          <w:sz w:val="18"/>
          <w:vertAlign w:val="superscript"/>
        </w:rPr>
        <w:t>46</w:t>
      </w:r>
      <w:r>
        <w:rPr>
          <w:b/>
          <w:sz w:val="18"/>
          <w:vertAlign w:val="baseline"/>
        </w:rPr>
        <w:t>高</w:t>
      </w:r>
      <w:r>
        <w:rPr>
          <w:b/>
          <w:sz w:val="18"/>
          <w:vertAlign w:val="baseline"/>
        </w:rPr>
        <w:t>处</w:t>
      </w:r>
      <w:r>
        <w:rPr>
          <w:b/>
          <w:sz w:val="18"/>
          <w:vertAlign w:val="baseline"/>
        </w:rPr>
        <w:t>作业</w:t>
      </w:r>
      <w:r>
        <w:rPr>
          <w:spacing w:val="-5"/>
          <w:sz w:val="18"/>
          <w:vertAlign w:val="baseline"/>
        </w:rPr>
        <w:t>：指在坠落高度基准面 </w:t>
      </w:r>
      <w:r>
        <w:rPr>
          <w:rFonts w:ascii="Times New Roman" w:eastAsia="Times New Roman"/>
          <w:sz w:val="18"/>
          <w:vertAlign w:val="baseline"/>
        </w:rPr>
        <w:t>2</w:t>
      </w:r>
      <w:r>
        <w:rPr>
          <w:rFonts w:ascii="Times New Roman" w:eastAsia="Times New Roman"/>
          <w:spacing w:val="-5"/>
          <w:sz w:val="18"/>
          <w:vertAlign w:val="baseline"/>
        </w:rPr>
        <w:t> </w:t>
      </w:r>
      <w:r>
        <w:rPr>
          <w:sz w:val="18"/>
          <w:vertAlign w:val="baseline"/>
        </w:rPr>
        <w:t>米以上（</w:t>
      </w:r>
      <w:r>
        <w:rPr>
          <w:spacing w:val="-23"/>
          <w:sz w:val="18"/>
          <w:vertAlign w:val="baseline"/>
        </w:rPr>
        <w:t>含 </w:t>
      </w:r>
      <w:r>
        <w:rPr>
          <w:rFonts w:ascii="Times New Roman" w:eastAsia="Times New Roman"/>
          <w:sz w:val="18"/>
          <w:vertAlign w:val="baseline"/>
        </w:rPr>
        <w:t>2</w:t>
      </w:r>
      <w:r>
        <w:rPr>
          <w:rFonts w:ascii="Times New Roman" w:eastAsia="Times New Roman"/>
          <w:spacing w:val="-2"/>
          <w:sz w:val="18"/>
          <w:vertAlign w:val="baseline"/>
        </w:rPr>
        <w:t> </w:t>
      </w:r>
      <w:r>
        <w:rPr>
          <w:sz w:val="18"/>
          <w:vertAlign w:val="baseline"/>
        </w:rPr>
        <w:t>米）</w:t>
      </w:r>
      <w:r>
        <w:rPr>
          <w:spacing w:val="-1"/>
          <w:sz w:val="18"/>
          <w:vertAlign w:val="baseline"/>
        </w:rPr>
        <w:t>有可能坠落的高处进行的作业。</w:t>
      </w:r>
    </w:p>
    <w:p>
      <w:pPr>
        <w:spacing w:line="228" w:lineRule="auto" w:before="4"/>
        <w:ind w:left="737" w:right="812" w:firstLine="0"/>
        <w:jc w:val="left"/>
        <w:rPr>
          <w:sz w:val="18"/>
        </w:rPr>
      </w:pPr>
      <w:r>
        <w:rPr>
          <w:rFonts w:ascii="Times New Roman" w:eastAsia="Times New Roman"/>
          <w:spacing w:val="-2"/>
          <w:sz w:val="18"/>
          <w:vertAlign w:val="superscript"/>
        </w:rPr>
        <w:t>47</w:t>
      </w:r>
      <w:r>
        <w:rPr>
          <w:b/>
          <w:spacing w:val="-2"/>
          <w:sz w:val="18"/>
          <w:vertAlign w:val="baseline"/>
        </w:rPr>
        <w:t>感</w:t>
      </w:r>
      <w:r>
        <w:rPr>
          <w:b/>
          <w:spacing w:val="-2"/>
          <w:sz w:val="18"/>
          <w:vertAlign w:val="baseline"/>
        </w:rPr>
        <w:t>染</w:t>
      </w:r>
      <w:r>
        <w:rPr>
          <w:b/>
          <w:spacing w:val="-2"/>
          <w:sz w:val="18"/>
          <w:vertAlign w:val="baseline"/>
        </w:rPr>
        <w:t>艾滋</w:t>
      </w:r>
      <w:r>
        <w:rPr>
          <w:b/>
          <w:spacing w:val="-2"/>
          <w:sz w:val="18"/>
          <w:vertAlign w:val="baseline"/>
        </w:rPr>
        <w:t>病</w:t>
      </w:r>
      <w:r>
        <w:rPr>
          <w:b/>
          <w:spacing w:val="-2"/>
          <w:sz w:val="18"/>
          <w:vertAlign w:val="baseline"/>
        </w:rPr>
        <w:t>病</w:t>
      </w:r>
      <w:r>
        <w:rPr>
          <w:b/>
          <w:spacing w:val="-2"/>
          <w:sz w:val="18"/>
          <w:vertAlign w:val="baseline"/>
        </w:rPr>
        <w:t>毒</w:t>
      </w:r>
      <w:r>
        <w:rPr>
          <w:b/>
          <w:spacing w:val="-2"/>
          <w:sz w:val="18"/>
          <w:vertAlign w:val="baseline"/>
        </w:rPr>
        <w:t>或</w:t>
      </w:r>
      <w:r>
        <w:rPr>
          <w:b/>
          <w:spacing w:val="-2"/>
          <w:sz w:val="18"/>
          <w:vertAlign w:val="baseline"/>
        </w:rPr>
        <w:t>患艾滋病</w:t>
      </w:r>
      <w:r>
        <w:rPr>
          <w:spacing w:val="-4"/>
          <w:sz w:val="18"/>
          <w:vertAlign w:val="baseline"/>
        </w:rPr>
        <w:t>：艾滋病病毒指人类免疫缺陷病毒，英文缩写为 </w:t>
      </w:r>
      <w:r>
        <w:rPr>
          <w:rFonts w:ascii="Times New Roman" w:eastAsia="Times New Roman"/>
          <w:spacing w:val="-2"/>
          <w:sz w:val="18"/>
          <w:vertAlign w:val="baseline"/>
        </w:rPr>
        <w:t>HIV</w:t>
      </w:r>
      <w:r>
        <w:rPr>
          <w:spacing w:val="-2"/>
          <w:sz w:val="18"/>
          <w:vertAlign w:val="baseline"/>
        </w:rPr>
        <w:t>。艾滋病指人类免疫缺</w:t>
      </w:r>
      <w:r>
        <w:rPr>
          <w:spacing w:val="-2"/>
          <w:sz w:val="18"/>
          <w:vertAlign w:val="baseline"/>
        </w:rPr>
        <w:t>陷病毒引起的获得性免疫缺陷综合征，英文缩写为 </w:t>
      </w:r>
      <w:r>
        <w:rPr>
          <w:rFonts w:ascii="Times New Roman" w:eastAsia="Times New Roman"/>
          <w:sz w:val="18"/>
          <w:vertAlign w:val="baseline"/>
        </w:rPr>
        <w:t>AIDS</w:t>
      </w:r>
      <w:r>
        <w:rPr>
          <w:sz w:val="18"/>
          <w:vertAlign w:val="baseline"/>
        </w:rPr>
        <w:t>。</w:t>
      </w:r>
    </w:p>
    <w:p>
      <w:pPr>
        <w:spacing w:line="228" w:lineRule="auto" w:before="2"/>
        <w:ind w:left="737" w:right="764" w:firstLine="0"/>
        <w:jc w:val="left"/>
        <w:rPr>
          <w:sz w:val="18"/>
        </w:rPr>
      </w:pPr>
      <w:r>
        <w:rPr>
          <w:spacing w:val="-2"/>
          <w:sz w:val="18"/>
        </w:rPr>
        <w:t>在人体血液或其它样本中检测到艾滋病病毒或其抗体呈阳性，没有出现临床症状或体征的，为感染艾滋病</w:t>
      </w:r>
      <w:r>
        <w:rPr>
          <w:spacing w:val="-2"/>
          <w:sz w:val="18"/>
        </w:rPr>
        <w:t>病毒；如果同时出现了明显临床症状或体征的，为患艾滋病。</w:t>
      </w:r>
    </w:p>
    <w:p>
      <w:pPr>
        <w:spacing w:line="218" w:lineRule="exact" w:before="0"/>
        <w:ind w:left="737" w:right="0" w:firstLine="0"/>
        <w:jc w:val="left"/>
        <w:rPr>
          <w:sz w:val="18"/>
        </w:rPr>
      </w:pPr>
      <w:r>
        <w:rPr>
          <w:rFonts w:ascii="Times New Roman" w:eastAsia="Times New Roman"/>
          <w:w w:val="95"/>
          <w:sz w:val="18"/>
          <w:vertAlign w:val="superscript"/>
        </w:rPr>
        <w:t>48</w:t>
      </w:r>
      <w:r>
        <w:rPr>
          <w:b/>
          <w:w w:val="95"/>
          <w:sz w:val="18"/>
          <w:vertAlign w:val="baseline"/>
        </w:rPr>
        <w:t>既</w:t>
      </w:r>
      <w:r>
        <w:rPr>
          <w:b/>
          <w:w w:val="95"/>
          <w:sz w:val="18"/>
          <w:vertAlign w:val="baseline"/>
        </w:rPr>
        <w:t>往</w:t>
      </w:r>
      <w:r>
        <w:rPr>
          <w:b/>
          <w:w w:val="95"/>
          <w:sz w:val="18"/>
          <w:vertAlign w:val="baseline"/>
        </w:rPr>
        <w:t>症</w:t>
      </w:r>
      <w:r>
        <w:rPr>
          <w:w w:val="95"/>
          <w:sz w:val="18"/>
          <w:vertAlign w:val="baseline"/>
        </w:rPr>
        <w:t>：</w:t>
      </w:r>
      <w:r>
        <w:rPr>
          <w:w w:val="95"/>
          <w:sz w:val="18"/>
          <w:vertAlign w:val="baseline"/>
        </w:rPr>
        <w:t>指</w:t>
      </w:r>
      <w:r>
        <w:rPr>
          <w:w w:val="95"/>
          <w:sz w:val="18"/>
          <w:vertAlign w:val="baseline"/>
        </w:rPr>
        <w:t>在</w:t>
      </w:r>
      <w:r>
        <w:rPr>
          <w:w w:val="95"/>
          <w:sz w:val="18"/>
          <w:vertAlign w:val="baseline"/>
        </w:rPr>
        <w:t>本</w:t>
      </w:r>
      <w:r>
        <w:rPr>
          <w:w w:val="95"/>
          <w:sz w:val="18"/>
          <w:vertAlign w:val="baseline"/>
        </w:rPr>
        <w:t>合</w:t>
      </w:r>
      <w:r>
        <w:rPr>
          <w:w w:val="95"/>
          <w:sz w:val="18"/>
          <w:vertAlign w:val="baseline"/>
        </w:rPr>
        <w:t>同</w:t>
      </w:r>
      <w:r>
        <w:rPr>
          <w:w w:val="95"/>
          <w:sz w:val="18"/>
          <w:vertAlign w:val="baseline"/>
        </w:rPr>
        <w:t>生</w:t>
      </w:r>
      <w:r>
        <w:rPr>
          <w:w w:val="95"/>
          <w:sz w:val="18"/>
          <w:vertAlign w:val="baseline"/>
        </w:rPr>
        <w:t>效</w:t>
      </w:r>
      <w:r>
        <w:rPr>
          <w:w w:val="95"/>
          <w:sz w:val="18"/>
          <w:vertAlign w:val="baseline"/>
        </w:rPr>
        <w:t>前</w:t>
      </w:r>
      <w:r>
        <w:rPr>
          <w:w w:val="95"/>
          <w:sz w:val="18"/>
          <w:vertAlign w:val="baseline"/>
        </w:rPr>
        <w:t>罹</w:t>
      </w:r>
      <w:r>
        <w:rPr>
          <w:w w:val="95"/>
          <w:sz w:val="18"/>
          <w:vertAlign w:val="baseline"/>
        </w:rPr>
        <w:t>患</w:t>
      </w:r>
      <w:r>
        <w:rPr>
          <w:w w:val="95"/>
          <w:sz w:val="18"/>
          <w:vertAlign w:val="baseline"/>
        </w:rPr>
        <w:t>的</w:t>
      </w:r>
      <w:r>
        <w:rPr>
          <w:w w:val="95"/>
          <w:sz w:val="18"/>
          <w:vertAlign w:val="baseline"/>
        </w:rPr>
        <w:t>、</w:t>
      </w:r>
      <w:r>
        <w:rPr>
          <w:w w:val="95"/>
          <w:sz w:val="18"/>
          <w:vertAlign w:val="baseline"/>
        </w:rPr>
        <w:t>被</w:t>
      </w:r>
      <w:r>
        <w:rPr>
          <w:w w:val="95"/>
          <w:sz w:val="18"/>
          <w:vertAlign w:val="baseline"/>
        </w:rPr>
        <w:t>保</w:t>
      </w:r>
      <w:r>
        <w:rPr>
          <w:w w:val="95"/>
          <w:sz w:val="18"/>
          <w:vertAlign w:val="baseline"/>
        </w:rPr>
        <w:t>险</w:t>
      </w:r>
      <w:r>
        <w:rPr>
          <w:w w:val="95"/>
          <w:sz w:val="18"/>
          <w:vertAlign w:val="baseline"/>
        </w:rPr>
        <w:t>人</w:t>
      </w:r>
      <w:r>
        <w:rPr>
          <w:w w:val="95"/>
          <w:sz w:val="18"/>
          <w:vertAlign w:val="baseline"/>
        </w:rPr>
        <w:t>已</w:t>
      </w:r>
      <w:r>
        <w:rPr>
          <w:w w:val="95"/>
          <w:sz w:val="18"/>
          <w:vertAlign w:val="baseline"/>
        </w:rPr>
        <w:t>知</w:t>
      </w:r>
      <w:r>
        <w:rPr>
          <w:w w:val="95"/>
          <w:sz w:val="18"/>
          <w:vertAlign w:val="baseline"/>
        </w:rPr>
        <w:t>或</w:t>
      </w:r>
      <w:r>
        <w:rPr>
          <w:w w:val="95"/>
          <w:sz w:val="18"/>
          <w:vertAlign w:val="baseline"/>
        </w:rPr>
        <w:t>应</w:t>
      </w:r>
      <w:r>
        <w:rPr>
          <w:w w:val="95"/>
          <w:sz w:val="18"/>
          <w:vertAlign w:val="baseline"/>
        </w:rPr>
        <w:t>该</w:t>
      </w:r>
      <w:r>
        <w:rPr>
          <w:w w:val="95"/>
          <w:sz w:val="18"/>
          <w:vertAlign w:val="baseline"/>
        </w:rPr>
        <w:t>知</w:t>
      </w:r>
      <w:r>
        <w:rPr>
          <w:w w:val="95"/>
          <w:sz w:val="18"/>
          <w:vertAlign w:val="baseline"/>
        </w:rPr>
        <w:t>道</w:t>
      </w:r>
      <w:r>
        <w:rPr>
          <w:w w:val="95"/>
          <w:sz w:val="18"/>
          <w:vertAlign w:val="baseline"/>
        </w:rPr>
        <w:t>的</w:t>
      </w:r>
      <w:r>
        <w:rPr>
          <w:w w:val="95"/>
          <w:sz w:val="18"/>
          <w:vertAlign w:val="baseline"/>
        </w:rPr>
        <w:t>有</w:t>
      </w:r>
      <w:r>
        <w:rPr>
          <w:w w:val="95"/>
          <w:sz w:val="18"/>
          <w:vertAlign w:val="baseline"/>
        </w:rPr>
        <w:t>关</w:t>
      </w:r>
      <w:r>
        <w:rPr>
          <w:w w:val="95"/>
          <w:sz w:val="18"/>
          <w:vertAlign w:val="baseline"/>
        </w:rPr>
        <w:t>疾</w:t>
      </w:r>
      <w:r>
        <w:rPr>
          <w:w w:val="95"/>
          <w:sz w:val="18"/>
          <w:vertAlign w:val="baseline"/>
        </w:rPr>
        <w:t>病</w:t>
      </w:r>
      <w:r>
        <w:rPr>
          <w:w w:val="95"/>
          <w:sz w:val="18"/>
          <w:vertAlign w:val="baseline"/>
        </w:rPr>
        <w:t>。</w:t>
      </w:r>
      <w:r>
        <w:rPr>
          <w:w w:val="95"/>
          <w:sz w:val="18"/>
          <w:vertAlign w:val="baseline"/>
        </w:rPr>
        <w:t>通</w:t>
      </w:r>
      <w:r>
        <w:rPr>
          <w:w w:val="95"/>
          <w:sz w:val="18"/>
          <w:vertAlign w:val="baseline"/>
        </w:rPr>
        <w:t>常</w:t>
      </w:r>
      <w:r>
        <w:rPr>
          <w:w w:val="95"/>
          <w:sz w:val="18"/>
          <w:vertAlign w:val="baseline"/>
        </w:rPr>
        <w:t>有</w:t>
      </w:r>
      <w:r>
        <w:rPr>
          <w:w w:val="95"/>
          <w:sz w:val="18"/>
          <w:vertAlign w:val="baseline"/>
        </w:rPr>
        <w:t>以</w:t>
      </w:r>
      <w:r>
        <w:rPr>
          <w:w w:val="95"/>
          <w:sz w:val="18"/>
          <w:vertAlign w:val="baseline"/>
        </w:rPr>
        <w:t>下</w:t>
      </w:r>
      <w:r>
        <w:rPr>
          <w:w w:val="95"/>
          <w:sz w:val="18"/>
          <w:vertAlign w:val="baseline"/>
        </w:rPr>
        <w:t>情</w:t>
      </w:r>
      <w:r>
        <w:rPr>
          <w:w w:val="95"/>
          <w:sz w:val="18"/>
          <w:vertAlign w:val="baseline"/>
        </w:rPr>
        <w:t>况</w:t>
      </w:r>
      <w:r>
        <w:rPr>
          <w:spacing w:val="-10"/>
          <w:w w:val="95"/>
          <w:sz w:val="18"/>
          <w:vertAlign w:val="baseline"/>
        </w:rPr>
        <w:t>：</w:t>
      </w:r>
    </w:p>
    <w:p>
      <w:pPr>
        <w:pStyle w:val="ListParagraph"/>
        <w:numPr>
          <w:ilvl w:val="0"/>
          <w:numId w:val="8"/>
        </w:numPr>
        <w:tabs>
          <w:tab w:pos="1278" w:val="left" w:leader="none"/>
        </w:tabs>
        <w:spacing w:line="220" w:lineRule="exact" w:before="0" w:after="0"/>
        <w:ind w:left="1277" w:right="0" w:hanging="361"/>
        <w:jc w:val="left"/>
        <w:rPr>
          <w:sz w:val="18"/>
        </w:rPr>
      </w:pPr>
      <w:r>
        <w:rPr>
          <w:spacing w:val="-1"/>
          <w:sz w:val="18"/>
        </w:rPr>
        <w:t>本合同生效前，医生已有明确诊断，长期治疗未间断；</w:t>
      </w:r>
    </w:p>
    <w:p>
      <w:pPr>
        <w:pStyle w:val="ListParagraph"/>
        <w:numPr>
          <w:ilvl w:val="0"/>
          <w:numId w:val="8"/>
        </w:numPr>
        <w:tabs>
          <w:tab w:pos="1278" w:val="left" w:leader="none"/>
        </w:tabs>
        <w:spacing w:line="220" w:lineRule="exact" w:before="0" w:after="0"/>
        <w:ind w:left="1277" w:right="0" w:hanging="361"/>
        <w:jc w:val="left"/>
        <w:rPr>
          <w:sz w:val="18"/>
        </w:rPr>
      </w:pPr>
      <w:r>
        <w:rPr>
          <w:spacing w:val="-1"/>
          <w:sz w:val="18"/>
        </w:rPr>
        <w:t>本合同生效前，医生已有明确诊断，治疗后症状未完全消失，有间断用药情况；</w:t>
      </w:r>
    </w:p>
    <w:p>
      <w:pPr>
        <w:pStyle w:val="ListParagraph"/>
        <w:numPr>
          <w:ilvl w:val="0"/>
          <w:numId w:val="8"/>
        </w:numPr>
        <w:tabs>
          <w:tab w:pos="1278" w:val="left" w:leader="none"/>
        </w:tabs>
        <w:spacing w:line="230" w:lineRule="auto" w:before="1" w:after="0"/>
        <w:ind w:left="1277" w:right="944" w:hanging="360"/>
        <w:jc w:val="left"/>
        <w:rPr>
          <w:sz w:val="18"/>
        </w:rPr>
      </w:pPr>
      <w:r>
        <w:rPr>
          <w:spacing w:val="-2"/>
          <w:sz w:val="18"/>
        </w:rPr>
        <w:t>本合同生效前，未经医生诊断和治疗，但症状或体征明显且持续存在，以普通人医学常识应当知</w:t>
      </w:r>
      <w:r>
        <w:rPr>
          <w:spacing w:val="-6"/>
          <w:sz w:val="18"/>
        </w:rPr>
        <w:t>晓。</w:t>
      </w:r>
    </w:p>
    <w:p>
      <w:pPr>
        <w:spacing w:line="225" w:lineRule="exact" w:before="0"/>
        <w:ind w:left="737" w:right="0" w:firstLine="0"/>
        <w:jc w:val="left"/>
        <w:rPr>
          <w:sz w:val="18"/>
        </w:rPr>
      </w:pPr>
      <w:r>
        <w:rPr>
          <w:rFonts w:ascii="Times New Roman" w:eastAsia="Times New Roman"/>
          <w:w w:val="95"/>
          <w:sz w:val="18"/>
          <w:vertAlign w:val="superscript"/>
        </w:rPr>
        <w:t>49</w:t>
      </w:r>
      <w:r>
        <w:rPr>
          <w:b/>
          <w:w w:val="95"/>
          <w:sz w:val="18"/>
          <w:vertAlign w:val="baseline"/>
        </w:rPr>
        <w:t>替</w:t>
      </w:r>
      <w:r>
        <w:rPr>
          <w:b/>
          <w:w w:val="95"/>
          <w:sz w:val="18"/>
          <w:vertAlign w:val="baseline"/>
        </w:rPr>
        <w:t>代</w:t>
      </w:r>
      <w:r>
        <w:rPr>
          <w:b/>
          <w:w w:val="95"/>
          <w:sz w:val="18"/>
          <w:vertAlign w:val="baseline"/>
        </w:rPr>
        <w:t>疗法</w:t>
      </w:r>
      <w:r>
        <w:rPr>
          <w:w w:val="95"/>
          <w:sz w:val="18"/>
          <w:vertAlign w:val="baseline"/>
        </w:rPr>
        <w:t>：指</w:t>
      </w:r>
      <w:r>
        <w:rPr>
          <w:w w:val="95"/>
          <w:sz w:val="18"/>
          <w:vertAlign w:val="baseline"/>
        </w:rPr>
        <w:t>目</w:t>
      </w:r>
      <w:r>
        <w:rPr>
          <w:w w:val="95"/>
          <w:sz w:val="18"/>
          <w:vertAlign w:val="baseline"/>
        </w:rPr>
        <w:t>前</w:t>
      </w:r>
      <w:r>
        <w:rPr>
          <w:w w:val="95"/>
          <w:sz w:val="18"/>
          <w:vertAlign w:val="baseline"/>
        </w:rPr>
        <w:t>传</w:t>
      </w:r>
      <w:r>
        <w:rPr>
          <w:w w:val="95"/>
          <w:sz w:val="18"/>
          <w:vertAlign w:val="baseline"/>
        </w:rPr>
        <w:t>统</w:t>
      </w:r>
      <w:r>
        <w:rPr>
          <w:w w:val="95"/>
          <w:sz w:val="18"/>
          <w:vertAlign w:val="baseline"/>
        </w:rPr>
        <w:t>医</w:t>
      </w:r>
      <w:r>
        <w:rPr>
          <w:w w:val="95"/>
          <w:sz w:val="18"/>
          <w:vertAlign w:val="baseline"/>
        </w:rPr>
        <w:t>学</w:t>
      </w:r>
      <w:r>
        <w:rPr>
          <w:w w:val="95"/>
          <w:sz w:val="18"/>
          <w:vertAlign w:val="baseline"/>
        </w:rPr>
        <w:t>或</w:t>
      </w:r>
      <w:r>
        <w:rPr>
          <w:w w:val="95"/>
          <w:sz w:val="18"/>
          <w:vertAlign w:val="baseline"/>
        </w:rPr>
        <w:t>标</w:t>
      </w:r>
      <w:r>
        <w:rPr>
          <w:w w:val="95"/>
          <w:sz w:val="18"/>
          <w:vertAlign w:val="baseline"/>
        </w:rPr>
        <w:t>准</w:t>
      </w:r>
      <w:r>
        <w:rPr>
          <w:w w:val="95"/>
          <w:sz w:val="18"/>
          <w:vertAlign w:val="baseline"/>
        </w:rPr>
        <w:t>治</w:t>
      </w:r>
      <w:r>
        <w:rPr>
          <w:w w:val="95"/>
          <w:sz w:val="18"/>
          <w:vertAlign w:val="baseline"/>
        </w:rPr>
        <w:t>疗</w:t>
      </w:r>
      <w:r>
        <w:rPr>
          <w:w w:val="95"/>
          <w:sz w:val="18"/>
          <w:vertAlign w:val="baseline"/>
        </w:rPr>
        <w:t>之</w:t>
      </w:r>
      <w:r>
        <w:rPr>
          <w:w w:val="95"/>
          <w:sz w:val="18"/>
          <w:vertAlign w:val="baseline"/>
        </w:rPr>
        <w:t>外</w:t>
      </w:r>
      <w:r>
        <w:rPr>
          <w:w w:val="95"/>
          <w:sz w:val="18"/>
          <w:vertAlign w:val="baseline"/>
        </w:rPr>
        <w:t>的</w:t>
      </w:r>
      <w:r>
        <w:rPr>
          <w:w w:val="95"/>
          <w:sz w:val="18"/>
          <w:vertAlign w:val="baseline"/>
        </w:rPr>
        <w:t>医</w:t>
      </w:r>
      <w:r>
        <w:rPr>
          <w:w w:val="95"/>
          <w:sz w:val="18"/>
          <w:vertAlign w:val="baseline"/>
        </w:rPr>
        <w:t>学</w:t>
      </w:r>
      <w:r>
        <w:rPr>
          <w:w w:val="95"/>
          <w:sz w:val="18"/>
          <w:vertAlign w:val="baseline"/>
        </w:rPr>
        <w:t>和</w:t>
      </w:r>
      <w:r>
        <w:rPr>
          <w:w w:val="95"/>
          <w:sz w:val="18"/>
          <w:vertAlign w:val="baseline"/>
        </w:rPr>
        <w:t>健</w:t>
      </w:r>
      <w:r>
        <w:rPr>
          <w:w w:val="95"/>
          <w:sz w:val="18"/>
          <w:vertAlign w:val="baseline"/>
        </w:rPr>
        <w:t>康</w:t>
      </w:r>
      <w:r>
        <w:rPr>
          <w:w w:val="95"/>
          <w:sz w:val="18"/>
          <w:vertAlign w:val="baseline"/>
        </w:rPr>
        <w:t>管</w:t>
      </w:r>
      <w:r>
        <w:rPr>
          <w:w w:val="95"/>
          <w:sz w:val="18"/>
          <w:vertAlign w:val="baseline"/>
        </w:rPr>
        <w:t>理</w:t>
      </w:r>
      <w:r>
        <w:rPr>
          <w:w w:val="95"/>
          <w:sz w:val="18"/>
          <w:vertAlign w:val="baseline"/>
        </w:rPr>
        <w:t>系</w:t>
      </w:r>
      <w:r>
        <w:rPr>
          <w:w w:val="95"/>
          <w:sz w:val="18"/>
          <w:vertAlign w:val="baseline"/>
        </w:rPr>
        <w:t>统</w:t>
      </w:r>
      <w:r>
        <w:rPr>
          <w:w w:val="95"/>
          <w:sz w:val="18"/>
          <w:vertAlign w:val="baseline"/>
        </w:rPr>
        <w:t>、</w:t>
      </w:r>
      <w:r>
        <w:rPr>
          <w:w w:val="95"/>
          <w:sz w:val="18"/>
          <w:vertAlign w:val="baseline"/>
        </w:rPr>
        <w:t>操</w:t>
      </w:r>
      <w:r>
        <w:rPr>
          <w:w w:val="95"/>
          <w:sz w:val="18"/>
          <w:vertAlign w:val="baseline"/>
        </w:rPr>
        <w:t>作</w:t>
      </w:r>
      <w:r>
        <w:rPr>
          <w:w w:val="95"/>
          <w:sz w:val="18"/>
          <w:vertAlign w:val="baseline"/>
        </w:rPr>
        <w:t>和</w:t>
      </w:r>
      <w:r>
        <w:rPr>
          <w:w w:val="95"/>
          <w:sz w:val="18"/>
          <w:vertAlign w:val="baseline"/>
        </w:rPr>
        <w:t>产</w:t>
      </w:r>
      <w:r>
        <w:rPr>
          <w:w w:val="95"/>
          <w:sz w:val="18"/>
          <w:vertAlign w:val="baseline"/>
        </w:rPr>
        <w:t>品</w:t>
      </w:r>
      <w:r>
        <w:rPr>
          <w:w w:val="95"/>
          <w:sz w:val="18"/>
          <w:vertAlign w:val="baseline"/>
        </w:rPr>
        <w:t>，</w:t>
      </w:r>
      <w:r>
        <w:rPr>
          <w:w w:val="95"/>
          <w:sz w:val="18"/>
          <w:vertAlign w:val="baseline"/>
        </w:rPr>
        <w:t>包</w:t>
      </w:r>
      <w:r>
        <w:rPr>
          <w:w w:val="95"/>
          <w:sz w:val="18"/>
          <w:vertAlign w:val="baseline"/>
        </w:rPr>
        <w:t>括</w:t>
      </w:r>
      <w:r>
        <w:rPr>
          <w:w w:val="95"/>
          <w:sz w:val="18"/>
          <w:vertAlign w:val="baseline"/>
        </w:rPr>
        <w:t>但</w:t>
      </w:r>
      <w:r>
        <w:rPr>
          <w:w w:val="95"/>
          <w:sz w:val="18"/>
          <w:vertAlign w:val="baseline"/>
        </w:rPr>
        <w:t>不</w:t>
      </w:r>
      <w:r>
        <w:rPr>
          <w:w w:val="95"/>
          <w:sz w:val="18"/>
          <w:vertAlign w:val="baseline"/>
        </w:rPr>
        <w:t>限</w:t>
      </w:r>
      <w:r>
        <w:rPr>
          <w:w w:val="95"/>
          <w:sz w:val="18"/>
          <w:vertAlign w:val="baseline"/>
        </w:rPr>
        <w:t>于</w:t>
      </w:r>
      <w:r>
        <w:rPr>
          <w:w w:val="95"/>
          <w:sz w:val="18"/>
          <w:vertAlign w:val="baseline"/>
        </w:rPr>
        <w:t>芳</w:t>
      </w:r>
      <w:r>
        <w:rPr>
          <w:w w:val="95"/>
          <w:sz w:val="18"/>
          <w:vertAlign w:val="baseline"/>
        </w:rPr>
        <w:t>香</w:t>
      </w:r>
      <w:r>
        <w:rPr>
          <w:spacing w:val="-10"/>
          <w:w w:val="95"/>
          <w:sz w:val="18"/>
          <w:vertAlign w:val="baseline"/>
        </w:rPr>
        <w:t>疗</w:t>
      </w:r>
    </w:p>
    <w:p>
      <w:pPr>
        <w:spacing w:before="4"/>
        <w:ind w:left="737" w:right="0" w:firstLine="0"/>
        <w:jc w:val="left"/>
        <w:rPr>
          <w:sz w:val="18"/>
        </w:rPr>
      </w:pPr>
      <w:r>
        <w:rPr>
          <w:spacing w:val="-1"/>
          <w:sz w:val="18"/>
        </w:rPr>
        <w:t>法、脊椎指压疗法、顺势疗法和自然疗法。</w:t>
      </w:r>
    </w:p>
    <w:p>
      <w:pPr>
        <w:spacing w:before="2"/>
        <w:ind w:left="737" w:right="0" w:firstLine="0"/>
        <w:jc w:val="left"/>
        <w:rPr>
          <w:sz w:val="18"/>
        </w:rPr>
      </w:pPr>
      <w:r>
        <w:rPr>
          <w:rFonts w:ascii="Times New Roman" w:eastAsia="Times New Roman"/>
          <w:w w:val="95"/>
          <w:sz w:val="18"/>
          <w:vertAlign w:val="superscript"/>
        </w:rPr>
        <w:t>50</w:t>
      </w:r>
      <w:r>
        <w:rPr>
          <w:b/>
          <w:w w:val="95"/>
          <w:sz w:val="18"/>
          <w:vertAlign w:val="baseline"/>
        </w:rPr>
        <w:t>脑</w:t>
      </w:r>
      <w:r>
        <w:rPr>
          <w:b/>
          <w:w w:val="95"/>
          <w:sz w:val="18"/>
          <w:vertAlign w:val="baseline"/>
        </w:rPr>
        <w:t>综</w:t>
      </w:r>
      <w:r>
        <w:rPr>
          <w:b/>
          <w:w w:val="95"/>
          <w:sz w:val="18"/>
          <w:vertAlign w:val="baseline"/>
        </w:rPr>
        <w:t>合征</w:t>
      </w:r>
      <w:r>
        <w:rPr>
          <w:w w:val="95"/>
          <w:sz w:val="18"/>
          <w:vertAlign w:val="baseline"/>
        </w:rPr>
        <w:t>：指</w:t>
      </w:r>
      <w:r>
        <w:rPr>
          <w:w w:val="95"/>
          <w:sz w:val="18"/>
          <w:vertAlign w:val="baseline"/>
        </w:rPr>
        <w:t>导</w:t>
      </w:r>
      <w:r>
        <w:rPr>
          <w:w w:val="95"/>
          <w:sz w:val="18"/>
          <w:vertAlign w:val="baseline"/>
        </w:rPr>
        <w:t>致</w:t>
      </w:r>
      <w:r>
        <w:rPr>
          <w:w w:val="95"/>
          <w:sz w:val="18"/>
          <w:vertAlign w:val="baseline"/>
        </w:rPr>
        <w:t>大</w:t>
      </w:r>
      <w:r>
        <w:rPr>
          <w:w w:val="95"/>
          <w:sz w:val="18"/>
          <w:vertAlign w:val="baseline"/>
        </w:rPr>
        <w:t>脑</w:t>
      </w:r>
      <w:r>
        <w:rPr>
          <w:w w:val="95"/>
          <w:sz w:val="18"/>
          <w:vertAlign w:val="baseline"/>
        </w:rPr>
        <w:t>功</w:t>
      </w:r>
      <w:r>
        <w:rPr>
          <w:w w:val="95"/>
          <w:sz w:val="18"/>
          <w:vertAlign w:val="baseline"/>
        </w:rPr>
        <w:t>能</w:t>
      </w:r>
      <w:r>
        <w:rPr>
          <w:w w:val="95"/>
          <w:sz w:val="18"/>
          <w:vertAlign w:val="baseline"/>
        </w:rPr>
        <w:t>部</w:t>
      </w:r>
      <w:r>
        <w:rPr>
          <w:w w:val="95"/>
          <w:sz w:val="18"/>
          <w:vertAlign w:val="baseline"/>
        </w:rPr>
        <w:t>分</w:t>
      </w:r>
      <w:r>
        <w:rPr>
          <w:w w:val="95"/>
          <w:sz w:val="18"/>
          <w:vertAlign w:val="baseline"/>
        </w:rPr>
        <w:t>或</w:t>
      </w:r>
      <w:r>
        <w:rPr>
          <w:w w:val="95"/>
          <w:sz w:val="18"/>
          <w:vertAlign w:val="baseline"/>
        </w:rPr>
        <w:t>全</w:t>
      </w:r>
      <w:r>
        <w:rPr>
          <w:w w:val="95"/>
          <w:sz w:val="18"/>
          <w:vertAlign w:val="baseline"/>
        </w:rPr>
        <w:t>部</w:t>
      </w:r>
      <w:r>
        <w:rPr>
          <w:w w:val="95"/>
          <w:sz w:val="18"/>
          <w:vertAlign w:val="baseline"/>
        </w:rPr>
        <w:t>受</w:t>
      </w:r>
      <w:r>
        <w:rPr>
          <w:w w:val="95"/>
          <w:sz w:val="18"/>
          <w:vertAlign w:val="baseline"/>
        </w:rPr>
        <w:t>损</w:t>
      </w:r>
      <w:r>
        <w:rPr>
          <w:w w:val="95"/>
          <w:sz w:val="18"/>
          <w:vertAlign w:val="baseline"/>
        </w:rPr>
        <w:t>的</w:t>
      </w:r>
      <w:r>
        <w:rPr>
          <w:w w:val="95"/>
          <w:sz w:val="18"/>
          <w:vertAlign w:val="baseline"/>
        </w:rPr>
        <w:t>脑</w:t>
      </w:r>
      <w:r>
        <w:rPr>
          <w:w w:val="95"/>
          <w:sz w:val="18"/>
          <w:vertAlign w:val="baseline"/>
        </w:rPr>
        <w:t>疾</w:t>
      </w:r>
      <w:r>
        <w:rPr>
          <w:w w:val="95"/>
          <w:sz w:val="18"/>
          <w:vertAlign w:val="baseline"/>
        </w:rPr>
        <w:t>病</w:t>
      </w:r>
      <w:r>
        <w:rPr>
          <w:w w:val="95"/>
          <w:sz w:val="18"/>
          <w:vertAlign w:val="baseline"/>
        </w:rPr>
        <w:t>或</w:t>
      </w:r>
      <w:r>
        <w:rPr>
          <w:w w:val="95"/>
          <w:sz w:val="18"/>
          <w:vertAlign w:val="baseline"/>
        </w:rPr>
        <w:t>脑</w:t>
      </w:r>
      <w:r>
        <w:rPr>
          <w:w w:val="95"/>
          <w:sz w:val="18"/>
          <w:vertAlign w:val="baseline"/>
        </w:rPr>
        <w:t>损</w:t>
      </w:r>
      <w:r>
        <w:rPr>
          <w:w w:val="95"/>
          <w:sz w:val="18"/>
          <w:vertAlign w:val="baseline"/>
        </w:rPr>
        <w:t>伤</w:t>
      </w:r>
      <w:r>
        <w:rPr>
          <w:spacing w:val="-10"/>
          <w:w w:val="95"/>
          <w:sz w:val="18"/>
          <w:vertAlign w:val="baseline"/>
        </w:rPr>
        <w:t>。</w:t>
      </w:r>
    </w:p>
    <w:p>
      <w:pPr>
        <w:spacing w:after="0"/>
        <w:jc w:val="left"/>
        <w:rPr>
          <w:sz w:val="18"/>
        </w:rPr>
        <w:sectPr>
          <w:pgSz w:w="11910" w:h="16840"/>
          <w:pgMar w:header="0" w:footer="1168" w:top="1400" w:bottom="1360" w:left="1060" w:right="1060"/>
        </w:sectPr>
      </w:pPr>
    </w:p>
    <w:p>
      <w:pPr>
        <w:pStyle w:val="BodyText"/>
        <w:tabs>
          <w:tab w:pos="1997" w:val="left" w:leader="none"/>
        </w:tabs>
        <w:spacing w:before="50"/>
        <w:rPr>
          <w:rFonts w:ascii="黑体" w:eastAsia="黑体"/>
        </w:rPr>
      </w:pPr>
      <w:r>
        <w:rPr/>
        <w:t>第八</w:t>
      </w:r>
      <w:r>
        <w:rPr>
          <w:spacing w:val="-10"/>
        </w:rPr>
        <w:t>条</w:t>
      </w:r>
      <w:r>
        <w:rPr/>
        <w:tab/>
      </w:r>
      <w:r>
        <w:rPr>
          <w:rFonts w:ascii="黑体" w:eastAsia="黑体"/>
        </w:rPr>
        <w:t>其他责任免</w:t>
      </w:r>
      <w:r>
        <w:rPr>
          <w:rFonts w:ascii="黑体" w:eastAsia="黑体"/>
          <w:spacing w:val="-10"/>
        </w:rPr>
        <w:t>除</w:t>
      </w:r>
    </w:p>
    <w:p>
      <w:pPr>
        <w:pStyle w:val="BodyText"/>
        <w:spacing w:line="278" w:lineRule="auto" w:before="43"/>
        <w:ind w:right="732"/>
        <w:rPr>
          <w:rFonts w:ascii="黑体" w:eastAsia="黑体"/>
        </w:rPr>
      </w:pPr>
      <w:r>
        <w:rPr>
          <w:rFonts w:ascii="黑体" w:eastAsia="黑体"/>
          <w:spacing w:val="-5"/>
        </w:rPr>
        <w:t>被保险人在我们推荐或认可的医院进行治疗时发生与上述医疗机构的任何纠纷和争议，我们</w:t>
      </w:r>
      <w:r>
        <w:rPr>
          <w:rFonts w:ascii="黑体" w:eastAsia="黑体"/>
          <w:spacing w:val="-2"/>
        </w:rPr>
        <w:t>不承担责任。</w:t>
      </w:r>
    </w:p>
    <w:p>
      <w:pPr>
        <w:pStyle w:val="BodyText"/>
        <w:spacing w:line="278" w:lineRule="auto"/>
        <w:ind w:right="731"/>
        <w:jc w:val="both"/>
        <w:rPr>
          <w:rFonts w:ascii="黑体" w:hAnsi="黑体" w:eastAsia="黑体"/>
        </w:rPr>
      </w:pPr>
      <w:r>
        <w:rPr>
          <w:rFonts w:ascii="黑体" w:hAnsi="黑体" w:eastAsia="黑体"/>
          <w:spacing w:val="-26"/>
        </w:rPr>
        <w:t>除第七条“责任免除”外，本合同中还有一些免除我们责任的条款，详见第四条“保险责任”、</w:t>
      </w:r>
      <w:r>
        <w:rPr>
          <w:rFonts w:ascii="黑体" w:hAnsi="黑体" w:eastAsia="黑体"/>
          <w:spacing w:val="-18"/>
        </w:rPr>
        <w:t>第五条“补偿原则和赔付比例”、第六条“免赔额”、第九条“推荐或认可的医院”、第十条</w:t>
      </w:r>
      <w:r>
        <w:rPr>
          <w:rFonts w:ascii="黑体" w:hAnsi="黑体" w:eastAsia="黑体"/>
          <w:spacing w:val="-2"/>
        </w:rPr>
        <w:t> </w:t>
      </w:r>
      <w:r>
        <w:rPr>
          <w:rFonts w:ascii="黑体" w:hAnsi="黑体" w:eastAsia="黑体"/>
          <w:spacing w:val="-22"/>
        </w:rPr>
        <w:t>“保障计划”、第十九条“投保人解除合同”、第二十一条“保险事故通知”、第二十三条“保</w:t>
      </w:r>
      <w:r>
        <w:rPr>
          <w:rFonts w:ascii="黑体" w:hAnsi="黑体" w:eastAsia="黑体"/>
          <w:spacing w:val="-31"/>
        </w:rPr>
        <w:t>险金申请”、第二十六条“如实告知”、第二十七条“年龄错误”、附表一“重大疾病种类表”、</w:t>
      </w:r>
      <w:r>
        <w:rPr>
          <w:rFonts w:ascii="黑体" w:hAnsi="黑体" w:eastAsia="黑体"/>
          <w:spacing w:val="-12"/>
        </w:rPr>
        <w:t>附表二“特定疾病种类表”、脚注 </w:t>
      </w:r>
      <w:r>
        <w:rPr>
          <w:rFonts w:ascii="黑体" w:hAnsi="黑体" w:eastAsia="黑体"/>
          <w:spacing w:val="-2"/>
        </w:rPr>
        <w:t>5“</w:t>
      </w:r>
      <w:r>
        <w:rPr>
          <w:rFonts w:ascii="黑体" w:hAnsi="黑体" w:eastAsia="黑体"/>
          <w:spacing w:val="-20"/>
        </w:rPr>
        <w:t>住院”、脚注 </w:t>
      </w:r>
      <w:r>
        <w:rPr>
          <w:rFonts w:ascii="黑体" w:hAnsi="黑体" w:eastAsia="黑体"/>
          <w:spacing w:val="-2"/>
        </w:rPr>
        <w:t>7</w:t>
      </w:r>
      <w:r>
        <w:rPr>
          <w:rFonts w:ascii="黑体" w:hAnsi="黑体" w:eastAsia="黑体"/>
          <w:spacing w:val="-16"/>
        </w:rPr>
        <w:t>“床位费”、脚注 </w:t>
      </w:r>
      <w:r>
        <w:rPr>
          <w:rFonts w:ascii="黑体" w:hAnsi="黑体" w:eastAsia="黑体"/>
          <w:spacing w:val="-2"/>
        </w:rPr>
        <w:t>12“药品费”及脚注</w:t>
      </w:r>
      <w:r>
        <w:rPr>
          <w:rFonts w:ascii="黑体" w:hAnsi="黑体" w:eastAsia="黑体"/>
          <w:spacing w:val="-2"/>
        </w:rPr>
        <w:t> 16“恶性肿瘤”中背景突出显示的内容。</w:t>
      </w:r>
    </w:p>
    <w:p>
      <w:pPr>
        <w:pStyle w:val="BodyText"/>
        <w:spacing w:before="3"/>
        <w:ind w:left="0"/>
        <w:rPr>
          <w:rFonts w:ascii="黑体"/>
          <w:sz w:val="24"/>
        </w:rPr>
      </w:pPr>
    </w:p>
    <w:p>
      <w:pPr>
        <w:pStyle w:val="BodyText"/>
        <w:tabs>
          <w:tab w:pos="1997" w:val="left" w:leader="none"/>
        </w:tabs>
        <w:spacing w:before="1"/>
      </w:pPr>
      <w:r>
        <w:rPr/>
        <w:t>第九</w:t>
      </w:r>
      <w:r>
        <w:rPr>
          <w:spacing w:val="-10"/>
        </w:rPr>
        <w:t>条</w:t>
      </w:r>
      <w:r>
        <w:rPr/>
        <w:tab/>
        <w:t>推荐或认可的医</w:t>
      </w:r>
      <w:r>
        <w:rPr>
          <w:spacing w:val="-10"/>
        </w:rPr>
        <w:t>院</w:t>
      </w:r>
    </w:p>
    <w:p>
      <w:pPr>
        <w:pStyle w:val="BodyText"/>
        <w:spacing w:line="278" w:lineRule="auto" w:before="43"/>
        <w:ind w:left="1157" w:right="732" w:hanging="420"/>
      </w:pPr>
      <w:r>
        <w:rPr>
          <w:spacing w:val="-5"/>
        </w:rPr>
        <w:t>一、我们授权的海外医疗服务机构将依据您的病情推荐适合的日本地区医院，届时由您或被</w:t>
      </w:r>
      <w:r>
        <w:rPr>
          <w:spacing w:val="-2"/>
        </w:rPr>
        <w:t>保险人选择确认。</w:t>
      </w:r>
    </w:p>
    <w:p>
      <w:pPr>
        <w:pStyle w:val="BodyText"/>
        <w:spacing w:line="278" w:lineRule="auto"/>
        <w:ind w:left="1157" w:right="731" w:hanging="421"/>
        <w:rPr>
          <w:rFonts w:ascii="黑体" w:eastAsia="黑体"/>
        </w:rPr>
      </w:pPr>
      <w:r>
        <w:rPr/>
        <w:t>二、我们认可的中国大陆地区医院是指国务院卫生行政主管部门医院等级分类中的二级或</w:t>
      </w:r>
      <w:r>
        <w:rPr>
          <w:spacing w:val="-7"/>
        </w:rPr>
        <w:t>者二级以上的、基本医疗保险规定的定点公立医院</w:t>
      </w:r>
      <w:r>
        <w:rPr>
          <w:rFonts w:ascii="黑体" w:eastAsia="黑体"/>
          <w:color w:val="000000"/>
          <w:shd w:fill="D9D9D9" w:color="auto" w:val="clear"/>
        </w:rPr>
        <w:t>（</w:t>
      </w:r>
      <w:r>
        <w:rPr>
          <w:rFonts w:ascii="黑体" w:eastAsia="黑体"/>
          <w:color w:val="000000"/>
          <w:spacing w:val="-5"/>
          <w:shd w:fill="D9D9D9" w:color="auto" w:val="clear"/>
        </w:rPr>
        <w:t>不含其特需门诊、特需病房和国际</w:t>
      </w:r>
      <w:r>
        <w:rPr>
          <w:rFonts w:ascii="黑体" w:eastAsia="黑体"/>
          <w:color w:val="000000"/>
          <w:shd w:fill="D9D9D9" w:color="auto" w:val="clear"/>
        </w:rPr>
        <w:t>                                                                                                                                                    医疗部</w:t>
      </w:r>
      <w:r>
        <w:rPr>
          <w:rFonts w:ascii="黑体" w:eastAsia="黑体"/>
          <w:color w:val="000000"/>
          <w:spacing w:val="-105"/>
          <w:shd w:fill="D9D9D9" w:color="auto" w:val="clear"/>
        </w:rPr>
        <w:t>）</w:t>
      </w:r>
      <w:r>
        <w:rPr>
          <w:rFonts w:ascii="黑体" w:eastAsia="黑体"/>
          <w:color w:val="000000"/>
          <w:spacing w:val="-1"/>
          <w:shd w:fill="D9D9D9" w:color="auto" w:val="clear"/>
        </w:rPr>
        <w:t>，但不包括康复医院或康复病房、精神病医院、疗养院、美容医院、护理院、</w:t>
      </w:r>
      <w:r>
        <w:rPr>
          <w:rFonts w:ascii="黑体" w:eastAsia="黑体"/>
          <w:color w:val="000000"/>
          <w:spacing w:val="-10"/>
          <w:shd w:fill="D9D9D9" w:color="auto" w:val="clear"/>
        </w:rPr>
        <w:t>戒酒或戒毒中心、精神心理治疗中心、二级或二级以上公立医院的联合医院或联合病房</w:t>
      </w:r>
    </w:p>
    <w:p>
      <w:pPr>
        <w:pStyle w:val="BodyText"/>
        <w:spacing w:line="278" w:lineRule="auto"/>
        <w:ind w:right="732" w:firstLine="420"/>
      </w:pPr>
      <w:r>
        <w:rPr>
          <w:spacing w:val="-2"/>
        </w:rPr>
        <w:t>（联合医院或联合病房本身是符合基本医疗保险规定的定点公立医院的不受此限）。</w:t>
      </w:r>
      <w:r>
        <w:rPr>
          <w:spacing w:val="-6"/>
        </w:rPr>
        <w:t>三、若认可的医院违反当地卫生行政部门的有关费用收取规定，我们有权取消该医院作为认</w:t>
      </w:r>
    </w:p>
    <w:p>
      <w:pPr>
        <w:pStyle w:val="BodyText"/>
        <w:spacing w:line="269" w:lineRule="exact"/>
        <w:ind w:left="1157"/>
      </w:pPr>
      <w:r>
        <w:rPr>
          <w:spacing w:val="-1"/>
        </w:rPr>
        <w:t>可的医院之资格，并书面通知您。</w:t>
      </w:r>
    </w:p>
    <w:p>
      <w:pPr>
        <w:pStyle w:val="BodyText"/>
        <w:ind w:left="0"/>
        <w:rPr>
          <w:sz w:val="20"/>
        </w:rPr>
      </w:pPr>
    </w:p>
    <w:p>
      <w:pPr>
        <w:pStyle w:val="BodyText"/>
        <w:spacing w:before="11"/>
        <w:ind w:left="0"/>
        <w:rPr>
          <w:sz w:val="24"/>
        </w:rPr>
      </w:pPr>
    </w:p>
    <w:p>
      <w:pPr>
        <w:pStyle w:val="Heading1"/>
        <w:ind w:left="2749" w:right="2746"/>
        <w:jc w:val="center"/>
      </w:pPr>
      <w:bookmarkStart w:name="_TOC_250000" w:id="3"/>
      <w:r>
        <w:rPr>
          <w:w w:val="95"/>
        </w:rPr>
        <w:t>第</w:t>
      </w:r>
      <w:r>
        <w:rPr>
          <w:w w:val="95"/>
        </w:rPr>
        <w:t>三</w:t>
      </w:r>
      <w:r>
        <w:rPr>
          <w:w w:val="95"/>
        </w:rPr>
        <w:t>章</w:t>
      </w:r>
      <w:r>
        <w:rPr>
          <w:spacing w:val="23"/>
        </w:rPr>
        <w:t>  </w:t>
      </w:r>
      <w:r>
        <w:rPr>
          <w:w w:val="95"/>
        </w:rPr>
        <w:t>保</w:t>
      </w:r>
      <w:r>
        <w:rPr>
          <w:w w:val="95"/>
        </w:rPr>
        <w:t>障</w:t>
      </w:r>
      <w:r>
        <w:rPr>
          <w:w w:val="95"/>
        </w:rPr>
        <w:t>计</w:t>
      </w:r>
      <w:r>
        <w:rPr>
          <w:w w:val="95"/>
        </w:rPr>
        <w:t>划</w:t>
      </w:r>
      <w:r>
        <w:rPr>
          <w:w w:val="95"/>
        </w:rPr>
        <w:t>、</w:t>
      </w:r>
      <w:r>
        <w:rPr>
          <w:w w:val="95"/>
        </w:rPr>
        <w:t>保</w:t>
      </w:r>
      <w:r>
        <w:rPr>
          <w:w w:val="95"/>
        </w:rPr>
        <w:t>险</w:t>
      </w:r>
      <w:r>
        <w:rPr>
          <w:w w:val="95"/>
        </w:rPr>
        <w:t>金</w:t>
      </w:r>
      <w:r>
        <w:rPr>
          <w:w w:val="95"/>
        </w:rPr>
        <w:t>额</w:t>
      </w:r>
      <w:r>
        <w:rPr>
          <w:w w:val="95"/>
        </w:rPr>
        <w:t>、</w:t>
      </w:r>
      <w:r>
        <w:rPr>
          <w:w w:val="95"/>
        </w:rPr>
        <w:t>保</w:t>
      </w:r>
      <w:r>
        <w:rPr>
          <w:w w:val="95"/>
        </w:rPr>
        <w:t>险</w:t>
      </w:r>
      <w:r>
        <w:rPr>
          <w:w w:val="95"/>
        </w:rPr>
        <w:t>费</w:t>
      </w:r>
      <w:r>
        <w:rPr>
          <w:w w:val="95"/>
        </w:rPr>
        <w:t>及</w:t>
      </w:r>
      <w:r>
        <w:rPr>
          <w:w w:val="95"/>
        </w:rPr>
        <w:t>宽</w:t>
      </w:r>
      <w:bookmarkEnd w:id="3"/>
      <w:r>
        <w:rPr>
          <w:spacing w:val="-5"/>
          <w:w w:val="95"/>
        </w:rPr>
        <w:t>限期</w:t>
      </w:r>
    </w:p>
    <w:p>
      <w:pPr>
        <w:pStyle w:val="BodyText"/>
        <w:spacing w:before="5"/>
        <w:ind w:left="0"/>
        <w:rPr>
          <w:b/>
          <w:sz w:val="20"/>
        </w:rPr>
      </w:pPr>
    </w:p>
    <w:p>
      <w:pPr>
        <w:pStyle w:val="BodyText"/>
        <w:tabs>
          <w:tab w:pos="1997" w:val="left" w:leader="none"/>
        </w:tabs>
      </w:pPr>
      <w:r>
        <w:rPr/>
        <w:t>第十</w:t>
      </w:r>
      <w:r>
        <w:rPr>
          <w:spacing w:val="-10"/>
        </w:rPr>
        <w:t>条</w:t>
      </w:r>
      <w:r>
        <w:rPr/>
        <w:tab/>
        <w:t>保障计</w:t>
      </w:r>
      <w:r>
        <w:rPr>
          <w:spacing w:val="-10"/>
        </w:rPr>
        <w:t>划</w:t>
      </w:r>
    </w:p>
    <w:p>
      <w:pPr>
        <w:pStyle w:val="BodyText"/>
        <w:spacing w:line="278" w:lineRule="auto" w:before="43"/>
        <w:ind w:right="731"/>
        <w:jc w:val="both"/>
        <w:rPr>
          <w:rFonts w:ascii="黑体" w:eastAsia="黑体"/>
        </w:rPr>
      </w:pPr>
      <w:r>
        <w:rPr>
          <w:spacing w:val="-4"/>
        </w:rPr>
        <w:t>我们提供三种保障计划供您在投保时选择，具体计划由您与我们约定并于保险单上载明。</w:t>
      </w:r>
      <w:r>
        <w:rPr>
          <w:rFonts w:ascii="黑体" w:eastAsia="黑体"/>
          <w:color w:val="000000"/>
          <w:spacing w:val="-4"/>
          <w:shd w:fill="D9D9D9" w:color="auto" w:val="clear"/>
        </w:rPr>
        <w:t>各</w:t>
      </w:r>
      <w:r>
        <w:rPr>
          <w:rFonts w:ascii="黑体" w:eastAsia="黑体"/>
          <w:color w:val="000000"/>
          <w:spacing w:val="40"/>
          <w:shd w:fill="D9D9D9" w:color="auto" w:val="clear"/>
        </w:rPr>
        <w:t> </w:t>
      </w:r>
      <w:r>
        <w:rPr>
          <w:rFonts w:ascii="黑体" w:eastAsia="黑体"/>
          <w:color w:val="000000"/>
          <w:spacing w:val="-4"/>
          <w:shd w:fill="D9D9D9" w:color="auto" w:val="clear"/>
        </w:rPr>
        <w:t>保障计划的保险金额、年度给付限额、各项保险责任的年度给付限额、免赔额及赔付比例等</w:t>
      </w:r>
      <w:r>
        <w:rPr>
          <w:rFonts w:ascii="黑体" w:eastAsia="黑体"/>
          <w:color w:val="000000"/>
          <w:spacing w:val="-10"/>
          <w:shd w:fill="D9D9D9" w:color="auto" w:val="clear"/>
        </w:rPr>
        <w:t>详见《附表三：保障计划表》。</w:t>
      </w:r>
    </w:p>
    <w:p>
      <w:pPr>
        <w:pStyle w:val="BodyText"/>
        <w:spacing w:before="4"/>
        <w:ind w:left="0"/>
        <w:rPr>
          <w:rFonts w:ascii="黑体"/>
          <w:sz w:val="24"/>
        </w:rPr>
      </w:pPr>
    </w:p>
    <w:p>
      <w:pPr>
        <w:pStyle w:val="BodyText"/>
        <w:tabs>
          <w:tab w:pos="1997" w:val="left" w:leader="none"/>
        </w:tabs>
      </w:pPr>
      <w:r>
        <w:rPr/>
        <w:t>第十一</w:t>
      </w:r>
      <w:r>
        <w:rPr>
          <w:spacing w:val="-10"/>
        </w:rPr>
        <w:t>条</w:t>
      </w:r>
      <w:r>
        <w:rPr/>
        <w:tab/>
        <w:t>保险金</w:t>
      </w:r>
      <w:r>
        <w:rPr>
          <w:spacing w:val="-10"/>
        </w:rPr>
        <w:t>额</w:t>
      </w:r>
    </w:p>
    <w:p>
      <w:pPr>
        <w:pStyle w:val="BodyText"/>
        <w:spacing w:line="278" w:lineRule="auto" w:before="43"/>
        <w:ind w:right="732"/>
      </w:pPr>
      <w:r>
        <w:rPr>
          <w:spacing w:val="-6"/>
        </w:rPr>
        <w:t>保险金额是指我们承担赔偿或者给付保险金责任的最高限额。本合同的基本保险金额等于保</w:t>
      </w:r>
      <w:r>
        <w:rPr>
          <w:spacing w:val="-2"/>
        </w:rPr>
        <w:t>险金额，由您与我们约定并于保险单上载明。</w:t>
      </w:r>
    </w:p>
    <w:p>
      <w:pPr>
        <w:pStyle w:val="BodyText"/>
        <w:spacing w:before="11"/>
        <w:ind w:left="0"/>
        <w:rPr>
          <w:sz w:val="29"/>
        </w:rPr>
      </w:pPr>
    </w:p>
    <w:p>
      <w:pPr>
        <w:pStyle w:val="BodyText"/>
        <w:tabs>
          <w:tab w:pos="1997" w:val="left" w:leader="none"/>
        </w:tabs>
      </w:pPr>
      <w:r>
        <w:rPr/>
        <w:t>第十二</w:t>
      </w:r>
      <w:r>
        <w:rPr>
          <w:spacing w:val="-10"/>
        </w:rPr>
        <w:t>条</w:t>
      </w:r>
      <w:r>
        <w:rPr/>
        <w:tab/>
        <w:t>保险费及宽限</w:t>
      </w:r>
      <w:r>
        <w:rPr>
          <w:spacing w:val="-10"/>
        </w:rPr>
        <w:t>期</w:t>
      </w:r>
    </w:p>
    <w:p>
      <w:pPr>
        <w:pStyle w:val="BodyText"/>
        <w:spacing w:before="43"/>
      </w:pPr>
      <w:r>
        <w:rPr>
          <w:spacing w:val="-1"/>
        </w:rPr>
        <w:t>您应按本合同约定向我们一次性交纳当个保险期间的保险费。</w:t>
      </w:r>
    </w:p>
    <w:p>
      <w:pPr>
        <w:pStyle w:val="BodyText"/>
        <w:spacing w:line="278" w:lineRule="auto" w:before="43"/>
        <w:ind w:right="731"/>
        <w:rPr>
          <w:rFonts w:ascii="黑体" w:eastAsia="黑体"/>
        </w:rPr>
      </w:pPr>
      <w:r>
        <w:rPr>
          <w:spacing w:val="-7"/>
        </w:rPr>
        <w:t>保证续保期间内，自满期日的次日零时起六十日为宽限期。保证续保期间届满时，我们同意</w:t>
      </w:r>
      <w:r>
        <w:rPr>
          <w:spacing w:val="-8"/>
        </w:rPr>
        <w:t>您续保的，则自满期日的次日零时起六十日为宽限期。宽限期内本合同继续有效，若被保险</w:t>
      </w:r>
      <w:r>
        <w:rPr/>
        <w:t>人发生保险事故，我们仍承担保险责任，</w:t>
      </w:r>
      <w:r>
        <w:rPr>
          <w:rFonts w:ascii="黑体" w:eastAsia="黑体"/>
        </w:rPr>
        <w:t>但给付保险金时须扣除已到期而未交的保险费</w:t>
      </w:r>
      <w:r>
        <w:rPr/>
        <w:t>。</w:t>
      </w:r>
      <w:r>
        <w:rPr>
          <w:rFonts w:ascii="黑体" w:eastAsia="黑体"/>
        </w:rPr>
        <w:t>宽限期期满日保险费仍未交付的，本合同自宽限期期满日的次日零时起效力终止。</w:t>
      </w:r>
    </w:p>
    <w:p>
      <w:pPr>
        <w:pStyle w:val="BodyText"/>
        <w:spacing w:before="2"/>
        <w:ind w:left="0"/>
        <w:rPr>
          <w:rFonts w:ascii="黑体"/>
        </w:rPr>
      </w:pPr>
    </w:p>
    <w:p>
      <w:pPr>
        <w:tabs>
          <w:tab w:pos="1997" w:val="left" w:leader="none"/>
        </w:tabs>
        <w:spacing w:line="530" w:lineRule="atLeast" w:before="0"/>
        <w:ind w:left="737" w:right="2104" w:firstLine="1372"/>
        <w:jc w:val="left"/>
        <w:rPr>
          <w:sz w:val="21"/>
        </w:rPr>
      </w:pPr>
      <w:r>
        <w:rPr>
          <w:b/>
          <w:sz w:val="21"/>
        </w:rPr>
        <w:t>第</w:t>
      </w:r>
      <w:r>
        <w:rPr>
          <w:b/>
          <w:sz w:val="21"/>
        </w:rPr>
        <w:t>四</w:t>
      </w:r>
      <w:r>
        <w:rPr>
          <w:b/>
          <w:sz w:val="21"/>
        </w:rPr>
        <w:t>章</w:t>
      </w:r>
      <w:r>
        <w:rPr>
          <w:b/>
          <w:spacing w:val="-27"/>
          <w:sz w:val="21"/>
        </w:rPr>
        <w:t> </w:t>
      </w:r>
      <w:r>
        <w:rPr>
          <w:b/>
          <w:sz w:val="21"/>
        </w:rPr>
        <w:t>保</w:t>
      </w:r>
      <w:r>
        <w:rPr>
          <w:b/>
          <w:sz w:val="21"/>
        </w:rPr>
        <w:t>险</w:t>
      </w:r>
      <w:r>
        <w:rPr>
          <w:b/>
          <w:sz w:val="21"/>
        </w:rPr>
        <w:t>期</w:t>
      </w:r>
      <w:r>
        <w:rPr>
          <w:b/>
          <w:sz w:val="21"/>
        </w:rPr>
        <w:t>间</w:t>
      </w:r>
      <w:r>
        <w:rPr>
          <w:b/>
          <w:sz w:val="21"/>
        </w:rPr>
        <w:t>、</w:t>
      </w:r>
      <w:r>
        <w:rPr>
          <w:b/>
          <w:sz w:val="21"/>
        </w:rPr>
        <w:t>续</w:t>
      </w:r>
      <w:r>
        <w:rPr>
          <w:b/>
          <w:sz w:val="21"/>
        </w:rPr>
        <w:t>保</w:t>
      </w:r>
      <w:r>
        <w:rPr>
          <w:b/>
          <w:sz w:val="21"/>
        </w:rPr>
        <w:t>、</w:t>
      </w:r>
      <w:r>
        <w:rPr>
          <w:b/>
          <w:sz w:val="21"/>
        </w:rPr>
        <w:t>保</w:t>
      </w:r>
      <w:r>
        <w:rPr>
          <w:b/>
          <w:sz w:val="21"/>
        </w:rPr>
        <w:t>险</w:t>
      </w:r>
      <w:r>
        <w:rPr>
          <w:b/>
          <w:sz w:val="21"/>
        </w:rPr>
        <w:t>合</w:t>
      </w:r>
      <w:r>
        <w:rPr>
          <w:b/>
          <w:sz w:val="21"/>
        </w:rPr>
        <w:t>同</w:t>
      </w:r>
      <w:r>
        <w:rPr>
          <w:b/>
          <w:sz w:val="21"/>
        </w:rPr>
        <w:t>成</w:t>
      </w:r>
      <w:r>
        <w:rPr>
          <w:b/>
          <w:sz w:val="21"/>
        </w:rPr>
        <w:t>立</w:t>
      </w:r>
      <w:r>
        <w:rPr>
          <w:b/>
          <w:sz w:val="21"/>
        </w:rPr>
        <w:t>与</w:t>
      </w:r>
      <w:r>
        <w:rPr>
          <w:b/>
          <w:sz w:val="21"/>
        </w:rPr>
        <w:t>生</w:t>
      </w:r>
      <w:r>
        <w:rPr>
          <w:b/>
          <w:sz w:val="21"/>
        </w:rPr>
        <w:t>效</w:t>
      </w:r>
      <w:r>
        <w:rPr>
          <w:b/>
          <w:sz w:val="21"/>
        </w:rPr>
        <w:t>、</w:t>
      </w:r>
      <w:r>
        <w:rPr>
          <w:b/>
          <w:sz w:val="21"/>
        </w:rPr>
        <w:t>解</w:t>
      </w:r>
      <w:r>
        <w:rPr>
          <w:b/>
          <w:sz w:val="21"/>
        </w:rPr>
        <w:t>除</w:t>
      </w:r>
      <w:r>
        <w:rPr>
          <w:b/>
          <w:sz w:val="21"/>
        </w:rPr>
        <w:t>及</w:t>
      </w:r>
      <w:r>
        <w:rPr>
          <w:b/>
          <w:sz w:val="21"/>
        </w:rPr>
        <w:t>终</w:t>
      </w:r>
      <w:r>
        <w:rPr>
          <w:b/>
          <w:sz w:val="21"/>
        </w:rPr>
        <w:t>止</w:t>
      </w:r>
      <w:r>
        <w:rPr>
          <w:spacing w:val="-4"/>
          <w:sz w:val="21"/>
        </w:rPr>
        <w:t>第</w:t>
      </w:r>
      <w:r>
        <w:rPr>
          <w:spacing w:val="-4"/>
          <w:sz w:val="21"/>
        </w:rPr>
        <w:t>十</w:t>
      </w:r>
      <w:r>
        <w:rPr>
          <w:spacing w:val="-4"/>
          <w:sz w:val="21"/>
        </w:rPr>
        <w:t>三</w:t>
      </w:r>
      <w:r>
        <w:rPr>
          <w:spacing w:val="-4"/>
          <w:sz w:val="21"/>
        </w:rPr>
        <w:t>条</w:t>
      </w:r>
      <w:r>
        <w:rPr>
          <w:sz w:val="21"/>
        </w:rPr>
        <w:tab/>
      </w:r>
      <w:r>
        <w:rPr>
          <w:spacing w:val="-4"/>
          <w:sz w:val="21"/>
        </w:rPr>
        <w:t>保</w:t>
      </w:r>
      <w:r>
        <w:rPr>
          <w:spacing w:val="-4"/>
          <w:sz w:val="21"/>
        </w:rPr>
        <w:t>险</w:t>
      </w:r>
      <w:r>
        <w:rPr>
          <w:spacing w:val="-4"/>
          <w:sz w:val="21"/>
        </w:rPr>
        <w:t>期</w:t>
      </w:r>
      <w:r>
        <w:rPr>
          <w:spacing w:val="-4"/>
          <w:sz w:val="21"/>
        </w:rPr>
        <w:t>间</w:t>
      </w:r>
    </w:p>
    <w:p>
      <w:pPr>
        <w:pStyle w:val="BodyText"/>
        <w:spacing w:before="44"/>
      </w:pPr>
      <w:r>
        <w:rPr>
          <w:spacing w:val="-1"/>
        </w:rPr>
        <w:t>本合同的保险期间为一年，自生效日的零时起至满期日的零时止。</w:t>
      </w:r>
    </w:p>
    <w:p>
      <w:pPr>
        <w:spacing w:after="0"/>
        <w:sectPr>
          <w:pgSz w:w="11910" w:h="16840"/>
          <w:pgMar w:header="0" w:footer="1168" w:top="1440" w:bottom="1360" w:left="1060" w:right="1060"/>
        </w:sectPr>
      </w:pPr>
    </w:p>
    <w:p>
      <w:pPr>
        <w:pStyle w:val="BodyText"/>
        <w:spacing w:before="3"/>
        <w:ind w:left="0"/>
        <w:rPr>
          <w:sz w:val="10"/>
        </w:rPr>
      </w:pPr>
    </w:p>
    <w:p>
      <w:pPr>
        <w:pStyle w:val="BodyText"/>
        <w:tabs>
          <w:tab w:pos="1997" w:val="left" w:leader="none"/>
        </w:tabs>
        <w:spacing w:before="71"/>
      </w:pPr>
      <w:r>
        <w:rPr/>
        <w:t>第十四</w:t>
      </w:r>
      <w:r>
        <w:rPr>
          <w:spacing w:val="-10"/>
        </w:rPr>
        <w:t>条</w:t>
      </w:r>
      <w:r>
        <w:rPr/>
        <w:tab/>
        <w:t>保证续保期</w:t>
      </w:r>
      <w:r>
        <w:rPr>
          <w:spacing w:val="-10"/>
        </w:rPr>
        <w:t>间</w:t>
      </w:r>
    </w:p>
    <w:p>
      <w:pPr>
        <w:pStyle w:val="BodyText"/>
        <w:spacing w:line="278" w:lineRule="auto" w:before="43"/>
        <w:ind w:right="733"/>
      </w:pPr>
      <w:r>
        <w:rPr>
          <w:spacing w:val="-4"/>
        </w:rPr>
        <w:t>自您首次投保本合同的生效日起，或自您以非续保形式投保本合同的生效日起，每三年为一</w:t>
      </w:r>
      <w:r>
        <w:rPr>
          <w:spacing w:val="-2"/>
        </w:rPr>
        <w:t>保证续保期间。</w:t>
      </w:r>
    </w:p>
    <w:p>
      <w:pPr>
        <w:pStyle w:val="BodyText"/>
        <w:spacing w:before="4"/>
        <w:ind w:left="0"/>
        <w:rPr>
          <w:sz w:val="24"/>
        </w:rPr>
      </w:pPr>
    </w:p>
    <w:p>
      <w:pPr>
        <w:pStyle w:val="BodyText"/>
        <w:jc w:val="both"/>
      </w:pPr>
      <w:r>
        <w:rPr/>
        <w:t>第十五条</w:t>
      </w:r>
      <w:r>
        <w:rPr>
          <w:spacing w:val="52"/>
          <w:w w:val="150"/>
        </w:rPr>
        <w:t>  </w:t>
      </w:r>
      <w:r>
        <w:rPr>
          <w:spacing w:val="-2"/>
        </w:rPr>
        <w:t>保证续保权</w:t>
      </w:r>
    </w:p>
    <w:p>
      <w:pPr>
        <w:pStyle w:val="BodyText"/>
        <w:spacing w:line="278" w:lineRule="auto" w:before="43"/>
        <w:ind w:left="1157" w:right="733" w:hanging="420"/>
        <w:jc w:val="both"/>
      </w:pPr>
      <w:r>
        <w:rPr>
          <w:spacing w:val="-4"/>
        </w:rPr>
        <w:t>一、每个保证续保期间内，您按该保证续保期初约定的费率表依被保险人的保障计划、年龄</w:t>
      </w:r>
      <w:r>
        <w:rPr>
          <w:spacing w:val="-2"/>
        </w:rPr>
        <w:t>变化、有无基本医疗保险/公费医疗保障等交纳相应的保险费，该保险费不因本产品的</w:t>
      </w:r>
      <w:r>
        <w:rPr>
          <w:spacing w:val="-2"/>
        </w:rPr>
        <w:t>整体费率调整而改变；</w:t>
      </w:r>
    </w:p>
    <w:p>
      <w:pPr>
        <w:pStyle w:val="BodyText"/>
        <w:spacing w:line="278" w:lineRule="auto"/>
        <w:ind w:left="1157" w:right="732" w:hanging="420"/>
      </w:pPr>
      <w:r>
        <w:rPr>
          <w:spacing w:val="-10"/>
        </w:rPr>
        <w:t>二、每个保证续保期间内，我们不因被保险人的健康状况或历史理赔情况而拒绝投保人的续</w:t>
      </w:r>
      <w:r>
        <w:rPr>
          <w:spacing w:val="-4"/>
        </w:rPr>
        <w:t>保申请；</w:t>
      </w:r>
    </w:p>
    <w:p>
      <w:pPr>
        <w:pStyle w:val="BodyText"/>
        <w:spacing w:line="269" w:lineRule="exact"/>
      </w:pPr>
      <w:r>
        <w:rPr>
          <w:spacing w:val="-1"/>
        </w:rPr>
        <w:t>三、每个保证续保期间内，投保人的保证续保权不因该产品的统一停售而终止。</w:t>
      </w:r>
    </w:p>
    <w:p>
      <w:pPr>
        <w:pStyle w:val="BodyText"/>
        <w:spacing w:before="9"/>
        <w:ind w:left="0"/>
        <w:rPr>
          <w:sz w:val="27"/>
        </w:rPr>
      </w:pPr>
    </w:p>
    <w:p>
      <w:pPr>
        <w:pStyle w:val="BodyText"/>
        <w:tabs>
          <w:tab w:pos="1997" w:val="left" w:leader="none"/>
        </w:tabs>
      </w:pPr>
      <w:r>
        <w:rPr/>
        <w:t>第十六</w:t>
      </w:r>
      <w:r>
        <w:rPr>
          <w:spacing w:val="-10"/>
        </w:rPr>
        <w:t>条</w:t>
      </w:r>
      <w:r>
        <w:rPr/>
        <w:tab/>
        <w:t>保证续保权终</w:t>
      </w:r>
      <w:r>
        <w:rPr>
          <w:spacing w:val="-10"/>
        </w:rPr>
        <w:t>止</w:t>
      </w:r>
    </w:p>
    <w:p>
      <w:pPr>
        <w:pStyle w:val="BodyText"/>
        <w:spacing w:line="278" w:lineRule="auto" w:before="43"/>
        <w:ind w:right="2324"/>
      </w:pPr>
      <w:r>
        <w:rPr>
          <w:spacing w:val="-2"/>
        </w:rPr>
        <w:t>在保证续保期间内，若被保险人发生下列情形之一，我们不再接受续保：</w:t>
      </w:r>
      <w:r>
        <w:rPr>
          <w:spacing w:val="-2"/>
        </w:rPr>
        <w:t>一、您在本合同保险期间届满之前向我们提出停止续保申请；</w:t>
      </w:r>
    </w:p>
    <w:p>
      <w:pPr>
        <w:pStyle w:val="BodyText"/>
        <w:spacing w:line="278" w:lineRule="auto"/>
        <w:ind w:left="1157" w:right="731" w:hanging="420"/>
      </w:pPr>
      <w:r>
        <w:rPr>
          <w:spacing w:val="-4"/>
        </w:rPr>
        <w:t>二、被保险人续保时的年龄超过《附表三：保障计划表》中对应保障计划约定的最高续保年</w:t>
      </w:r>
      <w:r>
        <w:rPr>
          <w:spacing w:val="-6"/>
        </w:rPr>
        <w:t>龄；</w:t>
      </w:r>
    </w:p>
    <w:p>
      <w:pPr>
        <w:pStyle w:val="BodyText"/>
        <w:spacing w:line="278" w:lineRule="auto"/>
        <w:ind w:left="1157" w:right="732" w:hanging="420"/>
      </w:pPr>
      <w:r>
        <w:rPr>
          <w:spacing w:val="-4"/>
        </w:rPr>
        <w:t>三、您在本合同约定的宽限期期满日前未按照续保当时被保险人的保障计划、年龄、有无基</w:t>
      </w:r>
      <w:r>
        <w:rPr>
          <w:spacing w:val="-2"/>
        </w:rPr>
        <w:t>本医疗保险/公费医疗保障等所对应的保险费率交纳相应的续保保险费。</w:t>
      </w:r>
    </w:p>
    <w:p>
      <w:pPr>
        <w:pStyle w:val="BodyText"/>
        <w:spacing w:before="3"/>
        <w:ind w:left="0"/>
        <w:rPr>
          <w:sz w:val="24"/>
        </w:rPr>
      </w:pPr>
    </w:p>
    <w:p>
      <w:pPr>
        <w:pStyle w:val="BodyText"/>
        <w:jc w:val="both"/>
      </w:pPr>
      <w:r>
        <w:rPr/>
        <w:t>第十七条</w:t>
      </w:r>
      <w:r>
        <w:rPr>
          <w:spacing w:val="52"/>
          <w:w w:val="150"/>
        </w:rPr>
        <w:t>  </w:t>
      </w:r>
      <w:r>
        <w:rPr>
          <w:spacing w:val="-5"/>
        </w:rPr>
        <w:t>续保</w:t>
      </w:r>
    </w:p>
    <w:p>
      <w:pPr>
        <w:pStyle w:val="BodyText"/>
        <w:spacing w:line="278" w:lineRule="auto" w:before="43"/>
        <w:ind w:right="626"/>
        <w:jc w:val="both"/>
      </w:pPr>
      <w:r>
        <w:rPr>
          <w:spacing w:val="-2"/>
        </w:rPr>
        <w:t>每一保证续保期间届满前，我们会审核被保险人是否符合续保条件。如果审核后我们不接受</w:t>
      </w:r>
      <w:r>
        <w:rPr>
          <w:spacing w:val="-2"/>
        </w:rPr>
        <w:t>续保，我们会以书面形式通知您；如果我们审核同意，在此后一个保证续保期间内，您按时</w:t>
      </w:r>
      <w:r>
        <w:rPr>
          <w:spacing w:val="-1"/>
        </w:rPr>
        <w:t>向我们交纳续保保险费，则本合同将延续有效。续保保险费按续保时我们核定的费率计算。</w:t>
      </w:r>
    </w:p>
    <w:p>
      <w:pPr>
        <w:pStyle w:val="BodyText"/>
        <w:spacing w:before="4"/>
        <w:ind w:left="0"/>
        <w:rPr>
          <w:sz w:val="24"/>
        </w:rPr>
      </w:pPr>
    </w:p>
    <w:p>
      <w:pPr>
        <w:pStyle w:val="BodyText"/>
        <w:spacing w:line="278" w:lineRule="auto" w:before="1"/>
        <w:ind w:right="732"/>
        <w:jc w:val="both"/>
      </w:pPr>
      <w:r>
        <w:rPr>
          <w:spacing w:val="-8"/>
        </w:rPr>
        <w:t>我们有权根据社会医疗费用水平变化、本产品整体经营状况调整被保险人在续保时的续保保</w:t>
      </w:r>
      <w:r>
        <w:rPr>
          <w:spacing w:val="-4"/>
        </w:rPr>
        <w:t>险费。如果我们认为需要调整续保保险费，调整后的续保保险费自下一个保证续保期间起适用，我们将在本合同当个保证续保期间届满前以书面形式通知您，届时在您接受费率调整的</w:t>
      </w:r>
      <w:r>
        <w:rPr>
          <w:spacing w:val="-2"/>
        </w:rPr>
        <w:t>前提下，我们方可为您办理续保手续。</w:t>
      </w:r>
    </w:p>
    <w:p>
      <w:pPr>
        <w:pStyle w:val="BodyText"/>
        <w:spacing w:line="278" w:lineRule="auto"/>
        <w:ind w:right="626"/>
      </w:pPr>
      <w:r>
        <w:rPr>
          <w:spacing w:val="-5"/>
        </w:rPr>
        <w:t>续保保险费的调整适用于本合同的所有被保险人或同一投保年龄段的所有被保险人，我们不</w:t>
      </w:r>
      <w:r>
        <w:rPr>
          <w:spacing w:val="-1"/>
        </w:rPr>
        <w:t>会因为某一被保险人的健康状况变化或历史理赔情况而单独调整该被保险人的续保保险费。</w:t>
      </w:r>
    </w:p>
    <w:p>
      <w:pPr>
        <w:pStyle w:val="BodyText"/>
        <w:tabs>
          <w:tab w:pos="1997" w:val="left" w:leader="none"/>
        </w:tabs>
        <w:spacing w:line="624" w:lineRule="exact" w:before="22"/>
        <w:ind w:right="2534"/>
      </w:pPr>
      <w:r>
        <w:rPr>
          <w:spacing w:val="-2"/>
        </w:rPr>
        <w:t>每</w:t>
      </w:r>
      <w:r>
        <w:rPr>
          <w:spacing w:val="-2"/>
        </w:rPr>
        <w:t>一</w:t>
      </w:r>
      <w:r>
        <w:rPr>
          <w:spacing w:val="-2"/>
        </w:rPr>
        <w:t>保</w:t>
      </w:r>
      <w:r>
        <w:rPr>
          <w:spacing w:val="-2"/>
        </w:rPr>
        <w:t>证</w:t>
      </w:r>
      <w:r>
        <w:rPr>
          <w:spacing w:val="-2"/>
        </w:rPr>
        <w:t>续</w:t>
      </w:r>
      <w:r>
        <w:rPr>
          <w:spacing w:val="-2"/>
        </w:rPr>
        <w:t>保</w:t>
      </w:r>
      <w:r>
        <w:rPr>
          <w:spacing w:val="-2"/>
        </w:rPr>
        <w:t>期</w:t>
      </w:r>
      <w:r>
        <w:rPr>
          <w:spacing w:val="-2"/>
        </w:rPr>
        <w:t>间</w:t>
      </w:r>
      <w:r>
        <w:rPr>
          <w:spacing w:val="-2"/>
        </w:rPr>
        <w:t>届</w:t>
      </w:r>
      <w:r>
        <w:rPr>
          <w:spacing w:val="-2"/>
        </w:rPr>
        <w:t>满</w:t>
      </w:r>
      <w:r>
        <w:rPr>
          <w:spacing w:val="-2"/>
        </w:rPr>
        <w:t>时</w:t>
      </w:r>
      <w:r>
        <w:rPr>
          <w:spacing w:val="-2"/>
        </w:rPr>
        <w:t>，</w:t>
      </w:r>
      <w:r>
        <w:rPr>
          <w:spacing w:val="-2"/>
        </w:rPr>
        <w:t>若</w:t>
      </w:r>
      <w:r>
        <w:rPr>
          <w:spacing w:val="-2"/>
        </w:rPr>
        <w:t>本</w:t>
      </w:r>
      <w:r>
        <w:rPr>
          <w:spacing w:val="-2"/>
        </w:rPr>
        <w:t>产</w:t>
      </w:r>
      <w:r>
        <w:rPr>
          <w:spacing w:val="-2"/>
        </w:rPr>
        <w:t>品</w:t>
      </w:r>
      <w:r>
        <w:rPr>
          <w:spacing w:val="-2"/>
        </w:rPr>
        <w:t>已</w:t>
      </w:r>
      <w:r>
        <w:rPr>
          <w:spacing w:val="-2"/>
        </w:rPr>
        <w:t>统</w:t>
      </w:r>
      <w:r>
        <w:rPr>
          <w:spacing w:val="-2"/>
        </w:rPr>
        <w:t>一</w:t>
      </w:r>
      <w:r>
        <w:rPr>
          <w:spacing w:val="-2"/>
        </w:rPr>
        <w:t>停</w:t>
      </w:r>
      <w:r>
        <w:rPr>
          <w:spacing w:val="-2"/>
        </w:rPr>
        <w:t>售</w:t>
      </w:r>
      <w:r>
        <w:rPr>
          <w:spacing w:val="-2"/>
        </w:rPr>
        <w:t>，</w:t>
      </w:r>
      <w:r>
        <w:rPr>
          <w:spacing w:val="-2"/>
        </w:rPr>
        <w:t>我</w:t>
      </w:r>
      <w:r>
        <w:rPr>
          <w:spacing w:val="-2"/>
        </w:rPr>
        <w:t>们</w:t>
      </w:r>
      <w:r>
        <w:rPr>
          <w:spacing w:val="-2"/>
        </w:rPr>
        <w:t>不</w:t>
      </w:r>
      <w:r>
        <w:rPr>
          <w:spacing w:val="-2"/>
        </w:rPr>
        <w:t>再</w:t>
      </w:r>
      <w:r>
        <w:rPr>
          <w:spacing w:val="-2"/>
        </w:rPr>
        <w:t>接</w:t>
      </w:r>
      <w:r>
        <w:rPr>
          <w:spacing w:val="-2"/>
        </w:rPr>
        <w:t>受</w:t>
      </w:r>
      <w:r>
        <w:rPr>
          <w:spacing w:val="-2"/>
        </w:rPr>
        <w:t>续</w:t>
      </w:r>
      <w:r>
        <w:rPr>
          <w:spacing w:val="-2"/>
        </w:rPr>
        <w:t>保</w:t>
      </w:r>
      <w:r>
        <w:rPr>
          <w:spacing w:val="-2"/>
        </w:rPr>
        <w:t>。</w:t>
      </w:r>
      <w:r>
        <w:rPr>
          <w:spacing w:val="-4"/>
        </w:rPr>
        <w:t>第</w:t>
      </w:r>
      <w:r>
        <w:rPr>
          <w:spacing w:val="-4"/>
        </w:rPr>
        <w:t>十</w:t>
      </w:r>
      <w:r>
        <w:rPr>
          <w:spacing w:val="-4"/>
        </w:rPr>
        <w:t>八</w:t>
      </w:r>
      <w:r>
        <w:rPr>
          <w:spacing w:val="-4"/>
        </w:rPr>
        <w:t>条</w:t>
      </w:r>
      <w:r>
        <w:rPr/>
        <w:tab/>
      </w:r>
      <w:r>
        <w:rPr>
          <w:spacing w:val="-2"/>
        </w:rPr>
        <w:t>保</w:t>
      </w:r>
      <w:r>
        <w:rPr>
          <w:spacing w:val="-2"/>
        </w:rPr>
        <w:t>险</w:t>
      </w:r>
      <w:r>
        <w:rPr>
          <w:spacing w:val="-2"/>
        </w:rPr>
        <w:t>合</w:t>
      </w:r>
      <w:r>
        <w:rPr>
          <w:spacing w:val="-2"/>
        </w:rPr>
        <w:t>同</w:t>
      </w:r>
      <w:r>
        <w:rPr>
          <w:spacing w:val="-2"/>
        </w:rPr>
        <w:t>成</w:t>
      </w:r>
      <w:r>
        <w:rPr>
          <w:spacing w:val="-2"/>
        </w:rPr>
        <w:t>立</w:t>
      </w:r>
      <w:r>
        <w:rPr>
          <w:spacing w:val="-2"/>
        </w:rPr>
        <w:t>与</w:t>
      </w:r>
      <w:r>
        <w:rPr>
          <w:spacing w:val="-2"/>
        </w:rPr>
        <w:t>生</w:t>
      </w:r>
      <w:r>
        <w:rPr>
          <w:spacing w:val="-2"/>
        </w:rPr>
        <w:t>效</w:t>
      </w:r>
    </w:p>
    <w:p>
      <w:pPr>
        <w:pStyle w:val="BodyText"/>
        <w:spacing w:line="246" w:lineRule="exact"/>
      </w:pPr>
      <w:r>
        <w:rPr>
          <w:spacing w:val="-1"/>
        </w:rPr>
        <w:t>您提出保险申请、我们同意承保，本合同成立。我们将签发保险单作为本合同成立的标志。</w:t>
      </w:r>
    </w:p>
    <w:p>
      <w:pPr>
        <w:pStyle w:val="BodyText"/>
        <w:spacing w:line="278" w:lineRule="auto" w:before="43"/>
        <w:ind w:right="626"/>
      </w:pPr>
      <w:r>
        <w:rPr>
          <w:spacing w:val="-2"/>
        </w:rPr>
        <w:t>除本合同另有约定外，本合同自我们收到首期保险费并签发保险单的次日零时起开始生效。</w:t>
      </w:r>
      <w:r>
        <w:rPr>
          <w:spacing w:val="-2"/>
        </w:rPr>
        <w:t>本合同的成立日、生效日均载明于保险单或保险单批注上。</w:t>
      </w:r>
    </w:p>
    <w:p>
      <w:pPr>
        <w:pStyle w:val="BodyText"/>
        <w:spacing w:line="269" w:lineRule="exact"/>
      </w:pPr>
      <w:r>
        <w:rPr>
          <w:spacing w:val="-1"/>
        </w:rPr>
        <w:t>除本合同另有约定外，我们自本合同的生效日零时起开始承担保险责任。</w:t>
      </w:r>
    </w:p>
    <w:p>
      <w:pPr>
        <w:pStyle w:val="BodyText"/>
        <w:spacing w:before="8"/>
        <w:ind w:left="0"/>
        <w:rPr>
          <w:sz w:val="27"/>
        </w:rPr>
      </w:pPr>
    </w:p>
    <w:p>
      <w:pPr>
        <w:pStyle w:val="BodyText"/>
        <w:tabs>
          <w:tab w:pos="1997" w:val="left" w:leader="none"/>
        </w:tabs>
        <w:spacing w:before="1"/>
      </w:pPr>
      <w:r>
        <w:rPr/>
        <w:t>第十九</w:t>
      </w:r>
      <w:r>
        <w:rPr>
          <w:spacing w:val="-10"/>
        </w:rPr>
        <w:t>条</w:t>
      </w:r>
      <w:r>
        <w:rPr/>
        <w:tab/>
        <w:t>投保人解除合</w:t>
      </w:r>
      <w:r>
        <w:rPr>
          <w:spacing w:val="-10"/>
        </w:rPr>
        <w:t>同</w:t>
      </w:r>
    </w:p>
    <w:p>
      <w:pPr>
        <w:pStyle w:val="BodyText"/>
        <w:spacing w:line="278" w:lineRule="auto" w:before="43"/>
        <w:ind w:right="2324"/>
      </w:pPr>
      <w:r>
        <w:rPr>
          <w:spacing w:val="-2"/>
        </w:rPr>
        <w:t>在本合同有效期内，且在犹豫期后，您请出具下列文件申请解除本合同：</w:t>
      </w:r>
      <w:r>
        <w:rPr>
          <w:spacing w:val="-2"/>
        </w:rPr>
        <w:t>一、保险合同；</w:t>
      </w:r>
    </w:p>
    <w:p>
      <w:pPr>
        <w:spacing w:after="0" w:line="278" w:lineRule="auto"/>
        <w:sectPr>
          <w:pgSz w:w="11910" w:h="16840"/>
          <w:pgMar w:header="0" w:footer="1168" w:top="1600" w:bottom="1360" w:left="1060" w:right="1060"/>
        </w:sectPr>
      </w:pPr>
    </w:p>
    <w:p>
      <w:pPr>
        <w:pStyle w:val="BodyText"/>
        <w:spacing w:before="50"/>
      </w:pPr>
      <w:r>
        <w:rPr>
          <w:spacing w:val="-1"/>
        </w:rPr>
        <w:t>二、解除合同申请书；</w:t>
      </w:r>
    </w:p>
    <w:p>
      <w:pPr>
        <w:spacing w:before="43"/>
        <w:ind w:left="737" w:right="0" w:firstLine="0"/>
        <w:jc w:val="left"/>
        <w:rPr>
          <w:sz w:val="21"/>
        </w:rPr>
      </w:pPr>
      <w:r>
        <w:rPr>
          <w:w w:val="95"/>
          <w:sz w:val="21"/>
        </w:rPr>
        <w:t>三</w:t>
      </w:r>
      <w:r>
        <w:rPr>
          <w:w w:val="95"/>
          <w:sz w:val="21"/>
        </w:rPr>
        <w:t>、</w:t>
      </w:r>
      <w:r>
        <w:rPr>
          <w:w w:val="95"/>
          <w:sz w:val="21"/>
        </w:rPr>
        <w:t>您</w:t>
      </w:r>
      <w:r>
        <w:rPr>
          <w:w w:val="95"/>
          <w:sz w:val="21"/>
        </w:rPr>
        <w:t>的</w:t>
      </w:r>
      <w:r>
        <w:rPr>
          <w:b/>
          <w:w w:val="95"/>
          <w:sz w:val="21"/>
        </w:rPr>
        <w:t>有</w:t>
      </w:r>
      <w:r>
        <w:rPr>
          <w:b/>
          <w:w w:val="95"/>
          <w:sz w:val="21"/>
        </w:rPr>
        <w:t>效</w:t>
      </w:r>
      <w:r>
        <w:rPr>
          <w:b/>
          <w:w w:val="95"/>
          <w:sz w:val="21"/>
        </w:rPr>
        <w:t>身</w:t>
      </w:r>
      <w:r>
        <w:rPr>
          <w:b/>
          <w:w w:val="95"/>
          <w:sz w:val="21"/>
        </w:rPr>
        <w:t>份</w:t>
      </w:r>
      <w:r>
        <w:rPr>
          <w:b/>
          <w:w w:val="95"/>
          <w:sz w:val="21"/>
        </w:rPr>
        <w:t>证</w:t>
      </w:r>
      <w:r>
        <w:rPr>
          <w:b/>
          <w:w w:val="95"/>
          <w:sz w:val="21"/>
        </w:rPr>
        <w:t>件</w:t>
      </w:r>
      <w:r>
        <w:rPr>
          <w:rFonts w:ascii="Times New Roman" w:eastAsia="Times New Roman"/>
          <w:b/>
          <w:w w:val="95"/>
          <w:sz w:val="21"/>
          <w:vertAlign w:val="superscript"/>
        </w:rPr>
        <w:t>51</w:t>
      </w:r>
      <w:r>
        <w:rPr>
          <w:spacing w:val="-10"/>
          <w:w w:val="95"/>
          <w:sz w:val="21"/>
          <w:vertAlign w:val="baseline"/>
        </w:rPr>
        <w:t>。</w:t>
      </w:r>
    </w:p>
    <w:p>
      <w:pPr>
        <w:pStyle w:val="BodyText"/>
        <w:spacing w:line="278" w:lineRule="auto" w:before="43"/>
        <w:ind w:right="626"/>
        <w:rPr>
          <w:rFonts w:ascii="黑体" w:eastAsia="黑体"/>
        </w:rPr>
      </w:pPr>
      <w:r>
        <w:rPr>
          <w:spacing w:val="-14"/>
        </w:rPr>
        <w:t>自我们收到解除合同申请文件时，本合同终止。我们自收到解除合同申请书之日起三十日内，</w:t>
      </w:r>
      <w:r>
        <w:rPr>
          <w:spacing w:val="-2"/>
        </w:rPr>
        <w:t>向您退还本合同的</w:t>
      </w:r>
      <w:r>
        <w:rPr>
          <w:b/>
          <w:spacing w:val="-2"/>
        </w:rPr>
        <w:t>现金价值</w:t>
      </w:r>
      <w:r>
        <w:rPr>
          <w:rFonts w:ascii="Times New Roman" w:eastAsia="Times New Roman"/>
          <w:b/>
          <w:spacing w:val="-2"/>
          <w:vertAlign w:val="superscript"/>
        </w:rPr>
        <w:t>52</w:t>
      </w:r>
      <w:r>
        <w:rPr>
          <w:spacing w:val="-2"/>
          <w:vertAlign w:val="baseline"/>
        </w:rPr>
        <w:t>。</w:t>
      </w:r>
      <w:r>
        <w:rPr>
          <w:rFonts w:ascii="黑体" w:eastAsia="黑体"/>
          <w:color w:val="000000"/>
          <w:spacing w:val="-2"/>
          <w:shd w:fill="D9D9D9" w:color="auto" w:val="clear"/>
          <w:vertAlign w:val="baseline"/>
        </w:rPr>
        <w:t>若已发生保险金给付，我们不退还现金价值。您在犹豫期后</w:t>
      </w:r>
      <w:r>
        <w:rPr>
          <w:rFonts w:ascii="黑体" w:eastAsia="黑体"/>
          <w:color w:val="000000"/>
          <w:spacing w:val="80"/>
          <w:w w:val="150"/>
          <w:shd w:fill="D9D9D9" w:color="auto" w:val="clear"/>
          <w:vertAlign w:val="baseline"/>
        </w:rPr>
        <w:t>                                              </w:t>
      </w:r>
      <w:r>
        <w:rPr>
          <w:rFonts w:ascii="黑体" w:eastAsia="黑体"/>
          <w:color w:val="000000"/>
          <w:spacing w:val="-2"/>
          <w:shd w:fill="D9D9D9" w:color="auto" w:val="clear"/>
          <w:vertAlign w:val="baseline"/>
        </w:rPr>
        <w:t>解除本合同会遭受一定损失。</w:t>
      </w:r>
    </w:p>
    <w:p>
      <w:pPr>
        <w:pStyle w:val="BodyText"/>
        <w:spacing w:before="4"/>
        <w:ind w:left="0"/>
        <w:rPr>
          <w:rFonts w:ascii="黑体"/>
          <w:sz w:val="24"/>
        </w:rPr>
      </w:pPr>
    </w:p>
    <w:p>
      <w:pPr>
        <w:pStyle w:val="BodyText"/>
        <w:tabs>
          <w:tab w:pos="1997" w:val="left" w:leader="none"/>
        </w:tabs>
      </w:pPr>
      <w:r>
        <w:rPr/>
        <w:t>第二十</w:t>
      </w:r>
      <w:r>
        <w:rPr>
          <w:spacing w:val="-10"/>
        </w:rPr>
        <w:t>条</w:t>
      </w:r>
      <w:r>
        <w:rPr/>
        <w:tab/>
        <w:t>合同效力终</w:t>
      </w:r>
      <w:r>
        <w:rPr>
          <w:spacing w:val="-10"/>
        </w:rPr>
        <w:t>止</w:t>
      </w:r>
    </w:p>
    <w:p>
      <w:pPr>
        <w:pStyle w:val="BodyText"/>
        <w:spacing w:line="278" w:lineRule="auto" w:before="43"/>
        <w:ind w:right="5264"/>
      </w:pPr>
      <w:r>
        <w:rPr>
          <w:spacing w:val="-2"/>
        </w:rPr>
        <w:t>发生下列情形之一时，本合同效力终止：</w:t>
      </w:r>
      <w:r>
        <w:rPr>
          <w:spacing w:val="-2"/>
        </w:rPr>
        <w:t>一、您申请解除本合同；</w:t>
      </w:r>
    </w:p>
    <w:p>
      <w:pPr>
        <w:pStyle w:val="BodyText"/>
        <w:spacing w:line="278" w:lineRule="auto"/>
        <w:ind w:left="1157" w:right="731" w:hanging="420"/>
      </w:pPr>
      <w:r>
        <w:rPr>
          <w:spacing w:val="-4"/>
        </w:rPr>
        <w:t>二、同一保险期间内一次或累计给付的各项保险金总额达到《附表三：保障计划表》中对应</w:t>
      </w:r>
      <w:r>
        <w:rPr>
          <w:spacing w:val="-2"/>
        </w:rPr>
        <w:t>保障计划约定的保险金额；</w:t>
      </w:r>
    </w:p>
    <w:p>
      <w:pPr>
        <w:pStyle w:val="BodyText"/>
        <w:spacing w:line="278" w:lineRule="auto"/>
        <w:ind w:right="5684"/>
      </w:pPr>
      <w:r>
        <w:rPr>
          <w:spacing w:val="-2"/>
        </w:rPr>
        <w:t>三、本合同保险期间届满，未续保；</w:t>
      </w:r>
      <w:r>
        <w:rPr>
          <w:spacing w:val="-2"/>
        </w:rPr>
        <w:t>四、被保险人身故；</w:t>
      </w:r>
    </w:p>
    <w:p>
      <w:pPr>
        <w:pStyle w:val="BodyText"/>
        <w:spacing w:line="269" w:lineRule="exact"/>
      </w:pPr>
      <w:r>
        <w:rPr>
          <w:spacing w:val="-1"/>
        </w:rPr>
        <w:t>五、本合同约定的其他终止情形。</w:t>
      </w:r>
    </w:p>
    <w:p>
      <w:pPr>
        <w:pStyle w:val="BodyText"/>
        <w:ind w:left="0"/>
        <w:rPr>
          <w:sz w:val="20"/>
        </w:rPr>
      </w:pPr>
    </w:p>
    <w:p>
      <w:pPr>
        <w:pStyle w:val="BodyText"/>
        <w:spacing w:before="11"/>
        <w:ind w:left="0"/>
        <w:rPr>
          <w:sz w:val="24"/>
        </w:rPr>
      </w:pPr>
    </w:p>
    <w:p>
      <w:pPr>
        <w:pStyle w:val="Heading1"/>
        <w:spacing w:before="1"/>
        <w:ind w:left="3323" w:right="3322"/>
        <w:jc w:val="center"/>
      </w:pPr>
      <w:r>
        <w:rPr>
          <w:w w:val="95"/>
        </w:rPr>
        <w:t>第</w:t>
      </w:r>
      <w:r>
        <w:rPr>
          <w:w w:val="95"/>
        </w:rPr>
        <w:t>五</w:t>
      </w:r>
      <w:r>
        <w:rPr>
          <w:w w:val="95"/>
        </w:rPr>
        <w:t>章</w:t>
      </w:r>
      <w:r>
        <w:rPr>
          <w:spacing w:val="45"/>
        </w:rPr>
        <w:t> </w:t>
      </w:r>
      <w:r>
        <w:rPr>
          <w:w w:val="95"/>
        </w:rPr>
        <w:t>保</w:t>
      </w:r>
      <w:r>
        <w:rPr>
          <w:w w:val="95"/>
        </w:rPr>
        <w:t>险</w:t>
      </w:r>
      <w:r>
        <w:rPr>
          <w:w w:val="95"/>
        </w:rPr>
        <w:t>金</w:t>
      </w:r>
      <w:r>
        <w:rPr>
          <w:w w:val="95"/>
        </w:rPr>
        <w:t>申</w:t>
      </w:r>
      <w:r>
        <w:rPr>
          <w:spacing w:val="-10"/>
          <w:w w:val="95"/>
        </w:rPr>
        <w:t>请</w:t>
      </w:r>
    </w:p>
    <w:p>
      <w:pPr>
        <w:pStyle w:val="BodyText"/>
        <w:spacing w:before="4"/>
        <w:ind w:left="0"/>
        <w:rPr>
          <w:b/>
          <w:sz w:val="20"/>
        </w:rPr>
      </w:pPr>
    </w:p>
    <w:p>
      <w:pPr>
        <w:pStyle w:val="BodyText"/>
        <w:tabs>
          <w:tab w:pos="1997" w:val="left" w:leader="none"/>
        </w:tabs>
        <w:spacing w:before="1"/>
      </w:pPr>
      <w:r>
        <w:rPr/>
        <w:t>第二十一</w:t>
      </w:r>
      <w:r>
        <w:rPr>
          <w:spacing w:val="-10"/>
        </w:rPr>
        <w:t>条</w:t>
      </w:r>
      <w:r>
        <w:rPr/>
        <w:tab/>
        <w:t>保险事故通</w:t>
      </w:r>
      <w:r>
        <w:rPr>
          <w:spacing w:val="-10"/>
        </w:rPr>
        <w:t>知</w:t>
      </w:r>
    </w:p>
    <w:p>
      <w:pPr>
        <w:pStyle w:val="BodyText"/>
        <w:spacing w:line="278" w:lineRule="auto" w:before="43"/>
        <w:ind w:right="733"/>
      </w:pPr>
      <w:r>
        <w:rPr>
          <w:spacing w:val="-4"/>
        </w:rPr>
        <w:t>您或受益人在知道保险事故发生之日起十日内通知我们。否则，您或受益人应承担由于通知</w:t>
      </w:r>
      <w:r>
        <w:rPr>
          <w:spacing w:val="-2"/>
        </w:rPr>
        <w:t>迟延致使我们增加的勘查、检验等项费用，但因</w:t>
      </w:r>
      <w:r>
        <w:rPr>
          <w:b/>
          <w:spacing w:val="-2"/>
        </w:rPr>
        <w:t>不</w:t>
      </w:r>
      <w:r>
        <w:rPr>
          <w:b/>
          <w:spacing w:val="-2"/>
        </w:rPr>
        <w:t>可</w:t>
      </w:r>
      <w:r>
        <w:rPr>
          <w:b/>
          <w:spacing w:val="-2"/>
        </w:rPr>
        <w:t>抗</w:t>
      </w:r>
      <w:r>
        <w:rPr>
          <w:b/>
          <w:spacing w:val="-2"/>
        </w:rPr>
        <w:t>力</w:t>
      </w:r>
      <w:r>
        <w:rPr>
          <w:rFonts w:ascii="Times New Roman" w:eastAsia="Times New Roman"/>
          <w:b/>
          <w:spacing w:val="-2"/>
          <w:vertAlign w:val="superscript"/>
        </w:rPr>
        <w:t>53</w:t>
      </w:r>
      <w:r>
        <w:rPr>
          <w:spacing w:val="-2"/>
          <w:vertAlign w:val="baseline"/>
        </w:rPr>
        <w:t>导致的延迟除外。</w:t>
      </w:r>
    </w:p>
    <w:p>
      <w:pPr>
        <w:pStyle w:val="BodyText"/>
        <w:spacing w:line="278" w:lineRule="auto"/>
        <w:ind w:right="731"/>
        <w:jc w:val="both"/>
      </w:pPr>
      <w:r>
        <w:rPr>
          <w:rFonts w:ascii="黑体" w:eastAsia="黑体"/>
          <w:color w:val="000000"/>
          <w:spacing w:val="-5"/>
          <w:shd w:fill="D9D9D9" w:color="auto" w:val="clear"/>
        </w:rPr>
        <w:t>如果您或受益人故意或者因重大过失未及时通知，致使保险事故的性质、原因、损失程度等</w:t>
      </w:r>
      <w:r>
        <w:rPr>
          <w:rFonts w:ascii="黑体" w:eastAsia="黑体"/>
          <w:color w:val="000000"/>
          <w:shd w:fill="D9D9D9" w:color="auto" w:val="clear"/>
        </w:rPr>
        <w:t>                                                                                                                                                            </w:t>
      </w:r>
      <w:r>
        <w:rPr>
          <w:rFonts w:ascii="黑体" w:eastAsia="黑体"/>
          <w:color w:val="000000"/>
          <w:spacing w:val="-7"/>
          <w:shd w:fill="D9D9D9" w:color="auto" w:val="clear"/>
        </w:rPr>
        <w:t>难以确定的，我们对无法确定的部分，不承担给付保险金的责任</w:t>
      </w:r>
      <w:r>
        <w:rPr>
          <w:rFonts w:ascii="黑体" w:eastAsia="黑体"/>
          <w:color w:val="000000"/>
          <w:spacing w:val="-28"/>
        </w:rPr>
        <w:t>，</w:t>
      </w:r>
      <w:r>
        <w:rPr>
          <w:color w:val="000000"/>
          <w:spacing w:val="-1"/>
        </w:rPr>
        <w:t>但我们通过其他途径已经</w:t>
      </w:r>
      <w:r>
        <w:rPr>
          <w:color w:val="000000"/>
          <w:spacing w:val="1"/>
        </w:rPr>
        <w:t>及时知道或者应当及时知道保险事故发生或者虽未及时通知但不影响我们确定保险事故的性质、原因、损失程度的除外。</w:t>
      </w:r>
    </w:p>
    <w:p>
      <w:pPr>
        <w:pStyle w:val="BodyText"/>
        <w:spacing w:before="3"/>
        <w:ind w:left="0"/>
        <w:rPr>
          <w:sz w:val="24"/>
        </w:rPr>
      </w:pPr>
    </w:p>
    <w:p>
      <w:pPr>
        <w:pStyle w:val="BodyText"/>
        <w:tabs>
          <w:tab w:pos="1997" w:val="left" w:leader="none"/>
        </w:tabs>
      </w:pPr>
      <w:r>
        <w:rPr/>
        <w:t>第二十二</w:t>
      </w:r>
      <w:r>
        <w:rPr>
          <w:spacing w:val="-10"/>
        </w:rPr>
        <w:t>条</w:t>
      </w:r>
      <w:r>
        <w:rPr/>
        <w:tab/>
        <w:t>诉讼时</w:t>
      </w:r>
      <w:r>
        <w:rPr>
          <w:spacing w:val="-10"/>
        </w:rPr>
        <w:t>效</w:t>
      </w:r>
    </w:p>
    <w:p>
      <w:pPr>
        <w:pStyle w:val="BodyText"/>
        <w:spacing w:line="278" w:lineRule="auto" w:before="43"/>
        <w:ind w:right="732"/>
      </w:pPr>
      <w:r>
        <w:rPr>
          <w:spacing w:val="-6"/>
        </w:rPr>
        <w:t>受益人向我们请求给付保险金的诉讼时效期间为二年，自其知道或者应当知道保险事故发生</w:t>
      </w:r>
      <w:r>
        <w:rPr>
          <w:spacing w:val="-2"/>
        </w:rPr>
        <w:t>之日起计算。</w:t>
      </w:r>
    </w:p>
    <w:p>
      <w:pPr>
        <w:pStyle w:val="BodyText"/>
        <w:spacing w:before="4"/>
        <w:ind w:left="0"/>
        <w:rPr>
          <w:sz w:val="24"/>
        </w:rPr>
      </w:pPr>
    </w:p>
    <w:p>
      <w:pPr>
        <w:pStyle w:val="BodyText"/>
        <w:tabs>
          <w:tab w:pos="1997" w:val="left" w:leader="none"/>
        </w:tabs>
        <w:spacing w:line="278" w:lineRule="auto" w:before="1"/>
        <w:ind w:right="6734"/>
      </w:pPr>
      <w:r>
        <w:rPr>
          <w:spacing w:val="-2"/>
        </w:rPr>
        <w:t>第</w:t>
      </w:r>
      <w:r>
        <w:rPr>
          <w:spacing w:val="-2"/>
        </w:rPr>
        <w:t>二</w:t>
      </w:r>
      <w:r>
        <w:rPr>
          <w:spacing w:val="-2"/>
        </w:rPr>
        <w:t>十</w:t>
      </w:r>
      <w:r>
        <w:rPr>
          <w:spacing w:val="-2"/>
        </w:rPr>
        <w:t>三</w:t>
      </w:r>
      <w:r>
        <w:rPr>
          <w:spacing w:val="-2"/>
        </w:rPr>
        <w:t>条</w:t>
      </w:r>
      <w:r>
        <w:rPr/>
        <w:tab/>
      </w:r>
      <w:r>
        <w:rPr>
          <w:spacing w:val="-4"/>
        </w:rPr>
        <w:t>保</w:t>
      </w:r>
      <w:r>
        <w:rPr>
          <w:spacing w:val="-4"/>
        </w:rPr>
        <w:t>险</w:t>
      </w:r>
      <w:r>
        <w:rPr>
          <w:spacing w:val="-4"/>
        </w:rPr>
        <w:t>金</w:t>
      </w:r>
      <w:r>
        <w:rPr>
          <w:spacing w:val="-4"/>
        </w:rPr>
        <w:t>申</w:t>
      </w:r>
      <w:r>
        <w:rPr>
          <w:spacing w:val="-4"/>
        </w:rPr>
        <w:t>请</w:t>
      </w:r>
      <w:r>
        <w:rPr>
          <w:spacing w:val="-2"/>
        </w:rPr>
        <w:t>一</w:t>
      </w:r>
      <w:r>
        <w:rPr>
          <w:spacing w:val="-2"/>
        </w:rPr>
        <w:t>、</w:t>
      </w:r>
      <w:r>
        <w:rPr>
          <w:spacing w:val="-2"/>
        </w:rPr>
        <w:t>一</w:t>
      </w:r>
      <w:r>
        <w:rPr>
          <w:spacing w:val="-2"/>
        </w:rPr>
        <w:t>般</w:t>
      </w:r>
      <w:r>
        <w:rPr>
          <w:spacing w:val="-2"/>
        </w:rPr>
        <w:t>医</w:t>
      </w:r>
      <w:r>
        <w:rPr>
          <w:spacing w:val="-2"/>
        </w:rPr>
        <w:t>疗</w:t>
      </w:r>
      <w:r>
        <w:rPr>
          <w:spacing w:val="-2"/>
        </w:rPr>
        <w:t>保</w:t>
      </w:r>
      <w:r>
        <w:rPr>
          <w:spacing w:val="-2"/>
        </w:rPr>
        <w:t>险</w:t>
      </w:r>
      <w:r>
        <w:rPr>
          <w:spacing w:val="-2"/>
        </w:rPr>
        <w:t>金</w:t>
      </w:r>
    </w:p>
    <w:p>
      <w:pPr>
        <w:pStyle w:val="BodyText"/>
        <w:spacing w:line="269" w:lineRule="exact"/>
      </w:pPr>
      <w:r>
        <w:rPr>
          <w:spacing w:val="-1"/>
        </w:rPr>
        <w:t>在申请一般医疗保险金时，申请人须填写保险金给付申请书，并提供下列证明和资料：</w:t>
      </w:r>
    </w:p>
    <w:p>
      <w:pPr>
        <w:pStyle w:val="BodyText"/>
        <w:spacing w:before="43"/>
      </w:pPr>
      <w:r>
        <w:rPr>
          <w:rFonts w:ascii="Times New Roman" w:eastAsia="Times New Roman"/>
        </w:rPr>
        <w:t>1</w:t>
      </w:r>
      <w:r>
        <w:rPr>
          <w:spacing w:val="-3"/>
        </w:rPr>
        <w:t>、 保险合同；</w:t>
      </w:r>
    </w:p>
    <w:p>
      <w:pPr>
        <w:pStyle w:val="BodyText"/>
        <w:spacing w:before="43"/>
      </w:pPr>
      <w:r>
        <w:rPr>
          <w:rFonts w:ascii="Times New Roman" w:eastAsia="Times New Roman"/>
        </w:rPr>
        <w:t>2</w:t>
      </w:r>
      <w:r>
        <w:rPr>
          <w:spacing w:val="-2"/>
        </w:rPr>
        <w:t>、 申请人的有效身份证件；</w:t>
      </w:r>
    </w:p>
    <w:p>
      <w:pPr>
        <w:pStyle w:val="BodyText"/>
        <w:spacing w:line="278" w:lineRule="auto" w:before="42"/>
        <w:ind w:left="1157" w:right="626" w:hanging="420"/>
      </w:pPr>
      <w:r>
        <w:rPr>
          <w:rFonts w:ascii="Times New Roman" w:eastAsia="Times New Roman"/>
        </w:rPr>
        <w:t>3</w:t>
      </w:r>
      <w:r>
        <w:rPr>
          <w:spacing w:val="-4"/>
        </w:rPr>
        <w:t>、 我们认可的中国大陆地区医院出具的完整的门急诊病历、医疗费用原始单据，施行手术</w:t>
      </w:r>
      <w:r>
        <w:rPr>
          <w:spacing w:val="-12"/>
        </w:rPr>
        <w:t>者则需提供手术证明文件，住院者还需提供住院证明、出院小结原始件及住院费用清单；</w:t>
      </w:r>
    </w:p>
    <w:p>
      <w:pPr>
        <w:pStyle w:val="BodyText"/>
        <w:spacing w:line="269" w:lineRule="exact"/>
      </w:pPr>
      <w:r>
        <w:rPr>
          <w:rFonts w:ascii="Times New Roman" w:eastAsia="Times New Roman"/>
        </w:rPr>
        <w:t>4</w:t>
      </w:r>
      <w:r>
        <w:rPr>
          <w:spacing w:val="-2"/>
        </w:rPr>
        <w:t>、 所能提供的与确认保险事故的性质、原因等有关的其他证明和资料。</w:t>
      </w:r>
    </w:p>
    <w:p>
      <w:pPr>
        <w:pStyle w:val="BodyText"/>
        <w:spacing w:before="9"/>
        <w:ind w:left="0"/>
        <w:rPr>
          <w:sz w:val="27"/>
        </w:rPr>
      </w:pPr>
    </w:p>
    <w:p>
      <w:pPr>
        <w:pStyle w:val="BodyText"/>
      </w:pPr>
      <w:r>
        <w:rPr>
          <w:spacing w:val="-1"/>
        </w:rPr>
        <w:t>二、重大疾病医疗保险金</w:t>
      </w:r>
    </w:p>
    <w:p>
      <w:pPr>
        <w:pStyle w:val="BodyText"/>
        <w:spacing w:before="6"/>
        <w:ind w:left="0"/>
        <w:rPr>
          <w:sz w:val="13"/>
        </w:rPr>
      </w:pPr>
      <w:r>
        <w:rPr/>
        <w:drawing>
          <wp:anchor distT="0" distB="0" distL="0" distR="0" allowOverlap="1" layoutInCell="1" locked="0" behindDoc="0" simplePos="0" relativeHeight="14">
            <wp:simplePos x="0" y="0"/>
            <wp:positionH relativeFrom="page">
              <wp:posOffset>1141475</wp:posOffset>
            </wp:positionH>
            <wp:positionV relativeFrom="paragraph">
              <wp:posOffset>125312</wp:posOffset>
            </wp:positionV>
            <wp:extent cx="1828766" cy="6857"/>
            <wp:effectExtent l="0" t="0" r="0" b="0"/>
            <wp:wrapTopAndBottom/>
            <wp:docPr id="19" name="image4.png"/>
            <wp:cNvGraphicFramePr>
              <a:graphicFrameLocks noChangeAspect="1"/>
            </wp:cNvGraphicFramePr>
            <a:graphic>
              <a:graphicData uri="http://schemas.openxmlformats.org/drawingml/2006/picture">
                <pic:pic>
                  <pic:nvPicPr>
                    <pic:cNvPr id="20" name="image4.png"/>
                    <pic:cNvPicPr/>
                  </pic:nvPicPr>
                  <pic:blipFill>
                    <a:blip r:embed="rId9" cstate="print"/>
                    <a:stretch>
                      <a:fillRect/>
                    </a:stretch>
                  </pic:blipFill>
                  <pic:spPr>
                    <a:xfrm>
                      <a:off x="0" y="0"/>
                      <a:ext cx="1828766" cy="6857"/>
                    </a:xfrm>
                    <a:prstGeom prst="rect">
                      <a:avLst/>
                    </a:prstGeom>
                  </pic:spPr>
                </pic:pic>
              </a:graphicData>
            </a:graphic>
          </wp:anchor>
        </w:drawing>
      </w:r>
    </w:p>
    <w:p>
      <w:pPr>
        <w:spacing w:before="90"/>
        <w:ind w:left="737" w:right="0" w:firstLine="0"/>
        <w:jc w:val="left"/>
        <w:rPr>
          <w:sz w:val="18"/>
        </w:rPr>
      </w:pPr>
      <w:r>
        <w:rPr>
          <w:rFonts w:ascii="Times New Roman" w:eastAsia="Times New Roman"/>
          <w:w w:val="95"/>
          <w:sz w:val="18"/>
          <w:vertAlign w:val="superscript"/>
        </w:rPr>
        <w:t>51</w:t>
      </w:r>
      <w:r>
        <w:rPr>
          <w:b/>
          <w:w w:val="95"/>
          <w:sz w:val="18"/>
          <w:vertAlign w:val="baseline"/>
        </w:rPr>
        <w:t>有</w:t>
      </w:r>
      <w:r>
        <w:rPr>
          <w:b/>
          <w:w w:val="95"/>
          <w:sz w:val="18"/>
          <w:vertAlign w:val="baseline"/>
        </w:rPr>
        <w:t>效</w:t>
      </w:r>
      <w:r>
        <w:rPr>
          <w:b/>
          <w:w w:val="95"/>
          <w:sz w:val="18"/>
          <w:vertAlign w:val="baseline"/>
        </w:rPr>
        <w:t>身份</w:t>
      </w:r>
      <w:r>
        <w:rPr>
          <w:b/>
          <w:w w:val="95"/>
          <w:sz w:val="18"/>
          <w:vertAlign w:val="baseline"/>
        </w:rPr>
        <w:t>证</w:t>
      </w:r>
      <w:r>
        <w:rPr>
          <w:b/>
          <w:w w:val="95"/>
          <w:sz w:val="18"/>
          <w:vertAlign w:val="baseline"/>
        </w:rPr>
        <w:t>件</w:t>
      </w:r>
      <w:r>
        <w:rPr>
          <w:b/>
          <w:w w:val="95"/>
          <w:sz w:val="18"/>
          <w:vertAlign w:val="baseline"/>
        </w:rPr>
        <w:t>：</w:t>
      </w:r>
      <w:r>
        <w:rPr>
          <w:w w:val="95"/>
          <w:sz w:val="18"/>
          <w:vertAlign w:val="baseline"/>
        </w:rPr>
        <w:t>指</w:t>
      </w:r>
      <w:r>
        <w:rPr>
          <w:w w:val="95"/>
          <w:sz w:val="18"/>
          <w:vertAlign w:val="baseline"/>
        </w:rPr>
        <w:t>由</w:t>
      </w:r>
      <w:r>
        <w:rPr>
          <w:w w:val="95"/>
          <w:sz w:val="18"/>
          <w:vertAlign w:val="baseline"/>
        </w:rPr>
        <w:t>政</w:t>
      </w:r>
      <w:r>
        <w:rPr>
          <w:w w:val="95"/>
          <w:sz w:val="18"/>
          <w:vertAlign w:val="baseline"/>
        </w:rPr>
        <w:t>府</w:t>
      </w:r>
      <w:r>
        <w:rPr>
          <w:w w:val="95"/>
          <w:sz w:val="18"/>
          <w:vertAlign w:val="baseline"/>
        </w:rPr>
        <w:t>主</w:t>
      </w:r>
      <w:r>
        <w:rPr>
          <w:w w:val="95"/>
          <w:sz w:val="18"/>
          <w:vertAlign w:val="baseline"/>
        </w:rPr>
        <w:t>管</w:t>
      </w:r>
      <w:r>
        <w:rPr>
          <w:w w:val="95"/>
          <w:sz w:val="18"/>
          <w:vertAlign w:val="baseline"/>
        </w:rPr>
        <w:t>部</w:t>
      </w:r>
      <w:r>
        <w:rPr>
          <w:w w:val="95"/>
          <w:sz w:val="18"/>
          <w:vertAlign w:val="baseline"/>
        </w:rPr>
        <w:t>门</w:t>
      </w:r>
      <w:r>
        <w:rPr>
          <w:w w:val="95"/>
          <w:sz w:val="18"/>
          <w:vertAlign w:val="baseline"/>
        </w:rPr>
        <w:t>规</w:t>
      </w:r>
      <w:r>
        <w:rPr>
          <w:w w:val="95"/>
          <w:sz w:val="18"/>
          <w:vertAlign w:val="baseline"/>
        </w:rPr>
        <w:t>定</w:t>
      </w:r>
      <w:r>
        <w:rPr>
          <w:w w:val="95"/>
          <w:sz w:val="18"/>
          <w:vertAlign w:val="baseline"/>
        </w:rPr>
        <w:t>的</w:t>
      </w:r>
      <w:r>
        <w:rPr>
          <w:w w:val="95"/>
          <w:sz w:val="18"/>
          <w:vertAlign w:val="baseline"/>
        </w:rPr>
        <w:t>证</w:t>
      </w:r>
      <w:r>
        <w:rPr>
          <w:w w:val="95"/>
          <w:sz w:val="18"/>
          <w:vertAlign w:val="baseline"/>
        </w:rPr>
        <w:t>明</w:t>
      </w:r>
      <w:r>
        <w:rPr>
          <w:w w:val="95"/>
          <w:sz w:val="18"/>
          <w:vertAlign w:val="baseline"/>
        </w:rPr>
        <w:t>其</w:t>
      </w:r>
      <w:r>
        <w:rPr>
          <w:w w:val="95"/>
          <w:sz w:val="18"/>
          <w:vertAlign w:val="baseline"/>
        </w:rPr>
        <w:t>身</w:t>
      </w:r>
      <w:r>
        <w:rPr>
          <w:w w:val="95"/>
          <w:sz w:val="18"/>
          <w:vertAlign w:val="baseline"/>
        </w:rPr>
        <w:t>份</w:t>
      </w:r>
      <w:r>
        <w:rPr>
          <w:w w:val="95"/>
          <w:sz w:val="18"/>
          <w:vertAlign w:val="baseline"/>
        </w:rPr>
        <w:t>的</w:t>
      </w:r>
      <w:r>
        <w:rPr>
          <w:w w:val="95"/>
          <w:sz w:val="18"/>
          <w:vertAlign w:val="baseline"/>
        </w:rPr>
        <w:t>证</w:t>
      </w:r>
      <w:r>
        <w:rPr>
          <w:w w:val="95"/>
          <w:sz w:val="18"/>
          <w:vertAlign w:val="baseline"/>
        </w:rPr>
        <w:t>件</w:t>
      </w:r>
      <w:r>
        <w:rPr>
          <w:w w:val="95"/>
          <w:sz w:val="18"/>
          <w:vertAlign w:val="baseline"/>
        </w:rPr>
        <w:t>，</w:t>
      </w:r>
      <w:r>
        <w:rPr>
          <w:w w:val="95"/>
          <w:sz w:val="18"/>
          <w:vertAlign w:val="baseline"/>
        </w:rPr>
        <w:t>如</w:t>
      </w:r>
      <w:r>
        <w:rPr>
          <w:w w:val="95"/>
          <w:sz w:val="18"/>
          <w:vertAlign w:val="baseline"/>
        </w:rPr>
        <w:t>居</w:t>
      </w:r>
      <w:r>
        <w:rPr>
          <w:w w:val="95"/>
          <w:sz w:val="18"/>
          <w:vertAlign w:val="baseline"/>
        </w:rPr>
        <w:t>民</w:t>
      </w:r>
      <w:r>
        <w:rPr>
          <w:w w:val="95"/>
          <w:sz w:val="18"/>
          <w:vertAlign w:val="baseline"/>
        </w:rPr>
        <w:t>身</w:t>
      </w:r>
      <w:r>
        <w:rPr>
          <w:w w:val="95"/>
          <w:sz w:val="18"/>
          <w:vertAlign w:val="baseline"/>
        </w:rPr>
        <w:t>份</w:t>
      </w:r>
      <w:r>
        <w:rPr>
          <w:w w:val="95"/>
          <w:sz w:val="18"/>
          <w:vertAlign w:val="baseline"/>
        </w:rPr>
        <w:t>证</w:t>
      </w:r>
      <w:r>
        <w:rPr>
          <w:w w:val="95"/>
          <w:sz w:val="18"/>
          <w:vertAlign w:val="baseline"/>
        </w:rPr>
        <w:t>、</w:t>
      </w:r>
      <w:r>
        <w:rPr>
          <w:w w:val="95"/>
          <w:sz w:val="18"/>
          <w:vertAlign w:val="baseline"/>
        </w:rPr>
        <w:t>户</w:t>
      </w:r>
      <w:r>
        <w:rPr>
          <w:w w:val="95"/>
          <w:sz w:val="18"/>
          <w:vertAlign w:val="baseline"/>
        </w:rPr>
        <w:t>口</w:t>
      </w:r>
      <w:r>
        <w:rPr>
          <w:w w:val="95"/>
          <w:sz w:val="18"/>
          <w:vertAlign w:val="baseline"/>
        </w:rPr>
        <w:t>簿</w:t>
      </w:r>
      <w:r>
        <w:rPr>
          <w:w w:val="95"/>
          <w:sz w:val="18"/>
          <w:vertAlign w:val="baseline"/>
        </w:rPr>
        <w:t>、</w:t>
      </w:r>
      <w:r>
        <w:rPr>
          <w:w w:val="95"/>
          <w:sz w:val="18"/>
          <w:vertAlign w:val="baseline"/>
        </w:rPr>
        <w:t>按</w:t>
      </w:r>
      <w:r>
        <w:rPr>
          <w:w w:val="95"/>
          <w:sz w:val="18"/>
          <w:vertAlign w:val="baseline"/>
        </w:rPr>
        <w:t>规</w:t>
      </w:r>
      <w:r>
        <w:rPr>
          <w:w w:val="95"/>
          <w:sz w:val="18"/>
          <w:vertAlign w:val="baseline"/>
        </w:rPr>
        <w:t>定</w:t>
      </w:r>
      <w:r>
        <w:rPr>
          <w:w w:val="95"/>
          <w:sz w:val="18"/>
          <w:vertAlign w:val="baseline"/>
        </w:rPr>
        <w:t>可</w:t>
      </w:r>
      <w:r>
        <w:rPr>
          <w:w w:val="95"/>
          <w:sz w:val="18"/>
          <w:vertAlign w:val="baseline"/>
        </w:rPr>
        <w:t>使</w:t>
      </w:r>
      <w:r>
        <w:rPr>
          <w:w w:val="95"/>
          <w:sz w:val="18"/>
          <w:vertAlign w:val="baseline"/>
        </w:rPr>
        <w:t>用</w:t>
      </w:r>
      <w:r>
        <w:rPr>
          <w:spacing w:val="-10"/>
          <w:w w:val="95"/>
          <w:sz w:val="18"/>
          <w:vertAlign w:val="baseline"/>
        </w:rPr>
        <w:t>的</w:t>
      </w:r>
    </w:p>
    <w:p>
      <w:pPr>
        <w:spacing w:before="3"/>
        <w:ind w:left="737" w:right="0" w:firstLine="0"/>
        <w:jc w:val="left"/>
        <w:rPr>
          <w:sz w:val="18"/>
        </w:rPr>
      </w:pPr>
      <w:r>
        <w:rPr>
          <w:spacing w:val="-3"/>
          <w:sz w:val="18"/>
        </w:rPr>
        <w:t>护照等。</w:t>
      </w:r>
    </w:p>
    <w:p>
      <w:pPr>
        <w:spacing w:before="2"/>
        <w:ind w:left="737" w:right="0" w:firstLine="0"/>
        <w:jc w:val="left"/>
        <w:rPr>
          <w:sz w:val="18"/>
        </w:rPr>
      </w:pPr>
      <w:r>
        <w:rPr>
          <w:rFonts w:ascii="Times New Roman" w:eastAsia="Times New Roman"/>
          <w:w w:val="95"/>
          <w:sz w:val="18"/>
          <w:vertAlign w:val="superscript"/>
        </w:rPr>
        <w:t>52</w:t>
      </w:r>
      <w:r>
        <w:rPr>
          <w:b/>
          <w:w w:val="95"/>
          <w:sz w:val="18"/>
          <w:vertAlign w:val="baseline"/>
        </w:rPr>
        <w:t>现</w:t>
      </w:r>
      <w:r>
        <w:rPr>
          <w:b/>
          <w:w w:val="95"/>
          <w:sz w:val="18"/>
          <w:vertAlign w:val="baseline"/>
        </w:rPr>
        <w:t>金</w:t>
      </w:r>
      <w:r>
        <w:rPr>
          <w:b/>
          <w:w w:val="95"/>
          <w:sz w:val="18"/>
          <w:vertAlign w:val="baseline"/>
        </w:rPr>
        <w:t>价值</w:t>
      </w:r>
      <w:r>
        <w:rPr>
          <w:w w:val="95"/>
          <w:sz w:val="18"/>
          <w:vertAlign w:val="baseline"/>
        </w:rPr>
        <w:t>：指</w:t>
      </w:r>
      <w:r>
        <w:rPr>
          <w:w w:val="95"/>
          <w:sz w:val="18"/>
          <w:vertAlign w:val="baseline"/>
        </w:rPr>
        <w:t>本</w:t>
      </w:r>
      <w:r>
        <w:rPr>
          <w:w w:val="95"/>
          <w:sz w:val="18"/>
          <w:vertAlign w:val="baseline"/>
        </w:rPr>
        <w:t>合</w:t>
      </w:r>
      <w:r>
        <w:rPr>
          <w:w w:val="95"/>
          <w:sz w:val="18"/>
          <w:vertAlign w:val="baseline"/>
        </w:rPr>
        <w:t>同</w:t>
      </w:r>
      <w:r>
        <w:rPr>
          <w:w w:val="95"/>
          <w:sz w:val="18"/>
          <w:vertAlign w:val="baseline"/>
        </w:rPr>
        <w:t>所</w:t>
      </w:r>
      <w:r>
        <w:rPr>
          <w:w w:val="95"/>
          <w:sz w:val="18"/>
          <w:vertAlign w:val="baseline"/>
        </w:rPr>
        <w:t>具</w:t>
      </w:r>
      <w:r>
        <w:rPr>
          <w:w w:val="95"/>
          <w:sz w:val="18"/>
          <w:vertAlign w:val="baseline"/>
        </w:rPr>
        <w:t>有</w:t>
      </w:r>
      <w:r>
        <w:rPr>
          <w:w w:val="95"/>
          <w:sz w:val="18"/>
          <w:vertAlign w:val="baseline"/>
        </w:rPr>
        <w:t>的</w:t>
      </w:r>
      <w:r>
        <w:rPr>
          <w:w w:val="95"/>
          <w:sz w:val="18"/>
          <w:vertAlign w:val="baseline"/>
        </w:rPr>
        <w:t>价</w:t>
      </w:r>
      <w:r>
        <w:rPr>
          <w:w w:val="95"/>
          <w:sz w:val="18"/>
          <w:vertAlign w:val="baseline"/>
        </w:rPr>
        <w:t>值</w:t>
      </w:r>
      <w:r>
        <w:rPr>
          <w:w w:val="95"/>
          <w:sz w:val="18"/>
          <w:vertAlign w:val="baseline"/>
        </w:rPr>
        <w:t>，</w:t>
      </w:r>
      <w:r>
        <w:rPr>
          <w:w w:val="95"/>
          <w:sz w:val="18"/>
          <w:vertAlign w:val="baseline"/>
        </w:rPr>
        <w:t>通</w:t>
      </w:r>
      <w:r>
        <w:rPr>
          <w:w w:val="95"/>
          <w:sz w:val="18"/>
          <w:vertAlign w:val="baseline"/>
        </w:rPr>
        <w:t>常</w:t>
      </w:r>
      <w:r>
        <w:rPr>
          <w:w w:val="95"/>
          <w:sz w:val="18"/>
          <w:vertAlign w:val="baseline"/>
        </w:rPr>
        <w:t>体</w:t>
      </w:r>
      <w:r>
        <w:rPr>
          <w:w w:val="95"/>
          <w:sz w:val="18"/>
          <w:vertAlign w:val="baseline"/>
        </w:rPr>
        <w:t>现</w:t>
      </w:r>
      <w:r>
        <w:rPr>
          <w:w w:val="95"/>
          <w:sz w:val="18"/>
          <w:vertAlign w:val="baseline"/>
        </w:rPr>
        <w:t>为</w:t>
      </w:r>
      <w:r>
        <w:rPr>
          <w:w w:val="95"/>
          <w:sz w:val="18"/>
          <w:vertAlign w:val="baseline"/>
        </w:rPr>
        <w:t>解</w:t>
      </w:r>
      <w:r>
        <w:rPr>
          <w:w w:val="95"/>
          <w:sz w:val="18"/>
          <w:vertAlign w:val="baseline"/>
        </w:rPr>
        <w:t>除</w:t>
      </w:r>
      <w:r>
        <w:rPr>
          <w:w w:val="95"/>
          <w:sz w:val="18"/>
          <w:vertAlign w:val="baseline"/>
        </w:rPr>
        <w:t>合</w:t>
      </w:r>
      <w:r>
        <w:rPr>
          <w:w w:val="95"/>
          <w:sz w:val="18"/>
          <w:vertAlign w:val="baseline"/>
        </w:rPr>
        <w:t>同</w:t>
      </w:r>
      <w:r>
        <w:rPr>
          <w:w w:val="95"/>
          <w:sz w:val="18"/>
          <w:vertAlign w:val="baseline"/>
        </w:rPr>
        <w:t>时</w:t>
      </w:r>
      <w:r>
        <w:rPr>
          <w:w w:val="95"/>
          <w:sz w:val="18"/>
          <w:vertAlign w:val="baseline"/>
        </w:rPr>
        <w:t>，</w:t>
      </w:r>
      <w:r>
        <w:rPr>
          <w:w w:val="95"/>
          <w:sz w:val="18"/>
          <w:vertAlign w:val="baseline"/>
        </w:rPr>
        <w:t>根</w:t>
      </w:r>
      <w:r>
        <w:rPr>
          <w:w w:val="95"/>
          <w:sz w:val="18"/>
          <w:vertAlign w:val="baseline"/>
        </w:rPr>
        <w:t>据</w:t>
      </w:r>
      <w:r>
        <w:rPr>
          <w:w w:val="95"/>
          <w:sz w:val="18"/>
          <w:vertAlign w:val="baseline"/>
        </w:rPr>
        <w:t>精</w:t>
      </w:r>
      <w:r>
        <w:rPr>
          <w:w w:val="95"/>
          <w:sz w:val="18"/>
          <w:vertAlign w:val="baseline"/>
        </w:rPr>
        <w:t>算</w:t>
      </w:r>
      <w:r>
        <w:rPr>
          <w:w w:val="95"/>
          <w:sz w:val="18"/>
          <w:vertAlign w:val="baseline"/>
        </w:rPr>
        <w:t>原</w:t>
      </w:r>
      <w:r>
        <w:rPr>
          <w:w w:val="95"/>
          <w:sz w:val="18"/>
          <w:vertAlign w:val="baseline"/>
        </w:rPr>
        <w:t>理</w:t>
      </w:r>
      <w:r>
        <w:rPr>
          <w:w w:val="95"/>
          <w:sz w:val="18"/>
          <w:vertAlign w:val="baseline"/>
        </w:rPr>
        <w:t>计</w:t>
      </w:r>
      <w:r>
        <w:rPr>
          <w:w w:val="95"/>
          <w:sz w:val="18"/>
          <w:vertAlign w:val="baseline"/>
        </w:rPr>
        <w:t>算</w:t>
      </w:r>
      <w:r>
        <w:rPr>
          <w:w w:val="95"/>
          <w:sz w:val="18"/>
          <w:vertAlign w:val="baseline"/>
        </w:rPr>
        <w:t>的</w:t>
      </w:r>
      <w:r>
        <w:rPr>
          <w:w w:val="95"/>
          <w:sz w:val="18"/>
          <w:vertAlign w:val="baseline"/>
        </w:rPr>
        <w:t>，</w:t>
      </w:r>
      <w:r>
        <w:rPr>
          <w:w w:val="95"/>
          <w:sz w:val="18"/>
          <w:vertAlign w:val="baseline"/>
        </w:rPr>
        <w:t>由</w:t>
      </w:r>
      <w:r>
        <w:rPr>
          <w:w w:val="95"/>
          <w:sz w:val="18"/>
          <w:vertAlign w:val="baseline"/>
        </w:rPr>
        <w:t>我</w:t>
      </w:r>
      <w:r>
        <w:rPr>
          <w:w w:val="95"/>
          <w:sz w:val="18"/>
          <w:vertAlign w:val="baseline"/>
        </w:rPr>
        <w:t>们</w:t>
      </w:r>
      <w:r>
        <w:rPr>
          <w:w w:val="95"/>
          <w:sz w:val="18"/>
          <w:vertAlign w:val="baseline"/>
        </w:rPr>
        <w:t>退</w:t>
      </w:r>
      <w:r>
        <w:rPr>
          <w:w w:val="95"/>
          <w:sz w:val="18"/>
          <w:vertAlign w:val="baseline"/>
        </w:rPr>
        <w:t>还</w:t>
      </w:r>
      <w:r>
        <w:rPr>
          <w:w w:val="95"/>
          <w:sz w:val="18"/>
          <w:vertAlign w:val="baseline"/>
        </w:rPr>
        <w:t>的</w:t>
      </w:r>
      <w:r>
        <w:rPr>
          <w:w w:val="95"/>
          <w:sz w:val="18"/>
          <w:vertAlign w:val="baseline"/>
        </w:rPr>
        <w:t>那</w:t>
      </w:r>
      <w:r>
        <w:rPr>
          <w:spacing w:val="-10"/>
          <w:w w:val="95"/>
          <w:sz w:val="18"/>
          <w:vertAlign w:val="baseline"/>
        </w:rPr>
        <w:t>部</w:t>
      </w:r>
    </w:p>
    <w:p>
      <w:pPr>
        <w:spacing w:line="230" w:lineRule="exact" w:before="4"/>
        <w:ind w:left="737" w:right="0" w:firstLine="0"/>
        <w:jc w:val="left"/>
        <w:rPr>
          <w:sz w:val="18"/>
        </w:rPr>
      </w:pPr>
      <w:r>
        <w:rPr>
          <w:sz w:val="18"/>
        </w:rPr>
        <w:t>分金额。本合同的现金价值＝</w:t>
      </w:r>
      <w:r>
        <w:rPr>
          <w:rFonts w:ascii="Times New Roman" w:hAnsi="Times New Roman" w:eastAsia="Times New Roman"/>
          <w:sz w:val="18"/>
        </w:rPr>
        <w:t>70%</w:t>
      </w:r>
      <w:r>
        <w:rPr>
          <w:sz w:val="18"/>
        </w:rPr>
        <w:t>×保险费×当期未经过天数÷</w:t>
      </w:r>
      <w:r>
        <w:rPr>
          <w:rFonts w:ascii="Times New Roman" w:hAnsi="Times New Roman" w:eastAsia="Times New Roman"/>
          <w:sz w:val="18"/>
        </w:rPr>
        <w:t>365</w:t>
      </w:r>
      <w:r>
        <w:rPr>
          <w:spacing w:val="-10"/>
          <w:sz w:val="18"/>
        </w:rPr>
        <w:t>。</w:t>
      </w:r>
    </w:p>
    <w:p>
      <w:pPr>
        <w:spacing w:line="230" w:lineRule="exact" w:before="0"/>
        <w:ind w:left="737" w:right="0" w:firstLine="0"/>
        <w:jc w:val="left"/>
        <w:rPr>
          <w:sz w:val="18"/>
        </w:rPr>
      </w:pPr>
      <w:r>
        <w:rPr>
          <w:rFonts w:ascii="Times New Roman" w:eastAsia="Times New Roman"/>
          <w:w w:val="95"/>
          <w:sz w:val="18"/>
          <w:vertAlign w:val="superscript"/>
        </w:rPr>
        <w:t>53</w:t>
      </w:r>
      <w:r>
        <w:rPr>
          <w:b/>
          <w:w w:val="95"/>
          <w:sz w:val="18"/>
          <w:vertAlign w:val="baseline"/>
        </w:rPr>
        <w:t>不</w:t>
      </w:r>
      <w:r>
        <w:rPr>
          <w:b/>
          <w:w w:val="95"/>
          <w:sz w:val="18"/>
          <w:vertAlign w:val="baseline"/>
        </w:rPr>
        <w:t>可</w:t>
      </w:r>
      <w:r>
        <w:rPr>
          <w:b/>
          <w:w w:val="95"/>
          <w:sz w:val="18"/>
          <w:vertAlign w:val="baseline"/>
        </w:rPr>
        <w:t>抗力</w:t>
      </w:r>
      <w:r>
        <w:rPr>
          <w:w w:val="95"/>
          <w:sz w:val="18"/>
          <w:vertAlign w:val="baseline"/>
        </w:rPr>
        <w:t>：指</w:t>
      </w:r>
      <w:r>
        <w:rPr>
          <w:w w:val="95"/>
          <w:sz w:val="18"/>
          <w:vertAlign w:val="baseline"/>
        </w:rPr>
        <w:t>无</w:t>
      </w:r>
      <w:r>
        <w:rPr>
          <w:w w:val="95"/>
          <w:sz w:val="18"/>
          <w:vertAlign w:val="baseline"/>
        </w:rPr>
        <w:t>法</w:t>
      </w:r>
      <w:r>
        <w:rPr>
          <w:w w:val="95"/>
          <w:sz w:val="18"/>
          <w:vertAlign w:val="baseline"/>
        </w:rPr>
        <w:t>预</w:t>
      </w:r>
      <w:r>
        <w:rPr>
          <w:w w:val="95"/>
          <w:sz w:val="18"/>
          <w:vertAlign w:val="baseline"/>
        </w:rPr>
        <w:t>见</w:t>
      </w:r>
      <w:r>
        <w:rPr>
          <w:w w:val="95"/>
          <w:sz w:val="18"/>
          <w:vertAlign w:val="baseline"/>
        </w:rPr>
        <w:t>、</w:t>
      </w:r>
      <w:r>
        <w:rPr>
          <w:w w:val="95"/>
          <w:sz w:val="18"/>
          <w:vertAlign w:val="baseline"/>
        </w:rPr>
        <w:t>不</w:t>
      </w:r>
      <w:r>
        <w:rPr>
          <w:w w:val="95"/>
          <w:sz w:val="18"/>
          <w:vertAlign w:val="baseline"/>
        </w:rPr>
        <w:t>可</w:t>
      </w:r>
      <w:r>
        <w:rPr>
          <w:w w:val="95"/>
          <w:sz w:val="18"/>
          <w:vertAlign w:val="baseline"/>
        </w:rPr>
        <w:t>避</w:t>
      </w:r>
      <w:r>
        <w:rPr>
          <w:w w:val="95"/>
          <w:sz w:val="18"/>
          <w:vertAlign w:val="baseline"/>
        </w:rPr>
        <w:t>免</w:t>
      </w:r>
      <w:r>
        <w:rPr>
          <w:w w:val="95"/>
          <w:sz w:val="18"/>
          <w:vertAlign w:val="baseline"/>
        </w:rPr>
        <w:t>并</w:t>
      </w:r>
      <w:r>
        <w:rPr>
          <w:w w:val="95"/>
          <w:sz w:val="18"/>
          <w:vertAlign w:val="baseline"/>
        </w:rPr>
        <w:t>不</w:t>
      </w:r>
      <w:r>
        <w:rPr>
          <w:w w:val="95"/>
          <w:sz w:val="18"/>
          <w:vertAlign w:val="baseline"/>
        </w:rPr>
        <w:t>能</w:t>
      </w:r>
      <w:r>
        <w:rPr>
          <w:w w:val="95"/>
          <w:sz w:val="18"/>
          <w:vertAlign w:val="baseline"/>
        </w:rPr>
        <w:t>克</w:t>
      </w:r>
      <w:r>
        <w:rPr>
          <w:w w:val="95"/>
          <w:sz w:val="18"/>
          <w:vertAlign w:val="baseline"/>
        </w:rPr>
        <w:t>服</w:t>
      </w:r>
      <w:r>
        <w:rPr>
          <w:w w:val="95"/>
          <w:sz w:val="18"/>
          <w:vertAlign w:val="baseline"/>
        </w:rPr>
        <w:t>的</w:t>
      </w:r>
      <w:r>
        <w:rPr>
          <w:w w:val="95"/>
          <w:sz w:val="18"/>
          <w:vertAlign w:val="baseline"/>
        </w:rPr>
        <w:t>客</w:t>
      </w:r>
      <w:r>
        <w:rPr>
          <w:w w:val="95"/>
          <w:sz w:val="18"/>
          <w:vertAlign w:val="baseline"/>
        </w:rPr>
        <w:t>观</w:t>
      </w:r>
      <w:r>
        <w:rPr>
          <w:w w:val="95"/>
          <w:sz w:val="18"/>
          <w:vertAlign w:val="baseline"/>
        </w:rPr>
        <w:t>情</w:t>
      </w:r>
      <w:r>
        <w:rPr>
          <w:w w:val="95"/>
          <w:sz w:val="18"/>
          <w:vertAlign w:val="baseline"/>
        </w:rPr>
        <w:t>况</w:t>
      </w:r>
      <w:r>
        <w:rPr>
          <w:spacing w:val="-10"/>
          <w:w w:val="95"/>
          <w:sz w:val="18"/>
          <w:vertAlign w:val="baseline"/>
        </w:rPr>
        <w:t>。</w:t>
      </w:r>
    </w:p>
    <w:p>
      <w:pPr>
        <w:spacing w:after="0" w:line="230" w:lineRule="exact"/>
        <w:jc w:val="left"/>
        <w:rPr>
          <w:sz w:val="18"/>
        </w:rPr>
        <w:sectPr>
          <w:pgSz w:w="11910" w:h="16840"/>
          <w:pgMar w:header="0" w:footer="1168" w:top="1440" w:bottom="1360" w:left="1060" w:right="1060"/>
        </w:sectPr>
      </w:pPr>
    </w:p>
    <w:p>
      <w:pPr>
        <w:pStyle w:val="BodyText"/>
        <w:spacing w:before="50"/>
      </w:pPr>
      <w:r>
        <w:rPr>
          <w:spacing w:val="-1"/>
        </w:rPr>
        <w:t>在申请重大疾病医疗保险金时，申请人须填写保险金给付申请书，并提供下列证明和资料：</w:t>
      </w:r>
    </w:p>
    <w:p>
      <w:pPr>
        <w:pStyle w:val="BodyText"/>
        <w:spacing w:before="43"/>
      </w:pPr>
      <w:r>
        <w:rPr>
          <w:rFonts w:ascii="Times New Roman" w:eastAsia="Times New Roman"/>
        </w:rPr>
        <w:t>1</w:t>
      </w:r>
      <w:r>
        <w:rPr>
          <w:spacing w:val="-3"/>
        </w:rPr>
        <w:t>、 保险合同；</w:t>
      </w:r>
    </w:p>
    <w:p>
      <w:pPr>
        <w:pStyle w:val="BodyText"/>
        <w:spacing w:before="43"/>
      </w:pPr>
      <w:r>
        <w:rPr>
          <w:rFonts w:ascii="Times New Roman" w:eastAsia="Times New Roman"/>
        </w:rPr>
        <w:t>2</w:t>
      </w:r>
      <w:r>
        <w:rPr>
          <w:spacing w:val="-2"/>
        </w:rPr>
        <w:t>、 申请人的有效身份证件；</w:t>
      </w:r>
    </w:p>
    <w:p>
      <w:pPr>
        <w:pStyle w:val="BodyText"/>
        <w:spacing w:line="278" w:lineRule="auto" w:before="43"/>
        <w:ind w:left="1157" w:right="732" w:hanging="420"/>
      </w:pPr>
      <w:r>
        <w:rPr>
          <w:rFonts w:ascii="Times New Roman" w:eastAsia="Times New Roman"/>
        </w:rPr>
        <w:t>3</w:t>
      </w:r>
      <w:r>
        <w:rPr>
          <w:spacing w:val="-10"/>
        </w:rPr>
        <w:t>、 我们认可的中国大陆地区医院出具的被保险人病理、血液及其他科学方法检验报告的诊</w:t>
      </w:r>
      <w:r>
        <w:rPr>
          <w:spacing w:val="-2"/>
        </w:rPr>
        <w:t>断证明文件；</w:t>
      </w:r>
    </w:p>
    <w:p>
      <w:pPr>
        <w:pStyle w:val="BodyText"/>
        <w:spacing w:line="278" w:lineRule="auto"/>
        <w:ind w:left="1157" w:right="626" w:hanging="420"/>
      </w:pPr>
      <w:r>
        <w:rPr>
          <w:rFonts w:ascii="Times New Roman" w:eastAsia="Times New Roman"/>
        </w:rPr>
        <w:t>4</w:t>
      </w:r>
      <w:r>
        <w:rPr>
          <w:spacing w:val="-4"/>
        </w:rPr>
        <w:t>、 我们认可的中国大陆地区医院出具的完整的门急诊病历、医疗费用原始单据，施行手术</w:t>
      </w:r>
      <w:r>
        <w:rPr>
          <w:spacing w:val="-12"/>
        </w:rPr>
        <w:t>者则需提供手术证明文件，住院者还需提供住院证明、出院小结原始件及住院费用清单；</w:t>
      </w:r>
    </w:p>
    <w:p>
      <w:pPr>
        <w:pStyle w:val="BodyText"/>
        <w:spacing w:line="269" w:lineRule="exact"/>
      </w:pPr>
      <w:r>
        <w:rPr>
          <w:rFonts w:ascii="Times New Roman" w:eastAsia="Times New Roman"/>
        </w:rPr>
        <w:t>5</w:t>
      </w:r>
      <w:r>
        <w:rPr>
          <w:spacing w:val="-2"/>
        </w:rPr>
        <w:t>、 所能提供的与确认保险事故的性质、原因等有关的其他证明和资料。</w:t>
      </w:r>
    </w:p>
    <w:p>
      <w:pPr>
        <w:pStyle w:val="BodyText"/>
        <w:spacing w:before="8"/>
        <w:ind w:left="0"/>
        <w:rPr>
          <w:sz w:val="27"/>
        </w:rPr>
      </w:pPr>
    </w:p>
    <w:p>
      <w:pPr>
        <w:pStyle w:val="BodyText"/>
        <w:spacing w:before="1"/>
      </w:pPr>
      <w:r>
        <w:rPr>
          <w:spacing w:val="-1"/>
        </w:rPr>
        <w:t>三、特定疾病赴日医疗保险金、特殊情况下的一次性补偿保险金</w:t>
      </w:r>
    </w:p>
    <w:p>
      <w:pPr>
        <w:pStyle w:val="BodyText"/>
        <w:spacing w:line="278" w:lineRule="auto" w:before="43"/>
        <w:ind w:right="732"/>
      </w:pPr>
      <w:r>
        <w:rPr>
          <w:spacing w:val="-5"/>
        </w:rPr>
        <w:t>在申请特定疾病赴日医疗保险金或特殊情况下的一次性补偿保险金时，申请人须填写保险金</w:t>
      </w:r>
      <w:r>
        <w:rPr>
          <w:spacing w:val="-2"/>
        </w:rPr>
        <w:t>给付申请书，并提供下列证明和资料：</w:t>
      </w:r>
    </w:p>
    <w:p>
      <w:pPr>
        <w:pStyle w:val="BodyText"/>
        <w:spacing w:line="269" w:lineRule="exact"/>
      </w:pPr>
      <w:r>
        <w:rPr>
          <w:rFonts w:ascii="Times New Roman" w:eastAsia="Times New Roman"/>
        </w:rPr>
        <w:t>1</w:t>
      </w:r>
      <w:r>
        <w:rPr>
          <w:spacing w:val="-3"/>
        </w:rPr>
        <w:t>、 保险合同；</w:t>
      </w:r>
    </w:p>
    <w:p>
      <w:pPr>
        <w:pStyle w:val="BodyText"/>
        <w:spacing w:before="43"/>
      </w:pPr>
      <w:r>
        <w:rPr>
          <w:rFonts w:ascii="Times New Roman" w:eastAsia="Times New Roman"/>
        </w:rPr>
        <w:t>2</w:t>
      </w:r>
      <w:r>
        <w:rPr>
          <w:spacing w:val="-2"/>
        </w:rPr>
        <w:t>、 申请人的有效身份证件；</w:t>
      </w:r>
    </w:p>
    <w:p>
      <w:pPr>
        <w:pStyle w:val="BodyText"/>
        <w:spacing w:line="278" w:lineRule="auto" w:before="42"/>
        <w:ind w:left="1157" w:right="732" w:hanging="420"/>
        <w:jc w:val="both"/>
      </w:pPr>
      <w:r>
        <w:rPr>
          <w:rFonts w:ascii="Times New Roman" w:eastAsia="Times New Roman"/>
        </w:rPr>
        <w:t>3</w:t>
      </w:r>
      <w:r>
        <w:rPr>
          <w:spacing w:val="-10"/>
        </w:rPr>
        <w:t>、 我们认可的中国大陆地区医院出具的被保险人病理、血液及其他科学方法检验报告的诊</w:t>
      </w:r>
      <w:r>
        <w:rPr>
          <w:spacing w:val="-2"/>
        </w:rPr>
        <w:t>断证明文件；</w:t>
      </w:r>
    </w:p>
    <w:p>
      <w:pPr>
        <w:pStyle w:val="BodyText"/>
        <w:spacing w:line="278" w:lineRule="auto"/>
        <w:ind w:left="1157" w:right="731" w:hanging="420"/>
        <w:jc w:val="both"/>
      </w:pPr>
      <w:r>
        <w:rPr>
          <w:rFonts w:ascii="Times New Roman" w:eastAsia="Times New Roman"/>
          <w:spacing w:val="-2"/>
        </w:rPr>
        <w:t>4</w:t>
      </w:r>
      <w:r>
        <w:rPr>
          <w:spacing w:val="-7"/>
        </w:rPr>
        <w:t>、 我们推荐的日本地区医院出具的完整的门急诊病历、诊断书、医疗费用原始单据，施行</w:t>
      </w:r>
      <w:r>
        <w:rPr>
          <w:spacing w:val="-4"/>
        </w:rPr>
        <w:t>手术者则需提供手术证明文件，住院者还需提供住院证明、出院小结原始件及住院费用</w:t>
      </w:r>
      <w:r>
        <w:rPr>
          <w:spacing w:val="-2"/>
        </w:rPr>
        <w:t>清单；若申请特殊情况下的一次性补偿保险金，则无需提供该项材料；</w:t>
      </w:r>
    </w:p>
    <w:p>
      <w:pPr>
        <w:pStyle w:val="BodyText"/>
        <w:spacing w:line="269" w:lineRule="exact"/>
        <w:jc w:val="both"/>
      </w:pPr>
      <w:r>
        <w:rPr>
          <w:rFonts w:ascii="Times New Roman" w:eastAsia="Times New Roman"/>
        </w:rPr>
        <w:t>5</w:t>
      </w:r>
      <w:r>
        <w:rPr>
          <w:spacing w:val="-2"/>
        </w:rPr>
        <w:t>、 所能提供的与确认保险事故的性质、原因等有关的其他证明和资料。</w:t>
      </w:r>
    </w:p>
    <w:p>
      <w:pPr>
        <w:pStyle w:val="BodyText"/>
        <w:spacing w:line="278" w:lineRule="auto" w:before="43"/>
        <w:ind w:right="626"/>
        <w:jc w:val="both"/>
        <w:rPr>
          <w:rFonts w:ascii="黑体" w:eastAsia="黑体"/>
        </w:rPr>
      </w:pPr>
      <w:r>
        <w:rPr>
          <w:rFonts w:ascii="黑体" w:eastAsia="黑体"/>
          <w:color w:val="000000"/>
          <w:spacing w:val="-2"/>
          <w:shd w:fill="D9D9D9" w:color="auto" w:val="clear"/>
        </w:rPr>
        <w:t>被保险人同意通过我们授权的海外医疗服务机构的安排前往推荐的日本地区医院进行治疗，</w:t>
      </w:r>
      <w:r>
        <w:rPr>
          <w:rFonts w:ascii="黑体" w:eastAsia="黑体"/>
          <w:color w:val="000000"/>
          <w:spacing w:val="-2"/>
          <w:shd w:fill="D9D9D9" w:color="auto" w:val="clear"/>
        </w:rPr>
        <w:t>且医疗费用已由我们或我们授权的海外医疗服务机构实际垫付的，视为我们已支付保险金，</w:t>
      </w:r>
      <w:r>
        <w:rPr>
          <w:rFonts w:ascii="黑体" w:eastAsia="黑体"/>
          <w:color w:val="000000"/>
          <w:spacing w:val="40"/>
          <w:shd w:fill="D9D9D9" w:color="auto" w:val="clear"/>
        </w:rPr>
        <w:t> </w:t>
      </w:r>
      <w:r>
        <w:rPr>
          <w:rFonts w:ascii="黑体" w:eastAsia="黑体"/>
          <w:color w:val="000000"/>
          <w:spacing w:val="-2"/>
          <w:shd w:fill="D9D9D9" w:color="auto" w:val="clear"/>
        </w:rPr>
        <w:t>我们不再另行支付受益人特定疾病赴日医疗保险金。</w:t>
      </w:r>
    </w:p>
    <w:p>
      <w:pPr>
        <w:pStyle w:val="BodyText"/>
        <w:spacing w:before="4"/>
        <w:ind w:left="0"/>
        <w:rPr>
          <w:rFonts w:ascii="黑体"/>
          <w:sz w:val="24"/>
        </w:rPr>
      </w:pPr>
    </w:p>
    <w:p>
      <w:pPr>
        <w:pStyle w:val="BodyText"/>
      </w:pPr>
      <w:r>
        <w:rPr>
          <w:spacing w:val="-1"/>
        </w:rPr>
        <w:t>保险金作为被保险人遗产时，必须提供可证明合法继承权的相关权利文件。</w:t>
      </w:r>
    </w:p>
    <w:p>
      <w:pPr>
        <w:pStyle w:val="BodyText"/>
        <w:spacing w:before="43"/>
      </w:pPr>
      <w:r>
        <w:rPr>
          <w:spacing w:val="-1"/>
        </w:rPr>
        <w:t>以上证明和资料不完整的，我们将及时一次性通知申请人补充提供有关证明和资料。</w:t>
      </w:r>
    </w:p>
    <w:p>
      <w:pPr>
        <w:pStyle w:val="BodyText"/>
        <w:spacing w:before="9"/>
        <w:ind w:left="0"/>
        <w:rPr>
          <w:sz w:val="27"/>
        </w:rPr>
      </w:pPr>
    </w:p>
    <w:p>
      <w:pPr>
        <w:pStyle w:val="BodyText"/>
        <w:jc w:val="both"/>
      </w:pPr>
      <w:r>
        <w:rPr/>
        <w:t>第二十四条</w:t>
      </w:r>
      <w:r>
        <w:rPr>
          <w:spacing w:val="52"/>
          <w:w w:val="150"/>
        </w:rPr>
        <w:t> </w:t>
      </w:r>
      <w:r>
        <w:rPr>
          <w:spacing w:val="-2"/>
        </w:rPr>
        <w:t>保险金给付</w:t>
      </w:r>
    </w:p>
    <w:p>
      <w:pPr>
        <w:pStyle w:val="BodyText"/>
        <w:spacing w:line="278" w:lineRule="auto" w:before="43"/>
        <w:ind w:right="731"/>
        <w:jc w:val="both"/>
      </w:pPr>
      <w:r>
        <w:rPr>
          <w:spacing w:val="-4"/>
        </w:rPr>
        <w:t>我们在收到保险金给付申请书及合同约定的证明和资料后，将在五个工作日内作出核定；情</w:t>
      </w:r>
      <w:r>
        <w:rPr>
          <w:spacing w:val="-4"/>
        </w:rPr>
        <w:t>形复杂的，在三十日内作出核定。对属于保险责任的，我们在与受益人达成给付保险金的协</w:t>
      </w:r>
      <w:r>
        <w:rPr>
          <w:spacing w:val="-2"/>
        </w:rPr>
        <w:t>议后十日内，履行给付保险金义务。</w:t>
      </w:r>
    </w:p>
    <w:p>
      <w:pPr>
        <w:pStyle w:val="BodyText"/>
        <w:spacing w:line="269" w:lineRule="exact"/>
      </w:pPr>
      <w:r>
        <w:rPr>
          <w:spacing w:val="-1"/>
        </w:rPr>
        <w:t>我们未及时履行前款规定义务的，除支付保险金外，应当赔偿受益人因此受到的损失。</w:t>
      </w:r>
    </w:p>
    <w:p>
      <w:pPr>
        <w:pStyle w:val="BodyText"/>
        <w:spacing w:line="278" w:lineRule="auto" w:before="43"/>
        <w:ind w:right="732"/>
      </w:pPr>
      <w:r>
        <w:rPr>
          <w:spacing w:val="-11"/>
        </w:rPr>
        <w:t>对不属于保险责任的，我们自作出核定之日起三日内向受益人发出拒绝给付保险金通知书并</w:t>
      </w:r>
      <w:r>
        <w:rPr>
          <w:spacing w:val="-2"/>
        </w:rPr>
        <w:t>说明理由。</w:t>
      </w:r>
    </w:p>
    <w:p>
      <w:pPr>
        <w:pStyle w:val="BodyText"/>
        <w:spacing w:line="278" w:lineRule="auto"/>
        <w:ind w:right="626"/>
      </w:pPr>
      <w:r>
        <w:rPr>
          <w:spacing w:val="-5"/>
        </w:rPr>
        <w:t>我们在收到保险金给付申请书及有关证明和资料之日起六十日内，对给付保险金的数额不能</w:t>
      </w:r>
      <w:r>
        <w:rPr>
          <w:spacing w:val="-17"/>
        </w:rPr>
        <w:t>确定的，根据已有证明和资料可以确定的数额先予支付；我们最终确定给付保险金的数额后，</w:t>
      </w:r>
      <w:r>
        <w:rPr>
          <w:spacing w:val="-2"/>
        </w:rPr>
        <w:t>将支付相应的差额。</w:t>
      </w:r>
    </w:p>
    <w:p>
      <w:pPr>
        <w:pStyle w:val="BodyText"/>
        <w:spacing w:before="4"/>
        <w:ind w:left="0"/>
        <w:rPr>
          <w:sz w:val="24"/>
        </w:rPr>
      </w:pPr>
    </w:p>
    <w:p>
      <w:pPr>
        <w:pStyle w:val="BodyText"/>
        <w:tabs>
          <w:tab w:pos="1997" w:val="left" w:leader="none"/>
        </w:tabs>
      </w:pPr>
      <w:r>
        <w:rPr/>
        <w:t>第二十五</w:t>
      </w:r>
      <w:r>
        <w:rPr>
          <w:spacing w:val="-10"/>
        </w:rPr>
        <w:t>条</w:t>
      </w:r>
      <w:r>
        <w:rPr/>
        <w:tab/>
        <w:t>货</w:t>
      </w:r>
      <w:r>
        <w:rPr>
          <w:spacing w:val="-10"/>
        </w:rPr>
        <w:t>币</w:t>
      </w:r>
    </w:p>
    <w:p>
      <w:pPr>
        <w:pStyle w:val="BodyText"/>
        <w:spacing w:before="43"/>
      </w:pPr>
      <w:r>
        <w:rPr>
          <w:spacing w:val="-1"/>
        </w:rPr>
        <w:t>本合同的各项保险金均以人民币支付。</w:t>
      </w:r>
    </w:p>
    <w:p>
      <w:pPr>
        <w:pStyle w:val="BodyText"/>
        <w:spacing w:line="278" w:lineRule="auto" w:before="43"/>
        <w:ind w:right="731"/>
      </w:pPr>
      <w:r>
        <w:rPr>
          <w:spacing w:val="-2"/>
        </w:rPr>
        <w:t>若实际支出的费用为外币时，我们将按照费用</w:t>
      </w:r>
      <w:r>
        <w:rPr>
          <w:b/>
          <w:spacing w:val="-2"/>
        </w:rPr>
        <w:t>结</w:t>
      </w:r>
      <w:r>
        <w:rPr>
          <w:b/>
          <w:spacing w:val="-2"/>
        </w:rPr>
        <w:t>算</w:t>
      </w:r>
      <w:r>
        <w:rPr>
          <w:b/>
          <w:spacing w:val="-2"/>
        </w:rPr>
        <w:t>当</w:t>
      </w:r>
      <w:r>
        <w:rPr>
          <w:b/>
          <w:spacing w:val="-2"/>
        </w:rPr>
        <w:t>日</w:t>
      </w:r>
      <w:r>
        <w:rPr>
          <w:rFonts w:ascii="Times New Roman" w:eastAsia="Times New Roman"/>
          <w:b/>
          <w:spacing w:val="-2"/>
          <w:vertAlign w:val="superscript"/>
        </w:rPr>
        <w:t>54</w:t>
      </w:r>
      <w:r>
        <w:rPr>
          <w:spacing w:val="-2"/>
          <w:vertAlign w:val="baseline"/>
        </w:rPr>
        <w:t>中国人民银行授权中国外汇交易中</w:t>
      </w:r>
      <w:r>
        <w:rPr>
          <w:spacing w:val="-2"/>
          <w:vertAlign w:val="baseline"/>
        </w:rPr>
        <w:t>心公布的人民币汇率中间价计算应给付的保险金。</w:t>
      </w:r>
    </w:p>
    <w:p>
      <w:pPr>
        <w:pStyle w:val="BodyText"/>
        <w:spacing w:before="11"/>
        <w:ind w:left="0"/>
        <w:rPr>
          <w:sz w:val="19"/>
        </w:rPr>
      </w:pPr>
      <w:r>
        <w:rPr/>
        <w:drawing>
          <wp:anchor distT="0" distB="0" distL="0" distR="0" allowOverlap="1" layoutInCell="1" locked="0" behindDoc="0" simplePos="0" relativeHeight="15">
            <wp:simplePos x="0" y="0"/>
            <wp:positionH relativeFrom="page">
              <wp:posOffset>1141475</wp:posOffset>
            </wp:positionH>
            <wp:positionV relativeFrom="paragraph">
              <wp:posOffset>176850</wp:posOffset>
            </wp:positionV>
            <wp:extent cx="1828766" cy="6858"/>
            <wp:effectExtent l="0" t="0" r="0" b="0"/>
            <wp:wrapTopAndBottom/>
            <wp:docPr id="21" name="image2.png"/>
            <wp:cNvGraphicFramePr>
              <a:graphicFrameLocks noChangeAspect="1"/>
            </wp:cNvGraphicFramePr>
            <a:graphic>
              <a:graphicData uri="http://schemas.openxmlformats.org/drawingml/2006/picture">
                <pic:pic>
                  <pic:nvPicPr>
                    <pic:cNvPr id="22" name="image2.png"/>
                    <pic:cNvPicPr/>
                  </pic:nvPicPr>
                  <pic:blipFill>
                    <a:blip r:embed="rId7" cstate="print"/>
                    <a:stretch>
                      <a:fillRect/>
                    </a:stretch>
                  </pic:blipFill>
                  <pic:spPr>
                    <a:xfrm>
                      <a:off x="0" y="0"/>
                      <a:ext cx="1828766" cy="6858"/>
                    </a:xfrm>
                    <a:prstGeom prst="rect">
                      <a:avLst/>
                    </a:prstGeom>
                  </pic:spPr>
                </pic:pic>
              </a:graphicData>
            </a:graphic>
          </wp:anchor>
        </w:drawing>
      </w:r>
    </w:p>
    <w:p>
      <w:pPr>
        <w:spacing w:before="86"/>
        <w:ind w:left="737" w:right="0" w:firstLine="0"/>
        <w:jc w:val="left"/>
        <w:rPr>
          <w:sz w:val="18"/>
        </w:rPr>
      </w:pPr>
      <w:r>
        <w:rPr>
          <w:rFonts w:ascii="Times New Roman" w:eastAsia="Times New Roman"/>
          <w:w w:val="95"/>
          <w:sz w:val="18"/>
          <w:vertAlign w:val="superscript"/>
        </w:rPr>
        <w:t>54</w:t>
      </w:r>
      <w:r>
        <w:rPr>
          <w:b/>
          <w:w w:val="95"/>
          <w:sz w:val="18"/>
          <w:vertAlign w:val="baseline"/>
        </w:rPr>
        <w:t>结</w:t>
      </w:r>
      <w:r>
        <w:rPr>
          <w:b/>
          <w:w w:val="95"/>
          <w:sz w:val="18"/>
          <w:vertAlign w:val="baseline"/>
        </w:rPr>
        <w:t>算</w:t>
      </w:r>
      <w:r>
        <w:rPr>
          <w:b/>
          <w:w w:val="95"/>
          <w:sz w:val="18"/>
          <w:vertAlign w:val="baseline"/>
        </w:rPr>
        <w:t>当</w:t>
      </w:r>
      <w:r>
        <w:rPr>
          <w:b/>
          <w:w w:val="95"/>
          <w:sz w:val="18"/>
          <w:vertAlign w:val="baseline"/>
        </w:rPr>
        <w:t>日</w:t>
      </w:r>
      <w:r>
        <w:rPr>
          <w:b/>
          <w:w w:val="95"/>
          <w:sz w:val="18"/>
          <w:vertAlign w:val="baseline"/>
        </w:rPr>
        <w:t>：</w:t>
      </w:r>
      <w:r>
        <w:rPr>
          <w:w w:val="95"/>
          <w:sz w:val="18"/>
          <w:vertAlign w:val="baseline"/>
        </w:rPr>
        <w:t>指</w:t>
      </w:r>
      <w:r>
        <w:rPr>
          <w:w w:val="95"/>
          <w:sz w:val="18"/>
          <w:vertAlign w:val="baseline"/>
        </w:rPr>
        <w:t>与</w:t>
      </w:r>
      <w:r>
        <w:rPr>
          <w:w w:val="95"/>
          <w:sz w:val="18"/>
          <w:vertAlign w:val="baseline"/>
        </w:rPr>
        <w:t>医</w:t>
      </w:r>
      <w:r>
        <w:rPr>
          <w:w w:val="95"/>
          <w:sz w:val="18"/>
          <w:vertAlign w:val="baseline"/>
        </w:rPr>
        <w:t>院</w:t>
      </w:r>
      <w:r>
        <w:rPr>
          <w:w w:val="95"/>
          <w:sz w:val="18"/>
          <w:vertAlign w:val="baseline"/>
        </w:rPr>
        <w:t>结</w:t>
      </w:r>
      <w:r>
        <w:rPr>
          <w:w w:val="95"/>
          <w:sz w:val="18"/>
          <w:vertAlign w:val="baseline"/>
        </w:rPr>
        <w:t>算</w:t>
      </w:r>
      <w:r>
        <w:rPr>
          <w:w w:val="95"/>
          <w:sz w:val="18"/>
          <w:vertAlign w:val="baseline"/>
        </w:rPr>
        <w:t>医</w:t>
      </w:r>
      <w:r>
        <w:rPr>
          <w:w w:val="95"/>
          <w:sz w:val="18"/>
          <w:vertAlign w:val="baseline"/>
        </w:rPr>
        <w:t>疗</w:t>
      </w:r>
      <w:r>
        <w:rPr>
          <w:w w:val="95"/>
          <w:sz w:val="18"/>
          <w:vertAlign w:val="baseline"/>
        </w:rPr>
        <w:t>费</w:t>
      </w:r>
      <w:r>
        <w:rPr>
          <w:w w:val="95"/>
          <w:sz w:val="18"/>
          <w:vertAlign w:val="baseline"/>
        </w:rPr>
        <w:t>用</w:t>
      </w:r>
      <w:r>
        <w:rPr>
          <w:w w:val="95"/>
          <w:sz w:val="18"/>
          <w:vertAlign w:val="baseline"/>
        </w:rPr>
        <w:t>的</w:t>
      </w:r>
      <w:r>
        <w:rPr>
          <w:w w:val="95"/>
          <w:sz w:val="18"/>
          <w:vertAlign w:val="baseline"/>
        </w:rPr>
        <w:t>日</w:t>
      </w:r>
      <w:r>
        <w:rPr>
          <w:w w:val="95"/>
          <w:sz w:val="18"/>
          <w:vertAlign w:val="baseline"/>
        </w:rPr>
        <w:t>期</w:t>
      </w:r>
      <w:r>
        <w:rPr>
          <w:w w:val="95"/>
          <w:sz w:val="18"/>
          <w:vertAlign w:val="baseline"/>
        </w:rPr>
        <w:t>，</w:t>
      </w:r>
      <w:r>
        <w:rPr>
          <w:w w:val="95"/>
          <w:sz w:val="18"/>
          <w:vertAlign w:val="baseline"/>
        </w:rPr>
        <w:t>即</w:t>
      </w:r>
      <w:r>
        <w:rPr>
          <w:w w:val="95"/>
          <w:sz w:val="18"/>
          <w:vertAlign w:val="baseline"/>
        </w:rPr>
        <w:t>医</w:t>
      </w:r>
      <w:r>
        <w:rPr>
          <w:w w:val="95"/>
          <w:sz w:val="18"/>
          <w:vertAlign w:val="baseline"/>
        </w:rPr>
        <w:t>疗</w:t>
      </w:r>
      <w:r>
        <w:rPr>
          <w:w w:val="95"/>
          <w:sz w:val="18"/>
          <w:vertAlign w:val="baseline"/>
        </w:rPr>
        <w:t>费</w:t>
      </w:r>
      <w:r>
        <w:rPr>
          <w:w w:val="95"/>
          <w:sz w:val="18"/>
          <w:vertAlign w:val="baseline"/>
        </w:rPr>
        <w:t>用</w:t>
      </w:r>
      <w:r>
        <w:rPr>
          <w:w w:val="95"/>
          <w:sz w:val="18"/>
          <w:vertAlign w:val="baseline"/>
        </w:rPr>
        <w:t>原</w:t>
      </w:r>
      <w:r>
        <w:rPr>
          <w:w w:val="95"/>
          <w:sz w:val="18"/>
          <w:vertAlign w:val="baseline"/>
        </w:rPr>
        <w:t>始</w:t>
      </w:r>
      <w:r>
        <w:rPr>
          <w:w w:val="95"/>
          <w:sz w:val="18"/>
          <w:vertAlign w:val="baseline"/>
        </w:rPr>
        <w:t>单</w:t>
      </w:r>
      <w:r>
        <w:rPr>
          <w:w w:val="95"/>
          <w:sz w:val="18"/>
          <w:vertAlign w:val="baseline"/>
        </w:rPr>
        <w:t>据</w:t>
      </w:r>
      <w:r>
        <w:rPr>
          <w:w w:val="95"/>
          <w:sz w:val="18"/>
          <w:vertAlign w:val="baseline"/>
        </w:rPr>
        <w:t>上</w:t>
      </w:r>
      <w:r>
        <w:rPr>
          <w:w w:val="95"/>
          <w:sz w:val="18"/>
          <w:vertAlign w:val="baseline"/>
        </w:rPr>
        <w:t>的</w:t>
      </w:r>
      <w:r>
        <w:rPr>
          <w:w w:val="95"/>
          <w:sz w:val="18"/>
          <w:vertAlign w:val="baseline"/>
        </w:rPr>
        <w:t>日</w:t>
      </w:r>
      <w:r>
        <w:rPr>
          <w:w w:val="95"/>
          <w:sz w:val="18"/>
          <w:vertAlign w:val="baseline"/>
        </w:rPr>
        <w:t>期</w:t>
      </w:r>
      <w:r>
        <w:rPr>
          <w:spacing w:val="-10"/>
          <w:w w:val="95"/>
          <w:sz w:val="18"/>
          <w:vertAlign w:val="baseline"/>
        </w:rPr>
        <w:t>。</w:t>
      </w:r>
    </w:p>
    <w:p>
      <w:pPr>
        <w:spacing w:after="0"/>
        <w:jc w:val="left"/>
        <w:rPr>
          <w:sz w:val="18"/>
        </w:rPr>
        <w:sectPr>
          <w:pgSz w:w="11910" w:h="16840"/>
          <w:pgMar w:header="0" w:footer="1168" w:top="1440" w:bottom="1360" w:left="1060" w:right="1060"/>
        </w:sectPr>
      </w:pPr>
    </w:p>
    <w:p>
      <w:pPr>
        <w:pStyle w:val="BodyText"/>
        <w:spacing w:before="6"/>
        <w:ind w:left="0"/>
        <w:rPr>
          <w:sz w:val="27"/>
        </w:rPr>
      </w:pPr>
    </w:p>
    <w:p>
      <w:pPr>
        <w:pStyle w:val="Heading1"/>
        <w:spacing w:before="71"/>
        <w:ind w:left="3326" w:right="3322"/>
        <w:jc w:val="center"/>
      </w:pPr>
      <w:r>
        <w:rPr>
          <w:w w:val="95"/>
        </w:rPr>
        <w:t>第</w:t>
      </w:r>
      <w:r>
        <w:rPr>
          <w:w w:val="95"/>
        </w:rPr>
        <w:t>六</w:t>
      </w:r>
      <w:r>
        <w:rPr>
          <w:w w:val="95"/>
        </w:rPr>
        <w:t>章</w:t>
      </w:r>
      <w:r>
        <w:rPr>
          <w:spacing w:val="36"/>
        </w:rPr>
        <w:t> </w:t>
      </w:r>
      <w:r>
        <w:rPr>
          <w:w w:val="95"/>
        </w:rPr>
        <w:t>一</w:t>
      </w:r>
      <w:r>
        <w:rPr>
          <w:w w:val="95"/>
        </w:rPr>
        <w:t>般</w:t>
      </w:r>
      <w:r>
        <w:rPr>
          <w:w w:val="95"/>
        </w:rPr>
        <w:t>条</w:t>
      </w:r>
      <w:r>
        <w:rPr>
          <w:spacing w:val="-10"/>
          <w:w w:val="95"/>
        </w:rPr>
        <w:t>款</w:t>
      </w:r>
    </w:p>
    <w:p>
      <w:pPr>
        <w:pStyle w:val="BodyText"/>
        <w:spacing w:before="5"/>
        <w:ind w:left="0"/>
        <w:rPr>
          <w:b/>
          <w:sz w:val="20"/>
        </w:rPr>
      </w:pPr>
    </w:p>
    <w:p>
      <w:pPr>
        <w:pStyle w:val="BodyText"/>
        <w:tabs>
          <w:tab w:pos="1997" w:val="left" w:leader="none"/>
        </w:tabs>
      </w:pPr>
      <w:r>
        <w:rPr/>
        <w:t>第二十六</w:t>
      </w:r>
      <w:r>
        <w:rPr>
          <w:spacing w:val="-10"/>
        </w:rPr>
        <w:t>条</w:t>
      </w:r>
      <w:r>
        <w:rPr/>
        <w:tab/>
        <w:t>如实告</w:t>
      </w:r>
      <w:r>
        <w:rPr>
          <w:spacing w:val="-10"/>
        </w:rPr>
        <w:t>知</w:t>
      </w:r>
    </w:p>
    <w:p>
      <w:pPr>
        <w:pStyle w:val="BodyText"/>
        <w:spacing w:before="43"/>
      </w:pPr>
      <w:r>
        <w:rPr>
          <w:spacing w:val="-1"/>
        </w:rPr>
        <w:t>订立本合同时，我们应向您说明本合同的内容。</w:t>
      </w:r>
    </w:p>
    <w:p>
      <w:pPr>
        <w:pStyle w:val="BodyText"/>
        <w:spacing w:line="278" w:lineRule="auto" w:before="43"/>
        <w:ind w:right="732"/>
        <w:jc w:val="both"/>
      </w:pPr>
      <w:r>
        <w:rPr>
          <w:spacing w:val="-4"/>
        </w:rPr>
        <w:t>对保险条款中免除我们责任的条款，我们在订立合同时应当在投保单、保险单或者其他保险</w:t>
      </w:r>
      <w:r>
        <w:rPr>
          <w:spacing w:val="-8"/>
        </w:rPr>
        <w:t>凭证上作出足以引起您注意的提示，并对该条款的内容以书面或者口头形式向您作出明确说</w:t>
      </w:r>
      <w:r>
        <w:rPr>
          <w:spacing w:val="-2"/>
        </w:rPr>
        <w:t>明，未作提示或者明确说明的，该条款不产生效力。</w:t>
      </w:r>
    </w:p>
    <w:p>
      <w:pPr>
        <w:pStyle w:val="BodyText"/>
        <w:spacing w:line="269" w:lineRule="exact"/>
      </w:pPr>
      <w:r>
        <w:rPr>
          <w:spacing w:val="-1"/>
        </w:rPr>
        <w:t>我们就您和被保险人的有关情况提出询问，您应当如实告知。</w:t>
      </w:r>
    </w:p>
    <w:p>
      <w:pPr>
        <w:pStyle w:val="BodyText"/>
        <w:spacing w:line="278" w:lineRule="auto" w:before="43"/>
        <w:ind w:right="732"/>
        <w:rPr>
          <w:rFonts w:ascii="黑体" w:eastAsia="黑体"/>
        </w:rPr>
      </w:pPr>
      <w:r>
        <w:rPr>
          <w:rFonts w:ascii="黑体" w:eastAsia="黑体"/>
          <w:spacing w:val="-6"/>
        </w:rPr>
        <w:t>如果您故意或者因重大过失未履行前款规定的如实告知义务，足以影响我们决定是否同意承</w:t>
      </w:r>
      <w:r>
        <w:rPr>
          <w:rFonts w:ascii="黑体" w:eastAsia="黑体"/>
          <w:spacing w:val="-2"/>
        </w:rPr>
        <w:t>保或者提高保险费率的，我们有权解除本合同。</w:t>
      </w:r>
    </w:p>
    <w:p>
      <w:pPr>
        <w:pStyle w:val="BodyText"/>
        <w:spacing w:line="278" w:lineRule="auto"/>
        <w:ind w:right="733"/>
        <w:rPr>
          <w:rFonts w:ascii="黑体" w:eastAsia="黑体"/>
        </w:rPr>
      </w:pPr>
      <w:r>
        <w:rPr>
          <w:rFonts w:ascii="黑体" w:eastAsia="黑体"/>
          <w:color w:val="000000"/>
          <w:spacing w:val="-4"/>
          <w:shd w:fill="D9D9D9" w:color="auto" w:val="clear"/>
        </w:rPr>
        <w:t>如果您故意不履行如实告知义务，对于本合同解除前发生的保险事故，我们不承担给付保险</w:t>
      </w:r>
      <w:r>
        <w:rPr>
          <w:rFonts w:ascii="黑体" w:eastAsia="黑体"/>
          <w:color w:val="000000"/>
          <w:spacing w:val="-2"/>
          <w:shd w:fill="D9D9D9" w:color="auto" w:val="clear"/>
        </w:rPr>
        <w:t>金的责任，并不退还保险费。</w:t>
      </w:r>
    </w:p>
    <w:p>
      <w:pPr>
        <w:pStyle w:val="BodyText"/>
        <w:spacing w:line="278" w:lineRule="auto"/>
        <w:ind w:right="733"/>
        <w:rPr>
          <w:rFonts w:ascii="黑体" w:eastAsia="黑体"/>
        </w:rPr>
      </w:pPr>
      <w:r>
        <w:rPr>
          <w:rFonts w:ascii="黑体" w:eastAsia="黑体"/>
          <w:color w:val="000000"/>
          <w:spacing w:val="-4"/>
          <w:shd w:fill="D9D9D9" w:color="auto" w:val="clear"/>
        </w:rPr>
        <w:t>如果您因重大过失未履行如实告知义务，对保险事故的发生有严重影响的，对于本合同解除</w:t>
      </w:r>
      <w:r>
        <w:rPr>
          <w:rFonts w:ascii="黑体" w:eastAsia="黑体"/>
          <w:color w:val="000000"/>
          <w:spacing w:val="-2"/>
          <w:shd w:fill="D9D9D9" w:color="auto" w:val="clear"/>
        </w:rPr>
        <w:t>前发生的保险事故，我们不承担给付保险金的责任，但应当退还保险费。</w:t>
      </w:r>
    </w:p>
    <w:p>
      <w:pPr>
        <w:pStyle w:val="BodyText"/>
        <w:spacing w:line="278" w:lineRule="auto"/>
        <w:ind w:right="626"/>
      </w:pPr>
      <w:r>
        <w:rPr>
          <w:spacing w:val="-2"/>
        </w:rPr>
        <w:t>我们在合同订立时已经知道您未如实告知的情况的，我们不得解除合同；发生保险事故的，</w:t>
      </w:r>
      <w:r>
        <w:rPr>
          <w:spacing w:val="-2"/>
        </w:rPr>
        <w:t>我们承担给付保险金的责任。</w:t>
      </w:r>
    </w:p>
    <w:p>
      <w:pPr>
        <w:pStyle w:val="BodyText"/>
        <w:spacing w:line="269" w:lineRule="exact"/>
      </w:pPr>
      <w:r>
        <w:rPr>
          <w:spacing w:val="-1"/>
        </w:rPr>
        <w:t>本条规定的合同解除权，自我们知道有解除事由之日起，超过三十日不行使而消灭。</w:t>
      </w:r>
    </w:p>
    <w:p>
      <w:pPr>
        <w:pStyle w:val="BodyText"/>
        <w:spacing w:before="8"/>
        <w:ind w:left="0"/>
        <w:rPr>
          <w:sz w:val="27"/>
        </w:rPr>
      </w:pPr>
    </w:p>
    <w:p>
      <w:pPr>
        <w:pStyle w:val="BodyText"/>
        <w:jc w:val="both"/>
      </w:pPr>
      <w:r>
        <w:rPr/>
        <w:t>第二十七条</w:t>
      </w:r>
      <w:r>
        <w:rPr>
          <w:spacing w:val="52"/>
          <w:w w:val="150"/>
        </w:rPr>
        <w:t> </w:t>
      </w:r>
      <w:r>
        <w:rPr>
          <w:spacing w:val="-3"/>
        </w:rPr>
        <w:t>年龄错误</w:t>
      </w:r>
    </w:p>
    <w:p>
      <w:pPr>
        <w:pStyle w:val="BodyText"/>
        <w:spacing w:line="278" w:lineRule="auto" w:before="43"/>
        <w:ind w:right="733"/>
        <w:jc w:val="both"/>
      </w:pPr>
      <w:r>
        <w:rPr>
          <w:spacing w:val="-4"/>
        </w:rPr>
        <w:t>您在申请投保时，应将被保险人有效身份证件载明的出生日期在投保单上填明。该被保险人</w:t>
      </w:r>
      <w:r>
        <w:rPr>
          <w:spacing w:val="-4"/>
        </w:rPr>
        <w:t>的投保年龄以有效身份证件载明的出生日期计算的周岁年龄为准。若发生错误，我们依下列</w:t>
      </w:r>
      <w:r>
        <w:rPr>
          <w:spacing w:val="-2"/>
        </w:rPr>
        <w:t>约定处理：</w:t>
      </w:r>
    </w:p>
    <w:p>
      <w:pPr>
        <w:pStyle w:val="BodyText"/>
        <w:spacing w:line="278" w:lineRule="auto"/>
        <w:ind w:left="1157" w:right="733" w:hanging="420"/>
        <w:rPr>
          <w:rFonts w:ascii="黑体" w:eastAsia="黑体"/>
        </w:rPr>
      </w:pPr>
      <w:r>
        <w:rPr>
          <w:rFonts w:ascii="黑体" w:eastAsia="黑体"/>
          <w:spacing w:val="-4"/>
        </w:rPr>
        <w:t>一、您申报的被保险人年龄不真实，并且其真实年龄不符合本合同约定投保年龄限制的，在</w:t>
      </w:r>
      <w:r>
        <w:rPr>
          <w:rFonts w:ascii="黑体" w:eastAsia="黑体"/>
          <w:spacing w:val="-2"/>
        </w:rPr>
        <w:t>保险事故发生之前我们有权解除合同，并向您退还本合同的现金价值。</w:t>
      </w:r>
    </w:p>
    <w:p>
      <w:pPr>
        <w:pStyle w:val="BodyText"/>
        <w:spacing w:line="278" w:lineRule="auto"/>
        <w:ind w:left="1157" w:right="731"/>
        <w:jc w:val="both"/>
      </w:pPr>
      <w:r>
        <w:rPr>
          <w:spacing w:val="-4"/>
        </w:rPr>
        <w:t>本款规定的合同解除权，自我们知道有解除事由之日起，超过三十日不行使而消灭。自</w:t>
      </w:r>
      <w:r>
        <w:rPr>
          <w:spacing w:val="-4"/>
        </w:rPr>
        <w:t>本合同成立之日起超过二年的，我们不得解除合同；发生保险事故的，我们承担给付保</w:t>
      </w:r>
      <w:r>
        <w:rPr>
          <w:spacing w:val="-2"/>
        </w:rPr>
        <w:t>险金的责任。</w:t>
      </w:r>
    </w:p>
    <w:p>
      <w:pPr>
        <w:pStyle w:val="BodyText"/>
        <w:spacing w:line="278" w:lineRule="auto"/>
        <w:ind w:left="1157" w:right="733" w:hanging="420"/>
        <w:jc w:val="both"/>
        <w:rPr>
          <w:rFonts w:ascii="黑体" w:eastAsia="黑体"/>
        </w:rPr>
      </w:pPr>
      <w:r>
        <w:rPr>
          <w:rFonts w:ascii="黑体" w:eastAsia="黑体"/>
          <w:spacing w:val="-4"/>
        </w:rPr>
        <w:t>二、</w:t>
      </w:r>
      <w:r>
        <w:rPr>
          <w:rFonts w:ascii="黑体" w:eastAsia="黑体"/>
          <w:color w:val="000000"/>
          <w:spacing w:val="-4"/>
          <w:shd w:fill="D9D9D9" w:color="auto" w:val="clear"/>
        </w:rPr>
        <w:t>您申报的被保险人年龄不真实，致使您实付保险费少于应付保险费的，我们有权更正并</w:t>
      </w:r>
      <w:r>
        <w:rPr>
          <w:rFonts w:ascii="黑体" w:eastAsia="黑体"/>
          <w:color w:val="000000"/>
          <w:spacing w:val="40"/>
          <w:shd w:fill="D9D9D9" w:color="auto" w:val="clear"/>
        </w:rPr>
        <w:t> </w:t>
      </w:r>
      <w:r>
        <w:rPr>
          <w:rFonts w:ascii="黑体" w:eastAsia="黑体"/>
          <w:color w:val="000000"/>
          <w:spacing w:val="-4"/>
          <w:shd w:fill="D9D9D9" w:color="auto" w:val="clear"/>
        </w:rPr>
        <w:t>要求您补交保险费。若已经发生保险事故，在给付保险金时按实付保险费和应付保险费</w:t>
      </w:r>
      <w:r>
        <w:rPr>
          <w:rFonts w:ascii="黑体" w:eastAsia="黑体"/>
          <w:color w:val="000000"/>
          <w:spacing w:val="-2"/>
          <w:shd w:fill="D9D9D9" w:color="auto" w:val="clear"/>
        </w:rPr>
        <w:t>的比例给付。</w:t>
      </w:r>
    </w:p>
    <w:p>
      <w:pPr>
        <w:pStyle w:val="BodyText"/>
        <w:spacing w:line="278" w:lineRule="auto"/>
        <w:ind w:left="1157" w:right="733" w:hanging="420"/>
      </w:pPr>
      <w:r>
        <w:rPr>
          <w:spacing w:val="-4"/>
        </w:rPr>
        <w:t>三、您申报的被保险人年龄不真实，致使您实付保险费多于应付保险费的，我们会将多收的</w:t>
      </w:r>
      <w:r>
        <w:rPr>
          <w:spacing w:val="-2"/>
        </w:rPr>
        <w:t>保险费无息退还给您。</w:t>
      </w:r>
    </w:p>
    <w:p>
      <w:pPr>
        <w:pStyle w:val="BodyText"/>
        <w:spacing w:before="3"/>
        <w:ind w:left="0"/>
        <w:rPr>
          <w:sz w:val="24"/>
        </w:rPr>
      </w:pPr>
    </w:p>
    <w:p>
      <w:pPr>
        <w:pStyle w:val="BodyText"/>
        <w:jc w:val="both"/>
      </w:pPr>
      <w:r>
        <w:rPr/>
        <w:t>第二十八条</w:t>
      </w:r>
      <w:r>
        <w:rPr>
          <w:spacing w:val="52"/>
          <w:w w:val="150"/>
        </w:rPr>
        <w:t> </w:t>
      </w:r>
      <w:r>
        <w:rPr>
          <w:spacing w:val="-4"/>
        </w:rPr>
        <w:t>犹豫期</w:t>
      </w:r>
    </w:p>
    <w:p>
      <w:pPr>
        <w:pStyle w:val="BodyText"/>
        <w:spacing w:line="278" w:lineRule="auto" w:before="43"/>
        <w:ind w:right="731"/>
        <w:jc w:val="both"/>
      </w:pPr>
      <w:r>
        <w:rPr>
          <w:spacing w:val="-4"/>
        </w:rPr>
        <w:t>自您签收本合同起十五日内为犹豫期。在犹豫期内，若未发生保险金给付，您可以书面申请</w:t>
      </w:r>
      <w:r>
        <w:rPr>
          <w:spacing w:val="-4"/>
        </w:rPr>
        <w:t>解除本合同。自我们收到解除申请时起（若为邮寄，则以寄发邮戳为准</w:t>
      </w:r>
      <w:r>
        <w:rPr>
          <w:spacing w:val="-77"/>
        </w:rPr>
        <w:t>）</w:t>
      </w:r>
      <w:r>
        <w:rPr>
          <w:spacing w:val="-14"/>
        </w:rPr>
        <w:t>，本合同自始无效。</w:t>
      </w:r>
      <w:r>
        <w:rPr>
          <w:spacing w:val="-2"/>
        </w:rPr>
        <w:t>您向我们退回保险合同，我们无息向您退还已收到的保险费。</w:t>
      </w:r>
    </w:p>
    <w:p>
      <w:pPr>
        <w:pStyle w:val="BodyText"/>
        <w:spacing w:before="4"/>
        <w:ind w:left="0"/>
        <w:rPr>
          <w:sz w:val="24"/>
        </w:rPr>
      </w:pPr>
    </w:p>
    <w:p>
      <w:pPr>
        <w:pStyle w:val="BodyText"/>
        <w:jc w:val="both"/>
      </w:pPr>
      <w:r>
        <w:rPr/>
        <w:t>第二十九条</w:t>
      </w:r>
      <w:r>
        <w:rPr>
          <w:spacing w:val="52"/>
          <w:w w:val="150"/>
        </w:rPr>
        <w:t> </w:t>
      </w:r>
      <w:r>
        <w:rPr>
          <w:spacing w:val="-2"/>
        </w:rPr>
        <w:t>医疗保险状态变更</w:t>
      </w:r>
    </w:p>
    <w:p>
      <w:pPr>
        <w:pStyle w:val="BodyText"/>
        <w:spacing w:line="278" w:lineRule="auto" w:before="43"/>
        <w:ind w:right="733"/>
        <w:jc w:val="both"/>
      </w:pPr>
      <w:r>
        <w:rPr>
          <w:spacing w:val="-4"/>
        </w:rPr>
        <w:t>在本合同有效期内，若被保险人的基本医疗保险或公费医疗保障状态发生变化，您应以书面</w:t>
      </w:r>
      <w:r>
        <w:rPr>
          <w:spacing w:val="-4"/>
        </w:rPr>
        <w:t>形式通知我们进行变更，经我们审核同意，我们对批单载明的变更生效日之后发生的保险事</w:t>
      </w:r>
      <w:r>
        <w:rPr>
          <w:spacing w:val="-2"/>
        </w:rPr>
        <w:t>故，按变更后的医疗保险状态承担保险责任。</w:t>
      </w:r>
    </w:p>
    <w:p>
      <w:pPr>
        <w:spacing w:after="0" w:line="278" w:lineRule="auto"/>
        <w:jc w:val="both"/>
        <w:sectPr>
          <w:pgSz w:w="11910" w:h="16840"/>
          <w:pgMar w:header="0" w:footer="1168" w:top="1600" w:bottom="1360" w:left="1060" w:right="1060"/>
        </w:sectPr>
      </w:pPr>
    </w:p>
    <w:p>
      <w:pPr>
        <w:pStyle w:val="BodyText"/>
        <w:spacing w:before="50"/>
      </w:pPr>
      <w:r>
        <w:rPr>
          <w:spacing w:val="-1"/>
        </w:rPr>
        <w:t>我们有权根据该被保险人的医疗保险状态变更情况调整相应保险费。</w:t>
      </w:r>
    </w:p>
    <w:p>
      <w:pPr>
        <w:pStyle w:val="BodyText"/>
        <w:spacing w:before="9"/>
        <w:ind w:left="0"/>
        <w:rPr>
          <w:sz w:val="27"/>
        </w:rPr>
      </w:pPr>
    </w:p>
    <w:p>
      <w:pPr>
        <w:pStyle w:val="BodyText"/>
        <w:tabs>
          <w:tab w:pos="1997" w:val="left" w:leader="none"/>
        </w:tabs>
      </w:pPr>
      <w:r>
        <w:rPr/>
        <w:t>第三十</w:t>
      </w:r>
      <w:r>
        <w:rPr>
          <w:spacing w:val="-10"/>
        </w:rPr>
        <w:t>条</w:t>
      </w:r>
      <w:r>
        <w:rPr/>
        <w:tab/>
        <w:t>受益人指定与变</w:t>
      </w:r>
      <w:r>
        <w:rPr>
          <w:spacing w:val="-10"/>
        </w:rPr>
        <w:t>更</w:t>
      </w:r>
    </w:p>
    <w:p>
      <w:pPr>
        <w:pStyle w:val="BodyText"/>
        <w:spacing w:before="43"/>
      </w:pPr>
      <w:r>
        <w:rPr>
          <w:spacing w:val="-1"/>
        </w:rPr>
        <w:t>除本合同另有约定外，各项保险金的受益人为被保险人本人。</w:t>
      </w:r>
    </w:p>
    <w:p>
      <w:pPr>
        <w:pStyle w:val="BodyText"/>
        <w:spacing w:before="9"/>
        <w:ind w:left="0"/>
        <w:rPr>
          <w:sz w:val="27"/>
        </w:rPr>
      </w:pPr>
    </w:p>
    <w:p>
      <w:pPr>
        <w:pStyle w:val="BodyText"/>
        <w:tabs>
          <w:tab w:pos="1997" w:val="left" w:leader="none"/>
        </w:tabs>
      </w:pPr>
      <w:r>
        <w:rPr/>
        <w:t>第三十一</w:t>
      </w:r>
      <w:r>
        <w:rPr>
          <w:spacing w:val="-10"/>
        </w:rPr>
        <w:t>条</w:t>
      </w:r>
      <w:r>
        <w:rPr/>
        <w:tab/>
        <w:t>合同内容变</w:t>
      </w:r>
      <w:r>
        <w:rPr>
          <w:spacing w:val="-10"/>
        </w:rPr>
        <w:t>更</w:t>
      </w:r>
    </w:p>
    <w:p>
      <w:pPr>
        <w:pStyle w:val="BodyText"/>
        <w:spacing w:line="278" w:lineRule="auto" w:before="43"/>
        <w:ind w:right="731"/>
      </w:pPr>
      <w:r>
        <w:rPr>
          <w:spacing w:val="-4"/>
        </w:rPr>
        <w:t>在本合同有效期内，经与我们协商一致，您可以变更本合同的有关内容，并经我们在保险单</w:t>
      </w:r>
      <w:r>
        <w:rPr>
          <w:spacing w:val="-4"/>
        </w:rPr>
        <w:t>上批注。</w:t>
      </w:r>
    </w:p>
    <w:p>
      <w:pPr>
        <w:pStyle w:val="BodyText"/>
        <w:spacing w:before="4"/>
        <w:ind w:left="0"/>
        <w:rPr>
          <w:sz w:val="24"/>
        </w:rPr>
      </w:pPr>
    </w:p>
    <w:p>
      <w:pPr>
        <w:pStyle w:val="BodyText"/>
        <w:tabs>
          <w:tab w:pos="1997" w:val="left" w:leader="none"/>
        </w:tabs>
      </w:pPr>
      <w:r>
        <w:rPr/>
        <w:t>第三十二</w:t>
      </w:r>
      <w:r>
        <w:rPr>
          <w:spacing w:val="-10"/>
        </w:rPr>
        <w:t>条</w:t>
      </w:r>
      <w:r>
        <w:rPr/>
        <w:tab/>
        <w:t>通讯地址变</w:t>
      </w:r>
      <w:r>
        <w:rPr>
          <w:spacing w:val="-10"/>
        </w:rPr>
        <w:t>更</w:t>
      </w:r>
    </w:p>
    <w:p>
      <w:pPr>
        <w:pStyle w:val="BodyText"/>
        <w:spacing w:line="278" w:lineRule="auto" w:before="43"/>
        <w:ind w:right="731"/>
      </w:pPr>
      <w:r>
        <w:rPr>
          <w:spacing w:val="-4"/>
        </w:rPr>
        <w:t>您的通讯地址变更时，应及时书面通知我们。您不作前项通知时，我们按本合同所载的最新</w:t>
      </w:r>
      <w:r>
        <w:rPr>
          <w:spacing w:val="-2"/>
        </w:rPr>
        <w:t>通讯地址发送的通知，视为已送达您。</w:t>
      </w:r>
    </w:p>
    <w:p>
      <w:pPr>
        <w:pStyle w:val="BodyText"/>
        <w:spacing w:before="4"/>
        <w:ind w:left="0"/>
        <w:rPr>
          <w:sz w:val="24"/>
        </w:rPr>
      </w:pPr>
    </w:p>
    <w:p>
      <w:pPr>
        <w:pStyle w:val="BodyText"/>
        <w:tabs>
          <w:tab w:pos="1997" w:val="left" w:leader="none"/>
        </w:tabs>
      </w:pPr>
      <w:r>
        <w:rPr/>
        <w:t>第三十三</w:t>
      </w:r>
      <w:r>
        <w:rPr>
          <w:spacing w:val="-10"/>
        </w:rPr>
        <w:t>条</w:t>
      </w:r>
      <w:r>
        <w:rPr/>
        <w:tab/>
        <w:t>司法鉴</w:t>
      </w:r>
      <w:r>
        <w:rPr>
          <w:spacing w:val="-10"/>
        </w:rPr>
        <w:t>定</w:t>
      </w:r>
    </w:p>
    <w:p>
      <w:pPr>
        <w:pStyle w:val="BodyText"/>
        <w:spacing w:before="43"/>
      </w:pPr>
      <w:r>
        <w:rPr>
          <w:spacing w:val="-1"/>
        </w:rPr>
        <w:t>我们有权要求司法鉴定机构对保险事故进行鉴定。</w:t>
      </w:r>
    </w:p>
    <w:p>
      <w:pPr>
        <w:pStyle w:val="BodyText"/>
        <w:spacing w:before="9"/>
        <w:ind w:left="0"/>
        <w:rPr>
          <w:sz w:val="27"/>
        </w:rPr>
      </w:pPr>
    </w:p>
    <w:p>
      <w:pPr>
        <w:pStyle w:val="BodyText"/>
        <w:tabs>
          <w:tab w:pos="1997" w:val="left" w:leader="none"/>
        </w:tabs>
      </w:pPr>
      <w:r>
        <w:rPr/>
        <w:t>第三十四</w:t>
      </w:r>
      <w:r>
        <w:rPr>
          <w:spacing w:val="-10"/>
        </w:rPr>
        <w:t>条</w:t>
      </w:r>
      <w:r>
        <w:rPr/>
        <w:tab/>
        <w:t>争议处</w:t>
      </w:r>
      <w:r>
        <w:rPr>
          <w:spacing w:val="-10"/>
        </w:rPr>
        <w:t>理</w:t>
      </w:r>
    </w:p>
    <w:p>
      <w:pPr>
        <w:pStyle w:val="BodyText"/>
        <w:spacing w:line="278" w:lineRule="auto" w:before="43"/>
        <w:ind w:right="732"/>
      </w:pPr>
      <w:r>
        <w:rPr>
          <w:spacing w:val="-8"/>
        </w:rPr>
        <w:t>本合同受中华人民共和国的法律管辖。合同争议解决方式由当事人在合同约定从下列两种方</w:t>
      </w:r>
      <w:r>
        <w:rPr>
          <w:spacing w:val="-2"/>
        </w:rPr>
        <w:t>式中选择一种：</w:t>
      </w:r>
    </w:p>
    <w:p>
      <w:pPr>
        <w:pStyle w:val="BodyText"/>
        <w:spacing w:line="278" w:lineRule="auto"/>
        <w:ind w:right="733"/>
      </w:pPr>
      <w:r>
        <w:rPr>
          <w:spacing w:val="-16"/>
        </w:rPr>
        <w:t>一、因履行本合同发生的争议，由当事人协商解决，协商不成的，提交××仲裁委员会仲裁；</w:t>
      </w:r>
      <w:r>
        <w:rPr>
          <w:spacing w:val="-2"/>
        </w:rPr>
        <w:t>二、因履行本合同发生的争议，由当事人协商解决，协商不成的，依法向人民法院起诉。</w:t>
      </w:r>
    </w:p>
    <w:p>
      <w:pPr>
        <w:spacing w:after="0" w:line="278" w:lineRule="auto"/>
        <w:sectPr>
          <w:pgSz w:w="11910" w:h="16840"/>
          <w:pgMar w:header="0" w:footer="1168" w:top="1440" w:bottom="1360" w:left="1060" w:right="1060"/>
        </w:sectPr>
      </w:pPr>
    </w:p>
    <w:p>
      <w:pPr>
        <w:pStyle w:val="Heading1"/>
        <w:spacing w:before="111"/>
        <w:ind w:left="3325" w:right="3322"/>
        <w:jc w:val="center"/>
      </w:pPr>
      <w:r>
        <w:rPr>
          <w:w w:val="95"/>
        </w:rPr>
        <w:t>第</w:t>
      </w:r>
      <w:r>
        <w:rPr>
          <w:w w:val="95"/>
        </w:rPr>
        <w:t>七</w:t>
      </w:r>
      <w:r>
        <w:rPr>
          <w:w w:val="95"/>
        </w:rPr>
        <w:t>章</w:t>
      </w:r>
      <w:r>
        <w:rPr>
          <w:spacing w:val="17"/>
        </w:rPr>
        <w:t> </w:t>
      </w:r>
      <w:r>
        <w:rPr>
          <w:spacing w:val="-5"/>
          <w:w w:val="95"/>
        </w:rPr>
        <w:t>附表</w:t>
      </w:r>
    </w:p>
    <w:p>
      <w:pPr>
        <w:pStyle w:val="BodyText"/>
        <w:spacing w:before="5"/>
        <w:ind w:left="0"/>
        <w:rPr>
          <w:b/>
          <w:sz w:val="20"/>
        </w:rPr>
      </w:pPr>
    </w:p>
    <w:p>
      <w:pPr>
        <w:spacing w:before="0"/>
        <w:ind w:left="737" w:right="0" w:firstLine="0"/>
        <w:jc w:val="left"/>
        <w:rPr>
          <w:b/>
          <w:sz w:val="21"/>
        </w:rPr>
      </w:pPr>
      <w:r>
        <w:rPr>
          <w:b/>
          <w:w w:val="95"/>
          <w:sz w:val="21"/>
        </w:rPr>
        <w:t>附</w:t>
      </w:r>
      <w:r>
        <w:rPr>
          <w:b/>
          <w:w w:val="95"/>
          <w:sz w:val="21"/>
        </w:rPr>
        <w:t>表</w:t>
      </w:r>
      <w:r>
        <w:rPr>
          <w:b/>
          <w:w w:val="95"/>
          <w:sz w:val="21"/>
        </w:rPr>
        <w:t>一</w:t>
      </w:r>
      <w:r>
        <w:rPr>
          <w:b/>
          <w:w w:val="95"/>
          <w:sz w:val="21"/>
        </w:rPr>
        <w:t>：</w:t>
      </w:r>
      <w:r>
        <w:rPr>
          <w:b/>
          <w:w w:val="95"/>
          <w:sz w:val="21"/>
        </w:rPr>
        <w:t>重</w:t>
      </w:r>
      <w:r>
        <w:rPr>
          <w:b/>
          <w:w w:val="95"/>
          <w:sz w:val="21"/>
        </w:rPr>
        <w:t>大</w:t>
      </w:r>
      <w:r>
        <w:rPr>
          <w:b/>
          <w:w w:val="95"/>
          <w:sz w:val="21"/>
        </w:rPr>
        <w:t>疾</w:t>
      </w:r>
      <w:r>
        <w:rPr>
          <w:b/>
          <w:w w:val="95"/>
          <w:sz w:val="21"/>
        </w:rPr>
        <w:t>病</w:t>
      </w:r>
      <w:r>
        <w:rPr>
          <w:b/>
          <w:w w:val="95"/>
          <w:sz w:val="21"/>
        </w:rPr>
        <w:t>种</w:t>
      </w:r>
      <w:r>
        <w:rPr>
          <w:b/>
          <w:w w:val="95"/>
          <w:sz w:val="21"/>
        </w:rPr>
        <w:t>类</w:t>
      </w:r>
      <w:r>
        <w:rPr>
          <w:b/>
          <w:spacing w:val="-10"/>
          <w:w w:val="95"/>
          <w:sz w:val="21"/>
        </w:rPr>
        <w:t>表</w:t>
      </w:r>
    </w:p>
    <w:p>
      <w:pPr>
        <w:pStyle w:val="BodyText"/>
        <w:spacing w:line="278" w:lineRule="auto" w:before="43"/>
        <w:ind w:right="628"/>
        <w:rPr>
          <w:rFonts w:ascii="黑体" w:eastAsia="黑体"/>
        </w:rPr>
      </w:pPr>
      <w:r>
        <w:rPr>
          <w:spacing w:val="-1"/>
        </w:rPr>
        <w:t>以下第一至二十五类重大疾病是中国保险行业协会与中国医师协会制定了规范定义的疾病，</w:t>
      </w:r>
      <w:r>
        <w:rPr>
          <w:spacing w:val="1"/>
        </w:rPr>
        <w:t>第二十六至一百类重大疾病是我们在中国保险行业协会与中国医师协会制定了规范定义的</w:t>
      </w:r>
      <w:r>
        <w:rPr>
          <w:spacing w:val="-3"/>
        </w:rPr>
        <w:t>疾病范围之外增加的疾病。</w:t>
      </w:r>
      <w:r>
        <w:rPr>
          <w:rFonts w:ascii="黑体" w:eastAsia="黑体"/>
          <w:spacing w:val="-3"/>
        </w:rPr>
        <w:t>被保险人发生符合以下疾病定义所述条件的疾病，应当由专科医生明确诊断。</w:t>
      </w:r>
    </w:p>
    <w:tbl>
      <w:tblPr>
        <w:tblW w:w="0" w:type="auto"/>
        <w:jc w:val="left"/>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08"/>
        <w:gridCol w:w="6810"/>
      </w:tblGrid>
      <w:tr>
        <w:trPr>
          <w:trHeight w:val="3432" w:hRule="atLeast"/>
        </w:trPr>
        <w:tc>
          <w:tcPr>
            <w:tcW w:w="1908" w:type="dxa"/>
          </w:tcPr>
          <w:p>
            <w:pPr>
              <w:pStyle w:val="TableParagraph"/>
              <w:spacing w:before="0"/>
              <w:rPr>
                <w:sz w:val="21"/>
              </w:rPr>
            </w:pPr>
            <w:r>
              <w:rPr>
                <w:spacing w:val="-2"/>
                <w:sz w:val="21"/>
              </w:rPr>
              <w:t>一、恶性肿瘤</w:t>
            </w:r>
          </w:p>
        </w:tc>
        <w:tc>
          <w:tcPr>
            <w:tcW w:w="6810" w:type="dxa"/>
          </w:tcPr>
          <w:p>
            <w:pPr>
              <w:pStyle w:val="TableParagraph"/>
              <w:spacing w:line="278" w:lineRule="auto" w:before="0"/>
              <w:ind w:right="92"/>
              <w:jc w:val="both"/>
              <w:rPr>
                <w:sz w:val="21"/>
              </w:rPr>
            </w:pPr>
            <w:r>
              <w:rPr>
                <w:spacing w:val="-2"/>
                <w:sz w:val="21"/>
              </w:rPr>
              <w:t>指恶性细胞不受控制的进行性增长和扩散，浸润和破坏周围正常组织，</w:t>
            </w:r>
            <w:r>
              <w:rPr>
                <w:spacing w:val="-2"/>
                <w:sz w:val="21"/>
              </w:rPr>
              <w:t>可以经血管、淋巴管和体腔扩散转移到身体其它部位的疾病。经病理学</w:t>
            </w:r>
            <w:r>
              <w:rPr>
                <w:spacing w:val="-2"/>
                <w:sz w:val="21"/>
              </w:rPr>
              <w:t>检查结果明确诊断，临床诊断属于世界卫生组织《疾病和有关健康问题</w:t>
            </w:r>
            <w:r>
              <w:rPr>
                <w:spacing w:val="-15"/>
                <w:sz w:val="21"/>
              </w:rPr>
              <w:t>的国际统计分类》</w:t>
            </w:r>
            <w:r>
              <w:rPr>
                <w:spacing w:val="-2"/>
                <w:sz w:val="21"/>
              </w:rPr>
              <w:t>（</w:t>
            </w:r>
            <w:r>
              <w:rPr>
                <w:rFonts w:ascii="Times New Roman" w:eastAsia="Times New Roman"/>
                <w:spacing w:val="-2"/>
                <w:sz w:val="21"/>
              </w:rPr>
              <w:t>ICD-10</w:t>
            </w:r>
            <w:r>
              <w:rPr>
                <w:spacing w:val="-2"/>
                <w:sz w:val="21"/>
              </w:rPr>
              <w:t>）的恶性肿瘤范畴。</w:t>
            </w:r>
          </w:p>
          <w:p>
            <w:pPr>
              <w:pStyle w:val="TableParagraph"/>
              <w:spacing w:line="269" w:lineRule="exact" w:before="0"/>
              <w:rPr>
                <w:rFonts w:ascii="黑体" w:eastAsia="黑体"/>
                <w:sz w:val="21"/>
              </w:rPr>
            </w:pPr>
            <w:r>
              <w:rPr>
                <w:rFonts w:ascii="黑体" w:eastAsia="黑体"/>
                <w:color w:val="000000"/>
                <w:spacing w:val="-1"/>
                <w:sz w:val="21"/>
                <w:shd w:fill="D9D9D9" w:color="auto" w:val="clear"/>
              </w:rPr>
              <w:t>下列疾病不在保障范围内：</w:t>
            </w:r>
          </w:p>
          <w:p>
            <w:pPr>
              <w:pStyle w:val="TableParagraph"/>
              <w:numPr>
                <w:ilvl w:val="0"/>
                <w:numId w:val="9"/>
              </w:numPr>
              <w:tabs>
                <w:tab w:pos="468" w:val="left" w:leader="none"/>
              </w:tabs>
              <w:spacing w:line="240" w:lineRule="auto" w:before="43" w:after="0"/>
              <w:ind w:left="467" w:right="0" w:hanging="361"/>
              <w:jc w:val="left"/>
              <w:rPr>
                <w:rFonts w:ascii="黑体" w:eastAsia="黑体"/>
                <w:sz w:val="21"/>
              </w:rPr>
            </w:pPr>
            <w:r>
              <w:rPr>
                <w:rFonts w:ascii="黑体" w:eastAsia="黑体"/>
                <w:color w:val="000000"/>
                <w:spacing w:val="-3"/>
                <w:sz w:val="21"/>
                <w:shd w:fill="D9D9D9" w:color="auto" w:val="clear"/>
              </w:rPr>
              <w:t>原位癌；</w:t>
            </w:r>
          </w:p>
          <w:p>
            <w:pPr>
              <w:pStyle w:val="TableParagraph"/>
              <w:numPr>
                <w:ilvl w:val="0"/>
                <w:numId w:val="9"/>
              </w:numPr>
              <w:tabs>
                <w:tab w:pos="468" w:val="left" w:leader="none"/>
              </w:tabs>
              <w:spacing w:line="240" w:lineRule="auto" w:before="43" w:after="0"/>
              <w:ind w:left="467" w:right="0" w:hanging="361"/>
              <w:jc w:val="left"/>
              <w:rPr>
                <w:rFonts w:ascii="黑体" w:eastAsia="黑体"/>
                <w:sz w:val="21"/>
              </w:rPr>
            </w:pPr>
            <w:r>
              <w:rPr>
                <w:rFonts w:ascii="黑体" w:eastAsia="黑体"/>
                <w:color w:val="000000"/>
                <w:spacing w:val="-14"/>
                <w:sz w:val="21"/>
                <w:shd w:fill="D9D9D9" w:color="auto" w:val="clear"/>
              </w:rPr>
              <w:t>相当于 </w:t>
            </w:r>
            <w:r>
              <w:rPr>
                <w:rFonts w:ascii="Times New Roman" w:eastAsia="Times New Roman"/>
                <w:color w:val="000000"/>
                <w:sz w:val="21"/>
                <w:shd w:fill="D9D9D9" w:color="auto" w:val="clear"/>
              </w:rPr>
              <w:t>Binet</w:t>
            </w:r>
            <w:r>
              <w:rPr>
                <w:rFonts w:ascii="Times New Roman" w:eastAsia="Times New Roman"/>
                <w:color w:val="000000"/>
                <w:spacing w:val="-1"/>
                <w:sz w:val="21"/>
                <w:shd w:fill="D9D9D9" w:color="auto" w:val="clear"/>
              </w:rPr>
              <w:t> </w:t>
            </w:r>
            <w:r>
              <w:rPr>
                <w:rFonts w:ascii="黑体" w:eastAsia="黑体"/>
                <w:color w:val="000000"/>
                <w:spacing w:val="-11"/>
                <w:sz w:val="21"/>
                <w:shd w:fill="D9D9D9" w:color="auto" w:val="clear"/>
              </w:rPr>
              <w:t>分期方案 </w:t>
            </w:r>
            <w:r>
              <w:rPr>
                <w:rFonts w:ascii="Times New Roman" w:eastAsia="Times New Roman"/>
                <w:color w:val="000000"/>
                <w:sz w:val="21"/>
                <w:shd w:fill="D9D9D9" w:color="auto" w:val="clear"/>
              </w:rPr>
              <w:t>A</w:t>
            </w:r>
            <w:r>
              <w:rPr>
                <w:rFonts w:ascii="Times New Roman" w:eastAsia="Times New Roman"/>
                <w:color w:val="000000"/>
                <w:spacing w:val="-2"/>
                <w:sz w:val="21"/>
                <w:shd w:fill="D9D9D9" w:color="auto" w:val="clear"/>
              </w:rPr>
              <w:t> </w:t>
            </w:r>
            <w:r>
              <w:rPr>
                <w:rFonts w:ascii="黑体" w:eastAsia="黑体"/>
                <w:color w:val="000000"/>
                <w:spacing w:val="-1"/>
                <w:sz w:val="21"/>
                <w:shd w:fill="D9D9D9" w:color="auto" w:val="clear"/>
              </w:rPr>
              <w:t>期程度的慢性淋巴细胞白血病；</w:t>
            </w:r>
          </w:p>
          <w:p>
            <w:pPr>
              <w:pStyle w:val="TableParagraph"/>
              <w:numPr>
                <w:ilvl w:val="0"/>
                <w:numId w:val="9"/>
              </w:numPr>
              <w:tabs>
                <w:tab w:pos="468" w:val="left" w:leader="none"/>
              </w:tabs>
              <w:spacing w:line="240" w:lineRule="auto" w:before="43" w:after="0"/>
              <w:ind w:left="467" w:right="0" w:hanging="361"/>
              <w:jc w:val="left"/>
              <w:rPr>
                <w:rFonts w:ascii="黑体" w:eastAsia="黑体"/>
                <w:sz w:val="21"/>
              </w:rPr>
            </w:pPr>
            <w:r>
              <w:rPr>
                <w:rFonts w:ascii="黑体" w:eastAsia="黑体"/>
                <w:color w:val="000000"/>
                <w:spacing w:val="-13"/>
                <w:sz w:val="21"/>
                <w:shd w:fill="D9D9D9" w:color="auto" w:val="clear"/>
              </w:rPr>
              <w:t>相当于 </w:t>
            </w:r>
            <w:r>
              <w:rPr>
                <w:rFonts w:ascii="Times New Roman" w:eastAsia="Times New Roman"/>
                <w:color w:val="000000"/>
                <w:sz w:val="21"/>
                <w:shd w:fill="D9D9D9" w:color="auto" w:val="clear"/>
              </w:rPr>
              <w:t>Ann</w:t>
            </w:r>
            <w:r>
              <w:rPr>
                <w:rFonts w:ascii="Times New Roman" w:eastAsia="Times New Roman"/>
                <w:color w:val="000000"/>
                <w:spacing w:val="-14"/>
                <w:sz w:val="21"/>
                <w:shd w:fill="D9D9D9" w:color="auto" w:val="clear"/>
              </w:rPr>
              <w:t> </w:t>
            </w:r>
            <w:r>
              <w:rPr>
                <w:rFonts w:ascii="Times New Roman" w:eastAsia="Times New Roman"/>
                <w:color w:val="000000"/>
                <w:sz w:val="21"/>
                <w:shd w:fill="D9D9D9" w:color="auto" w:val="clear"/>
              </w:rPr>
              <w:t>Arbor</w:t>
            </w:r>
            <w:r>
              <w:rPr>
                <w:rFonts w:ascii="Times New Roman" w:eastAsia="Times New Roman"/>
                <w:color w:val="000000"/>
                <w:spacing w:val="-3"/>
                <w:sz w:val="21"/>
                <w:shd w:fill="D9D9D9" w:color="auto" w:val="clear"/>
              </w:rPr>
              <w:t> </w:t>
            </w:r>
            <w:r>
              <w:rPr>
                <w:rFonts w:ascii="黑体" w:eastAsia="黑体"/>
                <w:color w:val="000000"/>
                <w:spacing w:val="-11"/>
                <w:sz w:val="21"/>
                <w:shd w:fill="D9D9D9" w:color="auto" w:val="clear"/>
              </w:rPr>
              <w:t>分期方案 </w:t>
            </w:r>
            <w:r>
              <w:rPr>
                <w:rFonts w:ascii="Times New Roman" w:eastAsia="Times New Roman"/>
                <w:color w:val="000000"/>
                <w:sz w:val="21"/>
                <w:shd w:fill="D9D9D9" w:color="auto" w:val="clear"/>
              </w:rPr>
              <w:t>I</w:t>
            </w:r>
            <w:r>
              <w:rPr>
                <w:rFonts w:ascii="Times New Roman" w:eastAsia="Times New Roman"/>
                <w:color w:val="000000"/>
                <w:spacing w:val="-2"/>
                <w:sz w:val="21"/>
                <w:shd w:fill="D9D9D9" w:color="auto" w:val="clear"/>
              </w:rPr>
              <w:t> </w:t>
            </w:r>
            <w:r>
              <w:rPr>
                <w:rFonts w:ascii="黑体" w:eastAsia="黑体"/>
                <w:color w:val="000000"/>
                <w:spacing w:val="-1"/>
                <w:sz w:val="21"/>
                <w:shd w:fill="D9D9D9" w:color="auto" w:val="clear"/>
              </w:rPr>
              <w:t>期程度的何杰金氏病；</w:t>
            </w:r>
          </w:p>
          <w:p>
            <w:pPr>
              <w:pStyle w:val="TableParagraph"/>
              <w:numPr>
                <w:ilvl w:val="0"/>
                <w:numId w:val="9"/>
              </w:numPr>
              <w:tabs>
                <w:tab w:pos="468" w:val="left" w:leader="none"/>
              </w:tabs>
              <w:spacing w:line="240" w:lineRule="auto" w:before="43" w:after="0"/>
              <w:ind w:left="467" w:right="0" w:hanging="361"/>
              <w:jc w:val="left"/>
              <w:rPr>
                <w:rFonts w:ascii="黑体" w:eastAsia="黑体"/>
                <w:sz w:val="21"/>
              </w:rPr>
            </w:pPr>
            <w:r>
              <w:rPr>
                <w:rFonts w:ascii="黑体" w:eastAsia="黑体"/>
                <w:color w:val="000000"/>
                <w:sz w:val="21"/>
                <w:shd w:fill="D9D9D9" w:color="auto" w:val="clear"/>
              </w:rPr>
              <w:t>皮肤癌（不包括恶性黑色素瘤及已发生转移的皮肤癌</w:t>
            </w:r>
            <w:r>
              <w:rPr>
                <w:rFonts w:ascii="黑体" w:eastAsia="黑体"/>
                <w:color w:val="000000"/>
                <w:spacing w:val="-110"/>
                <w:sz w:val="21"/>
                <w:shd w:fill="D9D9D9" w:color="auto" w:val="clear"/>
              </w:rPr>
              <w:t>）</w:t>
            </w:r>
            <w:r>
              <w:rPr>
                <w:rFonts w:ascii="黑体" w:eastAsia="黑体"/>
                <w:color w:val="000000"/>
                <w:spacing w:val="-5"/>
                <w:sz w:val="21"/>
                <w:shd w:fill="D9D9D9" w:color="auto" w:val="clear"/>
              </w:rPr>
              <w:t>；</w:t>
            </w:r>
          </w:p>
          <w:p>
            <w:pPr>
              <w:pStyle w:val="TableParagraph"/>
              <w:numPr>
                <w:ilvl w:val="0"/>
                <w:numId w:val="9"/>
              </w:numPr>
              <w:tabs>
                <w:tab w:pos="468" w:val="left" w:leader="none"/>
              </w:tabs>
              <w:spacing w:line="240" w:lineRule="auto" w:before="43" w:after="0"/>
              <w:ind w:left="467" w:right="0" w:hanging="361"/>
              <w:jc w:val="left"/>
              <w:rPr>
                <w:rFonts w:ascii="黑体" w:eastAsia="黑体"/>
                <w:sz w:val="21"/>
              </w:rPr>
            </w:pPr>
            <w:r>
              <w:rPr>
                <w:rFonts w:ascii="Times New Roman" w:eastAsia="Times New Roman"/>
                <w:color w:val="000000"/>
                <w:sz w:val="21"/>
                <w:shd w:fill="D9D9D9" w:color="auto" w:val="clear"/>
              </w:rPr>
              <w:t>TNM</w:t>
            </w:r>
            <w:r>
              <w:rPr>
                <w:rFonts w:ascii="Times New Roman" w:eastAsia="Times New Roman"/>
                <w:color w:val="000000"/>
                <w:spacing w:val="-4"/>
                <w:sz w:val="21"/>
                <w:shd w:fill="D9D9D9" w:color="auto" w:val="clear"/>
              </w:rPr>
              <w:t> </w:t>
            </w:r>
            <w:r>
              <w:rPr>
                <w:rFonts w:ascii="黑体" w:eastAsia="黑体"/>
                <w:color w:val="000000"/>
                <w:spacing w:val="17"/>
                <w:sz w:val="21"/>
                <w:shd w:fill="D9D9D9" w:color="auto" w:val="clear"/>
              </w:rPr>
              <w:t>分期为</w:t>
            </w:r>
            <w:r>
              <w:rPr>
                <w:rFonts w:ascii="Times New Roman" w:eastAsia="Times New Roman"/>
                <w:color w:val="000000"/>
                <w:sz w:val="21"/>
                <w:shd w:fill="D9D9D9" w:color="auto" w:val="clear"/>
              </w:rPr>
              <w:t>T</w:t>
            </w:r>
            <w:r>
              <w:rPr>
                <w:rFonts w:ascii="Times New Roman" w:eastAsia="Times New Roman"/>
                <w:color w:val="000000"/>
                <w:sz w:val="21"/>
                <w:shd w:fill="D9D9D9" w:color="auto" w:val="clear"/>
                <w:vertAlign w:val="subscript"/>
              </w:rPr>
              <w:t>1</w:t>
            </w:r>
            <w:r>
              <w:rPr>
                <w:rFonts w:ascii="Times New Roman" w:eastAsia="Times New Roman"/>
                <w:color w:val="000000"/>
                <w:sz w:val="21"/>
                <w:shd w:fill="D9D9D9" w:color="auto" w:val="clear"/>
                <w:vertAlign w:val="baseline"/>
              </w:rPr>
              <w:t>N</w:t>
            </w:r>
            <w:r>
              <w:rPr>
                <w:rFonts w:ascii="Times New Roman" w:eastAsia="Times New Roman"/>
                <w:color w:val="000000"/>
                <w:sz w:val="21"/>
                <w:shd w:fill="D9D9D9" w:color="auto" w:val="clear"/>
                <w:vertAlign w:val="subscript"/>
              </w:rPr>
              <w:t>0</w:t>
            </w:r>
            <w:r>
              <w:rPr>
                <w:rFonts w:ascii="Times New Roman" w:eastAsia="Times New Roman"/>
                <w:color w:val="000000"/>
                <w:sz w:val="21"/>
                <w:shd w:fill="D9D9D9" w:color="auto" w:val="clear"/>
                <w:vertAlign w:val="baseline"/>
              </w:rPr>
              <w:t>M</w:t>
            </w:r>
            <w:r>
              <w:rPr>
                <w:rFonts w:ascii="Times New Roman" w:eastAsia="Times New Roman"/>
                <w:color w:val="000000"/>
                <w:sz w:val="21"/>
                <w:shd w:fill="D9D9D9" w:color="auto" w:val="clear"/>
                <w:vertAlign w:val="subscript"/>
              </w:rPr>
              <w:t>0</w:t>
            </w:r>
            <w:r>
              <w:rPr>
                <w:rFonts w:ascii="Times New Roman" w:eastAsia="Times New Roman"/>
                <w:color w:val="000000"/>
                <w:spacing w:val="-19"/>
                <w:sz w:val="21"/>
                <w:shd w:fill="D9D9D9" w:color="auto" w:val="clear"/>
                <w:vertAlign w:val="baseline"/>
              </w:rPr>
              <w:t> </w:t>
            </w:r>
            <w:r>
              <w:rPr>
                <w:rFonts w:ascii="黑体" w:eastAsia="黑体"/>
                <w:color w:val="000000"/>
                <w:spacing w:val="-1"/>
                <w:sz w:val="21"/>
                <w:shd w:fill="D9D9D9" w:color="auto" w:val="clear"/>
                <w:vertAlign w:val="baseline"/>
              </w:rPr>
              <w:t>期或更轻分期的前列腺癌；</w:t>
            </w:r>
          </w:p>
          <w:p>
            <w:pPr>
              <w:pStyle w:val="TableParagraph"/>
              <w:numPr>
                <w:ilvl w:val="0"/>
                <w:numId w:val="9"/>
              </w:numPr>
              <w:tabs>
                <w:tab w:pos="468" w:val="left" w:leader="none"/>
              </w:tabs>
              <w:spacing w:line="240" w:lineRule="auto" w:before="43" w:after="0"/>
              <w:ind w:left="467" w:right="0" w:hanging="361"/>
              <w:jc w:val="left"/>
              <w:rPr>
                <w:rFonts w:ascii="黑体" w:eastAsia="黑体"/>
                <w:sz w:val="21"/>
              </w:rPr>
            </w:pPr>
            <w:r>
              <w:rPr>
                <w:rFonts w:ascii="黑体" w:eastAsia="黑体"/>
                <w:color w:val="000000"/>
                <w:spacing w:val="-1"/>
                <w:sz w:val="21"/>
                <w:shd w:fill="D9D9D9" w:color="auto" w:val="clear"/>
              </w:rPr>
              <w:t>感染艾滋病病毒或患艾滋病期间所患恶性肿瘤。</w:t>
            </w:r>
          </w:p>
        </w:tc>
      </w:tr>
      <w:tr>
        <w:trPr>
          <w:trHeight w:val="2495" w:hRule="atLeast"/>
        </w:trPr>
        <w:tc>
          <w:tcPr>
            <w:tcW w:w="1908" w:type="dxa"/>
          </w:tcPr>
          <w:p>
            <w:pPr>
              <w:pStyle w:val="TableParagraph"/>
              <w:spacing w:line="269" w:lineRule="exact" w:before="0"/>
              <w:rPr>
                <w:sz w:val="21"/>
              </w:rPr>
            </w:pPr>
            <w:r>
              <w:rPr>
                <w:spacing w:val="-2"/>
                <w:sz w:val="21"/>
              </w:rPr>
              <w:t>二、急性心肌梗塞</w:t>
            </w:r>
          </w:p>
        </w:tc>
        <w:tc>
          <w:tcPr>
            <w:tcW w:w="6810" w:type="dxa"/>
          </w:tcPr>
          <w:p>
            <w:pPr>
              <w:pStyle w:val="TableParagraph"/>
              <w:spacing w:line="278" w:lineRule="auto" w:before="0"/>
              <w:ind w:right="92"/>
              <w:rPr>
                <w:sz w:val="21"/>
              </w:rPr>
            </w:pPr>
            <w:r>
              <w:rPr>
                <w:spacing w:val="-2"/>
                <w:sz w:val="21"/>
              </w:rPr>
              <w:t>指因冠状动脉阻塞导致的相应区域供血不足造成部分心肌坏死。须满足</w:t>
            </w:r>
            <w:r>
              <w:rPr>
                <w:spacing w:val="-2"/>
                <w:sz w:val="21"/>
              </w:rPr>
              <w:t>下列至少三项条件：</w:t>
            </w:r>
          </w:p>
          <w:p>
            <w:pPr>
              <w:pStyle w:val="TableParagraph"/>
              <w:numPr>
                <w:ilvl w:val="0"/>
                <w:numId w:val="10"/>
              </w:numPr>
              <w:tabs>
                <w:tab w:pos="468" w:val="left" w:leader="none"/>
              </w:tabs>
              <w:spacing w:line="269" w:lineRule="exact" w:before="0" w:after="0"/>
              <w:ind w:left="467" w:right="0" w:hanging="361"/>
              <w:jc w:val="left"/>
              <w:rPr>
                <w:sz w:val="21"/>
              </w:rPr>
            </w:pPr>
            <w:r>
              <w:rPr>
                <w:spacing w:val="-1"/>
                <w:sz w:val="21"/>
              </w:rPr>
              <w:t>典型临床表现，例如急性胸痛等；</w:t>
            </w:r>
          </w:p>
          <w:p>
            <w:pPr>
              <w:pStyle w:val="TableParagraph"/>
              <w:numPr>
                <w:ilvl w:val="0"/>
                <w:numId w:val="10"/>
              </w:numPr>
              <w:tabs>
                <w:tab w:pos="468" w:val="left" w:leader="none"/>
              </w:tabs>
              <w:spacing w:line="240" w:lineRule="auto" w:before="42" w:after="0"/>
              <w:ind w:left="467" w:right="0" w:hanging="361"/>
              <w:jc w:val="left"/>
              <w:rPr>
                <w:sz w:val="21"/>
              </w:rPr>
            </w:pPr>
            <w:r>
              <w:rPr>
                <w:spacing w:val="-1"/>
                <w:sz w:val="21"/>
              </w:rPr>
              <w:t>新近的心电图改变提示急性心肌梗塞；</w:t>
            </w:r>
          </w:p>
          <w:p>
            <w:pPr>
              <w:pStyle w:val="TableParagraph"/>
              <w:numPr>
                <w:ilvl w:val="0"/>
                <w:numId w:val="10"/>
              </w:numPr>
              <w:tabs>
                <w:tab w:pos="468" w:val="left" w:leader="none"/>
              </w:tabs>
              <w:spacing w:line="278" w:lineRule="auto" w:before="43" w:after="0"/>
              <w:ind w:left="467" w:right="96" w:hanging="360"/>
              <w:jc w:val="left"/>
              <w:rPr>
                <w:sz w:val="21"/>
              </w:rPr>
            </w:pPr>
            <w:r>
              <w:rPr>
                <w:spacing w:val="-6"/>
                <w:sz w:val="21"/>
              </w:rPr>
              <w:t>肌酶或肌钙蛋白有诊断意义的升高，或呈符合急性心肌梗塞的动态性</w:t>
            </w:r>
            <w:r>
              <w:rPr>
                <w:spacing w:val="-4"/>
                <w:sz w:val="21"/>
              </w:rPr>
              <w:t>变化；</w:t>
            </w:r>
          </w:p>
          <w:p>
            <w:pPr>
              <w:pStyle w:val="TableParagraph"/>
              <w:numPr>
                <w:ilvl w:val="0"/>
                <w:numId w:val="10"/>
              </w:numPr>
              <w:tabs>
                <w:tab w:pos="468" w:val="left" w:leader="none"/>
              </w:tabs>
              <w:spacing w:line="269" w:lineRule="exact" w:before="0" w:after="0"/>
              <w:ind w:left="467" w:right="0" w:hanging="361"/>
              <w:jc w:val="left"/>
              <w:rPr>
                <w:sz w:val="21"/>
              </w:rPr>
            </w:pPr>
            <w:r>
              <w:rPr>
                <w:spacing w:val="-5"/>
                <w:sz w:val="21"/>
              </w:rPr>
              <w:t>发病九十天后，经检查证实左心室功能降低，如左心室射血分数低于</w:t>
            </w:r>
          </w:p>
          <w:p>
            <w:pPr>
              <w:pStyle w:val="TableParagraph"/>
              <w:ind w:left="467"/>
              <w:rPr>
                <w:sz w:val="21"/>
              </w:rPr>
            </w:pPr>
            <w:r>
              <w:rPr>
                <w:rFonts w:ascii="Times New Roman" w:eastAsia="Times New Roman"/>
                <w:sz w:val="21"/>
              </w:rPr>
              <w:t>50%</w:t>
            </w:r>
            <w:r>
              <w:rPr>
                <w:spacing w:val="-10"/>
                <w:sz w:val="21"/>
              </w:rPr>
              <w:t>。</w:t>
            </w:r>
          </w:p>
        </w:tc>
      </w:tr>
      <w:tr>
        <w:trPr>
          <w:trHeight w:val="2183" w:hRule="atLeast"/>
        </w:trPr>
        <w:tc>
          <w:tcPr>
            <w:tcW w:w="1908" w:type="dxa"/>
          </w:tcPr>
          <w:p>
            <w:pPr>
              <w:pStyle w:val="TableParagraph"/>
              <w:spacing w:line="269" w:lineRule="exact" w:before="0"/>
              <w:rPr>
                <w:sz w:val="21"/>
              </w:rPr>
            </w:pPr>
            <w:r>
              <w:rPr>
                <w:spacing w:val="-2"/>
                <w:sz w:val="21"/>
              </w:rPr>
              <w:t>三、脑中风后遗症</w:t>
            </w:r>
          </w:p>
        </w:tc>
        <w:tc>
          <w:tcPr>
            <w:tcW w:w="6810" w:type="dxa"/>
          </w:tcPr>
          <w:p>
            <w:pPr>
              <w:pStyle w:val="TableParagraph"/>
              <w:spacing w:line="278" w:lineRule="auto" w:before="0"/>
              <w:ind w:right="92"/>
              <w:jc w:val="both"/>
              <w:rPr>
                <w:sz w:val="21"/>
              </w:rPr>
            </w:pPr>
            <w:r>
              <w:rPr>
                <w:spacing w:val="-2"/>
                <w:sz w:val="21"/>
              </w:rPr>
              <w:t>指因脑血管的突发病变引起脑血管出血、栓塞或梗塞，并导致神经系统</w:t>
            </w:r>
            <w:r>
              <w:rPr>
                <w:spacing w:val="-2"/>
                <w:sz w:val="21"/>
              </w:rPr>
              <w:t>永久性的功能障碍。神经系统永久性的功能障碍，指疾病确诊一百八十</w:t>
            </w:r>
            <w:r>
              <w:rPr>
                <w:spacing w:val="-2"/>
                <w:sz w:val="21"/>
              </w:rPr>
              <w:t>天后，仍遗留下列一种或一种以上障碍：</w:t>
            </w:r>
          </w:p>
          <w:p>
            <w:pPr>
              <w:pStyle w:val="TableParagraph"/>
              <w:numPr>
                <w:ilvl w:val="0"/>
                <w:numId w:val="11"/>
              </w:numPr>
              <w:tabs>
                <w:tab w:pos="468" w:val="left" w:leader="none"/>
              </w:tabs>
              <w:spacing w:line="269" w:lineRule="exact" w:before="0" w:after="0"/>
              <w:ind w:left="467" w:right="0" w:hanging="361"/>
              <w:jc w:val="left"/>
              <w:rPr>
                <w:sz w:val="21"/>
              </w:rPr>
            </w:pPr>
            <w:r>
              <w:rPr>
                <w:w w:val="95"/>
                <w:sz w:val="21"/>
              </w:rPr>
              <w:t>一</w:t>
            </w:r>
            <w:r>
              <w:rPr>
                <w:w w:val="95"/>
                <w:sz w:val="21"/>
              </w:rPr>
              <w:t>肢</w:t>
            </w:r>
            <w:r>
              <w:rPr>
                <w:w w:val="95"/>
                <w:sz w:val="21"/>
              </w:rPr>
              <w:t>或</w:t>
            </w:r>
            <w:r>
              <w:rPr>
                <w:w w:val="95"/>
                <w:sz w:val="21"/>
              </w:rPr>
              <w:t>一</w:t>
            </w:r>
            <w:r>
              <w:rPr>
                <w:w w:val="95"/>
                <w:sz w:val="21"/>
              </w:rPr>
              <w:t>肢</w:t>
            </w:r>
            <w:r>
              <w:rPr>
                <w:w w:val="95"/>
                <w:sz w:val="21"/>
              </w:rPr>
              <w:t>以</w:t>
            </w:r>
            <w:r>
              <w:rPr>
                <w:w w:val="95"/>
                <w:sz w:val="21"/>
              </w:rPr>
              <w:t>上</w:t>
            </w:r>
            <w:r>
              <w:rPr>
                <w:b/>
                <w:w w:val="95"/>
                <w:sz w:val="21"/>
              </w:rPr>
              <w:t>肢</w:t>
            </w:r>
            <w:r>
              <w:rPr>
                <w:b/>
                <w:w w:val="95"/>
                <w:sz w:val="21"/>
              </w:rPr>
              <w:t>体</w:t>
            </w:r>
            <w:r>
              <w:rPr>
                <w:b/>
                <w:w w:val="95"/>
                <w:sz w:val="21"/>
              </w:rPr>
              <w:t>机</w:t>
            </w:r>
            <w:r>
              <w:rPr>
                <w:b/>
                <w:w w:val="95"/>
                <w:sz w:val="21"/>
              </w:rPr>
              <w:t>能</w:t>
            </w:r>
            <w:r>
              <w:rPr>
                <w:b/>
                <w:w w:val="95"/>
                <w:sz w:val="21"/>
              </w:rPr>
              <w:t>完</w:t>
            </w:r>
            <w:r>
              <w:rPr>
                <w:b/>
                <w:w w:val="95"/>
                <w:sz w:val="21"/>
              </w:rPr>
              <w:t>全</w:t>
            </w:r>
            <w:r>
              <w:rPr>
                <w:b/>
                <w:w w:val="95"/>
                <w:sz w:val="21"/>
              </w:rPr>
              <w:t>丧</w:t>
            </w:r>
            <w:r>
              <w:rPr>
                <w:b/>
                <w:w w:val="95"/>
                <w:sz w:val="21"/>
              </w:rPr>
              <w:t>失</w:t>
            </w:r>
            <w:r>
              <w:rPr>
                <w:rFonts w:ascii="Times New Roman" w:eastAsia="Times New Roman"/>
                <w:b/>
                <w:spacing w:val="-5"/>
                <w:w w:val="95"/>
                <w:sz w:val="21"/>
                <w:vertAlign w:val="superscript"/>
              </w:rPr>
              <w:t>55</w:t>
            </w:r>
            <w:r>
              <w:rPr>
                <w:spacing w:val="-5"/>
                <w:w w:val="95"/>
                <w:sz w:val="21"/>
                <w:vertAlign w:val="baseline"/>
              </w:rPr>
              <w:t>；</w:t>
            </w:r>
          </w:p>
          <w:p>
            <w:pPr>
              <w:pStyle w:val="TableParagraph"/>
              <w:numPr>
                <w:ilvl w:val="0"/>
                <w:numId w:val="11"/>
              </w:numPr>
              <w:tabs>
                <w:tab w:pos="466" w:val="left" w:leader="none"/>
              </w:tabs>
              <w:spacing w:line="240" w:lineRule="auto" w:before="42" w:after="0"/>
              <w:ind w:left="465" w:right="0" w:hanging="359"/>
              <w:jc w:val="left"/>
              <w:rPr>
                <w:sz w:val="21"/>
              </w:rPr>
            </w:pPr>
            <w:r>
              <w:rPr>
                <w:b/>
                <w:w w:val="95"/>
                <w:sz w:val="21"/>
              </w:rPr>
              <w:t>语</w:t>
            </w:r>
            <w:r>
              <w:rPr>
                <w:b/>
                <w:w w:val="95"/>
                <w:sz w:val="21"/>
              </w:rPr>
              <w:t>言</w:t>
            </w:r>
            <w:r>
              <w:rPr>
                <w:b/>
                <w:w w:val="95"/>
                <w:sz w:val="21"/>
              </w:rPr>
              <w:t>能</w:t>
            </w:r>
            <w:r>
              <w:rPr>
                <w:b/>
                <w:w w:val="95"/>
                <w:sz w:val="21"/>
              </w:rPr>
              <w:t>力</w:t>
            </w:r>
            <w:r>
              <w:rPr>
                <w:b/>
                <w:w w:val="95"/>
                <w:sz w:val="21"/>
              </w:rPr>
              <w:t>或</w:t>
            </w:r>
            <w:r>
              <w:rPr>
                <w:b/>
                <w:w w:val="95"/>
                <w:sz w:val="21"/>
              </w:rPr>
              <w:t>咀</w:t>
            </w:r>
            <w:r>
              <w:rPr>
                <w:b/>
                <w:w w:val="95"/>
                <w:sz w:val="21"/>
              </w:rPr>
              <w:t>嚼</w:t>
            </w:r>
            <w:r>
              <w:rPr>
                <w:b/>
                <w:w w:val="95"/>
                <w:sz w:val="21"/>
              </w:rPr>
              <w:t>吞</w:t>
            </w:r>
            <w:r>
              <w:rPr>
                <w:b/>
                <w:w w:val="95"/>
                <w:sz w:val="21"/>
              </w:rPr>
              <w:t>咽</w:t>
            </w:r>
            <w:r>
              <w:rPr>
                <w:b/>
                <w:w w:val="95"/>
                <w:sz w:val="21"/>
              </w:rPr>
              <w:t>能</w:t>
            </w:r>
            <w:r>
              <w:rPr>
                <w:b/>
                <w:w w:val="95"/>
                <w:sz w:val="21"/>
              </w:rPr>
              <w:t>力</w:t>
            </w:r>
            <w:r>
              <w:rPr>
                <w:b/>
                <w:w w:val="95"/>
                <w:sz w:val="21"/>
              </w:rPr>
              <w:t>完</w:t>
            </w:r>
            <w:r>
              <w:rPr>
                <w:b/>
                <w:w w:val="95"/>
                <w:sz w:val="21"/>
              </w:rPr>
              <w:t>全</w:t>
            </w:r>
            <w:r>
              <w:rPr>
                <w:b/>
                <w:w w:val="95"/>
                <w:sz w:val="21"/>
              </w:rPr>
              <w:t>丧</w:t>
            </w:r>
            <w:r>
              <w:rPr>
                <w:b/>
                <w:w w:val="95"/>
                <w:sz w:val="21"/>
              </w:rPr>
              <w:t>失</w:t>
            </w:r>
            <w:r>
              <w:rPr>
                <w:rFonts w:ascii="Times New Roman" w:eastAsia="Times New Roman"/>
                <w:b/>
                <w:spacing w:val="-5"/>
                <w:w w:val="95"/>
                <w:sz w:val="21"/>
                <w:vertAlign w:val="superscript"/>
              </w:rPr>
              <w:t>56</w:t>
            </w:r>
            <w:r>
              <w:rPr>
                <w:spacing w:val="-5"/>
                <w:w w:val="95"/>
                <w:sz w:val="21"/>
                <w:vertAlign w:val="baseline"/>
              </w:rPr>
              <w:t>；</w:t>
            </w:r>
          </w:p>
          <w:p>
            <w:pPr>
              <w:pStyle w:val="TableParagraph"/>
              <w:numPr>
                <w:ilvl w:val="0"/>
                <w:numId w:val="11"/>
              </w:numPr>
              <w:tabs>
                <w:tab w:pos="466" w:val="left" w:leader="none"/>
              </w:tabs>
              <w:spacing w:line="310" w:lineRule="atLeast" w:before="2" w:after="0"/>
              <w:ind w:left="465" w:right="96" w:hanging="358"/>
              <w:jc w:val="left"/>
              <w:rPr>
                <w:sz w:val="21"/>
              </w:rPr>
            </w:pPr>
            <w:r>
              <w:rPr>
                <w:spacing w:val="-8"/>
                <w:sz w:val="21"/>
              </w:rPr>
              <w:t>自主生活能力完全丧失，无法独立完成六项基本日常生活活动中的三</w:t>
            </w:r>
            <w:r>
              <w:rPr>
                <w:spacing w:val="-2"/>
                <w:sz w:val="21"/>
              </w:rPr>
              <w:t>项或三项以上。</w:t>
            </w:r>
          </w:p>
        </w:tc>
      </w:tr>
      <w:tr>
        <w:trPr>
          <w:trHeight w:val="1560" w:hRule="atLeast"/>
        </w:trPr>
        <w:tc>
          <w:tcPr>
            <w:tcW w:w="1908" w:type="dxa"/>
          </w:tcPr>
          <w:p>
            <w:pPr>
              <w:pStyle w:val="TableParagraph"/>
              <w:spacing w:line="278" w:lineRule="auto" w:before="0"/>
              <w:ind w:right="108"/>
              <w:jc w:val="both"/>
              <w:rPr>
                <w:sz w:val="21"/>
              </w:rPr>
            </w:pPr>
            <w:r>
              <w:rPr>
                <w:spacing w:val="-2"/>
                <w:sz w:val="21"/>
              </w:rPr>
              <w:t>四、重大器官移植</w:t>
            </w:r>
            <w:r>
              <w:rPr>
                <w:spacing w:val="-2"/>
                <w:sz w:val="21"/>
              </w:rPr>
              <w:t>术或造血干细胞移</w:t>
            </w:r>
            <w:r>
              <w:rPr>
                <w:spacing w:val="-6"/>
                <w:sz w:val="21"/>
              </w:rPr>
              <w:t>植术</w:t>
            </w:r>
          </w:p>
        </w:tc>
        <w:tc>
          <w:tcPr>
            <w:tcW w:w="6810" w:type="dxa"/>
          </w:tcPr>
          <w:p>
            <w:pPr>
              <w:pStyle w:val="TableParagraph"/>
              <w:spacing w:line="278" w:lineRule="auto" w:before="0"/>
              <w:ind w:right="92"/>
              <w:rPr>
                <w:sz w:val="21"/>
              </w:rPr>
            </w:pPr>
            <w:r>
              <w:rPr>
                <w:spacing w:val="-2"/>
                <w:sz w:val="21"/>
              </w:rPr>
              <w:t>重大器官移植术，指因相应器官功能衰竭，已经实施了肾脏、肝脏、心</w:t>
            </w:r>
            <w:r>
              <w:rPr>
                <w:spacing w:val="-2"/>
                <w:sz w:val="21"/>
              </w:rPr>
              <w:t>脏或肺脏的异体移植手术。</w:t>
            </w:r>
          </w:p>
          <w:p>
            <w:pPr>
              <w:pStyle w:val="TableParagraph"/>
              <w:spacing w:line="269" w:lineRule="exact" w:before="0"/>
              <w:rPr>
                <w:sz w:val="21"/>
              </w:rPr>
            </w:pPr>
            <w:r>
              <w:rPr>
                <w:spacing w:val="-1"/>
                <w:sz w:val="21"/>
              </w:rPr>
              <w:t>造血干细胞移植术，指因造血功能损害或造血系统恶性肿瘤，已经实施</w:t>
            </w:r>
          </w:p>
          <w:p>
            <w:pPr>
              <w:pStyle w:val="TableParagraph"/>
              <w:spacing w:line="310" w:lineRule="atLeast" w:before="2"/>
              <w:ind w:right="158"/>
              <w:rPr>
                <w:sz w:val="21"/>
              </w:rPr>
            </w:pPr>
            <w:r>
              <w:rPr>
                <w:spacing w:val="-2"/>
                <w:sz w:val="21"/>
              </w:rPr>
              <w:t>了造血干细胞（包括骨髓造血干细胞、外周血造血干细胞和脐血造血干</w:t>
            </w:r>
            <w:r>
              <w:rPr>
                <w:spacing w:val="-2"/>
                <w:sz w:val="21"/>
              </w:rPr>
              <w:t>细胞）的异体移植手术。</w:t>
            </w:r>
          </w:p>
        </w:tc>
      </w:tr>
    </w:tbl>
    <w:p>
      <w:pPr>
        <w:pStyle w:val="BodyText"/>
        <w:spacing w:before="8"/>
        <w:ind w:left="0"/>
        <w:rPr>
          <w:rFonts w:ascii="黑体"/>
          <w:sz w:val="17"/>
        </w:rPr>
      </w:pPr>
      <w:r>
        <w:rPr/>
        <w:drawing>
          <wp:anchor distT="0" distB="0" distL="0" distR="0" allowOverlap="1" layoutInCell="1" locked="0" behindDoc="0" simplePos="0" relativeHeight="16">
            <wp:simplePos x="0" y="0"/>
            <wp:positionH relativeFrom="page">
              <wp:posOffset>1141475</wp:posOffset>
            </wp:positionH>
            <wp:positionV relativeFrom="paragraph">
              <wp:posOffset>159114</wp:posOffset>
            </wp:positionV>
            <wp:extent cx="1828766" cy="6857"/>
            <wp:effectExtent l="0" t="0" r="0" b="0"/>
            <wp:wrapTopAndBottom/>
            <wp:docPr id="23" name="image2.png"/>
            <wp:cNvGraphicFramePr>
              <a:graphicFrameLocks noChangeAspect="1"/>
            </wp:cNvGraphicFramePr>
            <a:graphic>
              <a:graphicData uri="http://schemas.openxmlformats.org/drawingml/2006/picture">
                <pic:pic>
                  <pic:nvPicPr>
                    <pic:cNvPr id="24" name="image2.png"/>
                    <pic:cNvPicPr/>
                  </pic:nvPicPr>
                  <pic:blipFill>
                    <a:blip r:embed="rId7" cstate="print"/>
                    <a:stretch>
                      <a:fillRect/>
                    </a:stretch>
                  </pic:blipFill>
                  <pic:spPr>
                    <a:xfrm>
                      <a:off x="0" y="0"/>
                      <a:ext cx="1828766" cy="6857"/>
                    </a:xfrm>
                    <a:prstGeom prst="rect">
                      <a:avLst/>
                    </a:prstGeom>
                  </pic:spPr>
                </pic:pic>
              </a:graphicData>
            </a:graphic>
          </wp:anchor>
        </w:drawing>
      </w:r>
    </w:p>
    <w:p>
      <w:pPr>
        <w:spacing w:line="225" w:lineRule="exact" w:before="87"/>
        <w:ind w:left="737" w:right="0" w:firstLine="0"/>
        <w:jc w:val="left"/>
        <w:rPr>
          <w:sz w:val="18"/>
        </w:rPr>
      </w:pPr>
      <w:r>
        <w:rPr>
          <w:rFonts w:ascii="Times New Roman" w:eastAsia="Times New Roman"/>
          <w:w w:val="95"/>
          <w:sz w:val="18"/>
          <w:vertAlign w:val="superscript"/>
        </w:rPr>
        <w:t>55</w:t>
      </w:r>
      <w:r>
        <w:rPr>
          <w:b/>
          <w:w w:val="95"/>
          <w:sz w:val="18"/>
          <w:vertAlign w:val="baseline"/>
        </w:rPr>
        <w:t>肢</w:t>
      </w:r>
      <w:r>
        <w:rPr>
          <w:b/>
          <w:w w:val="95"/>
          <w:sz w:val="18"/>
          <w:vertAlign w:val="baseline"/>
        </w:rPr>
        <w:t>体</w:t>
      </w:r>
      <w:r>
        <w:rPr>
          <w:b/>
          <w:w w:val="95"/>
          <w:sz w:val="18"/>
          <w:vertAlign w:val="baseline"/>
        </w:rPr>
        <w:t>机能</w:t>
      </w:r>
      <w:r>
        <w:rPr>
          <w:b/>
          <w:w w:val="95"/>
          <w:sz w:val="18"/>
          <w:vertAlign w:val="baseline"/>
        </w:rPr>
        <w:t>完</w:t>
      </w:r>
      <w:r>
        <w:rPr>
          <w:b/>
          <w:w w:val="95"/>
          <w:sz w:val="18"/>
          <w:vertAlign w:val="baseline"/>
        </w:rPr>
        <w:t>全</w:t>
      </w:r>
      <w:r>
        <w:rPr>
          <w:b/>
          <w:w w:val="95"/>
          <w:sz w:val="18"/>
          <w:vertAlign w:val="baseline"/>
        </w:rPr>
        <w:t>丧</w:t>
      </w:r>
      <w:r>
        <w:rPr>
          <w:b/>
          <w:w w:val="95"/>
          <w:sz w:val="18"/>
          <w:vertAlign w:val="baseline"/>
        </w:rPr>
        <w:t>失</w:t>
      </w:r>
      <w:r>
        <w:rPr>
          <w:w w:val="95"/>
          <w:sz w:val="18"/>
          <w:vertAlign w:val="baseline"/>
        </w:rPr>
        <w:t>：</w:t>
      </w:r>
      <w:r>
        <w:rPr>
          <w:w w:val="95"/>
          <w:sz w:val="18"/>
          <w:vertAlign w:val="baseline"/>
        </w:rPr>
        <w:t>指</w:t>
      </w:r>
      <w:r>
        <w:rPr>
          <w:w w:val="95"/>
          <w:sz w:val="18"/>
          <w:vertAlign w:val="baseline"/>
        </w:rPr>
        <w:t>肢</w:t>
      </w:r>
      <w:r>
        <w:rPr>
          <w:w w:val="95"/>
          <w:sz w:val="18"/>
          <w:vertAlign w:val="baseline"/>
        </w:rPr>
        <w:t>体</w:t>
      </w:r>
      <w:r>
        <w:rPr>
          <w:w w:val="95"/>
          <w:sz w:val="18"/>
          <w:vertAlign w:val="baseline"/>
        </w:rPr>
        <w:t>的</w:t>
      </w:r>
      <w:r>
        <w:rPr>
          <w:w w:val="95"/>
          <w:sz w:val="18"/>
          <w:vertAlign w:val="baseline"/>
        </w:rPr>
        <w:t>三</w:t>
      </w:r>
      <w:r>
        <w:rPr>
          <w:w w:val="95"/>
          <w:sz w:val="18"/>
          <w:vertAlign w:val="baseline"/>
        </w:rPr>
        <w:t>大</w:t>
      </w:r>
      <w:r>
        <w:rPr>
          <w:w w:val="95"/>
          <w:sz w:val="18"/>
          <w:vertAlign w:val="baseline"/>
        </w:rPr>
        <w:t>关</w:t>
      </w:r>
      <w:r>
        <w:rPr>
          <w:w w:val="95"/>
          <w:sz w:val="18"/>
          <w:vertAlign w:val="baseline"/>
        </w:rPr>
        <w:t>节</w:t>
      </w:r>
      <w:r>
        <w:rPr>
          <w:w w:val="95"/>
          <w:sz w:val="18"/>
          <w:vertAlign w:val="baseline"/>
        </w:rPr>
        <w:t>中</w:t>
      </w:r>
      <w:r>
        <w:rPr>
          <w:w w:val="95"/>
          <w:sz w:val="18"/>
          <w:vertAlign w:val="baseline"/>
        </w:rPr>
        <w:t>的</w:t>
      </w:r>
      <w:r>
        <w:rPr>
          <w:w w:val="95"/>
          <w:sz w:val="18"/>
          <w:vertAlign w:val="baseline"/>
        </w:rPr>
        <w:t>两</w:t>
      </w:r>
      <w:r>
        <w:rPr>
          <w:w w:val="95"/>
          <w:sz w:val="18"/>
          <w:vertAlign w:val="baseline"/>
        </w:rPr>
        <w:t>大</w:t>
      </w:r>
      <w:r>
        <w:rPr>
          <w:w w:val="95"/>
          <w:sz w:val="18"/>
          <w:vertAlign w:val="baseline"/>
        </w:rPr>
        <w:t>关</w:t>
      </w:r>
      <w:r>
        <w:rPr>
          <w:w w:val="95"/>
          <w:sz w:val="18"/>
          <w:vertAlign w:val="baseline"/>
        </w:rPr>
        <w:t>节</w:t>
      </w:r>
      <w:r>
        <w:rPr>
          <w:w w:val="95"/>
          <w:sz w:val="18"/>
          <w:vertAlign w:val="baseline"/>
        </w:rPr>
        <w:t>僵</w:t>
      </w:r>
      <w:r>
        <w:rPr>
          <w:w w:val="95"/>
          <w:sz w:val="18"/>
          <w:vertAlign w:val="baseline"/>
        </w:rPr>
        <w:t>硬</w:t>
      </w:r>
      <w:r>
        <w:rPr>
          <w:w w:val="95"/>
          <w:sz w:val="18"/>
          <w:vertAlign w:val="baseline"/>
        </w:rPr>
        <w:t>，</w:t>
      </w:r>
      <w:r>
        <w:rPr>
          <w:w w:val="95"/>
          <w:sz w:val="18"/>
          <w:vertAlign w:val="baseline"/>
        </w:rPr>
        <w:t>或</w:t>
      </w:r>
      <w:r>
        <w:rPr>
          <w:w w:val="95"/>
          <w:sz w:val="18"/>
          <w:vertAlign w:val="baseline"/>
        </w:rPr>
        <w:t>不</w:t>
      </w:r>
      <w:r>
        <w:rPr>
          <w:w w:val="95"/>
          <w:sz w:val="18"/>
          <w:vertAlign w:val="baseline"/>
        </w:rPr>
        <w:t>能</w:t>
      </w:r>
      <w:r>
        <w:rPr>
          <w:w w:val="95"/>
          <w:sz w:val="18"/>
          <w:vertAlign w:val="baseline"/>
        </w:rPr>
        <w:t>随</w:t>
      </w:r>
      <w:r>
        <w:rPr>
          <w:w w:val="95"/>
          <w:sz w:val="18"/>
          <w:vertAlign w:val="baseline"/>
        </w:rPr>
        <w:t>意</w:t>
      </w:r>
      <w:r>
        <w:rPr>
          <w:w w:val="95"/>
          <w:sz w:val="18"/>
          <w:vertAlign w:val="baseline"/>
        </w:rPr>
        <w:t>识</w:t>
      </w:r>
      <w:r>
        <w:rPr>
          <w:w w:val="95"/>
          <w:sz w:val="18"/>
          <w:vertAlign w:val="baseline"/>
        </w:rPr>
        <w:t>活</w:t>
      </w:r>
      <w:r>
        <w:rPr>
          <w:w w:val="95"/>
          <w:sz w:val="18"/>
          <w:vertAlign w:val="baseline"/>
        </w:rPr>
        <w:t>动</w:t>
      </w:r>
      <w:r>
        <w:rPr>
          <w:w w:val="95"/>
          <w:sz w:val="18"/>
          <w:vertAlign w:val="baseline"/>
        </w:rPr>
        <w:t>。</w:t>
      </w:r>
      <w:r>
        <w:rPr>
          <w:w w:val="95"/>
          <w:sz w:val="18"/>
          <w:vertAlign w:val="baseline"/>
        </w:rPr>
        <w:t>肢</w:t>
      </w:r>
      <w:r>
        <w:rPr>
          <w:w w:val="95"/>
          <w:sz w:val="18"/>
          <w:vertAlign w:val="baseline"/>
        </w:rPr>
        <w:t>体</w:t>
      </w:r>
      <w:r>
        <w:rPr>
          <w:w w:val="95"/>
          <w:sz w:val="18"/>
          <w:vertAlign w:val="baseline"/>
        </w:rPr>
        <w:t>是</w:t>
      </w:r>
      <w:r>
        <w:rPr>
          <w:w w:val="95"/>
          <w:sz w:val="18"/>
          <w:vertAlign w:val="baseline"/>
        </w:rPr>
        <w:t>指</w:t>
      </w:r>
      <w:r>
        <w:rPr>
          <w:w w:val="95"/>
          <w:sz w:val="18"/>
          <w:vertAlign w:val="baseline"/>
        </w:rPr>
        <w:t>包</w:t>
      </w:r>
      <w:r>
        <w:rPr>
          <w:w w:val="95"/>
          <w:sz w:val="18"/>
          <w:vertAlign w:val="baseline"/>
        </w:rPr>
        <w:t>括</w:t>
      </w:r>
      <w:r>
        <w:rPr>
          <w:w w:val="95"/>
          <w:sz w:val="18"/>
          <w:vertAlign w:val="baseline"/>
        </w:rPr>
        <w:t>肩</w:t>
      </w:r>
      <w:r>
        <w:rPr>
          <w:w w:val="95"/>
          <w:sz w:val="18"/>
          <w:vertAlign w:val="baseline"/>
        </w:rPr>
        <w:t>关</w:t>
      </w:r>
      <w:r>
        <w:rPr>
          <w:w w:val="95"/>
          <w:sz w:val="18"/>
          <w:vertAlign w:val="baseline"/>
        </w:rPr>
        <w:t>节</w:t>
      </w:r>
      <w:r>
        <w:rPr>
          <w:spacing w:val="-10"/>
          <w:w w:val="95"/>
          <w:sz w:val="18"/>
          <w:vertAlign w:val="baseline"/>
        </w:rPr>
        <w:t>的</w:t>
      </w:r>
    </w:p>
    <w:p>
      <w:pPr>
        <w:spacing w:line="220" w:lineRule="exact" w:before="0"/>
        <w:ind w:left="737" w:right="0" w:firstLine="0"/>
        <w:jc w:val="left"/>
        <w:rPr>
          <w:sz w:val="18"/>
        </w:rPr>
      </w:pPr>
      <w:r>
        <w:rPr>
          <w:spacing w:val="-1"/>
          <w:sz w:val="18"/>
        </w:rPr>
        <w:t>整个上肢或包括髋关节的整个下肢。</w:t>
      </w:r>
    </w:p>
    <w:p>
      <w:pPr>
        <w:spacing w:line="220" w:lineRule="exact" w:before="0"/>
        <w:ind w:left="737" w:right="0" w:firstLine="0"/>
        <w:jc w:val="left"/>
        <w:rPr>
          <w:sz w:val="18"/>
        </w:rPr>
      </w:pPr>
      <w:r>
        <w:rPr>
          <w:rFonts w:ascii="Times New Roman" w:eastAsia="Times New Roman"/>
          <w:w w:val="95"/>
          <w:sz w:val="18"/>
          <w:vertAlign w:val="superscript"/>
        </w:rPr>
        <w:t>56</w:t>
      </w:r>
      <w:r>
        <w:rPr>
          <w:b/>
          <w:w w:val="95"/>
          <w:sz w:val="18"/>
          <w:vertAlign w:val="baseline"/>
        </w:rPr>
        <w:t>语</w:t>
      </w:r>
      <w:r>
        <w:rPr>
          <w:b/>
          <w:w w:val="95"/>
          <w:sz w:val="18"/>
          <w:vertAlign w:val="baseline"/>
        </w:rPr>
        <w:t>言</w:t>
      </w:r>
      <w:r>
        <w:rPr>
          <w:b/>
          <w:w w:val="95"/>
          <w:sz w:val="18"/>
          <w:vertAlign w:val="baseline"/>
        </w:rPr>
        <w:t>能力</w:t>
      </w:r>
      <w:r>
        <w:rPr>
          <w:b/>
          <w:w w:val="95"/>
          <w:sz w:val="18"/>
          <w:vertAlign w:val="baseline"/>
        </w:rPr>
        <w:t>或</w:t>
      </w:r>
      <w:r>
        <w:rPr>
          <w:b/>
          <w:w w:val="95"/>
          <w:sz w:val="18"/>
          <w:vertAlign w:val="baseline"/>
        </w:rPr>
        <w:t>咀</w:t>
      </w:r>
      <w:r>
        <w:rPr>
          <w:b/>
          <w:w w:val="95"/>
          <w:sz w:val="18"/>
          <w:vertAlign w:val="baseline"/>
        </w:rPr>
        <w:t>嚼</w:t>
      </w:r>
      <w:r>
        <w:rPr>
          <w:b/>
          <w:w w:val="95"/>
          <w:sz w:val="18"/>
          <w:vertAlign w:val="baseline"/>
        </w:rPr>
        <w:t>吞</w:t>
      </w:r>
      <w:r>
        <w:rPr>
          <w:b/>
          <w:w w:val="95"/>
          <w:sz w:val="18"/>
          <w:vertAlign w:val="baseline"/>
        </w:rPr>
        <w:t>咽能</w:t>
      </w:r>
      <w:r>
        <w:rPr>
          <w:b/>
          <w:w w:val="95"/>
          <w:sz w:val="18"/>
          <w:vertAlign w:val="baseline"/>
        </w:rPr>
        <w:t>力</w:t>
      </w:r>
      <w:r>
        <w:rPr>
          <w:b/>
          <w:w w:val="95"/>
          <w:sz w:val="18"/>
          <w:vertAlign w:val="baseline"/>
        </w:rPr>
        <w:t>完</w:t>
      </w:r>
      <w:r>
        <w:rPr>
          <w:b/>
          <w:w w:val="95"/>
          <w:sz w:val="18"/>
          <w:vertAlign w:val="baseline"/>
        </w:rPr>
        <w:t>全</w:t>
      </w:r>
      <w:r>
        <w:rPr>
          <w:b/>
          <w:w w:val="95"/>
          <w:sz w:val="18"/>
          <w:vertAlign w:val="baseline"/>
        </w:rPr>
        <w:t>丧</w:t>
      </w:r>
      <w:r>
        <w:rPr>
          <w:b/>
          <w:w w:val="95"/>
          <w:sz w:val="18"/>
          <w:vertAlign w:val="baseline"/>
        </w:rPr>
        <w:t>失</w:t>
      </w:r>
      <w:r>
        <w:rPr>
          <w:w w:val="95"/>
          <w:sz w:val="18"/>
          <w:vertAlign w:val="baseline"/>
        </w:rPr>
        <w:t>：</w:t>
      </w:r>
      <w:r>
        <w:rPr>
          <w:w w:val="95"/>
          <w:sz w:val="18"/>
          <w:vertAlign w:val="baseline"/>
        </w:rPr>
        <w:t>语</w:t>
      </w:r>
      <w:r>
        <w:rPr>
          <w:w w:val="95"/>
          <w:sz w:val="18"/>
          <w:vertAlign w:val="baseline"/>
        </w:rPr>
        <w:t>言</w:t>
      </w:r>
      <w:r>
        <w:rPr>
          <w:w w:val="95"/>
          <w:sz w:val="18"/>
          <w:vertAlign w:val="baseline"/>
        </w:rPr>
        <w:t>能</w:t>
      </w:r>
      <w:r>
        <w:rPr>
          <w:w w:val="95"/>
          <w:sz w:val="18"/>
          <w:vertAlign w:val="baseline"/>
        </w:rPr>
        <w:t>力</w:t>
      </w:r>
      <w:r>
        <w:rPr>
          <w:w w:val="95"/>
          <w:sz w:val="18"/>
          <w:vertAlign w:val="baseline"/>
        </w:rPr>
        <w:t>完</w:t>
      </w:r>
      <w:r>
        <w:rPr>
          <w:w w:val="95"/>
          <w:sz w:val="18"/>
          <w:vertAlign w:val="baseline"/>
        </w:rPr>
        <w:t>全</w:t>
      </w:r>
      <w:r>
        <w:rPr>
          <w:w w:val="95"/>
          <w:sz w:val="18"/>
          <w:vertAlign w:val="baseline"/>
        </w:rPr>
        <w:t>丧</w:t>
      </w:r>
      <w:r>
        <w:rPr>
          <w:w w:val="95"/>
          <w:sz w:val="18"/>
          <w:vertAlign w:val="baseline"/>
        </w:rPr>
        <w:t>失</w:t>
      </w:r>
      <w:r>
        <w:rPr>
          <w:w w:val="95"/>
          <w:sz w:val="18"/>
          <w:vertAlign w:val="baseline"/>
        </w:rPr>
        <w:t>，</w:t>
      </w:r>
      <w:r>
        <w:rPr>
          <w:w w:val="95"/>
          <w:sz w:val="18"/>
          <w:vertAlign w:val="baseline"/>
        </w:rPr>
        <w:t>指</w:t>
      </w:r>
      <w:r>
        <w:rPr>
          <w:w w:val="95"/>
          <w:sz w:val="18"/>
          <w:vertAlign w:val="baseline"/>
        </w:rPr>
        <w:t>无</w:t>
      </w:r>
      <w:r>
        <w:rPr>
          <w:w w:val="95"/>
          <w:sz w:val="18"/>
          <w:vertAlign w:val="baseline"/>
        </w:rPr>
        <w:t>法</w:t>
      </w:r>
      <w:r>
        <w:rPr>
          <w:w w:val="95"/>
          <w:sz w:val="18"/>
          <w:vertAlign w:val="baseline"/>
        </w:rPr>
        <w:t>发</w:t>
      </w:r>
      <w:r>
        <w:rPr>
          <w:w w:val="95"/>
          <w:sz w:val="18"/>
          <w:vertAlign w:val="baseline"/>
        </w:rPr>
        <w:t>出</w:t>
      </w:r>
      <w:r>
        <w:rPr>
          <w:w w:val="95"/>
          <w:sz w:val="18"/>
          <w:vertAlign w:val="baseline"/>
        </w:rPr>
        <w:t>四</w:t>
      </w:r>
      <w:r>
        <w:rPr>
          <w:w w:val="95"/>
          <w:sz w:val="18"/>
          <w:vertAlign w:val="baseline"/>
        </w:rPr>
        <w:t>种</w:t>
      </w:r>
      <w:r>
        <w:rPr>
          <w:w w:val="95"/>
          <w:sz w:val="18"/>
          <w:vertAlign w:val="baseline"/>
        </w:rPr>
        <w:t>语</w:t>
      </w:r>
      <w:r>
        <w:rPr>
          <w:w w:val="95"/>
          <w:sz w:val="18"/>
          <w:vertAlign w:val="baseline"/>
        </w:rPr>
        <w:t>音</w:t>
      </w:r>
      <w:r>
        <w:rPr>
          <w:w w:val="95"/>
          <w:sz w:val="18"/>
          <w:vertAlign w:val="baseline"/>
        </w:rPr>
        <w:t>（</w:t>
      </w:r>
      <w:r>
        <w:rPr>
          <w:w w:val="95"/>
          <w:sz w:val="18"/>
          <w:vertAlign w:val="baseline"/>
        </w:rPr>
        <w:t>包</w:t>
      </w:r>
      <w:r>
        <w:rPr>
          <w:w w:val="95"/>
          <w:sz w:val="18"/>
          <w:vertAlign w:val="baseline"/>
        </w:rPr>
        <w:t>括</w:t>
      </w:r>
      <w:r>
        <w:rPr>
          <w:w w:val="95"/>
          <w:sz w:val="18"/>
          <w:vertAlign w:val="baseline"/>
        </w:rPr>
        <w:t>口</w:t>
      </w:r>
      <w:r>
        <w:rPr>
          <w:w w:val="95"/>
          <w:sz w:val="18"/>
          <w:vertAlign w:val="baseline"/>
        </w:rPr>
        <w:t>唇</w:t>
      </w:r>
      <w:r>
        <w:rPr>
          <w:w w:val="95"/>
          <w:sz w:val="18"/>
          <w:vertAlign w:val="baseline"/>
        </w:rPr>
        <w:t>音</w:t>
      </w:r>
      <w:r>
        <w:rPr>
          <w:w w:val="95"/>
          <w:sz w:val="18"/>
          <w:vertAlign w:val="baseline"/>
        </w:rPr>
        <w:t>、</w:t>
      </w:r>
      <w:r>
        <w:rPr>
          <w:w w:val="95"/>
          <w:sz w:val="18"/>
          <w:vertAlign w:val="baseline"/>
        </w:rPr>
        <w:t>齿</w:t>
      </w:r>
      <w:r>
        <w:rPr>
          <w:w w:val="95"/>
          <w:sz w:val="18"/>
          <w:vertAlign w:val="baseline"/>
        </w:rPr>
        <w:t>舌</w:t>
      </w:r>
      <w:r>
        <w:rPr>
          <w:w w:val="95"/>
          <w:sz w:val="18"/>
          <w:vertAlign w:val="baseline"/>
        </w:rPr>
        <w:t>音</w:t>
      </w:r>
      <w:r>
        <w:rPr>
          <w:spacing w:val="-10"/>
          <w:w w:val="95"/>
          <w:sz w:val="18"/>
          <w:vertAlign w:val="baseline"/>
        </w:rPr>
        <w:t>、</w:t>
      </w:r>
    </w:p>
    <w:p>
      <w:pPr>
        <w:spacing w:line="220" w:lineRule="exact" w:before="0"/>
        <w:ind w:left="737" w:right="0" w:firstLine="0"/>
        <w:jc w:val="left"/>
        <w:rPr>
          <w:sz w:val="18"/>
        </w:rPr>
      </w:pPr>
      <w:r>
        <w:rPr>
          <w:sz w:val="18"/>
        </w:rPr>
        <w:t>口盖音和喉头音）</w:t>
      </w:r>
      <w:r>
        <w:rPr>
          <w:spacing w:val="-1"/>
          <w:sz w:val="18"/>
        </w:rPr>
        <w:t>中的任何三种、或声带全部切除，或因大脑语言中枢受伤害而患失语症。</w:t>
      </w:r>
    </w:p>
    <w:p>
      <w:pPr>
        <w:spacing w:line="228" w:lineRule="auto" w:before="4"/>
        <w:ind w:left="737" w:right="764" w:firstLine="0"/>
        <w:jc w:val="left"/>
        <w:rPr>
          <w:sz w:val="18"/>
        </w:rPr>
      </w:pPr>
      <w:r>
        <w:rPr>
          <w:spacing w:val="-2"/>
          <w:sz w:val="18"/>
        </w:rPr>
        <w:t>咀嚼吞咽能力完全丧失，指因牙齿以外的原因导致器质障碍或机能障碍，以致不能作咀嚼吞咽运动，除流</w:t>
      </w:r>
      <w:r>
        <w:rPr>
          <w:spacing w:val="-2"/>
          <w:sz w:val="18"/>
        </w:rPr>
        <w:t>质食物外不能摄取或吞咽的状态。</w:t>
      </w:r>
    </w:p>
    <w:p>
      <w:pPr>
        <w:spacing w:after="0" w:line="228" w:lineRule="auto"/>
        <w:jc w:val="left"/>
        <w:rPr>
          <w:sz w:val="18"/>
        </w:rPr>
        <w:sectPr>
          <w:pgSz w:w="11910" w:h="16840"/>
          <w:pgMar w:header="0" w:footer="1168" w:top="1600" w:bottom="1360" w:left="1060" w:right="1060"/>
        </w:sectPr>
      </w:pPr>
    </w:p>
    <w:tbl>
      <w:tblPr>
        <w:tblW w:w="0" w:type="auto"/>
        <w:jc w:val="left"/>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08"/>
        <w:gridCol w:w="6810"/>
      </w:tblGrid>
      <w:tr>
        <w:trPr>
          <w:trHeight w:val="1248" w:hRule="atLeast"/>
        </w:trPr>
        <w:tc>
          <w:tcPr>
            <w:tcW w:w="1908" w:type="dxa"/>
          </w:tcPr>
          <w:p>
            <w:pPr>
              <w:pStyle w:val="TableParagraph"/>
              <w:spacing w:line="278" w:lineRule="auto" w:before="21"/>
              <w:ind w:right="108"/>
              <w:jc w:val="both"/>
              <w:rPr>
                <w:sz w:val="21"/>
              </w:rPr>
            </w:pPr>
            <w:r>
              <w:rPr>
                <w:spacing w:val="-2"/>
                <w:sz w:val="21"/>
              </w:rPr>
              <w:t>五、冠状动脉搭桥</w:t>
            </w:r>
            <w:r>
              <w:rPr>
                <w:spacing w:val="-2"/>
                <w:sz w:val="21"/>
              </w:rPr>
              <w:t>术（或称冠状动脉</w:t>
            </w:r>
            <w:r>
              <w:rPr>
                <w:spacing w:val="-2"/>
                <w:sz w:val="21"/>
              </w:rPr>
              <w:t>旁路移植术）</w:t>
            </w:r>
          </w:p>
        </w:tc>
        <w:tc>
          <w:tcPr>
            <w:tcW w:w="6810" w:type="dxa"/>
          </w:tcPr>
          <w:p>
            <w:pPr>
              <w:pStyle w:val="TableParagraph"/>
              <w:spacing w:line="278" w:lineRule="auto" w:before="21"/>
              <w:ind w:right="92"/>
              <w:rPr>
                <w:sz w:val="21"/>
              </w:rPr>
            </w:pPr>
            <w:r>
              <w:rPr>
                <w:spacing w:val="-2"/>
                <w:sz w:val="21"/>
              </w:rPr>
              <w:t>指为治疗严重的冠心病，实际实施了开胸进行的冠状动脉血管旁路移植</w:t>
            </w:r>
            <w:r>
              <w:rPr>
                <w:spacing w:val="-4"/>
                <w:sz w:val="21"/>
              </w:rPr>
              <w:t>的手术。</w:t>
            </w:r>
          </w:p>
          <w:p>
            <w:pPr>
              <w:pStyle w:val="TableParagraph"/>
              <w:spacing w:line="269" w:lineRule="exact" w:before="0"/>
              <w:rPr>
                <w:rFonts w:ascii="黑体" w:eastAsia="黑体"/>
                <w:sz w:val="21"/>
              </w:rPr>
            </w:pPr>
            <w:r>
              <w:rPr>
                <w:rFonts w:ascii="黑体" w:eastAsia="黑体"/>
                <w:color w:val="000000"/>
                <w:spacing w:val="-1"/>
                <w:sz w:val="21"/>
                <w:shd w:fill="D9D9D9" w:color="auto" w:val="clear"/>
              </w:rPr>
              <w:t>冠状动脉支架植入术、心导管球囊扩张术、激光射频技术及其它非开胸</w:t>
            </w:r>
          </w:p>
          <w:p>
            <w:pPr>
              <w:pStyle w:val="TableParagraph"/>
              <w:rPr>
                <w:rFonts w:ascii="黑体" w:eastAsia="黑体"/>
                <w:sz w:val="21"/>
              </w:rPr>
            </w:pPr>
            <w:r>
              <w:rPr>
                <w:rFonts w:ascii="黑体" w:eastAsia="黑体"/>
                <w:color w:val="000000"/>
                <w:spacing w:val="-1"/>
                <w:sz w:val="21"/>
                <w:shd w:fill="D9D9D9" w:color="auto" w:val="clear"/>
              </w:rPr>
              <w:t>的介入手术、腔镜手术不在保障范围内。</w:t>
            </w:r>
          </w:p>
        </w:tc>
      </w:tr>
      <w:tr>
        <w:trPr>
          <w:trHeight w:val="935" w:hRule="atLeast"/>
        </w:trPr>
        <w:tc>
          <w:tcPr>
            <w:tcW w:w="1908" w:type="dxa"/>
          </w:tcPr>
          <w:p>
            <w:pPr>
              <w:pStyle w:val="TableParagraph"/>
              <w:spacing w:line="278" w:lineRule="auto" w:before="20"/>
              <w:ind w:right="96"/>
              <w:rPr>
                <w:sz w:val="21"/>
              </w:rPr>
            </w:pPr>
            <w:r>
              <w:rPr>
                <w:spacing w:val="-31"/>
                <w:sz w:val="21"/>
              </w:rPr>
              <w:t>六、终末期肾病</w:t>
            </w:r>
            <w:r>
              <w:rPr>
                <w:spacing w:val="-2"/>
                <w:sz w:val="21"/>
              </w:rPr>
              <w:t>（</w:t>
            </w:r>
            <w:r>
              <w:rPr>
                <w:spacing w:val="-2"/>
                <w:sz w:val="21"/>
              </w:rPr>
              <w:t>或</w:t>
            </w:r>
            <w:r>
              <w:rPr>
                <w:spacing w:val="-2"/>
                <w:sz w:val="21"/>
              </w:rPr>
              <w:t>称慢性肾功能衰竭</w:t>
            </w:r>
          </w:p>
          <w:p>
            <w:pPr>
              <w:pStyle w:val="TableParagraph"/>
              <w:spacing w:line="269" w:lineRule="exact" w:before="0"/>
              <w:rPr>
                <w:sz w:val="21"/>
              </w:rPr>
            </w:pPr>
            <w:r>
              <w:rPr>
                <w:sz w:val="21"/>
              </w:rPr>
              <w:t>尿毒症期</w:t>
            </w:r>
            <w:r>
              <w:rPr>
                <w:spacing w:val="-10"/>
                <w:sz w:val="21"/>
              </w:rPr>
              <w:t>）</w:t>
            </w:r>
          </w:p>
        </w:tc>
        <w:tc>
          <w:tcPr>
            <w:tcW w:w="6810" w:type="dxa"/>
          </w:tcPr>
          <w:p>
            <w:pPr>
              <w:pStyle w:val="TableParagraph"/>
              <w:spacing w:line="278" w:lineRule="auto" w:before="20"/>
              <w:ind w:right="92"/>
              <w:rPr>
                <w:sz w:val="21"/>
              </w:rPr>
            </w:pPr>
            <w:r>
              <w:rPr>
                <w:spacing w:val="-2"/>
                <w:sz w:val="21"/>
              </w:rPr>
              <w:t>指双肾功能慢性不可逆性衰竭，达到尿毒症期，经诊断后已经进行了至</w:t>
            </w:r>
            <w:r>
              <w:rPr>
                <w:spacing w:val="-2"/>
                <w:sz w:val="21"/>
              </w:rPr>
              <w:t>少九十天的规律性透析治疗或实施了肾脏移植手术。</w:t>
            </w:r>
          </w:p>
        </w:tc>
      </w:tr>
      <w:tr>
        <w:trPr>
          <w:trHeight w:val="688" w:hRule="atLeast"/>
        </w:trPr>
        <w:tc>
          <w:tcPr>
            <w:tcW w:w="1908" w:type="dxa"/>
          </w:tcPr>
          <w:p>
            <w:pPr>
              <w:pStyle w:val="TableParagraph"/>
              <w:spacing w:before="20"/>
              <w:rPr>
                <w:sz w:val="21"/>
              </w:rPr>
            </w:pPr>
            <w:r>
              <w:rPr>
                <w:spacing w:val="-2"/>
                <w:sz w:val="21"/>
              </w:rPr>
              <w:t>七、多个肢体缺失</w:t>
            </w:r>
          </w:p>
        </w:tc>
        <w:tc>
          <w:tcPr>
            <w:tcW w:w="6810" w:type="dxa"/>
          </w:tcPr>
          <w:p>
            <w:pPr>
              <w:pStyle w:val="TableParagraph"/>
              <w:spacing w:before="20"/>
              <w:rPr>
                <w:sz w:val="21"/>
              </w:rPr>
            </w:pPr>
            <w:r>
              <w:rPr>
                <w:spacing w:val="-1"/>
                <w:sz w:val="21"/>
              </w:rPr>
              <w:t>指因疾病或意外伤害导致两个或两个以上肢体自腕关节或踝关节近端</w:t>
            </w:r>
          </w:p>
          <w:p>
            <w:pPr>
              <w:pStyle w:val="TableParagraph"/>
              <w:rPr>
                <w:sz w:val="21"/>
              </w:rPr>
            </w:pPr>
            <w:r>
              <w:rPr>
                <w:sz w:val="21"/>
              </w:rPr>
              <w:t>（靠近躯干端）</w:t>
            </w:r>
            <w:r>
              <w:rPr>
                <w:spacing w:val="-2"/>
                <w:sz w:val="21"/>
              </w:rPr>
              <w:t>以上完全性断离。</w:t>
            </w:r>
          </w:p>
        </w:tc>
      </w:tr>
      <w:tr>
        <w:trPr>
          <w:trHeight w:val="2030" w:hRule="atLeast"/>
        </w:trPr>
        <w:tc>
          <w:tcPr>
            <w:tcW w:w="1908" w:type="dxa"/>
          </w:tcPr>
          <w:p>
            <w:pPr>
              <w:pStyle w:val="TableParagraph"/>
              <w:spacing w:line="278" w:lineRule="auto" w:before="20"/>
              <w:ind w:right="96"/>
              <w:rPr>
                <w:sz w:val="21"/>
              </w:rPr>
            </w:pPr>
            <w:r>
              <w:rPr>
                <w:spacing w:val="-2"/>
                <w:sz w:val="21"/>
              </w:rPr>
              <w:t>八、急性或亚急性</w:t>
            </w:r>
            <w:r>
              <w:rPr>
                <w:spacing w:val="-4"/>
                <w:sz w:val="21"/>
              </w:rPr>
              <w:t>重症肝炎</w:t>
            </w:r>
          </w:p>
        </w:tc>
        <w:tc>
          <w:tcPr>
            <w:tcW w:w="6810" w:type="dxa"/>
          </w:tcPr>
          <w:p>
            <w:pPr>
              <w:pStyle w:val="TableParagraph"/>
              <w:spacing w:line="278" w:lineRule="auto" w:before="20"/>
              <w:ind w:right="92"/>
              <w:rPr>
                <w:sz w:val="21"/>
              </w:rPr>
            </w:pPr>
            <w:r>
              <w:rPr>
                <w:spacing w:val="-2"/>
                <w:sz w:val="21"/>
              </w:rPr>
              <w:t>指因肝炎病毒感染引起肝脏组织弥漫性坏死，导致急性肝功能衰竭，且</w:t>
            </w:r>
            <w:r>
              <w:rPr>
                <w:spacing w:val="-2"/>
                <w:sz w:val="21"/>
              </w:rPr>
              <w:t>经血清学或病毒学检查证实，并须满足下列全部条件：</w:t>
            </w:r>
          </w:p>
          <w:p>
            <w:pPr>
              <w:pStyle w:val="TableParagraph"/>
              <w:numPr>
                <w:ilvl w:val="0"/>
                <w:numId w:val="12"/>
              </w:numPr>
              <w:tabs>
                <w:tab w:pos="468" w:val="left" w:leader="none"/>
              </w:tabs>
              <w:spacing w:line="269" w:lineRule="exact" w:before="0" w:after="0"/>
              <w:ind w:left="467" w:right="0" w:hanging="361"/>
              <w:jc w:val="left"/>
              <w:rPr>
                <w:sz w:val="21"/>
              </w:rPr>
            </w:pPr>
            <w:r>
              <w:rPr>
                <w:spacing w:val="-1"/>
                <w:sz w:val="21"/>
              </w:rPr>
              <w:t>重度黄疸或黄疸迅速加重；</w:t>
            </w:r>
          </w:p>
          <w:p>
            <w:pPr>
              <w:pStyle w:val="TableParagraph"/>
              <w:numPr>
                <w:ilvl w:val="0"/>
                <w:numId w:val="12"/>
              </w:numPr>
              <w:tabs>
                <w:tab w:pos="468" w:val="left" w:leader="none"/>
              </w:tabs>
              <w:spacing w:line="240" w:lineRule="auto" w:before="43" w:after="0"/>
              <w:ind w:left="467" w:right="0" w:hanging="361"/>
              <w:jc w:val="left"/>
              <w:rPr>
                <w:sz w:val="21"/>
              </w:rPr>
            </w:pPr>
            <w:r>
              <w:rPr>
                <w:spacing w:val="-2"/>
                <w:sz w:val="21"/>
              </w:rPr>
              <w:t>肝性脑病；</w:t>
            </w:r>
          </w:p>
          <w:p>
            <w:pPr>
              <w:pStyle w:val="TableParagraph"/>
              <w:numPr>
                <w:ilvl w:val="0"/>
                <w:numId w:val="12"/>
              </w:numPr>
              <w:tabs>
                <w:tab w:pos="468" w:val="left" w:leader="none"/>
              </w:tabs>
              <w:spacing w:line="240" w:lineRule="auto" w:before="43" w:after="0"/>
              <w:ind w:left="467" w:right="0" w:hanging="361"/>
              <w:jc w:val="left"/>
              <w:rPr>
                <w:sz w:val="21"/>
              </w:rPr>
            </w:pPr>
            <w:r>
              <w:rPr>
                <w:rFonts w:ascii="Times New Roman" w:eastAsia="Times New Roman"/>
                <w:sz w:val="21"/>
              </w:rPr>
              <w:t>B</w:t>
            </w:r>
            <w:r>
              <w:rPr>
                <w:rFonts w:ascii="Times New Roman" w:eastAsia="Times New Roman"/>
                <w:spacing w:val="-2"/>
                <w:sz w:val="21"/>
              </w:rPr>
              <w:t> </w:t>
            </w:r>
            <w:r>
              <w:rPr>
                <w:spacing w:val="-1"/>
                <w:sz w:val="21"/>
              </w:rPr>
              <w:t>超或其它影像学检查显示肝脏体积急速萎缩；</w:t>
            </w:r>
          </w:p>
          <w:p>
            <w:pPr>
              <w:pStyle w:val="TableParagraph"/>
              <w:numPr>
                <w:ilvl w:val="0"/>
                <w:numId w:val="12"/>
              </w:numPr>
              <w:tabs>
                <w:tab w:pos="468" w:val="left" w:leader="none"/>
              </w:tabs>
              <w:spacing w:line="240" w:lineRule="auto" w:before="43" w:after="0"/>
              <w:ind w:left="467" w:right="0" w:hanging="361"/>
              <w:jc w:val="left"/>
              <w:rPr>
                <w:sz w:val="21"/>
              </w:rPr>
            </w:pPr>
            <w:r>
              <w:rPr>
                <w:spacing w:val="-1"/>
                <w:sz w:val="21"/>
              </w:rPr>
              <w:t>肝功能指标进行性恶化。</w:t>
            </w:r>
          </w:p>
        </w:tc>
      </w:tr>
      <w:tr>
        <w:trPr>
          <w:trHeight w:val="2199" w:hRule="atLeast"/>
        </w:trPr>
        <w:tc>
          <w:tcPr>
            <w:tcW w:w="1908" w:type="dxa"/>
          </w:tcPr>
          <w:p>
            <w:pPr>
              <w:pStyle w:val="TableParagraph"/>
              <w:spacing w:before="20"/>
              <w:rPr>
                <w:sz w:val="21"/>
              </w:rPr>
            </w:pPr>
            <w:r>
              <w:rPr>
                <w:spacing w:val="-2"/>
                <w:sz w:val="21"/>
              </w:rPr>
              <w:t>九、良性脑肿瘤</w:t>
            </w:r>
          </w:p>
        </w:tc>
        <w:tc>
          <w:tcPr>
            <w:tcW w:w="6810" w:type="dxa"/>
          </w:tcPr>
          <w:p>
            <w:pPr>
              <w:pStyle w:val="TableParagraph"/>
              <w:spacing w:line="278" w:lineRule="auto" w:before="20"/>
              <w:ind w:right="-15"/>
              <w:rPr>
                <w:sz w:val="21"/>
              </w:rPr>
            </w:pPr>
            <w:r>
              <w:rPr>
                <w:spacing w:val="2"/>
                <w:sz w:val="21"/>
              </w:rPr>
              <w:t>指脑的良性肿瘤，已经引起颅内压增高，临床表现为视神经乳头水肿、</w:t>
            </w:r>
            <w:r>
              <w:rPr>
                <w:spacing w:val="-23"/>
                <w:sz w:val="21"/>
              </w:rPr>
              <w:t>精神症状、癫痫及运动感觉障碍等，并危及生命。须由头颅断层扫描</w:t>
            </w:r>
            <w:r>
              <w:rPr>
                <w:sz w:val="21"/>
              </w:rPr>
              <w:t>（</w:t>
            </w:r>
            <w:r>
              <w:rPr>
                <w:rFonts w:ascii="Times New Roman" w:eastAsia="Times New Roman"/>
                <w:sz w:val="21"/>
              </w:rPr>
              <w:t>CT</w:t>
            </w:r>
            <w:r>
              <w:rPr>
                <w:spacing w:val="-106"/>
                <w:sz w:val="21"/>
              </w:rPr>
              <w:t>）</w:t>
            </w:r>
            <w:r>
              <w:rPr>
                <w:sz w:val="21"/>
              </w:rPr>
              <w:t>、</w:t>
            </w:r>
            <w:r>
              <w:rPr>
                <w:spacing w:val="-7"/>
                <w:sz w:val="21"/>
              </w:rPr>
              <w:t>核磁共振检查</w:t>
            </w:r>
            <w:r>
              <w:rPr>
                <w:sz w:val="21"/>
              </w:rPr>
              <w:t>（</w:t>
            </w:r>
            <w:r>
              <w:rPr>
                <w:rFonts w:ascii="Times New Roman" w:eastAsia="Times New Roman"/>
                <w:sz w:val="21"/>
              </w:rPr>
              <w:t>MR</w:t>
            </w:r>
            <w:r>
              <w:rPr>
                <w:rFonts w:ascii="Times New Roman" w:eastAsia="Times New Roman"/>
                <w:spacing w:val="-1"/>
                <w:sz w:val="21"/>
              </w:rPr>
              <w:t>I</w:t>
            </w:r>
            <w:r>
              <w:rPr>
                <w:spacing w:val="-41"/>
                <w:sz w:val="21"/>
              </w:rPr>
              <w:t>）</w:t>
            </w:r>
            <w:r>
              <w:rPr>
                <w:spacing w:val="-5"/>
                <w:sz w:val="21"/>
              </w:rPr>
              <w:t>或正电子发射断层扫描</w:t>
            </w:r>
            <w:r>
              <w:rPr>
                <w:sz w:val="21"/>
              </w:rPr>
              <w:t>（</w:t>
            </w:r>
            <w:r>
              <w:rPr>
                <w:rFonts w:ascii="Times New Roman" w:eastAsia="Times New Roman"/>
                <w:sz w:val="21"/>
              </w:rPr>
              <w:t>PET</w:t>
            </w:r>
            <w:r>
              <w:rPr>
                <w:spacing w:val="-41"/>
                <w:sz w:val="21"/>
              </w:rPr>
              <w:t>）</w:t>
            </w:r>
            <w:r>
              <w:rPr>
                <w:sz w:val="21"/>
              </w:rPr>
              <w:t>等影像学检查证实，并须满足下列至少一项条件：</w:t>
            </w:r>
          </w:p>
          <w:p>
            <w:pPr>
              <w:pStyle w:val="TableParagraph"/>
              <w:numPr>
                <w:ilvl w:val="0"/>
                <w:numId w:val="13"/>
              </w:numPr>
              <w:tabs>
                <w:tab w:pos="468" w:val="left" w:leader="none"/>
              </w:tabs>
              <w:spacing w:line="269" w:lineRule="exact" w:before="0" w:after="0"/>
              <w:ind w:left="467" w:right="0" w:hanging="361"/>
              <w:jc w:val="left"/>
              <w:rPr>
                <w:sz w:val="21"/>
              </w:rPr>
            </w:pPr>
            <w:r>
              <w:rPr>
                <w:spacing w:val="-1"/>
                <w:sz w:val="21"/>
              </w:rPr>
              <w:t>实际实施了开颅进行的脑肿瘤完全切除或部分切除的手术；</w:t>
            </w:r>
          </w:p>
          <w:p>
            <w:pPr>
              <w:pStyle w:val="TableParagraph"/>
              <w:numPr>
                <w:ilvl w:val="0"/>
                <w:numId w:val="13"/>
              </w:numPr>
              <w:tabs>
                <w:tab w:pos="468" w:val="left" w:leader="none"/>
              </w:tabs>
              <w:spacing w:line="240" w:lineRule="auto" w:before="43" w:after="0"/>
              <w:ind w:left="467" w:right="0" w:hanging="361"/>
              <w:jc w:val="left"/>
              <w:rPr>
                <w:sz w:val="21"/>
              </w:rPr>
            </w:pPr>
            <w:r>
              <w:rPr>
                <w:spacing w:val="-1"/>
                <w:sz w:val="21"/>
              </w:rPr>
              <w:t>实际实施了对脑肿瘤进行的放射治疗。</w:t>
            </w:r>
          </w:p>
          <w:p>
            <w:pPr>
              <w:pStyle w:val="TableParagraph"/>
              <w:rPr>
                <w:rFonts w:ascii="黑体" w:eastAsia="黑体"/>
                <w:sz w:val="21"/>
              </w:rPr>
            </w:pPr>
            <w:r>
              <w:rPr>
                <w:rFonts w:ascii="黑体" w:eastAsia="黑体"/>
                <w:color w:val="000000"/>
                <w:spacing w:val="-1"/>
                <w:sz w:val="21"/>
                <w:shd w:fill="D9D9D9" w:color="auto" w:val="clear"/>
              </w:rPr>
              <w:t>脑垂体瘤、脑囊肿、脑血管性疾病不在保障范围内。</w:t>
            </w:r>
          </w:p>
        </w:tc>
      </w:tr>
      <w:tr>
        <w:trPr>
          <w:trHeight w:val="1910" w:hRule="atLeast"/>
        </w:trPr>
        <w:tc>
          <w:tcPr>
            <w:tcW w:w="1908" w:type="dxa"/>
          </w:tcPr>
          <w:p>
            <w:pPr>
              <w:pStyle w:val="TableParagraph"/>
              <w:spacing w:line="278" w:lineRule="auto" w:before="21"/>
              <w:ind w:right="96"/>
              <w:rPr>
                <w:sz w:val="21"/>
              </w:rPr>
            </w:pPr>
            <w:r>
              <w:rPr>
                <w:spacing w:val="-2"/>
                <w:sz w:val="21"/>
              </w:rPr>
              <w:t>十、慢性肝功能衰</w:t>
            </w:r>
            <w:r>
              <w:rPr>
                <w:spacing w:val="-2"/>
                <w:sz w:val="21"/>
              </w:rPr>
              <w:t>竭失代偿期</w:t>
            </w:r>
          </w:p>
        </w:tc>
        <w:tc>
          <w:tcPr>
            <w:tcW w:w="6810" w:type="dxa"/>
          </w:tcPr>
          <w:p>
            <w:pPr>
              <w:pStyle w:val="TableParagraph"/>
              <w:spacing w:before="21"/>
              <w:rPr>
                <w:sz w:val="21"/>
              </w:rPr>
            </w:pPr>
            <w:r>
              <w:rPr>
                <w:spacing w:val="-1"/>
                <w:sz w:val="21"/>
              </w:rPr>
              <w:t>指因慢性肝脏疾病导致肝功能衰竭。须满足下列全部条件：</w:t>
            </w:r>
          </w:p>
          <w:p>
            <w:pPr>
              <w:pStyle w:val="TableParagraph"/>
              <w:numPr>
                <w:ilvl w:val="0"/>
                <w:numId w:val="14"/>
              </w:numPr>
              <w:tabs>
                <w:tab w:pos="468" w:val="left" w:leader="none"/>
              </w:tabs>
              <w:spacing w:line="240" w:lineRule="auto" w:before="43" w:after="0"/>
              <w:ind w:left="467" w:right="0" w:hanging="361"/>
              <w:jc w:val="left"/>
              <w:rPr>
                <w:sz w:val="21"/>
              </w:rPr>
            </w:pPr>
            <w:r>
              <w:rPr>
                <w:spacing w:val="-2"/>
                <w:sz w:val="21"/>
              </w:rPr>
              <w:t>持续性黄疸；</w:t>
            </w:r>
          </w:p>
          <w:p>
            <w:pPr>
              <w:pStyle w:val="TableParagraph"/>
              <w:numPr>
                <w:ilvl w:val="0"/>
                <w:numId w:val="14"/>
              </w:numPr>
              <w:tabs>
                <w:tab w:pos="468" w:val="left" w:leader="none"/>
              </w:tabs>
              <w:spacing w:line="240" w:lineRule="auto" w:before="43" w:after="0"/>
              <w:ind w:left="467" w:right="0" w:hanging="361"/>
              <w:jc w:val="left"/>
              <w:rPr>
                <w:sz w:val="21"/>
              </w:rPr>
            </w:pPr>
            <w:r>
              <w:rPr>
                <w:spacing w:val="-4"/>
                <w:sz w:val="21"/>
              </w:rPr>
              <w:t>腹水；</w:t>
            </w:r>
          </w:p>
          <w:p>
            <w:pPr>
              <w:pStyle w:val="TableParagraph"/>
              <w:numPr>
                <w:ilvl w:val="0"/>
                <w:numId w:val="14"/>
              </w:numPr>
              <w:tabs>
                <w:tab w:pos="468" w:val="left" w:leader="none"/>
              </w:tabs>
              <w:spacing w:line="240" w:lineRule="auto" w:before="43" w:after="0"/>
              <w:ind w:left="467" w:right="0" w:hanging="361"/>
              <w:jc w:val="left"/>
              <w:rPr>
                <w:sz w:val="21"/>
              </w:rPr>
            </w:pPr>
            <w:r>
              <w:rPr>
                <w:spacing w:val="-2"/>
                <w:sz w:val="21"/>
              </w:rPr>
              <w:t>肝性脑病；</w:t>
            </w:r>
          </w:p>
          <w:p>
            <w:pPr>
              <w:pStyle w:val="TableParagraph"/>
              <w:numPr>
                <w:ilvl w:val="0"/>
                <w:numId w:val="14"/>
              </w:numPr>
              <w:tabs>
                <w:tab w:pos="468" w:val="left" w:leader="none"/>
              </w:tabs>
              <w:spacing w:line="240" w:lineRule="auto" w:before="43" w:after="0"/>
              <w:ind w:left="467" w:right="0" w:hanging="361"/>
              <w:jc w:val="left"/>
              <w:rPr>
                <w:sz w:val="21"/>
              </w:rPr>
            </w:pPr>
            <w:r>
              <w:rPr>
                <w:spacing w:val="-1"/>
                <w:sz w:val="21"/>
              </w:rPr>
              <w:t>充血性脾肿大伴脾功能亢进或食管胃底静脉曲张。</w:t>
            </w:r>
          </w:p>
          <w:p>
            <w:pPr>
              <w:pStyle w:val="TableParagraph"/>
              <w:rPr>
                <w:rFonts w:ascii="黑体" w:eastAsia="黑体"/>
                <w:sz w:val="21"/>
              </w:rPr>
            </w:pPr>
            <w:r>
              <w:rPr>
                <w:rFonts w:ascii="黑体" w:eastAsia="黑体"/>
                <w:color w:val="000000"/>
                <w:spacing w:val="-1"/>
                <w:sz w:val="21"/>
                <w:shd w:fill="D9D9D9" w:color="auto" w:val="clear"/>
              </w:rPr>
              <w:t>因酗酒或药物滥用导致的肝功能衰竭不在保障范围内。</w:t>
            </w:r>
          </w:p>
        </w:tc>
      </w:tr>
      <w:tr>
        <w:trPr>
          <w:trHeight w:val="2184" w:hRule="atLeast"/>
        </w:trPr>
        <w:tc>
          <w:tcPr>
            <w:tcW w:w="1908" w:type="dxa"/>
          </w:tcPr>
          <w:p>
            <w:pPr>
              <w:pStyle w:val="TableParagraph"/>
              <w:spacing w:line="278" w:lineRule="auto" w:before="21"/>
              <w:ind w:right="108"/>
              <w:rPr>
                <w:sz w:val="21"/>
              </w:rPr>
            </w:pPr>
            <w:r>
              <w:rPr>
                <w:spacing w:val="-2"/>
                <w:sz w:val="21"/>
              </w:rPr>
              <w:t>十一、脑炎后遗症</w:t>
            </w:r>
            <w:r>
              <w:rPr>
                <w:spacing w:val="-2"/>
                <w:sz w:val="21"/>
              </w:rPr>
              <w:t>或脑膜炎后遗症</w:t>
            </w:r>
          </w:p>
        </w:tc>
        <w:tc>
          <w:tcPr>
            <w:tcW w:w="6810" w:type="dxa"/>
          </w:tcPr>
          <w:p>
            <w:pPr>
              <w:pStyle w:val="TableParagraph"/>
              <w:spacing w:line="278" w:lineRule="auto" w:before="21"/>
              <w:ind w:right="92"/>
              <w:jc w:val="both"/>
              <w:rPr>
                <w:sz w:val="21"/>
              </w:rPr>
            </w:pPr>
            <w:r>
              <w:rPr>
                <w:spacing w:val="-2"/>
                <w:sz w:val="21"/>
              </w:rPr>
              <w:t>指因患脑炎或脑膜炎导致的神经系统永久性的功能障碍。神经系统永久</w:t>
            </w:r>
            <w:r>
              <w:rPr>
                <w:spacing w:val="-2"/>
                <w:sz w:val="21"/>
              </w:rPr>
              <w:t>性的功能障碍，指疾病确诊一百八十天后，仍遗留下列一种或一种以上</w:t>
            </w:r>
            <w:r>
              <w:rPr>
                <w:spacing w:val="-4"/>
                <w:sz w:val="21"/>
              </w:rPr>
              <w:t>障碍：</w:t>
            </w:r>
          </w:p>
          <w:p>
            <w:pPr>
              <w:pStyle w:val="TableParagraph"/>
              <w:numPr>
                <w:ilvl w:val="0"/>
                <w:numId w:val="15"/>
              </w:numPr>
              <w:tabs>
                <w:tab w:pos="468" w:val="left" w:leader="none"/>
              </w:tabs>
              <w:spacing w:line="269" w:lineRule="exact" w:before="0" w:after="0"/>
              <w:ind w:left="467" w:right="0" w:hanging="361"/>
              <w:jc w:val="both"/>
              <w:rPr>
                <w:sz w:val="21"/>
              </w:rPr>
            </w:pPr>
            <w:r>
              <w:rPr>
                <w:spacing w:val="-1"/>
                <w:sz w:val="21"/>
              </w:rPr>
              <w:t>一肢或一肢以上肢体机能完全丧失；</w:t>
            </w:r>
          </w:p>
          <w:p>
            <w:pPr>
              <w:pStyle w:val="TableParagraph"/>
              <w:numPr>
                <w:ilvl w:val="0"/>
                <w:numId w:val="15"/>
              </w:numPr>
              <w:tabs>
                <w:tab w:pos="468" w:val="left" w:leader="none"/>
              </w:tabs>
              <w:spacing w:line="240" w:lineRule="auto" w:before="43" w:after="0"/>
              <w:ind w:left="467" w:right="0" w:hanging="361"/>
              <w:jc w:val="both"/>
              <w:rPr>
                <w:sz w:val="21"/>
              </w:rPr>
            </w:pPr>
            <w:r>
              <w:rPr>
                <w:spacing w:val="-1"/>
                <w:sz w:val="21"/>
              </w:rPr>
              <w:t>语言能力或咀嚼吞咽能力完全丧失；</w:t>
            </w:r>
          </w:p>
          <w:p>
            <w:pPr>
              <w:pStyle w:val="TableParagraph"/>
              <w:numPr>
                <w:ilvl w:val="0"/>
                <w:numId w:val="15"/>
              </w:numPr>
              <w:tabs>
                <w:tab w:pos="468" w:val="left" w:leader="none"/>
              </w:tabs>
              <w:spacing w:line="310" w:lineRule="atLeast" w:before="2" w:after="0"/>
              <w:ind w:left="467" w:right="96" w:hanging="360"/>
              <w:jc w:val="both"/>
              <w:rPr>
                <w:sz w:val="21"/>
              </w:rPr>
            </w:pPr>
            <w:r>
              <w:rPr>
                <w:spacing w:val="-8"/>
                <w:sz w:val="21"/>
              </w:rPr>
              <w:t>自主生活能力完全丧失，无法独立完成六项基本日常生活活动中的三</w:t>
            </w:r>
            <w:r>
              <w:rPr>
                <w:spacing w:val="-2"/>
                <w:sz w:val="21"/>
              </w:rPr>
              <w:t>项或三项以上。</w:t>
            </w:r>
          </w:p>
        </w:tc>
      </w:tr>
      <w:tr>
        <w:trPr>
          <w:trHeight w:val="1394" w:hRule="atLeast"/>
        </w:trPr>
        <w:tc>
          <w:tcPr>
            <w:tcW w:w="1908" w:type="dxa"/>
          </w:tcPr>
          <w:p>
            <w:pPr>
              <w:pStyle w:val="TableParagraph"/>
              <w:spacing w:before="20"/>
              <w:rPr>
                <w:sz w:val="21"/>
              </w:rPr>
            </w:pPr>
            <w:r>
              <w:rPr>
                <w:spacing w:val="-2"/>
                <w:sz w:val="21"/>
              </w:rPr>
              <w:t>十二、深度昏迷</w:t>
            </w:r>
          </w:p>
        </w:tc>
        <w:tc>
          <w:tcPr>
            <w:tcW w:w="6810" w:type="dxa"/>
          </w:tcPr>
          <w:p>
            <w:pPr>
              <w:pStyle w:val="TableParagraph"/>
              <w:spacing w:line="278" w:lineRule="auto" w:before="20"/>
              <w:ind w:right="95"/>
              <w:rPr>
                <w:rFonts w:ascii="黑体" w:eastAsia="黑体"/>
                <w:sz w:val="21"/>
              </w:rPr>
            </w:pPr>
            <w:r>
              <w:rPr>
                <w:spacing w:val="5"/>
                <w:sz w:val="21"/>
              </w:rPr>
              <w:t>指因疾病或意外伤害导致意识丧失</w:t>
            </w:r>
            <w:r>
              <w:rPr>
                <w:rFonts w:ascii="Times New Roman" w:eastAsia="Times New Roman"/>
                <w:spacing w:val="6"/>
                <w:sz w:val="21"/>
              </w:rPr>
              <w:t>,</w:t>
            </w:r>
            <w:r>
              <w:rPr>
                <w:spacing w:val="5"/>
                <w:sz w:val="21"/>
              </w:rPr>
              <w:t>对外界刺激和体内需求均无反应</w:t>
            </w:r>
            <w:r>
              <w:rPr>
                <w:rFonts w:ascii="Times New Roman" w:eastAsia="Times New Roman"/>
                <w:spacing w:val="7"/>
                <w:sz w:val="21"/>
              </w:rPr>
              <w:t>,</w:t>
            </w:r>
            <w:r>
              <w:rPr>
                <w:spacing w:val="-12"/>
                <w:sz w:val="21"/>
              </w:rPr>
              <w:t>昏</w:t>
            </w:r>
            <w:r>
              <w:rPr>
                <w:sz w:val="21"/>
              </w:rPr>
              <w:t>迷程度按照格拉斯哥昏迷分级（</w:t>
            </w:r>
            <w:r>
              <w:rPr>
                <w:rFonts w:ascii="Times New Roman" w:eastAsia="Times New Roman"/>
                <w:sz w:val="21"/>
              </w:rPr>
              <w:t>Glasgow</w:t>
            </w:r>
            <w:r>
              <w:rPr>
                <w:rFonts w:ascii="Times New Roman" w:eastAsia="Times New Roman"/>
                <w:spacing w:val="19"/>
                <w:sz w:val="21"/>
              </w:rPr>
              <w:t> </w:t>
            </w:r>
            <w:r>
              <w:rPr>
                <w:rFonts w:ascii="Times New Roman" w:eastAsia="Times New Roman"/>
                <w:spacing w:val="-1"/>
                <w:sz w:val="21"/>
              </w:rPr>
              <w:t>c</w:t>
            </w:r>
            <w:r>
              <w:rPr>
                <w:rFonts w:ascii="Times New Roman" w:eastAsia="Times New Roman"/>
                <w:sz w:val="21"/>
              </w:rPr>
              <w:t>o</w:t>
            </w:r>
            <w:r>
              <w:rPr>
                <w:rFonts w:ascii="Times New Roman" w:eastAsia="Times New Roman"/>
                <w:spacing w:val="-3"/>
                <w:sz w:val="21"/>
              </w:rPr>
              <w:t>m</w:t>
            </w:r>
            <w:r>
              <w:rPr>
                <w:rFonts w:ascii="Times New Roman" w:eastAsia="Times New Roman"/>
                <w:sz w:val="21"/>
              </w:rPr>
              <w:t>a</w:t>
            </w:r>
            <w:r>
              <w:rPr>
                <w:rFonts w:ascii="Times New Roman" w:eastAsia="Times New Roman"/>
                <w:spacing w:val="19"/>
                <w:sz w:val="21"/>
              </w:rPr>
              <w:t> </w:t>
            </w:r>
            <w:r>
              <w:rPr>
                <w:rFonts w:ascii="Times New Roman" w:eastAsia="Times New Roman"/>
                <w:sz w:val="21"/>
              </w:rPr>
              <w:t>scale</w:t>
            </w:r>
            <w:r>
              <w:rPr>
                <w:sz w:val="21"/>
              </w:rPr>
              <w:t>）</w:t>
            </w:r>
            <w:r>
              <w:rPr>
                <w:spacing w:val="-14"/>
                <w:sz w:val="21"/>
              </w:rPr>
              <w:t>结果为 </w:t>
            </w:r>
            <w:r>
              <w:rPr>
                <w:rFonts w:ascii="Times New Roman" w:eastAsia="Times New Roman"/>
                <w:sz w:val="21"/>
              </w:rPr>
              <w:t>5</w:t>
            </w:r>
            <w:r>
              <w:rPr>
                <w:rFonts w:ascii="Times New Roman" w:eastAsia="Times New Roman"/>
                <w:spacing w:val="-1"/>
                <w:sz w:val="21"/>
              </w:rPr>
              <w:t> </w:t>
            </w:r>
            <w:r>
              <w:rPr>
                <w:spacing w:val="-18"/>
                <w:sz w:val="21"/>
              </w:rPr>
              <w:t>分或 </w:t>
            </w:r>
            <w:r>
              <w:rPr>
                <w:rFonts w:ascii="Times New Roman" w:eastAsia="Times New Roman"/>
                <w:sz w:val="21"/>
              </w:rPr>
              <w:t>5 </w:t>
            </w:r>
            <w:r>
              <w:rPr>
                <w:sz w:val="21"/>
              </w:rPr>
              <w:t>分以下，且已经持续使用呼吸机及其它生命维持系统九十六小时以上。</w:t>
            </w:r>
            <w:r>
              <w:rPr>
                <w:rFonts w:ascii="黑体" w:eastAsia="黑体"/>
                <w:sz w:val="21"/>
              </w:rPr>
              <w:t> </w:t>
            </w:r>
            <w:r>
              <w:rPr>
                <w:rFonts w:ascii="黑体" w:eastAsia="黑体"/>
                <w:color w:val="000000"/>
                <w:sz w:val="21"/>
                <w:shd w:fill="D9D9D9" w:color="auto" w:val="clear"/>
              </w:rPr>
              <w:t>因酗酒或药物滥用导致的深度昏迷不在保障范围内。</w:t>
            </w:r>
          </w:p>
        </w:tc>
      </w:tr>
      <w:tr>
        <w:trPr>
          <w:trHeight w:val="935" w:hRule="atLeast"/>
        </w:trPr>
        <w:tc>
          <w:tcPr>
            <w:tcW w:w="1908" w:type="dxa"/>
          </w:tcPr>
          <w:p>
            <w:pPr>
              <w:pStyle w:val="TableParagraph"/>
              <w:spacing w:before="20"/>
              <w:rPr>
                <w:sz w:val="21"/>
              </w:rPr>
            </w:pPr>
            <w:r>
              <w:rPr>
                <w:spacing w:val="-2"/>
                <w:sz w:val="21"/>
              </w:rPr>
              <w:t>十三、双耳失聪</w:t>
            </w:r>
          </w:p>
        </w:tc>
        <w:tc>
          <w:tcPr>
            <w:tcW w:w="6810" w:type="dxa"/>
          </w:tcPr>
          <w:p>
            <w:pPr>
              <w:pStyle w:val="TableParagraph"/>
              <w:spacing w:before="20"/>
              <w:rPr>
                <w:rFonts w:ascii="Times New Roman" w:eastAsia="Times New Roman"/>
                <w:sz w:val="21"/>
              </w:rPr>
            </w:pPr>
            <w:r>
              <w:rPr>
                <w:spacing w:val="-5"/>
                <w:sz w:val="21"/>
              </w:rPr>
              <w:t>指因疾病或意外伤害导致双耳听力永久不可逆性丧失，在 </w:t>
            </w:r>
            <w:r>
              <w:rPr>
                <w:rFonts w:ascii="Times New Roman" w:eastAsia="Times New Roman"/>
                <w:sz w:val="21"/>
              </w:rPr>
              <w:t>500</w:t>
            </w:r>
            <w:r>
              <w:rPr>
                <w:rFonts w:ascii="Times New Roman" w:eastAsia="Times New Roman"/>
                <w:spacing w:val="-2"/>
                <w:sz w:val="21"/>
              </w:rPr>
              <w:t> </w:t>
            </w:r>
            <w:r>
              <w:rPr>
                <w:spacing w:val="-21"/>
                <w:sz w:val="21"/>
              </w:rPr>
              <w:t>赫兹、</w:t>
            </w:r>
            <w:r>
              <w:rPr>
                <w:rFonts w:ascii="Times New Roman" w:eastAsia="Times New Roman"/>
                <w:spacing w:val="-4"/>
                <w:sz w:val="21"/>
              </w:rPr>
              <w:t>1000</w:t>
            </w:r>
          </w:p>
          <w:p>
            <w:pPr>
              <w:pStyle w:val="TableParagraph"/>
              <w:spacing w:line="310" w:lineRule="atLeast" w:before="2"/>
              <w:ind w:right="97" w:hanging="1"/>
              <w:rPr>
                <w:sz w:val="21"/>
              </w:rPr>
            </w:pPr>
            <w:r>
              <w:rPr>
                <w:spacing w:val="-8"/>
                <w:sz w:val="21"/>
              </w:rPr>
              <w:t>赫兹和 </w:t>
            </w:r>
            <w:r>
              <w:rPr>
                <w:rFonts w:ascii="Times New Roman" w:eastAsia="Times New Roman"/>
                <w:sz w:val="21"/>
              </w:rPr>
              <w:t>2000</w:t>
            </w:r>
            <w:r>
              <w:rPr>
                <w:rFonts w:ascii="Times New Roman" w:eastAsia="Times New Roman"/>
                <w:spacing w:val="-6"/>
                <w:sz w:val="21"/>
              </w:rPr>
              <w:t> </w:t>
            </w:r>
            <w:r>
              <w:rPr>
                <w:spacing w:val="-3"/>
                <w:sz w:val="21"/>
              </w:rPr>
              <w:t>赫兹语音频率下，平均听阈大于 </w:t>
            </w:r>
            <w:r>
              <w:rPr>
                <w:rFonts w:ascii="Times New Roman" w:eastAsia="Times New Roman"/>
                <w:sz w:val="21"/>
              </w:rPr>
              <w:t>90</w:t>
            </w:r>
            <w:r>
              <w:rPr>
                <w:rFonts w:ascii="Times New Roman" w:eastAsia="Times New Roman"/>
                <w:spacing w:val="11"/>
                <w:sz w:val="21"/>
              </w:rPr>
              <w:t> </w:t>
            </w:r>
            <w:r>
              <w:rPr>
                <w:sz w:val="21"/>
              </w:rPr>
              <w:t>分贝，且经纯音听力测</w:t>
            </w:r>
            <w:r>
              <w:rPr>
                <w:spacing w:val="-2"/>
                <w:sz w:val="21"/>
              </w:rPr>
              <w:t>试、声导抗检测或听觉诱发电位检测等证实。</w:t>
            </w:r>
          </w:p>
        </w:tc>
      </w:tr>
    </w:tbl>
    <w:p>
      <w:pPr>
        <w:spacing w:after="0" w:line="310" w:lineRule="atLeast"/>
        <w:rPr>
          <w:sz w:val="21"/>
        </w:rPr>
        <w:sectPr>
          <w:pgSz w:w="11910" w:h="16840"/>
          <w:pgMar w:header="0" w:footer="1168" w:top="1460" w:bottom="1360" w:left="1060" w:right="1060"/>
        </w:sectPr>
      </w:pPr>
    </w:p>
    <w:tbl>
      <w:tblPr>
        <w:tblW w:w="0" w:type="auto"/>
        <w:jc w:val="left"/>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08"/>
        <w:gridCol w:w="6810"/>
      </w:tblGrid>
      <w:tr>
        <w:trPr>
          <w:trHeight w:val="1872" w:hRule="atLeast"/>
        </w:trPr>
        <w:tc>
          <w:tcPr>
            <w:tcW w:w="1908" w:type="dxa"/>
          </w:tcPr>
          <w:p>
            <w:pPr>
              <w:pStyle w:val="TableParagraph"/>
              <w:spacing w:before="21"/>
              <w:rPr>
                <w:sz w:val="21"/>
              </w:rPr>
            </w:pPr>
            <w:r>
              <w:rPr>
                <w:spacing w:val="-2"/>
                <w:sz w:val="21"/>
              </w:rPr>
              <w:t>十四、双目失明</w:t>
            </w:r>
          </w:p>
        </w:tc>
        <w:tc>
          <w:tcPr>
            <w:tcW w:w="6810" w:type="dxa"/>
          </w:tcPr>
          <w:p>
            <w:pPr>
              <w:pStyle w:val="TableParagraph"/>
              <w:spacing w:line="278" w:lineRule="auto" w:before="21"/>
              <w:ind w:right="92"/>
              <w:rPr>
                <w:sz w:val="21"/>
              </w:rPr>
            </w:pPr>
            <w:r>
              <w:rPr>
                <w:spacing w:val="-2"/>
                <w:sz w:val="21"/>
              </w:rPr>
              <w:t>指因疾病或意外伤害导致双眼视力永久不可逆性丧失，双眼中较好眼须</w:t>
            </w:r>
            <w:r>
              <w:rPr>
                <w:spacing w:val="-2"/>
                <w:sz w:val="21"/>
              </w:rPr>
              <w:t>满足下列至少一项条件：</w:t>
            </w:r>
          </w:p>
          <w:p>
            <w:pPr>
              <w:pStyle w:val="TableParagraph"/>
              <w:numPr>
                <w:ilvl w:val="0"/>
                <w:numId w:val="16"/>
              </w:numPr>
              <w:tabs>
                <w:tab w:pos="468" w:val="left" w:leader="none"/>
              </w:tabs>
              <w:spacing w:line="269" w:lineRule="exact" w:before="0" w:after="0"/>
              <w:ind w:left="467" w:right="0" w:hanging="361"/>
              <w:jc w:val="left"/>
              <w:rPr>
                <w:sz w:val="21"/>
              </w:rPr>
            </w:pPr>
            <w:r>
              <w:rPr>
                <w:spacing w:val="-2"/>
                <w:sz w:val="21"/>
              </w:rPr>
              <w:t>眼球缺失或摘除；</w:t>
            </w:r>
          </w:p>
          <w:p>
            <w:pPr>
              <w:pStyle w:val="TableParagraph"/>
              <w:numPr>
                <w:ilvl w:val="0"/>
                <w:numId w:val="16"/>
              </w:numPr>
              <w:tabs>
                <w:tab w:pos="468" w:val="left" w:leader="none"/>
              </w:tabs>
              <w:spacing w:line="278" w:lineRule="auto" w:before="43" w:after="0"/>
              <w:ind w:left="467" w:right="97" w:hanging="360"/>
              <w:jc w:val="left"/>
              <w:rPr>
                <w:sz w:val="21"/>
              </w:rPr>
            </w:pPr>
            <w:r>
              <w:rPr>
                <w:spacing w:val="-10"/>
                <w:sz w:val="21"/>
              </w:rPr>
              <w:t>矫正视力低于 </w:t>
            </w:r>
            <w:r>
              <w:rPr>
                <w:rFonts w:ascii="Times New Roman" w:eastAsia="Times New Roman"/>
                <w:spacing w:val="-4"/>
                <w:sz w:val="21"/>
              </w:rPr>
              <w:t>0.02</w:t>
            </w:r>
            <w:r>
              <w:rPr>
                <w:spacing w:val="-4"/>
                <w:sz w:val="21"/>
              </w:rPr>
              <w:t>（采用国际标准视力表，如果使用其它视力表应进</w:t>
            </w:r>
            <w:r>
              <w:rPr>
                <w:spacing w:val="-4"/>
                <w:sz w:val="21"/>
              </w:rPr>
              <w:t>行换算</w:t>
            </w:r>
            <w:r>
              <w:rPr>
                <w:spacing w:val="-105"/>
                <w:sz w:val="21"/>
              </w:rPr>
              <w:t>）</w:t>
            </w:r>
            <w:r>
              <w:rPr>
                <w:sz w:val="21"/>
              </w:rPr>
              <w:t>；</w:t>
            </w:r>
          </w:p>
          <w:p>
            <w:pPr>
              <w:pStyle w:val="TableParagraph"/>
              <w:numPr>
                <w:ilvl w:val="0"/>
                <w:numId w:val="16"/>
              </w:numPr>
              <w:tabs>
                <w:tab w:pos="468" w:val="left" w:leader="none"/>
              </w:tabs>
              <w:spacing w:line="269" w:lineRule="exact" w:before="0" w:after="0"/>
              <w:ind w:left="467" w:right="0" w:hanging="361"/>
              <w:jc w:val="left"/>
              <w:rPr>
                <w:sz w:val="21"/>
              </w:rPr>
            </w:pPr>
            <w:r>
              <w:rPr>
                <w:spacing w:val="-8"/>
                <w:sz w:val="21"/>
              </w:rPr>
              <w:t>视野半径小于 </w:t>
            </w:r>
            <w:r>
              <w:rPr>
                <w:rFonts w:ascii="Times New Roman" w:eastAsia="Times New Roman"/>
                <w:sz w:val="21"/>
              </w:rPr>
              <w:t>5 </w:t>
            </w:r>
            <w:r>
              <w:rPr>
                <w:spacing w:val="-5"/>
                <w:sz w:val="21"/>
              </w:rPr>
              <w:t>度。</w:t>
            </w:r>
          </w:p>
        </w:tc>
      </w:tr>
      <w:tr>
        <w:trPr>
          <w:trHeight w:val="935" w:hRule="atLeast"/>
        </w:trPr>
        <w:tc>
          <w:tcPr>
            <w:tcW w:w="1908" w:type="dxa"/>
          </w:tcPr>
          <w:p>
            <w:pPr>
              <w:pStyle w:val="TableParagraph"/>
              <w:spacing w:before="20"/>
              <w:rPr>
                <w:sz w:val="21"/>
              </w:rPr>
            </w:pPr>
            <w:r>
              <w:rPr>
                <w:spacing w:val="-2"/>
                <w:sz w:val="21"/>
              </w:rPr>
              <w:t>十五、瘫痪</w:t>
            </w:r>
          </w:p>
        </w:tc>
        <w:tc>
          <w:tcPr>
            <w:tcW w:w="6810" w:type="dxa"/>
          </w:tcPr>
          <w:p>
            <w:pPr>
              <w:pStyle w:val="TableParagraph"/>
              <w:spacing w:line="278" w:lineRule="auto" w:before="20"/>
              <w:ind w:right="92"/>
              <w:rPr>
                <w:sz w:val="21"/>
              </w:rPr>
            </w:pPr>
            <w:r>
              <w:rPr>
                <w:spacing w:val="-2"/>
                <w:sz w:val="21"/>
              </w:rPr>
              <w:t>指因疾病或意外伤害导致两肢或两肢以上肢体机能永久完全丧失。肢体</w:t>
            </w:r>
            <w:r>
              <w:rPr>
                <w:spacing w:val="-1"/>
                <w:sz w:val="21"/>
              </w:rPr>
              <w:t>机能永久完全丧失，指疾病确诊一百八十天后或意外伤害发生一百八十</w:t>
            </w:r>
          </w:p>
          <w:p>
            <w:pPr>
              <w:pStyle w:val="TableParagraph"/>
              <w:spacing w:line="269" w:lineRule="exact" w:before="0"/>
              <w:rPr>
                <w:sz w:val="21"/>
              </w:rPr>
            </w:pPr>
            <w:r>
              <w:rPr>
                <w:spacing w:val="-1"/>
                <w:sz w:val="21"/>
              </w:rPr>
              <w:t>天后，每肢三大关节中的两大关节仍然完全僵硬，或不能随意识活动。</w:t>
            </w:r>
          </w:p>
        </w:tc>
      </w:tr>
      <w:tr>
        <w:trPr>
          <w:trHeight w:val="623" w:hRule="atLeast"/>
        </w:trPr>
        <w:tc>
          <w:tcPr>
            <w:tcW w:w="1908" w:type="dxa"/>
          </w:tcPr>
          <w:p>
            <w:pPr>
              <w:pStyle w:val="TableParagraph"/>
              <w:spacing w:before="20"/>
              <w:rPr>
                <w:sz w:val="21"/>
              </w:rPr>
            </w:pPr>
            <w:r>
              <w:rPr>
                <w:spacing w:val="-2"/>
                <w:sz w:val="21"/>
              </w:rPr>
              <w:t>十六、心脏瓣膜手</w:t>
            </w:r>
          </w:p>
          <w:p>
            <w:pPr>
              <w:pStyle w:val="TableParagraph"/>
              <w:rPr>
                <w:sz w:val="21"/>
              </w:rPr>
            </w:pPr>
            <w:r>
              <w:rPr>
                <w:sz w:val="21"/>
              </w:rPr>
              <w:t>术</w:t>
            </w:r>
          </w:p>
        </w:tc>
        <w:tc>
          <w:tcPr>
            <w:tcW w:w="6810" w:type="dxa"/>
          </w:tcPr>
          <w:p>
            <w:pPr>
              <w:pStyle w:val="TableParagraph"/>
              <w:spacing w:before="20"/>
              <w:rPr>
                <w:sz w:val="21"/>
              </w:rPr>
            </w:pPr>
            <w:r>
              <w:rPr>
                <w:spacing w:val="-1"/>
                <w:sz w:val="21"/>
              </w:rPr>
              <w:t>指为治疗心脏瓣膜疾病，实际实施了开胸进行的心脏瓣膜置换或修复的</w:t>
            </w:r>
          </w:p>
          <w:p>
            <w:pPr>
              <w:pStyle w:val="TableParagraph"/>
              <w:rPr>
                <w:sz w:val="21"/>
              </w:rPr>
            </w:pPr>
            <w:r>
              <w:rPr>
                <w:spacing w:val="-4"/>
                <w:sz w:val="21"/>
              </w:rPr>
              <w:t>手术。</w:t>
            </w:r>
          </w:p>
        </w:tc>
      </w:tr>
      <w:tr>
        <w:trPr>
          <w:trHeight w:val="1872" w:hRule="atLeast"/>
        </w:trPr>
        <w:tc>
          <w:tcPr>
            <w:tcW w:w="1908" w:type="dxa"/>
          </w:tcPr>
          <w:p>
            <w:pPr>
              <w:pStyle w:val="TableParagraph"/>
              <w:spacing w:line="278" w:lineRule="auto" w:before="21"/>
              <w:ind w:right="96"/>
              <w:rPr>
                <w:sz w:val="21"/>
              </w:rPr>
            </w:pPr>
            <w:r>
              <w:rPr>
                <w:spacing w:val="-2"/>
                <w:sz w:val="21"/>
              </w:rPr>
              <w:t>十七、严重阿尔茨</w:t>
            </w:r>
            <w:r>
              <w:rPr>
                <w:spacing w:val="-4"/>
                <w:sz w:val="21"/>
              </w:rPr>
              <w:t>海默病</w:t>
            </w:r>
          </w:p>
        </w:tc>
        <w:tc>
          <w:tcPr>
            <w:tcW w:w="6810" w:type="dxa"/>
          </w:tcPr>
          <w:p>
            <w:pPr>
              <w:pStyle w:val="TableParagraph"/>
              <w:spacing w:line="278" w:lineRule="auto" w:before="21"/>
              <w:ind w:right="17"/>
              <w:rPr>
                <w:sz w:val="21"/>
              </w:rPr>
            </w:pPr>
            <w:r>
              <w:rPr>
                <w:spacing w:val="2"/>
                <w:sz w:val="21"/>
              </w:rPr>
              <w:t>指因大脑进行性、不可逆性改变导致智能严重衰退或丧失，临床表现为明显的认知能力障碍、行为异常和社交能力减退，其日常生活必须持续</w:t>
            </w:r>
            <w:r>
              <w:rPr>
                <w:spacing w:val="-3"/>
                <w:sz w:val="21"/>
              </w:rPr>
              <w:t>受到他人监护。须由头颅断层扫描</w:t>
            </w:r>
            <w:r>
              <w:rPr>
                <w:spacing w:val="-1"/>
                <w:sz w:val="21"/>
              </w:rPr>
              <w:t>（</w:t>
            </w:r>
            <w:r>
              <w:rPr>
                <w:rFonts w:ascii="Times New Roman" w:eastAsia="Times New Roman"/>
                <w:sz w:val="21"/>
              </w:rPr>
              <w:t>CT</w:t>
            </w:r>
            <w:r>
              <w:rPr>
                <w:spacing w:val="-106"/>
                <w:sz w:val="21"/>
              </w:rPr>
              <w:t>）</w:t>
            </w:r>
            <w:r>
              <w:rPr>
                <w:spacing w:val="-5"/>
                <w:sz w:val="21"/>
              </w:rPr>
              <w:t>、核磁共振检查</w:t>
            </w:r>
            <w:r>
              <w:rPr>
                <w:spacing w:val="-1"/>
                <w:sz w:val="21"/>
              </w:rPr>
              <w:t>（</w:t>
            </w:r>
            <w:r>
              <w:rPr>
                <w:rFonts w:ascii="Times New Roman" w:eastAsia="Times New Roman"/>
                <w:spacing w:val="-1"/>
                <w:sz w:val="21"/>
              </w:rPr>
              <w:t>MRI</w:t>
            </w:r>
            <w:r>
              <w:rPr>
                <w:spacing w:val="-11"/>
                <w:sz w:val="21"/>
              </w:rPr>
              <w:t>）</w:t>
            </w:r>
            <w:r>
              <w:rPr>
                <w:sz w:val="21"/>
              </w:rPr>
              <w:t>或正电子发射断层扫描（</w:t>
            </w:r>
            <w:r>
              <w:rPr>
                <w:rFonts w:ascii="Times New Roman" w:eastAsia="Times New Roman"/>
                <w:spacing w:val="-1"/>
                <w:sz w:val="21"/>
              </w:rPr>
              <w:t>PE</w:t>
            </w:r>
            <w:r>
              <w:rPr>
                <w:rFonts w:ascii="Times New Roman" w:eastAsia="Times New Roman"/>
                <w:sz w:val="21"/>
              </w:rPr>
              <w:t>T</w:t>
            </w:r>
            <w:r>
              <w:rPr>
                <w:sz w:val="21"/>
              </w:rPr>
              <w:t>）</w:t>
            </w:r>
            <w:r>
              <w:rPr>
                <w:spacing w:val="-1"/>
                <w:sz w:val="21"/>
              </w:rPr>
              <w:t>等影像学检查证实，且自主生活能力完全丧失，</w:t>
            </w:r>
            <w:r>
              <w:rPr>
                <w:sz w:val="21"/>
              </w:rPr>
              <w:t>无法独立完成六项基本日常生活活动中的三项或三项以上。</w:t>
            </w:r>
          </w:p>
          <w:p>
            <w:pPr>
              <w:pStyle w:val="TableParagraph"/>
              <w:spacing w:line="268" w:lineRule="exact" w:before="0"/>
              <w:rPr>
                <w:rFonts w:ascii="黑体" w:eastAsia="黑体"/>
                <w:sz w:val="21"/>
              </w:rPr>
            </w:pPr>
            <w:r>
              <w:rPr>
                <w:rFonts w:ascii="黑体" w:eastAsia="黑体"/>
                <w:color w:val="000000"/>
                <w:spacing w:val="-1"/>
                <w:sz w:val="21"/>
                <w:shd w:fill="D9D9D9" w:color="auto" w:val="clear"/>
              </w:rPr>
              <w:t>神经官能症和精神疾病不在保障范围内。</w:t>
            </w:r>
          </w:p>
        </w:tc>
      </w:tr>
      <w:tr>
        <w:trPr>
          <w:trHeight w:val="2495" w:hRule="atLeast"/>
        </w:trPr>
        <w:tc>
          <w:tcPr>
            <w:tcW w:w="1908" w:type="dxa"/>
          </w:tcPr>
          <w:p>
            <w:pPr>
              <w:pStyle w:val="TableParagraph"/>
              <w:spacing w:before="20"/>
              <w:rPr>
                <w:sz w:val="21"/>
              </w:rPr>
            </w:pPr>
            <w:r>
              <w:rPr>
                <w:spacing w:val="-2"/>
                <w:sz w:val="21"/>
              </w:rPr>
              <w:t>十八、严重脑损伤</w:t>
            </w:r>
          </w:p>
        </w:tc>
        <w:tc>
          <w:tcPr>
            <w:tcW w:w="6810" w:type="dxa"/>
          </w:tcPr>
          <w:p>
            <w:pPr>
              <w:pStyle w:val="TableParagraph"/>
              <w:spacing w:line="278" w:lineRule="auto" w:before="20"/>
              <w:ind w:right="17"/>
              <w:rPr>
                <w:sz w:val="21"/>
              </w:rPr>
            </w:pPr>
            <w:r>
              <w:rPr>
                <w:spacing w:val="2"/>
                <w:sz w:val="21"/>
              </w:rPr>
              <w:t>指因头部遭受机械性外力，引起脑重要部位损伤，导致神经系统永久性</w:t>
            </w:r>
            <w:r>
              <w:rPr>
                <w:spacing w:val="-3"/>
                <w:sz w:val="21"/>
              </w:rPr>
              <w:t>的功能障碍。须由头颅断层扫描</w:t>
            </w:r>
            <w:r>
              <w:rPr>
                <w:spacing w:val="-1"/>
                <w:sz w:val="21"/>
              </w:rPr>
              <w:t>（</w:t>
            </w:r>
            <w:r>
              <w:rPr>
                <w:rFonts w:ascii="Times New Roman" w:eastAsia="Times New Roman"/>
                <w:spacing w:val="-1"/>
                <w:sz w:val="21"/>
              </w:rPr>
              <w:t>C</w:t>
            </w:r>
            <w:r>
              <w:rPr>
                <w:rFonts w:ascii="Times New Roman" w:eastAsia="Times New Roman"/>
                <w:sz w:val="21"/>
              </w:rPr>
              <w:t>T</w:t>
            </w:r>
            <w:r>
              <w:rPr>
                <w:spacing w:val="-105"/>
                <w:sz w:val="21"/>
              </w:rPr>
              <w:t>）</w:t>
            </w:r>
            <w:r>
              <w:rPr>
                <w:spacing w:val="-5"/>
                <w:sz w:val="21"/>
              </w:rPr>
              <w:t>、核磁共振检查</w:t>
            </w:r>
            <w:r>
              <w:rPr>
                <w:spacing w:val="-1"/>
                <w:sz w:val="21"/>
              </w:rPr>
              <w:t>（</w:t>
            </w:r>
            <w:r>
              <w:rPr>
                <w:rFonts w:ascii="Times New Roman" w:eastAsia="Times New Roman"/>
                <w:sz w:val="21"/>
              </w:rPr>
              <w:t>MR</w:t>
            </w:r>
            <w:r>
              <w:rPr>
                <w:rFonts w:ascii="Times New Roman" w:eastAsia="Times New Roman"/>
                <w:spacing w:val="-2"/>
                <w:sz w:val="21"/>
              </w:rPr>
              <w:t>I</w:t>
            </w:r>
            <w:r>
              <w:rPr>
                <w:spacing w:val="-11"/>
                <w:sz w:val="21"/>
              </w:rPr>
              <w:t>）</w:t>
            </w:r>
            <w:r>
              <w:rPr>
                <w:sz w:val="21"/>
              </w:rPr>
              <w:t>或正电子发射断层扫描（</w:t>
            </w:r>
            <w:r>
              <w:rPr>
                <w:rFonts w:ascii="Times New Roman" w:eastAsia="Times New Roman"/>
                <w:spacing w:val="-1"/>
                <w:sz w:val="21"/>
              </w:rPr>
              <w:t>PE</w:t>
            </w:r>
            <w:r>
              <w:rPr>
                <w:rFonts w:ascii="Times New Roman" w:eastAsia="Times New Roman"/>
                <w:sz w:val="21"/>
              </w:rPr>
              <w:t>T</w:t>
            </w:r>
            <w:r>
              <w:rPr>
                <w:sz w:val="21"/>
              </w:rPr>
              <w:t>）</w:t>
            </w:r>
            <w:r>
              <w:rPr>
                <w:spacing w:val="-1"/>
                <w:sz w:val="21"/>
              </w:rPr>
              <w:t>等影像学检查证实。神经系统永久性的功能障碍，</w:t>
            </w:r>
            <w:r>
              <w:rPr>
                <w:sz w:val="21"/>
              </w:rPr>
              <w:t>指脑损伤一百八十天后，仍遗留下列一种或一种以上障碍：</w:t>
            </w:r>
          </w:p>
          <w:p>
            <w:pPr>
              <w:pStyle w:val="TableParagraph"/>
              <w:numPr>
                <w:ilvl w:val="0"/>
                <w:numId w:val="17"/>
              </w:numPr>
              <w:tabs>
                <w:tab w:pos="468" w:val="left" w:leader="none"/>
              </w:tabs>
              <w:spacing w:line="269" w:lineRule="exact" w:before="0" w:after="0"/>
              <w:ind w:left="467" w:right="0" w:hanging="361"/>
              <w:jc w:val="left"/>
              <w:rPr>
                <w:sz w:val="21"/>
              </w:rPr>
            </w:pPr>
            <w:r>
              <w:rPr>
                <w:spacing w:val="-1"/>
                <w:sz w:val="21"/>
              </w:rPr>
              <w:t>一肢或一肢以上肢体机能完全丧失；</w:t>
            </w:r>
          </w:p>
          <w:p>
            <w:pPr>
              <w:pStyle w:val="TableParagraph"/>
              <w:numPr>
                <w:ilvl w:val="0"/>
                <w:numId w:val="17"/>
              </w:numPr>
              <w:tabs>
                <w:tab w:pos="468" w:val="left" w:leader="none"/>
              </w:tabs>
              <w:spacing w:line="240" w:lineRule="auto" w:before="43" w:after="0"/>
              <w:ind w:left="467" w:right="0" w:hanging="361"/>
              <w:jc w:val="left"/>
              <w:rPr>
                <w:sz w:val="21"/>
              </w:rPr>
            </w:pPr>
            <w:r>
              <w:rPr>
                <w:spacing w:val="-1"/>
                <w:sz w:val="21"/>
              </w:rPr>
              <w:t>语言能力或咀嚼吞咽能力完全丧失；</w:t>
            </w:r>
          </w:p>
          <w:p>
            <w:pPr>
              <w:pStyle w:val="TableParagraph"/>
              <w:numPr>
                <w:ilvl w:val="0"/>
                <w:numId w:val="17"/>
              </w:numPr>
              <w:tabs>
                <w:tab w:pos="468" w:val="left" w:leader="none"/>
              </w:tabs>
              <w:spacing w:line="310" w:lineRule="atLeast" w:before="2" w:after="0"/>
              <w:ind w:left="467" w:right="96" w:hanging="360"/>
              <w:jc w:val="left"/>
              <w:rPr>
                <w:sz w:val="21"/>
              </w:rPr>
            </w:pPr>
            <w:r>
              <w:rPr>
                <w:spacing w:val="-8"/>
                <w:sz w:val="21"/>
              </w:rPr>
              <w:t>自主生活能力完全丧失，无法独立完成六项基本日常生活活动中的三</w:t>
            </w:r>
            <w:r>
              <w:rPr>
                <w:spacing w:val="-2"/>
                <w:sz w:val="21"/>
              </w:rPr>
              <w:t>项或三项以上。</w:t>
            </w:r>
          </w:p>
        </w:tc>
      </w:tr>
      <w:tr>
        <w:trPr>
          <w:trHeight w:val="1871" w:hRule="atLeast"/>
        </w:trPr>
        <w:tc>
          <w:tcPr>
            <w:tcW w:w="1908" w:type="dxa"/>
          </w:tcPr>
          <w:p>
            <w:pPr>
              <w:pStyle w:val="TableParagraph"/>
              <w:spacing w:line="278" w:lineRule="auto" w:before="20"/>
              <w:ind w:right="96"/>
              <w:rPr>
                <w:sz w:val="21"/>
              </w:rPr>
            </w:pPr>
            <w:r>
              <w:rPr>
                <w:spacing w:val="-2"/>
                <w:sz w:val="21"/>
              </w:rPr>
              <w:t>十九、严重帕金森</w:t>
            </w:r>
            <w:r>
              <w:rPr>
                <w:spacing w:val="-10"/>
                <w:sz w:val="21"/>
              </w:rPr>
              <w:t>病</w:t>
            </w:r>
          </w:p>
        </w:tc>
        <w:tc>
          <w:tcPr>
            <w:tcW w:w="6810" w:type="dxa"/>
          </w:tcPr>
          <w:p>
            <w:pPr>
              <w:pStyle w:val="TableParagraph"/>
              <w:spacing w:line="278" w:lineRule="auto" w:before="20"/>
              <w:ind w:right="-15"/>
              <w:rPr>
                <w:sz w:val="21"/>
              </w:rPr>
            </w:pPr>
            <w:r>
              <w:rPr>
                <w:spacing w:val="-2"/>
                <w:sz w:val="21"/>
              </w:rPr>
              <w:t>是一种中枢神经系统的退行性疾病，临床表现为震颤麻痹、共济失调等。</w:t>
            </w:r>
            <w:r>
              <w:rPr>
                <w:spacing w:val="-2"/>
                <w:sz w:val="21"/>
              </w:rPr>
              <w:t>须满足下列全部条件：</w:t>
            </w:r>
          </w:p>
          <w:p>
            <w:pPr>
              <w:pStyle w:val="TableParagraph"/>
              <w:numPr>
                <w:ilvl w:val="0"/>
                <w:numId w:val="18"/>
              </w:numPr>
              <w:tabs>
                <w:tab w:pos="468" w:val="left" w:leader="none"/>
              </w:tabs>
              <w:spacing w:line="269" w:lineRule="exact" w:before="0" w:after="0"/>
              <w:ind w:left="467" w:right="0" w:hanging="361"/>
              <w:jc w:val="left"/>
              <w:rPr>
                <w:sz w:val="21"/>
              </w:rPr>
            </w:pPr>
            <w:r>
              <w:rPr>
                <w:spacing w:val="-1"/>
                <w:sz w:val="21"/>
              </w:rPr>
              <w:t>药物治疗无法控制病情；</w:t>
            </w:r>
          </w:p>
          <w:p>
            <w:pPr>
              <w:pStyle w:val="TableParagraph"/>
              <w:numPr>
                <w:ilvl w:val="0"/>
                <w:numId w:val="18"/>
              </w:numPr>
              <w:tabs>
                <w:tab w:pos="468" w:val="left" w:leader="none"/>
              </w:tabs>
              <w:spacing w:line="278" w:lineRule="auto" w:before="43" w:after="0"/>
              <w:ind w:left="467" w:right="96" w:hanging="360"/>
              <w:jc w:val="left"/>
              <w:rPr>
                <w:sz w:val="21"/>
              </w:rPr>
            </w:pPr>
            <w:r>
              <w:rPr>
                <w:spacing w:val="-8"/>
                <w:sz w:val="21"/>
              </w:rPr>
              <w:t>自主生活能力完全丧失，无法独立完成六项基本日常生活活动中的三</w:t>
            </w:r>
            <w:r>
              <w:rPr>
                <w:spacing w:val="-2"/>
                <w:sz w:val="21"/>
              </w:rPr>
              <w:t>项或三项以上。</w:t>
            </w:r>
          </w:p>
          <w:p>
            <w:pPr>
              <w:pStyle w:val="TableParagraph"/>
              <w:spacing w:line="269" w:lineRule="exact" w:before="0"/>
              <w:rPr>
                <w:rFonts w:ascii="黑体" w:eastAsia="黑体"/>
                <w:sz w:val="21"/>
              </w:rPr>
            </w:pPr>
            <w:r>
              <w:rPr>
                <w:rFonts w:ascii="黑体" w:eastAsia="黑体"/>
                <w:color w:val="000000"/>
                <w:spacing w:val="-1"/>
                <w:sz w:val="21"/>
                <w:shd w:fill="D9D9D9" w:color="auto" w:val="clear"/>
              </w:rPr>
              <w:t>继发性帕金森综合征不在保障范围内。</w:t>
            </w:r>
          </w:p>
        </w:tc>
      </w:tr>
      <w:tr>
        <w:trPr>
          <w:trHeight w:val="624" w:hRule="atLeast"/>
        </w:trPr>
        <w:tc>
          <w:tcPr>
            <w:tcW w:w="1908" w:type="dxa"/>
          </w:tcPr>
          <w:p>
            <w:pPr>
              <w:pStyle w:val="TableParagraph"/>
              <w:spacing w:before="21"/>
              <w:rPr>
                <w:sz w:val="21"/>
              </w:rPr>
            </w:pPr>
            <w:r>
              <w:rPr>
                <w:spacing w:val="-26"/>
                <w:sz w:val="21"/>
              </w:rPr>
              <w:t>二十、严重 </w:t>
            </w:r>
            <w:r>
              <w:rPr>
                <w:rFonts w:ascii="Times New Roman" w:eastAsia="Times New Roman"/>
                <w:sz w:val="21"/>
              </w:rPr>
              <w:t>III</w:t>
            </w:r>
            <w:r>
              <w:rPr>
                <w:rFonts w:ascii="Times New Roman" w:eastAsia="Times New Roman"/>
                <w:spacing w:val="-3"/>
                <w:sz w:val="21"/>
              </w:rPr>
              <w:t> </w:t>
            </w:r>
            <w:r>
              <w:rPr>
                <w:spacing w:val="-5"/>
                <w:sz w:val="21"/>
              </w:rPr>
              <w:t>度烧</w:t>
            </w:r>
          </w:p>
          <w:p>
            <w:pPr>
              <w:pStyle w:val="TableParagraph"/>
              <w:rPr>
                <w:sz w:val="21"/>
              </w:rPr>
            </w:pPr>
            <w:r>
              <w:rPr>
                <w:sz w:val="21"/>
              </w:rPr>
              <w:t>伤</w:t>
            </w:r>
          </w:p>
        </w:tc>
        <w:tc>
          <w:tcPr>
            <w:tcW w:w="6810" w:type="dxa"/>
          </w:tcPr>
          <w:p>
            <w:pPr>
              <w:pStyle w:val="TableParagraph"/>
              <w:spacing w:before="21"/>
              <w:rPr>
                <w:rFonts w:ascii="Times New Roman" w:eastAsia="Times New Roman"/>
                <w:sz w:val="21"/>
              </w:rPr>
            </w:pPr>
            <w:r>
              <w:rPr>
                <w:spacing w:val="-9"/>
                <w:sz w:val="21"/>
              </w:rPr>
              <w:t>指烧伤程度为 </w:t>
            </w:r>
            <w:r>
              <w:rPr>
                <w:rFonts w:ascii="Times New Roman" w:eastAsia="Times New Roman"/>
                <w:sz w:val="21"/>
              </w:rPr>
              <w:t>III</w:t>
            </w:r>
            <w:r>
              <w:rPr>
                <w:rFonts w:ascii="Times New Roman" w:eastAsia="Times New Roman"/>
                <w:spacing w:val="-13"/>
                <w:sz w:val="21"/>
              </w:rPr>
              <w:t> </w:t>
            </w:r>
            <w:r>
              <w:rPr>
                <w:spacing w:val="-43"/>
                <w:sz w:val="21"/>
              </w:rPr>
              <w:t>度，且 </w:t>
            </w:r>
            <w:r>
              <w:rPr>
                <w:rFonts w:ascii="Times New Roman" w:eastAsia="Times New Roman"/>
                <w:sz w:val="21"/>
              </w:rPr>
              <w:t>III</w:t>
            </w:r>
            <w:r>
              <w:rPr>
                <w:rFonts w:ascii="Times New Roman" w:eastAsia="Times New Roman"/>
                <w:spacing w:val="-10"/>
                <w:sz w:val="21"/>
              </w:rPr>
              <w:t> </w:t>
            </w:r>
            <w:r>
              <w:rPr>
                <w:spacing w:val="-4"/>
                <w:sz w:val="21"/>
              </w:rPr>
              <w:t>度烧伤的面积达到全身体表面积的 </w:t>
            </w:r>
            <w:r>
              <w:rPr>
                <w:rFonts w:ascii="Times New Roman" w:eastAsia="Times New Roman"/>
                <w:sz w:val="21"/>
              </w:rPr>
              <w:t>20%</w:t>
            </w:r>
            <w:r>
              <w:rPr>
                <w:spacing w:val="-31"/>
                <w:sz w:val="21"/>
              </w:rPr>
              <w:t>或 </w:t>
            </w:r>
            <w:r>
              <w:rPr>
                <w:rFonts w:ascii="Times New Roman" w:eastAsia="Times New Roman"/>
                <w:spacing w:val="-5"/>
                <w:sz w:val="21"/>
              </w:rPr>
              <w:t>20%</w:t>
            </w:r>
          </w:p>
          <w:p>
            <w:pPr>
              <w:pStyle w:val="TableParagraph"/>
              <w:rPr>
                <w:sz w:val="21"/>
              </w:rPr>
            </w:pPr>
            <w:r>
              <w:rPr>
                <w:spacing w:val="-1"/>
                <w:sz w:val="21"/>
              </w:rPr>
              <w:t>以上。体表面积根据《中国新九分法》计算。</w:t>
            </w:r>
          </w:p>
        </w:tc>
      </w:tr>
      <w:tr>
        <w:trPr>
          <w:trHeight w:val="935" w:hRule="atLeast"/>
        </w:trPr>
        <w:tc>
          <w:tcPr>
            <w:tcW w:w="1908" w:type="dxa"/>
          </w:tcPr>
          <w:p>
            <w:pPr>
              <w:pStyle w:val="TableParagraph"/>
              <w:spacing w:line="278" w:lineRule="auto" w:before="20"/>
              <w:ind w:right="96"/>
              <w:rPr>
                <w:sz w:val="21"/>
              </w:rPr>
            </w:pPr>
            <w:r>
              <w:rPr>
                <w:spacing w:val="-2"/>
                <w:sz w:val="21"/>
              </w:rPr>
              <w:t>二十一、严重原发</w:t>
            </w:r>
            <w:r>
              <w:rPr>
                <w:spacing w:val="-2"/>
                <w:sz w:val="21"/>
              </w:rPr>
              <w:t>性肺动脉高压</w:t>
            </w:r>
          </w:p>
        </w:tc>
        <w:tc>
          <w:tcPr>
            <w:tcW w:w="6810" w:type="dxa"/>
          </w:tcPr>
          <w:p>
            <w:pPr>
              <w:pStyle w:val="TableParagraph"/>
              <w:spacing w:line="278" w:lineRule="auto" w:before="20"/>
              <w:ind w:right="92"/>
              <w:rPr>
                <w:sz w:val="21"/>
              </w:rPr>
            </w:pPr>
            <w:r>
              <w:rPr>
                <w:spacing w:val="-2"/>
                <w:sz w:val="21"/>
              </w:rPr>
              <w:t>指不明原因的肺动脉压力持续性增高，进行性发展而导致的慢性疾病，</w:t>
            </w:r>
            <w:r>
              <w:rPr>
                <w:spacing w:val="-1"/>
                <w:sz w:val="21"/>
              </w:rPr>
              <w:t>已经造成永久不可逆性的体力活动能力受限，达到美国纽约心脏病学会</w:t>
            </w:r>
          </w:p>
          <w:p>
            <w:pPr>
              <w:pStyle w:val="TableParagraph"/>
              <w:spacing w:line="269" w:lineRule="exact" w:before="0"/>
              <w:rPr>
                <w:sz w:val="21"/>
              </w:rPr>
            </w:pPr>
            <w:r>
              <w:rPr>
                <w:spacing w:val="-7"/>
                <w:sz w:val="21"/>
              </w:rPr>
              <w:t>心功能状态分级 </w:t>
            </w:r>
            <w:r>
              <w:rPr>
                <w:rFonts w:ascii="Times New Roman" w:eastAsia="Times New Roman"/>
                <w:sz w:val="21"/>
              </w:rPr>
              <w:t>IV</w:t>
            </w:r>
            <w:r>
              <w:rPr>
                <w:rFonts w:ascii="Times New Roman" w:eastAsia="Times New Roman"/>
                <w:spacing w:val="-6"/>
                <w:sz w:val="21"/>
              </w:rPr>
              <w:t> </w:t>
            </w:r>
            <w:r>
              <w:rPr>
                <w:spacing w:val="-4"/>
                <w:sz w:val="21"/>
              </w:rPr>
              <w:t>级，且静息状态下肺动脉平均压超过 </w:t>
            </w:r>
            <w:r>
              <w:rPr>
                <w:rFonts w:ascii="Times New Roman" w:eastAsia="Times New Roman"/>
                <w:sz w:val="21"/>
              </w:rPr>
              <w:t>30mmHg</w:t>
            </w:r>
            <w:r>
              <w:rPr>
                <w:spacing w:val="-10"/>
                <w:sz w:val="21"/>
              </w:rPr>
              <w:t>。</w:t>
            </w:r>
          </w:p>
        </w:tc>
      </w:tr>
      <w:tr>
        <w:trPr>
          <w:trHeight w:val="1247" w:hRule="atLeast"/>
        </w:trPr>
        <w:tc>
          <w:tcPr>
            <w:tcW w:w="1908" w:type="dxa"/>
          </w:tcPr>
          <w:p>
            <w:pPr>
              <w:pStyle w:val="TableParagraph"/>
              <w:spacing w:line="278" w:lineRule="auto" w:before="20"/>
              <w:ind w:right="96"/>
              <w:rPr>
                <w:sz w:val="21"/>
              </w:rPr>
            </w:pPr>
            <w:r>
              <w:rPr>
                <w:spacing w:val="-2"/>
                <w:sz w:val="21"/>
              </w:rPr>
              <w:t>二十二、严重运动</w:t>
            </w:r>
            <w:r>
              <w:rPr>
                <w:spacing w:val="-4"/>
                <w:sz w:val="21"/>
              </w:rPr>
              <w:t>神经元病</w:t>
            </w:r>
          </w:p>
        </w:tc>
        <w:tc>
          <w:tcPr>
            <w:tcW w:w="6810" w:type="dxa"/>
          </w:tcPr>
          <w:p>
            <w:pPr>
              <w:pStyle w:val="TableParagraph"/>
              <w:spacing w:line="278" w:lineRule="auto" w:before="20"/>
              <w:ind w:right="92"/>
              <w:jc w:val="both"/>
              <w:rPr>
                <w:sz w:val="21"/>
              </w:rPr>
            </w:pPr>
            <w:r>
              <w:rPr>
                <w:spacing w:val="-2"/>
                <w:sz w:val="21"/>
              </w:rPr>
              <w:t>是一组中枢神经系统运动神经元的进行性变性疾病，包括进行性脊肌萎</w:t>
            </w:r>
            <w:r>
              <w:rPr>
                <w:spacing w:val="-2"/>
                <w:sz w:val="21"/>
              </w:rPr>
              <w:t>缩症、进行性延髓麻痹症、原发性侧索硬化症、肌萎缩性侧索硬化症。</w:t>
            </w:r>
            <w:r>
              <w:rPr>
                <w:spacing w:val="-1"/>
                <w:sz w:val="21"/>
              </w:rPr>
              <w:t>须满足自主生活能力完全丧失，无法独立完成六项基本日常生活活动中</w:t>
            </w:r>
          </w:p>
          <w:p>
            <w:pPr>
              <w:pStyle w:val="TableParagraph"/>
              <w:spacing w:line="269" w:lineRule="exact" w:before="0"/>
              <w:rPr>
                <w:sz w:val="21"/>
              </w:rPr>
            </w:pPr>
            <w:r>
              <w:rPr>
                <w:spacing w:val="-1"/>
                <w:sz w:val="21"/>
              </w:rPr>
              <w:t>的三项或三项以上的条件。</w:t>
            </w:r>
          </w:p>
        </w:tc>
      </w:tr>
      <w:tr>
        <w:trPr>
          <w:trHeight w:val="936" w:hRule="atLeast"/>
        </w:trPr>
        <w:tc>
          <w:tcPr>
            <w:tcW w:w="1908" w:type="dxa"/>
          </w:tcPr>
          <w:p>
            <w:pPr>
              <w:pStyle w:val="TableParagraph"/>
              <w:spacing w:line="278" w:lineRule="auto" w:before="21"/>
              <w:ind w:right="96"/>
              <w:rPr>
                <w:sz w:val="21"/>
              </w:rPr>
            </w:pPr>
            <w:r>
              <w:rPr>
                <w:spacing w:val="-2"/>
                <w:sz w:val="21"/>
              </w:rPr>
              <w:t>二十三、语言能力</w:t>
            </w:r>
            <w:r>
              <w:rPr>
                <w:spacing w:val="-6"/>
                <w:sz w:val="21"/>
              </w:rPr>
              <w:t>丧失</w:t>
            </w:r>
          </w:p>
        </w:tc>
        <w:tc>
          <w:tcPr>
            <w:tcW w:w="6810" w:type="dxa"/>
          </w:tcPr>
          <w:p>
            <w:pPr>
              <w:pStyle w:val="TableParagraph"/>
              <w:spacing w:line="278" w:lineRule="auto" w:before="21"/>
              <w:ind w:right="92"/>
              <w:rPr>
                <w:sz w:val="21"/>
              </w:rPr>
            </w:pPr>
            <w:r>
              <w:rPr>
                <w:spacing w:val="-2"/>
                <w:sz w:val="21"/>
              </w:rPr>
              <w:t>指因疾病或意外伤害导致完全丧失语言能力，经过积极治疗至少十二个</w:t>
            </w:r>
            <w:r>
              <w:rPr>
                <w:spacing w:val="-2"/>
                <w:sz w:val="21"/>
              </w:rPr>
              <w:t>月（声带完全切除不受此时间限制</w:t>
            </w:r>
            <w:r>
              <w:rPr>
                <w:spacing w:val="-106"/>
                <w:sz w:val="21"/>
              </w:rPr>
              <w:t>）</w:t>
            </w:r>
            <w:r>
              <w:rPr>
                <w:spacing w:val="-2"/>
                <w:sz w:val="21"/>
              </w:rPr>
              <w:t>，仍无法通过现有医疗手段恢复。</w:t>
            </w:r>
          </w:p>
          <w:p>
            <w:pPr>
              <w:pStyle w:val="TableParagraph"/>
              <w:spacing w:line="269" w:lineRule="exact" w:before="0"/>
              <w:rPr>
                <w:rFonts w:ascii="黑体" w:eastAsia="黑体"/>
                <w:sz w:val="21"/>
              </w:rPr>
            </w:pPr>
            <w:r>
              <w:rPr>
                <w:rFonts w:ascii="黑体" w:eastAsia="黑体"/>
                <w:color w:val="000000"/>
                <w:spacing w:val="-1"/>
                <w:sz w:val="21"/>
                <w:shd w:fill="D9D9D9" w:color="auto" w:val="clear"/>
              </w:rPr>
              <w:t>精神心理因素所致的语言能力丧失不在保障范围内。</w:t>
            </w:r>
          </w:p>
        </w:tc>
      </w:tr>
    </w:tbl>
    <w:p>
      <w:pPr>
        <w:spacing w:after="0" w:line="269" w:lineRule="exact"/>
        <w:rPr>
          <w:rFonts w:ascii="黑体" w:eastAsia="黑体"/>
          <w:sz w:val="21"/>
        </w:rPr>
        <w:sectPr>
          <w:type w:val="continuous"/>
          <w:pgSz w:w="11910" w:h="16840"/>
          <w:pgMar w:header="0" w:footer="1168" w:top="1460" w:bottom="1360" w:left="1060" w:right="1060"/>
        </w:sectPr>
      </w:pPr>
    </w:p>
    <w:tbl>
      <w:tblPr>
        <w:tblW w:w="0" w:type="auto"/>
        <w:jc w:val="left"/>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08"/>
        <w:gridCol w:w="6810"/>
      </w:tblGrid>
      <w:tr>
        <w:trPr>
          <w:trHeight w:val="2184" w:hRule="atLeast"/>
        </w:trPr>
        <w:tc>
          <w:tcPr>
            <w:tcW w:w="1908" w:type="dxa"/>
          </w:tcPr>
          <w:p>
            <w:pPr>
              <w:pStyle w:val="TableParagraph"/>
              <w:spacing w:line="278" w:lineRule="auto" w:before="21"/>
              <w:ind w:right="96"/>
              <w:rPr>
                <w:sz w:val="21"/>
              </w:rPr>
            </w:pPr>
            <w:r>
              <w:rPr>
                <w:spacing w:val="-2"/>
                <w:sz w:val="21"/>
              </w:rPr>
              <w:t>二十四、重型再生</w:t>
            </w:r>
            <w:r>
              <w:rPr>
                <w:spacing w:val="-2"/>
                <w:sz w:val="21"/>
              </w:rPr>
              <w:t>障碍性贫血</w:t>
            </w:r>
          </w:p>
        </w:tc>
        <w:tc>
          <w:tcPr>
            <w:tcW w:w="6810" w:type="dxa"/>
          </w:tcPr>
          <w:p>
            <w:pPr>
              <w:pStyle w:val="TableParagraph"/>
              <w:spacing w:line="278" w:lineRule="auto" w:before="21"/>
              <w:ind w:right="92"/>
              <w:rPr>
                <w:sz w:val="21"/>
              </w:rPr>
            </w:pPr>
            <w:r>
              <w:rPr>
                <w:spacing w:val="-2"/>
                <w:sz w:val="21"/>
              </w:rPr>
              <w:t>指因骨髓造血功能慢性持续性衰竭导致的贫血、中性粒细胞减少及血小</w:t>
            </w:r>
            <w:r>
              <w:rPr>
                <w:spacing w:val="-2"/>
                <w:sz w:val="21"/>
              </w:rPr>
              <w:t>板减少。须满足下列全部条件：</w:t>
            </w:r>
          </w:p>
          <w:p>
            <w:pPr>
              <w:pStyle w:val="TableParagraph"/>
              <w:numPr>
                <w:ilvl w:val="0"/>
                <w:numId w:val="19"/>
              </w:numPr>
              <w:tabs>
                <w:tab w:pos="468" w:val="left" w:leader="none"/>
              </w:tabs>
              <w:spacing w:line="269" w:lineRule="exact" w:before="0" w:after="0"/>
              <w:ind w:left="467" w:right="0" w:hanging="361"/>
              <w:jc w:val="left"/>
              <w:rPr>
                <w:sz w:val="21"/>
              </w:rPr>
            </w:pPr>
            <w:r>
              <w:rPr>
                <w:spacing w:val="-1"/>
                <w:sz w:val="21"/>
              </w:rPr>
              <w:t>骨髓穿刺检查或骨髓活检结果支持诊断；</w:t>
            </w:r>
          </w:p>
          <w:p>
            <w:pPr>
              <w:pStyle w:val="TableParagraph"/>
              <w:numPr>
                <w:ilvl w:val="0"/>
                <w:numId w:val="19"/>
              </w:numPr>
              <w:tabs>
                <w:tab w:pos="468" w:val="left" w:leader="none"/>
              </w:tabs>
              <w:spacing w:line="240" w:lineRule="auto" w:before="43" w:after="0"/>
              <w:ind w:left="467" w:right="0" w:hanging="361"/>
              <w:jc w:val="left"/>
              <w:rPr>
                <w:sz w:val="21"/>
              </w:rPr>
            </w:pPr>
            <w:r>
              <w:rPr>
                <w:spacing w:val="-1"/>
                <w:sz w:val="21"/>
              </w:rPr>
              <w:t>外周血象须具备以下三项条件：</w:t>
            </w:r>
          </w:p>
          <w:p>
            <w:pPr>
              <w:pStyle w:val="TableParagraph"/>
              <w:tabs>
                <w:tab w:pos="887" w:val="left" w:leader="none"/>
              </w:tabs>
              <w:ind w:left="467"/>
              <w:rPr>
                <w:sz w:val="21"/>
              </w:rPr>
            </w:pPr>
            <w:r>
              <w:rPr>
                <w:spacing w:val="-10"/>
                <w:sz w:val="21"/>
              </w:rPr>
              <w:t>①</w:t>
            </w:r>
            <w:r>
              <w:rPr>
                <w:sz w:val="21"/>
              </w:rPr>
              <w:tab/>
            </w:r>
            <w:r>
              <w:rPr>
                <w:spacing w:val="-1"/>
                <w:sz w:val="21"/>
              </w:rPr>
              <w:t>中性粒细胞绝对值≤</w:t>
            </w:r>
            <w:r>
              <w:rPr>
                <w:rFonts w:ascii="Times New Roman" w:hAnsi="Times New Roman" w:eastAsia="Times New Roman"/>
                <w:spacing w:val="-2"/>
                <w:sz w:val="21"/>
              </w:rPr>
              <w:t>0.5×10</w:t>
            </w:r>
            <w:r>
              <w:rPr>
                <w:rFonts w:ascii="Times New Roman" w:hAnsi="Times New Roman" w:eastAsia="Times New Roman"/>
                <w:spacing w:val="-2"/>
                <w:sz w:val="21"/>
                <w:vertAlign w:val="superscript"/>
              </w:rPr>
              <w:t>9</w:t>
            </w:r>
            <w:r>
              <w:rPr>
                <w:rFonts w:ascii="Times New Roman" w:hAnsi="Times New Roman" w:eastAsia="Times New Roman"/>
                <w:spacing w:val="-2"/>
                <w:sz w:val="21"/>
                <w:vertAlign w:val="baseline"/>
              </w:rPr>
              <w:t>/L</w:t>
            </w:r>
            <w:r>
              <w:rPr>
                <w:spacing w:val="-2"/>
                <w:sz w:val="21"/>
                <w:vertAlign w:val="baseline"/>
              </w:rPr>
              <w:t>；</w:t>
            </w:r>
          </w:p>
          <w:p>
            <w:pPr>
              <w:pStyle w:val="TableParagraph"/>
              <w:tabs>
                <w:tab w:pos="887" w:val="left" w:leader="none"/>
              </w:tabs>
              <w:ind w:left="467"/>
              <w:rPr>
                <w:sz w:val="21"/>
              </w:rPr>
            </w:pPr>
            <w:r>
              <w:rPr>
                <w:spacing w:val="-10"/>
                <w:sz w:val="21"/>
              </w:rPr>
              <w:t>②</w:t>
            </w:r>
            <w:r>
              <w:rPr>
                <w:sz w:val="21"/>
              </w:rPr>
              <w:tab/>
            </w:r>
            <w:r>
              <w:rPr>
                <w:spacing w:val="-1"/>
                <w:sz w:val="21"/>
              </w:rPr>
              <w:t>网织红细胞＜</w:t>
            </w:r>
            <w:r>
              <w:rPr>
                <w:rFonts w:ascii="Times New Roman" w:hAnsi="Times New Roman" w:eastAsia="Times New Roman"/>
                <w:spacing w:val="-4"/>
                <w:sz w:val="21"/>
              </w:rPr>
              <w:t>1%</w:t>
            </w:r>
            <w:r>
              <w:rPr>
                <w:spacing w:val="-4"/>
                <w:sz w:val="21"/>
              </w:rPr>
              <w:t>；</w:t>
            </w:r>
          </w:p>
          <w:p>
            <w:pPr>
              <w:pStyle w:val="TableParagraph"/>
              <w:tabs>
                <w:tab w:pos="887" w:val="left" w:leader="none"/>
              </w:tabs>
              <w:ind w:left="467"/>
              <w:rPr>
                <w:sz w:val="21"/>
              </w:rPr>
            </w:pPr>
            <w:r>
              <w:rPr>
                <w:spacing w:val="-10"/>
                <w:sz w:val="21"/>
              </w:rPr>
              <w:t>③</w:t>
            </w:r>
            <w:r>
              <w:rPr>
                <w:sz w:val="21"/>
              </w:rPr>
              <w:tab/>
            </w:r>
            <w:r>
              <w:rPr>
                <w:spacing w:val="-2"/>
                <w:sz w:val="21"/>
              </w:rPr>
              <w:t>血小板绝对值≤</w:t>
            </w:r>
            <w:r>
              <w:rPr>
                <w:rFonts w:ascii="Times New Roman" w:hAnsi="Times New Roman" w:eastAsia="Times New Roman"/>
                <w:spacing w:val="-2"/>
                <w:sz w:val="21"/>
              </w:rPr>
              <w:t>20×10</w:t>
            </w:r>
            <w:r>
              <w:rPr>
                <w:rFonts w:ascii="Times New Roman" w:hAnsi="Times New Roman" w:eastAsia="Times New Roman"/>
                <w:spacing w:val="-2"/>
                <w:sz w:val="21"/>
                <w:vertAlign w:val="superscript"/>
              </w:rPr>
              <w:t>9</w:t>
            </w:r>
            <w:r>
              <w:rPr>
                <w:rFonts w:ascii="Times New Roman" w:hAnsi="Times New Roman" w:eastAsia="Times New Roman"/>
                <w:spacing w:val="-2"/>
                <w:sz w:val="21"/>
                <w:vertAlign w:val="baseline"/>
              </w:rPr>
              <w:t>/L</w:t>
            </w:r>
            <w:r>
              <w:rPr>
                <w:spacing w:val="-10"/>
                <w:sz w:val="21"/>
                <w:vertAlign w:val="baseline"/>
              </w:rPr>
              <w:t>。</w:t>
            </w:r>
          </w:p>
        </w:tc>
      </w:tr>
      <w:tr>
        <w:trPr>
          <w:trHeight w:val="1247" w:hRule="atLeast"/>
        </w:trPr>
        <w:tc>
          <w:tcPr>
            <w:tcW w:w="1908" w:type="dxa"/>
          </w:tcPr>
          <w:p>
            <w:pPr>
              <w:pStyle w:val="TableParagraph"/>
              <w:spacing w:line="278" w:lineRule="auto" w:before="20"/>
              <w:ind w:right="96"/>
              <w:rPr>
                <w:sz w:val="21"/>
              </w:rPr>
            </w:pPr>
            <w:r>
              <w:rPr>
                <w:spacing w:val="-2"/>
                <w:sz w:val="21"/>
              </w:rPr>
              <w:t>二十五、主动脉手</w:t>
            </w:r>
            <w:r>
              <w:rPr>
                <w:spacing w:val="-10"/>
                <w:sz w:val="21"/>
              </w:rPr>
              <w:t>术</w:t>
            </w:r>
          </w:p>
        </w:tc>
        <w:tc>
          <w:tcPr>
            <w:tcW w:w="6810" w:type="dxa"/>
          </w:tcPr>
          <w:p>
            <w:pPr>
              <w:pStyle w:val="TableParagraph"/>
              <w:spacing w:line="278" w:lineRule="auto" w:before="20"/>
              <w:ind w:right="92"/>
              <w:jc w:val="both"/>
              <w:rPr>
                <w:sz w:val="21"/>
              </w:rPr>
            </w:pPr>
            <w:r>
              <w:rPr>
                <w:spacing w:val="-2"/>
                <w:sz w:val="21"/>
              </w:rPr>
              <w:t>指为治疗主动脉疾病，实际实施了开胸或开腹进行的切除、置换、修补</w:t>
            </w:r>
            <w:r>
              <w:rPr>
                <w:spacing w:val="-2"/>
                <w:sz w:val="21"/>
              </w:rPr>
              <w:t>病损主动脉血管的手术。主动脉指胸主动脉和腹主动脉，不包括胸主动</w:t>
            </w:r>
            <w:r>
              <w:rPr>
                <w:spacing w:val="-2"/>
                <w:sz w:val="21"/>
              </w:rPr>
              <w:t>脉和腹主动脉的分支血管。</w:t>
            </w:r>
          </w:p>
          <w:p>
            <w:pPr>
              <w:pStyle w:val="TableParagraph"/>
              <w:spacing w:line="269" w:lineRule="exact" w:before="0"/>
              <w:rPr>
                <w:rFonts w:ascii="黑体" w:eastAsia="黑体"/>
                <w:sz w:val="21"/>
              </w:rPr>
            </w:pPr>
            <w:r>
              <w:rPr>
                <w:rFonts w:ascii="黑体" w:eastAsia="黑体"/>
                <w:color w:val="000000"/>
                <w:spacing w:val="-1"/>
                <w:sz w:val="21"/>
                <w:shd w:fill="D9D9D9" w:color="auto" w:val="clear"/>
              </w:rPr>
              <w:t>动脉内血管成形术不在保障范围内。</w:t>
            </w:r>
          </w:p>
        </w:tc>
      </w:tr>
      <w:tr>
        <w:trPr>
          <w:trHeight w:val="1247" w:hRule="atLeast"/>
        </w:trPr>
        <w:tc>
          <w:tcPr>
            <w:tcW w:w="1908" w:type="dxa"/>
          </w:tcPr>
          <w:p>
            <w:pPr>
              <w:pStyle w:val="TableParagraph"/>
              <w:spacing w:line="278" w:lineRule="auto" w:before="20"/>
              <w:ind w:right="96"/>
              <w:rPr>
                <w:sz w:val="21"/>
              </w:rPr>
            </w:pPr>
            <w:r>
              <w:rPr>
                <w:spacing w:val="-2"/>
                <w:sz w:val="21"/>
              </w:rPr>
              <w:t>二十六、植物人状</w:t>
            </w:r>
            <w:r>
              <w:rPr>
                <w:spacing w:val="-10"/>
                <w:sz w:val="21"/>
              </w:rPr>
              <w:t>态</w:t>
            </w:r>
          </w:p>
        </w:tc>
        <w:tc>
          <w:tcPr>
            <w:tcW w:w="6810" w:type="dxa"/>
          </w:tcPr>
          <w:p>
            <w:pPr>
              <w:pStyle w:val="TableParagraph"/>
              <w:spacing w:line="278" w:lineRule="auto" w:before="20"/>
              <w:ind w:right="-15"/>
              <w:rPr>
                <w:sz w:val="21"/>
              </w:rPr>
            </w:pPr>
            <w:r>
              <w:rPr>
                <w:spacing w:val="2"/>
                <w:sz w:val="21"/>
              </w:rPr>
              <w:t>指由于严重颅脑外伤造成大脑严重损害导致完全永久性的对自身和环境</w:t>
            </w:r>
            <w:r>
              <w:rPr>
                <w:spacing w:val="-2"/>
                <w:sz w:val="21"/>
              </w:rPr>
              <w:t>的意识丧失和中枢神经系统功能丧失，仅残存植物神经功能的疾病状态。</w:t>
            </w:r>
            <w:r>
              <w:rPr>
                <w:spacing w:val="2"/>
                <w:sz w:val="21"/>
              </w:rPr>
              <w:t>诊断必须明确并且具有严重颅脑外伤和脑损害的证据。植物人状态必须</w:t>
            </w:r>
          </w:p>
          <w:p>
            <w:pPr>
              <w:pStyle w:val="TableParagraph"/>
              <w:spacing w:line="269" w:lineRule="exact" w:before="0"/>
              <w:rPr>
                <w:sz w:val="21"/>
              </w:rPr>
            </w:pPr>
            <w:r>
              <w:rPr>
                <w:spacing w:val="-1"/>
                <w:sz w:val="21"/>
              </w:rPr>
              <w:t>持续三十天以上方可申请理赔。</w:t>
            </w:r>
          </w:p>
        </w:tc>
      </w:tr>
      <w:tr>
        <w:trPr>
          <w:trHeight w:val="1872" w:hRule="atLeast"/>
        </w:trPr>
        <w:tc>
          <w:tcPr>
            <w:tcW w:w="1908" w:type="dxa"/>
          </w:tcPr>
          <w:p>
            <w:pPr>
              <w:pStyle w:val="TableParagraph"/>
              <w:spacing w:line="278" w:lineRule="auto" w:before="21"/>
              <w:ind w:right="108"/>
              <w:rPr>
                <w:sz w:val="21"/>
              </w:rPr>
            </w:pPr>
            <w:r>
              <w:rPr>
                <w:spacing w:val="-2"/>
                <w:sz w:val="21"/>
              </w:rPr>
              <w:t>二十七、急性脊髓</w:t>
            </w:r>
            <w:r>
              <w:rPr>
                <w:spacing w:val="-4"/>
                <w:sz w:val="21"/>
              </w:rPr>
              <w:t>灰质炎</w:t>
            </w:r>
          </w:p>
        </w:tc>
        <w:tc>
          <w:tcPr>
            <w:tcW w:w="6810" w:type="dxa"/>
          </w:tcPr>
          <w:p>
            <w:pPr>
              <w:pStyle w:val="TableParagraph"/>
              <w:spacing w:line="278" w:lineRule="auto" w:before="21"/>
              <w:ind w:right="92"/>
              <w:jc w:val="both"/>
              <w:rPr>
                <w:sz w:val="21"/>
              </w:rPr>
            </w:pPr>
            <w:r>
              <w:rPr>
                <w:spacing w:val="-2"/>
                <w:sz w:val="21"/>
              </w:rPr>
              <w:t>指由于脊髓灰质炎病毒感染所导致的运动功能障碍或呼吸功能减弱的瘫</w:t>
            </w:r>
            <w:r>
              <w:rPr>
                <w:spacing w:val="-2"/>
                <w:sz w:val="21"/>
              </w:rPr>
              <w:t>痪性疾病。</w:t>
            </w:r>
            <w:r>
              <w:rPr>
                <w:rFonts w:ascii="黑体" w:eastAsia="黑体"/>
                <w:spacing w:val="-2"/>
                <w:sz w:val="21"/>
              </w:rPr>
              <w:t>诊断必须由我们认可的神经科主任级专科医生确认并提供相</w:t>
            </w:r>
            <w:r>
              <w:rPr>
                <w:rFonts w:ascii="黑体" w:eastAsia="黑体"/>
                <w:spacing w:val="-2"/>
                <w:sz w:val="21"/>
              </w:rPr>
              <w:t>关的脊髓灰质炎病毒感染的证据</w:t>
            </w:r>
            <w:r>
              <w:rPr>
                <w:spacing w:val="-2"/>
                <w:sz w:val="21"/>
              </w:rPr>
              <w:t>（例如：脑脊液检查或血清学抗体检查</w:t>
            </w:r>
            <w:r>
              <w:rPr>
                <w:spacing w:val="-2"/>
                <w:sz w:val="21"/>
              </w:rPr>
              <w:t>报告）被保险人若无因此感染而导致的瘫痪，则不符合理赔条件。</w:t>
            </w:r>
          </w:p>
          <w:p>
            <w:pPr>
              <w:pStyle w:val="TableParagraph"/>
              <w:spacing w:line="269" w:lineRule="exact" w:before="0"/>
              <w:rPr>
                <w:rFonts w:ascii="黑体" w:eastAsia="黑体"/>
                <w:sz w:val="21"/>
              </w:rPr>
            </w:pPr>
            <w:r>
              <w:rPr>
                <w:rFonts w:ascii="黑体" w:eastAsia="黑体"/>
                <w:color w:val="000000"/>
                <w:spacing w:val="-8"/>
                <w:sz w:val="21"/>
                <w:shd w:fill="D9D9D9" w:color="auto" w:val="clear"/>
              </w:rPr>
              <w:t>其它病因所致的瘫痪，例如格林一巴利综合症</w:t>
            </w:r>
            <w:r>
              <w:rPr>
                <w:rFonts w:ascii="Times New Roman" w:eastAsia="Times New Roman"/>
                <w:color w:val="000000"/>
                <w:spacing w:val="-2"/>
                <w:sz w:val="21"/>
                <w:shd w:fill="D9D9D9" w:color="auto" w:val="clear"/>
              </w:rPr>
              <w:t>(</w:t>
            </w:r>
            <w:r>
              <w:rPr>
                <w:rFonts w:ascii="黑体" w:eastAsia="黑体"/>
                <w:color w:val="000000"/>
                <w:spacing w:val="-2"/>
                <w:sz w:val="21"/>
                <w:shd w:fill="D9D9D9" w:color="auto" w:val="clear"/>
              </w:rPr>
              <w:t>急性感染性多神经炎</w:t>
            </w:r>
            <w:r>
              <w:rPr>
                <w:rFonts w:ascii="Times New Roman" w:eastAsia="Times New Roman"/>
                <w:color w:val="000000"/>
                <w:spacing w:val="-2"/>
                <w:sz w:val="21"/>
                <w:shd w:fill="D9D9D9" w:color="auto" w:val="clear"/>
              </w:rPr>
              <w:t>)</w:t>
            </w:r>
            <w:r>
              <w:rPr>
                <w:rFonts w:ascii="黑体" w:eastAsia="黑体"/>
                <w:color w:val="000000"/>
                <w:spacing w:val="-6"/>
                <w:sz w:val="21"/>
                <w:shd w:fill="D9D9D9" w:color="auto" w:val="clear"/>
              </w:rPr>
              <w:t>则不</w:t>
            </w:r>
          </w:p>
          <w:p>
            <w:pPr>
              <w:pStyle w:val="TableParagraph"/>
              <w:rPr>
                <w:rFonts w:ascii="黑体" w:eastAsia="黑体"/>
                <w:sz w:val="21"/>
              </w:rPr>
            </w:pPr>
            <w:r>
              <w:rPr>
                <w:rFonts w:ascii="黑体" w:eastAsia="黑体"/>
                <w:color w:val="000000"/>
                <w:spacing w:val="-2"/>
                <w:sz w:val="21"/>
                <w:shd w:fill="D9D9D9" w:color="auto" w:val="clear"/>
              </w:rPr>
              <w:t>在保障范围内。</w:t>
            </w:r>
          </w:p>
        </w:tc>
      </w:tr>
      <w:tr>
        <w:trPr>
          <w:trHeight w:val="3743" w:hRule="atLeast"/>
        </w:trPr>
        <w:tc>
          <w:tcPr>
            <w:tcW w:w="1908" w:type="dxa"/>
          </w:tcPr>
          <w:p>
            <w:pPr>
              <w:pStyle w:val="TableParagraph"/>
              <w:spacing w:line="278" w:lineRule="auto" w:before="20"/>
              <w:ind w:right="96"/>
              <w:rPr>
                <w:sz w:val="21"/>
              </w:rPr>
            </w:pPr>
            <w:r>
              <w:rPr>
                <w:spacing w:val="-2"/>
                <w:sz w:val="21"/>
              </w:rPr>
              <w:t>二十八、多发性硬</w:t>
            </w:r>
            <w:r>
              <w:rPr>
                <w:spacing w:val="-6"/>
                <w:sz w:val="21"/>
              </w:rPr>
              <w:t>化症</w:t>
            </w:r>
          </w:p>
        </w:tc>
        <w:tc>
          <w:tcPr>
            <w:tcW w:w="6810" w:type="dxa"/>
          </w:tcPr>
          <w:p>
            <w:pPr>
              <w:pStyle w:val="TableParagraph"/>
              <w:spacing w:line="278" w:lineRule="auto" w:before="20"/>
              <w:ind w:right="92"/>
              <w:jc w:val="both"/>
              <w:rPr>
                <w:sz w:val="21"/>
              </w:rPr>
            </w:pPr>
            <w:r>
              <w:rPr>
                <w:spacing w:val="-2"/>
                <w:sz w:val="21"/>
              </w:rPr>
              <w:t>多发性硬化症为中枢神经系统脱髓鞘病变。</w:t>
            </w:r>
            <w:r>
              <w:rPr>
                <w:rFonts w:ascii="黑体" w:eastAsia="黑体"/>
                <w:spacing w:val="-2"/>
                <w:sz w:val="21"/>
              </w:rPr>
              <w:t>其诊断必须由我们认可医院</w:t>
            </w:r>
            <w:r>
              <w:rPr>
                <w:rFonts w:ascii="黑体" w:eastAsia="黑体"/>
                <w:sz w:val="21"/>
              </w:rPr>
              <w:t>的神经内科主任级专科医生确诊，</w:t>
            </w:r>
            <w:r>
              <w:rPr>
                <w:spacing w:val="-7"/>
                <w:sz w:val="21"/>
              </w:rPr>
              <w:t>并应由 </w:t>
            </w:r>
            <w:r>
              <w:rPr>
                <w:rFonts w:ascii="Times New Roman" w:eastAsia="Times New Roman"/>
                <w:sz w:val="21"/>
              </w:rPr>
              <w:t>CT</w:t>
            </w:r>
            <w:r>
              <w:rPr>
                <w:rFonts w:ascii="Times New Roman" w:eastAsia="Times New Roman"/>
                <w:spacing w:val="-13"/>
                <w:sz w:val="21"/>
              </w:rPr>
              <w:t> </w:t>
            </w:r>
            <w:r>
              <w:rPr>
                <w:spacing w:val="-13"/>
                <w:sz w:val="21"/>
              </w:rPr>
              <w:t>或 </w:t>
            </w:r>
            <w:r>
              <w:rPr>
                <w:rFonts w:ascii="Times New Roman" w:eastAsia="Times New Roman"/>
                <w:sz w:val="21"/>
              </w:rPr>
              <w:t>MRI</w:t>
            </w:r>
            <w:r>
              <w:rPr>
                <w:rFonts w:ascii="Times New Roman" w:eastAsia="Times New Roman"/>
                <w:spacing w:val="-13"/>
                <w:sz w:val="21"/>
              </w:rPr>
              <w:t> </w:t>
            </w:r>
            <w:r>
              <w:rPr>
                <w:sz w:val="21"/>
              </w:rPr>
              <w:t>确认的中枢神经系</w:t>
            </w:r>
            <w:r>
              <w:rPr>
                <w:spacing w:val="-2"/>
                <w:sz w:val="21"/>
              </w:rPr>
              <w:t>统病灶证实。神经内科专科医生提供的病历文件必须载明不可逆性的神</w:t>
            </w:r>
            <w:r>
              <w:rPr>
                <w:spacing w:val="-2"/>
                <w:sz w:val="21"/>
              </w:rPr>
              <w:t>经系统功能障碍与缺失的详情。诊断须包括：</w:t>
            </w:r>
          </w:p>
          <w:p>
            <w:pPr>
              <w:pStyle w:val="TableParagraph"/>
              <w:numPr>
                <w:ilvl w:val="0"/>
                <w:numId w:val="20"/>
              </w:numPr>
              <w:tabs>
                <w:tab w:pos="468" w:val="left" w:leader="none"/>
              </w:tabs>
              <w:spacing w:line="269" w:lineRule="exact" w:before="0" w:after="0"/>
              <w:ind w:left="467" w:right="0" w:hanging="361"/>
              <w:jc w:val="both"/>
              <w:rPr>
                <w:sz w:val="21"/>
              </w:rPr>
            </w:pPr>
            <w:r>
              <w:rPr>
                <w:spacing w:val="-1"/>
                <w:sz w:val="21"/>
              </w:rPr>
              <w:t>神经异常症状必须不间断地持续至少六个月，或</w:t>
            </w:r>
          </w:p>
          <w:p>
            <w:pPr>
              <w:pStyle w:val="TableParagraph"/>
              <w:numPr>
                <w:ilvl w:val="0"/>
                <w:numId w:val="20"/>
              </w:numPr>
              <w:tabs>
                <w:tab w:pos="468" w:val="left" w:leader="none"/>
              </w:tabs>
              <w:spacing w:line="240" w:lineRule="auto" w:before="43" w:after="0"/>
              <w:ind w:left="467" w:right="0" w:hanging="361"/>
              <w:jc w:val="both"/>
              <w:rPr>
                <w:sz w:val="21"/>
              </w:rPr>
            </w:pPr>
            <w:r>
              <w:rPr>
                <w:spacing w:val="-1"/>
                <w:sz w:val="21"/>
              </w:rPr>
              <w:t>有至少两次发作的临床记录且发作间隔至少一个月，或</w:t>
            </w:r>
          </w:p>
          <w:p>
            <w:pPr>
              <w:pStyle w:val="TableParagraph"/>
              <w:numPr>
                <w:ilvl w:val="0"/>
                <w:numId w:val="20"/>
              </w:numPr>
              <w:tabs>
                <w:tab w:pos="468" w:val="left" w:leader="none"/>
              </w:tabs>
              <w:spacing w:line="278" w:lineRule="auto" w:before="43" w:after="0"/>
              <w:ind w:left="467" w:right="96" w:hanging="360"/>
              <w:jc w:val="both"/>
              <w:rPr>
                <w:sz w:val="21"/>
              </w:rPr>
            </w:pPr>
            <w:r>
              <w:rPr>
                <w:spacing w:val="-2"/>
                <w:sz w:val="21"/>
              </w:rPr>
              <w:t>至少有一次临床发作记录且有典型的脑脊液改变并伴 </w:t>
            </w:r>
            <w:r>
              <w:rPr>
                <w:rFonts w:ascii="Times New Roman" w:eastAsia="Times New Roman"/>
                <w:sz w:val="21"/>
              </w:rPr>
              <w:t>MRI</w:t>
            </w:r>
            <w:r>
              <w:rPr>
                <w:rFonts w:ascii="Times New Roman" w:eastAsia="Times New Roman"/>
                <w:spacing w:val="-1"/>
                <w:sz w:val="21"/>
              </w:rPr>
              <w:t> </w:t>
            </w:r>
            <w:r>
              <w:rPr>
                <w:sz w:val="21"/>
              </w:rPr>
              <w:t>的损伤表</w:t>
            </w:r>
            <w:r>
              <w:rPr>
                <w:spacing w:val="-6"/>
                <w:sz w:val="21"/>
              </w:rPr>
              <w:t>现。</w:t>
            </w:r>
          </w:p>
          <w:p>
            <w:pPr>
              <w:pStyle w:val="TableParagraph"/>
              <w:spacing w:line="278" w:lineRule="auto" w:before="0"/>
              <w:ind w:right="97"/>
              <w:jc w:val="both"/>
              <w:rPr>
                <w:sz w:val="21"/>
              </w:rPr>
            </w:pPr>
            <w:r>
              <w:rPr>
                <w:spacing w:val="-3"/>
                <w:sz w:val="21"/>
              </w:rPr>
              <w:t>必须伴有典型的脱髓鞘症状和运动及感觉功能障碍的证据并有 </w:t>
            </w:r>
            <w:r>
              <w:rPr>
                <w:rFonts w:ascii="Times New Roman" w:eastAsia="Times New Roman"/>
                <w:spacing w:val="-2"/>
                <w:sz w:val="21"/>
              </w:rPr>
              <w:t>MRI</w:t>
            </w:r>
            <w:r>
              <w:rPr>
                <w:rFonts w:ascii="Times New Roman" w:eastAsia="Times New Roman"/>
                <w:sz w:val="21"/>
              </w:rPr>
              <w:t> </w:t>
            </w:r>
            <w:r>
              <w:rPr>
                <w:spacing w:val="-2"/>
                <w:sz w:val="21"/>
              </w:rPr>
              <w:t>检查</w:t>
            </w:r>
            <w:r>
              <w:rPr>
                <w:spacing w:val="-2"/>
                <w:sz w:val="21"/>
              </w:rPr>
              <w:t>的典型改变。</w:t>
            </w:r>
          </w:p>
          <w:p>
            <w:pPr>
              <w:pStyle w:val="TableParagraph"/>
              <w:spacing w:line="269" w:lineRule="exact" w:before="0"/>
              <w:rPr>
                <w:rFonts w:ascii="黑体" w:eastAsia="黑体"/>
                <w:sz w:val="21"/>
              </w:rPr>
            </w:pPr>
            <w:r>
              <w:rPr>
                <w:rFonts w:ascii="黑体" w:eastAsia="黑体"/>
                <w:color w:val="000000"/>
                <w:sz w:val="21"/>
                <w:shd w:fill="D9D9D9" w:color="auto" w:val="clear"/>
              </w:rPr>
              <w:t>由于其它病因（如：血管疾病、细菌或病毒疾病）</w:t>
            </w:r>
            <w:r>
              <w:rPr>
                <w:rFonts w:ascii="黑体" w:eastAsia="黑体"/>
                <w:color w:val="000000"/>
                <w:spacing w:val="-2"/>
                <w:sz w:val="21"/>
                <w:shd w:fill="D9D9D9" w:color="auto" w:val="clear"/>
              </w:rPr>
              <w:t>引起的中枢神经系统</w:t>
            </w:r>
          </w:p>
          <w:p>
            <w:pPr>
              <w:pStyle w:val="TableParagraph"/>
              <w:spacing w:before="42"/>
              <w:rPr>
                <w:rFonts w:ascii="黑体" w:eastAsia="黑体"/>
                <w:sz w:val="21"/>
              </w:rPr>
            </w:pPr>
            <w:r>
              <w:rPr>
                <w:rFonts w:ascii="黑体" w:eastAsia="黑体"/>
                <w:color w:val="000000"/>
                <w:spacing w:val="-1"/>
                <w:sz w:val="21"/>
                <w:shd w:fill="D9D9D9" w:color="auto" w:val="clear"/>
              </w:rPr>
              <w:t>疾病不在保障范围内。</w:t>
            </w:r>
          </w:p>
        </w:tc>
      </w:tr>
      <w:tr>
        <w:trPr>
          <w:trHeight w:val="2807" w:hRule="atLeast"/>
        </w:trPr>
        <w:tc>
          <w:tcPr>
            <w:tcW w:w="1908" w:type="dxa"/>
          </w:tcPr>
          <w:p>
            <w:pPr>
              <w:pStyle w:val="TableParagraph"/>
              <w:spacing w:line="278" w:lineRule="auto" w:before="20"/>
              <w:ind w:right="96"/>
              <w:rPr>
                <w:sz w:val="21"/>
              </w:rPr>
            </w:pPr>
            <w:r>
              <w:rPr>
                <w:spacing w:val="-2"/>
                <w:sz w:val="21"/>
              </w:rPr>
              <w:t>二十九、原发性心</w:t>
            </w:r>
            <w:r>
              <w:rPr>
                <w:spacing w:val="-6"/>
                <w:sz w:val="21"/>
              </w:rPr>
              <w:t>肌病</w:t>
            </w:r>
          </w:p>
        </w:tc>
        <w:tc>
          <w:tcPr>
            <w:tcW w:w="6810" w:type="dxa"/>
          </w:tcPr>
          <w:p>
            <w:pPr>
              <w:pStyle w:val="TableParagraph"/>
              <w:spacing w:line="276" w:lineRule="auto" w:before="20"/>
              <w:ind w:right="92"/>
              <w:jc w:val="both"/>
              <w:rPr>
                <w:sz w:val="21"/>
              </w:rPr>
            </w:pPr>
            <w:r>
              <w:rPr>
                <w:spacing w:val="-2"/>
                <w:sz w:val="21"/>
              </w:rPr>
              <w:t>指不明原因引起的一类心肌病变，包括原发性扩张型心肌病、原发性肥</w:t>
            </w:r>
            <w:r>
              <w:rPr>
                <w:spacing w:val="-2"/>
                <w:sz w:val="21"/>
              </w:rPr>
              <w:t>厚型心肌病及原发性限制型心肌病三种，病变必须已造成事实上心室功</w:t>
            </w:r>
            <w:r>
              <w:rPr>
                <w:spacing w:val="-2"/>
                <w:sz w:val="21"/>
              </w:rPr>
              <w:t>能障碍而出现明显的心功能衰竭（美国纽约心脏协会心功能分类标准心</w:t>
            </w:r>
            <w:r>
              <w:rPr>
                <w:spacing w:val="-2"/>
                <w:sz w:val="21"/>
              </w:rPr>
              <w:t>功能达Ⅳ级</w:t>
            </w:r>
            <w:r>
              <w:rPr>
                <w:spacing w:val="-2"/>
                <w:position w:val="11"/>
                <w:sz w:val="11"/>
              </w:rPr>
              <w:t>注</w:t>
            </w:r>
            <w:r>
              <w:rPr>
                <w:spacing w:val="-2"/>
                <w:sz w:val="21"/>
              </w:rPr>
              <w:t>），且有相关住院医疗记录显示Ⅳ级心功能衰竭状态持续至</w:t>
            </w:r>
            <w:r>
              <w:rPr>
                <w:spacing w:val="-2"/>
                <w:sz w:val="21"/>
              </w:rPr>
              <w:t>少一百八十天。</w:t>
            </w:r>
          </w:p>
          <w:p>
            <w:pPr>
              <w:pStyle w:val="TableParagraph"/>
              <w:spacing w:line="278" w:lineRule="auto" w:before="3"/>
              <w:ind w:right="92"/>
              <w:rPr>
                <w:rFonts w:ascii="黑体" w:eastAsia="黑体"/>
                <w:sz w:val="21"/>
              </w:rPr>
            </w:pPr>
            <w:r>
              <w:rPr>
                <w:spacing w:val="-2"/>
                <w:sz w:val="21"/>
              </w:rPr>
              <w:t>本病须经专科医生明确诊断。</w:t>
            </w:r>
            <w:r>
              <w:rPr>
                <w:rFonts w:ascii="黑体" w:eastAsia="黑体"/>
                <w:color w:val="000000"/>
                <w:spacing w:val="-2"/>
                <w:sz w:val="21"/>
                <w:shd w:fill="D9D9D9" w:color="auto" w:val="clear"/>
              </w:rPr>
              <w:t>继发于全身性疾病或其它器官系统疾病造</w:t>
            </w:r>
            <w:r>
              <w:rPr>
                <w:rFonts w:ascii="黑体" w:eastAsia="黑体"/>
                <w:color w:val="000000"/>
                <w:spacing w:val="80"/>
                <w:w w:val="150"/>
                <w:sz w:val="21"/>
                <w:shd w:fill="D9D9D9" w:color="auto" w:val="clear"/>
              </w:rPr>
              <w:t>                                    </w:t>
            </w:r>
            <w:r>
              <w:rPr>
                <w:rFonts w:ascii="黑体" w:eastAsia="黑体"/>
                <w:color w:val="000000"/>
                <w:spacing w:val="-2"/>
                <w:sz w:val="21"/>
                <w:shd w:fill="D9D9D9" w:color="auto" w:val="clear"/>
              </w:rPr>
              <w:t>成的心肌病变不在保障范围内。</w:t>
            </w:r>
          </w:p>
          <w:p>
            <w:pPr>
              <w:pStyle w:val="TableParagraph"/>
              <w:spacing w:line="269" w:lineRule="exact" w:before="0"/>
              <w:rPr>
                <w:sz w:val="21"/>
              </w:rPr>
            </w:pPr>
            <w:r>
              <w:rPr>
                <w:spacing w:val="-1"/>
                <w:sz w:val="21"/>
              </w:rPr>
              <w:t>注：美国纽约心脏协会分类标准心功能Ⅳ级是指有医院的医疗记录显示</w:t>
            </w:r>
          </w:p>
          <w:p>
            <w:pPr>
              <w:pStyle w:val="TableParagraph"/>
              <w:rPr>
                <w:sz w:val="21"/>
              </w:rPr>
            </w:pPr>
            <w:r>
              <w:rPr>
                <w:spacing w:val="-1"/>
                <w:sz w:val="21"/>
              </w:rPr>
              <w:t>病人不能进行任何活动，休息时仍有心悸、呼吸困难等心力衰竭表现。</w:t>
            </w:r>
          </w:p>
        </w:tc>
      </w:tr>
      <w:tr>
        <w:trPr>
          <w:trHeight w:val="312" w:hRule="atLeast"/>
        </w:trPr>
        <w:tc>
          <w:tcPr>
            <w:tcW w:w="1908" w:type="dxa"/>
          </w:tcPr>
          <w:p>
            <w:pPr>
              <w:pStyle w:val="TableParagraph"/>
              <w:spacing w:before="21"/>
              <w:rPr>
                <w:sz w:val="21"/>
              </w:rPr>
            </w:pPr>
            <w:r>
              <w:rPr>
                <w:spacing w:val="-2"/>
                <w:sz w:val="21"/>
              </w:rPr>
              <w:t>三十、严重的类风</w:t>
            </w:r>
          </w:p>
        </w:tc>
        <w:tc>
          <w:tcPr>
            <w:tcW w:w="6810" w:type="dxa"/>
          </w:tcPr>
          <w:p>
            <w:pPr>
              <w:pStyle w:val="TableParagraph"/>
              <w:spacing w:before="21"/>
              <w:rPr>
                <w:sz w:val="21"/>
              </w:rPr>
            </w:pPr>
            <w:r>
              <w:rPr>
                <w:spacing w:val="-1"/>
                <w:sz w:val="21"/>
              </w:rPr>
              <w:t>类风湿性关节炎是指以关节滑膜炎为主要病理改变的慢性全身性自身免</w:t>
            </w:r>
          </w:p>
        </w:tc>
      </w:tr>
    </w:tbl>
    <w:p>
      <w:pPr>
        <w:spacing w:after="0"/>
        <w:rPr>
          <w:sz w:val="21"/>
        </w:rPr>
        <w:sectPr>
          <w:type w:val="continuous"/>
          <w:pgSz w:w="11910" w:h="16840"/>
          <w:pgMar w:header="0" w:footer="1168" w:top="1460" w:bottom="1360" w:left="1060" w:right="1060"/>
        </w:sectPr>
      </w:pPr>
    </w:p>
    <w:tbl>
      <w:tblPr>
        <w:tblW w:w="0" w:type="auto"/>
        <w:jc w:val="left"/>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08"/>
        <w:gridCol w:w="6810"/>
      </w:tblGrid>
      <w:tr>
        <w:trPr>
          <w:trHeight w:val="2184" w:hRule="atLeast"/>
        </w:trPr>
        <w:tc>
          <w:tcPr>
            <w:tcW w:w="1908" w:type="dxa"/>
          </w:tcPr>
          <w:p>
            <w:pPr>
              <w:pStyle w:val="TableParagraph"/>
              <w:spacing w:before="21"/>
              <w:rPr>
                <w:sz w:val="21"/>
              </w:rPr>
            </w:pPr>
            <w:r>
              <w:rPr>
                <w:spacing w:val="-2"/>
                <w:sz w:val="21"/>
              </w:rPr>
              <w:t>湿性关节炎</w:t>
            </w:r>
          </w:p>
        </w:tc>
        <w:tc>
          <w:tcPr>
            <w:tcW w:w="6810" w:type="dxa"/>
          </w:tcPr>
          <w:p>
            <w:pPr>
              <w:pStyle w:val="TableParagraph"/>
              <w:spacing w:line="278" w:lineRule="auto" w:before="21"/>
              <w:ind w:right="92"/>
              <w:rPr>
                <w:sz w:val="21"/>
              </w:rPr>
            </w:pPr>
            <w:r>
              <w:rPr>
                <w:spacing w:val="-2"/>
                <w:sz w:val="21"/>
              </w:rPr>
              <w:t>疫性疾病，诊断须符合国际认可的疾病诊断标准；严重的类风湿性关节</w:t>
            </w:r>
            <w:r>
              <w:rPr>
                <w:spacing w:val="-2"/>
                <w:sz w:val="21"/>
              </w:rPr>
              <w:t>炎是指符合下列三项标准的类风湿性关节炎：</w:t>
            </w:r>
          </w:p>
          <w:p>
            <w:pPr>
              <w:pStyle w:val="TableParagraph"/>
              <w:numPr>
                <w:ilvl w:val="0"/>
                <w:numId w:val="21"/>
              </w:numPr>
              <w:tabs>
                <w:tab w:pos="468" w:val="left" w:leader="none"/>
              </w:tabs>
              <w:spacing w:line="278" w:lineRule="auto" w:before="0" w:after="0"/>
              <w:ind w:left="467" w:right="-15" w:hanging="360"/>
              <w:jc w:val="left"/>
              <w:rPr>
                <w:sz w:val="21"/>
              </w:rPr>
            </w:pPr>
            <w:r>
              <w:rPr>
                <w:spacing w:val="-5"/>
                <w:sz w:val="21"/>
              </w:rPr>
              <w:t>至少包括下列关节中的三组或三组以上有广泛受损和畸形改变：手指</w:t>
            </w:r>
            <w:r>
              <w:rPr>
                <w:spacing w:val="-6"/>
                <w:sz w:val="21"/>
              </w:rPr>
              <w:t>关节、腕关节、肘关节、膝关节、髋关节、踝关节、脊椎或脚趾关节；</w:t>
            </w:r>
          </w:p>
          <w:p>
            <w:pPr>
              <w:pStyle w:val="TableParagraph"/>
              <w:numPr>
                <w:ilvl w:val="0"/>
                <w:numId w:val="21"/>
              </w:numPr>
              <w:tabs>
                <w:tab w:pos="468" w:val="left" w:leader="none"/>
              </w:tabs>
              <w:spacing w:line="278" w:lineRule="auto" w:before="0" w:after="0"/>
              <w:ind w:left="467" w:right="96" w:hanging="360"/>
              <w:jc w:val="left"/>
              <w:rPr>
                <w:sz w:val="21"/>
              </w:rPr>
            </w:pPr>
            <w:r>
              <w:rPr>
                <w:spacing w:val="-3"/>
                <w:sz w:val="21"/>
              </w:rPr>
              <w:t>手和腕的后前位 </w:t>
            </w:r>
            <w:r>
              <w:rPr>
                <w:rFonts w:ascii="Times New Roman" w:eastAsia="Times New Roman"/>
                <w:sz w:val="21"/>
              </w:rPr>
              <w:t>X</w:t>
            </w:r>
            <w:r>
              <w:rPr>
                <w:rFonts w:ascii="Times New Roman" w:eastAsia="Times New Roman"/>
                <w:spacing w:val="29"/>
                <w:sz w:val="21"/>
              </w:rPr>
              <w:t> </w:t>
            </w:r>
            <w:r>
              <w:rPr>
                <w:sz w:val="21"/>
              </w:rPr>
              <w:t>线检查可见类风湿关节炎的典型变化，包括骨质</w:t>
            </w:r>
            <w:r>
              <w:rPr>
                <w:spacing w:val="-2"/>
                <w:sz w:val="21"/>
              </w:rPr>
              <w:t>侵蚀或钙流失，在受累关节及其临近部位尤其明显；</w:t>
            </w:r>
          </w:p>
          <w:p>
            <w:pPr>
              <w:pStyle w:val="TableParagraph"/>
              <w:numPr>
                <w:ilvl w:val="0"/>
                <w:numId w:val="21"/>
              </w:numPr>
              <w:tabs>
                <w:tab w:pos="468" w:val="left" w:leader="none"/>
              </w:tabs>
              <w:spacing w:line="269" w:lineRule="exact" w:before="0" w:after="0"/>
              <w:ind w:left="467" w:right="0" w:hanging="361"/>
              <w:jc w:val="left"/>
              <w:rPr>
                <w:sz w:val="21"/>
              </w:rPr>
            </w:pPr>
            <w:r>
              <w:rPr>
                <w:spacing w:val="-1"/>
                <w:sz w:val="21"/>
              </w:rPr>
              <w:t>关节的畸形改变伴功能障碍至少持续六个月。</w:t>
            </w:r>
          </w:p>
        </w:tc>
      </w:tr>
      <w:tr>
        <w:trPr>
          <w:trHeight w:val="3743" w:hRule="atLeast"/>
        </w:trPr>
        <w:tc>
          <w:tcPr>
            <w:tcW w:w="1908" w:type="dxa"/>
          </w:tcPr>
          <w:p>
            <w:pPr>
              <w:pStyle w:val="TableParagraph"/>
              <w:spacing w:line="278" w:lineRule="auto" w:before="20"/>
              <w:ind w:right="96"/>
              <w:rPr>
                <w:sz w:val="21"/>
              </w:rPr>
            </w:pPr>
            <w:r>
              <w:rPr>
                <w:spacing w:val="-2"/>
                <w:sz w:val="21"/>
              </w:rPr>
              <w:t>三十一、系统性红</w:t>
            </w:r>
            <w:r>
              <w:rPr>
                <w:spacing w:val="-2"/>
                <w:sz w:val="21"/>
              </w:rPr>
              <w:t>斑狼疮性肾炎</w:t>
            </w:r>
          </w:p>
        </w:tc>
        <w:tc>
          <w:tcPr>
            <w:tcW w:w="6810" w:type="dxa"/>
          </w:tcPr>
          <w:p>
            <w:pPr>
              <w:pStyle w:val="TableParagraph"/>
              <w:spacing w:line="278" w:lineRule="auto" w:before="20"/>
              <w:ind w:right="169"/>
              <w:jc w:val="both"/>
              <w:rPr>
                <w:rFonts w:ascii="黑体" w:hAnsi="黑体" w:eastAsia="黑体"/>
                <w:sz w:val="21"/>
              </w:rPr>
            </w:pPr>
            <w:r>
              <w:rPr>
                <w:spacing w:val="-2"/>
                <w:sz w:val="21"/>
              </w:rPr>
              <w:t>是由多种因素引起，累及多系统的自身免疫性疾病。多侵犯育龄女性。</w:t>
            </w:r>
            <w:r>
              <w:rPr>
                <w:spacing w:val="-2"/>
                <w:sz w:val="21"/>
              </w:rPr>
              <w:t>其特点是生成自身抗体对抗多种自身抗原。本合同所指的系统性红斑狼</w:t>
            </w:r>
            <w:r>
              <w:rPr>
                <w:spacing w:val="-2"/>
                <w:sz w:val="21"/>
              </w:rPr>
              <w:t>疮仅限于累及肾脏（经肾脏病理检查或临床确诊，并符合下列世界卫生</w:t>
            </w:r>
            <w:r>
              <w:rPr>
                <w:spacing w:val="-2"/>
                <w:sz w:val="21"/>
              </w:rPr>
              <w:t>组织</w:t>
            </w:r>
            <w:r>
              <w:rPr>
                <w:rFonts w:ascii="Times New Roman" w:hAnsi="Times New Roman" w:eastAsia="Times New Roman"/>
                <w:spacing w:val="-2"/>
                <w:sz w:val="21"/>
              </w:rPr>
              <w:t>(WHO)</w:t>
            </w:r>
            <w:r>
              <w:rPr>
                <w:spacing w:val="-2"/>
                <w:sz w:val="21"/>
              </w:rPr>
              <w:t>诊断标准定义Ⅲ型至Ⅴ型狼疮性肾炎）的系统性红斑狼疮。</w:t>
            </w:r>
            <w:r>
              <w:rPr>
                <w:rFonts w:ascii="黑体" w:hAnsi="黑体" w:eastAsia="黑体"/>
                <w:color w:val="000000"/>
                <w:spacing w:val="-2"/>
                <w:sz w:val="21"/>
                <w:shd w:fill="D9D9D9" w:color="auto" w:val="clear"/>
              </w:rPr>
              <w:t>其他类型的红斑性狼疮，如盘状狼疮，仅累及血液及关节等其他系统的</w:t>
            </w:r>
            <w:r>
              <w:rPr>
                <w:rFonts w:ascii="黑体" w:hAnsi="黑体" w:eastAsia="黑体"/>
                <w:color w:val="000000"/>
                <w:spacing w:val="-2"/>
                <w:sz w:val="21"/>
                <w:shd w:fill="D9D9D9" w:color="auto" w:val="clear"/>
              </w:rPr>
              <w:t>系统性红斑狼疮不在保障范围内。</w:t>
            </w:r>
          </w:p>
          <w:p>
            <w:pPr>
              <w:pStyle w:val="TableParagraph"/>
              <w:spacing w:line="278" w:lineRule="auto" w:before="0"/>
              <w:ind w:right="2961"/>
              <w:rPr>
                <w:sz w:val="21"/>
              </w:rPr>
            </w:pPr>
            <w:r>
              <w:rPr>
                <w:spacing w:val="-2"/>
                <w:sz w:val="21"/>
              </w:rPr>
              <w:t>世界卫生组织</w:t>
            </w:r>
            <w:r>
              <w:rPr>
                <w:rFonts w:ascii="Times New Roman" w:hAnsi="Times New Roman" w:eastAsia="Times New Roman"/>
                <w:spacing w:val="-2"/>
                <w:sz w:val="21"/>
              </w:rPr>
              <w:t>(WHO)</w:t>
            </w:r>
            <w:r>
              <w:rPr>
                <w:spacing w:val="-2"/>
                <w:sz w:val="21"/>
              </w:rPr>
              <w:t>狼疮性肾炎分型： Ⅰ型</w:t>
            </w:r>
            <w:r>
              <w:rPr>
                <w:rFonts w:ascii="Times New Roman" w:hAnsi="Times New Roman" w:eastAsia="Times New Roman"/>
                <w:spacing w:val="-2"/>
                <w:sz w:val="21"/>
              </w:rPr>
              <w:t>(</w:t>
            </w:r>
            <w:r>
              <w:rPr>
                <w:spacing w:val="-2"/>
                <w:sz w:val="21"/>
              </w:rPr>
              <w:t>微小病变型</w:t>
            </w:r>
            <w:r>
              <w:rPr>
                <w:rFonts w:ascii="Times New Roman" w:hAnsi="Times New Roman" w:eastAsia="Times New Roman"/>
                <w:spacing w:val="-2"/>
                <w:sz w:val="21"/>
              </w:rPr>
              <w:t>)</w:t>
            </w:r>
            <w:r>
              <w:rPr>
                <w:spacing w:val="-2"/>
                <w:sz w:val="21"/>
              </w:rPr>
              <w:t>镜下阴性，尿液正常；</w:t>
            </w:r>
          </w:p>
          <w:p>
            <w:pPr>
              <w:pStyle w:val="TableParagraph"/>
              <w:spacing w:line="278" w:lineRule="auto" w:before="0"/>
              <w:ind w:right="2001"/>
              <w:rPr>
                <w:sz w:val="21"/>
              </w:rPr>
            </w:pPr>
            <w:r>
              <w:rPr>
                <w:spacing w:val="-2"/>
                <w:sz w:val="21"/>
              </w:rPr>
              <w:t>Ⅱ型</w:t>
            </w:r>
            <w:r>
              <w:rPr>
                <w:rFonts w:ascii="Times New Roman" w:hAnsi="Times New Roman" w:eastAsia="Times New Roman"/>
                <w:spacing w:val="-2"/>
                <w:sz w:val="21"/>
              </w:rPr>
              <w:t>(</w:t>
            </w:r>
            <w:r>
              <w:rPr>
                <w:spacing w:val="-2"/>
                <w:sz w:val="21"/>
              </w:rPr>
              <w:t>系膜病变型</w:t>
            </w:r>
            <w:r>
              <w:rPr>
                <w:rFonts w:ascii="Times New Roman" w:hAnsi="Times New Roman" w:eastAsia="Times New Roman"/>
                <w:spacing w:val="-2"/>
                <w:sz w:val="21"/>
              </w:rPr>
              <w:t>)</w:t>
            </w:r>
            <w:r>
              <w:rPr>
                <w:spacing w:val="-2"/>
                <w:sz w:val="21"/>
              </w:rPr>
              <w:t>中度蛋白尿，偶有尿沉渣改变； Ⅲ型</w:t>
            </w:r>
            <w:r>
              <w:rPr>
                <w:rFonts w:ascii="Times New Roman" w:hAnsi="Times New Roman" w:eastAsia="Times New Roman"/>
                <w:spacing w:val="-2"/>
                <w:sz w:val="21"/>
              </w:rPr>
              <w:t>(</w:t>
            </w:r>
            <w:r>
              <w:rPr>
                <w:spacing w:val="-2"/>
                <w:sz w:val="21"/>
              </w:rPr>
              <w:t>局灶及节段增生型</w:t>
            </w:r>
            <w:r>
              <w:rPr>
                <w:rFonts w:ascii="Times New Roman" w:hAnsi="Times New Roman" w:eastAsia="Times New Roman"/>
                <w:spacing w:val="-2"/>
                <w:sz w:val="21"/>
              </w:rPr>
              <w:t>)</w:t>
            </w:r>
            <w:r>
              <w:rPr>
                <w:spacing w:val="-2"/>
                <w:sz w:val="21"/>
              </w:rPr>
              <w:t>蛋白尿，尿沉渣改变；</w:t>
            </w:r>
          </w:p>
          <w:p>
            <w:pPr>
              <w:pStyle w:val="TableParagraph"/>
              <w:spacing w:line="269" w:lineRule="exact" w:before="0"/>
              <w:rPr>
                <w:sz w:val="21"/>
              </w:rPr>
            </w:pPr>
            <w:r>
              <w:rPr>
                <w:spacing w:val="-2"/>
                <w:sz w:val="21"/>
              </w:rPr>
              <w:t>Ⅳ型</w:t>
            </w:r>
            <w:r>
              <w:rPr>
                <w:rFonts w:ascii="Times New Roman" w:hAnsi="Times New Roman" w:eastAsia="Times New Roman"/>
                <w:spacing w:val="-2"/>
                <w:sz w:val="21"/>
              </w:rPr>
              <w:t>(</w:t>
            </w:r>
            <w:r>
              <w:rPr>
                <w:spacing w:val="-2"/>
                <w:sz w:val="21"/>
              </w:rPr>
              <w:t>弥漫增生型</w:t>
            </w:r>
            <w:r>
              <w:rPr>
                <w:rFonts w:ascii="Times New Roman" w:hAnsi="Times New Roman" w:eastAsia="Times New Roman"/>
                <w:spacing w:val="-2"/>
                <w:sz w:val="21"/>
              </w:rPr>
              <w:t>)</w:t>
            </w:r>
            <w:r>
              <w:rPr>
                <w:spacing w:val="-2"/>
                <w:sz w:val="21"/>
              </w:rPr>
              <w:t>急性肾炎伴有尿沉渣改变及</w:t>
            </w:r>
            <w:r>
              <w:rPr>
                <w:rFonts w:ascii="Times New Roman" w:hAnsi="Times New Roman" w:eastAsia="Times New Roman"/>
                <w:spacing w:val="-2"/>
                <w:sz w:val="21"/>
              </w:rPr>
              <w:t>/</w:t>
            </w:r>
            <w:r>
              <w:rPr>
                <w:spacing w:val="-4"/>
                <w:sz w:val="21"/>
              </w:rPr>
              <w:t>或肾病综合征；</w:t>
            </w:r>
          </w:p>
          <w:p>
            <w:pPr>
              <w:pStyle w:val="TableParagraph"/>
              <w:spacing w:before="42"/>
              <w:rPr>
                <w:sz w:val="21"/>
              </w:rPr>
            </w:pPr>
            <w:r>
              <w:rPr>
                <w:spacing w:val="-2"/>
                <w:sz w:val="21"/>
              </w:rPr>
              <w:t>Ⅴ型</w:t>
            </w:r>
            <w:r>
              <w:rPr>
                <w:rFonts w:ascii="Times New Roman" w:hAnsi="Times New Roman" w:eastAsia="Times New Roman"/>
                <w:spacing w:val="-2"/>
                <w:sz w:val="21"/>
              </w:rPr>
              <w:t>(</w:t>
            </w:r>
            <w:r>
              <w:rPr>
                <w:spacing w:val="-2"/>
                <w:sz w:val="21"/>
              </w:rPr>
              <w:t>膜型</w:t>
            </w:r>
            <w:r>
              <w:rPr>
                <w:rFonts w:ascii="Times New Roman" w:hAnsi="Times New Roman" w:eastAsia="Times New Roman"/>
                <w:spacing w:val="-2"/>
                <w:sz w:val="21"/>
              </w:rPr>
              <w:t>)</w:t>
            </w:r>
            <w:r>
              <w:rPr>
                <w:spacing w:val="-3"/>
                <w:sz w:val="21"/>
              </w:rPr>
              <w:t>肾病综合征或重度蛋白尿。</w:t>
            </w:r>
          </w:p>
        </w:tc>
      </w:tr>
      <w:tr>
        <w:trPr>
          <w:trHeight w:val="1871" w:hRule="atLeast"/>
        </w:trPr>
        <w:tc>
          <w:tcPr>
            <w:tcW w:w="1908" w:type="dxa"/>
          </w:tcPr>
          <w:p>
            <w:pPr>
              <w:pStyle w:val="TableParagraph"/>
              <w:spacing w:line="278" w:lineRule="auto" w:before="20"/>
              <w:ind w:right="96"/>
              <w:rPr>
                <w:sz w:val="21"/>
              </w:rPr>
            </w:pPr>
            <w:r>
              <w:rPr>
                <w:spacing w:val="-2"/>
                <w:sz w:val="21"/>
              </w:rPr>
              <w:t>三十二、严重慢性</w:t>
            </w:r>
            <w:r>
              <w:rPr>
                <w:spacing w:val="-4"/>
                <w:sz w:val="21"/>
              </w:rPr>
              <w:t>呼吸衰竭</w:t>
            </w:r>
          </w:p>
        </w:tc>
        <w:tc>
          <w:tcPr>
            <w:tcW w:w="6810" w:type="dxa"/>
          </w:tcPr>
          <w:p>
            <w:pPr>
              <w:pStyle w:val="TableParagraph"/>
              <w:spacing w:line="278" w:lineRule="auto" w:before="20"/>
              <w:ind w:right="180"/>
              <w:rPr>
                <w:rFonts w:ascii="黑体" w:eastAsia="黑体"/>
                <w:sz w:val="21"/>
              </w:rPr>
            </w:pPr>
            <w:r>
              <w:rPr>
                <w:spacing w:val="-2"/>
                <w:sz w:val="21"/>
              </w:rPr>
              <w:t>指慢性肺部疾病导致永久不可逆性的慢性呼吸功能衰竭，</w:t>
            </w:r>
            <w:r>
              <w:rPr>
                <w:rFonts w:ascii="黑体" w:eastAsia="黑体"/>
                <w:spacing w:val="-2"/>
                <w:sz w:val="21"/>
              </w:rPr>
              <w:t>必须由呼吸科</w:t>
            </w:r>
            <w:r>
              <w:rPr>
                <w:rFonts w:ascii="黑体" w:eastAsia="黑体"/>
                <w:spacing w:val="-2"/>
                <w:sz w:val="21"/>
              </w:rPr>
              <w:t>专科医生确认并符合下列全部条件：</w:t>
            </w:r>
          </w:p>
          <w:p>
            <w:pPr>
              <w:pStyle w:val="TableParagraph"/>
              <w:numPr>
                <w:ilvl w:val="0"/>
                <w:numId w:val="22"/>
              </w:numPr>
              <w:tabs>
                <w:tab w:pos="468" w:val="left" w:leader="none"/>
              </w:tabs>
              <w:spacing w:line="269" w:lineRule="exact" w:before="0" w:after="0"/>
              <w:ind w:left="467" w:right="0" w:hanging="361"/>
              <w:jc w:val="left"/>
              <w:rPr>
                <w:sz w:val="21"/>
              </w:rPr>
            </w:pPr>
            <w:r>
              <w:rPr>
                <w:spacing w:val="-8"/>
                <w:sz w:val="21"/>
              </w:rPr>
              <w:t>肺功能测试其 </w:t>
            </w:r>
            <w:r>
              <w:rPr>
                <w:rFonts w:ascii="Times New Roman" w:eastAsia="Times New Roman"/>
                <w:sz w:val="21"/>
              </w:rPr>
              <w:t>FEV1</w:t>
            </w:r>
            <w:r>
              <w:rPr>
                <w:rFonts w:ascii="Times New Roman" w:eastAsia="Times New Roman"/>
                <w:spacing w:val="-2"/>
                <w:sz w:val="21"/>
              </w:rPr>
              <w:t> </w:t>
            </w:r>
            <w:r>
              <w:rPr>
                <w:spacing w:val="-11"/>
                <w:sz w:val="21"/>
              </w:rPr>
              <w:t>持续低于 </w:t>
            </w:r>
            <w:r>
              <w:rPr>
                <w:rFonts w:ascii="Times New Roman" w:eastAsia="Times New Roman"/>
                <w:spacing w:val="-2"/>
                <w:sz w:val="21"/>
              </w:rPr>
              <w:t>0.75L</w:t>
            </w:r>
            <w:r>
              <w:rPr>
                <w:spacing w:val="-2"/>
                <w:sz w:val="21"/>
              </w:rPr>
              <w:t>；</w:t>
            </w:r>
          </w:p>
          <w:p>
            <w:pPr>
              <w:pStyle w:val="TableParagraph"/>
              <w:numPr>
                <w:ilvl w:val="0"/>
                <w:numId w:val="22"/>
              </w:numPr>
              <w:tabs>
                <w:tab w:pos="468" w:val="left" w:leader="none"/>
              </w:tabs>
              <w:spacing w:line="240" w:lineRule="auto" w:before="43" w:after="0"/>
              <w:ind w:left="467" w:right="0" w:hanging="361"/>
              <w:jc w:val="left"/>
              <w:rPr>
                <w:sz w:val="21"/>
              </w:rPr>
            </w:pPr>
            <w:r>
              <w:rPr>
                <w:spacing w:val="-1"/>
                <w:sz w:val="21"/>
              </w:rPr>
              <w:t>病人缺氧必须广泛而持续地进行输氧治疗；</w:t>
            </w:r>
          </w:p>
          <w:p>
            <w:pPr>
              <w:pStyle w:val="TableParagraph"/>
              <w:numPr>
                <w:ilvl w:val="0"/>
                <w:numId w:val="22"/>
              </w:numPr>
              <w:tabs>
                <w:tab w:pos="468" w:val="left" w:leader="none"/>
              </w:tabs>
              <w:spacing w:line="240" w:lineRule="auto" w:before="43" w:after="0"/>
              <w:ind w:left="467" w:right="0" w:hanging="361"/>
              <w:jc w:val="left"/>
              <w:rPr>
                <w:sz w:val="21"/>
              </w:rPr>
            </w:pPr>
            <w:r>
              <w:rPr>
                <w:spacing w:val="-4"/>
                <w:sz w:val="21"/>
              </w:rPr>
              <w:t>动脉血气分析氧分压低于 </w:t>
            </w:r>
            <w:r>
              <w:rPr>
                <w:rFonts w:ascii="Times New Roman" w:eastAsia="Times New Roman"/>
                <w:spacing w:val="-2"/>
                <w:sz w:val="21"/>
              </w:rPr>
              <w:t>55mmHg</w:t>
            </w:r>
            <w:r>
              <w:rPr>
                <w:spacing w:val="-10"/>
                <w:sz w:val="21"/>
              </w:rPr>
              <w:t>。</w:t>
            </w:r>
          </w:p>
          <w:p>
            <w:pPr>
              <w:pStyle w:val="TableParagraph"/>
              <w:rPr>
                <w:sz w:val="21"/>
              </w:rPr>
            </w:pPr>
            <w:r>
              <w:rPr>
                <w:spacing w:val="-1"/>
                <w:sz w:val="21"/>
              </w:rPr>
              <w:t>理赔时必须提供以上三项相应的证明文件或检查报告。</w:t>
            </w:r>
          </w:p>
        </w:tc>
      </w:tr>
      <w:tr>
        <w:trPr>
          <w:trHeight w:val="1872" w:hRule="atLeast"/>
        </w:trPr>
        <w:tc>
          <w:tcPr>
            <w:tcW w:w="1908" w:type="dxa"/>
          </w:tcPr>
          <w:p>
            <w:pPr>
              <w:pStyle w:val="TableParagraph"/>
              <w:spacing w:line="278" w:lineRule="auto" w:before="21"/>
              <w:ind w:right="96"/>
              <w:rPr>
                <w:sz w:val="21"/>
              </w:rPr>
            </w:pPr>
            <w:r>
              <w:rPr>
                <w:spacing w:val="-2"/>
                <w:sz w:val="21"/>
              </w:rPr>
              <w:t>三十三、全身性重</w:t>
            </w:r>
            <w:r>
              <w:rPr>
                <w:spacing w:val="-4"/>
                <w:sz w:val="21"/>
              </w:rPr>
              <w:t>症肌无力</w:t>
            </w:r>
          </w:p>
        </w:tc>
        <w:tc>
          <w:tcPr>
            <w:tcW w:w="6810" w:type="dxa"/>
          </w:tcPr>
          <w:p>
            <w:pPr>
              <w:pStyle w:val="TableParagraph"/>
              <w:spacing w:line="278" w:lineRule="auto" w:before="21"/>
              <w:ind w:right="180"/>
              <w:jc w:val="both"/>
              <w:rPr>
                <w:sz w:val="21"/>
              </w:rPr>
            </w:pPr>
            <w:r>
              <w:rPr>
                <w:spacing w:val="-2"/>
                <w:sz w:val="21"/>
              </w:rPr>
              <w:t>重症肌无力是一种神经肌肉接头传递障碍所致的疾病，表现为局部或全</w:t>
            </w:r>
            <w:r>
              <w:rPr>
                <w:spacing w:val="-2"/>
                <w:sz w:val="21"/>
              </w:rPr>
              <w:t>身骨骼肌（特别是眼外肌）极易疲劳。疾病可以累及呼吸肌、上肢或下</w:t>
            </w:r>
            <w:r>
              <w:rPr>
                <w:spacing w:val="-2"/>
                <w:sz w:val="21"/>
              </w:rPr>
              <w:t>肢的近端肌群或全身肌肉，必须满足下列全部条件：</w:t>
            </w:r>
          </w:p>
          <w:p>
            <w:pPr>
              <w:pStyle w:val="TableParagraph"/>
              <w:numPr>
                <w:ilvl w:val="0"/>
                <w:numId w:val="23"/>
              </w:numPr>
              <w:tabs>
                <w:tab w:pos="468" w:val="left" w:leader="none"/>
              </w:tabs>
              <w:spacing w:line="269" w:lineRule="exact" w:before="0" w:after="0"/>
              <w:ind w:left="467" w:right="0" w:hanging="361"/>
              <w:jc w:val="both"/>
              <w:rPr>
                <w:sz w:val="21"/>
              </w:rPr>
            </w:pPr>
            <w:r>
              <w:rPr>
                <w:spacing w:val="-1"/>
                <w:sz w:val="21"/>
              </w:rPr>
              <w:t>经药物治疗和胸腺切除治疗一年以上仍无法控制病情；</w:t>
            </w:r>
          </w:p>
          <w:p>
            <w:pPr>
              <w:pStyle w:val="TableParagraph"/>
              <w:numPr>
                <w:ilvl w:val="0"/>
                <w:numId w:val="23"/>
              </w:numPr>
              <w:tabs>
                <w:tab w:pos="468" w:val="left" w:leader="none"/>
              </w:tabs>
              <w:spacing w:line="310" w:lineRule="atLeast" w:before="2" w:after="0"/>
              <w:ind w:left="467" w:right="96" w:hanging="360"/>
              <w:jc w:val="both"/>
              <w:rPr>
                <w:sz w:val="21"/>
              </w:rPr>
            </w:pPr>
            <w:r>
              <w:rPr>
                <w:spacing w:val="-8"/>
                <w:sz w:val="21"/>
              </w:rPr>
              <w:t>自主生活能力完全丧失，无法独立完成六项基本日常生活活动中的三</w:t>
            </w:r>
            <w:r>
              <w:rPr>
                <w:spacing w:val="-2"/>
                <w:sz w:val="21"/>
              </w:rPr>
              <w:t>项或三项以上。</w:t>
            </w:r>
          </w:p>
        </w:tc>
      </w:tr>
      <w:tr>
        <w:trPr>
          <w:trHeight w:val="935" w:hRule="atLeast"/>
        </w:trPr>
        <w:tc>
          <w:tcPr>
            <w:tcW w:w="1908" w:type="dxa"/>
          </w:tcPr>
          <w:p>
            <w:pPr>
              <w:pStyle w:val="TableParagraph"/>
              <w:spacing w:line="278" w:lineRule="auto" w:before="20"/>
              <w:ind w:right="96"/>
              <w:rPr>
                <w:sz w:val="21"/>
              </w:rPr>
            </w:pPr>
            <w:r>
              <w:rPr>
                <w:spacing w:val="-2"/>
                <w:sz w:val="21"/>
              </w:rPr>
              <w:t>三十四、严重克隆</w:t>
            </w:r>
            <w:r>
              <w:rPr>
                <w:spacing w:val="-10"/>
                <w:sz w:val="21"/>
              </w:rPr>
              <w:t>病</w:t>
            </w:r>
          </w:p>
        </w:tc>
        <w:tc>
          <w:tcPr>
            <w:tcW w:w="6810" w:type="dxa"/>
          </w:tcPr>
          <w:p>
            <w:pPr>
              <w:pStyle w:val="TableParagraph"/>
              <w:spacing w:before="20"/>
              <w:ind w:right="-15"/>
              <w:rPr>
                <w:sz w:val="21"/>
              </w:rPr>
            </w:pPr>
            <w:r>
              <w:rPr>
                <w:spacing w:val="-3"/>
                <w:sz w:val="21"/>
              </w:rPr>
              <w:t>克隆病是一种慢性肉芽肿性肠炎，具有特征性的克隆病病理组织学变化。</w:t>
            </w:r>
          </w:p>
          <w:p>
            <w:pPr>
              <w:pStyle w:val="TableParagraph"/>
              <w:spacing w:line="310" w:lineRule="atLeast" w:before="2"/>
              <w:ind w:right="180"/>
              <w:rPr>
                <w:sz w:val="21"/>
              </w:rPr>
            </w:pPr>
            <w:r>
              <w:rPr>
                <w:spacing w:val="-2"/>
                <w:sz w:val="21"/>
              </w:rPr>
              <w:t>诊断必须由病理检查结果证实。被保险人所患的克隆病必须已经造成瘘</w:t>
            </w:r>
            <w:r>
              <w:rPr>
                <w:spacing w:val="-2"/>
                <w:sz w:val="21"/>
              </w:rPr>
              <w:t>管形成并伴有肠梗阻或肠穿孔。</w:t>
            </w:r>
          </w:p>
        </w:tc>
      </w:tr>
      <w:tr>
        <w:trPr>
          <w:trHeight w:val="1247" w:hRule="atLeast"/>
        </w:trPr>
        <w:tc>
          <w:tcPr>
            <w:tcW w:w="1908" w:type="dxa"/>
          </w:tcPr>
          <w:p>
            <w:pPr>
              <w:pStyle w:val="TableParagraph"/>
              <w:spacing w:line="278" w:lineRule="auto" w:before="20"/>
              <w:ind w:right="96"/>
              <w:rPr>
                <w:sz w:val="21"/>
              </w:rPr>
            </w:pPr>
            <w:r>
              <w:rPr>
                <w:spacing w:val="-2"/>
                <w:sz w:val="21"/>
              </w:rPr>
              <w:t>三十五、严重溃疡</w:t>
            </w:r>
            <w:r>
              <w:rPr>
                <w:spacing w:val="-4"/>
                <w:sz w:val="21"/>
              </w:rPr>
              <w:t>性结肠炎</w:t>
            </w:r>
          </w:p>
        </w:tc>
        <w:tc>
          <w:tcPr>
            <w:tcW w:w="6810" w:type="dxa"/>
          </w:tcPr>
          <w:p>
            <w:pPr>
              <w:pStyle w:val="TableParagraph"/>
              <w:spacing w:line="278" w:lineRule="auto" w:before="20"/>
              <w:ind w:right="-15"/>
              <w:rPr>
                <w:sz w:val="21"/>
              </w:rPr>
            </w:pPr>
            <w:r>
              <w:rPr>
                <w:spacing w:val="-1"/>
                <w:sz w:val="21"/>
              </w:rPr>
              <w:t>指伴有致命性电解质紊乱的急性暴发性溃疡性结肠炎，病变累及全结肠，表现为严重的血便和系统性症状体征，治疗通常采取全结肠切除和回肠造瘘术。溃疡性结肠炎必须根据组织病理学特点诊断，并且被保险人已</w:t>
            </w:r>
          </w:p>
          <w:p>
            <w:pPr>
              <w:pStyle w:val="TableParagraph"/>
              <w:spacing w:line="269" w:lineRule="exact" w:before="0"/>
              <w:rPr>
                <w:sz w:val="21"/>
              </w:rPr>
            </w:pPr>
            <w:r>
              <w:rPr>
                <w:spacing w:val="-1"/>
                <w:sz w:val="21"/>
              </w:rPr>
              <w:t>经接受了结肠切除和回肠造瘘术。</w:t>
            </w:r>
          </w:p>
        </w:tc>
      </w:tr>
      <w:tr>
        <w:trPr>
          <w:trHeight w:val="1560" w:hRule="atLeast"/>
        </w:trPr>
        <w:tc>
          <w:tcPr>
            <w:tcW w:w="1908" w:type="dxa"/>
          </w:tcPr>
          <w:p>
            <w:pPr>
              <w:pStyle w:val="TableParagraph"/>
              <w:spacing w:line="278" w:lineRule="auto" w:before="21"/>
              <w:ind w:right="96"/>
              <w:rPr>
                <w:sz w:val="21"/>
              </w:rPr>
            </w:pPr>
            <w:r>
              <w:rPr>
                <w:spacing w:val="-2"/>
                <w:sz w:val="21"/>
              </w:rPr>
              <w:t>三十六、坏死性筋</w:t>
            </w:r>
            <w:r>
              <w:rPr>
                <w:spacing w:val="-6"/>
                <w:sz w:val="21"/>
              </w:rPr>
              <w:t>膜炎</w:t>
            </w:r>
          </w:p>
        </w:tc>
        <w:tc>
          <w:tcPr>
            <w:tcW w:w="6810" w:type="dxa"/>
          </w:tcPr>
          <w:p>
            <w:pPr>
              <w:pStyle w:val="TableParagraph"/>
              <w:spacing w:before="21"/>
              <w:rPr>
                <w:sz w:val="21"/>
              </w:rPr>
            </w:pPr>
            <w:r>
              <w:rPr>
                <w:spacing w:val="-1"/>
                <w:sz w:val="21"/>
              </w:rPr>
              <w:t>坏死性筋膜炎的诊断须同时符合下列要求：</w:t>
            </w:r>
          </w:p>
          <w:p>
            <w:pPr>
              <w:pStyle w:val="TableParagraph"/>
              <w:numPr>
                <w:ilvl w:val="0"/>
                <w:numId w:val="24"/>
              </w:numPr>
              <w:tabs>
                <w:tab w:pos="468" w:val="left" w:leader="none"/>
              </w:tabs>
              <w:spacing w:line="240" w:lineRule="auto" w:before="43" w:after="0"/>
              <w:ind w:left="467" w:right="0" w:hanging="361"/>
              <w:jc w:val="left"/>
              <w:rPr>
                <w:sz w:val="21"/>
              </w:rPr>
            </w:pPr>
            <w:r>
              <w:rPr>
                <w:spacing w:val="-1"/>
                <w:sz w:val="21"/>
              </w:rPr>
              <w:t>符合坏死性筋膜炎的一般临床表现；</w:t>
            </w:r>
          </w:p>
          <w:p>
            <w:pPr>
              <w:pStyle w:val="TableParagraph"/>
              <w:numPr>
                <w:ilvl w:val="0"/>
                <w:numId w:val="24"/>
              </w:numPr>
              <w:tabs>
                <w:tab w:pos="468" w:val="left" w:leader="none"/>
              </w:tabs>
              <w:spacing w:line="240" w:lineRule="auto" w:before="43" w:after="0"/>
              <w:ind w:left="467" w:right="0" w:hanging="361"/>
              <w:jc w:val="left"/>
              <w:rPr>
                <w:sz w:val="21"/>
              </w:rPr>
            </w:pPr>
            <w:r>
              <w:rPr>
                <w:spacing w:val="-1"/>
                <w:sz w:val="21"/>
              </w:rPr>
              <w:t>细菌培养检出致病菌；</w:t>
            </w:r>
          </w:p>
          <w:p>
            <w:pPr>
              <w:pStyle w:val="TableParagraph"/>
              <w:numPr>
                <w:ilvl w:val="0"/>
                <w:numId w:val="24"/>
              </w:numPr>
              <w:tabs>
                <w:tab w:pos="468" w:val="left" w:leader="none"/>
              </w:tabs>
              <w:spacing w:line="310" w:lineRule="atLeast" w:before="2" w:after="0"/>
              <w:ind w:left="467" w:right="96" w:hanging="360"/>
              <w:jc w:val="left"/>
              <w:rPr>
                <w:sz w:val="21"/>
              </w:rPr>
            </w:pPr>
            <w:r>
              <w:rPr>
                <w:spacing w:val="-7"/>
                <w:sz w:val="21"/>
              </w:rPr>
              <w:t>出现广泛性肌肉及组织坏死，并确实实施了坏死组织和筋膜以及肌肉</w:t>
            </w:r>
            <w:r>
              <w:rPr>
                <w:spacing w:val="-2"/>
                <w:sz w:val="21"/>
              </w:rPr>
              <w:t>的切除手术。</w:t>
            </w:r>
          </w:p>
        </w:tc>
      </w:tr>
    </w:tbl>
    <w:p>
      <w:pPr>
        <w:spacing w:after="0" w:line="310" w:lineRule="atLeast"/>
        <w:jc w:val="left"/>
        <w:rPr>
          <w:sz w:val="21"/>
        </w:rPr>
        <w:sectPr>
          <w:type w:val="continuous"/>
          <w:pgSz w:w="11910" w:h="16840"/>
          <w:pgMar w:header="0" w:footer="1168" w:top="1460" w:bottom="1731" w:left="1060" w:right="1060"/>
        </w:sectPr>
      </w:pPr>
    </w:p>
    <w:tbl>
      <w:tblPr>
        <w:tblW w:w="0" w:type="auto"/>
        <w:jc w:val="left"/>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08"/>
        <w:gridCol w:w="6810"/>
      </w:tblGrid>
      <w:tr>
        <w:trPr>
          <w:trHeight w:val="312" w:hRule="atLeast"/>
        </w:trPr>
        <w:tc>
          <w:tcPr>
            <w:tcW w:w="1908" w:type="dxa"/>
          </w:tcPr>
          <w:p>
            <w:pPr>
              <w:pStyle w:val="TableParagraph"/>
              <w:spacing w:before="0"/>
              <w:ind w:left="0"/>
              <w:rPr>
                <w:rFonts w:ascii="Times New Roman"/>
                <w:sz w:val="20"/>
              </w:rPr>
            </w:pPr>
          </w:p>
        </w:tc>
        <w:tc>
          <w:tcPr>
            <w:tcW w:w="6810" w:type="dxa"/>
          </w:tcPr>
          <w:p>
            <w:pPr>
              <w:pStyle w:val="TableParagraph"/>
              <w:spacing w:before="21"/>
              <w:rPr>
                <w:rFonts w:ascii="黑体" w:eastAsia="黑体"/>
                <w:sz w:val="21"/>
              </w:rPr>
            </w:pPr>
            <w:r>
              <w:rPr>
                <w:rFonts w:ascii="黑体" w:eastAsia="黑体"/>
                <w:color w:val="000000"/>
                <w:spacing w:val="-1"/>
                <w:sz w:val="21"/>
                <w:shd w:fill="D9D9D9" w:color="auto" w:val="clear"/>
              </w:rPr>
              <w:t>清创术不在保障范围内。</w:t>
            </w:r>
          </w:p>
        </w:tc>
      </w:tr>
      <w:tr>
        <w:trPr>
          <w:trHeight w:val="1247" w:hRule="atLeast"/>
        </w:trPr>
        <w:tc>
          <w:tcPr>
            <w:tcW w:w="1908" w:type="dxa"/>
          </w:tcPr>
          <w:p>
            <w:pPr>
              <w:pStyle w:val="TableParagraph"/>
              <w:spacing w:line="278" w:lineRule="auto" w:before="20"/>
              <w:ind w:right="96"/>
              <w:rPr>
                <w:sz w:val="21"/>
              </w:rPr>
            </w:pPr>
            <w:r>
              <w:rPr>
                <w:spacing w:val="-2"/>
                <w:sz w:val="21"/>
              </w:rPr>
              <w:t>三十七、慢性复发</w:t>
            </w:r>
            <w:r>
              <w:rPr>
                <w:spacing w:val="-4"/>
                <w:sz w:val="21"/>
              </w:rPr>
              <w:t>性胰腺炎</w:t>
            </w:r>
          </w:p>
        </w:tc>
        <w:tc>
          <w:tcPr>
            <w:tcW w:w="6810" w:type="dxa"/>
          </w:tcPr>
          <w:p>
            <w:pPr>
              <w:pStyle w:val="TableParagraph"/>
              <w:spacing w:line="278" w:lineRule="auto" w:before="20"/>
              <w:ind w:right="180"/>
              <w:jc w:val="both"/>
              <w:rPr>
                <w:rFonts w:ascii="黑体" w:eastAsia="黑体"/>
                <w:sz w:val="21"/>
              </w:rPr>
            </w:pPr>
            <w:r>
              <w:rPr>
                <w:spacing w:val="-2"/>
                <w:sz w:val="21"/>
              </w:rPr>
              <w:t>指胰腺炎反复发作超过三次以上并导致胰腺功能紊乱和营养不良，需要</w:t>
            </w:r>
            <w:r>
              <w:rPr>
                <w:spacing w:val="-2"/>
                <w:sz w:val="21"/>
              </w:rPr>
              <w:t>接受酶替代治疗。</w:t>
            </w:r>
            <w:r>
              <w:rPr>
                <w:rFonts w:ascii="黑体" w:eastAsia="黑体"/>
                <w:spacing w:val="-2"/>
                <w:sz w:val="21"/>
              </w:rPr>
              <w:t>诊断必须有消化科专科医生确认并且有内窥镜逆行胰</w:t>
            </w:r>
            <w:r>
              <w:rPr>
                <w:rFonts w:ascii="黑体" w:eastAsia="黑体"/>
                <w:spacing w:val="-2"/>
                <w:sz w:val="21"/>
              </w:rPr>
              <w:t>胆管造影所证实。</w:t>
            </w:r>
          </w:p>
          <w:p>
            <w:pPr>
              <w:pStyle w:val="TableParagraph"/>
              <w:spacing w:line="269" w:lineRule="exact" w:before="0"/>
              <w:rPr>
                <w:rFonts w:ascii="黑体" w:eastAsia="黑体"/>
                <w:sz w:val="21"/>
              </w:rPr>
            </w:pPr>
            <w:r>
              <w:rPr>
                <w:rFonts w:ascii="黑体" w:eastAsia="黑体"/>
                <w:color w:val="000000"/>
                <w:spacing w:val="-1"/>
                <w:sz w:val="21"/>
                <w:shd w:fill="D9D9D9" w:color="auto" w:val="clear"/>
              </w:rPr>
              <w:t>因酒精所致的慢性复发性胰腺炎不在保障范围内。</w:t>
            </w:r>
          </w:p>
        </w:tc>
      </w:tr>
      <w:tr>
        <w:trPr>
          <w:trHeight w:val="2807" w:hRule="atLeast"/>
        </w:trPr>
        <w:tc>
          <w:tcPr>
            <w:tcW w:w="1908" w:type="dxa"/>
          </w:tcPr>
          <w:p>
            <w:pPr>
              <w:pStyle w:val="TableParagraph"/>
              <w:spacing w:line="278" w:lineRule="auto" w:before="20"/>
              <w:ind w:right="96"/>
              <w:rPr>
                <w:sz w:val="21"/>
              </w:rPr>
            </w:pPr>
            <w:r>
              <w:rPr>
                <w:spacing w:val="-2"/>
                <w:sz w:val="21"/>
              </w:rPr>
              <w:t>三十八、肌营养不</w:t>
            </w:r>
            <w:r>
              <w:rPr>
                <w:spacing w:val="-6"/>
                <w:sz w:val="21"/>
              </w:rPr>
              <w:t>良症</w:t>
            </w:r>
          </w:p>
        </w:tc>
        <w:tc>
          <w:tcPr>
            <w:tcW w:w="6810" w:type="dxa"/>
          </w:tcPr>
          <w:p>
            <w:pPr>
              <w:pStyle w:val="TableParagraph"/>
              <w:spacing w:line="278" w:lineRule="auto" w:before="20"/>
              <w:ind w:right="127"/>
              <w:rPr>
                <w:sz w:val="21"/>
              </w:rPr>
            </w:pPr>
            <w:r>
              <w:rPr>
                <w:spacing w:val="-2"/>
                <w:sz w:val="21"/>
              </w:rPr>
              <w:t>指一组遗传性肌肉变性病变</w:t>
            </w:r>
            <w:r>
              <w:rPr>
                <w:rFonts w:ascii="Times New Roman" w:eastAsia="Times New Roman"/>
                <w:spacing w:val="-2"/>
                <w:sz w:val="21"/>
              </w:rPr>
              <w:t>,</w:t>
            </w:r>
            <w:r>
              <w:rPr>
                <w:spacing w:val="-2"/>
                <w:sz w:val="21"/>
              </w:rPr>
              <w:t>临床特征为与神经系统无关的骨骼肌肉对称</w:t>
            </w:r>
            <w:r>
              <w:rPr>
                <w:spacing w:val="-2"/>
                <w:sz w:val="21"/>
              </w:rPr>
              <w:t>地进行性无力和萎缩。其诊断需满足下列全部条件：</w:t>
            </w:r>
          </w:p>
          <w:p>
            <w:pPr>
              <w:pStyle w:val="TableParagraph"/>
              <w:numPr>
                <w:ilvl w:val="0"/>
                <w:numId w:val="25"/>
              </w:numPr>
              <w:tabs>
                <w:tab w:pos="468" w:val="left" w:leader="none"/>
              </w:tabs>
              <w:spacing w:line="269" w:lineRule="exact" w:before="0" w:after="0"/>
              <w:ind w:left="467" w:right="0" w:hanging="361"/>
              <w:jc w:val="left"/>
              <w:rPr>
                <w:sz w:val="21"/>
              </w:rPr>
            </w:pPr>
            <w:r>
              <w:rPr>
                <w:spacing w:val="-1"/>
                <w:sz w:val="21"/>
              </w:rPr>
              <w:t>肌电图显示典型肌营养不良症的阳性改变；</w:t>
            </w:r>
          </w:p>
          <w:p>
            <w:pPr>
              <w:pStyle w:val="TableParagraph"/>
              <w:numPr>
                <w:ilvl w:val="0"/>
                <w:numId w:val="25"/>
              </w:numPr>
              <w:tabs>
                <w:tab w:pos="468" w:val="left" w:leader="none"/>
              </w:tabs>
              <w:spacing w:line="278" w:lineRule="auto" w:before="43" w:after="0"/>
              <w:ind w:left="467" w:right="98" w:hanging="360"/>
              <w:jc w:val="left"/>
              <w:rPr>
                <w:rFonts w:ascii="Times New Roman" w:eastAsia="Times New Roman"/>
                <w:sz w:val="21"/>
              </w:rPr>
            </w:pPr>
            <w:r>
              <w:rPr>
                <w:spacing w:val="-2"/>
                <w:sz w:val="21"/>
              </w:rPr>
              <w:t>肌肉活检的病理学诊断符合肌营养不良症的肌肉细胞变性</w:t>
            </w:r>
            <w:r>
              <w:rPr>
                <w:rFonts w:ascii="Times New Roman" w:eastAsia="Times New Roman"/>
                <w:spacing w:val="-2"/>
                <w:sz w:val="21"/>
              </w:rPr>
              <w:t>\</w:t>
            </w:r>
            <w:r>
              <w:rPr>
                <w:spacing w:val="-2"/>
                <w:sz w:val="21"/>
              </w:rPr>
              <w:t>坏死等阳</w:t>
            </w:r>
            <w:r>
              <w:rPr>
                <w:spacing w:val="-4"/>
                <w:sz w:val="21"/>
              </w:rPr>
              <w:t>性改变</w:t>
            </w:r>
            <w:r>
              <w:rPr>
                <w:rFonts w:ascii="Times New Roman" w:eastAsia="Times New Roman"/>
                <w:spacing w:val="-4"/>
                <w:sz w:val="21"/>
              </w:rPr>
              <w:t>;</w:t>
            </w:r>
          </w:p>
          <w:p>
            <w:pPr>
              <w:pStyle w:val="TableParagraph"/>
              <w:numPr>
                <w:ilvl w:val="0"/>
                <w:numId w:val="25"/>
              </w:numPr>
              <w:tabs>
                <w:tab w:pos="468" w:val="left" w:leader="none"/>
              </w:tabs>
              <w:spacing w:line="278" w:lineRule="auto" w:before="0" w:after="0"/>
              <w:ind w:left="467" w:right="98" w:hanging="360"/>
              <w:jc w:val="left"/>
              <w:rPr>
                <w:sz w:val="21"/>
              </w:rPr>
            </w:pPr>
            <w:r>
              <w:rPr>
                <w:spacing w:val="-2"/>
                <w:sz w:val="21"/>
              </w:rPr>
              <w:t>已导致被保险人持续超过三个月无法独立完成六项基本日常生活活</w:t>
            </w:r>
            <w:r>
              <w:rPr>
                <w:spacing w:val="-2"/>
                <w:sz w:val="21"/>
              </w:rPr>
              <w:t>动中的三项或三项以上。</w:t>
            </w:r>
          </w:p>
          <w:p>
            <w:pPr>
              <w:pStyle w:val="TableParagraph"/>
              <w:spacing w:line="269" w:lineRule="exact" w:before="0"/>
              <w:rPr>
                <w:rFonts w:ascii="黑体" w:hAnsi="黑体" w:eastAsia="黑体"/>
                <w:sz w:val="21"/>
              </w:rPr>
            </w:pPr>
            <w:r>
              <w:rPr>
                <w:rFonts w:ascii="黑体" w:hAnsi="黑体" w:eastAsia="黑体"/>
                <w:spacing w:val="-1"/>
                <w:sz w:val="21"/>
              </w:rPr>
              <w:t>我们承担本项疾病责任不受本合同责任免除中“遗传性疾病，先天性畸</w:t>
            </w:r>
          </w:p>
          <w:p>
            <w:pPr>
              <w:pStyle w:val="TableParagraph"/>
              <w:rPr>
                <w:rFonts w:ascii="黑体" w:hAnsi="黑体" w:eastAsia="黑体"/>
                <w:sz w:val="21"/>
              </w:rPr>
            </w:pPr>
            <w:r>
              <w:rPr>
                <w:rFonts w:ascii="黑体" w:hAnsi="黑体" w:eastAsia="黑体"/>
                <w:spacing w:val="-1"/>
                <w:sz w:val="21"/>
              </w:rPr>
              <w:t>形、变形或染色体异常”的限制。</w:t>
            </w:r>
          </w:p>
        </w:tc>
      </w:tr>
      <w:tr>
        <w:trPr>
          <w:trHeight w:val="2184" w:hRule="atLeast"/>
        </w:trPr>
        <w:tc>
          <w:tcPr>
            <w:tcW w:w="1908" w:type="dxa"/>
          </w:tcPr>
          <w:p>
            <w:pPr>
              <w:pStyle w:val="TableParagraph"/>
              <w:spacing w:line="278" w:lineRule="auto" w:before="21"/>
              <w:ind w:right="96"/>
              <w:jc w:val="both"/>
              <w:rPr>
                <w:sz w:val="21"/>
              </w:rPr>
            </w:pPr>
            <w:r>
              <w:rPr>
                <w:spacing w:val="-2"/>
                <w:sz w:val="21"/>
              </w:rPr>
              <w:t>三十九、非阿尔茨</w:t>
            </w:r>
            <w:r>
              <w:rPr>
                <w:spacing w:val="-2"/>
                <w:sz w:val="21"/>
              </w:rPr>
              <w:t>海默病所致严重痴</w:t>
            </w:r>
            <w:r>
              <w:rPr>
                <w:spacing w:val="-10"/>
                <w:sz w:val="21"/>
              </w:rPr>
              <w:t>呆</w:t>
            </w:r>
          </w:p>
        </w:tc>
        <w:tc>
          <w:tcPr>
            <w:tcW w:w="6810" w:type="dxa"/>
          </w:tcPr>
          <w:p>
            <w:pPr>
              <w:pStyle w:val="TableParagraph"/>
              <w:spacing w:line="278" w:lineRule="auto" w:before="21"/>
              <w:ind w:right="92"/>
              <w:jc w:val="both"/>
              <w:rPr>
                <w:sz w:val="21"/>
              </w:rPr>
            </w:pPr>
            <w:r>
              <w:rPr>
                <w:spacing w:val="-2"/>
                <w:sz w:val="21"/>
              </w:rPr>
              <w:t>指因阿尔茨海默病以外的脑的器质性疾病造成脑功能衰竭导致永久不可</w:t>
            </w:r>
            <w:r>
              <w:rPr>
                <w:spacing w:val="-2"/>
                <w:sz w:val="21"/>
              </w:rPr>
              <w:t>逆性的严重痴呆，临床表现为明显的认知能力障碍、行为异常和社交能</w:t>
            </w:r>
            <w:r>
              <w:rPr>
                <w:spacing w:val="-2"/>
                <w:sz w:val="21"/>
              </w:rPr>
              <w:t>力减退。被保险人自主生活能力完全丧失，无法独立完成六项基本日常</w:t>
            </w:r>
            <w:r>
              <w:rPr>
                <w:spacing w:val="-2"/>
                <w:sz w:val="21"/>
              </w:rPr>
              <w:t>生活活动中的三项或三项以上，日常生活必须持续受到他人监护。导致</w:t>
            </w:r>
            <w:r>
              <w:rPr>
                <w:spacing w:val="-2"/>
                <w:sz w:val="21"/>
              </w:rPr>
              <w:t>痴呆的疾病必须明确诊断，并且由完整的临床、实验室和影像学检查结</w:t>
            </w:r>
            <w:r>
              <w:rPr>
                <w:spacing w:val="-4"/>
                <w:sz w:val="21"/>
              </w:rPr>
              <w:t>果证实。</w:t>
            </w:r>
          </w:p>
          <w:p>
            <w:pPr>
              <w:pStyle w:val="TableParagraph"/>
              <w:spacing w:line="268" w:lineRule="exact" w:before="0"/>
              <w:rPr>
                <w:rFonts w:ascii="黑体" w:eastAsia="黑体"/>
                <w:sz w:val="21"/>
              </w:rPr>
            </w:pPr>
            <w:r>
              <w:rPr>
                <w:rFonts w:ascii="黑体" w:eastAsia="黑体"/>
                <w:color w:val="000000"/>
                <w:sz w:val="21"/>
                <w:shd w:fill="D9D9D9" w:color="auto" w:val="clear"/>
              </w:rPr>
              <w:t>神经官能症</w:t>
            </w:r>
            <w:r>
              <w:rPr>
                <w:rFonts w:ascii="Times New Roman" w:eastAsia="Times New Roman"/>
                <w:color w:val="000000"/>
                <w:sz w:val="21"/>
                <w:shd w:fill="D9D9D9" w:color="auto" w:val="clear"/>
              </w:rPr>
              <w:t>,</w:t>
            </w:r>
            <w:r>
              <w:rPr>
                <w:rFonts w:ascii="黑体" w:eastAsia="黑体"/>
                <w:color w:val="000000"/>
                <w:spacing w:val="-1"/>
                <w:sz w:val="21"/>
                <w:shd w:fill="D9D9D9" w:color="auto" w:val="clear"/>
              </w:rPr>
              <w:t>精神疾病及酒精中毒所致脑损害不在保障范围内。</w:t>
            </w:r>
          </w:p>
        </w:tc>
      </w:tr>
      <w:tr>
        <w:trPr>
          <w:trHeight w:val="1559" w:hRule="atLeast"/>
        </w:trPr>
        <w:tc>
          <w:tcPr>
            <w:tcW w:w="1908" w:type="dxa"/>
          </w:tcPr>
          <w:p>
            <w:pPr>
              <w:pStyle w:val="TableParagraph"/>
              <w:spacing w:before="20"/>
              <w:rPr>
                <w:sz w:val="21"/>
              </w:rPr>
            </w:pPr>
            <w:r>
              <w:rPr>
                <w:spacing w:val="-2"/>
                <w:sz w:val="21"/>
              </w:rPr>
              <w:t>四十、严重川崎病</w:t>
            </w:r>
          </w:p>
        </w:tc>
        <w:tc>
          <w:tcPr>
            <w:tcW w:w="6810" w:type="dxa"/>
          </w:tcPr>
          <w:p>
            <w:pPr>
              <w:pStyle w:val="TableParagraph"/>
              <w:spacing w:line="278" w:lineRule="auto" w:before="20"/>
              <w:ind w:right="92"/>
              <w:jc w:val="both"/>
              <w:rPr>
                <w:sz w:val="21"/>
              </w:rPr>
            </w:pPr>
            <w:r>
              <w:rPr>
                <w:spacing w:val="-2"/>
                <w:sz w:val="21"/>
              </w:rPr>
              <w:t>是一种血管炎综合征，临床表现为急性发热，皮肤粘膜病损和淋巴结肿</w:t>
            </w:r>
            <w:r>
              <w:rPr>
                <w:spacing w:val="-2"/>
                <w:sz w:val="21"/>
              </w:rPr>
              <w:t>大。本病须经专科医生明确诊断，同时须由血管造影或超声心动图检查</w:t>
            </w:r>
            <w:r>
              <w:rPr>
                <w:spacing w:val="-2"/>
                <w:sz w:val="21"/>
              </w:rPr>
              <w:t>证实，并同时满足下列两项条件：</w:t>
            </w:r>
          </w:p>
          <w:p>
            <w:pPr>
              <w:pStyle w:val="TableParagraph"/>
              <w:numPr>
                <w:ilvl w:val="0"/>
                <w:numId w:val="26"/>
              </w:numPr>
              <w:tabs>
                <w:tab w:pos="459" w:val="left" w:leader="none"/>
              </w:tabs>
              <w:spacing w:line="269" w:lineRule="exact" w:before="0" w:after="0"/>
              <w:ind w:left="458" w:right="0" w:hanging="352"/>
              <w:jc w:val="both"/>
              <w:rPr>
                <w:sz w:val="21"/>
              </w:rPr>
            </w:pPr>
            <w:r>
              <w:rPr>
                <w:spacing w:val="-2"/>
                <w:sz w:val="21"/>
              </w:rPr>
              <w:t>伴有冠状动脉瘤，且冠状动脉瘤于最初急性发病后持续至少 </w:t>
            </w:r>
            <w:r>
              <w:rPr>
                <w:rFonts w:ascii="Times New Roman" w:eastAsia="Times New Roman"/>
                <w:sz w:val="21"/>
              </w:rPr>
              <w:t>180</w:t>
            </w:r>
            <w:r>
              <w:rPr>
                <w:rFonts w:ascii="Times New Roman" w:eastAsia="Times New Roman"/>
                <w:spacing w:val="-1"/>
                <w:sz w:val="21"/>
              </w:rPr>
              <w:t> </w:t>
            </w:r>
            <w:r>
              <w:rPr>
                <w:spacing w:val="-5"/>
                <w:sz w:val="21"/>
              </w:rPr>
              <w:t>天；</w:t>
            </w:r>
          </w:p>
          <w:p>
            <w:pPr>
              <w:pStyle w:val="TableParagraph"/>
              <w:numPr>
                <w:ilvl w:val="0"/>
                <w:numId w:val="26"/>
              </w:numPr>
              <w:tabs>
                <w:tab w:pos="459" w:val="left" w:leader="none"/>
              </w:tabs>
              <w:spacing w:line="240" w:lineRule="auto" w:before="43" w:after="0"/>
              <w:ind w:left="458" w:right="0" w:hanging="352"/>
              <w:jc w:val="both"/>
              <w:rPr>
                <w:sz w:val="21"/>
              </w:rPr>
            </w:pPr>
            <w:r>
              <w:rPr>
                <w:spacing w:val="-1"/>
                <w:sz w:val="21"/>
              </w:rPr>
              <w:t>伴有冠状动脉瘤，且实际接受了对冠状动脉瘤进行的手术治疗</w:t>
            </w:r>
          </w:p>
        </w:tc>
      </w:tr>
      <w:tr>
        <w:trPr>
          <w:trHeight w:val="1559" w:hRule="atLeast"/>
        </w:trPr>
        <w:tc>
          <w:tcPr>
            <w:tcW w:w="1908" w:type="dxa"/>
          </w:tcPr>
          <w:p>
            <w:pPr>
              <w:pStyle w:val="TableParagraph"/>
              <w:spacing w:line="278" w:lineRule="auto" w:before="20"/>
              <w:ind w:right="108"/>
              <w:rPr>
                <w:sz w:val="21"/>
              </w:rPr>
            </w:pPr>
            <w:r>
              <w:rPr>
                <w:spacing w:val="-2"/>
                <w:sz w:val="21"/>
              </w:rPr>
              <w:t>四十一、严重幼年</w:t>
            </w:r>
            <w:r>
              <w:rPr>
                <w:spacing w:val="-2"/>
                <w:sz w:val="21"/>
              </w:rPr>
              <w:t>型类风湿性关节炎</w:t>
            </w:r>
          </w:p>
        </w:tc>
        <w:tc>
          <w:tcPr>
            <w:tcW w:w="6810" w:type="dxa"/>
          </w:tcPr>
          <w:p>
            <w:pPr>
              <w:pStyle w:val="TableParagraph"/>
              <w:spacing w:line="278" w:lineRule="auto" w:before="20"/>
              <w:ind w:right="180"/>
              <w:rPr>
                <w:sz w:val="21"/>
              </w:rPr>
            </w:pPr>
            <w:r>
              <w:rPr>
                <w:spacing w:val="-2"/>
                <w:sz w:val="21"/>
              </w:rPr>
              <w:t>幼年型类风湿性关节炎是一种儿童期发病的慢性关节炎，其特点为在高</w:t>
            </w:r>
            <w:r>
              <w:rPr>
                <w:spacing w:val="-2"/>
                <w:sz w:val="21"/>
              </w:rPr>
              <w:t>热和系统性病征出现数月后发生关节炎。</w:t>
            </w:r>
          </w:p>
          <w:p>
            <w:pPr>
              <w:pStyle w:val="TableParagraph"/>
              <w:spacing w:line="278" w:lineRule="auto" w:before="0"/>
              <w:ind w:right="180"/>
              <w:rPr>
                <w:sz w:val="21"/>
              </w:rPr>
            </w:pPr>
            <w:r>
              <w:rPr>
                <w:spacing w:val="-2"/>
                <w:sz w:val="21"/>
              </w:rPr>
              <w:t>本合同仅对实际接受了膝关节或髋关节置换手术治疗的严重的幼年型类</w:t>
            </w:r>
            <w:r>
              <w:rPr>
                <w:spacing w:val="-2"/>
                <w:sz w:val="21"/>
              </w:rPr>
              <w:t>风湿性关节炎予以理赔。</w:t>
            </w:r>
          </w:p>
          <w:p>
            <w:pPr>
              <w:pStyle w:val="TableParagraph"/>
              <w:spacing w:line="269" w:lineRule="exact" w:before="0"/>
              <w:rPr>
                <w:rFonts w:ascii="黑体" w:eastAsia="黑体"/>
                <w:sz w:val="21"/>
              </w:rPr>
            </w:pPr>
            <w:r>
              <w:rPr>
                <w:rFonts w:ascii="黑体" w:eastAsia="黑体"/>
                <w:color w:val="000000"/>
                <w:spacing w:val="-1"/>
                <w:sz w:val="21"/>
                <w:shd w:fill="D9D9D9" w:color="auto" w:val="clear"/>
              </w:rPr>
              <w:t>被保险人疾病诊断时年龄必须在年满十八周岁之前。</w:t>
            </w:r>
          </w:p>
        </w:tc>
      </w:tr>
      <w:tr>
        <w:trPr>
          <w:trHeight w:val="3744" w:hRule="atLeast"/>
        </w:trPr>
        <w:tc>
          <w:tcPr>
            <w:tcW w:w="1908" w:type="dxa"/>
          </w:tcPr>
          <w:p>
            <w:pPr>
              <w:pStyle w:val="TableParagraph"/>
              <w:spacing w:line="278" w:lineRule="auto" w:before="21"/>
              <w:ind w:right="108"/>
              <w:rPr>
                <w:sz w:val="21"/>
              </w:rPr>
            </w:pPr>
            <w:r>
              <w:rPr>
                <w:spacing w:val="-2"/>
                <w:sz w:val="21"/>
              </w:rPr>
              <w:t>四十二、疾病或外</w:t>
            </w:r>
            <w:r>
              <w:rPr>
                <w:spacing w:val="-2"/>
                <w:sz w:val="21"/>
              </w:rPr>
              <w:t>伤所致智力障碍</w:t>
            </w:r>
          </w:p>
          <w:p>
            <w:pPr>
              <w:pStyle w:val="TableParagraph"/>
              <w:spacing w:line="269" w:lineRule="exact" w:before="0"/>
              <w:rPr>
                <w:sz w:val="21"/>
              </w:rPr>
            </w:pPr>
            <w:r>
              <w:rPr>
                <w:sz w:val="21"/>
              </w:rPr>
              <w:t>（残疾</w:t>
            </w:r>
            <w:r>
              <w:rPr>
                <w:spacing w:val="-10"/>
                <w:sz w:val="21"/>
              </w:rPr>
              <w:t>）</w:t>
            </w:r>
          </w:p>
        </w:tc>
        <w:tc>
          <w:tcPr>
            <w:tcW w:w="6810" w:type="dxa"/>
          </w:tcPr>
          <w:p>
            <w:pPr>
              <w:pStyle w:val="TableParagraph"/>
              <w:spacing w:line="278" w:lineRule="auto" w:before="21"/>
              <w:ind w:right="13"/>
              <w:rPr>
                <w:sz w:val="21"/>
              </w:rPr>
            </w:pPr>
            <w:r>
              <w:rPr>
                <w:sz w:val="21"/>
              </w:rPr>
              <w:t>因严重头部创伤或疾病造成被保险人智力低常（智力低于常态）或智力</w:t>
            </w:r>
            <w:r>
              <w:rPr>
                <w:spacing w:val="-8"/>
                <w:sz w:val="21"/>
              </w:rPr>
              <w:t>残疾。根据智商</w:t>
            </w:r>
            <w:r>
              <w:rPr>
                <w:sz w:val="21"/>
              </w:rPr>
              <w:t>（</w:t>
            </w:r>
            <w:r>
              <w:rPr>
                <w:rFonts w:ascii="Times New Roman" w:eastAsia="Times New Roman"/>
                <w:spacing w:val="-1"/>
                <w:sz w:val="21"/>
              </w:rPr>
              <w:t>IQ</w:t>
            </w:r>
            <w:r>
              <w:rPr>
                <w:spacing w:val="-24"/>
                <w:sz w:val="21"/>
              </w:rPr>
              <w:t>）</w:t>
            </w:r>
            <w:r>
              <w:rPr>
                <w:spacing w:val="-3"/>
                <w:sz w:val="21"/>
              </w:rPr>
              <w:t>智力低常分为轻度</w:t>
            </w:r>
            <w:r>
              <w:rPr>
                <w:sz w:val="21"/>
              </w:rPr>
              <w:t>（</w:t>
            </w:r>
            <w:r>
              <w:rPr>
                <w:rFonts w:ascii="Times New Roman" w:eastAsia="Times New Roman"/>
                <w:sz w:val="21"/>
              </w:rPr>
              <w:t>I</w:t>
            </w:r>
            <w:r>
              <w:rPr>
                <w:rFonts w:ascii="Times New Roman" w:eastAsia="Times New Roman"/>
                <w:spacing w:val="-1"/>
                <w:sz w:val="21"/>
              </w:rPr>
              <w:t>Q</w:t>
            </w:r>
            <w:r>
              <w:rPr>
                <w:rFonts w:ascii="Times New Roman" w:eastAsia="Times New Roman"/>
                <w:sz w:val="21"/>
              </w:rPr>
              <w:t>50-</w:t>
            </w:r>
            <w:r>
              <w:rPr>
                <w:rFonts w:ascii="Times New Roman" w:eastAsia="Times New Roman"/>
                <w:spacing w:val="-1"/>
                <w:sz w:val="21"/>
              </w:rPr>
              <w:t>7</w:t>
            </w:r>
            <w:r>
              <w:rPr>
                <w:rFonts w:ascii="Times New Roman" w:eastAsia="Times New Roman"/>
                <w:spacing w:val="1"/>
                <w:sz w:val="21"/>
              </w:rPr>
              <w:t>0</w:t>
            </w:r>
            <w:r>
              <w:rPr>
                <w:spacing w:val="-24"/>
                <w:sz w:val="21"/>
              </w:rPr>
              <w:t>）；</w:t>
            </w:r>
            <w:r>
              <w:rPr>
                <w:spacing w:val="-13"/>
                <w:sz w:val="21"/>
              </w:rPr>
              <w:t>中度</w:t>
            </w:r>
            <w:r>
              <w:rPr>
                <w:spacing w:val="-2"/>
                <w:sz w:val="21"/>
              </w:rPr>
              <w:t>（</w:t>
            </w:r>
            <w:r>
              <w:rPr>
                <w:rFonts w:ascii="Times New Roman" w:eastAsia="Times New Roman"/>
                <w:spacing w:val="-2"/>
                <w:sz w:val="21"/>
              </w:rPr>
              <w:t>I</w:t>
            </w:r>
            <w:r>
              <w:rPr>
                <w:rFonts w:ascii="Times New Roman" w:eastAsia="Times New Roman"/>
                <w:spacing w:val="-3"/>
                <w:sz w:val="21"/>
              </w:rPr>
              <w:t>Q</w:t>
            </w:r>
            <w:r>
              <w:rPr>
                <w:rFonts w:ascii="Times New Roman" w:eastAsia="Times New Roman"/>
                <w:spacing w:val="-2"/>
                <w:sz w:val="21"/>
              </w:rPr>
              <w:t>35-5</w:t>
            </w:r>
            <w:r>
              <w:rPr>
                <w:rFonts w:ascii="Times New Roman" w:eastAsia="Times New Roman"/>
                <w:spacing w:val="-3"/>
                <w:sz w:val="21"/>
              </w:rPr>
              <w:t>0</w:t>
            </w:r>
            <w:r>
              <w:rPr>
                <w:spacing w:val="-26"/>
                <w:sz w:val="21"/>
              </w:rPr>
              <w:t>）；</w:t>
            </w:r>
            <w:r>
              <w:rPr>
                <w:sz w:val="21"/>
              </w:rPr>
              <w:t>重度（</w:t>
            </w:r>
            <w:r>
              <w:rPr>
                <w:rFonts w:ascii="Times New Roman" w:eastAsia="Times New Roman"/>
                <w:sz w:val="21"/>
              </w:rPr>
              <w:t>I</w:t>
            </w:r>
            <w:r>
              <w:rPr>
                <w:rFonts w:ascii="Times New Roman" w:eastAsia="Times New Roman"/>
                <w:spacing w:val="-1"/>
                <w:sz w:val="21"/>
              </w:rPr>
              <w:t>Q</w:t>
            </w:r>
            <w:r>
              <w:rPr>
                <w:rFonts w:ascii="Times New Roman" w:eastAsia="Times New Roman"/>
                <w:sz w:val="21"/>
              </w:rPr>
              <w:t>20-35</w:t>
            </w:r>
            <w:r>
              <w:rPr>
                <w:sz w:val="21"/>
              </w:rPr>
              <w:t>）</w:t>
            </w:r>
            <w:r>
              <w:rPr>
                <w:spacing w:val="-1"/>
                <w:sz w:val="21"/>
              </w:rPr>
              <w:t>和极重度</w:t>
            </w:r>
            <w:r>
              <w:rPr>
                <w:sz w:val="21"/>
              </w:rPr>
              <w:t>（</w:t>
            </w:r>
            <w:r>
              <w:rPr>
                <w:rFonts w:ascii="Times New Roman" w:eastAsia="Times New Roman"/>
                <w:sz w:val="21"/>
              </w:rPr>
              <w:t>IQ&lt;20</w:t>
            </w:r>
            <w:r>
              <w:rPr>
                <w:spacing w:val="-2"/>
                <w:sz w:val="21"/>
              </w:rPr>
              <w:t>）</w:t>
            </w:r>
            <w:r>
              <w:rPr>
                <w:sz w:val="21"/>
              </w:rPr>
              <w:t>。</w:t>
            </w:r>
            <w:r>
              <w:rPr>
                <w:rFonts w:ascii="黑体" w:eastAsia="黑体"/>
                <w:sz w:val="21"/>
              </w:rPr>
              <w:t>智商</w:t>
            </w:r>
            <w:r>
              <w:rPr>
                <w:rFonts w:ascii="Times New Roman" w:eastAsia="Times New Roman"/>
                <w:sz w:val="21"/>
              </w:rPr>
              <w:t>70-</w:t>
            </w:r>
            <w:r>
              <w:rPr>
                <w:rFonts w:ascii="Times New Roman" w:eastAsia="Times New Roman"/>
                <w:spacing w:val="-1"/>
                <w:sz w:val="21"/>
              </w:rPr>
              <w:t>85</w:t>
            </w:r>
            <w:r>
              <w:rPr>
                <w:rFonts w:ascii="黑体" w:eastAsia="黑体"/>
                <w:sz w:val="21"/>
              </w:rPr>
              <w:t>为智力临界低常，不在保障范围内。</w:t>
            </w:r>
            <w:r>
              <w:rPr>
                <w:spacing w:val="-1"/>
                <w:sz w:val="21"/>
              </w:rPr>
              <w:t>智商的检测必须由我们认可的专职心理测验工作者进行，心理测验工作者必须持有心理测量专业委员会资格认定书。根据被保险人年龄采用对应的智力量表如韦克斯勒智力量表（儿童智力量表或成人智力量表）。</w:t>
            </w:r>
          </w:p>
          <w:p>
            <w:pPr>
              <w:pStyle w:val="TableParagraph"/>
              <w:spacing w:line="268" w:lineRule="exact" w:before="0"/>
              <w:rPr>
                <w:sz w:val="21"/>
              </w:rPr>
            </w:pPr>
            <w:r>
              <w:rPr>
                <w:spacing w:val="-1"/>
                <w:sz w:val="21"/>
              </w:rPr>
              <w:t>理赔时必须满足下列全部条件：</w:t>
            </w:r>
          </w:p>
          <w:p>
            <w:pPr>
              <w:pStyle w:val="TableParagraph"/>
              <w:numPr>
                <w:ilvl w:val="0"/>
                <w:numId w:val="27"/>
              </w:numPr>
              <w:tabs>
                <w:tab w:pos="468" w:val="left" w:leader="none"/>
              </w:tabs>
              <w:spacing w:line="240" w:lineRule="auto" w:before="43" w:after="0"/>
              <w:ind w:left="467" w:right="0" w:hanging="361"/>
              <w:jc w:val="left"/>
              <w:rPr>
                <w:sz w:val="21"/>
              </w:rPr>
            </w:pPr>
            <w:r>
              <w:rPr>
                <w:spacing w:val="-1"/>
                <w:sz w:val="21"/>
              </w:rPr>
              <w:t>被保险人大于或等于六周岁；</w:t>
            </w:r>
          </w:p>
          <w:p>
            <w:pPr>
              <w:pStyle w:val="TableParagraph"/>
              <w:numPr>
                <w:ilvl w:val="0"/>
                <w:numId w:val="27"/>
              </w:numPr>
              <w:tabs>
                <w:tab w:pos="468" w:val="left" w:leader="none"/>
              </w:tabs>
              <w:spacing w:line="240" w:lineRule="auto" w:before="43" w:after="0"/>
              <w:ind w:left="467" w:right="0" w:hanging="361"/>
              <w:jc w:val="left"/>
              <w:rPr>
                <w:sz w:val="21"/>
              </w:rPr>
            </w:pPr>
            <w:r>
              <w:rPr>
                <w:spacing w:val="-1"/>
                <w:sz w:val="21"/>
              </w:rPr>
              <w:t>主任医师确诊被保险人由于严重头部创伤或疾病造成智力低下；</w:t>
            </w:r>
          </w:p>
          <w:p>
            <w:pPr>
              <w:pStyle w:val="TableParagraph"/>
              <w:numPr>
                <w:ilvl w:val="0"/>
                <w:numId w:val="27"/>
              </w:numPr>
              <w:tabs>
                <w:tab w:pos="468" w:val="left" w:leader="none"/>
              </w:tabs>
              <w:spacing w:line="240" w:lineRule="auto" w:before="43" w:after="0"/>
              <w:ind w:left="467" w:right="0" w:hanging="361"/>
              <w:jc w:val="left"/>
              <w:rPr>
                <w:sz w:val="21"/>
              </w:rPr>
            </w:pPr>
            <w:r>
              <w:rPr>
                <w:spacing w:val="-1"/>
                <w:sz w:val="21"/>
              </w:rPr>
              <w:t>专职合格心理检测工作者适时做的心理检测证实被保险人智力低常</w:t>
            </w:r>
          </w:p>
          <w:p>
            <w:pPr>
              <w:pStyle w:val="TableParagraph"/>
              <w:ind w:left="467"/>
              <w:rPr>
                <w:sz w:val="21"/>
              </w:rPr>
            </w:pPr>
            <w:r>
              <w:rPr>
                <w:sz w:val="21"/>
              </w:rPr>
              <w:t>（轻度、中度、重度或极重度</w:t>
            </w:r>
            <w:r>
              <w:rPr>
                <w:spacing w:val="-5"/>
                <w:sz w:val="21"/>
              </w:rPr>
              <w:t>）；</w:t>
            </w:r>
          </w:p>
        </w:tc>
      </w:tr>
    </w:tbl>
    <w:p>
      <w:pPr>
        <w:spacing w:after="0"/>
        <w:rPr>
          <w:sz w:val="21"/>
        </w:rPr>
        <w:sectPr>
          <w:type w:val="continuous"/>
          <w:pgSz w:w="11910" w:h="16840"/>
          <w:pgMar w:header="0" w:footer="1168" w:top="1460" w:bottom="1731" w:left="1060" w:right="1060"/>
        </w:sectPr>
      </w:pPr>
    </w:p>
    <w:tbl>
      <w:tblPr>
        <w:tblW w:w="0" w:type="auto"/>
        <w:jc w:val="left"/>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08"/>
        <w:gridCol w:w="6810"/>
      </w:tblGrid>
      <w:tr>
        <w:trPr>
          <w:trHeight w:val="312" w:hRule="atLeast"/>
        </w:trPr>
        <w:tc>
          <w:tcPr>
            <w:tcW w:w="1908" w:type="dxa"/>
          </w:tcPr>
          <w:p>
            <w:pPr>
              <w:pStyle w:val="TableParagraph"/>
              <w:spacing w:before="0"/>
              <w:ind w:left="0"/>
              <w:rPr>
                <w:rFonts w:ascii="Times New Roman"/>
                <w:sz w:val="20"/>
              </w:rPr>
            </w:pPr>
          </w:p>
        </w:tc>
        <w:tc>
          <w:tcPr>
            <w:tcW w:w="6810" w:type="dxa"/>
          </w:tcPr>
          <w:p>
            <w:pPr>
              <w:pStyle w:val="TableParagraph"/>
              <w:spacing w:before="21"/>
              <w:rPr>
                <w:sz w:val="21"/>
              </w:rPr>
            </w:pPr>
            <w:r>
              <w:rPr>
                <w:spacing w:val="-2"/>
                <w:sz w:val="21"/>
              </w:rPr>
              <w:t>(4</w:t>
            </w:r>
            <w:r>
              <w:rPr>
                <w:spacing w:val="-6"/>
                <w:sz w:val="21"/>
              </w:rPr>
              <w:t>) 被保险人的智力低常自确认日起持续一百八十天以上。</w:t>
            </w:r>
          </w:p>
        </w:tc>
      </w:tr>
      <w:tr>
        <w:trPr>
          <w:trHeight w:val="623" w:hRule="atLeast"/>
        </w:trPr>
        <w:tc>
          <w:tcPr>
            <w:tcW w:w="1908" w:type="dxa"/>
          </w:tcPr>
          <w:p>
            <w:pPr>
              <w:pStyle w:val="TableParagraph"/>
              <w:spacing w:before="20"/>
              <w:rPr>
                <w:sz w:val="21"/>
              </w:rPr>
            </w:pPr>
            <w:r>
              <w:rPr>
                <w:spacing w:val="-2"/>
                <w:sz w:val="21"/>
              </w:rPr>
              <w:t>四十三、严重心肌</w:t>
            </w:r>
          </w:p>
          <w:p>
            <w:pPr>
              <w:pStyle w:val="TableParagraph"/>
              <w:rPr>
                <w:sz w:val="21"/>
              </w:rPr>
            </w:pPr>
            <w:r>
              <w:rPr>
                <w:sz w:val="21"/>
              </w:rPr>
              <w:t>炎</w:t>
            </w:r>
          </w:p>
        </w:tc>
        <w:tc>
          <w:tcPr>
            <w:tcW w:w="6810" w:type="dxa"/>
          </w:tcPr>
          <w:p>
            <w:pPr>
              <w:pStyle w:val="TableParagraph"/>
              <w:spacing w:before="20"/>
              <w:rPr>
                <w:sz w:val="21"/>
              </w:rPr>
            </w:pPr>
            <w:r>
              <w:rPr>
                <w:spacing w:val="-1"/>
                <w:sz w:val="21"/>
              </w:rPr>
              <w:t>指心肌局限性或弥漫性的急性或慢性炎症病变，导致心脏功能障碍，达</w:t>
            </w:r>
          </w:p>
          <w:p>
            <w:pPr>
              <w:pStyle w:val="TableParagraph"/>
              <w:rPr>
                <w:sz w:val="21"/>
              </w:rPr>
            </w:pPr>
            <w:r>
              <w:rPr>
                <w:spacing w:val="-2"/>
                <w:sz w:val="21"/>
              </w:rPr>
              <w:t>到纽约心脏病学会心功能分级状态分级</w:t>
            </w:r>
            <w:r>
              <w:rPr>
                <w:rFonts w:ascii="Times New Roman" w:eastAsia="Times New Roman"/>
                <w:spacing w:val="-2"/>
                <w:sz w:val="21"/>
              </w:rPr>
              <w:t>IV</w:t>
            </w:r>
            <w:r>
              <w:rPr>
                <w:spacing w:val="-3"/>
                <w:sz w:val="21"/>
              </w:rPr>
              <w:t>级，且持续至少九十天。</w:t>
            </w:r>
          </w:p>
        </w:tc>
      </w:tr>
      <w:tr>
        <w:trPr>
          <w:trHeight w:val="2183" w:hRule="atLeast"/>
        </w:trPr>
        <w:tc>
          <w:tcPr>
            <w:tcW w:w="1908" w:type="dxa"/>
          </w:tcPr>
          <w:p>
            <w:pPr>
              <w:pStyle w:val="TableParagraph"/>
              <w:spacing w:line="278" w:lineRule="auto" w:before="20"/>
              <w:ind w:right="108"/>
              <w:rPr>
                <w:sz w:val="21"/>
              </w:rPr>
            </w:pPr>
            <w:r>
              <w:rPr>
                <w:spacing w:val="-2"/>
                <w:sz w:val="21"/>
              </w:rPr>
              <w:t>四十四、原发性硬</w:t>
            </w:r>
            <w:r>
              <w:rPr>
                <w:spacing w:val="-2"/>
                <w:sz w:val="21"/>
              </w:rPr>
              <w:t>化性胆管炎</w:t>
            </w:r>
          </w:p>
        </w:tc>
        <w:tc>
          <w:tcPr>
            <w:tcW w:w="6810" w:type="dxa"/>
          </w:tcPr>
          <w:p>
            <w:pPr>
              <w:pStyle w:val="TableParagraph"/>
              <w:spacing w:line="278" w:lineRule="auto" w:before="20"/>
              <w:ind w:right="180"/>
              <w:jc w:val="both"/>
              <w:rPr>
                <w:sz w:val="21"/>
              </w:rPr>
            </w:pPr>
            <w:r>
              <w:rPr>
                <w:spacing w:val="-2"/>
                <w:sz w:val="21"/>
              </w:rPr>
              <w:t>指一种胆汁淤积综合征，其特征是肝内、肝外胆道因纤维化性炎症逐渐</w:t>
            </w:r>
            <w:r>
              <w:rPr>
                <w:spacing w:val="-2"/>
                <w:sz w:val="21"/>
              </w:rPr>
              <w:t>狭窄，并最终导致完全阻塞而发展为肝硬化。本病须经内镜逆行胰胆管</w:t>
            </w:r>
            <w:r>
              <w:rPr>
                <w:spacing w:val="-2"/>
                <w:sz w:val="21"/>
              </w:rPr>
              <w:t>造影等影像学检查证实，并须满足下列全部条件：</w:t>
            </w:r>
          </w:p>
          <w:p>
            <w:pPr>
              <w:pStyle w:val="TableParagraph"/>
              <w:numPr>
                <w:ilvl w:val="0"/>
                <w:numId w:val="28"/>
              </w:numPr>
              <w:tabs>
                <w:tab w:pos="468" w:val="left" w:leader="none"/>
              </w:tabs>
              <w:spacing w:line="269" w:lineRule="exact" w:before="0" w:after="0"/>
              <w:ind w:left="467" w:right="0" w:hanging="361"/>
              <w:jc w:val="left"/>
              <w:rPr>
                <w:sz w:val="21"/>
              </w:rPr>
            </w:pPr>
            <w:r>
              <w:rPr>
                <w:spacing w:val="-3"/>
                <w:sz w:val="21"/>
              </w:rPr>
              <w:t>总胆红素和直接胆红素同时升高，血清 </w:t>
            </w:r>
            <w:r>
              <w:rPr>
                <w:rFonts w:ascii="Times New Roman" w:eastAsia="Times New Roman"/>
                <w:spacing w:val="-2"/>
                <w:sz w:val="21"/>
              </w:rPr>
              <w:t>ALP&gt;200U/L</w:t>
            </w:r>
            <w:r>
              <w:rPr>
                <w:spacing w:val="-2"/>
                <w:sz w:val="21"/>
              </w:rPr>
              <w:t>；</w:t>
            </w:r>
          </w:p>
          <w:p>
            <w:pPr>
              <w:pStyle w:val="TableParagraph"/>
              <w:numPr>
                <w:ilvl w:val="0"/>
                <w:numId w:val="28"/>
              </w:numPr>
              <w:tabs>
                <w:tab w:pos="468" w:val="left" w:leader="none"/>
              </w:tabs>
              <w:spacing w:line="240" w:lineRule="auto" w:before="43" w:after="0"/>
              <w:ind w:left="467" w:right="0" w:hanging="361"/>
              <w:jc w:val="left"/>
              <w:rPr>
                <w:sz w:val="21"/>
              </w:rPr>
            </w:pPr>
            <w:r>
              <w:rPr>
                <w:spacing w:val="-2"/>
                <w:sz w:val="21"/>
              </w:rPr>
              <w:t>持续性黄疸病史；</w:t>
            </w:r>
          </w:p>
          <w:p>
            <w:pPr>
              <w:pStyle w:val="TableParagraph"/>
              <w:numPr>
                <w:ilvl w:val="0"/>
                <w:numId w:val="28"/>
              </w:numPr>
              <w:tabs>
                <w:tab w:pos="468" w:val="left" w:leader="none"/>
              </w:tabs>
              <w:spacing w:line="240" w:lineRule="auto" w:before="43" w:after="0"/>
              <w:ind w:left="467" w:right="0" w:hanging="361"/>
              <w:jc w:val="left"/>
              <w:rPr>
                <w:sz w:val="21"/>
              </w:rPr>
            </w:pPr>
            <w:r>
              <w:rPr>
                <w:spacing w:val="-1"/>
                <w:sz w:val="21"/>
              </w:rPr>
              <w:t>出现胆汁性肝硬化或门脉高压。</w:t>
            </w:r>
          </w:p>
          <w:p>
            <w:pPr>
              <w:pStyle w:val="TableParagraph"/>
              <w:rPr>
                <w:rFonts w:ascii="黑体" w:eastAsia="黑体"/>
                <w:sz w:val="21"/>
              </w:rPr>
            </w:pPr>
            <w:r>
              <w:rPr>
                <w:rFonts w:ascii="黑体" w:eastAsia="黑体"/>
                <w:color w:val="000000"/>
                <w:spacing w:val="-1"/>
                <w:sz w:val="21"/>
                <w:shd w:fill="D9D9D9" w:color="auto" w:val="clear"/>
              </w:rPr>
              <w:t>因肿瘤或胆管损伤等继发性的硬化性胆管炎不在保障范围内。</w:t>
            </w:r>
          </w:p>
        </w:tc>
      </w:tr>
      <w:tr>
        <w:trPr>
          <w:trHeight w:val="1872" w:hRule="atLeast"/>
        </w:trPr>
        <w:tc>
          <w:tcPr>
            <w:tcW w:w="1908" w:type="dxa"/>
          </w:tcPr>
          <w:p>
            <w:pPr>
              <w:pStyle w:val="TableParagraph"/>
              <w:spacing w:line="278" w:lineRule="auto" w:before="21"/>
              <w:ind w:right="108"/>
              <w:rPr>
                <w:sz w:val="21"/>
              </w:rPr>
            </w:pPr>
            <w:r>
              <w:rPr>
                <w:spacing w:val="-2"/>
                <w:sz w:val="21"/>
              </w:rPr>
              <w:t>四十五、Ⅲ度房室</w:t>
            </w:r>
            <w:r>
              <w:rPr>
                <w:spacing w:val="-4"/>
                <w:sz w:val="21"/>
              </w:rPr>
              <w:t>传导阻滞</w:t>
            </w:r>
          </w:p>
        </w:tc>
        <w:tc>
          <w:tcPr>
            <w:tcW w:w="6810" w:type="dxa"/>
          </w:tcPr>
          <w:p>
            <w:pPr>
              <w:pStyle w:val="TableParagraph"/>
              <w:spacing w:line="278" w:lineRule="auto" w:before="21"/>
              <w:ind w:right="180"/>
              <w:rPr>
                <w:sz w:val="21"/>
              </w:rPr>
            </w:pPr>
            <w:r>
              <w:rPr>
                <w:spacing w:val="-2"/>
                <w:sz w:val="21"/>
              </w:rPr>
              <w:t>指心房激动在房室交界区、房室束及其分支内发生阻滞，不能正常地传</w:t>
            </w:r>
            <w:r>
              <w:rPr>
                <w:spacing w:val="-2"/>
                <w:sz w:val="21"/>
              </w:rPr>
              <w:t>到心室的心脏传导性疾病，须满足下列全部条件：</w:t>
            </w:r>
          </w:p>
          <w:p>
            <w:pPr>
              <w:pStyle w:val="TableParagraph"/>
              <w:numPr>
                <w:ilvl w:val="0"/>
                <w:numId w:val="29"/>
              </w:numPr>
              <w:tabs>
                <w:tab w:pos="468" w:val="left" w:leader="none"/>
              </w:tabs>
              <w:spacing w:line="269" w:lineRule="exact" w:before="0" w:after="0"/>
              <w:ind w:left="467" w:right="0" w:hanging="361"/>
              <w:jc w:val="left"/>
              <w:rPr>
                <w:sz w:val="21"/>
              </w:rPr>
            </w:pPr>
            <w:r>
              <w:rPr>
                <w:sz w:val="21"/>
              </w:rPr>
              <w:t>心电图显示房室搏动彼此独立，心室率</w:t>
            </w:r>
            <w:r>
              <w:rPr>
                <w:rFonts w:ascii="Times New Roman" w:eastAsia="Times New Roman"/>
                <w:sz w:val="21"/>
              </w:rPr>
              <w:t>&lt;50</w:t>
            </w:r>
            <w:r>
              <w:rPr>
                <w:rFonts w:ascii="Times New Roman" w:eastAsia="Times New Roman"/>
                <w:spacing w:val="-3"/>
                <w:sz w:val="21"/>
              </w:rPr>
              <w:t> </w:t>
            </w:r>
            <w:r>
              <w:rPr>
                <w:sz w:val="21"/>
              </w:rPr>
              <w:t>次</w:t>
            </w:r>
            <w:r>
              <w:rPr>
                <w:rFonts w:ascii="Times New Roman" w:eastAsia="Times New Roman"/>
                <w:sz w:val="21"/>
              </w:rPr>
              <w:t>/</w:t>
            </w:r>
            <w:r>
              <w:rPr>
                <w:spacing w:val="-4"/>
                <w:sz w:val="21"/>
              </w:rPr>
              <w:t>分钟；</w:t>
            </w:r>
          </w:p>
          <w:p>
            <w:pPr>
              <w:pStyle w:val="TableParagraph"/>
              <w:numPr>
                <w:ilvl w:val="0"/>
                <w:numId w:val="29"/>
              </w:numPr>
              <w:tabs>
                <w:tab w:pos="468" w:val="left" w:leader="none"/>
              </w:tabs>
              <w:spacing w:line="240" w:lineRule="auto" w:before="43" w:after="0"/>
              <w:ind w:left="467" w:right="0" w:hanging="361"/>
              <w:jc w:val="left"/>
              <w:rPr>
                <w:sz w:val="21"/>
              </w:rPr>
            </w:pPr>
            <w:r>
              <w:rPr>
                <w:spacing w:val="-2"/>
                <w:sz w:val="21"/>
              </w:rPr>
              <w:t>出现阿</w:t>
            </w:r>
            <w:r>
              <w:rPr>
                <w:rFonts w:ascii="Times New Roman" w:eastAsia="Times New Roman"/>
                <w:spacing w:val="-2"/>
                <w:sz w:val="21"/>
              </w:rPr>
              <w:t>-</w:t>
            </w:r>
            <w:r>
              <w:rPr>
                <w:spacing w:val="-3"/>
                <w:sz w:val="21"/>
              </w:rPr>
              <w:t>斯综合征或心力衰竭的表现；</w:t>
            </w:r>
          </w:p>
          <w:p>
            <w:pPr>
              <w:pStyle w:val="TableParagraph"/>
              <w:numPr>
                <w:ilvl w:val="0"/>
                <w:numId w:val="29"/>
              </w:numPr>
              <w:tabs>
                <w:tab w:pos="468" w:val="left" w:leader="none"/>
              </w:tabs>
              <w:spacing w:line="310" w:lineRule="atLeast" w:before="2" w:after="0"/>
              <w:ind w:left="467" w:right="96" w:hanging="360"/>
              <w:jc w:val="left"/>
              <w:rPr>
                <w:sz w:val="21"/>
              </w:rPr>
            </w:pPr>
            <w:r>
              <w:rPr>
                <w:spacing w:val="-6"/>
                <w:sz w:val="21"/>
              </w:rPr>
              <w:t>必须持续性依赖心脏起搏器维持心脏正常功能，且已经放置心脏起搏</w:t>
            </w:r>
            <w:r>
              <w:rPr>
                <w:spacing w:val="-6"/>
                <w:sz w:val="21"/>
              </w:rPr>
              <w:t>器。</w:t>
            </w:r>
          </w:p>
        </w:tc>
      </w:tr>
      <w:tr>
        <w:trPr>
          <w:trHeight w:val="1247" w:hRule="atLeast"/>
        </w:trPr>
        <w:tc>
          <w:tcPr>
            <w:tcW w:w="1908" w:type="dxa"/>
          </w:tcPr>
          <w:p>
            <w:pPr>
              <w:pStyle w:val="TableParagraph"/>
              <w:spacing w:line="278" w:lineRule="auto" w:before="20"/>
              <w:ind w:right="96"/>
              <w:rPr>
                <w:sz w:val="21"/>
              </w:rPr>
            </w:pPr>
            <w:r>
              <w:rPr>
                <w:spacing w:val="-2"/>
                <w:sz w:val="21"/>
              </w:rPr>
              <w:t>四十六、急性坏死</w:t>
            </w:r>
            <w:r>
              <w:rPr>
                <w:spacing w:val="-2"/>
                <w:sz w:val="21"/>
              </w:rPr>
              <w:t>性胰腺炎开腹手术</w:t>
            </w:r>
          </w:p>
        </w:tc>
        <w:tc>
          <w:tcPr>
            <w:tcW w:w="6810" w:type="dxa"/>
          </w:tcPr>
          <w:p>
            <w:pPr>
              <w:pStyle w:val="TableParagraph"/>
              <w:spacing w:line="278" w:lineRule="auto" w:before="20"/>
              <w:ind w:right="92"/>
              <w:rPr>
                <w:sz w:val="21"/>
              </w:rPr>
            </w:pPr>
            <w:r>
              <w:rPr>
                <w:spacing w:val="-2"/>
                <w:sz w:val="21"/>
              </w:rPr>
              <w:t>指为治疗急性坏死性胰腺炎，实际实施了开腹进行的坏死组织清除术、</w:t>
            </w:r>
            <w:r>
              <w:rPr>
                <w:spacing w:val="-2"/>
                <w:sz w:val="21"/>
              </w:rPr>
              <w:t>病灶切除术或胰腺部分切除术。</w:t>
            </w:r>
          </w:p>
          <w:p>
            <w:pPr>
              <w:pStyle w:val="TableParagraph"/>
              <w:spacing w:line="269" w:lineRule="exact" w:before="0"/>
              <w:rPr>
                <w:rFonts w:ascii="黑体" w:eastAsia="黑体"/>
                <w:sz w:val="21"/>
              </w:rPr>
            </w:pPr>
            <w:r>
              <w:rPr>
                <w:rFonts w:ascii="黑体" w:eastAsia="黑体"/>
                <w:color w:val="000000"/>
                <w:spacing w:val="-1"/>
                <w:sz w:val="21"/>
                <w:shd w:fill="D9D9D9" w:color="auto" w:val="clear"/>
              </w:rPr>
              <w:t>为治疗因酒精中毒引起的急性坏死性胰腺炎的开腹手术不在保障范围</w:t>
            </w:r>
          </w:p>
          <w:p>
            <w:pPr>
              <w:pStyle w:val="TableParagraph"/>
              <w:rPr>
                <w:rFonts w:ascii="黑体" w:eastAsia="黑体"/>
                <w:sz w:val="21"/>
              </w:rPr>
            </w:pPr>
            <w:r>
              <w:rPr>
                <w:rFonts w:ascii="黑体" w:eastAsia="黑体"/>
                <w:color w:val="000000"/>
                <w:spacing w:val="-5"/>
                <w:sz w:val="21"/>
                <w:shd w:fill="D9D9D9" w:color="auto" w:val="clear"/>
              </w:rPr>
              <w:t>内。</w:t>
            </w:r>
          </w:p>
        </w:tc>
      </w:tr>
      <w:tr>
        <w:trPr>
          <w:trHeight w:val="4991" w:hRule="atLeast"/>
        </w:trPr>
        <w:tc>
          <w:tcPr>
            <w:tcW w:w="1908" w:type="dxa"/>
          </w:tcPr>
          <w:p>
            <w:pPr>
              <w:pStyle w:val="TableParagraph"/>
              <w:spacing w:line="278" w:lineRule="auto" w:before="20"/>
              <w:ind w:right="96"/>
              <w:jc w:val="both"/>
              <w:rPr>
                <w:sz w:val="21"/>
              </w:rPr>
            </w:pPr>
            <w:r>
              <w:rPr>
                <w:spacing w:val="-2"/>
                <w:sz w:val="21"/>
              </w:rPr>
              <w:t>四十七、经输血导</w:t>
            </w:r>
            <w:r>
              <w:rPr>
                <w:spacing w:val="-2"/>
                <w:sz w:val="21"/>
              </w:rPr>
              <w:t>致的人类免疫缺陷</w:t>
            </w:r>
            <w:r>
              <w:rPr>
                <w:spacing w:val="-2"/>
                <w:sz w:val="21"/>
              </w:rPr>
              <w:t>病毒（</w:t>
            </w:r>
            <w:r>
              <w:rPr>
                <w:rFonts w:ascii="Times New Roman" w:eastAsia="Times New Roman"/>
                <w:spacing w:val="-2"/>
                <w:sz w:val="21"/>
              </w:rPr>
              <w:t>HIV</w:t>
            </w:r>
            <w:r>
              <w:rPr>
                <w:spacing w:val="-2"/>
                <w:sz w:val="21"/>
              </w:rPr>
              <w:t>）感染</w:t>
            </w:r>
          </w:p>
        </w:tc>
        <w:tc>
          <w:tcPr>
            <w:tcW w:w="6810" w:type="dxa"/>
          </w:tcPr>
          <w:p>
            <w:pPr>
              <w:pStyle w:val="TableParagraph"/>
              <w:spacing w:before="20"/>
              <w:rPr>
                <w:sz w:val="21"/>
              </w:rPr>
            </w:pPr>
            <w:r>
              <w:rPr>
                <w:spacing w:val="-2"/>
                <w:sz w:val="21"/>
              </w:rPr>
              <w:t>指被保险人感染上人类免疫缺陷病毒（</w:t>
            </w:r>
            <w:r>
              <w:rPr>
                <w:rFonts w:ascii="Times New Roman" w:eastAsia="Times New Roman"/>
                <w:spacing w:val="-2"/>
                <w:sz w:val="21"/>
              </w:rPr>
              <w:t>HIV</w:t>
            </w:r>
            <w:r>
              <w:rPr>
                <w:spacing w:val="-2"/>
                <w:sz w:val="21"/>
              </w:rPr>
              <w:t>）</w:t>
            </w:r>
            <w:r>
              <w:rPr>
                <w:spacing w:val="-3"/>
                <w:sz w:val="21"/>
              </w:rPr>
              <w:t>并且符合下列所有条件：</w:t>
            </w:r>
          </w:p>
          <w:p>
            <w:pPr>
              <w:pStyle w:val="TableParagraph"/>
              <w:numPr>
                <w:ilvl w:val="0"/>
                <w:numId w:val="30"/>
              </w:numPr>
              <w:tabs>
                <w:tab w:pos="468" w:val="left" w:leader="none"/>
              </w:tabs>
              <w:spacing w:line="278" w:lineRule="auto" w:before="43" w:after="0"/>
              <w:ind w:left="467" w:right="96" w:hanging="360"/>
              <w:jc w:val="left"/>
              <w:rPr>
                <w:sz w:val="21"/>
              </w:rPr>
            </w:pPr>
            <w:r>
              <w:rPr>
                <w:spacing w:val="-4"/>
                <w:sz w:val="21"/>
              </w:rPr>
              <w:t>在保障起始日或复效日之后，被保险人因治疗必需而接受输血，并且</w:t>
            </w:r>
            <w:r>
              <w:rPr>
                <w:spacing w:val="-6"/>
                <w:sz w:val="21"/>
              </w:rPr>
              <w:t>因输血而感染 </w:t>
            </w:r>
            <w:r>
              <w:rPr>
                <w:rFonts w:ascii="Times New Roman" w:eastAsia="Times New Roman"/>
                <w:sz w:val="21"/>
              </w:rPr>
              <w:t>HIV</w:t>
            </w:r>
            <w:r>
              <w:rPr>
                <w:sz w:val="21"/>
              </w:rPr>
              <w:t>；</w:t>
            </w:r>
          </w:p>
          <w:p>
            <w:pPr>
              <w:pStyle w:val="TableParagraph"/>
              <w:numPr>
                <w:ilvl w:val="0"/>
                <w:numId w:val="30"/>
              </w:numPr>
              <w:tabs>
                <w:tab w:pos="468" w:val="left" w:leader="none"/>
              </w:tabs>
              <w:spacing w:line="278" w:lineRule="auto" w:before="0" w:after="0"/>
              <w:ind w:left="467" w:right="98" w:hanging="360"/>
              <w:jc w:val="left"/>
              <w:rPr>
                <w:sz w:val="21"/>
              </w:rPr>
            </w:pPr>
            <w:r>
              <w:rPr>
                <w:spacing w:val="-2"/>
                <w:sz w:val="21"/>
              </w:rPr>
              <w:t>提供输血治疗的输血中心或医院出具该项输血感染属医疗责任事故</w:t>
            </w:r>
            <w:r>
              <w:rPr>
                <w:spacing w:val="-2"/>
                <w:sz w:val="21"/>
              </w:rPr>
              <w:t>的报告，或者法院终审裁定为医疗责任并且不准上诉；</w:t>
            </w:r>
          </w:p>
          <w:p>
            <w:pPr>
              <w:pStyle w:val="TableParagraph"/>
              <w:numPr>
                <w:ilvl w:val="0"/>
                <w:numId w:val="30"/>
              </w:numPr>
              <w:tabs>
                <w:tab w:pos="468" w:val="left" w:leader="none"/>
              </w:tabs>
              <w:spacing w:line="269" w:lineRule="exact" w:before="0" w:after="0"/>
              <w:ind w:left="467" w:right="0" w:hanging="361"/>
              <w:jc w:val="left"/>
              <w:rPr>
                <w:sz w:val="21"/>
              </w:rPr>
            </w:pPr>
            <w:r>
              <w:rPr>
                <w:spacing w:val="-1"/>
                <w:sz w:val="21"/>
              </w:rPr>
              <w:t>提供输血治疗的输血中心或医院必须拥有合法经营执照；</w:t>
            </w:r>
          </w:p>
          <w:p>
            <w:pPr>
              <w:pStyle w:val="TableParagraph"/>
              <w:numPr>
                <w:ilvl w:val="0"/>
                <w:numId w:val="30"/>
              </w:numPr>
              <w:tabs>
                <w:tab w:pos="468" w:val="left" w:leader="none"/>
              </w:tabs>
              <w:spacing w:line="240" w:lineRule="auto" w:before="43" w:after="0"/>
              <w:ind w:left="467" w:right="0" w:hanging="361"/>
              <w:jc w:val="left"/>
              <w:rPr>
                <w:sz w:val="21"/>
              </w:rPr>
            </w:pPr>
            <w:r>
              <w:rPr>
                <w:spacing w:val="-1"/>
                <w:sz w:val="21"/>
              </w:rPr>
              <w:t>受感染的被保险人不是血友病患者。</w:t>
            </w:r>
          </w:p>
          <w:p>
            <w:pPr>
              <w:pStyle w:val="TableParagraph"/>
              <w:spacing w:line="278" w:lineRule="auto" w:before="42"/>
              <w:ind w:right="92"/>
              <w:jc w:val="both"/>
              <w:rPr>
                <w:rFonts w:ascii="黑体" w:eastAsia="黑体"/>
                <w:sz w:val="21"/>
              </w:rPr>
            </w:pPr>
            <w:r>
              <w:rPr>
                <w:rFonts w:ascii="黑体" w:eastAsia="黑体"/>
                <w:color w:val="000000"/>
                <w:spacing w:val="-2"/>
                <w:sz w:val="21"/>
                <w:shd w:fill="D9D9D9" w:color="auto" w:val="clear"/>
              </w:rPr>
              <w:t>在任何治愈艾滋病或阻止人类免疫缺陷病毒（</w:t>
            </w:r>
            <w:r>
              <w:rPr>
                <w:rFonts w:ascii="Times New Roman" w:eastAsia="Times New Roman"/>
                <w:color w:val="000000"/>
                <w:spacing w:val="-2"/>
                <w:sz w:val="21"/>
                <w:shd w:fill="D9D9D9" w:color="auto" w:val="clear"/>
              </w:rPr>
              <w:t>HIV</w:t>
            </w:r>
            <w:r>
              <w:rPr>
                <w:rFonts w:ascii="黑体" w:eastAsia="黑体"/>
                <w:color w:val="000000"/>
                <w:spacing w:val="-2"/>
                <w:sz w:val="21"/>
                <w:shd w:fill="D9D9D9" w:color="auto" w:val="clear"/>
              </w:rPr>
              <w:t>）病毒作用的疗法被</w:t>
            </w:r>
            <w:r>
              <w:rPr>
                <w:rFonts w:ascii="黑体" w:eastAsia="黑体"/>
                <w:color w:val="000000"/>
                <w:spacing w:val="40"/>
                <w:sz w:val="21"/>
                <w:shd w:fill="D9D9D9" w:color="auto" w:val="clear"/>
              </w:rPr>
              <w:t> </w:t>
            </w:r>
            <w:r>
              <w:rPr>
                <w:rFonts w:ascii="黑体" w:eastAsia="黑体"/>
                <w:color w:val="000000"/>
                <w:spacing w:val="-10"/>
                <w:sz w:val="21"/>
                <w:shd w:fill="D9D9D9" w:color="auto" w:val="clear"/>
              </w:rPr>
              <w:t>发</w:t>
            </w:r>
            <w:r>
              <w:rPr>
                <w:rFonts w:ascii="黑体" w:eastAsia="黑体"/>
                <w:color w:val="000000"/>
                <w:spacing w:val="80"/>
                <w:w w:val="150"/>
                <w:sz w:val="21"/>
                <w:shd w:fill="D9D9D9" w:color="auto" w:val="clear"/>
              </w:rPr>
              <w:t>                           </w:t>
            </w:r>
            <w:r>
              <w:rPr>
                <w:rFonts w:ascii="黑体" w:eastAsia="黑体"/>
                <w:color w:val="000000"/>
                <w:spacing w:val="-10"/>
                <w:sz w:val="21"/>
                <w:shd w:fill="D9D9D9" w:color="auto" w:val="clear"/>
              </w:rPr>
              <w:t>现</w:t>
            </w:r>
            <w:r>
              <w:rPr>
                <w:rFonts w:ascii="黑体" w:eastAsia="黑体"/>
                <w:color w:val="000000"/>
                <w:spacing w:val="80"/>
                <w:w w:val="150"/>
                <w:sz w:val="21"/>
                <w:shd w:fill="D9D9D9" w:color="auto" w:val="clear"/>
              </w:rPr>
              <w:t>                           </w:t>
            </w:r>
            <w:r>
              <w:rPr>
                <w:rFonts w:ascii="黑体" w:eastAsia="黑体"/>
                <w:color w:val="000000"/>
                <w:spacing w:val="-6"/>
                <w:sz w:val="21"/>
                <w:shd w:fill="D9D9D9" w:color="auto" w:val="clear"/>
              </w:rPr>
              <w:t>以后</w:t>
            </w:r>
            <w:r>
              <w:rPr>
                <w:rFonts w:ascii="黑体" w:eastAsia="黑体"/>
                <w:color w:val="000000"/>
                <w:spacing w:val="80"/>
                <w:w w:val="150"/>
                <w:sz w:val="21"/>
                <w:shd w:fill="D9D9D9" w:color="auto" w:val="clear"/>
              </w:rPr>
              <w:t>                          </w:t>
            </w:r>
            <w:r>
              <w:rPr>
                <w:rFonts w:ascii="黑体" w:eastAsia="黑体"/>
                <w:color w:val="000000"/>
                <w:spacing w:val="-10"/>
                <w:sz w:val="21"/>
                <w:shd w:fill="D9D9D9" w:color="auto" w:val="clear"/>
              </w:rPr>
              <w:t>，</w:t>
            </w:r>
            <w:r>
              <w:rPr>
                <w:rFonts w:ascii="黑体" w:eastAsia="黑体"/>
                <w:color w:val="000000"/>
                <w:spacing w:val="80"/>
                <w:w w:val="150"/>
                <w:sz w:val="21"/>
                <w:shd w:fill="D9D9D9" w:color="auto" w:val="clear"/>
              </w:rPr>
              <w:t>                           </w:t>
            </w:r>
            <w:r>
              <w:rPr>
                <w:rFonts w:ascii="黑体" w:eastAsia="黑体"/>
                <w:color w:val="000000"/>
                <w:spacing w:val="-2"/>
                <w:sz w:val="21"/>
                <w:shd w:fill="D9D9D9" w:color="auto" w:val="clear"/>
              </w:rPr>
              <w:t>或能防止艾滋病发生的医疗方法被研究出来以后，本保障将不再予以赔</w:t>
            </w:r>
            <w:r>
              <w:rPr>
                <w:rFonts w:ascii="黑体" w:eastAsia="黑体"/>
                <w:color w:val="000000"/>
                <w:spacing w:val="-6"/>
                <w:sz w:val="21"/>
                <w:shd w:fill="D9D9D9" w:color="auto" w:val="clear"/>
              </w:rPr>
              <w:t>付。</w:t>
            </w:r>
          </w:p>
          <w:p>
            <w:pPr>
              <w:pStyle w:val="TableParagraph"/>
              <w:spacing w:line="278" w:lineRule="auto" w:before="0"/>
              <w:ind w:right="96"/>
              <w:rPr>
                <w:rFonts w:ascii="黑体" w:eastAsia="黑体"/>
                <w:sz w:val="21"/>
              </w:rPr>
            </w:pPr>
            <w:r>
              <w:rPr>
                <w:rFonts w:ascii="黑体" w:eastAsia="黑体"/>
                <w:color w:val="000000"/>
                <w:spacing w:val="-4"/>
                <w:sz w:val="21"/>
                <w:shd w:fill="D9D9D9" w:color="auto" w:val="clear"/>
              </w:rPr>
              <w:t>任何因其他传播方式（包括：性传播或静脉注射毒品）导致的</w:t>
            </w:r>
            <w:r>
              <w:rPr>
                <w:rFonts w:ascii="Times New Roman" w:eastAsia="Times New Roman"/>
                <w:color w:val="000000"/>
                <w:spacing w:val="-4"/>
                <w:sz w:val="21"/>
                <w:shd w:fill="D9D9D9" w:color="auto" w:val="clear"/>
              </w:rPr>
              <w:t>HIV</w:t>
            </w:r>
            <w:r>
              <w:rPr>
                <w:rFonts w:ascii="黑体" w:eastAsia="黑体"/>
                <w:color w:val="000000"/>
                <w:spacing w:val="-4"/>
                <w:sz w:val="21"/>
                <w:shd w:fill="D9D9D9" w:color="auto" w:val="clear"/>
              </w:rPr>
              <w:t>病毒感</w:t>
            </w:r>
            <w:r>
              <w:rPr>
                <w:rFonts w:ascii="黑体" w:eastAsia="黑体"/>
                <w:color w:val="000000"/>
                <w:spacing w:val="80"/>
                <w:w w:val="150"/>
                <w:sz w:val="21"/>
                <w:shd w:fill="D9D9D9" w:color="auto" w:val="clear"/>
              </w:rPr>
              <w:t>                                    </w:t>
            </w:r>
            <w:r>
              <w:rPr>
                <w:rFonts w:ascii="黑体" w:eastAsia="黑体"/>
                <w:color w:val="000000"/>
                <w:spacing w:val="-2"/>
                <w:sz w:val="21"/>
                <w:shd w:fill="D9D9D9" w:color="auto" w:val="clear"/>
              </w:rPr>
              <w:t>染不在保障范围内。</w:t>
            </w:r>
          </w:p>
          <w:p>
            <w:pPr>
              <w:pStyle w:val="TableParagraph"/>
              <w:spacing w:line="278" w:lineRule="auto" w:before="0"/>
              <w:ind w:right="180"/>
              <w:rPr>
                <w:sz w:val="21"/>
              </w:rPr>
            </w:pPr>
            <w:r>
              <w:rPr>
                <w:spacing w:val="-2"/>
                <w:sz w:val="21"/>
              </w:rPr>
              <w:t>我们拥有获得使用被保险人的血液样本的权利和能够对这些样本进行独</w:t>
            </w:r>
            <w:r>
              <w:rPr>
                <w:spacing w:val="-2"/>
                <w:sz w:val="21"/>
              </w:rPr>
              <w:t>立检验的权利。</w:t>
            </w:r>
          </w:p>
          <w:p>
            <w:pPr>
              <w:pStyle w:val="TableParagraph"/>
              <w:spacing w:line="269" w:lineRule="exact" w:before="0"/>
              <w:rPr>
                <w:rFonts w:ascii="黑体" w:hAnsi="黑体" w:eastAsia="黑体"/>
                <w:sz w:val="21"/>
              </w:rPr>
            </w:pPr>
            <w:r>
              <w:rPr>
                <w:rFonts w:ascii="黑体" w:hAnsi="黑体" w:eastAsia="黑体"/>
                <w:spacing w:val="-1"/>
                <w:sz w:val="21"/>
              </w:rPr>
              <w:t>我们承担本项疾病责任不受本合同责任免除中“被保险人感染艾滋病病</w:t>
            </w:r>
          </w:p>
          <w:p>
            <w:pPr>
              <w:pStyle w:val="TableParagraph"/>
              <w:rPr>
                <w:rFonts w:ascii="黑体" w:hAnsi="黑体" w:eastAsia="黑体"/>
                <w:sz w:val="21"/>
              </w:rPr>
            </w:pPr>
            <w:r>
              <w:rPr>
                <w:rFonts w:ascii="黑体" w:hAnsi="黑体" w:eastAsia="黑体"/>
                <w:spacing w:val="-1"/>
                <w:sz w:val="21"/>
              </w:rPr>
              <w:t>毒或患艾滋病”的限制。</w:t>
            </w:r>
          </w:p>
        </w:tc>
      </w:tr>
      <w:tr>
        <w:trPr>
          <w:trHeight w:val="2184" w:hRule="atLeast"/>
        </w:trPr>
        <w:tc>
          <w:tcPr>
            <w:tcW w:w="1908" w:type="dxa"/>
          </w:tcPr>
          <w:p>
            <w:pPr>
              <w:pStyle w:val="TableParagraph"/>
              <w:spacing w:line="278" w:lineRule="auto" w:before="21"/>
              <w:ind w:right="108"/>
              <w:rPr>
                <w:sz w:val="21"/>
              </w:rPr>
            </w:pPr>
            <w:r>
              <w:rPr>
                <w:spacing w:val="-2"/>
                <w:sz w:val="21"/>
              </w:rPr>
              <w:t>四十八、系统性硬</w:t>
            </w:r>
            <w:r>
              <w:rPr>
                <w:spacing w:val="-10"/>
                <w:sz w:val="21"/>
              </w:rPr>
              <w:t>化</w:t>
            </w:r>
          </w:p>
        </w:tc>
        <w:tc>
          <w:tcPr>
            <w:tcW w:w="6810" w:type="dxa"/>
          </w:tcPr>
          <w:p>
            <w:pPr>
              <w:pStyle w:val="TableParagraph"/>
              <w:spacing w:line="278" w:lineRule="auto" w:before="21"/>
              <w:ind w:right="92"/>
              <w:jc w:val="both"/>
              <w:rPr>
                <w:sz w:val="21"/>
              </w:rPr>
            </w:pPr>
            <w:r>
              <w:rPr>
                <w:spacing w:val="-2"/>
                <w:sz w:val="21"/>
              </w:rPr>
              <w:t>系统性硬化病又称硬皮病，是以弥漫性皮肤、血管及内脏器官结缔组织</w:t>
            </w:r>
            <w:r>
              <w:rPr>
                <w:spacing w:val="-2"/>
                <w:sz w:val="21"/>
              </w:rPr>
              <w:t>纤维化、硬化及萎缩为特点的结缔组织病。</w:t>
            </w:r>
            <w:r>
              <w:rPr>
                <w:rFonts w:ascii="黑体" w:eastAsia="黑体"/>
                <w:spacing w:val="-2"/>
                <w:sz w:val="21"/>
              </w:rPr>
              <w:t>必须由风湿免疫科专科医生</w:t>
            </w:r>
            <w:r>
              <w:rPr>
                <w:rFonts w:ascii="黑体" w:eastAsia="黑体"/>
                <w:spacing w:val="-2"/>
                <w:sz w:val="21"/>
              </w:rPr>
              <w:t>确诊。</w:t>
            </w:r>
            <w:r>
              <w:rPr>
                <w:spacing w:val="-2"/>
                <w:sz w:val="21"/>
              </w:rPr>
              <w:t>必须有活体组织检查和血清学的检查作为确诊依据，并且须满足</w:t>
            </w:r>
            <w:r>
              <w:rPr>
                <w:spacing w:val="-2"/>
                <w:sz w:val="21"/>
              </w:rPr>
              <w:t>下列至少一项条件：</w:t>
            </w:r>
          </w:p>
          <w:p>
            <w:pPr>
              <w:pStyle w:val="TableParagraph"/>
              <w:numPr>
                <w:ilvl w:val="0"/>
                <w:numId w:val="31"/>
              </w:numPr>
              <w:tabs>
                <w:tab w:pos="468" w:val="left" w:leader="none"/>
              </w:tabs>
              <w:spacing w:line="269" w:lineRule="exact" w:before="0" w:after="0"/>
              <w:ind w:left="467" w:right="0" w:hanging="361"/>
              <w:jc w:val="left"/>
              <w:rPr>
                <w:sz w:val="21"/>
              </w:rPr>
            </w:pPr>
            <w:r>
              <w:rPr>
                <w:spacing w:val="-1"/>
                <w:sz w:val="21"/>
              </w:rPr>
              <w:t>肺脏：肺部病变进而发展为肺间质纤维化和肺动脉高压；</w:t>
            </w:r>
          </w:p>
          <w:p>
            <w:pPr>
              <w:pStyle w:val="TableParagraph"/>
              <w:numPr>
                <w:ilvl w:val="0"/>
                <w:numId w:val="31"/>
              </w:numPr>
              <w:tabs>
                <w:tab w:pos="468" w:val="left" w:leader="none"/>
              </w:tabs>
              <w:spacing w:line="240" w:lineRule="auto" w:before="43" w:after="0"/>
              <w:ind w:left="467" w:right="0" w:hanging="361"/>
              <w:jc w:val="left"/>
              <w:rPr>
                <w:sz w:val="21"/>
              </w:rPr>
            </w:pPr>
            <w:r>
              <w:rPr>
                <w:spacing w:val="-2"/>
                <w:sz w:val="21"/>
              </w:rPr>
              <w:t>心脏：心功能受损达到美国纽约心脏病学会心功能状态分级 </w:t>
            </w:r>
            <w:r>
              <w:rPr>
                <w:rFonts w:ascii="Times New Roman" w:eastAsia="Times New Roman"/>
                <w:sz w:val="21"/>
              </w:rPr>
              <w:t>IV</w:t>
            </w:r>
            <w:r>
              <w:rPr>
                <w:rFonts w:ascii="Times New Roman" w:eastAsia="Times New Roman"/>
                <w:spacing w:val="-2"/>
                <w:sz w:val="21"/>
              </w:rPr>
              <w:t> </w:t>
            </w:r>
            <w:r>
              <w:rPr>
                <w:spacing w:val="-5"/>
                <w:sz w:val="21"/>
              </w:rPr>
              <w:t>级；</w:t>
            </w:r>
          </w:p>
          <w:p>
            <w:pPr>
              <w:pStyle w:val="TableParagraph"/>
              <w:numPr>
                <w:ilvl w:val="0"/>
                <w:numId w:val="31"/>
              </w:numPr>
              <w:tabs>
                <w:tab w:pos="468" w:val="left" w:leader="none"/>
              </w:tabs>
              <w:spacing w:line="240" w:lineRule="auto" w:before="43" w:after="0"/>
              <w:ind w:left="467" w:right="0" w:hanging="361"/>
              <w:jc w:val="left"/>
              <w:rPr>
                <w:sz w:val="21"/>
              </w:rPr>
            </w:pPr>
            <w:r>
              <w:rPr>
                <w:spacing w:val="-1"/>
                <w:sz w:val="21"/>
              </w:rPr>
              <w:t>肾脏：肾脏受损导致双肾功能慢性不可逆衰竭，达到尿毒症期。</w:t>
            </w:r>
          </w:p>
        </w:tc>
      </w:tr>
    </w:tbl>
    <w:p>
      <w:pPr>
        <w:spacing w:after="0" w:line="240" w:lineRule="auto"/>
        <w:jc w:val="left"/>
        <w:rPr>
          <w:sz w:val="21"/>
        </w:rPr>
        <w:sectPr>
          <w:type w:val="continuous"/>
          <w:pgSz w:w="11910" w:h="16840"/>
          <w:pgMar w:header="0" w:footer="1168" w:top="1460" w:bottom="1360" w:left="1060" w:right="1060"/>
        </w:sectPr>
      </w:pPr>
    </w:p>
    <w:tbl>
      <w:tblPr>
        <w:tblW w:w="0" w:type="auto"/>
        <w:jc w:val="left"/>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08"/>
        <w:gridCol w:w="6810"/>
      </w:tblGrid>
      <w:tr>
        <w:trPr>
          <w:trHeight w:val="1248" w:hRule="atLeast"/>
        </w:trPr>
        <w:tc>
          <w:tcPr>
            <w:tcW w:w="1908" w:type="dxa"/>
          </w:tcPr>
          <w:p>
            <w:pPr>
              <w:pStyle w:val="TableParagraph"/>
              <w:spacing w:before="0"/>
              <w:ind w:left="0"/>
              <w:rPr>
                <w:rFonts w:ascii="Times New Roman"/>
                <w:sz w:val="20"/>
              </w:rPr>
            </w:pPr>
          </w:p>
        </w:tc>
        <w:tc>
          <w:tcPr>
            <w:tcW w:w="6810" w:type="dxa"/>
          </w:tcPr>
          <w:p>
            <w:pPr>
              <w:pStyle w:val="TableParagraph"/>
              <w:spacing w:before="21"/>
              <w:rPr>
                <w:rFonts w:ascii="黑体" w:eastAsia="黑体"/>
                <w:sz w:val="21"/>
              </w:rPr>
            </w:pPr>
            <w:r>
              <w:rPr>
                <w:rFonts w:ascii="黑体" w:eastAsia="黑体"/>
                <w:color w:val="000000"/>
                <w:spacing w:val="-1"/>
                <w:sz w:val="21"/>
                <w:shd w:fill="D9D9D9" w:color="auto" w:val="clear"/>
              </w:rPr>
              <w:t>下列疾病不在保障范围内：</w:t>
            </w:r>
          </w:p>
          <w:p>
            <w:pPr>
              <w:pStyle w:val="TableParagraph"/>
              <w:numPr>
                <w:ilvl w:val="0"/>
                <w:numId w:val="32"/>
              </w:numPr>
              <w:tabs>
                <w:tab w:pos="468" w:val="left" w:leader="none"/>
              </w:tabs>
              <w:spacing w:line="240" w:lineRule="auto" w:before="43" w:after="0"/>
              <w:ind w:left="467" w:right="0" w:hanging="361"/>
              <w:jc w:val="left"/>
              <w:rPr>
                <w:rFonts w:ascii="黑体" w:eastAsia="黑体"/>
                <w:sz w:val="21"/>
              </w:rPr>
            </w:pPr>
            <w:r>
              <w:rPr>
                <w:rFonts w:ascii="黑体" w:eastAsia="黑体"/>
                <w:color w:val="000000"/>
                <w:sz w:val="21"/>
                <w:shd w:fill="D9D9D9" w:color="auto" w:val="clear"/>
              </w:rPr>
              <w:t>局限性硬皮病（包括带状硬皮病、硬斑病</w:t>
            </w:r>
            <w:r>
              <w:rPr>
                <w:rFonts w:ascii="黑体" w:eastAsia="黑体"/>
                <w:color w:val="000000"/>
                <w:spacing w:val="-5"/>
                <w:sz w:val="21"/>
                <w:shd w:fill="D9D9D9" w:color="auto" w:val="clear"/>
              </w:rPr>
              <w:t>）；</w:t>
            </w:r>
          </w:p>
          <w:p>
            <w:pPr>
              <w:pStyle w:val="TableParagraph"/>
              <w:numPr>
                <w:ilvl w:val="0"/>
                <w:numId w:val="32"/>
              </w:numPr>
              <w:tabs>
                <w:tab w:pos="468" w:val="left" w:leader="none"/>
              </w:tabs>
              <w:spacing w:line="240" w:lineRule="auto" w:before="43" w:after="0"/>
              <w:ind w:left="467" w:right="0" w:hanging="361"/>
              <w:jc w:val="left"/>
              <w:rPr>
                <w:rFonts w:ascii="黑体" w:eastAsia="黑体"/>
                <w:sz w:val="21"/>
              </w:rPr>
            </w:pPr>
            <w:r>
              <w:rPr>
                <w:rFonts w:ascii="黑体" w:eastAsia="黑体"/>
                <w:color w:val="000000"/>
                <w:spacing w:val="-2"/>
                <w:sz w:val="21"/>
                <w:shd w:fill="D9D9D9" w:color="auto" w:val="clear"/>
              </w:rPr>
              <w:t>嗜酸细胞性筋膜炎；</w:t>
            </w:r>
          </w:p>
          <w:p>
            <w:pPr>
              <w:pStyle w:val="TableParagraph"/>
              <w:numPr>
                <w:ilvl w:val="0"/>
                <w:numId w:val="32"/>
              </w:numPr>
              <w:tabs>
                <w:tab w:pos="468" w:val="left" w:leader="none"/>
              </w:tabs>
              <w:spacing w:line="240" w:lineRule="auto" w:before="43" w:after="0"/>
              <w:ind w:left="467" w:right="0" w:hanging="361"/>
              <w:jc w:val="left"/>
              <w:rPr>
                <w:rFonts w:ascii="黑体" w:eastAsia="黑体"/>
                <w:sz w:val="21"/>
              </w:rPr>
            </w:pPr>
            <w:r>
              <w:rPr>
                <w:rFonts w:ascii="Times New Roman" w:eastAsia="Times New Roman"/>
                <w:color w:val="000000"/>
                <w:sz w:val="21"/>
                <w:shd w:fill="D9D9D9" w:color="auto" w:val="clear"/>
              </w:rPr>
              <w:t>CREST</w:t>
            </w:r>
            <w:r>
              <w:rPr>
                <w:rFonts w:ascii="Times New Roman" w:eastAsia="Times New Roman"/>
                <w:color w:val="000000"/>
                <w:spacing w:val="-1"/>
                <w:sz w:val="21"/>
                <w:shd w:fill="D9D9D9" w:color="auto" w:val="clear"/>
              </w:rPr>
              <w:t> </w:t>
            </w:r>
            <w:r>
              <w:rPr>
                <w:rFonts w:ascii="黑体" w:eastAsia="黑体"/>
                <w:color w:val="000000"/>
                <w:spacing w:val="-3"/>
                <w:sz w:val="21"/>
                <w:shd w:fill="D9D9D9" w:color="auto" w:val="clear"/>
              </w:rPr>
              <w:t>综合征。</w:t>
            </w:r>
          </w:p>
        </w:tc>
      </w:tr>
      <w:tr>
        <w:trPr>
          <w:trHeight w:val="935" w:hRule="atLeast"/>
        </w:trPr>
        <w:tc>
          <w:tcPr>
            <w:tcW w:w="1908" w:type="dxa"/>
          </w:tcPr>
          <w:p>
            <w:pPr>
              <w:pStyle w:val="TableParagraph"/>
              <w:spacing w:before="20"/>
              <w:rPr>
                <w:sz w:val="21"/>
              </w:rPr>
            </w:pPr>
            <w:r>
              <w:rPr>
                <w:spacing w:val="-2"/>
                <w:sz w:val="21"/>
              </w:rPr>
              <w:t>四十九、象皮病</w:t>
            </w:r>
          </w:p>
        </w:tc>
        <w:tc>
          <w:tcPr>
            <w:tcW w:w="6810" w:type="dxa"/>
          </w:tcPr>
          <w:p>
            <w:pPr>
              <w:pStyle w:val="TableParagraph"/>
              <w:spacing w:line="278" w:lineRule="auto" w:before="20"/>
              <w:ind w:right="180"/>
              <w:rPr>
                <w:sz w:val="21"/>
              </w:rPr>
            </w:pPr>
            <w:r>
              <w:rPr>
                <w:spacing w:val="-2"/>
                <w:sz w:val="21"/>
              </w:rPr>
              <w:t>指末期丝虫病，按国际淋巴学会分级为三度淋巴液肿，其临床表现为肢</w:t>
            </w:r>
            <w:r>
              <w:rPr>
                <w:spacing w:val="-1"/>
                <w:sz w:val="21"/>
              </w:rPr>
              <w:t>体非凹陷性水肿伴畸形增大、硬皮症和疣状增生。此病症须经专科医生</w:t>
            </w:r>
          </w:p>
          <w:p>
            <w:pPr>
              <w:pStyle w:val="TableParagraph"/>
              <w:spacing w:line="269" w:lineRule="exact" w:before="0"/>
              <w:rPr>
                <w:sz w:val="21"/>
              </w:rPr>
            </w:pPr>
            <w:r>
              <w:rPr>
                <w:spacing w:val="-1"/>
                <w:sz w:val="21"/>
              </w:rPr>
              <w:t>根据临床表现和微丝蚴的化验结果确诊。</w:t>
            </w:r>
          </w:p>
        </w:tc>
      </w:tr>
      <w:tr>
        <w:trPr>
          <w:trHeight w:val="1247" w:hRule="atLeast"/>
        </w:trPr>
        <w:tc>
          <w:tcPr>
            <w:tcW w:w="1908" w:type="dxa"/>
          </w:tcPr>
          <w:p>
            <w:pPr>
              <w:pStyle w:val="TableParagraph"/>
              <w:spacing w:before="11"/>
              <w:ind w:left="0"/>
              <w:rPr>
                <w:sz w:val="25"/>
              </w:rPr>
            </w:pPr>
          </w:p>
          <w:p>
            <w:pPr>
              <w:pStyle w:val="TableParagraph"/>
              <w:spacing w:line="278" w:lineRule="auto" w:before="1"/>
              <w:ind w:right="96"/>
              <w:rPr>
                <w:sz w:val="21"/>
              </w:rPr>
            </w:pPr>
            <w:r>
              <w:rPr>
                <w:spacing w:val="-2"/>
                <w:sz w:val="21"/>
              </w:rPr>
              <w:t>五十、肾髓质囊性</w:t>
            </w:r>
            <w:r>
              <w:rPr>
                <w:spacing w:val="-10"/>
                <w:sz w:val="21"/>
              </w:rPr>
              <w:t>病</w:t>
            </w:r>
          </w:p>
        </w:tc>
        <w:tc>
          <w:tcPr>
            <w:tcW w:w="6810" w:type="dxa"/>
          </w:tcPr>
          <w:p>
            <w:pPr>
              <w:pStyle w:val="TableParagraph"/>
              <w:spacing w:before="20"/>
              <w:rPr>
                <w:sz w:val="21"/>
              </w:rPr>
            </w:pPr>
            <w:r>
              <w:rPr>
                <w:spacing w:val="-1"/>
                <w:sz w:val="21"/>
              </w:rPr>
              <w:t>肾髓质囊性病的诊断必须同时符合下列要求：</w:t>
            </w:r>
          </w:p>
          <w:p>
            <w:pPr>
              <w:pStyle w:val="TableParagraph"/>
              <w:numPr>
                <w:ilvl w:val="0"/>
                <w:numId w:val="33"/>
              </w:numPr>
              <w:tabs>
                <w:tab w:pos="468" w:val="left" w:leader="none"/>
              </w:tabs>
              <w:spacing w:line="240" w:lineRule="auto" w:before="43" w:after="0"/>
              <w:ind w:left="467" w:right="0" w:hanging="361"/>
              <w:jc w:val="left"/>
              <w:rPr>
                <w:sz w:val="21"/>
              </w:rPr>
            </w:pPr>
            <w:r>
              <w:rPr>
                <w:spacing w:val="-1"/>
                <w:sz w:val="21"/>
              </w:rPr>
              <w:t>同时存在肾髓质囊肿、肾小管萎缩和间质纤维化的病理改变；</w:t>
            </w:r>
          </w:p>
          <w:p>
            <w:pPr>
              <w:pStyle w:val="TableParagraph"/>
              <w:numPr>
                <w:ilvl w:val="0"/>
                <w:numId w:val="33"/>
              </w:numPr>
              <w:tabs>
                <w:tab w:pos="468" w:val="left" w:leader="none"/>
              </w:tabs>
              <w:spacing w:line="240" w:lineRule="auto" w:before="43" w:after="0"/>
              <w:ind w:left="467" w:right="0" w:hanging="361"/>
              <w:jc w:val="left"/>
              <w:rPr>
                <w:sz w:val="21"/>
              </w:rPr>
            </w:pPr>
            <w:r>
              <w:rPr>
                <w:spacing w:val="-1"/>
                <w:sz w:val="21"/>
              </w:rPr>
              <w:t>贫血、多尿及肾功能衰竭等临床表现；</w:t>
            </w:r>
          </w:p>
          <w:p>
            <w:pPr>
              <w:pStyle w:val="TableParagraph"/>
              <w:numPr>
                <w:ilvl w:val="0"/>
                <w:numId w:val="33"/>
              </w:numPr>
              <w:tabs>
                <w:tab w:pos="468" w:val="left" w:leader="none"/>
              </w:tabs>
              <w:spacing w:line="240" w:lineRule="auto" w:before="43" w:after="0"/>
              <w:ind w:left="467" w:right="0" w:hanging="361"/>
              <w:jc w:val="left"/>
              <w:rPr>
                <w:sz w:val="21"/>
              </w:rPr>
            </w:pPr>
            <w:r>
              <w:rPr>
                <w:spacing w:val="-1"/>
                <w:sz w:val="21"/>
              </w:rPr>
              <w:t>诊断须由肾组织活检确定。</w:t>
            </w:r>
          </w:p>
        </w:tc>
      </w:tr>
      <w:tr>
        <w:trPr>
          <w:trHeight w:val="936" w:hRule="atLeast"/>
        </w:trPr>
        <w:tc>
          <w:tcPr>
            <w:tcW w:w="1908" w:type="dxa"/>
          </w:tcPr>
          <w:p>
            <w:pPr>
              <w:pStyle w:val="TableParagraph"/>
              <w:spacing w:line="278" w:lineRule="auto" w:before="21"/>
              <w:ind w:right="96"/>
              <w:rPr>
                <w:sz w:val="21"/>
              </w:rPr>
            </w:pPr>
            <w:r>
              <w:rPr>
                <w:spacing w:val="-2"/>
                <w:sz w:val="21"/>
              </w:rPr>
              <w:t>五十一、侵蚀性葡</w:t>
            </w:r>
            <w:r>
              <w:rPr>
                <w:sz w:val="21"/>
              </w:rPr>
              <w:t>萄胎（</w:t>
            </w:r>
            <w:r>
              <w:rPr>
                <w:spacing w:val="-2"/>
                <w:sz w:val="21"/>
              </w:rPr>
              <w:t>或称恶性葡</w:t>
            </w:r>
          </w:p>
          <w:p>
            <w:pPr>
              <w:pStyle w:val="TableParagraph"/>
              <w:spacing w:line="269" w:lineRule="exact" w:before="0"/>
              <w:rPr>
                <w:sz w:val="21"/>
              </w:rPr>
            </w:pPr>
            <w:r>
              <w:rPr>
                <w:sz w:val="21"/>
              </w:rPr>
              <w:t>萄胎</w:t>
            </w:r>
            <w:r>
              <w:rPr>
                <w:spacing w:val="-10"/>
                <w:sz w:val="21"/>
              </w:rPr>
              <w:t>）</w:t>
            </w:r>
          </w:p>
        </w:tc>
        <w:tc>
          <w:tcPr>
            <w:tcW w:w="6810" w:type="dxa"/>
          </w:tcPr>
          <w:p>
            <w:pPr>
              <w:pStyle w:val="TableParagraph"/>
              <w:spacing w:line="278" w:lineRule="auto" w:before="21"/>
              <w:ind w:right="180"/>
              <w:rPr>
                <w:sz w:val="21"/>
              </w:rPr>
            </w:pPr>
            <w:r>
              <w:rPr>
                <w:spacing w:val="-2"/>
                <w:sz w:val="21"/>
              </w:rPr>
              <w:t>指异常增生的绒毛组织浸润生长侵入子宫肌层或转移至其他器官或组织</w:t>
            </w:r>
            <w:r>
              <w:rPr>
                <w:spacing w:val="-2"/>
                <w:sz w:val="21"/>
              </w:rPr>
              <w:t>的葡萄胎</w:t>
            </w:r>
            <w:r>
              <w:rPr>
                <w:rFonts w:ascii="Times New Roman" w:eastAsia="Times New Roman"/>
                <w:spacing w:val="-2"/>
                <w:sz w:val="21"/>
              </w:rPr>
              <w:t>,</w:t>
            </w:r>
            <w:r>
              <w:rPr>
                <w:spacing w:val="-2"/>
                <w:sz w:val="21"/>
              </w:rPr>
              <w:t>并已经进行化疗或手术治疗的。</w:t>
            </w:r>
          </w:p>
        </w:tc>
      </w:tr>
      <w:tr>
        <w:trPr>
          <w:trHeight w:val="3743" w:hRule="atLeast"/>
        </w:trPr>
        <w:tc>
          <w:tcPr>
            <w:tcW w:w="1908" w:type="dxa"/>
          </w:tcPr>
          <w:p>
            <w:pPr>
              <w:pStyle w:val="TableParagraph"/>
              <w:spacing w:line="278" w:lineRule="auto" w:before="20"/>
              <w:ind w:right="96"/>
              <w:jc w:val="both"/>
              <w:rPr>
                <w:sz w:val="21"/>
              </w:rPr>
            </w:pPr>
            <w:r>
              <w:rPr>
                <w:spacing w:val="-2"/>
                <w:sz w:val="21"/>
              </w:rPr>
              <w:t>五十二、原发性慢</w:t>
            </w:r>
            <w:r>
              <w:rPr>
                <w:spacing w:val="-2"/>
                <w:sz w:val="21"/>
              </w:rPr>
              <w:t>性肾上腺皮质功能</w:t>
            </w:r>
            <w:r>
              <w:rPr>
                <w:spacing w:val="-6"/>
                <w:sz w:val="21"/>
              </w:rPr>
              <w:t>减退</w:t>
            </w:r>
          </w:p>
        </w:tc>
        <w:tc>
          <w:tcPr>
            <w:tcW w:w="6810" w:type="dxa"/>
          </w:tcPr>
          <w:p>
            <w:pPr>
              <w:pStyle w:val="TableParagraph"/>
              <w:spacing w:line="278" w:lineRule="auto" w:before="20"/>
              <w:ind w:right="180"/>
              <w:rPr>
                <w:sz w:val="21"/>
              </w:rPr>
            </w:pPr>
            <w:r>
              <w:rPr>
                <w:spacing w:val="-2"/>
                <w:sz w:val="21"/>
              </w:rPr>
              <w:t>指自身免疫性肾上腺炎导致肾上腺萎缩和慢性肾上腺皮质功能减退。须</w:t>
            </w:r>
            <w:r>
              <w:rPr>
                <w:spacing w:val="-2"/>
                <w:sz w:val="21"/>
              </w:rPr>
              <w:t>满足下列全部条件：</w:t>
            </w:r>
          </w:p>
          <w:p>
            <w:pPr>
              <w:pStyle w:val="TableParagraph"/>
              <w:numPr>
                <w:ilvl w:val="0"/>
                <w:numId w:val="34"/>
              </w:numPr>
              <w:tabs>
                <w:tab w:pos="468" w:val="left" w:leader="none"/>
              </w:tabs>
              <w:spacing w:line="269" w:lineRule="exact" w:before="0" w:after="0"/>
              <w:ind w:left="467" w:right="0" w:hanging="361"/>
              <w:jc w:val="left"/>
              <w:rPr>
                <w:sz w:val="21"/>
              </w:rPr>
            </w:pPr>
            <w:r>
              <w:rPr>
                <w:spacing w:val="-1"/>
                <w:sz w:val="21"/>
              </w:rPr>
              <w:t>明确诊断，符合全部以下诊断标准：</w:t>
            </w:r>
          </w:p>
          <w:p>
            <w:pPr>
              <w:pStyle w:val="TableParagraph"/>
              <w:tabs>
                <w:tab w:pos="887" w:val="left" w:leader="none"/>
              </w:tabs>
              <w:ind w:left="467"/>
              <w:rPr>
                <w:sz w:val="21"/>
              </w:rPr>
            </w:pPr>
            <w:r>
              <w:rPr>
                <w:spacing w:val="-10"/>
                <w:sz w:val="21"/>
              </w:rPr>
              <w:t>①</w:t>
            </w:r>
            <w:r>
              <w:rPr>
                <w:sz w:val="21"/>
              </w:rPr>
              <w:tab/>
            </w:r>
            <w:r>
              <w:rPr>
                <w:spacing w:val="-2"/>
                <w:sz w:val="21"/>
              </w:rPr>
              <w:t>血浆促肾上腺皮质激素</w:t>
            </w:r>
            <w:r>
              <w:rPr>
                <w:rFonts w:ascii="Times New Roman" w:hAnsi="Times New Roman" w:eastAsia="Times New Roman"/>
                <w:spacing w:val="-2"/>
                <w:sz w:val="21"/>
              </w:rPr>
              <w:t>(ACTH)</w:t>
            </w:r>
            <w:r>
              <w:rPr>
                <w:spacing w:val="-2"/>
                <w:sz w:val="21"/>
              </w:rPr>
              <w:t>水平测定大于</w:t>
            </w:r>
            <w:r>
              <w:rPr>
                <w:rFonts w:ascii="Times New Roman" w:hAnsi="Times New Roman" w:eastAsia="Times New Roman"/>
                <w:spacing w:val="-2"/>
                <w:sz w:val="21"/>
              </w:rPr>
              <w:t>100pg/ml</w:t>
            </w:r>
            <w:r>
              <w:rPr>
                <w:spacing w:val="-2"/>
                <w:sz w:val="21"/>
              </w:rPr>
              <w:t>；</w:t>
            </w:r>
          </w:p>
          <w:p>
            <w:pPr>
              <w:pStyle w:val="TableParagraph"/>
              <w:tabs>
                <w:tab w:pos="887" w:val="left" w:leader="none"/>
              </w:tabs>
              <w:spacing w:line="278" w:lineRule="auto"/>
              <w:ind w:left="887" w:right="99" w:hanging="420"/>
              <w:rPr>
                <w:sz w:val="21"/>
              </w:rPr>
            </w:pPr>
            <w:r>
              <w:rPr>
                <w:spacing w:val="-10"/>
                <w:sz w:val="21"/>
              </w:rPr>
              <w:t>②</w:t>
            </w:r>
            <w:r>
              <w:rPr>
                <w:sz w:val="21"/>
              </w:rPr>
              <w:tab/>
            </w:r>
            <w:r>
              <w:rPr>
                <w:spacing w:val="-2"/>
                <w:sz w:val="21"/>
              </w:rPr>
              <w:t>血浆和尿游离皮质醇及尿</w:t>
            </w:r>
            <w:r>
              <w:rPr>
                <w:rFonts w:ascii="Times New Roman" w:hAnsi="Times New Roman" w:eastAsia="Times New Roman"/>
                <w:spacing w:val="-2"/>
                <w:sz w:val="21"/>
              </w:rPr>
              <w:t>17</w:t>
            </w:r>
            <w:r>
              <w:rPr>
                <w:spacing w:val="-2"/>
                <w:sz w:val="21"/>
              </w:rPr>
              <w:t>羟皮质类固醇、</w:t>
            </w:r>
            <w:r>
              <w:rPr>
                <w:rFonts w:ascii="Times New Roman" w:hAnsi="Times New Roman" w:eastAsia="Times New Roman"/>
                <w:spacing w:val="-2"/>
                <w:sz w:val="21"/>
              </w:rPr>
              <w:t>17</w:t>
            </w:r>
            <w:r>
              <w:rPr>
                <w:spacing w:val="-2"/>
                <w:sz w:val="21"/>
              </w:rPr>
              <w:t>酮皮质类固醇测</w:t>
            </w:r>
            <w:r>
              <w:rPr>
                <w:spacing w:val="-2"/>
                <w:sz w:val="21"/>
              </w:rPr>
              <w:t>定、血浆肾素活性、血管紧张素</w:t>
            </w:r>
            <w:r>
              <w:rPr>
                <w:rFonts w:ascii="Times New Roman" w:hAnsi="Times New Roman" w:eastAsia="Times New Roman"/>
                <w:spacing w:val="-2"/>
                <w:sz w:val="21"/>
              </w:rPr>
              <w:t>II</w:t>
            </w:r>
            <w:r>
              <w:rPr>
                <w:spacing w:val="-2"/>
                <w:sz w:val="21"/>
              </w:rPr>
              <w:t>和醛固酮测定，显示为原发性</w:t>
            </w:r>
            <w:r>
              <w:rPr>
                <w:spacing w:val="-2"/>
                <w:sz w:val="21"/>
              </w:rPr>
              <w:t>肾上腺皮质功能减退症；</w:t>
            </w:r>
          </w:p>
          <w:p>
            <w:pPr>
              <w:pStyle w:val="TableParagraph"/>
              <w:tabs>
                <w:tab w:pos="887" w:val="left" w:leader="none"/>
              </w:tabs>
              <w:spacing w:line="278" w:lineRule="auto" w:before="0"/>
              <w:ind w:left="887" w:right="158" w:hanging="420"/>
              <w:rPr>
                <w:sz w:val="21"/>
              </w:rPr>
            </w:pPr>
            <w:r>
              <w:rPr>
                <w:spacing w:val="-10"/>
                <w:sz w:val="21"/>
              </w:rPr>
              <w:t>③</w:t>
            </w:r>
            <w:r>
              <w:rPr>
                <w:sz w:val="21"/>
              </w:rPr>
              <w:tab/>
            </w:r>
            <w:r>
              <w:rPr>
                <w:spacing w:val="-2"/>
                <w:sz w:val="21"/>
              </w:rPr>
              <w:t>促肾上腺皮质激素</w:t>
            </w:r>
            <w:r>
              <w:rPr>
                <w:rFonts w:ascii="Times New Roman" w:hAnsi="Times New Roman" w:eastAsia="Times New Roman"/>
                <w:spacing w:val="-2"/>
                <w:sz w:val="21"/>
              </w:rPr>
              <w:t>(ACTH)</w:t>
            </w:r>
            <w:r>
              <w:rPr>
                <w:spacing w:val="-2"/>
                <w:sz w:val="21"/>
              </w:rPr>
              <w:t>刺激试验显示为原发性肾上腺皮质功</w:t>
            </w:r>
            <w:r>
              <w:rPr>
                <w:spacing w:val="-2"/>
                <w:sz w:val="21"/>
              </w:rPr>
              <w:t>能减退症。</w:t>
            </w:r>
          </w:p>
          <w:p>
            <w:pPr>
              <w:pStyle w:val="TableParagraph"/>
              <w:numPr>
                <w:ilvl w:val="0"/>
                <w:numId w:val="34"/>
              </w:numPr>
              <w:tabs>
                <w:tab w:pos="468" w:val="left" w:leader="none"/>
              </w:tabs>
              <w:spacing w:line="269" w:lineRule="exact" w:before="0" w:after="0"/>
              <w:ind w:left="467" w:right="0" w:hanging="361"/>
              <w:jc w:val="left"/>
              <w:rPr>
                <w:sz w:val="21"/>
              </w:rPr>
            </w:pPr>
            <w:r>
              <w:rPr>
                <w:spacing w:val="-1"/>
                <w:sz w:val="21"/>
              </w:rPr>
              <w:t>已经采用皮质类固醇替代治疗一百八十天以上。</w:t>
            </w:r>
          </w:p>
          <w:p>
            <w:pPr>
              <w:pStyle w:val="TableParagraph"/>
              <w:spacing w:line="310" w:lineRule="atLeast" w:before="1"/>
              <w:ind w:right="96"/>
              <w:rPr>
                <w:rFonts w:ascii="黑体" w:eastAsia="黑体"/>
                <w:sz w:val="21"/>
              </w:rPr>
            </w:pPr>
            <w:r>
              <w:rPr>
                <w:rFonts w:ascii="黑体" w:eastAsia="黑体"/>
                <w:color w:val="000000"/>
                <w:spacing w:val="-4"/>
                <w:sz w:val="21"/>
                <w:shd w:fill="D9D9D9" w:color="auto" w:val="clear"/>
              </w:rPr>
              <w:t>肾上腺结核、</w:t>
            </w:r>
            <w:r>
              <w:rPr>
                <w:rFonts w:ascii="Times New Roman" w:eastAsia="Times New Roman"/>
                <w:color w:val="000000"/>
                <w:spacing w:val="-4"/>
                <w:sz w:val="21"/>
                <w:shd w:fill="D9D9D9" w:color="auto" w:val="clear"/>
              </w:rPr>
              <w:t>HIV</w:t>
            </w:r>
            <w:r>
              <w:rPr>
                <w:rFonts w:ascii="黑体" w:eastAsia="黑体"/>
                <w:color w:val="000000"/>
                <w:spacing w:val="-4"/>
                <w:sz w:val="21"/>
                <w:shd w:fill="D9D9D9" w:color="auto" w:val="clear"/>
              </w:rPr>
              <w:t>感染或患艾滋病、感染、肿瘤所致的肾上腺皮质功能减</w:t>
            </w:r>
            <w:r>
              <w:rPr>
                <w:rFonts w:ascii="黑体" w:eastAsia="黑体"/>
                <w:color w:val="000000"/>
                <w:spacing w:val="-2"/>
                <w:sz w:val="21"/>
                <w:shd w:fill="D9D9D9" w:color="auto" w:val="clear"/>
              </w:rPr>
              <w:t>退不在保障范围内。</w:t>
            </w:r>
          </w:p>
        </w:tc>
      </w:tr>
      <w:tr>
        <w:trPr>
          <w:trHeight w:val="1871" w:hRule="atLeast"/>
        </w:trPr>
        <w:tc>
          <w:tcPr>
            <w:tcW w:w="1908" w:type="dxa"/>
          </w:tcPr>
          <w:p>
            <w:pPr>
              <w:pStyle w:val="TableParagraph"/>
              <w:spacing w:line="278" w:lineRule="auto" w:before="20"/>
              <w:ind w:right="96"/>
              <w:rPr>
                <w:sz w:val="21"/>
              </w:rPr>
            </w:pPr>
            <w:r>
              <w:rPr>
                <w:spacing w:val="-2"/>
                <w:sz w:val="21"/>
              </w:rPr>
              <w:t>五十三、严重的胰</w:t>
            </w:r>
            <w:r>
              <w:rPr>
                <w:spacing w:val="-2"/>
                <w:sz w:val="21"/>
              </w:rPr>
              <w:t>岛素依赖型糖尿病</w:t>
            </w:r>
          </w:p>
          <w:p>
            <w:pPr>
              <w:pStyle w:val="TableParagraph"/>
              <w:spacing w:line="269" w:lineRule="exact" w:before="0"/>
              <w:rPr>
                <w:sz w:val="21"/>
              </w:rPr>
            </w:pPr>
            <w:r>
              <w:rPr>
                <w:spacing w:val="-2"/>
                <w:sz w:val="21"/>
              </w:rPr>
              <w:t>（</w:t>
            </w:r>
            <w:r>
              <w:rPr>
                <w:rFonts w:ascii="Times New Roman" w:eastAsia="Times New Roman"/>
                <w:spacing w:val="-2"/>
                <w:sz w:val="21"/>
              </w:rPr>
              <w:t>I</w:t>
            </w:r>
            <w:r>
              <w:rPr>
                <w:spacing w:val="-2"/>
                <w:sz w:val="21"/>
              </w:rPr>
              <w:t>型糖尿病</w:t>
            </w:r>
            <w:r>
              <w:rPr>
                <w:spacing w:val="-12"/>
                <w:sz w:val="21"/>
              </w:rPr>
              <w:t>）</w:t>
            </w:r>
          </w:p>
        </w:tc>
        <w:tc>
          <w:tcPr>
            <w:tcW w:w="6810" w:type="dxa"/>
          </w:tcPr>
          <w:p>
            <w:pPr>
              <w:pStyle w:val="TableParagraph"/>
              <w:spacing w:line="278" w:lineRule="auto" w:before="20"/>
              <w:ind w:right="-15"/>
              <w:rPr>
                <w:sz w:val="21"/>
              </w:rPr>
            </w:pPr>
            <w:r>
              <w:rPr>
                <w:sz w:val="21"/>
              </w:rPr>
              <w:t>胰岛素依赖型糖尿病是由于胰岛素分泌绝对不足而引起以血浆葡萄糖水平增高为特征的代谢内分泌疾病，需持续利用外源性胰岛素治疗。必须</w:t>
            </w:r>
            <w:r>
              <w:rPr>
                <w:spacing w:val="-5"/>
                <w:sz w:val="21"/>
              </w:rPr>
              <w:t>明确诊断为胰岛素依赖型糖尿病</w:t>
            </w:r>
            <w:r>
              <w:rPr>
                <w:sz w:val="21"/>
              </w:rPr>
              <w:t>（</w:t>
            </w:r>
            <w:r>
              <w:rPr>
                <w:rFonts w:ascii="Times New Roman" w:eastAsia="Times New Roman"/>
                <w:sz w:val="21"/>
              </w:rPr>
              <w:t>1</w:t>
            </w:r>
            <w:r>
              <w:rPr>
                <w:sz w:val="21"/>
              </w:rPr>
              <w:t>型糖尿病</w:t>
            </w:r>
            <w:r>
              <w:rPr>
                <w:spacing w:val="-63"/>
                <w:sz w:val="21"/>
              </w:rPr>
              <w:t>）</w:t>
            </w:r>
            <w:r>
              <w:rPr>
                <w:spacing w:val="-1"/>
                <w:sz w:val="21"/>
              </w:rPr>
              <w:t>并满足下列至少一个条件：</w:t>
            </w:r>
          </w:p>
          <w:p>
            <w:pPr>
              <w:pStyle w:val="TableParagraph"/>
              <w:numPr>
                <w:ilvl w:val="0"/>
                <w:numId w:val="35"/>
              </w:numPr>
              <w:tabs>
                <w:tab w:pos="468" w:val="left" w:leader="none"/>
              </w:tabs>
              <w:spacing w:line="269" w:lineRule="exact" w:before="0" w:after="0"/>
              <w:ind w:left="467" w:right="0" w:hanging="361"/>
              <w:jc w:val="left"/>
              <w:rPr>
                <w:sz w:val="21"/>
              </w:rPr>
            </w:pPr>
            <w:r>
              <w:rPr>
                <w:spacing w:val="-1"/>
                <w:sz w:val="21"/>
              </w:rPr>
              <w:t>出现增殖性糖尿病视网膜病变；</w:t>
            </w:r>
          </w:p>
          <w:p>
            <w:pPr>
              <w:pStyle w:val="TableParagraph"/>
              <w:numPr>
                <w:ilvl w:val="0"/>
                <w:numId w:val="35"/>
              </w:numPr>
              <w:tabs>
                <w:tab w:pos="468" w:val="left" w:leader="none"/>
              </w:tabs>
              <w:spacing w:line="240" w:lineRule="auto" w:before="43" w:after="0"/>
              <w:ind w:left="467" w:right="0" w:hanging="361"/>
              <w:jc w:val="left"/>
              <w:rPr>
                <w:sz w:val="21"/>
              </w:rPr>
            </w:pPr>
            <w:r>
              <w:rPr>
                <w:sz w:val="21"/>
              </w:rPr>
              <w:t>糖尿病肾病，且尿蛋白</w:t>
            </w:r>
            <w:r>
              <w:rPr>
                <w:rFonts w:ascii="Times New Roman" w:eastAsia="Times New Roman"/>
                <w:spacing w:val="-2"/>
                <w:sz w:val="21"/>
              </w:rPr>
              <w:t>&gt;0.5g/24h</w:t>
            </w:r>
            <w:r>
              <w:rPr>
                <w:spacing w:val="-2"/>
                <w:sz w:val="21"/>
              </w:rPr>
              <w:t>；</w:t>
            </w:r>
          </w:p>
          <w:p>
            <w:pPr>
              <w:pStyle w:val="TableParagraph"/>
              <w:numPr>
                <w:ilvl w:val="0"/>
                <w:numId w:val="35"/>
              </w:numPr>
              <w:tabs>
                <w:tab w:pos="468" w:val="left" w:leader="none"/>
              </w:tabs>
              <w:spacing w:line="240" w:lineRule="auto" w:before="43" w:after="0"/>
              <w:ind w:left="467" w:right="0" w:hanging="361"/>
              <w:jc w:val="left"/>
              <w:rPr>
                <w:sz w:val="21"/>
              </w:rPr>
            </w:pPr>
            <w:r>
              <w:rPr>
                <w:spacing w:val="-1"/>
                <w:sz w:val="21"/>
              </w:rPr>
              <w:t>因糖尿病足趾坏疽进行足趾或下肢截断术。</w:t>
            </w:r>
          </w:p>
        </w:tc>
      </w:tr>
      <w:tr>
        <w:trPr>
          <w:trHeight w:val="3120" w:hRule="atLeast"/>
        </w:trPr>
        <w:tc>
          <w:tcPr>
            <w:tcW w:w="1908" w:type="dxa"/>
          </w:tcPr>
          <w:p>
            <w:pPr>
              <w:pStyle w:val="TableParagraph"/>
              <w:spacing w:line="278" w:lineRule="auto" w:before="21"/>
              <w:ind w:right="96"/>
              <w:rPr>
                <w:sz w:val="21"/>
              </w:rPr>
            </w:pPr>
            <w:r>
              <w:rPr>
                <w:spacing w:val="-2"/>
                <w:sz w:val="21"/>
              </w:rPr>
              <w:t>五十四、原发性骨</w:t>
            </w:r>
            <w:r>
              <w:rPr>
                <w:spacing w:val="-4"/>
                <w:sz w:val="21"/>
              </w:rPr>
              <w:t>髓纤维化</w:t>
            </w:r>
          </w:p>
        </w:tc>
        <w:tc>
          <w:tcPr>
            <w:tcW w:w="6810" w:type="dxa"/>
          </w:tcPr>
          <w:p>
            <w:pPr>
              <w:pStyle w:val="TableParagraph"/>
              <w:spacing w:line="278" w:lineRule="auto" w:before="21"/>
              <w:ind w:right="-15"/>
              <w:rPr>
                <w:sz w:val="21"/>
              </w:rPr>
            </w:pPr>
            <w:r>
              <w:rPr>
                <w:spacing w:val="-1"/>
                <w:sz w:val="21"/>
              </w:rPr>
              <w:t>原发性骨髓纤维化为原因不明的骨髓中成纤维细胞增殖，伴有髓外造血，表现为进行性贫血、脾肿大等症状。</w:t>
            </w:r>
            <w:r>
              <w:rPr>
                <w:rFonts w:ascii="黑体" w:eastAsia="黑体"/>
                <w:spacing w:val="-1"/>
                <w:sz w:val="21"/>
              </w:rPr>
              <w:t>本病必须根据骨髓的活组织检查和周围血象检查由血液科专科医生明确诊断，</w:t>
            </w:r>
            <w:r>
              <w:rPr>
                <w:spacing w:val="-1"/>
                <w:sz w:val="21"/>
              </w:rPr>
              <w:t>并至少符合下列条件中的三项，且符合条件的状态持续一百八十天及以上，并已经实际接受了针对此症的治疗：</w:t>
            </w:r>
          </w:p>
          <w:p>
            <w:pPr>
              <w:pStyle w:val="TableParagraph"/>
              <w:spacing w:line="268" w:lineRule="exact" w:before="0"/>
              <w:rPr>
                <w:sz w:val="21"/>
              </w:rPr>
            </w:pPr>
            <w:r>
              <w:rPr>
                <w:spacing w:val="-2"/>
                <w:sz w:val="21"/>
              </w:rPr>
              <w:t>(1</w:t>
            </w:r>
            <w:r>
              <w:rPr>
                <w:spacing w:val="-11"/>
                <w:sz w:val="21"/>
              </w:rPr>
              <w:t>) 血红蛋白</w:t>
            </w:r>
            <w:r>
              <w:rPr>
                <w:rFonts w:ascii="Times New Roman" w:eastAsia="Times New Roman"/>
                <w:spacing w:val="-2"/>
                <w:sz w:val="21"/>
              </w:rPr>
              <w:t>&lt;100g/L</w:t>
            </w:r>
            <w:r>
              <w:rPr>
                <w:spacing w:val="-2"/>
                <w:sz w:val="21"/>
              </w:rPr>
              <w:t>；</w:t>
            </w:r>
          </w:p>
          <w:p>
            <w:pPr>
              <w:pStyle w:val="TableParagraph"/>
              <w:rPr>
                <w:sz w:val="21"/>
              </w:rPr>
            </w:pPr>
            <w:r>
              <w:rPr>
                <w:spacing w:val="-2"/>
                <w:sz w:val="21"/>
              </w:rPr>
              <w:t>(2</w:t>
            </w:r>
            <w:r>
              <w:rPr>
                <w:spacing w:val="-10"/>
                <w:sz w:val="21"/>
              </w:rPr>
              <w:t>) 白细胞计数</w:t>
            </w:r>
            <w:r>
              <w:rPr>
                <w:rFonts w:ascii="Times New Roman" w:hAnsi="Times New Roman" w:eastAsia="Times New Roman"/>
                <w:spacing w:val="-2"/>
                <w:sz w:val="21"/>
              </w:rPr>
              <w:t>&gt;25</w:t>
            </w:r>
            <w:r>
              <w:rPr>
                <w:spacing w:val="-2"/>
                <w:sz w:val="21"/>
              </w:rPr>
              <w:t>×</w:t>
            </w:r>
            <w:r>
              <w:rPr>
                <w:rFonts w:ascii="Times New Roman" w:hAnsi="Times New Roman" w:eastAsia="Times New Roman"/>
                <w:spacing w:val="-2"/>
                <w:sz w:val="21"/>
              </w:rPr>
              <w:t>10</w:t>
            </w:r>
            <w:r>
              <w:rPr>
                <w:rFonts w:ascii="Times New Roman" w:hAnsi="Times New Roman" w:eastAsia="Times New Roman"/>
                <w:spacing w:val="-2"/>
                <w:sz w:val="21"/>
                <w:vertAlign w:val="superscript"/>
              </w:rPr>
              <w:t>9</w:t>
            </w:r>
            <w:r>
              <w:rPr>
                <w:rFonts w:ascii="Times New Roman" w:hAnsi="Times New Roman" w:eastAsia="Times New Roman"/>
                <w:spacing w:val="-2"/>
                <w:sz w:val="21"/>
                <w:vertAlign w:val="baseline"/>
              </w:rPr>
              <w:t>/L</w:t>
            </w:r>
            <w:r>
              <w:rPr>
                <w:spacing w:val="-2"/>
                <w:sz w:val="21"/>
                <w:vertAlign w:val="baseline"/>
              </w:rPr>
              <w:t>；</w:t>
            </w:r>
          </w:p>
          <w:p>
            <w:pPr>
              <w:pStyle w:val="TableParagraph"/>
              <w:spacing w:line="278" w:lineRule="auto"/>
              <w:ind w:right="3959" w:hanging="1"/>
              <w:rPr>
                <w:sz w:val="21"/>
              </w:rPr>
            </w:pPr>
            <w:r>
              <w:rPr>
                <w:sz w:val="21"/>
              </w:rPr>
              <w:t>(3</w:t>
            </w:r>
            <w:r>
              <w:rPr>
                <w:spacing w:val="-8"/>
                <w:sz w:val="21"/>
              </w:rPr>
              <w:t>) 外周血原始细胞</w:t>
            </w:r>
            <w:r>
              <w:rPr>
                <w:rFonts w:ascii="Times New Roman" w:hAnsi="Times New Roman" w:eastAsia="Times New Roman"/>
                <w:sz w:val="21"/>
              </w:rPr>
              <w:t>&gt;1%</w:t>
            </w:r>
            <w:r>
              <w:rPr>
                <w:sz w:val="21"/>
              </w:rPr>
              <w:t>； </w:t>
            </w:r>
            <w:r>
              <w:rPr>
                <w:spacing w:val="-2"/>
                <w:sz w:val="21"/>
              </w:rPr>
              <w:t>(4</w:t>
            </w:r>
            <w:r>
              <w:rPr>
                <w:spacing w:val="-11"/>
                <w:sz w:val="21"/>
              </w:rPr>
              <w:t>) 血小板计数</w:t>
            </w:r>
            <w:r>
              <w:rPr>
                <w:rFonts w:ascii="Times New Roman" w:hAnsi="Times New Roman" w:eastAsia="Times New Roman"/>
                <w:spacing w:val="-2"/>
                <w:sz w:val="21"/>
              </w:rPr>
              <w:t>&lt;100</w:t>
            </w:r>
            <w:r>
              <w:rPr>
                <w:spacing w:val="-2"/>
                <w:sz w:val="21"/>
              </w:rPr>
              <w:t>×</w:t>
            </w:r>
            <w:r>
              <w:rPr>
                <w:rFonts w:ascii="Times New Roman" w:hAnsi="Times New Roman" w:eastAsia="Times New Roman"/>
                <w:spacing w:val="-2"/>
                <w:sz w:val="21"/>
              </w:rPr>
              <w:t>10</w:t>
            </w:r>
            <w:r>
              <w:rPr>
                <w:rFonts w:ascii="Times New Roman" w:hAnsi="Times New Roman" w:eastAsia="Times New Roman"/>
                <w:spacing w:val="-2"/>
                <w:sz w:val="21"/>
                <w:vertAlign w:val="superscript"/>
              </w:rPr>
              <w:t>9</w:t>
            </w:r>
            <w:r>
              <w:rPr>
                <w:rFonts w:ascii="Times New Roman" w:hAnsi="Times New Roman" w:eastAsia="Times New Roman"/>
                <w:spacing w:val="-2"/>
                <w:sz w:val="21"/>
                <w:vertAlign w:val="baseline"/>
              </w:rPr>
              <w:t>/L</w:t>
            </w:r>
            <w:r>
              <w:rPr>
                <w:spacing w:val="-2"/>
                <w:sz w:val="21"/>
                <w:vertAlign w:val="baseline"/>
              </w:rPr>
              <w:t>。</w:t>
            </w:r>
          </w:p>
          <w:p>
            <w:pPr>
              <w:pStyle w:val="TableParagraph"/>
              <w:spacing w:line="269" w:lineRule="exact" w:before="0"/>
              <w:rPr>
                <w:rFonts w:ascii="黑体" w:eastAsia="黑体"/>
                <w:sz w:val="21"/>
              </w:rPr>
            </w:pPr>
            <w:r>
              <w:rPr>
                <w:rFonts w:ascii="黑体" w:eastAsia="黑体"/>
                <w:color w:val="000000"/>
                <w:spacing w:val="-1"/>
                <w:sz w:val="21"/>
                <w:shd w:fill="D9D9D9" w:color="auto" w:val="clear"/>
              </w:rPr>
              <w:t>任何其它病因导致的继发性骨髓纤维化不在保障范围内。</w:t>
            </w:r>
          </w:p>
        </w:tc>
      </w:tr>
      <w:tr>
        <w:trPr>
          <w:trHeight w:val="311" w:hRule="atLeast"/>
        </w:trPr>
        <w:tc>
          <w:tcPr>
            <w:tcW w:w="1908" w:type="dxa"/>
          </w:tcPr>
          <w:p>
            <w:pPr>
              <w:pStyle w:val="TableParagraph"/>
              <w:spacing w:before="20"/>
              <w:rPr>
                <w:sz w:val="21"/>
              </w:rPr>
            </w:pPr>
            <w:r>
              <w:rPr>
                <w:spacing w:val="-2"/>
                <w:sz w:val="21"/>
              </w:rPr>
              <w:t>五十五、严重骨髓</w:t>
            </w:r>
          </w:p>
        </w:tc>
        <w:tc>
          <w:tcPr>
            <w:tcW w:w="6810" w:type="dxa"/>
          </w:tcPr>
          <w:p>
            <w:pPr>
              <w:pStyle w:val="TableParagraph"/>
              <w:spacing w:before="20"/>
              <w:rPr>
                <w:sz w:val="21"/>
              </w:rPr>
            </w:pPr>
            <w:r>
              <w:rPr>
                <w:spacing w:val="-1"/>
                <w:sz w:val="21"/>
              </w:rPr>
              <w:t>是起源于造血干细胞的一组异质性髓系克隆性疾病，特点是髓系细胞发</w:t>
            </w:r>
          </w:p>
        </w:tc>
      </w:tr>
    </w:tbl>
    <w:p>
      <w:pPr>
        <w:spacing w:after="0"/>
        <w:rPr>
          <w:sz w:val="21"/>
        </w:rPr>
        <w:sectPr>
          <w:type w:val="continuous"/>
          <w:pgSz w:w="11910" w:h="16840"/>
          <w:pgMar w:header="0" w:footer="1168" w:top="1460" w:bottom="1360" w:left="1060" w:right="1060"/>
        </w:sectPr>
      </w:pPr>
    </w:p>
    <w:tbl>
      <w:tblPr>
        <w:tblW w:w="0" w:type="auto"/>
        <w:jc w:val="left"/>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08"/>
        <w:gridCol w:w="6810"/>
      </w:tblGrid>
      <w:tr>
        <w:trPr>
          <w:trHeight w:val="2808" w:hRule="atLeast"/>
        </w:trPr>
        <w:tc>
          <w:tcPr>
            <w:tcW w:w="1908" w:type="dxa"/>
          </w:tcPr>
          <w:p>
            <w:pPr>
              <w:pStyle w:val="TableParagraph"/>
              <w:spacing w:before="21"/>
              <w:rPr>
                <w:sz w:val="21"/>
              </w:rPr>
            </w:pPr>
            <w:r>
              <w:rPr>
                <w:spacing w:val="-2"/>
                <w:sz w:val="21"/>
              </w:rPr>
              <w:t>增生异常综合征</w:t>
            </w:r>
          </w:p>
        </w:tc>
        <w:tc>
          <w:tcPr>
            <w:tcW w:w="6810" w:type="dxa"/>
          </w:tcPr>
          <w:p>
            <w:pPr>
              <w:pStyle w:val="TableParagraph"/>
              <w:spacing w:line="278" w:lineRule="auto" w:before="21"/>
              <w:ind w:right="180"/>
              <w:rPr>
                <w:sz w:val="21"/>
              </w:rPr>
            </w:pPr>
            <w:r>
              <w:rPr>
                <w:spacing w:val="-2"/>
                <w:sz w:val="21"/>
              </w:rPr>
              <w:t>育异常，表现为无效造血、难治性血细胞减少，本合同所指的严重的骨</w:t>
            </w:r>
            <w:r>
              <w:rPr>
                <w:spacing w:val="-2"/>
                <w:sz w:val="21"/>
              </w:rPr>
              <w:t>髓增生异常综合征需满足下列全部条件：</w:t>
            </w:r>
          </w:p>
          <w:p>
            <w:pPr>
              <w:pStyle w:val="TableParagraph"/>
              <w:numPr>
                <w:ilvl w:val="0"/>
                <w:numId w:val="36"/>
              </w:numPr>
              <w:tabs>
                <w:tab w:pos="468" w:val="left" w:leader="none"/>
              </w:tabs>
              <w:spacing w:line="278" w:lineRule="auto" w:before="0" w:after="0"/>
              <w:ind w:left="467" w:right="97" w:hanging="360"/>
              <w:jc w:val="left"/>
              <w:rPr>
                <w:rFonts w:ascii="黑体" w:eastAsia="黑体"/>
                <w:sz w:val="21"/>
              </w:rPr>
            </w:pPr>
            <w:r>
              <w:rPr>
                <w:rFonts w:ascii="黑体" w:eastAsia="黑体"/>
                <w:spacing w:val="-2"/>
                <w:sz w:val="21"/>
              </w:rPr>
              <w:t>由设有专门血液病专科的公立三级甲等医院血液病专科的主治级别</w:t>
            </w:r>
            <w:r>
              <w:rPr>
                <w:rFonts w:ascii="黑体" w:eastAsia="黑体"/>
                <w:spacing w:val="-2"/>
                <w:sz w:val="21"/>
              </w:rPr>
              <w:t>以上的医师确诊；</w:t>
            </w:r>
          </w:p>
          <w:p>
            <w:pPr>
              <w:pStyle w:val="TableParagraph"/>
              <w:numPr>
                <w:ilvl w:val="0"/>
                <w:numId w:val="36"/>
              </w:numPr>
              <w:tabs>
                <w:tab w:pos="468" w:val="left" w:leader="none"/>
              </w:tabs>
              <w:spacing w:line="278" w:lineRule="auto" w:before="0" w:after="0"/>
              <w:ind w:left="467" w:right="66" w:hanging="360"/>
              <w:jc w:val="left"/>
              <w:rPr>
                <w:sz w:val="21"/>
              </w:rPr>
            </w:pPr>
            <w:r>
              <w:rPr>
                <w:spacing w:val="28"/>
                <w:sz w:val="21"/>
              </w:rPr>
              <w:t>骨髓涂片检查同时符合发育异常细胞比例</w:t>
            </w:r>
            <w:r>
              <w:rPr>
                <w:rFonts w:ascii="Times New Roman" w:eastAsia="Times New Roman"/>
                <w:sz w:val="21"/>
              </w:rPr>
              <w:t>&gt;10</w:t>
            </w:r>
            <w:r>
              <w:rPr>
                <w:rFonts w:ascii="Times New Roman" w:eastAsia="Times New Roman"/>
                <w:spacing w:val="-12"/>
                <w:sz w:val="21"/>
              </w:rPr>
              <w:t>% </w:t>
            </w:r>
            <w:r>
              <w:rPr>
                <w:spacing w:val="28"/>
                <w:sz w:val="21"/>
              </w:rPr>
              <w:t>、原始细胞比</w:t>
            </w:r>
            <w:r>
              <w:rPr>
                <w:spacing w:val="-2"/>
                <w:sz w:val="21"/>
              </w:rPr>
              <w:t>例</w:t>
            </w:r>
            <w:r>
              <w:rPr>
                <w:rFonts w:ascii="Times New Roman" w:eastAsia="Times New Roman"/>
                <w:spacing w:val="-2"/>
                <w:sz w:val="21"/>
              </w:rPr>
              <w:t>&gt;15%</w:t>
            </w:r>
            <w:r>
              <w:rPr>
                <w:spacing w:val="-2"/>
                <w:sz w:val="21"/>
              </w:rPr>
              <w:t>；</w:t>
            </w:r>
          </w:p>
          <w:p>
            <w:pPr>
              <w:pStyle w:val="TableParagraph"/>
              <w:numPr>
                <w:ilvl w:val="0"/>
                <w:numId w:val="36"/>
              </w:numPr>
              <w:tabs>
                <w:tab w:pos="468" w:val="left" w:leader="none"/>
              </w:tabs>
              <w:spacing w:line="269" w:lineRule="exact" w:before="0" w:after="0"/>
              <w:ind w:left="467" w:right="0" w:hanging="361"/>
              <w:jc w:val="left"/>
              <w:rPr>
                <w:sz w:val="21"/>
              </w:rPr>
            </w:pPr>
            <w:r>
              <w:rPr>
                <w:spacing w:val="-1"/>
                <w:sz w:val="21"/>
              </w:rPr>
              <w:t>已接受至少累计三十日的化疗或已接受骨髓移植治疗。</w:t>
            </w:r>
          </w:p>
          <w:p>
            <w:pPr>
              <w:pStyle w:val="TableParagraph"/>
              <w:rPr>
                <w:sz w:val="21"/>
              </w:rPr>
            </w:pPr>
            <w:r>
              <w:rPr>
                <w:spacing w:val="-1"/>
                <w:sz w:val="21"/>
              </w:rPr>
              <w:t>化疗日数的计算以被保险人实际服用、注射化疗药物的天数为准。</w:t>
            </w:r>
          </w:p>
          <w:p>
            <w:pPr>
              <w:pStyle w:val="TableParagraph"/>
              <w:rPr>
                <w:rFonts w:ascii="黑体" w:eastAsia="黑体"/>
                <w:sz w:val="21"/>
              </w:rPr>
            </w:pPr>
            <w:r>
              <w:rPr>
                <w:rFonts w:ascii="黑体" w:eastAsia="黑体"/>
                <w:color w:val="000000"/>
                <w:spacing w:val="-1"/>
                <w:sz w:val="21"/>
                <w:shd w:fill="D9D9D9" w:color="auto" w:val="clear"/>
              </w:rPr>
              <w:t>疑似病例不在保障范围内。</w:t>
            </w:r>
          </w:p>
        </w:tc>
      </w:tr>
      <w:tr>
        <w:trPr>
          <w:trHeight w:val="1247" w:hRule="atLeast"/>
        </w:trPr>
        <w:tc>
          <w:tcPr>
            <w:tcW w:w="1908" w:type="dxa"/>
          </w:tcPr>
          <w:p>
            <w:pPr>
              <w:pStyle w:val="TableParagraph"/>
              <w:spacing w:line="278" w:lineRule="auto" w:before="20"/>
              <w:ind w:right="96"/>
              <w:rPr>
                <w:sz w:val="21"/>
              </w:rPr>
            </w:pPr>
            <w:r>
              <w:rPr>
                <w:spacing w:val="-2"/>
                <w:sz w:val="21"/>
              </w:rPr>
              <w:t>五十六、弥漫性血</w:t>
            </w:r>
            <w:r>
              <w:rPr>
                <w:spacing w:val="-4"/>
                <w:sz w:val="21"/>
              </w:rPr>
              <w:t>管内凝血</w:t>
            </w:r>
          </w:p>
        </w:tc>
        <w:tc>
          <w:tcPr>
            <w:tcW w:w="6810" w:type="dxa"/>
          </w:tcPr>
          <w:p>
            <w:pPr>
              <w:pStyle w:val="TableParagraph"/>
              <w:spacing w:line="278" w:lineRule="auto" w:before="20"/>
              <w:ind w:right="-15"/>
              <w:rPr>
                <w:sz w:val="21"/>
              </w:rPr>
            </w:pPr>
            <w:r>
              <w:rPr>
                <w:sz w:val="21"/>
              </w:rPr>
              <w:t>指血液凝固系统和纤溶系统的过度活动导致微血管血栓形成、血小板及凝血因子耗竭和严重出血，此症必须由我们认可的专科医生确诊，并且</w:t>
            </w:r>
            <w:r>
              <w:rPr>
                <w:spacing w:val="-4"/>
                <w:sz w:val="21"/>
              </w:rPr>
              <w:t>已经达到临床分期的中期</w:t>
            </w:r>
            <w:r>
              <w:rPr>
                <w:sz w:val="21"/>
              </w:rPr>
              <w:t>（消耗性低凝期</w:t>
            </w:r>
            <w:r>
              <w:rPr>
                <w:spacing w:val="-42"/>
                <w:sz w:val="21"/>
              </w:rPr>
              <w:t>）</w:t>
            </w:r>
            <w:r>
              <w:rPr>
                <w:spacing w:val="-14"/>
                <w:sz w:val="21"/>
              </w:rPr>
              <w:t>或后期</w:t>
            </w:r>
            <w:r>
              <w:rPr>
                <w:sz w:val="21"/>
              </w:rPr>
              <w:t>（继发性纤溶亢进期</w:t>
            </w:r>
            <w:r>
              <w:rPr>
                <w:spacing w:val="-111"/>
                <w:sz w:val="21"/>
              </w:rPr>
              <w:t>）</w:t>
            </w:r>
            <w:r>
              <w:rPr>
                <w:spacing w:val="-6"/>
                <w:sz w:val="21"/>
              </w:rPr>
              <w:t>，</w:t>
            </w:r>
          </w:p>
          <w:p>
            <w:pPr>
              <w:pStyle w:val="TableParagraph"/>
              <w:spacing w:line="269" w:lineRule="exact" w:before="0"/>
              <w:rPr>
                <w:sz w:val="21"/>
              </w:rPr>
            </w:pPr>
            <w:r>
              <w:rPr>
                <w:spacing w:val="-1"/>
                <w:sz w:val="21"/>
              </w:rPr>
              <w:t>需要输注血浆和浓缩血小板进行治疗。</w:t>
            </w:r>
          </w:p>
        </w:tc>
      </w:tr>
      <w:tr>
        <w:trPr>
          <w:trHeight w:val="6551" w:hRule="atLeast"/>
        </w:trPr>
        <w:tc>
          <w:tcPr>
            <w:tcW w:w="1908" w:type="dxa"/>
          </w:tcPr>
          <w:p>
            <w:pPr>
              <w:pStyle w:val="TableParagraph"/>
              <w:spacing w:line="278" w:lineRule="auto" w:before="20"/>
              <w:ind w:right="96"/>
              <w:jc w:val="both"/>
              <w:rPr>
                <w:sz w:val="21"/>
              </w:rPr>
            </w:pPr>
            <w:r>
              <w:rPr>
                <w:spacing w:val="-2"/>
                <w:sz w:val="21"/>
              </w:rPr>
              <w:t>五十七、因职业关</w:t>
            </w:r>
            <w:r>
              <w:rPr>
                <w:spacing w:val="-2"/>
                <w:sz w:val="21"/>
              </w:rPr>
              <w:t>系导致的人类免疫</w:t>
            </w:r>
            <w:r>
              <w:rPr>
                <w:spacing w:val="-2"/>
                <w:sz w:val="21"/>
              </w:rPr>
              <w:t>缺陷病毒（</w:t>
            </w:r>
            <w:r>
              <w:rPr>
                <w:rFonts w:ascii="Times New Roman" w:eastAsia="Times New Roman"/>
                <w:spacing w:val="-2"/>
                <w:sz w:val="21"/>
              </w:rPr>
              <w:t>HIV</w:t>
            </w:r>
            <w:r>
              <w:rPr>
                <w:spacing w:val="-2"/>
                <w:sz w:val="21"/>
              </w:rPr>
              <w:t>）</w:t>
            </w:r>
            <w:r>
              <w:rPr>
                <w:spacing w:val="-6"/>
                <w:sz w:val="21"/>
              </w:rPr>
              <w:t>感染</w:t>
            </w:r>
          </w:p>
        </w:tc>
        <w:tc>
          <w:tcPr>
            <w:tcW w:w="6810" w:type="dxa"/>
          </w:tcPr>
          <w:p>
            <w:pPr>
              <w:pStyle w:val="TableParagraph"/>
              <w:spacing w:line="278" w:lineRule="auto" w:before="20"/>
              <w:ind w:right="180"/>
              <w:rPr>
                <w:sz w:val="21"/>
              </w:rPr>
            </w:pPr>
            <w:r>
              <w:rPr>
                <w:spacing w:val="-2"/>
                <w:sz w:val="21"/>
              </w:rPr>
              <w:t>在本合同生效日或复效日（以较迟者为准）之后，感染艾滋病病毒必须</w:t>
            </w:r>
            <w:r>
              <w:rPr>
                <w:spacing w:val="-2"/>
                <w:sz w:val="21"/>
              </w:rPr>
              <w:t>是在被保险人正在从事其职业工作中发生。</w:t>
            </w:r>
          </w:p>
          <w:p>
            <w:pPr>
              <w:pStyle w:val="TableParagraph"/>
              <w:spacing w:line="269" w:lineRule="exact" w:before="0"/>
              <w:rPr>
                <w:sz w:val="21"/>
              </w:rPr>
            </w:pPr>
            <w:r>
              <w:rPr>
                <w:spacing w:val="-1"/>
                <w:sz w:val="21"/>
              </w:rPr>
              <w:t>并且证实满足以下全部条件者：</w:t>
            </w:r>
          </w:p>
          <w:p>
            <w:pPr>
              <w:pStyle w:val="TableParagraph"/>
              <w:numPr>
                <w:ilvl w:val="0"/>
                <w:numId w:val="37"/>
              </w:numPr>
              <w:tabs>
                <w:tab w:pos="528" w:val="left" w:leader="none"/>
              </w:tabs>
              <w:spacing w:line="278" w:lineRule="auto" w:before="43" w:after="0"/>
              <w:ind w:left="527" w:right="180" w:hanging="420"/>
              <w:jc w:val="left"/>
              <w:rPr>
                <w:sz w:val="21"/>
              </w:rPr>
            </w:pPr>
            <w:r>
              <w:rPr>
                <w:spacing w:val="-2"/>
                <w:sz w:val="21"/>
              </w:rPr>
              <w:t>导致感染艾滋病病毒的意外事故必须在意外发生后三十天内（含第</w:t>
            </w:r>
            <w:r>
              <w:rPr>
                <w:spacing w:val="-2"/>
                <w:sz w:val="21"/>
              </w:rPr>
              <w:t>三十天）向我们报告；</w:t>
            </w:r>
          </w:p>
          <w:p>
            <w:pPr>
              <w:pStyle w:val="TableParagraph"/>
              <w:numPr>
                <w:ilvl w:val="0"/>
                <w:numId w:val="37"/>
              </w:numPr>
              <w:tabs>
                <w:tab w:pos="528" w:val="left" w:leader="none"/>
              </w:tabs>
              <w:spacing w:line="269" w:lineRule="exact" w:before="0" w:after="0"/>
              <w:ind w:left="527" w:right="0" w:hanging="421"/>
              <w:jc w:val="left"/>
              <w:rPr>
                <w:sz w:val="21"/>
              </w:rPr>
            </w:pPr>
            <w:r>
              <w:rPr>
                <w:spacing w:val="-1"/>
                <w:sz w:val="21"/>
              </w:rPr>
              <w:t>导致意外事故的明确的艾滋病病毒感染的液体的证据；</w:t>
            </w:r>
          </w:p>
          <w:p>
            <w:pPr>
              <w:pStyle w:val="TableParagraph"/>
              <w:numPr>
                <w:ilvl w:val="0"/>
                <w:numId w:val="37"/>
              </w:numPr>
              <w:tabs>
                <w:tab w:pos="528" w:val="left" w:leader="none"/>
              </w:tabs>
              <w:spacing w:line="278" w:lineRule="auto" w:before="43" w:after="0"/>
              <w:ind w:left="527" w:right="97" w:hanging="420"/>
              <w:jc w:val="both"/>
              <w:rPr>
                <w:sz w:val="21"/>
              </w:rPr>
            </w:pPr>
            <w:r>
              <w:rPr>
                <w:spacing w:val="-2"/>
                <w:sz w:val="21"/>
              </w:rPr>
              <w:t>在书面报告意外发生后的一百八十天内（含第一百八十天）出现血</w:t>
            </w:r>
            <w:r>
              <w:rPr>
                <w:w w:val="95"/>
                <w:sz w:val="21"/>
              </w:rPr>
              <w:t>清 </w:t>
            </w:r>
            <w:r>
              <w:rPr>
                <w:rFonts w:ascii="Times New Roman" w:eastAsia="Times New Roman"/>
                <w:w w:val="95"/>
                <w:sz w:val="21"/>
              </w:rPr>
              <w:t>HIV</w:t>
            </w:r>
            <w:r>
              <w:rPr>
                <w:rFonts w:ascii="Times New Roman" w:eastAsia="Times New Roman"/>
                <w:spacing w:val="40"/>
                <w:sz w:val="21"/>
              </w:rPr>
              <w:t> </w:t>
            </w:r>
            <w:r>
              <w:rPr>
                <w:w w:val="95"/>
                <w:sz w:val="21"/>
              </w:rPr>
              <w:t>阴</w:t>
            </w:r>
            <w:r>
              <w:rPr>
                <w:w w:val="95"/>
                <w:sz w:val="21"/>
              </w:rPr>
              <w:t>性</w:t>
            </w:r>
            <w:r>
              <w:rPr>
                <w:w w:val="95"/>
                <w:sz w:val="21"/>
              </w:rPr>
              <w:t>转</w:t>
            </w:r>
            <w:r>
              <w:rPr>
                <w:w w:val="95"/>
                <w:sz w:val="21"/>
              </w:rPr>
              <w:t>变</w:t>
            </w:r>
            <w:r>
              <w:rPr>
                <w:w w:val="95"/>
                <w:sz w:val="21"/>
              </w:rPr>
              <w:t>为</w:t>
            </w:r>
            <w:r>
              <w:rPr>
                <w:w w:val="95"/>
                <w:sz w:val="21"/>
              </w:rPr>
              <w:t> </w:t>
            </w:r>
            <w:r>
              <w:rPr>
                <w:rFonts w:ascii="Times New Roman" w:eastAsia="Times New Roman"/>
                <w:w w:val="95"/>
                <w:sz w:val="21"/>
              </w:rPr>
              <w:t>HIV</w:t>
            </w:r>
            <w:r>
              <w:rPr>
                <w:rFonts w:ascii="Times New Roman" w:eastAsia="Times New Roman"/>
                <w:spacing w:val="40"/>
                <w:sz w:val="21"/>
              </w:rPr>
              <w:t> </w:t>
            </w:r>
            <w:r>
              <w:rPr>
                <w:w w:val="95"/>
                <w:sz w:val="21"/>
              </w:rPr>
              <w:t>阳</w:t>
            </w:r>
            <w:r>
              <w:rPr>
                <w:w w:val="95"/>
                <w:sz w:val="21"/>
              </w:rPr>
              <w:t>性</w:t>
            </w:r>
            <w:r>
              <w:rPr>
                <w:w w:val="95"/>
                <w:sz w:val="21"/>
              </w:rPr>
              <w:t>的</w:t>
            </w:r>
            <w:r>
              <w:rPr>
                <w:w w:val="95"/>
                <w:sz w:val="21"/>
              </w:rPr>
              <w:t>证</w:t>
            </w:r>
            <w:r>
              <w:rPr>
                <w:w w:val="95"/>
                <w:sz w:val="21"/>
              </w:rPr>
              <w:t>据</w:t>
            </w:r>
            <w:r>
              <w:rPr>
                <w:w w:val="95"/>
                <w:sz w:val="21"/>
              </w:rPr>
              <w:t>。</w:t>
            </w:r>
            <w:r>
              <w:rPr>
                <w:w w:val="95"/>
                <w:sz w:val="21"/>
              </w:rPr>
              <w:t>这</w:t>
            </w:r>
            <w:r>
              <w:rPr>
                <w:w w:val="95"/>
                <w:sz w:val="21"/>
              </w:rPr>
              <w:t>个</w:t>
            </w:r>
            <w:r>
              <w:rPr>
                <w:w w:val="95"/>
                <w:sz w:val="21"/>
              </w:rPr>
              <w:t>证</w:t>
            </w:r>
            <w:r>
              <w:rPr>
                <w:w w:val="95"/>
                <w:sz w:val="21"/>
              </w:rPr>
              <w:t>据</w:t>
            </w:r>
            <w:r>
              <w:rPr>
                <w:w w:val="95"/>
                <w:sz w:val="21"/>
              </w:rPr>
              <w:t>必</w:t>
            </w:r>
            <w:r>
              <w:rPr>
                <w:w w:val="95"/>
                <w:sz w:val="21"/>
              </w:rPr>
              <w:t>须</w:t>
            </w:r>
            <w:r>
              <w:rPr>
                <w:w w:val="95"/>
                <w:sz w:val="21"/>
              </w:rPr>
              <w:t>包</w:t>
            </w:r>
            <w:r>
              <w:rPr>
                <w:w w:val="95"/>
                <w:sz w:val="21"/>
              </w:rPr>
              <w:t>括</w:t>
            </w:r>
            <w:r>
              <w:rPr>
                <w:w w:val="95"/>
                <w:sz w:val="21"/>
              </w:rPr>
              <w:t>一</w:t>
            </w:r>
            <w:r>
              <w:rPr>
                <w:w w:val="95"/>
                <w:sz w:val="21"/>
              </w:rPr>
              <w:t>个</w:t>
            </w:r>
            <w:r>
              <w:rPr>
                <w:w w:val="95"/>
                <w:sz w:val="21"/>
              </w:rPr>
              <w:t>意</w:t>
            </w:r>
            <w:r>
              <w:rPr>
                <w:w w:val="95"/>
                <w:sz w:val="21"/>
              </w:rPr>
              <w:t>外</w:t>
            </w:r>
            <w:r>
              <w:rPr>
                <w:w w:val="95"/>
                <w:sz w:val="21"/>
              </w:rPr>
              <w:t>事</w:t>
            </w:r>
            <w:r>
              <w:rPr>
                <w:sz w:val="21"/>
              </w:rPr>
              <w:t>故发生后五天内（含第五天）</w:t>
            </w:r>
            <w:r>
              <w:rPr>
                <w:rFonts w:ascii="Times New Roman" w:eastAsia="Times New Roman"/>
                <w:sz w:val="21"/>
              </w:rPr>
              <w:t>HIV </w:t>
            </w:r>
            <w:r>
              <w:rPr>
                <w:sz w:val="21"/>
              </w:rPr>
              <w:t>抗体阴性的检查报告。</w:t>
            </w:r>
          </w:p>
          <w:p>
            <w:pPr>
              <w:pStyle w:val="TableParagraph"/>
              <w:spacing w:line="278" w:lineRule="auto" w:before="0"/>
              <w:ind w:right="180"/>
              <w:rPr>
                <w:sz w:val="21"/>
              </w:rPr>
            </w:pPr>
            <w:r>
              <w:rPr>
                <w:spacing w:val="-2"/>
                <w:sz w:val="21"/>
              </w:rPr>
              <w:t>意外事故后十二个月内需要进行进一步的血液检查以确认存在艾滋病病</w:t>
            </w:r>
            <w:r>
              <w:rPr>
                <w:spacing w:val="-2"/>
                <w:sz w:val="21"/>
              </w:rPr>
              <w:t>毒抗体的存在。</w:t>
            </w:r>
          </w:p>
          <w:p>
            <w:pPr>
              <w:pStyle w:val="TableParagraph"/>
              <w:spacing w:line="278" w:lineRule="auto" w:before="0"/>
              <w:ind w:right="180"/>
              <w:jc w:val="both"/>
              <w:rPr>
                <w:sz w:val="21"/>
              </w:rPr>
            </w:pPr>
            <w:r>
              <w:rPr>
                <w:spacing w:val="-2"/>
                <w:sz w:val="21"/>
              </w:rPr>
              <w:t>我们仅在被保险人的职业为从业医生、医学院学生、国家注册护士、医</w:t>
            </w:r>
            <w:r>
              <w:rPr>
                <w:spacing w:val="-2"/>
                <w:sz w:val="21"/>
              </w:rPr>
              <w:t>学检验技师、牙医（外科医生和护士）或辅助医务工作者、医学中心或</w:t>
            </w:r>
            <w:r>
              <w:rPr>
                <w:spacing w:val="-2"/>
                <w:sz w:val="21"/>
              </w:rPr>
              <w:t>医院工作人员时承担此项保险责任。</w:t>
            </w:r>
          </w:p>
          <w:p>
            <w:pPr>
              <w:pStyle w:val="TableParagraph"/>
              <w:spacing w:line="278" w:lineRule="auto" w:before="0"/>
              <w:ind w:right="96"/>
              <w:rPr>
                <w:rFonts w:ascii="黑体" w:eastAsia="黑体"/>
                <w:sz w:val="21"/>
              </w:rPr>
            </w:pPr>
            <w:r>
              <w:rPr>
                <w:rFonts w:ascii="黑体" w:eastAsia="黑体"/>
                <w:color w:val="000000"/>
                <w:spacing w:val="-4"/>
                <w:sz w:val="21"/>
                <w:shd w:fill="D9D9D9" w:color="auto" w:val="clear"/>
              </w:rPr>
              <w:t>在任何治愈艾滋病或阻止人类免疫缺陷病毒（</w:t>
            </w:r>
            <w:r>
              <w:rPr>
                <w:rFonts w:ascii="Times New Roman" w:eastAsia="Times New Roman"/>
                <w:color w:val="000000"/>
                <w:spacing w:val="-4"/>
                <w:sz w:val="21"/>
                <w:shd w:fill="D9D9D9" w:color="auto" w:val="clear"/>
              </w:rPr>
              <w:t>HIV</w:t>
            </w:r>
            <w:r>
              <w:rPr>
                <w:rFonts w:ascii="黑体" w:eastAsia="黑体"/>
                <w:color w:val="000000"/>
                <w:spacing w:val="-4"/>
                <w:sz w:val="21"/>
                <w:shd w:fill="D9D9D9" w:color="auto" w:val="clear"/>
              </w:rPr>
              <w:t>）病毒作用的疗法被发</w:t>
            </w:r>
            <w:r>
              <w:rPr>
                <w:rFonts w:ascii="黑体" w:eastAsia="黑体"/>
                <w:color w:val="000000"/>
                <w:spacing w:val="-2"/>
                <w:sz w:val="21"/>
                <w:shd w:fill="D9D9D9" w:color="auto" w:val="clear"/>
              </w:rPr>
              <w:t>现以后，或能防止艾滋病发生的医疗方法被研究出来以后，本保障将不</w:t>
            </w:r>
            <w:r>
              <w:rPr>
                <w:rFonts w:ascii="黑体" w:eastAsia="黑体"/>
                <w:color w:val="000000"/>
                <w:spacing w:val="-210"/>
                <w:sz w:val="21"/>
                <w:shd w:fill="D9D9D9" w:color="auto" w:val="clear"/>
              </w:rPr>
              <w:t>再</w:t>
            </w:r>
            <w:r>
              <w:rPr>
                <w:rFonts w:ascii="黑体" w:eastAsia="黑体"/>
                <w:color w:val="000000"/>
                <w:spacing w:val="-2"/>
                <w:sz w:val="21"/>
                <w:shd w:fill="D9D9D9" w:color="auto" w:val="clear"/>
              </w:rPr>
              <w:t>予以赔付。</w:t>
            </w:r>
          </w:p>
          <w:p>
            <w:pPr>
              <w:pStyle w:val="TableParagraph"/>
              <w:spacing w:line="278" w:lineRule="auto" w:before="0"/>
              <w:ind w:right="96"/>
              <w:rPr>
                <w:rFonts w:ascii="黑体" w:eastAsia="黑体"/>
                <w:sz w:val="21"/>
              </w:rPr>
            </w:pPr>
            <w:r>
              <w:rPr>
                <w:rFonts w:ascii="黑体" w:eastAsia="黑体"/>
                <w:color w:val="000000"/>
                <w:spacing w:val="-4"/>
                <w:sz w:val="21"/>
                <w:shd w:fill="D9D9D9" w:color="auto" w:val="clear"/>
              </w:rPr>
              <w:t>任何因其他传播方式（包括：性传播或静脉注射毒品）导致的</w:t>
            </w:r>
            <w:r>
              <w:rPr>
                <w:rFonts w:ascii="Times New Roman" w:eastAsia="Times New Roman"/>
                <w:color w:val="000000"/>
                <w:spacing w:val="-4"/>
                <w:sz w:val="21"/>
                <w:shd w:fill="D9D9D9" w:color="auto" w:val="clear"/>
              </w:rPr>
              <w:t>HIV</w:t>
            </w:r>
            <w:r>
              <w:rPr>
                <w:rFonts w:ascii="黑体" w:eastAsia="黑体"/>
                <w:color w:val="000000"/>
                <w:spacing w:val="-4"/>
                <w:sz w:val="21"/>
                <w:shd w:fill="D9D9D9" w:color="auto" w:val="clear"/>
              </w:rPr>
              <w:t>病毒感</w:t>
            </w:r>
            <w:r>
              <w:rPr>
                <w:rFonts w:ascii="黑体" w:eastAsia="黑体"/>
                <w:color w:val="000000"/>
                <w:spacing w:val="80"/>
                <w:w w:val="150"/>
                <w:sz w:val="21"/>
                <w:shd w:fill="D9D9D9" w:color="auto" w:val="clear"/>
              </w:rPr>
              <w:t>                                    </w:t>
            </w:r>
            <w:r>
              <w:rPr>
                <w:rFonts w:ascii="黑体" w:eastAsia="黑体"/>
                <w:color w:val="000000"/>
                <w:spacing w:val="-2"/>
                <w:sz w:val="21"/>
                <w:shd w:fill="D9D9D9" w:color="auto" w:val="clear"/>
              </w:rPr>
              <w:t>染不在保障范围内。</w:t>
            </w:r>
          </w:p>
          <w:p>
            <w:pPr>
              <w:pStyle w:val="TableParagraph"/>
              <w:spacing w:line="269" w:lineRule="exact" w:before="0"/>
              <w:rPr>
                <w:rFonts w:ascii="黑体" w:hAnsi="黑体" w:eastAsia="黑体"/>
                <w:sz w:val="21"/>
              </w:rPr>
            </w:pPr>
            <w:r>
              <w:rPr>
                <w:rFonts w:ascii="黑体" w:hAnsi="黑体" w:eastAsia="黑体"/>
                <w:spacing w:val="-1"/>
                <w:sz w:val="21"/>
              </w:rPr>
              <w:t>我们承担本项疾病责任不受本合同责任免除中“被保险人感染艾滋病病</w:t>
            </w:r>
          </w:p>
          <w:p>
            <w:pPr>
              <w:pStyle w:val="TableParagraph"/>
              <w:spacing w:before="41"/>
              <w:rPr>
                <w:rFonts w:ascii="黑体" w:hAnsi="黑体" w:eastAsia="黑体"/>
                <w:sz w:val="21"/>
              </w:rPr>
            </w:pPr>
            <w:r>
              <w:rPr>
                <w:rFonts w:ascii="黑体" w:hAnsi="黑体" w:eastAsia="黑体"/>
                <w:spacing w:val="-1"/>
                <w:sz w:val="21"/>
              </w:rPr>
              <w:t>毒或患艾滋病”的限制。</w:t>
            </w:r>
          </w:p>
        </w:tc>
      </w:tr>
      <w:tr>
        <w:trPr>
          <w:trHeight w:val="2496" w:hRule="atLeast"/>
        </w:trPr>
        <w:tc>
          <w:tcPr>
            <w:tcW w:w="1908" w:type="dxa"/>
          </w:tcPr>
          <w:p>
            <w:pPr>
              <w:pStyle w:val="TableParagraph"/>
              <w:spacing w:before="21"/>
              <w:rPr>
                <w:sz w:val="21"/>
              </w:rPr>
            </w:pPr>
            <w:r>
              <w:rPr>
                <w:spacing w:val="-2"/>
                <w:sz w:val="21"/>
              </w:rPr>
              <w:t>五十八、严重哮喘</w:t>
            </w:r>
          </w:p>
        </w:tc>
        <w:tc>
          <w:tcPr>
            <w:tcW w:w="6810" w:type="dxa"/>
          </w:tcPr>
          <w:p>
            <w:pPr>
              <w:pStyle w:val="TableParagraph"/>
              <w:spacing w:line="278" w:lineRule="auto" w:before="21"/>
              <w:ind w:right="180"/>
              <w:rPr>
                <w:sz w:val="21"/>
              </w:rPr>
            </w:pPr>
            <w:r>
              <w:rPr>
                <w:spacing w:val="-2"/>
                <w:sz w:val="21"/>
              </w:rPr>
              <w:t>是一种可逆性、反复发作的支气管阻塞型疾病。需满足下列至少三项条</w:t>
            </w:r>
            <w:r>
              <w:rPr>
                <w:spacing w:val="-6"/>
                <w:sz w:val="21"/>
              </w:rPr>
              <w:t>件：</w:t>
            </w:r>
          </w:p>
          <w:p>
            <w:pPr>
              <w:pStyle w:val="TableParagraph"/>
              <w:numPr>
                <w:ilvl w:val="0"/>
                <w:numId w:val="38"/>
              </w:numPr>
              <w:tabs>
                <w:tab w:pos="468" w:val="left" w:leader="none"/>
              </w:tabs>
              <w:spacing w:line="278" w:lineRule="auto" w:before="0" w:after="0"/>
              <w:ind w:left="467" w:right="98" w:hanging="360"/>
              <w:jc w:val="left"/>
              <w:rPr>
                <w:sz w:val="21"/>
              </w:rPr>
            </w:pPr>
            <w:r>
              <w:rPr>
                <w:spacing w:val="-2"/>
                <w:sz w:val="21"/>
              </w:rPr>
              <w:t>过去两年中有哮喘持续状态（哮喘持续发作二十四小时以上不能缓</w:t>
            </w:r>
            <w:r>
              <w:rPr>
                <w:spacing w:val="-2"/>
                <w:sz w:val="21"/>
              </w:rPr>
              <w:t>解）病史；</w:t>
            </w:r>
          </w:p>
          <w:p>
            <w:pPr>
              <w:pStyle w:val="TableParagraph"/>
              <w:numPr>
                <w:ilvl w:val="0"/>
                <w:numId w:val="38"/>
              </w:numPr>
              <w:tabs>
                <w:tab w:pos="468" w:val="left" w:leader="none"/>
              </w:tabs>
              <w:spacing w:line="269" w:lineRule="exact" w:before="0" w:after="0"/>
              <w:ind w:left="467" w:right="0" w:hanging="361"/>
              <w:jc w:val="left"/>
              <w:rPr>
                <w:sz w:val="21"/>
              </w:rPr>
            </w:pPr>
            <w:r>
              <w:rPr>
                <w:spacing w:val="-1"/>
                <w:sz w:val="21"/>
              </w:rPr>
              <w:t>肺部慢性过度膨胀充气导致的胸廓畸形；</w:t>
            </w:r>
          </w:p>
          <w:p>
            <w:pPr>
              <w:pStyle w:val="TableParagraph"/>
              <w:numPr>
                <w:ilvl w:val="0"/>
                <w:numId w:val="38"/>
              </w:numPr>
              <w:tabs>
                <w:tab w:pos="468" w:val="left" w:leader="none"/>
              </w:tabs>
              <w:spacing w:line="240" w:lineRule="auto" w:before="43" w:after="0"/>
              <w:ind w:left="467" w:right="0" w:hanging="361"/>
              <w:jc w:val="left"/>
              <w:rPr>
                <w:sz w:val="21"/>
              </w:rPr>
            </w:pPr>
            <w:r>
              <w:rPr>
                <w:spacing w:val="-1"/>
                <w:sz w:val="21"/>
              </w:rPr>
              <w:t>在家中需要医师处方的氧气治疗法；</w:t>
            </w:r>
          </w:p>
          <w:p>
            <w:pPr>
              <w:pStyle w:val="TableParagraph"/>
              <w:numPr>
                <w:ilvl w:val="0"/>
                <w:numId w:val="38"/>
              </w:numPr>
              <w:tabs>
                <w:tab w:pos="468" w:val="left" w:leader="none"/>
              </w:tabs>
              <w:spacing w:line="240" w:lineRule="auto" w:before="43" w:after="0"/>
              <w:ind w:left="467" w:right="0" w:hanging="361"/>
              <w:jc w:val="left"/>
              <w:rPr>
                <w:sz w:val="21"/>
              </w:rPr>
            </w:pPr>
            <w:r>
              <w:rPr>
                <w:sz w:val="21"/>
              </w:rPr>
              <w:t>持续日常服用口服可的松类固醇激素（至少持续服用六个月以上</w:t>
            </w:r>
            <w:r>
              <w:rPr>
                <w:spacing w:val="-105"/>
                <w:sz w:val="21"/>
              </w:rPr>
              <w:t>）</w:t>
            </w:r>
            <w:r>
              <w:rPr>
                <w:spacing w:val="-10"/>
                <w:sz w:val="21"/>
              </w:rPr>
              <w:t>。</w:t>
            </w:r>
          </w:p>
          <w:p>
            <w:pPr>
              <w:pStyle w:val="TableParagraph"/>
              <w:rPr>
                <w:rFonts w:ascii="黑体" w:eastAsia="黑体"/>
                <w:sz w:val="21"/>
              </w:rPr>
            </w:pPr>
            <w:r>
              <w:rPr>
                <w:rFonts w:ascii="黑体" w:eastAsia="黑体"/>
                <w:color w:val="000000"/>
                <w:spacing w:val="-1"/>
                <w:sz w:val="21"/>
                <w:shd w:fill="D9D9D9" w:color="auto" w:val="clear"/>
              </w:rPr>
              <w:t>被保险人申请理赔时年龄必须在年满二十五周岁之前。</w:t>
            </w:r>
          </w:p>
        </w:tc>
      </w:tr>
      <w:tr>
        <w:trPr>
          <w:trHeight w:val="311" w:hRule="atLeast"/>
        </w:trPr>
        <w:tc>
          <w:tcPr>
            <w:tcW w:w="1908" w:type="dxa"/>
          </w:tcPr>
          <w:p>
            <w:pPr>
              <w:pStyle w:val="TableParagraph"/>
              <w:spacing w:before="20"/>
              <w:rPr>
                <w:sz w:val="21"/>
              </w:rPr>
            </w:pPr>
            <w:r>
              <w:rPr>
                <w:spacing w:val="-2"/>
                <w:sz w:val="21"/>
              </w:rPr>
              <w:t>五十九、严重自身</w:t>
            </w:r>
          </w:p>
        </w:tc>
        <w:tc>
          <w:tcPr>
            <w:tcW w:w="6810" w:type="dxa"/>
          </w:tcPr>
          <w:p>
            <w:pPr>
              <w:pStyle w:val="TableParagraph"/>
              <w:spacing w:before="20"/>
              <w:rPr>
                <w:sz w:val="21"/>
              </w:rPr>
            </w:pPr>
            <w:r>
              <w:rPr>
                <w:spacing w:val="-1"/>
                <w:sz w:val="21"/>
              </w:rPr>
              <w:t>是一种原因不明的慢性肝脏的坏死性炎性疾病，机体免疫机制被破坏，</w:t>
            </w:r>
          </w:p>
        </w:tc>
      </w:tr>
    </w:tbl>
    <w:p>
      <w:pPr>
        <w:spacing w:after="0"/>
        <w:rPr>
          <w:sz w:val="21"/>
        </w:rPr>
        <w:sectPr>
          <w:type w:val="continuous"/>
          <w:pgSz w:w="11910" w:h="16840"/>
          <w:pgMar w:header="0" w:footer="1168" w:top="1460" w:bottom="1360" w:left="1060" w:right="1060"/>
        </w:sectPr>
      </w:pPr>
    </w:p>
    <w:tbl>
      <w:tblPr>
        <w:tblW w:w="0" w:type="auto"/>
        <w:jc w:val="left"/>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08"/>
        <w:gridCol w:w="6810"/>
      </w:tblGrid>
      <w:tr>
        <w:trPr>
          <w:trHeight w:val="2184" w:hRule="atLeast"/>
        </w:trPr>
        <w:tc>
          <w:tcPr>
            <w:tcW w:w="1908" w:type="dxa"/>
          </w:tcPr>
          <w:p>
            <w:pPr>
              <w:pStyle w:val="TableParagraph"/>
              <w:spacing w:before="21"/>
              <w:rPr>
                <w:sz w:val="21"/>
              </w:rPr>
            </w:pPr>
            <w:r>
              <w:rPr>
                <w:spacing w:val="-2"/>
                <w:sz w:val="21"/>
              </w:rPr>
              <w:t>免疫性肝炎</w:t>
            </w:r>
          </w:p>
        </w:tc>
        <w:tc>
          <w:tcPr>
            <w:tcW w:w="6810" w:type="dxa"/>
          </w:tcPr>
          <w:p>
            <w:pPr>
              <w:pStyle w:val="TableParagraph"/>
              <w:spacing w:line="278" w:lineRule="auto" w:before="21"/>
              <w:ind w:right="180"/>
              <w:rPr>
                <w:sz w:val="21"/>
              </w:rPr>
            </w:pPr>
            <w:r>
              <w:rPr>
                <w:spacing w:val="-2"/>
                <w:sz w:val="21"/>
              </w:rPr>
              <w:t>产生针对肝脏自身抗原的抗体导致自身免疫反应，从而破坏肝细胞造成</w:t>
            </w:r>
            <w:r>
              <w:rPr>
                <w:spacing w:val="-2"/>
                <w:sz w:val="21"/>
              </w:rPr>
              <w:t>肝脏炎症坏死，进而发展为肝硬化。必须满足全部以下条件：</w:t>
            </w:r>
          </w:p>
          <w:p>
            <w:pPr>
              <w:pStyle w:val="TableParagraph"/>
              <w:numPr>
                <w:ilvl w:val="0"/>
                <w:numId w:val="39"/>
              </w:numPr>
              <w:tabs>
                <w:tab w:pos="468" w:val="left" w:leader="none"/>
              </w:tabs>
              <w:spacing w:line="269" w:lineRule="exact" w:before="0" w:after="0"/>
              <w:ind w:left="467" w:right="0" w:hanging="361"/>
              <w:jc w:val="left"/>
              <w:rPr>
                <w:sz w:val="21"/>
              </w:rPr>
            </w:pPr>
            <w:r>
              <w:rPr>
                <w:sz w:val="21"/>
              </w:rPr>
              <w:t>高γ</w:t>
            </w:r>
            <w:r>
              <w:rPr>
                <w:spacing w:val="-2"/>
                <w:sz w:val="21"/>
              </w:rPr>
              <w:t>球蛋白血症；</w:t>
            </w:r>
          </w:p>
          <w:p>
            <w:pPr>
              <w:pStyle w:val="TableParagraph"/>
              <w:numPr>
                <w:ilvl w:val="0"/>
                <w:numId w:val="39"/>
              </w:numPr>
              <w:tabs>
                <w:tab w:pos="468" w:val="left" w:leader="none"/>
              </w:tabs>
              <w:spacing w:line="278" w:lineRule="auto" w:before="43" w:after="0"/>
              <w:ind w:left="467" w:right="96" w:hanging="361"/>
              <w:jc w:val="left"/>
              <w:rPr>
                <w:sz w:val="21"/>
              </w:rPr>
            </w:pPr>
            <w:r>
              <w:rPr>
                <w:spacing w:val="-7"/>
                <w:sz w:val="21"/>
              </w:rPr>
              <w:t>血液中存在高水平的自身免疫抗体，如 </w:t>
            </w:r>
            <w:r>
              <w:rPr>
                <w:rFonts w:ascii="Times New Roman" w:eastAsia="Times New Roman"/>
                <w:spacing w:val="-4"/>
                <w:sz w:val="21"/>
              </w:rPr>
              <w:t>ANA</w:t>
            </w:r>
            <w:r>
              <w:rPr>
                <w:spacing w:val="-4"/>
                <w:sz w:val="21"/>
              </w:rPr>
              <w:t>（抗核抗体</w:t>
            </w:r>
            <w:r>
              <w:rPr>
                <w:spacing w:val="-105"/>
                <w:sz w:val="21"/>
              </w:rPr>
              <w:t>）</w:t>
            </w:r>
            <w:r>
              <w:rPr>
                <w:spacing w:val="-4"/>
                <w:sz w:val="21"/>
              </w:rPr>
              <w:t>、</w:t>
            </w:r>
            <w:r>
              <w:rPr>
                <w:rFonts w:ascii="Times New Roman" w:eastAsia="Times New Roman"/>
                <w:spacing w:val="-4"/>
                <w:sz w:val="21"/>
              </w:rPr>
              <w:t>SMA</w:t>
            </w:r>
            <w:r>
              <w:rPr>
                <w:spacing w:val="-4"/>
                <w:sz w:val="21"/>
              </w:rPr>
              <w:t>（</w:t>
            </w:r>
            <w:r>
              <w:rPr>
                <w:spacing w:val="-4"/>
                <w:sz w:val="21"/>
              </w:rPr>
              <w:t>抗</w:t>
            </w:r>
            <w:r>
              <w:rPr>
                <w:sz w:val="21"/>
              </w:rPr>
              <w:t>平滑肌抗体</w:t>
            </w:r>
            <w:r>
              <w:rPr>
                <w:spacing w:val="-106"/>
                <w:sz w:val="21"/>
              </w:rPr>
              <w:t>）</w:t>
            </w:r>
            <w:r>
              <w:rPr>
                <w:spacing w:val="-5"/>
                <w:sz w:val="21"/>
              </w:rPr>
              <w:t>、抗 </w:t>
            </w:r>
            <w:r>
              <w:rPr>
                <w:rFonts w:ascii="Times New Roman" w:eastAsia="Times New Roman"/>
                <w:sz w:val="21"/>
              </w:rPr>
              <w:t>LKM1 </w:t>
            </w:r>
            <w:r>
              <w:rPr>
                <w:spacing w:val="-3"/>
                <w:sz w:val="21"/>
              </w:rPr>
              <w:t>抗体或抗 </w:t>
            </w:r>
            <w:r>
              <w:rPr>
                <w:rFonts w:ascii="Times New Roman" w:eastAsia="Times New Roman"/>
                <w:sz w:val="21"/>
              </w:rPr>
              <w:t>SLA/LP </w:t>
            </w:r>
            <w:r>
              <w:rPr>
                <w:sz w:val="21"/>
              </w:rPr>
              <w:t>抗体；</w:t>
            </w:r>
          </w:p>
          <w:p>
            <w:pPr>
              <w:pStyle w:val="TableParagraph"/>
              <w:numPr>
                <w:ilvl w:val="0"/>
                <w:numId w:val="39"/>
              </w:numPr>
              <w:tabs>
                <w:tab w:pos="468" w:val="left" w:leader="none"/>
              </w:tabs>
              <w:spacing w:line="269" w:lineRule="exact" w:before="0" w:after="0"/>
              <w:ind w:left="467" w:right="0" w:hanging="361"/>
              <w:jc w:val="left"/>
              <w:rPr>
                <w:sz w:val="21"/>
              </w:rPr>
            </w:pPr>
            <w:r>
              <w:rPr>
                <w:spacing w:val="-1"/>
                <w:sz w:val="21"/>
              </w:rPr>
              <w:t>肝脏活检证实免疫性肝炎；</w:t>
            </w:r>
          </w:p>
          <w:p>
            <w:pPr>
              <w:pStyle w:val="TableParagraph"/>
              <w:numPr>
                <w:ilvl w:val="0"/>
                <w:numId w:val="39"/>
              </w:numPr>
              <w:tabs>
                <w:tab w:pos="468" w:val="left" w:leader="none"/>
              </w:tabs>
              <w:spacing w:line="240" w:lineRule="auto" w:before="43" w:after="0"/>
              <w:ind w:left="467" w:right="0" w:hanging="361"/>
              <w:jc w:val="left"/>
              <w:rPr>
                <w:sz w:val="21"/>
              </w:rPr>
            </w:pPr>
            <w:r>
              <w:rPr>
                <w:spacing w:val="-1"/>
                <w:sz w:val="21"/>
              </w:rPr>
              <w:t>临床已经出现腹水、食道静脉曲张和脾肿大等肝硬化表现。</w:t>
            </w:r>
          </w:p>
        </w:tc>
      </w:tr>
      <w:tr>
        <w:trPr>
          <w:trHeight w:val="1871" w:hRule="atLeast"/>
        </w:trPr>
        <w:tc>
          <w:tcPr>
            <w:tcW w:w="1908" w:type="dxa"/>
          </w:tcPr>
          <w:p>
            <w:pPr>
              <w:pStyle w:val="TableParagraph"/>
              <w:spacing w:before="20"/>
              <w:rPr>
                <w:sz w:val="21"/>
              </w:rPr>
            </w:pPr>
            <w:r>
              <w:rPr>
                <w:spacing w:val="-2"/>
                <w:sz w:val="21"/>
              </w:rPr>
              <w:t>六十、严重癫痫</w:t>
            </w:r>
          </w:p>
        </w:tc>
        <w:tc>
          <w:tcPr>
            <w:tcW w:w="6810" w:type="dxa"/>
          </w:tcPr>
          <w:p>
            <w:pPr>
              <w:pStyle w:val="TableParagraph"/>
              <w:spacing w:line="278" w:lineRule="auto" w:before="20"/>
              <w:ind w:right="-15"/>
              <w:rPr>
                <w:rFonts w:ascii="黑体" w:eastAsia="黑体"/>
                <w:sz w:val="21"/>
              </w:rPr>
            </w:pPr>
            <w:r>
              <w:rPr>
                <w:rFonts w:ascii="黑体" w:eastAsia="黑体"/>
                <w:sz w:val="21"/>
              </w:rPr>
              <w:t>本病的诊断须由神经科或儿科专科医生根据典型临床症状和脑电图及 </w:t>
            </w:r>
            <w:r>
              <w:rPr>
                <w:rFonts w:ascii="黑体" w:eastAsia="黑体"/>
                <w:sz w:val="21"/>
              </w:rPr>
              <w:t> </w:t>
            </w:r>
            <w:r>
              <w:rPr>
                <w:rFonts w:ascii="黑体" w:eastAsia="黑体"/>
                <w:spacing w:val="-1"/>
                <w:sz w:val="21"/>
              </w:rPr>
              <w:t>MRI</w:t>
            </w:r>
            <w:r>
              <w:rPr>
                <w:rFonts w:ascii="黑体" w:eastAsia="黑体"/>
                <w:spacing w:val="1"/>
                <w:sz w:val="21"/>
              </w:rPr>
              <w:t>、</w:t>
            </w:r>
            <w:r>
              <w:rPr>
                <w:rFonts w:ascii="黑体" w:eastAsia="黑体"/>
                <w:spacing w:val="-1"/>
                <w:sz w:val="21"/>
              </w:rPr>
              <w:t>PET、CT等影相学检查做出。</w:t>
            </w:r>
            <w:r>
              <w:rPr>
                <w:spacing w:val="-1"/>
                <w:sz w:val="21"/>
              </w:rPr>
              <w:t>理赔时必须提供六个月以上的相关病 历记录证明被保险人存在经抗癫痫药物治疗无效而反复发作的强直阵挛</w:t>
            </w:r>
            <w:r>
              <w:rPr>
                <w:spacing w:val="-4"/>
                <w:sz w:val="21"/>
              </w:rPr>
              <w:t>性发作或癫痫大发作，或者已进行神经外科手术以治疗反复发作的癫痫。</w:t>
            </w:r>
            <w:r>
              <w:rPr>
                <w:rFonts w:ascii="黑体" w:eastAsia="黑体"/>
                <w:color w:val="000000"/>
                <w:spacing w:val="-4"/>
                <w:sz w:val="21"/>
                <w:shd w:fill="D9D9D9" w:color="auto" w:val="clear"/>
              </w:rPr>
              <w:t>发热性惊厥以及没有全身性发作的失神发作（癫痫小发作）不在保障范</w:t>
            </w:r>
          </w:p>
          <w:p>
            <w:pPr>
              <w:pStyle w:val="TableParagraph"/>
              <w:spacing w:line="268" w:lineRule="exact" w:before="0"/>
              <w:rPr>
                <w:rFonts w:ascii="黑体" w:eastAsia="黑体"/>
                <w:sz w:val="21"/>
              </w:rPr>
            </w:pPr>
            <w:r>
              <w:rPr>
                <w:rFonts w:ascii="黑体" w:eastAsia="黑体"/>
                <w:color w:val="000000"/>
                <w:spacing w:val="-4"/>
                <w:sz w:val="21"/>
                <w:shd w:fill="D9D9D9" w:color="auto" w:val="clear"/>
              </w:rPr>
              <w:t>围内。</w:t>
            </w:r>
          </w:p>
        </w:tc>
      </w:tr>
      <w:tr>
        <w:trPr>
          <w:trHeight w:val="1559" w:hRule="atLeast"/>
        </w:trPr>
        <w:tc>
          <w:tcPr>
            <w:tcW w:w="1908" w:type="dxa"/>
          </w:tcPr>
          <w:p>
            <w:pPr>
              <w:pStyle w:val="TableParagraph"/>
              <w:spacing w:line="278" w:lineRule="auto" w:before="20"/>
              <w:ind w:right="96"/>
              <w:rPr>
                <w:sz w:val="21"/>
              </w:rPr>
            </w:pPr>
            <w:r>
              <w:rPr>
                <w:spacing w:val="-2"/>
                <w:sz w:val="21"/>
              </w:rPr>
              <w:t>六十一、严重细菌</w:t>
            </w:r>
            <w:r>
              <w:rPr>
                <w:spacing w:val="-2"/>
                <w:sz w:val="21"/>
              </w:rPr>
              <w:t>性脑脊髓膜炎</w:t>
            </w:r>
          </w:p>
        </w:tc>
        <w:tc>
          <w:tcPr>
            <w:tcW w:w="6810" w:type="dxa"/>
          </w:tcPr>
          <w:p>
            <w:pPr>
              <w:pStyle w:val="TableParagraph"/>
              <w:spacing w:line="278" w:lineRule="auto" w:before="20"/>
              <w:ind w:right="-15"/>
              <w:rPr>
                <w:sz w:val="21"/>
              </w:rPr>
            </w:pPr>
            <w:r>
              <w:rPr>
                <w:sz w:val="21"/>
              </w:rPr>
              <w:t>指因脑膜炎双球菌感染引起脑脊髓膜化脓性病变，且导致永久性神经损</w:t>
            </w:r>
            <w:r>
              <w:rPr>
                <w:sz w:val="21"/>
              </w:rPr>
              <w:t> </w:t>
            </w:r>
            <w:r>
              <w:rPr>
                <w:spacing w:val="-42"/>
                <w:sz w:val="21"/>
              </w:rPr>
              <w:t>害</w:t>
            </w:r>
            <w:r>
              <w:rPr>
                <w:sz w:val="21"/>
              </w:rPr>
              <w:t>（注</w:t>
            </w:r>
            <w:r>
              <w:rPr>
                <w:spacing w:val="-105"/>
                <w:sz w:val="21"/>
              </w:rPr>
              <w:t>）</w:t>
            </w:r>
            <w:r>
              <w:rPr>
                <w:spacing w:val="-11"/>
                <w:sz w:val="21"/>
              </w:rPr>
              <w:t>，持续一百八十天以上，并且脑脊液检查显示脑膜炎双球菌阳性。注：永久性神经损害是指由细菌性脑脊髓膜炎引起的耳聋、失明、动眼神经麻痹、瘫痪、脑积水、智力或性情中度以上的损害，且上述症状持</w:t>
            </w:r>
          </w:p>
          <w:p>
            <w:pPr>
              <w:pStyle w:val="TableParagraph"/>
              <w:spacing w:line="269" w:lineRule="exact" w:before="0"/>
              <w:rPr>
                <w:sz w:val="21"/>
              </w:rPr>
            </w:pPr>
            <w:r>
              <w:rPr>
                <w:spacing w:val="-1"/>
                <w:sz w:val="21"/>
              </w:rPr>
              <w:t>续一百八十天以上仍无改善迹象。</w:t>
            </w:r>
          </w:p>
        </w:tc>
      </w:tr>
      <w:tr>
        <w:trPr>
          <w:trHeight w:val="2808" w:hRule="atLeast"/>
        </w:trPr>
        <w:tc>
          <w:tcPr>
            <w:tcW w:w="1908" w:type="dxa"/>
          </w:tcPr>
          <w:p>
            <w:pPr>
              <w:pStyle w:val="TableParagraph"/>
              <w:spacing w:before="21"/>
              <w:rPr>
                <w:sz w:val="21"/>
              </w:rPr>
            </w:pPr>
            <w:r>
              <w:rPr>
                <w:spacing w:val="-2"/>
                <w:sz w:val="21"/>
              </w:rPr>
              <w:t>六十二、克雅氏症</w:t>
            </w:r>
          </w:p>
          <w:p>
            <w:pPr>
              <w:pStyle w:val="TableParagraph"/>
              <w:rPr>
                <w:sz w:val="21"/>
              </w:rPr>
            </w:pPr>
            <w:r>
              <w:rPr>
                <w:sz w:val="21"/>
              </w:rPr>
              <w:t>（疯牛病</w:t>
            </w:r>
            <w:r>
              <w:rPr>
                <w:spacing w:val="-10"/>
                <w:sz w:val="21"/>
              </w:rPr>
              <w:t>）</w:t>
            </w:r>
          </w:p>
        </w:tc>
        <w:tc>
          <w:tcPr>
            <w:tcW w:w="6810" w:type="dxa"/>
          </w:tcPr>
          <w:p>
            <w:pPr>
              <w:pStyle w:val="TableParagraph"/>
              <w:spacing w:before="21"/>
              <w:rPr>
                <w:sz w:val="21"/>
              </w:rPr>
            </w:pPr>
            <w:r>
              <w:rPr>
                <w:spacing w:val="-1"/>
                <w:sz w:val="21"/>
              </w:rPr>
              <w:t>神经系统疾病及致命的成胶质状脑病，并有以下症状：</w:t>
            </w:r>
          </w:p>
          <w:p>
            <w:pPr>
              <w:pStyle w:val="TableParagraph"/>
              <w:numPr>
                <w:ilvl w:val="0"/>
                <w:numId w:val="40"/>
              </w:numPr>
              <w:tabs>
                <w:tab w:pos="468" w:val="left" w:leader="none"/>
              </w:tabs>
              <w:spacing w:line="240" w:lineRule="auto" w:before="43" w:after="0"/>
              <w:ind w:left="467" w:right="0" w:hanging="361"/>
              <w:jc w:val="left"/>
              <w:rPr>
                <w:sz w:val="21"/>
              </w:rPr>
            </w:pPr>
            <w:r>
              <w:rPr>
                <w:spacing w:val="-1"/>
                <w:sz w:val="21"/>
              </w:rPr>
              <w:t>不能控制的肌肉痉挛及震颤；</w:t>
            </w:r>
          </w:p>
          <w:p>
            <w:pPr>
              <w:pStyle w:val="TableParagraph"/>
              <w:numPr>
                <w:ilvl w:val="0"/>
                <w:numId w:val="40"/>
              </w:numPr>
              <w:tabs>
                <w:tab w:pos="468" w:val="left" w:leader="none"/>
              </w:tabs>
              <w:spacing w:line="240" w:lineRule="auto" w:before="43" w:after="0"/>
              <w:ind w:left="467" w:right="0" w:hanging="361"/>
              <w:jc w:val="left"/>
              <w:rPr>
                <w:sz w:val="21"/>
              </w:rPr>
            </w:pPr>
            <w:r>
              <w:rPr>
                <w:spacing w:val="-2"/>
                <w:sz w:val="21"/>
              </w:rPr>
              <w:t>逐渐痴呆；</w:t>
            </w:r>
          </w:p>
          <w:p>
            <w:pPr>
              <w:pStyle w:val="TableParagraph"/>
              <w:numPr>
                <w:ilvl w:val="0"/>
                <w:numId w:val="40"/>
              </w:numPr>
              <w:tabs>
                <w:tab w:pos="468" w:val="left" w:leader="none"/>
              </w:tabs>
              <w:spacing w:line="240" w:lineRule="auto" w:before="43" w:after="0"/>
              <w:ind w:left="467" w:right="0" w:hanging="361"/>
              <w:jc w:val="left"/>
              <w:rPr>
                <w:sz w:val="21"/>
              </w:rPr>
            </w:pPr>
            <w:r>
              <w:rPr>
                <w:spacing w:val="-1"/>
                <w:sz w:val="21"/>
              </w:rPr>
              <w:t>小脑功能不良，共济失调；</w:t>
            </w:r>
          </w:p>
          <w:p>
            <w:pPr>
              <w:pStyle w:val="TableParagraph"/>
              <w:numPr>
                <w:ilvl w:val="0"/>
                <w:numId w:val="40"/>
              </w:numPr>
              <w:tabs>
                <w:tab w:pos="468" w:val="left" w:leader="none"/>
              </w:tabs>
              <w:spacing w:line="240" w:lineRule="auto" w:before="43" w:after="0"/>
              <w:ind w:left="467" w:right="0" w:hanging="361"/>
              <w:jc w:val="left"/>
              <w:rPr>
                <w:sz w:val="21"/>
              </w:rPr>
            </w:pPr>
            <w:r>
              <w:rPr>
                <w:spacing w:val="-2"/>
                <w:sz w:val="21"/>
              </w:rPr>
              <w:t>手足徐动症；</w:t>
            </w:r>
          </w:p>
          <w:p>
            <w:pPr>
              <w:pStyle w:val="TableParagraph"/>
              <w:numPr>
                <w:ilvl w:val="0"/>
                <w:numId w:val="40"/>
              </w:numPr>
              <w:tabs>
                <w:tab w:pos="468" w:val="left" w:leader="none"/>
              </w:tabs>
              <w:spacing w:line="278" w:lineRule="auto" w:before="43" w:after="0"/>
              <w:ind w:left="467" w:right="96" w:hanging="360"/>
              <w:jc w:val="left"/>
              <w:rPr>
                <w:sz w:val="21"/>
              </w:rPr>
            </w:pPr>
            <w:r>
              <w:rPr>
                <w:spacing w:val="-7"/>
                <w:sz w:val="21"/>
              </w:rPr>
              <w:t>被保险人自主生活能力完全丧失，无法独立完成六项基本日常生活活</w:t>
            </w:r>
            <w:r>
              <w:rPr>
                <w:spacing w:val="-2"/>
                <w:sz w:val="21"/>
              </w:rPr>
              <w:t>动中的三项。</w:t>
            </w:r>
          </w:p>
          <w:p>
            <w:pPr>
              <w:pStyle w:val="TableParagraph"/>
              <w:spacing w:line="269" w:lineRule="exact" w:before="0"/>
              <w:rPr>
                <w:rFonts w:ascii="黑体" w:eastAsia="黑体"/>
                <w:sz w:val="21"/>
              </w:rPr>
            </w:pPr>
            <w:r>
              <w:rPr>
                <w:rFonts w:ascii="黑体" w:eastAsia="黑体"/>
                <w:spacing w:val="-1"/>
                <w:sz w:val="21"/>
              </w:rPr>
              <w:t>诊断必须由神经科专科医生基于以下检查报告作出：脑电图、脑脊液报</w:t>
            </w:r>
          </w:p>
          <w:p>
            <w:pPr>
              <w:pStyle w:val="TableParagraph"/>
              <w:rPr>
                <w:rFonts w:ascii="黑体" w:eastAsia="黑体"/>
                <w:sz w:val="21"/>
              </w:rPr>
            </w:pPr>
            <w:r>
              <w:rPr>
                <w:rFonts w:ascii="黑体" w:eastAsia="黑体"/>
                <w:spacing w:val="-2"/>
                <w:sz w:val="21"/>
              </w:rPr>
              <w:t>告、电脑断层扫描(CT)及核磁共振(MRI)</w:t>
            </w:r>
            <w:r>
              <w:rPr>
                <w:rFonts w:ascii="黑体" w:eastAsia="黑体"/>
                <w:spacing w:val="-10"/>
                <w:sz w:val="21"/>
              </w:rPr>
              <w:t>。</w:t>
            </w:r>
          </w:p>
        </w:tc>
      </w:tr>
      <w:tr>
        <w:trPr>
          <w:trHeight w:val="1247" w:hRule="atLeast"/>
        </w:trPr>
        <w:tc>
          <w:tcPr>
            <w:tcW w:w="1908" w:type="dxa"/>
          </w:tcPr>
          <w:p>
            <w:pPr>
              <w:pStyle w:val="TableParagraph"/>
              <w:spacing w:line="278" w:lineRule="auto" w:before="20"/>
              <w:ind w:right="96"/>
              <w:rPr>
                <w:sz w:val="21"/>
              </w:rPr>
            </w:pPr>
            <w:r>
              <w:rPr>
                <w:spacing w:val="-2"/>
                <w:sz w:val="21"/>
              </w:rPr>
              <w:t>六十三、骨生长不</w:t>
            </w:r>
            <w:r>
              <w:rPr>
                <w:spacing w:val="-6"/>
                <w:sz w:val="21"/>
              </w:rPr>
              <w:t>全症</w:t>
            </w:r>
          </w:p>
        </w:tc>
        <w:tc>
          <w:tcPr>
            <w:tcW w:w="6810" w:type="dxa"/>
          </w:tcPr>
          <w:p>
            <w:pPr>
              <w:pStyle w:val="TableParagraph"/>
              <w:spacing w:line="278" w:lineRule="auto" w:before="20"/>
              <w:ind w:right="-15"/>
              <w:rPr>
                <w:sz w:val="21"/>
              </w:rPr>
            </w:pPr>
            <w:r>
              <w:rPr>
                <w:spacing w:val="-2"/>
                <w:sz w:val="21"/>
              </w:rPr>
              <w:t>是一种胶原病，特征为骨易碎，骨质疏松和易骨折。该病有四种类型：</w:t>
            </w:r>
            <w:r>
              <w:rPr>
                <w:rFonts w:ascii="Times New Roman" w:eastAsia="Times New Roman"/>
                <w:spacing w:val="-2"/>
                <w:sz w:val="21"/>
              </w:rPr>
              <w:t>I</w:t>
            </w:r>
            <w:r>
              <w:rPr>
                <w:spacing w:val="-6"/>
                <w:sz w:val="21"/>
              </w:rPr>
              <w:t>型、</w:t>
            </w:r>
            <w:r>
              <w:rPr>
                <w:rFonts w:ascii="Times New Roman" w:eastAsia="Times New Roman"/>
                <w:spacing w:val="-6"/>
                <w:sz w:val="21"/>
              </w:rPr>
              <w:t>II</w:t>
            </w:r>
            <w:r>
              <w:rPr>
                <w:spacing w:val="-6"/>
                <w:sz w:val="21"/>
              </w:rPr>
              <w:t>型、</w:t>
            </w:r>
            <w:r>
              <w:rPr>
                <w:rFonts w:ascii="Times New Roman" w:eastAsia="Times New Roman"/>
                <w:spacing w:val="-6"/>
                <w:sz w:val="21"/>
              </w:rPr>
              <w:t>III</w:t>
            </w:r>
            <w:r>
              <w:rPr>
                <w:spacing w:val="-6"/>
                <w:sz w:val="21"/>
              </w:rPr>
              <w:t>型、</w:t>
            </w:r>
            <w:r>
              <w:rPr>
                <w:rFonts w:ascii="Times New Roman" w:eastAsia="Times New Roman"/>
                <w:spacing w:val="-6"/>
                <w:sz w:val="21"/>
              </w:rPr>
              <w:t>IV</w:t>
            </w:r>
            <w:r>
              <w:rPr>
                <w:spacing w:val="-6"/>
                <w:sz w:val="21"/>
              </w:rPr>
              <w:t>型。</w:t>
            </w:r>
            <w:r>
              <w:rPr>
                <w:rFonts w:ascii="黑体" w:eastAsia="黑体"/>
                <w:spacing w:val="-6"/>
                <w:sz w:val="21"/>
              </w:rPr>
              <w:t>只保障</w:t>
            </w:r>
            <w:r>
              <w:rPr>
                <w:rFonts w:ascii="Times New Roman" w:eastAsia="Times New Roman"/>
                <w:spacing w:val="-6"/>
                <w:sz w:val="21"/>
              </w:rPr>
              <w:t>III</w:t>
            </w:r>
            <w:r>
              <w:rPr>
                <w:rFonts w:ascii="黑体" w:eastAsia="黑体"/>
                <w:spacing w:val="-6"/>
                <w:sz w:val="21"/>
              </w:rPr>
              <w:t>型成骨不全的情形。</w:t>
            </w:r>
            <w:r>
              <w:rPr>
                <w:spacing w:val="-6"/>
                <w:sz w:val="21"/>
              </w:rPr>
              <w:t>其主要临床特点有：</w:t>
            </w:r>
            <w:r>
              <w:rPr>
                <w:spacing w:val="-2"/>
                <w:sz w:val="21"/>
              </w:rPr>
              <w:t>发展迟缓、多发性骨折、进行性脊柱后侧凸及听力损害。</w:t>
            </w:r>
            <w:r>
              <w:rPr>
                <w:rFonts w:ascii="Times New Roman" w:eastAsia="Times New Roman"/>
                <w:spacing w:val="-2"/>
                <w:sz w:val="21"/>
              </w:rPr>
              <w:t>III</w:t>
            </w:r>
            <w:r>
              <w:rPr>
                <w:spacing w:val="-2"/>
                <w:sz w:val="21"/>
              </w:rPr>
              <w:t>型成骨不全</w:t>
            </w:r>
          </w:p>
          <w:p>
            <w:pPr>
              <w:pStyle w:val="TableParagraph"/>
              <w:spacing w:line="269" w:lineRule="exact" w:before="0"/>
              <w:rPr>
                <w:sz w:val="21"/>
              </w:rPr>
            </w:pPr>
            <w:r>
              <w:rPr>
                <w:spacing w:val="-2"/>
                <w:sz w:val="21"/>
              </w:rPr>
              <w:t>的诊断必须根据身体检查，家族史，</w:t>
            </w:r>
            <w:r>
              <w:rPr>
                <w:rFonts w:ascii="Times New Roman" w:eastAsia="Times New Roman"/>
                <w:spacing w:val="-2"/>
                <w:sz w:val="21"/>
              </w:rPr>
              <w:t>X</w:t>
            </w:r>
            <w:r>
              <w:rPr>
                <w:spacing w:val="-3"/>
                <w:sz w:val="21"/>
              </w:rPr>
              <w:t>线检查和皮肤活检报告资料确诊。</w:t>
            </w:r>
          </w:p>
        </w:tc>
      </w:tr>
      <w:tr>
        <w:trPr>
          <w:trHeight w:val="1559" w:hRule="atLeast"/>
        </w:trPr>
        <w:tc>
          <w:tcPr>
            <w:tcW w:w="1908" w:type="dxa"/>
          </w:tcPr>
          <w:p>
            <w:pPr>
              <w:pStyle w:val="TableParagraph"/>
              <w:spacing w:line="278" w:lineRule="auto" w:before="20"/>
              <w:ind w:right="96"/>
              <w:rPr>
                <w:sz w:val="21"/>
              </w:rPr>
            </w:pPr>
            <w:r>
              <w:rPr>
                <w:spacing w:val="-2"/>
                <w:sz w:val="21"/>
              </w:rPr>
              <w:t>六十四、进行性核</w:t>
            </w:r>
            <w:r>
              <w:rPr>
                <w:spacing w:val="-4"/>
                <w:sz w:val="21"/>
              </w:rPr>
              <w:t>上性麻痹</w:t>
            </w:r>
          </w:p>
        </w:tc>
        <w:tc>
          <w:tcPr>
            <w:tcW w:w="6810" w:type="dxa"/>
          </w:tcPr>
          <w:p>
            <w:pPr>
              <w:pStyle w:val="TableParagraph"/>
              <w:spacing w:line="278" w:lineRule="auto" w:before="20"/>
              <w:ind w:right="96"/>
              <w:jc w:val="both"/>
              <w:rPr>
                <w:sz w:val="21"/>
              </w:rPr>
            </w:pPr>
            <w:r>
              <w:rPr>
                <w:spacing w:val="-2"/>
                <w:sz w:val="21"/>
              </w:rPr>
              <w:t>进行性核上性麻痹（</w:t>
            </w:r>
            <w:r>
              <w:rPr>
                <w:rFonts w:ascii="Times New Roman" w:eastAsia="Times New Roman"/>
                <w:spacing w:val="-2"/>
                <w:sz w:val="21"/>
              </w:rPr>
              <w:t>PSP</w:t>
            </w:r>
            <w:r>
              <w:rPr>
                <w:spacing w:val="-2"/>
                <w:sz w:val="21"/>
              </w:rPr>
              <w:t>）又称</w:t>
            </w:r>
            <w:r>
              <w:rPr>
                <w:rFonts w:ascii="Times New Roman" w:eastAsia="Times New Roman"/>
                <w:spacing w:val="-2"/>
                <w:sz w:val="21"/>
              </w:rPr>
              <w:t>Steele-Rchardson-Olszewski</w:t>
            </w:r>
            <w:r>
              <w:rPr>
                <w:spacing w:val="-2"/>
                <w:sz w:val="21"/>
              </w:rPr>
              <w:t>综合症，是一</w:t>
            </w:r>
            <w:r>
              <w:rPr>
                <w:spacing w:val="-2"/>
                <w:sz w:val="21"/>
              </w:rPr>
              <w:t>种神经系统变性疾病，以假球麻痹、垂直性核上性眼肌麻痹、锥体外系</w:t>
            </w:r>
            <w:r>
              <w:rPr>
                <w:spacing w:val="-2"/>
                <w:sz w:val="21"/>
              </w:rPr>
              <w:t>肌僵直、步态共济失调和轻度痴呆为主要临床特征。</w:t>
            </w:r>
            <w:r>
              <w:rPr>
                <w:rFonts w:ascii="黑体" w:eastAsia="黑体"/>
                <w:spacing w:val="-2"/>
                <w:sz w:val="21"/>
              </w:rPr>
              <w:t>PSP必须由三级甲等</w:t>
            </w:r>
            <w:r>
              <w:rPr>
                <w:rFonts w:ascii="黑体" w:eastAsia="黑体"/>
                <w:spacing w:val="-2"/>
                <w:sz w:val="21"/>
              </w:rPr>
              <w:t>医院的神经内科专科医生确诊，</w:t>
            </w:r>
            <w:r>
              <w:rPr>
                <w:spacing w:val="-2"/>
                <w:sz w:val="21"/>
              </w:rPr>
              <w:t>并且被保险人自主生活能力完全丧失，</w:t>
            </w:r>
          </w:p>
          <w:p>
            <w:pPr>
              <w:pStyle w:val="TableParagraph"/>
              <w:spacing w:line="269" w:lineRule="exact" w:before="0"/>
              <w:rPr>
                <w:sz w:val="21"/>
              </w:rPr>
            </w:pPr>
            <w:r>
              <w:rPr>
                <w:spacing w:val="-1"/>
                <w:sz w:val="21"/>
              </w:rPr>
              <w:t>无法独立完成六项基本日常生活活动中的三项或三项以上。</w:t>
            </w:r>
          </w:p>
        </w:tc>
      </w:tr>
      <w:tr>
        <w:trPr>
          <w:trHeight w:val="2184" w:hRule="atLeast"/>
        </w:trPr>
        <w:tc>
          <w:tcPr>
            <w:tcW w:w="1908" w:type="dxa"/>
          </w:tcPr>
          <w:p>
            <w:pPr>
              <w:pStyle w:val="TableParagraph"/>
              <w:spacing w:line="278" w:lineRule="auto" w:before="21"/>
              <w:ind w:right="96"/>
              <w:rPr>
                <w:sz w:val="21"/>
              </w:rPr>
            </w:pPr>
            <w:r>
              <w:rPr>
                <w:spacing w:val="-2"/>
                <w:sz w:val="21"/>
              </w:rPr>
              <w:t>六十五、严重瑞氏</w:t>
            </w:r>
            <w:r>
              <w:rPr>
                <w:spacing w:val="-4"/>
                <w:sz w:val="21"/>
              </w:rPr>
              <w:t>综合征</w:t>
            </w:r>
          </w:p>
        </w:tc>
        <w:tc>
          <w:tcPr>
            <w:tcW w:w="6810" w:type="dxa"/>
          </w:tcPr>
          <w:p>
            <w:pPr>
              <w:pStyle w:val="TableParagraph"/>
              <w:spacing w:line="278" w:lineRule="auto" w:before="21"/>
              <w:ind w:right="180"/>
              <w:jc w:val="both"/>
              <w:rPr>
                <w:rFonts w:ascii="黑体" w:eastAsia="黑体"/>
                <w:sz w:val="21"/>
              </w:rPr>
            </w:pPr>
            <w:r>
              <w:rPr>
                <w:spacing w:val="-2"/>
                <w:sz w:val="21"/>
              </w:rPr>
              <w:t>瑞氏综合征是线粒体功能障碍性疾病。导致脂肪代谢障碍，引起短链脂</w:t>
            </w:r>
            <w:r>
              <w:rPr>
                <w:spacing w:val="-2"/>
                <w:sz w:val="21"/>
              </w:rPr>
              <w:t>肪酸、血氨升高，造成脑水肿。主要临床表现为急性发热、反复呕吐、</w:t>
            </w:r>
            <w:r>
              <w:rPr>
                <w:spacing w:val="-2"/>
                <w:sz w:val="21"/>
              </w:rPr>
              <w:t>惊厥及意识障碍等等。肝脏活检是确诊的重要手段。</w:t>
            </w:r>
            <w:r>
              <w:rPr>
                <w:rFonts w:ascii="黑体" w:eastAsia="黑体"/>
                <w:spacing w:val="-2"/>
                <w:sz w:val="21"/>
              </w:rPr>
              <w:t>瑞氏综合征需由三</w:t>
            </w:r>
            <w:r>
              <w:rPr>
                <w:rFonts w:ascii="黑体" w:eastAsia="黑体"/>
                <w:spacing w:val="-2"/>
                <w:sz w:val="21"/>
              </w:rPr>
              <w:t>级医院的儿科专科医生确诊，并符合下列全部条件：</w:t>
            </w:r>
          </w:p>
          <w:p>
            <w:pPr>
              <w:pStyle w:val="TableParagraph"/>
              <w:numPr>
                <w:ilvl w:val="0"/>
                <w:numId w:val="41"/>
              </w:numPr>
              <w:tabs>
                <w:tab w:pos="468" w:val="left" w:leader="none"/>
              </w:tabs>
              <w:spacing w:line="269" w:lineRule="exact" w:before="0" w:after="0"/>
              <w:ind w:left="467" w:right="0" w:hanging="361"/>
              <w:jc w:val="left"/>
              <w:rPr>
                <w:sz w:val="21"/>
              </w:rPr>
            </w:pPr>
            <w:r>
              <w:rPr>
                <w:spacing w:val="-1"/>
                <w:sz w:val="21"/>
              </w:rPr>
              <w:t>有脑水肿和颅内压升高的脑脊液检查和影像学检查证据；</w:t>
            </w:r>
          </w:p>
          <w:p>
            <w:pPr>
              <w:pStyle w:val="TableParagraph"/>
              <w:numPr>
                <w:ilvl w:val="0"/>
                <w:numId w:val="41"/>
              </w:numPr>
              <w:tabs>
                <w:tab w:pos="468" w:val="left" w:leader="none"/>
              </w:tabs>
              <w:spacing w:line="240" w:lineRule="auto" w:before="43" w:after="0"/>
              <w:ind w:left="467" w:right="0" w:hanging="361"/>
              <w:jc w:val="left"/>
              <w:rPr>
                <w:sz w:val="21"/>
              </w:rPr>
            </w:pPr>
            <w:r>
              <w:rPr>
                <w:spacing w:val="-6"/>
                <w:sz w:val="21"/>
              </w:rPr>
              <w:t>血氨超过正常值的 </w:t>
            </w:r>
            <w:r>
              <w:rPr>
                <w:rFonts w:ascii="Times New Roman" w:eastAsia="Times New Roman"/>
                <w:sz w:val="21"/>
              </w:rPr>
              <w:t>3</w:t>
            </w:r>
            <w:r>
              <w:rPr>
                <w:rFonts w:ascii="Times New Roman" w:eastAsia="Times New Roman"/>
                <w:spacing w:val="-2"/>
                <w:sz w:val="21"/>
              </w:rPr>
              <w:t> </w:t>
            </w:r>
            <w:r>
              <w:rPr>
                <w:spacing w:val="-5"/>
                <w:sz w:val="21"/>
              </w:rPr>
              <w:t>倍；</w:t>
            </w:r>
          </w:p>
          <w:p>
            <w:pPr>
              <w:pStyle w:val="TableParagraph"/>
              <w:numPr>
                <w:ilvl w:val="0"/>
                <w:numId w:val="41"/>
              </w:numPr>
              <w:tabs>
                <w:tab w:pos="468" w:val="left" w:leader="none"/>
              </w:tabs>
              <w:spacing w:line="240" w:lineRule="auto" w:before="43" w:after="0"/>
              <w:ind w:left="467" w:right="0" w:hanging="361"/>
              <w:jc w:val="left"/>
              <w:rPr>
                <w:sz w:val="21"/>
              </w:rPr>
            </w:pPr>
            <w:r>
              <w:rPr>
                <w:spacing w:val="-3"/>
                <w:sz w:val="21"/>
              </w:rPr>
              <w:t>临床出现昏迷，病程至少达到疾病分期第 </w:t>
            </w:r>
            <w:r>
              <w:rPr>
                <w:rFonts w:ascii="Times New Roman" w:eastAsia="Times New Roman"/>
                <w:sz w:val="21"/>
              </w:rPr>
              <w:t>3</w:t>
            </w:r>
            <w:r>
              <w:rPr>
                <w:rFonts w:ascii="Times New Roman" w:eastAsia="Times New Roman"/>
                <w:spacing w:val="-2"/>
                <w:sz w:val="21"/>
              </w:rPr>
              <w:t> </w:t>
            </w:r>
            <w:r>
              <w:rPr>
                <w:spacing w:val="-5"/>
                <w:sz w:val="21"/>
              </w:rPr>
              <w:t>期。</w:t>
            </w:r>
          </w:p>
        </w:tc>
      </w:tr>
    </w:tbl>
    <w:p>
      <w:pPr>
        <w:spacing w:after="0" w:line="240" w:lineRule="auto"/>
        <w:jc w:val="left"/>
        <w:rPr>
          <w:sz w:val="21"/>
        </w:rPr>
        <w:sectPr>
          <w:type w:val="continuous"/>
          <w:pgSz w:w="11910" w:h="16840"/>
          <w:pgMar w:header="0" w:footer="1168" w:top="1460" w:bottom="1360" w:left="1060" w:right="1060"/>
        </w:sectPr>
      </w:pPr>
    </w:p>
    <w:tbl>
      <w:tblPr>
        <w:tblW w:w="0" w:type="auto"/>
        <w:jc w:val="left"/>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08"/>
        <w:gridCol w:w="6810"/>
      </w:tblGrid>
      <w:tr>
        <w:trPr>
          <w:trHeight w:val="1560" w:hRule="atLeast"/>
        </w:trPr>
        <w:tc>
          <w:tcPr>
            <w:tcW w:w="1908" w:type="dxa"/>
          </w:tcPr>
          <w:p>
            <w:pPr>
              <w:pStyle w:val="TableParagraph"/>
              <w:spacing w:line="278" w:lineRule="auto" w:before="21"/>
              <w:ind w:right="96"/>
              <w:rPr>
                <w:sz w:val="21"/>
              </w:rPr>
            </w:pPr>
            <w:r>
              <w:rPr>
                <w:spacing w:val="-2"/>
                <w:sz w:val="21"/>
              </w:rPr>
              <w:t>六十六、肾上腺脑</w:t>
            </w:r>
            <w:r>
              <w:rPr>
                <w:spacing w:val="-2"/>
                <w:sz w:val="21"/>
              </w:rPr>
              <w:t>白质营养不良</w:t>
            </w:r>
          </w:p>
        </w:tc>
        <w:tc>
          <w:tcPr>
            <w:tcW w:w="6810" w:type="dxa"/>
          </w:tcPr>
          <w:p>
            <w:pPr>
              <w:pStyle w:val="TableParagraph"/>
              <w:spacing w:line="278" w:lineRule="auto" w:before="21"/>
              <w:ind w:right="180"/>
              <w:jc w:val="both"/>
              <w:rPr>
                <w:sz w:val="21"/>
              </w:rPr>
            </w:pPr>
            <w:r>
              <w:rPr>
                <w:spacing w:val="-2"/>
                <w:sz w:val="21"/>
              </w:rPr>
              <w:t>是一种最常见的过氧化物酶体病，主要累及肾上腺和脑白质，主要表现</w:t>
            </w:r>
            <w:r>
              <w:rPr>
                <w:spacing w:val="-2"/>
                <w:sz w:val="21"/>
              </w:rPr>
              <w:t>为进行性的精神运动障碍，视力及听力下降和（或）肾上腺皮质功能低</w:t>
            </w:r>
            <w:r>
              <w:rPr>
                <w:spacing w:val="-2"/>
                <w:sz w:val="21"/>
              </w:rPr>
              <w:t>下等。须经专科医生诊断，且已经造成自主生活能力完全丧失，无法独</w:t>
            </w:r>
            <w:r>
              <w:rPr>
                <w:spacing w:val="-1"/>
                <w:sz w:val="21"/>
              </w:rPr>
              <w:t>立完成六项基本日常生活活动中的三项或三项以上，持续至少一百八十</w:t>
            </w:r>
          </w:p>
          <w:p>
            <w:pPr>
              <w:pStyle w:val="TableParagraph"/>
              <w:spacing w:line="269" w:lineRule="exact" w:before="0"/>
              <w:rPr>
                <w:sz w:val="21"/>
              </w:rPr>
            </w:pPr>
            <w:r>
              <w:rPr>
                <w:spacing w:val="-5"/>
                <w:sz w:val="21"/>
              </w:rPr>
              <w:t>天。</w:t>
            </w:r>
          </w:p>
        </w:tc>
      </w:tr>
      <w:tr>
        <w:trPr>
          <w:trHeight w:val="1247" w:hRule="atLeast"/>
        </w:trPr>
        <w:tc>
          <w:tcPr>
            <w:tcW w:w="1908" w:type="dxa"/>
          </w:tcPr>
          <w:p>
            <w:pPr>
              <w:pStyle w:val="TableParagraph"/>
              <w:spacing w:line="278" w:lineRule="auto" w:before="20"/>
              <w:ind w:right="96"/>
              <w:rPr>
                <w:sz w:val="21"/>
              </w:rPr>
            </w:pPr>
            <w:r>
              <w:rPr>
                <w:spacing w:val="-2"/>
                <w:sz w:val="21"/>
              </w:rPr>
              <w:t>六十七、破裂脑动</w:t>
            </w:r>
            <w:r>
              <w:rPr>
                <w:spacing w:val="-2"/>
                <w:sz w:val="21"/>
              </w:rPr>
              <w:t>脉瘤夹闭手术</w:t>
            </w:r>
          </w:p>
        </w:tc>
        <w:tc>
          <w:tcPr>
            <w:tcW w:w="6810" w:type="dxa"/>
          </w:tcPr>
          <w:p>
            <w:pPr>
              <w:pStyle w:val="TableParagraph"/>
              <w:spacing w:line="278" w:lineRule="auto" w:before="20"/>
              <w:ind w:right="180"/>
              <w:rPr>
                <w:sz w:val="21"/>
              </w:rPr>
            </w:pPr>
            <w:r>
              <w:rPr>
                <w:spacing w:val="-2"/>
                <w:sz w:val="21"/>
              </w:rPr>
              <w:t>指因脑动脉瘤破裂造成蛛网膜下腔出血，被保险人实际接受了在全麻下</w:t>
            </w:r>
            <w:r>
              <w:rPr>
                <w:spacing w:val="-2"/>
                <w:sz w:val="21"/>
              </w:rPr>
              <w:t>进行的开颅动脉夹闭手术。</w:t>
            </w:r>
          </w:p>
          <w:p>
            <w:pPr>
              <w:pStyle w:val="TableParagraph"/>
              <w:spacing w:line="269" w:lineRule="exact" w:before="0"/>
              <w:rPr>
                <w:rFonts w:ascii="黑体" w:eastAsia="黑体"/>
                <w:sz w:val="21"/>
              </w:rPr>
            </w:pPr>
            <w:r>
              <w:rPr>
                <w:rFonts w:ascii="黑体" w:eastAsia="黑体"/>
                <w:color w:val="000000"/>
                <w:sz w:val="21"/>
                <w:shd w:fill="D9D9D9" w:color="auto" w:val="clear"/>
              </w:rPr>
              <w:t>脑动脉瘤（未破裂）</w:t>
            </w:r>
            <w:r>
              <w:rPr>
                <w:rFonts w:ascii="黑体" w:eastAsia="黑体"/>
                <w:color w:val="000000"/>
                <w:spacing w:val="-1"/>
                <w:sz w:val="21"/>
                <w:shd w:fill="D9D9D9" w:color="auto" w:val="clear"/>
              </w:rPr>
              <w:t>预防性手术、颅骨打孔手术、动脉瘤栓塞手术、血</w:t>
            </w:r>
          </w:p>
          <w:p>
            <w:pPr>
              <w:pStyle w:val="TableParagraph"/>
              <w:rPr>
                <w:rFonts w:ascii="黑体" w:eastAsia="黑体"/>
                <w:sz w:val="21"/>
              </w:rPr>
            </w:pPr>
            <w:r>
              <w:rPr>
                <w:rFonts w:ascii="黑体" w:eastAsia="黑体"/>
                <w:color w:val="000000"/>
                <w:spacing w:val="-1"/>
                <w:sz w:val="21"/>
                <w:shd w:fill="D9D9D9" w:color="auto" w:val="clear"/>
              </w:rPr>
              <w:t>管内手术及其他颅脑手术不在保障范围内。</w:t>
            </w:r>
          </w:p>
        </w:tc>
      </w:tr>
      <w:tr>
        <w:trPr>
          <w:trHeight w:val="1559" w:hRule="atLeast"/>
        </w:trPr>
        <w:tc>
          <w:tcPr>
            <w:tcW w:w="1908" w:type="dxa"/>
          </w:tcPr>
          <w:p>
            <w:pPr>
              <w:pStyle w:val="TableParagraph"/>
              <w:spacing w:line="278" w:lineRule="auto" w:before="20"/>
              <w:ind w:right="96"/>
              <w:rPr>
                <w:sz w:val="21"/>
              </w:rPr>
            </w:pPr>
            <w:r>
              <w:rPr>
                <w:spacing w:val="-2"/>
                <w:sz w:val="21"/>
              </w:rPr>
              <w:t>六十八、冠状动脉</w:t>
            </w:r>
            <w:r>
              <w:rPr>
                <w:spacing w:val="-2"/>
                <w:sz w:val="21"/>
              </w:rPr>
              <w:t>粥样斑块切除术</w:t>
            </w:r>
          </w:p>
        </w:tc>
        <w:tc>
          <w:tcPr>
            <w:tcW w:w="6810" w:type="dxa"/>
          </w:tcPr>
          <w:p>
            <w:pPr>
              <w:pStyle w:val="TableParagraph"/>
              <w:spacing w:line="278" w:lineRule="auto" w:before="20"/>
              <w:ind w:right="97"/>
              <w:rPr>
                <w:sz w:val="21"/>
              </w:rPr>
            </w:pPr>
            <w:r>
              <w:rPr>
                <w:spacing w:val="-2"/>
                <w:sz w:val="21"/>
              </w:rPr>
              <w:t>指有心绞痛等心脏不适症状，经过血管造影技术检查证实同时存在两支</w:t>
            </w:r>
            <w:r>
              <w:rPr>
                <w:spacing w:val="40"/>
                <w:sz w:val="21"/>
              </w:rPr>
              <w:t> </w:t>
            </w:r>
            <w:r>
              <w:rPr>
                <w:rFonts w:ascii="Times New Roman" w:eastAsia="Times New Roman"/>
                <w:spacing w:val="-2"/>
                <w:sz w:val="21"/>
              </w:rPr>
              <w:t>(</w:t>
            </w:r>
            <w:r>
              <w:rPr>
                <w:spacing w:val="-7"/>
                <w:sz w:val="21"/>
              </w:rPr>
              <w:t>其中一支为左冠状动脉主干、左前降支或左回旋支</w:t>
            </w:r>
            <w:r>
              <w:rPr>
                <w:rFonts w:ascii="Times New Roman" w:eastAsia="Times New Roman"/>
                <w:spacing w:val="-2"/>
                <w:sz w:val="21"/>
              </w:rPr>
              <w:t>)</w:t>
            </w:r>
            <w:r>
              <w:rPr>
                <w:spacing w:val="-2"/>
                <w:sz w:val="21"/>
              </w:rPr>
              <w:t>或更多支的冠状动脉</w:t>
            </w:r>
            <w:r>
              <w:rPr>
                <w:spacing w:val="-2"/>
                <w:sz w:val="21"/>
              </w:rPr>
              <w:t>血管发生严重的狭窄（狭窄程度在</w:t>
            </w:r>
            <w:r>
              <w:rPr>
                <w:rFonts w:ascii="Times New Roman" w:eastAsia="Times New Roman"/>
                <w:spacing w:val="-2"/>
                <w:sz w:val="21"/>
              </w:rPr>
              <w:t>70%</w:t>
            </w:r>
            <w:r>
              <w:rPr>
                <w:spacing w:val="-2"/>
                <w:sz w:val="21"/>
              </w:rPr>
              <w:t>以上</w:t>
            </w:r>
            <w:r>
              <w:rPr>
                <w:spacing w:val="-105"/>
                <w:sz w:val="21"/>
              </w:rPr>
              <w:t>）</w:t>
            </w:r>
            <w:r>
              <w:rPr>
                <w:spacing w:val="-2"/>
                <w:sz w:val="21"/>
              </w:rPr>
              <w:t>，需要并且已实施冠状动脉</w:t>
            </w:r>
            <w:r>
              <w:rPr>
                <w:spacing w:val="-2"/>
                <w:sz w:val="21"/>
              </w:rPr>
              <w:t>粥样斑块切除术以改善血管的血流状况。索赔时必须提供血管造影的影</w:t>
            </w:r>
          </w:p>
          <w:p>
            <w:pPr>
              <w:pStyle w:val="TableParagraph"/>
              <w:spacing w:line="269" w:lineRule="exact" w:before="0"/>
              <w:rPr>
                <w:sz w:val="21"/>
              </w:rPr>
            </w:pPr>
            <w:r>
              <w:rPr>
                <w:spacing w:val="-1"/>
                <w:sz w:val="21"/>
              </w:rPr>
              <w:t>像资料、报告、手术记录和病历。</w:t>
            </w:r>
          </w:p>
        </w:tc>
      </w:tr>
      <w:tr>
        <w:trPr>
          <w:trHeight w:val="2808" w:hRule="atLeast"/>
        </w:trPr>
        <w:tc>
          <w:tcPr>
            <w:tcW w:w="1908" w:type="dxa"/>
          </w:tcPr>
          <w:p>
            <w:pPr>
              <w:pStyle w:val="TableParagraph"/>
              <w:spacing w:line="278" w:lineRule="auto" w:before="21"/>
              <w:ind w:right="96"/>
              <w:rPr>
                <w:sz w:val="21"/>
              </w:rPr>
            </w:pPr>
            <w:r>
              <w:rPr>
                <w:spacing w:val="-2"/>
                <w:sz w:val="21"/>
              </w:rPr>
              <w:t>六十九、肺源性心</w:t>
            </w:r>
            <w:r>
              <w:rPr>
                <w:spacing w:val="-6"/>
                <w:sz w:val="21"/>
              </w:rPr>
              <w:t>脏病</w:t>
            </w:r>
          </w:p>
        </w:tc>
        <w:tc>
          <w:tcPr>
            <w:tcW w:w="6810" w:type="dxa"/>
          </w:tcPr>
          <w:p>
            <w:pPr>
              <w:pStyle w:val="TableParagraph"/>
              <w:spacing w:line="278" w:lineRule="auto" w:before="21"/>
              <w:ind w:right="92"/>
              <w:jc w:val="both"/>
              <w:rPr>
                <w:rFonts w:ascii="黑体" w:eastAsia="黑体"/>
                <w:sz w:val="21"/>
              </w:rPr>
            </w:pPr>
            <w:r>
              <w:rPr>
                <w:spacing w:val="-2"/>
                <w:sz w:val="21"/>
              </w:rPr>
              <w:t>指由于各种胸肺及支气管病变而继发的肺动脉高压，最后导致以右室肥</w:t>
            </w:r>
            <w:r>
              <w:rPr>
                <w:spacing w:val="-2"/>
                <w:sz w:val="21"/>
              </w:rPr>
              <w:t>大为特征的心脏病。</w:t>
            </w:r>
            <w:r>
              <w:rPr>
                <w:rFonts w:ascii="黑体" w:eastAsia="黑体"/>
                <w:spacing w:val="-2"/>
                <w:sz w:val="21"/>
              </w:rPr>
              <w:t>须经呼吸科专科医生确诊，且必须同时满足如下诊</w:t>
            </w:r>
            <w:r>
              <w:rPr>
                <w:rFonts w:ascii="黑体" w:eastAsia="黑体"/>
                <w:spacing w:val="-4"/>
                <w:sz w:val="21"/>
              </w:rPr>
              <w:t>断标准：</w:t>
            </w:r>
          </w:p>
          <w:p>
            <w:pPr>
              <w:pStyle w:val="TableParagraph"/>
              <w:numPr>
                <w:ilvl w:val="0"/>
                <w:numId w:val="42"/>
              </w:numPr>
              <w:tabs>
                <w:tab w:pos="468" w:val="left" w:leader="none"/>
              </w:tabs>
              <w:spacing w:line="269" w:lineRule="exact" w:before="0" w:after="0"/>
              <w:ind w:left="467" w:right="0" w:hanging="361"/>
              <w:jc w:val="both"/>
              <w:rPr>
                <w:sz w:val="21"/>
              </w:rPr>
            </w:pPr>
            <w:r>
              <w:rPr>
                <w:sz w:val="21"/>
              </w:rPr>
              <w:t>左心房压力增高（</w:t>
            </w:r>
            <w:r>
              <w:rPr>
                <w:spacing w:val="-14"/>
                <w:sz w:val="21"/>
              </w:rPr>
              <w:t>不低于 </w:t>
            </w:r>
            <w:r>
              <w:rPr>
                <w:rFonts w:ascii="Times New Roman" w:eastAsia="Times New Roman"/>
                <w:sz w:val="21"/>
              </w:rPr>
              <w:t>20</w:t>
            </w:r>
            <w:r>
              <w:rPr>
                <w:rFonts w:ascii="Times New Roman" w:eastAsia="Times New Roman"/>
                <w:spacing w:val="-3"/>
                <w:sz w:val="21"/>
              </w:rPr>
              <w:t> </w:t>
            </w:r>
            <w:r>
              <w:rPr>
                <w:sz w:val="21"/>
              </w:rPr>
              <w:t>个单位</w:t>
            </w:r>
            <w:r>
              <w:rPr>
                <w:spacing w:val="-110"/>
                <w:sz w:val="21"/>
              </w:rPr>
              <w:t>）</w:t>
            </w:r>
            <w:r>
              <w:rPr>
                <w:spacing w:val="-5"/>
                <w:sz w:val="21"/>
              </w:rPr>
              <w:t>；</w:t>
            </w:r>
          </w:p>
          <w:p>
            <w:pPr>
              <w:pStyle w:val="TableParagraph"/>
              <w:numPr>
                <w:ilvl w:val="0"/>
                <w:numId w:val="42"/>
              </w:numPr>
              <w:tabs>
                <w:tab w:pos="468" w:val="left" w:leader="none"/>
              </w:tabs>
              <w:spacing w:line="240" w:lineRule="auto" w:before="43" w:after="0"/>
              <w:ind w:left="467" w:right="0" w:hanging="361"/>
              <w:jc w:val="both"/>
              <w:rPr>
                <w:sz w:val="21"/>
              </w:rPr>
            </w:pPr>
            <w:r>
              <w:rPr>
                <w:spacing w:val="-5"/>
                <w:sz w:val="21"/>
              </w:rPr>
              <w:t>肺血管阻力高于正常值 </w:t>
            </w:r>
            <w:r>
              <w:rPr>
                <w:rFonts w:ascii="Times New Roman" w:eastAsia="Times New Roman"/>
                <w:sz w:val="21"/>
              </w:rPr>
              <w:t>3</w:t>
            </w:r>
            <w:r>
              <w:rPr>
                <w:rFonts w:ascii="Times New Roman" w:eastAsia="Times New Roman"/>
                <w:spacing w:val="-2"/>
                <w:sz w:val="21"/>
              </w:rPr>
              <w:t> </w:t>
            </w:r>
            <w:r>
              <w:rPr>
                <w:sz w:val="21"/>
              </w:rPr>
              <w:t>个单位（</w:t>
            </w:r>
            <w:r>
              <w:rPr>
                <w:rFonts w:ascii="Times New Roman" w:eastAsia="Times New Roman"/>
                <w:sz w:val="21"/>
              </w:rPr>
              <w:t>Pulmonary </w:t>
            </w:r>
            <w:r>
              <w:rPr>
                <w:rFonts w:ascii="Times New Roman" w:eastAsia="Times New Roman"/>
                <w:spacing w:val="7"/>
                <w:sz w:val="21"/>
              </w:rPr>
              <w:t>Resi</w:t>
            </w:r>
            <w:r>
              <w:rPr>
                <w:rFonts w:ascii="Times New Roman" w:eastAsia="Times New Roman"/>
                <w:spacing w:val="5"/>
                <w:sz w:val="21"/>
              </w:rPr>
              <w:t>s</w:t>
            </w:r>
            <w:r>
              <w:rPr>
                <w:rFonts w:ascii="Times New Roman" w:eastAsia="Times New Roman"/>
                <w:spacing w:val="7"/>
                <w:sz w:val="21"/>
              </w:rPr>
              <w:t>tanc</w:t>
            </w:r>
            <w:r>
              <w:rPr>
                <w:rFonts w:ascii="Times New Roman" w:eastAsia="Times New Roman"/>
                <w:spacing w:val="6"/>
                <w:sz w:val="21"/>
              </w:rPr>
              <w:t>e</w:t>
            </w:r>
            <w:r>
              <w:rPr>
                <w:spacing w:val="-98"/>
                <w:sz w:val="21"/>
              </w:rPr>
              <w:t>）</w:t>
            </w:r>
            <w:r>
              <w:rPr>
                <w:spacing w:val="7"/>
                <w:sz w:val="21"/>
              </w:rPr>
              <w:t>；</w:t>
            </w:r>
          </w:p>
          <w:p>
            <w:pPr>
              <w:pStyle w:val="TableParagraph"/>
              <w:numPr>
                <w:ilvl w:val="0"/>
                <w:numId w:val="42"/>
              </w:numPr>
              <w:tabs>
                <w:tab w:pos="468" w:val="left" w:leader="none"/>
              </w:tabs>
              <w:spacing w:line="240" w:lineRule="auto" w:before="43" w:after="0"/>
              <w:ind w:left="467" w:right="0" w:hanging="361"/>
              <w:jc w:val="left"/>
              <w:rPr>
                <w:sz w:val="21"/>
              </w:rPr>
            </w:pPr>
            <w:r>
              <w:rPr>
                <w:spacing w:val="-6"/>
                <w:sz w:val="21"/>
              </w:rPr>
              <w:t>肺动脉血压不低于 </w:t>
            </w:r>
            <w:r>
              <w:rPr>
                <w:rFonts w:ascii="Times New Roman" w:eastAsia="Times New Roman"/>
                <w:spacing w:val="-2"/>
                <w:sz w:val="21"/>
              </w:rPr>
              <w:t>40mmHg</w:t>
            </w:r>
            <w:r>
              <w:rPr>
                <w:spacing w:val="-2"/>
                <w:sz w:val="21"/>
              </w:rPr>
              <w:t>；</w:t>
            </w:r>
          </w:p>
          <w:p>
            <w:pPr>
              <w:pStyle w:val="TableParagraph"/>
              <w:numPr>
                <w:ilvl w:val="0"/>
                <w:numId w:val="42"/>
              </w:numPr>
              <w:tabs>
                <w:tab w:pos="468" w:val="left" w:leader="none"/>
              </w:tabs>
              <w:spacing w:line="240" w:lineRule="auto" w:before="43" w:after="0"/>
              <w:ind w:left="467" w:right="0" w:hanging="361"/>
              <w:jc w:val="left"/>
              <w:rPr>
                <w:sz w:val="21"/>
              </w:rPr>
            </w:pPr>
            <w:r>
              <w:rPr>
                <w:spacing w:val="-6"/>
                <w:sz w:val="21"/>
              </w:rPr>
              <w:t>肺动脉楔压不低于 </w:t>
            </w:r>
            <w:r>
              <w:rPr>
                <w:rFonts w:ascii="Times New Roman" w:eastAsia="Times New Roman"/>
                <w:spacing w:val="-2"/>
                <w:sz w:val="21"/>
              </w:rPr>
              <w:t>6mmHg</w:t>
            </w:r>
            <w:r>
              <w:rPr>
                <w:spacing w:val="-2"/>
                <w:sz w:val="21"/>
              </w:rPr>
              <w:t>；</w:t>
            </w:r>
          </w:p>
          <w:p>
            <w:pPr>
              <w:pStyle w:val="TableParagraph"/>
              <w:numPr>
                <w:ilvl w:val="0"/>
                <w:numId w:val="42"/>
              </w:numPr>
              <w:tabs>
                <w:tab w:pos="468" w:val="left" w:leader="none"/>
              </w:tabs>
              <w:spacing w:line="240" w:lineRule="auto" w:before="43" w:after="0"/>
              <w:ind w:left="467" w:right="0" w:hanging="361"/>
              <w:jc w:val="left"/>
              <w:rPr>
                <w:sz w:val="21"/>
              </w:rPr>
            </w:pPr>
            <w:r>
              <w:rPr>
                <w:spacing w:val="-4"/>
                <w:sz w:val="21"/>
              </w:rPr>
              <w:t>右心室心脏舒张期末压力不低于 </w:t>
            </w:r>
            <w:r>
              <w:rPr>
                <w:rFonts w:ascii="Times New Roman" w:eastAsia="Times New Roman"/>
                <w:spacing w:val="-2"/>
                <w:sz w:val="21"/>
              </w:rPr>
              <w:t>8mmHg</w:t>
            </w:r>
            <w:r>
              <w:rPr>
                <w:spacing w:val="-2"/>
                <w:sz w:val="21"/>
              </w:rPr>
              <w:t>；</w:t>
            </w:r>
          </w:p>
          <w:p>
            <w:pPr>
              <w:pStyle w:val="TableParagraph"/>
              <w:numPr>
                <w:ilvl w:val="0"/>
                <w:numId w:val="42"/>
              </w:numPr>
              <w:tabs>
                <w:tab w:pos="468" w:val="left" w:leader="none"/>
              </w:tabs>
              <w:spacing w:line="240" w:lineRule="auto" w:before="43" w:after="0"/>
              <w:ind w:left="467" w:right="0" w:hanging="361"/>
              <w:jc w:val="left"/>
              <w:rPr>
                <w:sz w:val="21"/>
              </w:rPr>
            </w:pPr>
            <w:r>
              <w:rPr>
                <w:spacing w:val="-1"/>
                <w:sz w:val="21"/>
              </w:rPr>
              <w:t>右心室过度肥大、扩张，出现右心衰竭和呼吸困难。</w:t>
            </w:r>
          </w:p>
        </w:tc>
      </w:tr>
      <w:tr>
        <w:trPr>
          <w:trHeight w:val="1559" w:hRule="atLeast"/>
        </w:trPr>
        <w:tc>
          <w:tcPr>
            <w:tcW w:w="1908" w:type="dxa"/>
          </w:tcPr>
          <w:p>
            <w:pPr>
              <w:pStyle w:val="TableParagraph"/>
              <w:spacing w:line="278" w:lineRule="auto" w:before="20"/>
              <w:ind w:right="96"/>
              <w:rPr>
                <w:sz w:val="21"/>
              </w:rPr>
            </w:pPr>
            <w:r>
              <w:rPr>
                <w:spacing w:val="-2"/>
                <w:sz w:val="21"/>
              </w:rPr>
              <w:t>七十、主动脉夹层</w:t>
            </w:r>
            <w:r>
              <w:rPr>
                <w:spacing w:val="-10"/>
                <w:sz w:val="21"/>
              </w:rPr>
              <w:t>瘤</w:t>
            </w:r>
          </w:p>
        </w:tc>
        <w:tc>
          <w:tcPr>
            <w:tcW w:w="6810" w:type="dxa"/>
          </w:tcPr>
          <w:p>
            <w:pPr>
              <w:pStyle w:val="TableParagraph"/>
              <w:spacing w:line="278" w:lineRule="auto" w:before="20"/>
              <w:ind w:right="96"/>
              <w:jc w:val="both"/>
              <w:rPr>
                <w:sz w:val="21"/>
              </w:rPr>
            </w:pPr>
            <w:r>
              <w:rPr>
                <w:spacing w:val="-2"/>
                <w:sz w:val="21"/>
              </w:rPr>
              <w:t>指主动脉壁在受到某些病理因素的破坏后，高速、高压的主动脉血流将</w:t>
            </w:r>
            <w:r>
              <w:rPr>
                <w:spacing w:val="-2"/>
                <w:sz w:val="21"/>
              </w:rPr>
              <w:t>其内膜撕裂，以致主动脉腔内的血流通过主动脉内膜的破裂口进入主动</w:t>
            </w:r>
            <w:r>
              <w:rPr>
                <w:spacing w:val="-6"/>
                <w:sz w:val="21"/>
              </w:rPr>
              <w:t>脉内壁而形成血肿。被保险人需通过电脑断层扫描</w:t>
            </w:r>
            <w:r>
              <w:rPr>
                <w:spacing w:val="20"/>
                <w:sz w:val="21"/>
              </w:rPr>
              <w:t>（</w:t>
            </w:r>
            <w:r>
              <w:rPr>
                <w:rFonts w:ascii="Times New Roman" w:eastAsia="Times New Roman"/>
                <w:spacing w:val="20"/>
                <w:sz w:val="21"/>
              </w:rPr>
              <w:t>CT</w:t>
            </w:r>
            <w:r>
              <w:rPr>
                <w:spacing w:val="-85"/>
                <w:sz w:val="21"/>
              </w:rPr>
              <w:t>）</w:t>
            </w:r>
            <w:r>
              <w:rPr>
                <w:spacing w:val="-7"/>
                <w:sz w:val="21"/>
              </w:rPr>
              <w:t>、核磁共振扫描</w:t>
            </w:r>
          </w:p>
          <w:p>
            <w:pPr>
              <w:pStyle w:val="TableParagraph"/>
              <w:spacing w:line="269" w:lineRule="exact" w:before="0"/>
              <w:rPr>
                <w:sz w:val="21"/>
              </w:rPr>
            </w:pPr>
            <w:r>
              <w:rPr>
                <w:spacing w:val="15"/>
                <w:sz w:val="21"/>
              </w:rPr>
              <w:t>（</w:t>
            </w:r>
            <w:r>
              <w:rPr>
                <w:rFonts w:ascii="Times New Roman" w:eastAsia="Times New Roman"/>
                <w:spacing w:val="15"/>
                <w:sz w:val="21"/>
              </w:rPr>
              <w:t>MR</w:t>
            </w:r>
            <w:r>
              <w:rPr>
                <w:rFonts w:ascii="Times New Roman" w:eastAsia="Times New Roman"/>
                <w:spacing w:val="14"/>
                <w:sz w:val="21"/>
              </w:rPr>
              <w:t>I</w:t>
            </w:r>
            <w:r>
              <w:rPr>
                <w:spacing w:val="-90"/>
                <w:sz w:val="21"/>
              </w:rPr>
              <w:t>）</w:t>
            </w:r>
            <w:r>
              <w:rPr>
                <w:spacing w:val="-6"/>
                <w:sz w:val="21"/>
              </w:rPr>
              <w:t>、核磁共振血管检验法（</w:t>
            </w:r>
            <w:r>
              <w:rPr>
                <w:rFonts w:ascii="Times New Roman" w:eastAsia="Times New Roman"/>
                <w:spacing w:val="-6"/>
                <w:sz w:val="21"/>
              </w:rPr>
              <w:t>MRA</w:t>
            </w:r>
            <w:r>
              <w:rPr>
                <w:spacing w:val="-6"/>
                <w:sz w:val="21"/>
              </w:rPr>
              <w:t>）</w:t>
            </w:r>
            <w:r>
              <w:rPr>
                <w:spacing w:val="-7"/>
                <w:sz w:val="21"/>
              </w:rPr>
              <w:t>或血管扫描等检查，并须经专科</w:t>
            </w:r>
          </w:p>
          <w:p>
            <w:pPr>
              <w:pStyle w:val="TableParagraph"/>
              <w:rPr>
                <w:sz w:val="21"/>
              </w:rPr>
            </w:pPr>
            <w:r>
              <w:rPr>
                <w:spacing w:val="-2"/>
                <w:sz w:val="21"/>
              </w:rPr>
              <w:t>医生确诊。</w:t>
            </w:r>
          </w:p>
        </w:tc>
      </w:tr>
      <w:tr>
        <w:trPr>
          <w:trHeight w:val="1559" w:hRule="atLeast"/>
        </w:trPr>
        <w:tc>
          <w:tcPr>
            <w:tcW w:w="1908" w:type="dxa"/>
          </w:tcPr>
          <w:p>
            <w:pPr>
              <w:pStyle w:val="TableParagraph"/>
              <w:spacing w:line="278" w:lineRule="auto" w:before="20"/>
              <w:ind w:right="96"/>
              <w:rPr>
                <w:sz w:val="21"/>
              </w:rPr>
            </w:pPr>
            <w:r>
              <w:rPr>
                <w:spacing w:val="-2"/>
                <w:sz w:val="21"/>
              </w:rPr>
              <w:t>七十一、严重的成</w:t>
            </w:r>
            <w:r>
              <w:rPr>
                <w:spacing w:val="-2"/>
                <w:sz w:val="21"/>
              </w:rPr>
              <w:t>人斯蒂尔病</w:t>
            </w:r>
          </w:p>
        </w:tc>
        <w:tc>
          <w:tcPr>
            <w:tcW w:w="6810" w:type="dxa"/>
          </w:tcPr>
          <w:p>
            <w:pPr>
              <w:pStyle w:val="TableParagraph"/>
              <w:spacing w:before="20"/>
              <w:rPr>
                <w:sz w:val="21"/>
              </w:rPr>
            </w:pPr>
            <w:r>
              <w:rPr>
                <w:spacing w:val="-1"/>
                <w:sz w:val="21"/>
              </w:rPr>
              <w:t>严重的成人斯蒂尔病须满足下列全部条件：</w:t>
            </w:r>
          </w:p>
          <w:p>
            <w:pPr>
              <w:pStyle w:val="TableParagraph"/>
              <w:numPr>
                <w:ilvl w:val="0"/>
                <w:numId w:val="43"/>
              </w:numPr>
              <w:tabs>
                <w:tab w:pos="468" w:val="left" w:leader="none"/>
              </w:tabs>
              <w:spacing w:line="278" w:lineRule="auto" w:before="43" w:after="0"/>
              <w:ind w:left="467" w:right="96" w:hanging="360"/>
              <w:jc w:val="left"/>
              <w:rPr>
                <w:sz w:val="21"/>
              </w:rPr>
            </w:pPr>
            <w:r>
              <w:rPr>
                <w:spacing w:val="-4"/>
                <w:sz w:val="21"/>
              </w:rPr>
              <w:t>因该病引致广泛性关节破坏，以致需要进行膝关节或髋关节置换，并</w:t>
            </w:r>
            <w:r>
              <w:rPr>
                <w:spacing w:val="-2"/>
                <w:sz w:val="21"/>
              </w:rPr>
              <w:t>且实际进行了膝关节或髋关节置换；</w:t>
            </w:r>
          </w:p>
          <w:p>
            <w:pPr>
              <w:pStyle w:val="TableParagraph"/>
              <w:numPr>
                <w:ilvl w:val="0"/>
                <w:numId w:val="43"/>
              </w:numPr>
              <w:tabs>
                <w:tab w:pos="468" w:val="left" w:leader="none"/>
              </w:tabs>
              <w:spacing w:line="269" w:lineRule="exact" w:before="0" w:after="0"/>
              <w:ind w:left="467" w:right="0" w:hanging="361"/>
              <w:jc w:val="left"/>
              <w:rPr>
                <w:rFonts w:ascii="黑体" w:eastAsia="黑体"/>
                <w:sz w:val="21"/>
              </w:rPr>
            </w:pPr>
            <w:r>
              <w:rPr>
                <w:rFonts w:ascii="黑体" w:eastAsia="黑体"/>
                <w:spacing w:val="-1"/>
                <w:sz w:val="21"/>
              </w:rPr>
              <w:t>由风湿病科专科医生确定诊断；</w:t>
            </w:r>
          </w:p>
          <w:p>
            <w:pPr>
              <w:pStyle w:val="TableParagraph"/>
              <w:numPr>
                <w:ilvl w:val="0"/>
                <w:numId w:val="43"/>
              </w:numPr>
              <w:tabs>
                <w:tab w:pos="468" w:val="left" w:leader="none"/>
              </w:tabs>
              <w:spacing w:line="240" w:lineRule="auto" w:before="43" w:after="0"/>
              <w:ind w:left="467" w:right="0" w:hanging="361"/>
              <w:jc w:val="left"/>
              <w:rPr>
                <w:sz w:val="21"/>
              </w:rPr>
            </w:pPr>
            <w:r>
              <w:rPr>
                <w:spacing w:val="-1"/>
                <w:sz w:val="21"/>
              </w:rPr>
              <w:t>理赔时被保险人已满十八周岁。</w:t>
            </w:r>
          </w:p>
        </w:tc>
      </w:tr>
      <w:tr>
        <w:trPr>
          <w:trHeight w:val="3120" w:hRule="atLeast"/>
        </w:trPr>
        <w:tc>
          <w:tcPr>
            <w:tcW w:w="1908" w:type="dxa"/>
          </w:tcPr>
          <w:p>
            <w:pPr>
              <w:pStyle w:val="TableParagraph"/>
              <w:spacing w:line="278" w:lineRule="auto" w:before="21"/>
              <w:ind w:right="96"/>
              <w:rPr>
                <w:sz w:val="21"/>
              </w:rPr>
            </w:pPr>
            <w:r>
              <w:rPr>
                <w:spacing w:val="-2"/>
                <w:sz w:val="21"/>
              </w:rPr>
              <w:t>七十二、严重传染</w:t>
            </w:r>
            <w:r>
              <w:rPr>
                <w:spacing w:val="-2"/>
                <w:sz w:val="21"/>
              </w:rPr>
              <w:t>性心内膜炎</w:t>
            </w:r>
          </w:p>
        </w:tc>
        <w:tc>
          <w:tcPr>
            <w:tcW w:w="6810" w:type="dxa"/>
          </w:tcPr>
          <w:p>
            <w:pPr>
              <w:pStyle w:val="TableParagraph"/>
              <w:spacing w:before="21"/>
              <w:rPr>
                <w:rFonts w:ascii="Times New Roman" w:eastAsia="Times New Roman"/>
                <w:sz w:val="21"/>
              </w:rPr>
            </w:pPr>
            <w:r>
              <w:rPr>
                <w:sz w:val="21"/>
              </w:rPr>
              <w:t>指因感染性微生物造成心脏内膜发炎，并符合下列全部条件</w:t>
            </w:r>
            <w:r>
              <w:rPr>
                <w:rFonts w:ascii="Times New Roman" w:eastAsia="Times New Roman"/>
                <w:spacing w:val="-10"/>
                <w:sz w:val="21"/>
              </w:rPr>
              <w:t>:</w:t>
            </w:r>
          </w:p>
          <w:p>
            <w:pPr>
              <w:pStyle w:val="TableParagraph"/>
              <w:numPr>
                <w:ilvl w:val="0"/>
                <w:numId w:val="44"/>
              </w:numPr>
              <w:tabs>
                <w:tab w:pos="468" w:val="left" w:leader="none"/>
              </w:tabs>
              <w:spacing w:line="240" w:lineRule="auto" w:before="43" w:after="0"/>
              <w:ind w:left="467" w:right="0" w:hanging="361"/>
              <w:jc w:val="left"/>
              <w:rPr>
                <w:sz w:val="21"/>
              </w:rPr>
            </w:pPr>
            <w:r>
              <w:rPr>
                <w:spacing w:val="-1"/>
                <w:sz w:val="21"/>
              </w:rPr>
              <w:t>血液培养测试结果为阳性，证实存在感染性微生物：</w:t>
            </w:r>
          </w:p>
          <w:p>
            <w:pPr>
              <w:pStyle w:val="TableParagraph"/>
              <w:tabs>
                <w:tab w:pos="887" w:val="left" w:leader="none"/>
              </w:tabs>
              <w:spacing w:line="278" w:lineRule="auto"/>
              <w:ind w:left="887" w:right="97" w:hanging="420"/>
              <w:rPr>
                <w:sz w:val="21"/>
              </w:rPr>
            </w:pPr>
            <w:r>
              <w:rPr>
                <w:spacing w:val="-10"/>
                <w:sz w:val="21"/>
              </w:rPr>
              <w:t>①</w:t>
            </w:r>
            <w:r>
              <w:rPr>
                <w:sz w:val="21"/>
              </w:rPr>
              <w:tab/>
            </w:r>
            <w:r>
              <w:rPr>
                <w:spacing w:val="-4"/>
                <w:sz w:val="21"/>
              </w:rPr>
              <w:t>微生物：在赘生物，栓塞的赘生物或心脏内脓疡经培养或组织检</w:t>
            </w:r>
            <w:r>
              <w:rPr>
                <w:spacing w:val="-2"/>
                <w:sz w:val="21"/>
              </w:rPr>
              <w:t>查证实有微生物；或</w:t>
            </w:r>
          </w:p>
          <w:p>
            <w:pPr>
              <w:pStyle w:val="TableParagraph"/>
              <w:tabs>
                <w:tab w:pos="887" w:val="left" w:leader="none"/>
              </w:tabs>
              <w:spacing w:line="278" w:lineRule="auto" w:before="0"/>
              <w:ind w:left="887" w:right="96" w:hanging="420"/>
              <w:rPr>
                <w:sz w:val="21"/>
              </w:rPr>
            </w:pPr>
            <w:r>
              <w:rPr>
                <w:spacing w:val="-10"/>
                <w:sz w:val="21"/>
              </w:rPr>
              <w:t>②</w:t>
            </w:r>
            <w:r>
              <w:rPr>
                <w:sz w:val="21"/>
              </w:rPr>
              <w:tab/>
            </w:r>
            <w:r>
              <w:rPr>
                <w:spacing w:val="-10"/>
                <w:sz w:val="21"/>
              </w:rPr>
              <w:t>病理性病灶：组织检查证实赘生物或心脏内脓疡有活动性心内膜</w:t>
            </w:r>
            <w:r>
              <w:rPr>
                <w:spacing w:val="-4"/>
                <w:sz w:val="21"/>
              </w:rPr>
              <w:t>炎；或</w:t>
            </w:r>
          </w:p>
          <w:p>
            <w:pPr>
              <w:pStyle w:val="TableParagraph"/>
              <w:tabs>
                <w:tab w:pos="887" w:val="left" w:leader="none"/>
              </w:tabs>
              <w:spacing w:line="269" w:lineRule="exact" w:before="0"/>
              <w:ind w:left="467"/>
              <w:rPr>
                <w:sz w:val="21"/>
              </w:rPr>
            </w:pPr>
            <w:r>
              <w:rPr>
                <w:spacing w:val="-10"/>
                <w:sz w:val="21"/>
              </w:rPr>
              <w:t>③</w:t>
            </w:r>
            <w:r>
              <w:rPr>
                <w:sz w:val="21"/>
              </w:rPr>
              <w:tab/>
            </w:r>
            <w:r>
              <w:rPr>
                <w:spacing w:val="-1"/>
                <w:sz w:val="21"/>
              </w:rPr>
              <w:t>分别两次血液培养证实有典型之微生物且与心内膜炎符合；或</w:t>
            </w:r>
          </w:p>
          <w:p>
            <w:pPr>
              <w:pStyle w:val="TableParagraph"/>
              <w:tabs>
                <w:tab w:pos="887" w:val="left" w:leader="none"/>
              </w:tabs>
              <w:ind w:left="467"/>
              <w:rPr>
                <w:sz w:val="21"/>
              </w:rPr>
            </w:pPr>
            <w:r>
              <w:rPr>
                <w:spacing w:val="-10"/>
                <w:sz w:val="21"/>
              </w:rPr>
              <w:t>④</w:t>
            </w:r>
            <w:r>
              <w:rPr>
                <w:sz w:val="21"/>
              </w:rPr>
              <w:tab/>
            </w:r>
            <w:r>
              <w:rPr>
                <w:spacing w:val="-1"/>
                <w:sz w:val="21"/>
              </w:rPr>
              <w:t>持续血液培养证实有微生物阳性反应，且与心内膜炎符合。</w:t>
            </w:r>
          </w:p>
          <w:p>
            <w:pPr>
              <w:pStyle w:val="TableParagraph"/>
              <w:numPr>
                <w:ilvl w:val="0"/>
                <w:numId w:val="44"/>
              </w:numPr>
              <w:tabs>
                <w:tab w:pos="468" w:val="left" w:leader="none"/>
              </w:tabs>
              <w:spacing w:line="310" w:lineRule="atLeast" w:before="2" w:after="0"/>
              <w:ind w:left="467" w:right="97" w:hanging="360"/>
              <w:jc w:val="left"/>
              <w:rPr>
                <w:sz w:val="21"/>
              </w:rPr>
            </w:pPr>
            <w:r>
              <w:rPr>
                <w:spacing w:val="-4"/>
                <w:sz w:val="21"/>
              </w:rPr>
              <w:t>心内膜炎引起中度心瓣膜闭锁不全（</w:t>
            </w:r>
            <w:r>
              <w:rPr>
                <w:spacing w:val="-12"/>
                <w:sz w:val="21"/>
              </w:rPr>
              <w:t>指返流分数 </w:t>
            </w:r>
            <w:r>
              <w:rPr>
                <w:rFonts w:ascii="Times New Roman" w:eastAsia="Times New Roman"/>
                <w:spacing w:val="-4"/>
                <w:sz w:val="21"/>
              </w:rPr>
              <w:t>20%</w:t>
            </w:r>
            <w:r>
              <w:rPr>
                <w:spacing w:val="-4"/>
                <w:sz w:val="21"/>
              </w:rPr>
              <w:t>或以上）或中度</w:t>
            </w:r>
            <w:r>
              <w:rPr>
                <w:sz w:val="21"/>
              </w:rPr>
              <w:t>心瓣膜狭窄（</w:t>
            </w:r>
            <w:r>
              <w:rPr>
                <w:spacing w:val="-3"/>
                <w:sz w:val="21"/>
              </w:rPr>
              <w:t>指心瓣膜开口范围少于或等于正常的 </w:t>
            </w:r>
            <w:r>
              <w:rPr>
                <w:rFonts w:ascii="Times New Roman" w:eastAsia="Times New Roman"/>
                <w:spacing w:val="21"/>
                <w:sz w:val="21"/>
              </w:rPr>
              <w:t>3</w:t>
            </w:r>
            <w:r>
              <w:rPr>
                <w:rFonts w:ascii="Times New Roman" w:eastAsia="Times New Roman"/>
                <w:spacing w:val="20"/>
                <w:sz w:val="21"/>
              </w:rPr>
              <w:t>0</w:t>
            </w:r>
            <w:r>
              <w:rPr>
                <w:rFonts w:ascii="Times New Roman" w:eastAsia="Times New Roman"/>
                <w:spacing w:val="21"/>
                <w:sz w:val="21"/>
              </w:rPr>
              <w:t>%</w:t>
            </w:r>
            <w:r>
              <w:rPr>
                <w:spacing w:val="-84"/>
                <w:sz w:val="21"/>
              </w:rPr>
              <w:t>）</w:t>
            </w:r>
            <w:r>
              <w:rPr>
                <w:spacing w:val="21"/>
                <w:sz w:val="21"/>
              </w:rPr>
              <w:t>；</w:t>
            </w:r>
          </w:p>
        </w:tc>
      </w:tr>
    </w:tbl>
    <w:p>
      <w:pPr>
        <w:spacing w:after="0" w:line="310" w:lineRule="atLeast"/>
        <w:jc w:val="left"/>
        <w:rPr>
          <w:sz w:val="21"/>
        </w:rPr>
        <w:sectPr>
          <w:type w:val="continuous"/>
          <w:pgSz w:w="11910" w:h="16840"/>
          <w:pgMar w:header="0" w:footer="1168" w:top="1460" w:bottom="1731" w:left="1060" w:right="1060"/>
        </w:sectPr>
      </w:pPr>
    </w:p>
    <w:tbl>
      <w:tblPr>
        <w:tblW w:w="0" w:type="auto"/>
        <w:jc w:val="left"/>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08"/>
        <w:gridCol w:w="6810"/>
      </w:tblGrid>
      <w:tr>
        <w:trPr>
          <w:trHeight w:val="312" w:hRule="atLeast"/>
        </w:trPr>
        <w:tc>
          <w:tcPr>
            <w:tcW w:w="1908" w:type="dxa"/>
          </w:tcPr>
          <w:p>
            <w:pPr>
              <w:pStyle w:val="TableParagraph"/>
              <w:spacing w:before="0"/>
              <w:ind w:left="0"/>
              <w:rPr>
                <w:rFonts w:ascii="Times New Roman"/>
                <w:sz w:val="20"/>
              </w:rPr>
            </w:pPr>
          </w:p>
        </w:tc>
        <w:tc>
          <w:tcPr>
            <w:tcW w:w="6810" w:type="dxa"/>
          </w:tcPr>
          <w:p>
            <w:pPr>
              <w:pStyle w:val="TableParagraph"/>
              <w:spacing w:before="21"/>
              <w:rPr>
                <w:rFonts w:ascii="黑体" w:eastAsia="黑体"/>
                <w:sz w:val="21"/>
              </w:rPr>
            </w:pPr>
            <w:r>
              <w:rPr>
                <w:spacing w:val="-2"/>
                <w:sz w:val="21"/>
              </w:rPr>
              <w:t>(3</w:t>
            </w:r>
            <w:r>
              <w:rPr>
                <w:spacing w:val="-7"/>
                <w:sz w:val="21"/>
              </w:rPr>
              <w:t>) </w:t>
            </w:r>
            <w:r>
              <w:rPr>
                <w:rFonts w:ascii="黑体" w:eastAsia="黑体"/>
                <w:spacing w:val="-3"/>
                <w:sz w:val="21"/>
              </w:rPr>
              <w:t>心内膜炎及心瓣膜损毁程度需经由心脏专科医生确诊。</w:t>
            </w:r>
          </w:p>
        </w:tc>
      </w:tr>
      <w:tr>
        <w:trPr>
          <w:trHeight w:val="935" w:hRule="atLeast"/>
        </w:trPr>
        <w:tc>
          <w:tcPr>
            <w:tcW w:w="1908" w:type="dxa"/>
          </w:tcPr>
          <w:p>
            <w:pPr>
              <w:pStyle w:val="TableParagraph"/>
              <w:spacing w:before="20"/>
              <w:rPr>
                <w:sz w:val="21"/>
              </w:rPr>
            </w:pPr>
            <w:r>
              <w:rPr>
                <w:spacing w:val="-2"/>
                <w:sz w:val="21"/>
              </w:rPr>
              <w:t>七十三、胰腺移植</w:t>
            </w:r>
          </w:p>
        </w:tc>
        <w:tc>
          <w:tcPr>
            <w:tcW w:w="6810" w:type="dxa"/>
          </w:tcPr>
          <w:p>
            <w:pPr>
              <w:pStyle w:val="TableParagraph"/>
              <w:spacing w:line="278" w:lineRule="auto" w:before="20"/>
              <w:ind w:right="180"/>
              <w:rPr>
                <w:sz w:val="21"/>
              </w:rPr>
            </w:pPr>
            <w:r>
              <w:rPr>
                <w:spacing w:val="-2"/>
                <w:sz w:val="21"/>
              </w:rPr>
              <w:t>指因胰腺功能衰竭，已经实施了在全身麻醉下进行的胰腺的异体器官移</w:t>
            </w:r>
            <w:r>
              <w:rPr>
                <w:spacing w:val="-4"/>
                <w:sz w:val="21"/>
              </w:rPr>
              <w:t>植手术。</w:t>
            </w:r>
          </w:p>
          <w:p>
            <w:pPr>
              <w:pStyle w:val="TableParagraph"/>
              <w:spacing w:line="269" w:lineRule="exact" w:before="0"/>
              <w:rPr>
                <w:rFonts w:ascii="黑体" w:eastAsia="黑体"/>
                <w:sz w:val="21"/>
              </w:rPr>
            </w:pPr>
            <w:r>
              <w:rPr>
                <w:rFonts w:ascii="黑体" w:eastAsia="黑体"/>
                <w:color w:val="000000"/>
                <w:spacing w:val="-1"/>
                <w:sz w:val="21"/>
                <w:shd w:fill="D9D9D9" w:color="auto" w:val="clear"/>
              </w:rPr>
              <w:t>单纯胰岛移植、部分胰腺组织或细胞的移植不在保障范围内。</w:t>
            </w:r>
          </w:p>
        </w:tc>
      </w:tr>
      <w:tr>
        <w:trPr>
          <w:trHeight w:val="1559" w:hRule="atLeast"/>
        </w:trPr>
        <w:tc>
          <w:tcPr>
            <w:tcW w:w="1908" w:type="dxa"/>
          </w:tcPr>
          <w:p>
            <w:pPr>
              <w:pStyle w:val="TableParagraph"/>
              <w:spacing w:line="278" w:lineRule="auto" w:before="20"/>
              <w:ind w:right="96"/>
              <w:rPr>
                <w:sz w:val="21"/>
              </w:rPr>
            </w:pPr>
            <w:r>
              <w:rPr>
                <w:spacing w:val="-2"/>
                <w:sz w:val="21"/>
              </w:rPr>
              <w:t>七十四、肺淋巴管</w:t>
            </w:r>
            <w:r>
              <w:rPr>
                <w:spacing w:val="-4"/>
                <w:sz w:val="21"/>
              </w:rPr>
              <w:t>肌瘤病</w:t>
            </w:r>
          </w:p>
        </w:tc>
        <w:tc>
          <w:tcPr>
            <w:tcW w:w="6810" w:type="dxa"/>
          </w:tcPr>
          <w:p>
            <w:pPr>
              <w:pStyle w:val="TableParagraph"/>
              <w:spacing w:line="278" w:lineRule="auto" w:before="20"/>
              <w:ind w:right="180"/>
              <w:rPr>
                <w:sz w:val="21"/>
              </w:rPr>
            </w:pPr>
            <w:r>
              <w:rPr>
                <w:spacing w:val="-2"/>
                <w:sz w:val="21"/>
              </w:rPr>
              <w:t>是一种弥漫性肺部疾病，主要病理改变为肺间质、支气管、血管和淋巴</w:t>
            </w:r>
            <w:r>
              <w:rPr>
                <w:spacing w:val="-2"/>
                <w:sz w:val="21"/>
              </w:rPr>
              <w:t>管内出现未成熟的平滑肌异常增生，同时需满足下列条件：</w:t>
            </w:r>
          </w:p>
          <w:p>
            <w:pPr>
              <w:pStyle w:val="TableParagraph"/>
              <w:numPr>
                <w:ilvl w:val="0"/>
                <w:numId w:val="45"/>
              </w:numPr>
              <w:tabs>
                <w:tab w:pos="468" w:val="left" w:leader="none"/>
              </w:tabs>
              <w:spacing w:line="269" w:lineRule="exact" w:before="0" w:after="0"/>
              <w:ind w:left="467" w:right="0" w:hanging="361"/>
              <w:jc w:val="left"/>
              <w:rPr>
                <w:sz w:val="21"/>
              </w:rPr>
            </w:pPr>
            <w:r>
              <w:rPr>
                <w:spacing w:val="-2"/>
                <w:sz w:val="21"/>
              </w:rPr>
              <w:t>经组织病理学诊断；</w:t>
            </w:r>
          </w:p>
          <w:p>
            <w:pPr>
              <w:pStyle w:val="TableParagraph"/>
              <w:numPr>
                <w:ilvl w:val="0"/>
                <w:numId w:val="45"/>
              </w:numPr>
              <w:tabs>
                <w:tab w:pos="468" w:val="left" w:leader="none"/>
              </w:tabs>
              <w:spacing w:line="240" w:lineRule="auto" w:before="43" w:after="0"/>
              <w:ind w:left="467" w:right="0" w:hanging="361"/>
              <w:jc w:val="left"/>
              <w:rPr>
                <w:sz w:val="21"/>
              </w:rPr>
            </w:pPr>
            <w:r>
              <w:rPr>
                <w:rFonts w:ascii="Times New Roman" w:eastAsia="Times New Roman"/>
                <w:sz w:val="21"/>
              </w:rPr>
              <w:t>CT</w:t>
            </w:r>
            <w:r>
              <w:rPr>
                <w:rFonts w:ascii="Times New Roman" w:eastAsia="Times New Roman"/>
                <w:spacing w:val="-2"/>
                <w:sz w:val="21"/>
              </w:rPr>
              <w:t> </w:t>
            </w:r>
            <w:r>
              <w:rPr>
                <w:spacing w:val="-1"/>
                <w:sz w:val="21"/>
              </w:rPr>
              <w:t>显示双肺弥漫性囊性改变；</w:t>
            </w:r>
          </w:p>
          <w:p>
            <w:pPr>
              <w:pStyle w:val="TableParagraph"/>
              <w:numPr>
                <w:ilvl w:val="0"/>
                <w:numId w:val="45"/>
              </w:numPr>
              <w:tabs>
                <w:tab w:pos="468" w:val="left" w:leader="none"/>
              </w:tabs>
              <w:spacing w:line="240" w:lineRule="auto" w:before="43" w:after="0"/>
              <w:ind w:left="467" w:right="0" w:hanging="361"/>
              <w:jc w:val="left"/>
              <w:rPr>
                <w:sz w:val="21"/>
              </w:rPr>
            </w:pPr>
            <w:r>
              <w:rPr>
                <w:spacing w:val="-2"/>
                <w:sz w:val="21"/>
              </w:rPr>
              <w:t>血气提示低氧血症。</w:t>
            </w:r>
          </w:p>
        </w:tc>
      </w:tr>
      <w:tr>
        <w:trPr>
          <w:trHeight w:val="936" w:hRule="atLeast"/>
        </w:trPr>
        <w:tc>
          <w:tcPr>
            <w:tcW w:w="1908" w:type="dxa"/>
          </w:tcPr>
          <w:p>
            <w:pPr>
              <w:pStyle w:val="TableParagraph"/>
              <w:spacing w:line="278" w:lineRule="auto" w:before="21"/>
              <w:ind w:right="96"/>
              <w:rPr>
                <w:sz w:val="21"/>
              </w:rPr>
            </w:pPr>
            <w:r>
              <w:rPr>
                <w:spacing w:val="-2"/>
                <w:sz w:val="21"/>
              </w:rPr>
              <w:t>七十五、肺泡蛋白</w:t>
            </w:r>
            <w:r>
              <w:rPr>
                <w:spacing w:val="-4"/>
                <w:sz w:val="21"/>
              </w:rPr>
              <w:t>质沉积症</w:t>
            </w:r>
          </w:p>
        </w:tc>
        <w:tc>
          <w:tcPr>
            <w:tcW w:w="6810" w:type="dxa"/>
          </w:tcPr>
          <w:p>
            <w:pPr>
              <w:pStyle w:val="TableParagraph"/>
              <w:spacing w:line="278" w:lineRule="auto" w:before="21"/>
              <w:ind w:right="96"/>
              <w:rPr>
                <w:sz w:val="21"/>
              </w:rPr>
            </w:pPr>
            <w:r>
              <w:rPr>
                <w:spacing w:val="-5"/>
                <w:sz w:val="21"/>
              </w:rPr>
              <w:t>指肺泡和细支气管腔内充满不可溶性富磷脂蛋白的疾病，胸部</w:t>
            </w:r>
            <w:r>
              <w:rPr>
                <w:rFonts w:ascii="Times New Roman" w:eastAsia="Times New Roman"/>
                <w:spacing w:val="-2"/>
                <w:sz w:val="21"/>
              </w:rPr>
              <w:t>X</w:t>
            </w:r>
            <w:r>
              <w:rPr>
                <w:spacing w:val="-2"/>
                <w:sz w:val="21"/>
              </w:rPr>
              <w:t>线呈双肺</w:t>
            </w:r>
            <w:r>
              <w:rPr>
                <w:spacing w:val="-4"/>
                <w:sz w:val="21"/>
              </w:rPr>
              <w:t>弥漫性肺部磨玻璃影，病理学检查肺泡内充满有过碘酸雪夫（</w:t>
            </w:r>
            <w:r>
              <w:rPr>
                <w:rFonts w:ascii="Times New Roman" w:eastAsia="Times New Roman"/>
                <w:spacing w:val="-4"/>
                <w:sz w:val="21"/>
              </w:rPr>
              <w:t>PAS</w:t>
            </w:r>
            <w:r>
              <w:rPr>
                <w:spacing w:val="-4"/>
                <w:sz w:val="21"/>
              </w:rPr>
              <w:t>）</w:t>
            </w:r>
            <w:r>
              <w:rPr>
                <w:spacing w:val="-7"/>
                <w:sz w:val="21"/>
              </w:rPr>
              <w:t>染色</w:t>
            </w:r>
          </w:p>
          <w:p>
            <w:pPr>
              <w:pStyle w:val="TableParagraph"/>
              <w:spacing w:line="269" w:lineRule="exact" w:before="0"/>
              <w:rPr>
                <w:sz w:val="21"/>
              </w:rPr>
            </w:pPr>
            <w:r>
              <w:rPr>
                <w:spacing w:val="-1"/>
                <w:sz w:val="21"/>
              </w:rPr>
              <w:t>阳性的蛋白样物质，并且接受了肺灌洗治疗。</w:t>
            </w:r>
          </w:p>
        </w:tc>
      </w:tr>
      <w:tr>
        <w:trPr>
          <w:trHeight w:val="935" w:hRule="atLeast"/>
        </w:trPr>
        <w:tc>
          <w:tcPr>
            <w:tcW w:w="1908" w:type="dxa"/>
          </w:tcPr>
          <w:p>
            <w:pPr>
              <w:pStyle w:val="TableParagraph"/>
              <w:spacing w:line="278" w:lineRule="auto" w:before="20"/>
              <w:ind w:right="96"/>
              <w:rPr>
                <w:sz w:val="21"/>
              </w:rPr>
            </w:pPr>
            <w:r>
              <w:rPr>
                <w:spacing w:val="-2"/>
                <w:sz w:val="21"/>
              </w:rPr>
              <w:t>七十六、严重肠道</w:t>
            </w:r>
            <w:r>
              <w:rPr>
                <w:spacing w:val="-2"/>
                <w:sz w:val="21"/>
              </w:rPr>
              <w:t>疾病并发症</w:t>
            </w:r>
          </w:p>
        </w:tc>
        <w:tc>
          <w:tcPr>
            <w:tcW w:w="6810" w:type="dxa"/>
          </w:tcPr>
          <w:p>
            <w:pPr>
              <w:pStyle w:val="TableParagraph"/>
              <w:spacing w:before="20"/>
              <w:rPr>
                <w:sz w:val="21"/>
              </w:rPr>
            </w:pPr>
            <w:r>
              <w:rPr>
                <w:spacing w:val="-1"/>
                <w:sz w:val="21"/>
              </w:rPr>
              <w:t>严重肠道疾病或外伤导致小肠损害并发症，满足以下全部条件：</w:t>
            </w:r>
          </w:p>
          <w:p>
            <w:pPr>
              <w:pStyle w:val="TableParagraph"/>
              <w:numPr>
                <w:ilvl w:val="0"/>
                <w:numId w:val="46"/>
              </w:numPr>
              <w:tabs>
                <w:tab w:pos="468" w:val="left" w:leader="none"/>
              </w:tabs>
              <w:spacing w:line="240" w:lineRule="auto" w:before="43" w:after="0"/>
              <w:ind w:left="467" w:right="0" w:hanging="361"/>
              <w:jc w:val="left"/>
              <w:rPr>
                <w:sz w:val="21"/>
              </w:rPr>
            </w:pPr>
            <w:r>
              <w:rPr>
                <w:spacing w:val="-1"/>
                <w:sz w:val="21"/>
              </w:rPr>
              <w:t>至少切除了三分之二小肠；</w:t>
            </w:r>
          </w:p>
          <w:p>
            <w:pPr>
              <w:pStyle w:val="TableParagraph"/>
              <w:numPr>
                <w:ilvl w:val="0"/>
                <w:numId w:val="46"/>
              </w:numPr>
              <w:tabs>
                <w:tab w:pos="468" w:val="left" w:leader="none"/>
              </w:tabs>
              <w:spacing w:line="240" w:lineRule="auto" w:before="43" w:after="0"/>
              <w:ind w:left="467" w:right="0" w:hanging="361"/>
              <w:jc w:val="left"/>
              <w:rPr>
                <w:sz w:val="21"/>
              </w:rPr>
            </w:pPr>
            <w:r>
              <w:rPr>
                <w:spacing w:val="-1"/>
                <w:sz w:val="21"/>
              </w:rPr>
              <w:t>完全肠外营养支持三个月以上。</w:t>
            </w:r>
          </w:p>
        </w:tc>
      </w:tr>
      <w:tr>
        <w:trPr>
          <w:trHeight w:val="935" w:hRule="atLeast"/>
        </w:trPr>
        <w:tc>
          <w:tcPr>
            <w:tcW w:w="1908" w:type="dxa"/>
          </w:tcPr>
          <w:p>
            <w:pPr>
              <w:pStyle w:val="TableParagraph"/>
              <w:spacing w:line="278" w:lineRule="auto" w:before="20"/>
              <w:ind w:right="96"/>
              <w:rPr>
                <w:sz w:val="21"/>
              </w:rPr>
            </w:pPr>
            <w:r>
              <w:rPr>
                <w:spacing w:val="-2"/>
                <w:sz w:val="21"/>
              </w:rPr>
              <w:t>七十七、埃博拉病</w:t>
            </w:r>
            <w:r>
              <w:rPr>
                <w:spacing w:val="-4"/>
                <w:sz w:val="21"/>
              </w:rPr>
              <w:t>毒感染</w:t>
            </w:r>
          </w:p>
        </w:tc>
        <w:tc>
          <w:tcPr>
            <w:tcW w:w="6810" w:type="dxa"/>
          </w:tcPr>
          <w:p>
            <w:pPr>
              <w:pStyle w:val="TableParagraph"/>
              <w:spacing w:before="20"/>
              <w:rPr>
                <w:sz w:val="21"/>
              </w:rPr>
            </w:pPr>
            <w:r>
              <w:rPr>
                <w:spacing w:val="-1"/>
                <w:sz w:val="21"/>
              </w:rPr>
              <w:t>指埃博拉病毒感染导致的烈性传染病，并须满足下列全部条件：</w:t>
            </w:r>
          </w:p>
          <w:p>
            <w:pPr>
              <w:pStyle w:val="TableParagraph"/>
              <w:numPr>
                <w:ilvl w:val="0"/>
                <w:numId w:val="47"/>
              </w:numPr>
              <w:tabs>
                <w:tab w:pos="468" w:val="left" w:leader="none"/>
              </w:tabs>
              <w:spacing w:line="240" w:lineRule="auto" w:before="43" w:after="0"/>
              <w:ind w:left="467" w:right="0" w:hanging="361"/>
              <w:jc w:val="left"/>
              <w:rPr>
                <w:sz w:val="21"/>
              </w:rPr>
            </w:pPr>
            <w:r>
              <w:rPr>
                <w:spacing w:val="-1"/>
                <w:sz w:val="21"/>
              </w:rPr>
              <w:t>实验室检查证实埃博拉病毒的存在；</w:t>
            </w:r>
          </w:p>
          <w:p>
            <w:pPr>
              <w:pStyle w:val="TableParagraph"/>
              <w:numPr>
                <w:ilvl w:val="0"/>
                <w:numId w:val="47"/>
              </w:numPr>
              <w:tabs>
                <w:tab w:pos="468" w:val="left" w:leader="none"/>
              </w:tabs>
              <w:spacing w:line="240" w:lineRule="auto" w:before="43" w:after="0"/>
              <w:ind w:left="467" w:right="0" w:hanging="361"/>
              <w:jc w:val="left"/>
              <w:rPr>
                <w:sz w:val="21"/>
              </w:rPr>
            </w:pPr>
            <w:r>
              <w:rPr>
                <w:spacing w:val="-1"/>
                <w:sz w:val="21"/>
              </w:rPr>
              <w:t>从发病开始有超过三十天的进行性感染症状。</w:t>
            </w:r>
          </w:p>
        </w:tc>
      </w:tr>
      <w:tr>
        <w:trPr>
          <w:trHeight w:val="2808" w:hRule="atLeast"/>
        </w:trPr>
        <w:tc>
          <w:tcPr>
            <w:tcW w:w="1908" w:type="dxa"/>
          </w:tcPr>
          <w:p>
            <w:pPr>
              <w:pStyle w:val="TableParagraph"/>
              <w:spacing w:line="278" w:lineRule="auto" w:before="21"/>
              <w:ind w:right="96"/>
              <w:rPr>
                <w:sz w:val="21"/>
              </w:rPr>
            </w:pPr>
            <w:r>
              <w:rPr>
                <w:spacing w:val="-2"/>
                <w:sz w:val="21"/>
              </w:rPr>
              <w:t>七十八、重症手足</w:t>
            </w:r>
            <w:r>
              <w:rPr>
                <w:spacing w:val="-6"/>
                <w:sz w:val="21"/>
              </w:rPr>
              <w:t>口病</w:t>
            </w:r>
          </w:p>
        </w:tc>
        <w:tc>
          <w:tcPr>
            <w:tcW w:w="6810" w:type="dxa"/>
          </w:tcPr>
          <w:p>
            <w:pPr>
              <w:pStyle w:val="TableParagraph"/>
              <w:spacing w:line="278" w:lineRule="auto" w:before="21"/>
              <w:ind w:right="180"/>
              <w:jc w:val="both"/>
              <w:rPr>
                <w:rFonts w:ascii="黑体" w:eastAsia="黑体"/>
                <w:sz w:val="21"/>
              </w:rPr>
            </w:pPr>
            <w:r>
              <w:rPr>
                <w:spacing w:val="-2"/>
                <w:sz w:val="21"/>
              </w:rPr>
              <w:t>指由肠道病毒引起的急性传染病，主要症状表现为手、足、口腔等部位</w:t>
            </w:r>
            <w:r>
              <w:rPr>
                <w:spacing w:val="-2"/>
                <w:sz w:val="21"/>
              </w:rPr>
              <w:t>的斑丘疹、疱疹。</w:t>
            </w:r>
            <w:r>
              <w:rPr>
                <w:rFonts w:ascii="黑体" w:eastAsia="黑体"/>
                <w:spacing w:val="-2"/>
                <w:sz w:val="21"/>
              </w:rPr>
              <w:t>经我们认可的医疗机构的儿科专科医生确诊为罹患手</w:t>
            </w:r>
            <w:r>
              <w:rPr>
                <w:rFonts w:ascii="黑体" w:eastAsia="黑体"/>
                <w:spacing w:val="-2"/>
                <w:sz w:val="21"/>
              </w:rPr>
              <w:t>足口病，并伴有下列三项中的任意一项并发症：</w:t>
            </w:r>
          </w:p>
          <w:p>
            <w:pPr>
              <w:pStyle w:val="TableParagraph"/>
              <w:numPr>
                <w:ilvl w:val="0"/>
                <w:numId w:val="48"/>
              </w:numPr>
              <w:tabs>
                <w:tab w:pos="468" w:val="left" w:leader="none"/>
              </w:tabs>
              <w:spacing w:line="278" w:lineRule="auto" w:before="0" w:after="0"/>
              <w:ind w:left="467" w:right="96" w:hanging="360"/>
              <w:jc w:val="left"/>
              <w:rPr>
                <w:sz w:val="21"/>
              </w:rPr>
            </w:pPr>
            <w:r>
              <w:rPr>
                <w:spacing w:val="-8"/>
                <w:sz w:val="21"/>
              </w:rPr>
              <w:t>有脑膜炎或脑炎并发症，且导致意识障碍或瘫痪的临床表现及实验室</w:t>
            </w:r>
            <w:r>
              <w:rPr>
                <w:spacing w:val="-2"/>
                <w:sz w:val="21"/>
              </w:rPr>
              <w:t>检查证据；</w:t>
            </w:r>
          </w:p>
          <w:p>
            <w:pPr>
              <w:pStyle w:val="TableParagraph"/>
              <w:numPr>
                <w:ilvl w:val="0"/>
                <w:numId w:val="48"/>
              </w:numPr>
              <w:tabs>
                <w:tab w:pos="468" w:val="left" w:leader="none"/>
              </w:tabs>
              <w:spacing w:line="278" w:lineRule="auto" w:before="0" w:after="0"/>
              <w:ind w:left="467" w:right="96" w:hanging="360"/>
              <w:jc w:val="left"/>
              <w:rPr>
                <w:sz w:val="21"/>
              </w:rPr>
            </w:pPr>
            <w:r>
              <w:rPr>
                <w:spacing w:val="-8"/>
                <w:sz w:val="21"/>
              </w:rPr>
              <w:t>有肺炎或肺水肿并发症，且导致呼吸衰竭的临床表现及实验室检查证</w:t>
            </w:r>
            <w:r>
              <w:rPr>
                <w:spacing w:val="-6"/>
                <w:sz w:val="21"/>
              </w:rPr>
              <w:t>据；</w:t>
            </w:r>
          </w:p>
          <w:p>
            <w:pPr>
              <w:pStyle w:val="TableParagraph"/>
              <w:numPr>
                <w:ilvl w:val="0"/>
                <w:numId w:val="48"/>
              </w:numPr>
              <w:tabs>
                <w:tab w:pos="468" w:val="left" w:leader="none"/>
              </w:tabs>
              <w:spacing w:line="269" w:lineRule="exact" w:before="0" w:after="0"/>
              <w:ind w:left="467" w:right="0" w:hanging="361"/>
              <w:jc w:val="left"/>
              <w:rPr>
                <w:sz w:val="21"/>
              </w:rPr>
            </w:pPr>
            <w:r>
              <w:rPr>
                <w:spacing w:val="-9"/>
                <w:sz w:val="21"/>
              </w:rPr>
              <w:t>有心肌炎并发症，且导致心脏扩大或心力衰竭的临床表现及实验室检</w:t>
            </w:r>
          </w:p>
          <w:p>
            <w:pPr>
              <w:pStyle w:val="TableParagraph"/>
              <w:spacing w:before="42"/>
              <w:ind w:left="467"/>
              <w:rPr>
                <w:sz w:val="21"/>
              </w:rPr>
            </w:pPr>
            <w:r>
              <w:rPr>
                <w:spacing w:val="-3"/>
                <w:sz w:val="21"/>
              </w:rPr>
              <w:t>查证据。</w:t>
            </w:r>
          </w:p>
        </w:tc>
      </w:tr>
      <w:tr>
        <w:trPr>
          <w:trHeight w:val="935" w:hRule="atLeast"/>
        </w:trPr>
        <w:tc>
          <w:tcPr>
            <w:tcW w:w="1908" w:type="dxa"/>
          </w:tcPr>
          <w:p>
            <w:pPr>
              <w:pStyle w:val="TableParagraph"/>
              <w:spacing w:line="278" w:lineRule="auto" w:before="20"/>
              <w:ind w:right="96"/>
              <w:rPr>
                <w:sz w:val="21"/>
              </w:rPr>
            </w:pPr>
            <w:r>
              <w:rPr>
                <w:spacing w:val="-2"/>
                <w:sz w:val="21"/>
              </w:rPr>
              <w:t>七十九、溶血性链</w:t>
            </w:r>
            <w:r>
              <w:rPr>
                <w:spacing w:val="-2"/>
                <w:sz w:val="21"/>
              </w:rPr>
              <w:t>球菌引起的坏疽</w:t>
            </w:r>
          </w:p>
        </w:tc>
        <w:tc>
          <w:tcPr>
            <w:tcW w:w="6810" w:type="dxa"/>
          </w:tcPr>
          <w:p>
            <w:pPr>
              <w:pStyle w:val="TableParagraph"/>
              <w:spacing w:line="278" w:lineRule="auto" w:before="20"/>
              <w:ind w:right="180"/>
              <w:rPr>
                <w:sz w:val="21"/>
              </w:rPr>
            </w:pPr>
            <w:r>
              <w:rPr>
                <w:spacing w:val="-2"/>
                <w:sz w:val="21"/>
              </w:rPr>
              <w:t>指躯干或肢体的浅筋膜或涉及肌肉的深筋膜感染，呈暴发性进展，必须</w:t>
            </w:r>
            <w:r>
              <w:rPr>
                <w:spacing w:val="-1"/>
                <w:sz w:val="21"/>
              </w:rPr>
              <w:t>即刻手术清创。须在外科手术后进行组织培养证实溶血性链球菌坏疽并</w:t>
            </w:r>
          </w:p>
          <w:p>
            <w:pPr>
              <w:pStyle w:val="TableParagraph"/>
              <w:spacing w:line="269" w:lineRule="exact" w:before="0"/>
              <w:rPr>
                <w:sz w:val="21"/>
              </w:rPr>
            </w:pPr>
            <w:r>
              <w:rPr>
                <w:spacing w:val="-2"/>
                <w:sz w:val="21"/>
              </w:rPr>
              <w:t>由专科医生确诊。</w:t>
            </w:r>
          </w:p>
        </w:tc>
      </w:tr>
      <w:tr>
        <w:trPr>
          <w:trHeight w:val="2807" w:hRule="atLeast"/>
        </w:trPr>
        <w:tc>
          <w:tcPr>
            <w:tcW w:w="1908" w:type="dxa"/>
          </w:tcPr>
          <w:p>
            <w:pPr>
              <w:pStyle w:val="TableParagraph"/>
              <w:spacing w:line="278" w:lineRule="auto" w:before="20"/>
              <w:ind w:right="96"/>
              <w:rPr>
                <w:sz w:val="21"/>
              </w:rPr>
            </w:pPr>
            <w:r>
              <w:rPr>
                <w:spacing w:val="-2"/>
                <w:sz w:val="21"/>
              </w:rPr>
              <w:t>八十、肝豆状核变</w:t>
            </w:r>
            <w:r>
              <w:rPr>
                <w:spacing w:val="-10"/>
                <w:sz w:val="21"/>
              </w:rPr>
              <w:t>性</w:t>
            </w:r>
          </w:p>
        </w:tc>
        <w:tc>
          <w:tcPr>
            <w:tcW w:w="6810" w:type="dxa"/>
          </w:tcPr>
          <w:p>
            <w:pPr>
              <w:pStyle w:val="TableParagraph"/>
              <w:spacing w:line="278" w:lineRule="auto" w:before="20"/>
              <w:ind w:right="180"/>
              <w:jc w:val="both"/>
              <w:rPr>
                <w:sz w:val="21"/>
              </w:rPr>
            </w:pPr>
            <w:r>
              <w:rPr>
                <w:spacing w:val="-2"/>
                <w:sz w:val="21"/>
              </w:rPr>
              <w:t>指一种常染色体隐性遗传的铜代谢缺陷病，以不同程度的肝细胞损害、</w:t>
            </w:r>
            <w:r>
              <w:rPr>
                <w:spacing w:val="-2"/>
                <w:sz w:val="21"/>
              </w:rPr>
              <w:t>脑退行性病变和角膜边缘有铜盐沉着环为其临床特征，并须满足下列全</w:t>
            </w:r>
            <w:r>
              <w:rPr>
                <w:spacing w:val="-4"/>
                <w:sz w:val="21"/>
              </w:rPr>
              <w:t>部条件：</w:t>
            </w:r>
          </w:p>
          <w:p>
            <w:pPr>
              <w:pStyle w:val="TableParagraph"/>
              <w:numPr>
                <w:ilvl w:val="0"/>
                <w:numId w:val="49"/>
              </w:numPr>
              <w:tabs>
                <w:tab w:pos="468" w:val="left" w:leader="none"/>
              </w:tabs>
              <w:spacing w:line="269" w:lineRule="exact" w:before="0" w:after="0"/>
              <w:ind w:left="467" w:right="0" w:hanging="361"/>
              <w:jc w:val="left"/>
              <w:rPr>
                <w:sz w:val="21"/>
              </w:rPr>
            </w:pPr>
            <w:r>
              <w:rPr>
                <w:spacing w:val="-2"/>
                <w:sz w:val="21"/>
              </w:rPr>
              <w:t>典型症状；</w:t>
            </w:r>
          </w:p>
          <w:p>
            <w:pPr>
              <w:pStyle w:val="TableParagraph"/>
              <w:numPr>
                <w:ilvl w:val="0"/>
                <w:numId w:val="49"/>
              </w:numPr>
              <w:tabs>
                <w:tab w:pos="468" w:val="left" w:leader="none"/>
              </w:tabs>
              <w:spacing w:line="240" w:lineRule="auto" w:before="43" w:after="0"/>
              <w:ind w:left="467" w:right="0" w:hanging="361"/>
              <w:jc w:val="left"/>
              <w:rPr>
                <w:sz w:val="21"/>
              </w:rPr>
            </w:pPr>
            <w:r>
              <w:rPr>
                <w:sz w:val="21"/>
              </w:rPr>
              <w:t>角膜色素环（</w:t>
            </w:r>
            <w:r>
              <w:rPr>
                <w:rFonts w:ascii="Times New Roman" w:eastAsia="Times New Roman"/>
                <w:sz w:val="21"/>
              </w:rPr>
              <w:t>K-F</w:t>
            </w:r>
            <w:r>
              <w:rPr>
                <w:rFonts w:ascii="Times New Roman" w:eastAsia="Times New Roman"/>
                <w:spacing w:val="-3"/>
                <w:sz w:val="21"/>
              </w:rPr>
              <w:t> </w:t>
            </w:r>
            <w:r>
              <w:rPr>
                <w:sz w:val="21"/>
              </w:rPr>
              <w:t>环</w:t>
            </w:r>
            <w:r>
              <w:rPr>
                <w:spacing w:val="-110"/>
                <w:sz w:val="21"/>
              </w:rPr>
              <w:t>）</w:t>
            </w:r>
            <w:r>
              <w:rPr>
                <w:spacing w:val="-5"/>
                <w:sz w:val="21"/>
              </w:rPr>
              <w:t>；</w:t>
            </w:r>
          </w:p>
          <w:p>
            <w:pPr>
              <w:pStyle w:val="TableParagraph"/>
              <w:numPr>
                <w:ilvl w:val="0"/>
                <w:numId w:val="49"/>
              </w:numPr>
              <w:tabs>
                <w:tab w:pos="468" w:val="left" w:leader="none"/>
              </w:tabs>
              <w:spacing w:line="240" w:lineRule="auto" w:before="43" w:after="0"/>
              <w:ind w:left="467" w:right="0" w:hanging="361"/>
              <w:jc w:val="left"/>
              <w:rPr>
                <w:sz w:val="21"/>
              </w:rPr>
            </w:pPr>
            <w:r>
              <w:rPr>
                <w:spacing w:val="-1"/>
                <w:sz w:val="21"/>
              </w:rPr>
              <w:t>血清铜和血清铜蓝蛋白降低，尿铜增加；</w:t>
            </w:r>
          </w:p>
          <w:p>
            <w:pPr>
              <w:pStyle w:val="TableParagraph"/>
              <w:numPr>
                <w:ilvl w:val="0"/>
                <w:numId w:val="49"/>
              </w:numPr>
              <w:tabs>
                <w:tab w:pos="468" w:val="left" w:leader="none"/>
              </w:tabs>
              <w:spacing w:line="240" w:lineRule="auto" w:before="43" w:after="0"/>
              <w:ind w:left="467" w:right="0" w:hanging="361"/>
              <w:jc w:val="left"/>
              <w:rPr>
                <w:sz w:val="21"/>
              </w:rPr>
            </w:pPr>
            <w:r>
              <w:rPr>
                <w:spacing w:val="-1"/>
                <w:sz w:val="21"/>
              </w:rPr>
              <w:t>经皮做肝脏活检来定量分析肝脏铜的含量。</w:t>
            </w:r>
          </w:p>
          <w:p>
            <w:pPr>
              <w:pStyle w:val="TableParagraph"/>
              <w:spacing w:line="310" w:lineRule="atLeast" w:before="2"/>
              <w:ind w:right="180"/>
              <w:rPr>
                <w:rFonts w:ascii="黑体" w:hAnsi="黑体" w:eastAsia="黑体"/>
                <w:sz w:val="21"/>
              </w:rPr>
            </w:pPr>
            <w:r>
              <w:rPr>
                <w:rFonts w:ascii="黑体" w:hAnsi="黑体" w:eastAsia="黑体"/>
                <w:spacing w:val="-2"/>
                <w:sz w:val="21"/>
              </w:rPr>
              <w:t>我们承担本项疾病责任不受本合同责任免除中“遗传性疾病，先天性畸</w:t>
            </w:r>
            <w:r>
              <w:rPr>
                <w:rFonts w:ascii="黑体" w:hAnsi="黑体" w:eastAsia="黑体"/>
                <w:spacing w:val="-2"/>
                <w:sz w:val="21"/>
              </w:rPr>
              <w:t>形、变形或染色体异常”的限制。</w:t>
            </w:r>
          </w:p>
        </w:tc>
      </w:tr>
      <w:tr>
        <w:trPr>
          <w:trHeight w:val="1248" w:hRule="atLeast"/>
        </w:trPr>
        <w:tc>
          <w:tcPr>
            <w:tcW w:w="1908" w:type="dxa"/>
          </w:tcPr>
          <w:p>
            <w:pPr>
              <w:pStyle w:val="TableParagraph"/>
              <w:spacing w:line="278" w:lineRule="auto" w:before="21"/>
              <w:ind w:right="96"/>
              <w:rPr>
                <w:sz w:val="21"/>
              </w:rPr>
            </w:pPr>
            <w:r>
              <w:rPr>
                <w:spacing w:val="-2"/>
                <w:sz w:val="21"/>
              </w:rPr>
              <w:t>八十一、严重冠心</w:t>
            </w:r>
            <w:r>
              <w:rPr>
                <w:spacing w:val="-10"/>
                <w:sz w:val="21"/>
              </w:rPr>
              <w:t>病</w:t>
            </w:r>
          </w:p>
        </w:tc>
        <w:tc>
          <w:tcPr>
            <w:tcW w:w="6810" w:type="dxa"/>
          </w:tcPr>
          <w:p>
            <w:pPr>
              <w:pStyle w:val="TableParagraph"/>
              <w:spacing w:line="278" w:lineRule="auto" w:before="21"/>
              <w:ind w:right="96"/>
              <w:jc w:val="both"/>
              <w:rPr>
                <w:sz w:val="21"/>
              </w:rPr>
            </w:pPr>
            <w:r>
              <w:rPr>
                <w:spacing w:val="-2"/>
                <w:sz w:val="21"/>
              </w:rPr>
              <w:t>指根据冠状动脉造影检查结果确诊的三支主要血管</w:t>
            </w:r>
            <w:r>
              <w:rPr>
                <w:rFonts w:ascii="Times New Roman" w:eastAsia="Times New Roman"/>
                <w:spacing w:val="-2"/>
                <w:sz w:val="21"/>
              </w:rPr>
              <w:t>(</w:t>
            </w:r>
            <w:r>
              <w:rPr>
                <w:spacing w:val="-2"/>
                <w:sz w:val="21"/>
              </w:rPr>
              <w:t>左冠状动脉主干和右</w:t>
            </w:r>
            <w:r>
              <w:rPr>
                <w:spacing w:val="-2"/>
                <w:sz w:val="21"/>
              </w:rPr>
              <w:t>冠状动脉，或前降支、左旋支和右冠状动脉</w:t>
            </w:r>
            <w:r>
              <w:rPr>
                <w:rFonts w:ascii="Times New Roman" w:eastAsia="Times New Roman"/>
                <w:spacing w:val="-2"/>
                <w:sz w:val="21"/>
              </w:rPr>
              <w:t>)</w:t>
            </w:r>
            <w:r>
              <w:rPr>
                <w:spacing w:val="-2"/>
                <w:sz w:val="21"/>
              </w:rPr>
              <w:t>严重狭窄性病变</w:t>
            </w:r>
            <w:r>
              <w:rPr>
                <w:rFonts w:ascii="Times New Roman" w:eastAsia="Times New Roman"/>
                <w:spacing w:val="-2"/>
                <w:sz w:val="21"/>
              </w:rPr>
              <w:t>(</w:t>
            </w:r>
            <w:r>
              <w:rPr>
                <w:spacing w:val="-2"/>
                <w:sz w:val="21"/>
              </w:rPr>
              <w:t>至少一支血</w:t>
            </w:r>
            <w:r>
              <w:rPr>
                <w:spacing w:val="-2"/>
                <w:sz w:val="21"/>
              </w:rPr>
              <w:t>管管腔直径减少</w:t>
            </w:r>
            <w:r>
              <w:rPr>
                <w:rFonts w:ascii="Times New Roman" w:eastAsia="Times New Roman"/>
                <w:spacing w:val="-2"/>
                <w:sz w:val="21"/>
              </w:rPr>
              <w:t>75%</w:t>
            </w:r>
            <w:r>
              <w:rPr>
                <w:spacing w:val="-2"/>
                <w:sz w:val="21"/>
              </w:rPr>
              <w:t>以上和其他两支血管管腔直径减少</w:t>
            </w:r>
            <w:r>
              <w:rPr>
                <w:rFonts w:ascii="Times New Roman" w:eastAsia="Times New Roman"/>
                <w:spacing w:val="-2"/>
                <w:sz w:val="21"/>
              </w:rPr>
              <w:t>60%</w:t>
            </w:r>
            <w:r>
              <w:rPr>
                <w:spacing w:val="-2"/>
                <w:sz w:val="21"/>
              </w:rPr>
              <w:t>以上</w:t>
            </w:r>
            <w:r>
              <w:rPr>
                <w:rFonts w:ascii="Times New Roman" w:eastAsia="Times New Roman"/>
                <w:spacing w:val="-2"/>
                <w:sz w:val="21"/>
              </w:rPr>
              <w:t>)</w:t>
            </w:r>
            <w:r>
              <w:rPr>
                <w:spacing w:val="-2"/>
                <w:sz w:val="21"/>
              </w:rPr>
              <w:t>。前降</w:t>
            </w:r>
          </w:p>
          <w:p>
            <w:pPr>
              <w:pStyle w:val="TableParagraph"/>
              <w:spacing w:line="269" w:lineRule="exact" w:before="0"/>
              <w:rPr>
                <w:sz w:val="21"/>
              </w:rPr>
            </w:pPr>
            <w:r>
              <w:rPr>
                <w:spacing w:val="-1"/>
                <w:sz w:val="21"/>
              </w:rPr>
              <w:t>支、左旋支及右冠状动脉的分支血管的狭窄不作为本保障的衡量指标。</w:t>
            </w:r>
          </w:p>
        </w:tc>
      </w:tr>
    </w:tbl>
    <w:p>
      <w:pPr>
        <w:spacing w:after="0" w:line="269" w:lineRule="exact"/>
        <w:rPr>
          <w:sz w:val="21"/>
        </w:rPr>
        <w:sectPr>
          <w:type w:val="continuous"/>
          <w:pgSz w:w="11910" w:h="16840"/>
          <w:pgMar w:header="0" w:footer="1168" w:top="1460" w:bottom="1360" w:left="1060" w:right="1060"/>
        </w:sectPr>
      </w:pPr>
    </w:p>
    <w:tbl>
      <w:tblPr>
        <w:tblW w:w="0" w:type="auto"/>
        <w:jc w:val="left"/>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08"/>
        <w:gridCol w:w="6810"/>
      </w:tblGrid>
      <w:tr>
        <w:trPr>
          <w:trHeight w:val="1872" w:hRule="atLeast"/>
        </w:trPr>
        <w:tc>
          <w:tcPr>
            <w:tcW w:w="1908" w:type="dxa"/>
          </w:tcPr>
          <w:p>
            <w:pPr>
              <w:pStyle w:val="TableParagraph"/>
              <w:spacing w:line="278" w:lineRule="auto" w:before="21"/>
              <w:ind w:right="96"/>
              <w:rPr>
                <w:sz w:val="21"/>
              </w:rPr>
            </w:pPr>
            <w:r>
              <w:rPr>
                <w:spacing w:val="-2"/>
                <w:sz w:val="21"/>
              </w:rPr>
              <w:t>八十二、结核性脑</w:t>
            </w:r>
            <w:r>
              <w:rPr>
                <w:spacing w:val="-6"/>
                <w:sz w:val="21"/>
              </w:rPr>
              <w:t>膜炎</w:t>
            </w:r>
          </w:p>
        </w:tc>
        <w:tc>
          <w:tcPr>
            <w:tcW w:w="6810" w:type="dxa"/>
          </w:tcPr>
          <w:p>
            <w:pPr>
              <w:pStyle w:val="TableParagraph"/>
              <w:spacing w:line="278" w:lineRule="auto" w:before="21"/>
              <w:ind w:right="180"/>
              <w:rPr>
                <w:sz w:val="21"/>
              </w:rPr>
            </w:pPr>
            <w:r>
              <w:rPr>
                <w:spacing w:val="-2"/>
                <w:sz w:val="21"/>
              </w:rPr>
              <w:t>指由结核杆菌引起的脑膜和脊膜的非化脓性炎症性疾病。需满足以下全</w:t>
            </w:r>
            <w:r>
              <w:rPr>
                <w:spacing w:val="-4"/>
                <w:sz w:val="21"/>
              </w:rPr>
              <w:t>部条件：</w:t>
            </w:r>
          </w:p>
          <w:p>
            <w:pPr>
              <w:pStyle w:val="TableParagraph"/>
              <w:numPr>
                <w:ilvl w:val="0"/>
                <w:numId w:val="50"/>
              </w:numPr>
              <w:tabs>
                <w:tab w:pos="468" w:val="left" w:leader="none"/>
              </w:tabs>
              <w:spacing w:line="269" w:lineRule="exact" w:before="0" w:after="0"/>
              <w:ind w:left="467" w:right="0" w:hanging="361"/>
              <w:jc w:val="left"/>
              <w:rPr>
                <w:sz w:val="21"/>
              </w:rPr>
            </w:pPr>
            <w:r>
              <w:rPr>
                <w:spacing w:val="-1"/>
                <w:sz w:val="21"/>
              </w:rPr>
              <w:t>出现颅内压明显增高，表现头痛、呕吐和视乳头水肿；</w:t>
            </w:r>
          </w:p>
          <w:p>
            <w:pPr>
              <w:pStyle w:val="TableParagraph"/>
              <w:numPr>
                <w:ilvl w:val="0"/>
                <w:numId w:val="50"/>
              </w:numPr>
              <w:tabs>
                <w:tab w:pos="468" w:val="left" w:leader="none"/>
              </w:tabs>
              <w:spacing w:line="240" w:lineRule="auto" w:before="43" w:after="0"/>
              <w:ind w:left="467" w:right="0" w:hanging="361"/>
              <w:jc w:val="left"/>
              <w:rPr>
                <w:sz w:val="21"/>
              </w:rPr>
            </w:pPr>
            <w:r>
              <w:rPr>
                <w:spacing w:val="-1"/>
                <w:sz w:val="21"/>
              </w:rPr>
              <w:t>出现部分性、全身性癫痫发作或癫痫持续状态；</w:t>
            </w:r>
          </w:p>
          <w:p>
            <w:pPr>
              <w:pStyle w:val="TableParagraph"/>
              <w:numPr>
                <w:ilvl w:val="0"/>
                <w:numId w:val="50"/>
              </w:numPr>
              <w:tabs>
                <w:tab w:pos="468" w:val="left" w:leader="none"/>
              </w:tabs>
              <w:spacing w:line="240" w:lineRule="auto" w:before="43" w:after="0"/>
              <w:ind w:left="467" w:right="0" w:hanging="361"/>
              <w:jc w:val="left"/>
              <w:rPr>
                <w:sz w:val="21"/>
              </w:rPr>
            </w:pPr>
            <w:r>
              <w:rPr>
                <w:spacing w:val="-2"/>
                <w:sz w:val="21"/>
              </w:rPr>
              <w:t>昏睡或意识模糊；</w:t>
            </w:r>
          </w:p>
          <w:p>
            <w:pPr>
              <w:pStyle w:val="TableParagraph"/>
              <w:numPr>
                <w:ilvl w:val="0"/>
                <w:numId w:val="50"/>
              </w:numPr>
              <w:tabs>
                <w:tab w:pos="468" w:val="left" w:leader="none"/>
              </w:tabs>
              <w:spacing w:line="240" w:lineRule="auto" w:before="43" w:after="0"/>
              <w:ind w:left="467" w:right="0" w:hanging="361"/>
              <w:jc w:val="left"/>
              <w:rPr>
                <w:sz w:val="21"/>
              </w:rPr>
            </w:pPr>
            <w:r>
              <w:rPr>
                <w:spacing w:val="-1"/>
                <w:sz w:val="21"/>
              </w:rPr>
              <w:t>视力减退、复视和面神经麻痹。</w:t>
            </w:r>
          </w:p>
        </w:tc>
      </w:tr>
      <w:tr>
        <w:trPr>
          <w:trHeight w:val="1247" w:hRule="atLeast"/>
        </w:trPr>
        <w:tc>
          <w:tcPr>
            <w:tcW w:w="1908" w:type="dxa"/>
          </w:tcPr>
          <w:p>
            <w:pPr>
              <w:pStyle w:val="TableParagraph"/>
              <w:spacing w:before="20"/>
              <w:rPr>
                <w:sz w:val="21"/>
              </w:rPr>
            </w:pPr>
            <w:r>
              <w:rPr>
                <w:spacing w:val="-2"/>
                <w:sz w:val="21"/>
              </w:rPr>
              <w:t>八十三、颅脑手术</w:t>
            </w:r>
          </w:p>
        </w:tc>
        <w:tc>
          <w:tcPr>
            <w:tcW w:w="6810" w:type="dxa"/>
          </w:tcPr>
          <w:p>
            <w:pPr>
              <w:pStyle w:val="TableParagraph"/>
              <w:spacing w:line="278" w:lineRule="auto" w:before="20"/>
              <w:ind w:right="180"/>
              <w:rPr>
                <w:sz w:val="21"/>
              </w:rPr>
            </w:pPr>
            <w:r>
              <w:rPr>
                <w:spacing w:val="-2"/>
                <w:sz w:val="21"/>
              </w:rPr>
              <w:t>指被保险人确已实施全麻下的开颅手术（不包括颅骨钻孔手术和经鼻蝶</w:t>
            </w:r>
            <w:r>
              <w:rPr>
                <w:spacing w:val="-2"/>
                <w:sz w:val="21"/>
              </w:rPr>
              <w:t>窦入颅手术</w:t>
            </w:r>
            <w:r>
              <w:rPr>
                <w:spacing w:val="-106"/>
                <w:sz w:val="21"/>
              </w:rPr>
              <w:t>）</w:t>
            </w:r>
            <w:r>
              <w:rPr>
                <w:spacing w:val="-2"/>
                <w:sz w:val="21"/>
              </w:rPr>
              <w:t>。</w:t>
            </w:r>
          </w:p>
          <w:p>
            <w:pPr>
              <w:pStyle w:val="TableParagraph"/>
              <w:spacing w:line="269" w:lineRule="exact" w:before="0"/>
              <w:rPr>
                <w:rFonts w:ascii="黑体" w:eastAsia="黑体"/>
                <w:sz w:val="21"/>
              </w:rPr>
            </w:pPr>
            <w:r>
              <w:rPr>
                <w:rFonts w:ascii="黑体" w:eastAsia="黑体"/>
                <w:spacing w:val="-1"/>
                <w:sz w:val="21"/>
              </w:rPr>
              <w:t>理赔时必须提供由神经外科专科医生出具的诊断书及手术报告。</w:t>
            </w:r>
          </w:p>
          <w:p>
            <w:pPr>
              <w:pStyle w:val="TableParagraph"/>
              <w:rPr>
                <w:rFonts w:ascii="黑体" w:eastAsia="黑体"/>
                <w:sz w:val="21"/>
              </w:rPr>
            </w:pPr>
            <w:r>
              <w:rPr>
                <w:rFonts w:ascii="黑体" w:eastAsia="黑体"/>
                <w:color w:val="000000"/>
                <w:spacing w:val="-1"/>
                <w:sz w:val="21"/>
                <w:shd w:fill="D9D9D9" w:color="auto" w:val="clear"/>
              </w:rPr>
              <w:t>因外伤而实施的脑外科手术不在保障范围内。</w:t>
            </w:r>
          </w:p>
        </w:tc>
      </w:tr>
      <w:tr>
        <w:trPr>
          <w:trHeight w:val="935" w:hRule="atLeast"/>
        </w:trPr>
        <w:tc>
          <w:tcPr>
            <w:tcW w:w="1908" w:type="dxa"/>
          </w:tcPr>
          <w:p>
            <w:pPr>
              <w:pStyle w:val="TableParagraph"/>
              <w:spacing w:line="278" w:lineRule="auto" w:before="20"/>
              <w:ind w:right="96"/>
              <w:rPr>
                <w:sz w:val="21"/>
              </w:rPr>
            </w:pPr>
            <w:r>
              <w:rPr>
                <w:spacing w:val="-2"/>
                <w:sz w:val="21"/>
              </w:rPr>
              <w:t>八十四、自体造血</w:t>
            </w:r>
            <w:r>
              <w:rPr>
                <w:spacing w:val="-2"/>
                <w:sz w:val="21"/>
              </w:rPr>
              <w:t>干细胞移植</w:t>
            </w:r>
          </w:p>
        </w:tc>
        <w:tc>
          <w:tcPr>
            <w:tcW w:w="6810" w:type="dxa"/>
          </w:tcPr>
          <w:p>
            <w:pPr>
              <w:pStyle w:val="TableParagraph"/>
              <w:spacing w:line="278" w:lineRule="auto" w:before="20"/>
              <w:ind w:right="180"/>
              <w:rPr>
                <w:sz w:val="21"/>
              </w:rPr>
            </w:pPr>
            <w:r>
              <w:rPr>
                <w:spacing w:val="-2"/>
                <w:sz w:val="21"/>
              </w:rPr>
              <w:t>指由于患者自身骨髓造血功能异常或为了达到治疗肿瘤的目的，采集患</w:t>
            </w:r>
            <w:r>
              <w:rPr>
                <w:spacing w:val="-1"/>
                <w:sz w:val="21"/>
              </w:rPr>
              <w:t>者自己的一部分造血干细胞，分离并深低温保存，再回输给患者使患者</w:t>
            </w:r>
          </w:p>
          <w:p>
            <w:pPr>
              <w:pStyle w:val="TableParagraph"/>
              <w:spacing w:line="269" w:lineRule="exact" w:before="0"/>
              <w:rPr>
                <w:sz w:val="21"/>
              </w:rPr>
            </w:pPr>
            <w:r>
              <w:rPr>
                <w:spacing w:val="-1"/>
                <w:sz w:val="21"/>
              </w:rPr>
              <w:t>的造血功能和免疫功能重新恢复的一种治疗方法。</w:t>
            </w:r>
          </w:p>
        </w:tc>
      </w:tr>
      <w:tr>
        <w:trPr>
          <w:trHeight w:val="624" w:hRule="atLeast"/>
        </w:trPr>
        <w:tc>
          <w:tcPr>
            <w:tcW w:w="1908" w:type="dxa"/>
          </w:tcPr>
          <w:p>
            <w:pPr>
              <w:pStyle w:val="TableParagraph"/>
              <w:spacing w:before="21"/>
              <w:rPr>
                <w:sz w:val="21"/>
              </w:rPr>
            </w:pPr>
            <w:r>
              <w:rPr>
                <w:spacing w:val="-2"/>
                <w:sz w:val="21"/>
              </w:rPr>
              <w:t>八十五、小肠移植</w:t>
            </w:r>
          </w:p>
        </w:tc>
        <w:tc>
          <w:tcPr>
            <w:tcW w:w="6810" w:type="dxa"/>
          </w:tcPr>
          <w:p>
            <w:pPr>
              <w:pStyle w:val="TableParagraph"/>
              <w:spacing w:before="21"/>
              <w:rPr>
                <w:sz w:val="21"/>
              </w:rPr>
            </w:pPr>
            <w:r>
              <w:rPr>
                <w:spacing w:val="-1"/>
                <w:sz w:val="21"/>
              </w:rPr>
              <w:t>指因肠道疾病或外伤，已经实施了在全身麻醉下进行的小肠的异体器官</w:t>
            </w:r>
          </w:p>
          <w:p>
            <w:pPr>
              <w:pStyle w:val="TableParagraph"/>
              <w:rPr>
                <w:sz w:val="21"/>
              </w:rPr>
            </w:pPr>
            <w:r>
              <w:rPr>
                <w:spacing w:val="-1"/>
                <w:sz w:val="21"/>
              </w:rPr>
              <w:t>移植手术。此手术必须由专科医生认为是医学上必需的情况下进行。</w:t>
            </w:r>
          </w:p>
        </w:tc>
      </w:tr>
      <w:tr>
        <w:trPr>
          <w:trHeight w:val="2183" w:hRule="atLeast"/>
        </w:trPr>
        <w:tc>
          <w:tcPr>
            <w:tcW w:w="1908" w:type="dxa"/>
          </w:tcPr>
          <w:p>
            <w:pPr>
              <w:pStyle w:val="TableParagraph"/>
              <w:spacing w:line="278" w:lineRule="auto" w:before="20"/>
              <w:ind w:right="108"/>
              <w:rPr>
                <w:sz w:val="21"/>
              </w:rPr>
            </w:pPr>
            <w:r>
              <w:rPr>
                <w:spacing w:val="-2"/>
                <w:sz w:val="21"/>
              </w:rPr>
              <w:t>八十六、亚急性硬</w:t>
            </w:r>
            <w:r>
              <w:rPr>
                <w:spacing w:val="-2"/>
                <w:sz w:val="21"/>
              </w:rPr>
              <w:t>化性全脑炎</w:t>
            </w:r>
          </w:p>
        </w:tc>
        <w:tc>
          <w:tcPr>
            <w:tcW w:w="6810" w:type="dxa"/>
          </w:tcPr>
          <w:p>
            <w:pPr>
              <w:pStyle w:val="TableParagraph"/>
              <w:spacing w:line="278" w:lineRule="auto" w:before="20"/>
              <w:ind w:right="180"/>
              <w:jc w:val="both"/>
              <w:rPr>
                <w:sz w:val="21"/>
              </w:rPr>
            </w:pPr>
            <w:r>
              <w:rPr>
                <w:spacing w:val="-2"/>
                <w:sz w:val="21"/>
              </w:rPr>
              <w:t>是麻疹或麻疹样病毒所致的一种中枢神经系统慢性感染。中枢神经系统</w:t>
            </w:r>
            <w:r>
              <w:rPr>
                <w:spacing w:val="-2"/>
                <w:sz w:val="21"/>
              </w:rPr>
              <w:t>呈现灰质和白质破坏为特征的慢性和急性混合存在的炎症。必须满足以</w:t>
            </w:r>
            <w:r>
              <w:rPr>
                <w:spacing w:val="-2"/>
                <w:sz w:val="21"/>
              </w:rPr>
              <w:t>下全部条件：</w:t>
            </w:r>
          </w:p>
          <w:p>
            <w:pPr>
              <w:pStyle w:val="TableParagraph"/>
              <w:numPr>
                <w:ilvl w:val="0"/>
                <w:numId w:val="51"/>
              </w:numPr>
              <w:tabs>
                <w:tab w:pos="468" w:val="left" w:leader="none"/>
              </w:tabs>
              <w:spacing w:line="278" w:lineRule="auto" w:before="0" w:after="0"/>
              <w:ind w:left="467" w:right="96" w:hanging="360"/>
              <w:jc w:val="both"/>
              <w:rPr>
                <w:sz w:val="21"/>
              </w:rPr>
            </w:pPr>
            <w:r>
              <w:rPr>
                <w:w w:val="95"/>
                <w:sz w:val="21"/>
              </w:rPr>
              <w:t>脑</w:t>
            </w:r>
            <w:r>
              <w:rPr>
                <w:w w:val="95"/>
                <w:sz w:val="21"/>
              </w:rPr>
              <w:t>电</w:t>
            </w:r>
            <w:r>
              <w:rPr>
                <w:w w:val="95"/>
                <w:sz w:val="21"/>
              </w:rPr>
              <w:t>图</w:t>
            </w:r>
            <w:r>
              <w:rPr>
                <w:w w:val="95"/>
                <w:sz w:val="21"/>
              </w:rPr>
              <w:t>存</w:t>
            </w:r>
            <w:r>
              <w:rPr>
                <w:w w:val="95"/>
                <w:sz w:val="21"/>
              </w:rPr>
              <w:t>在</w:t>
            </w:r>
            <w:r>
              <w:rPr>
                <w:w w:val="95"/>
                <w:sz w:val="21"/>
              </w:rPr>
              <w:t>周</w:t>
            </w:r>
            <w:r>
              <w:rPr>
                <w:w w:val="95"/>
                <w:sz w:val="21"/>
              </w:rPr>
              <w:t>期</w:t>
            </w:r>
            <w:r>
              <w:rPr>
                <w:w w:val="95"/>
                <w:sz w:val="21"/>
              </w:rPr>
              <w:t>性</w:t>
            </w:r>
            <w:r>
              <w:rPr>
                <w:w w:val="95"/>
                <w:sz w:val="21"/>
              </w:rPr>
              <w:t>复</w:t>
            </w:r>
            <w:r>
              <w:rPr>
                <w:w w:val="95"/>
                <w:sz w:val="21"/>
              </w:rPr>
              <w:t>合</w:t>
            </w:r>
            <w:r>
              <w:rPr>
                <w:w w:val="95"/>
                <w:sz w:val="21"/>
              </w:rPr>
              <w:t>波</w:t>
            </w:r>
            <w:r>
              <w:rPr>
                <w:w w:val="95"/>
                <w:sz w:val="21"/>
              </w:rPr>
              <w:t>、</w:t>
            </w:r>
            <w:r>
              <w:rPr>
                <w:w w:val="95"/>
                <w:sz w:val="21"/>
              </w:rPr>
              <w:t>脑</w:t>
            </w:r>
            <w:r>
              <w:rPr>
                <w:w w:val="95"/>
                <w:sz w:val="21"/>
              </w:rPr>
              <w:t>脊</w:t>
            </w:r>
            <w:r>
              <w:rPr>
                <w:w w:val="95"/>
                <w:sz w:val="21"/>
              </w:rPr>
              <w:t>液</w:t>
            </w:r>
            <w:r>
              <w:rPr>
                <w:spacing w:val="12"/>
                <w:sz w:val="21"/>
              </w:rPr>
              <w:t> </w:t>
            </w:r>
            <w:r>
              <w:rPr>
                <w:rFonts w:ascii="Times New Roman" w:eastAsia="Times New Roman"/>
                <w:w w:val="95"/>
                <w:sz w:val="21"/>
              </w:rPr>
              <w:t>r-</w:t>
            </w:r>
            <w:r>
              <w:rPr>
                <w:w w:val="95"/>
                <w:sz w:val="21"/>
              </w:rPr>
              <w:t>球</w:t>
            </w:r>
            <w:r>
              <w:rPr>
                <w:w w:val="95"/>
                <w:sz w:val="21"/>
              </w:rPr>
              <w:t>蛋</w:t>
            </w:r>
            <w:r>
              <w:rPr>
                <w:w w:val="95"/>
                <w:sz w:val="21"/>
              </w:rPr>
              <w:t>白</w:t>
            </w:r>
            <w:r>
              <w:rPr>
                <w:w w:val="95"/>
                <w:sz w:val="21"/>
              </w:rPr>
              <w:t>升</w:t>
            </w:r>
            <w:r>
              <w:rPr>
                <w:w w:val="95"/>
                <w:sz w:val="21"/>
              </w:rPr>
              <w:t>高</w:t>
            </w:r>
            <w:r>
              <w:rPr>
                <w:w w:val="95"/>
                <w:sz w:val="21"/>
              </w:rPr>
              <w:t>、</w:t>
            </w:r>
            <w:r>
              <w:rPr>
                <w:w w:val="95"/>
                <w:sz w:val="21"/>
              </w:rPr>
              <w:t>脑</w:t>
            </w:r>
            <w:r>
              <w:rPr>
                <w:w w:val="95"/>
                <w:sz w:val="21"/>
              </w:rPr>
              <w:t>脊</w:t>
            </w:r>
            <w:r>
              <w:rPr>
                <w:w w:val="95"/>
                <w:sz w:val="21"/>
              </w:rPr>
              <w:t>液</w:t>
            </w:r>
            <w:r>
              <w:rPr>
                <w:w w:val="95"/>
                <w:sz w:val="21"/>
              </w:rPr>
              <w:t>和</w:t>
            </w:r>
            <w:r>
              <w:rPr>
                <w:w w:val="95"/>
                <w:sz w:val="21"/>
              </w:rPr>
              <w:t>血</w:t>
            </w:r>
            <w:r>
              <w:rPr>
                <w:w w:val="95"/>
                <w:sz w:val="21"/>
              </w:rPr>
              <w:t>清</w:t>
            </w:r>
            <w:r>
              <w:rPr>
                <w:w w:val="95"/>
                <w:sz w:val="21"/>
              </w:rPr>
              <w:t>中</w:t>
            </w:r>
            <w:r>
              <w:rPr>
                <w:w w:val="95"/>
                <w:sz w:val="21"/>
              </w:rPr>
              <w:t>麻</w:t>
            </w:r>
            <w:r>
              <w:rPr>
                <w:spacing w:val="-2"/>
                <w:sz w:val="21"/>
              </w:rPr>
              <w:t>疹抗体滴定度升高；</w:t>
            </w:r>
          </w:p>
          <w:p>
            <w:pPr>
              <w:pStyle w:val="TableParagraph"/>
              <w:numPr>
                <w:ilvl w:val="0"/>
                <w:numId w:val="51"/>
              </w:numPr>
              <w:tabs>
                <w:tab w:pos="468" w:val="left" w:leader="none"/>
              </w:tabs>
              <w:spacing w:line="269" w:lineRule="exact" w:before="0" w:after="0"/>
              <w:ind w:left="467" w:right="0" w:hanging="361"/>
              <w:jc w:val="both"/>
              <w:rPr>
                <w:sz w:val="21"/>
              </w:rPr>
            </w:pPr>
            <w:r>
              <w:rPr>
                <w:spacing w:val="-5"/>
                <w:sz w:val="21"/>
              </w:rPr>
              <w:t>被保险人出现运动障碍，自主生活能力完全丧失，无法独立完成六项</w:t>
            </w:r>
          </w:p>
          <w:p>
            <w:pPr>
              <w:pStyle w:val="TableParagraph"/>
              <w:spacing w:before="42"/>
              <w:ind w:left="467"/>
              <w:rPr>
                <w:sz w:val="21"/>
              </w:rPr>
            </w:pPr>
            <w:r>
              <w:rPr>
                <w:spacing w:val="-1"/>
                <w:sz w:val="21"/>
              </w:rPr>
              <w:t>基本日常生活活动中的三项或三项以上。</w:t>
            </w:r>
          </w:p>
        </w:tc>
      </w:tr>
      <w:tr>
        <w:trPr>
          <w:trHeight w:val="2495" w:hRule="atLeast"/>
        </w:trPr>
        <w:tc>
          <w:tcPr>
            <w:tcW w:w="1908" w:type="dxa"/>
          </w:tcPr>
          <w:p>
            <w:pPr>
              <w:pStyle w:val="TableParagraph"/>
              <w:spacing w:line="278" w:lineRule="auto" w:before="20"/>
              <w:ind w:right="96"/>
              <w:rPr>
                <w:sz w:val="21"/>
              </w:rPr>
            </w:pPr>
            <w:r>
              <w:rPr>
                <w:spacing w:val="-2"/>
                <w:sz w:val="21"/>
              </w:rPr>
              <w:t>八十七、脊髓小脑</w:t>
            </w:r>
            <w:r>
              <w:rPr>
                <w:spacing w:val="-4"/>
                <w:sz w:val="21"/>
              </w:rPr>
              <w:t>变性症</w:t>
            </w:r>
          </w:p>
        </w:tc>
        <w:tc>
          <w:tcPr>
            <w:tcW w:w="6810" w:type="dxa"/>
          </w:tcPr>
          <w:p>
            <w:pPr>
              <w:pStyle w:val="TableParagraph"/>
              <w:spacing w:line="278" w:lineRule="auto" w:before="20"/>
              <w:ind w:right="180"/>
              <w:rPr>
                <w:sz w:val="21"/>
              </w:rPr>
            </w:pPr>
            <w:r>
              <w:rPr>
                <w:spacing w:val="-2"/>
                <w:sz w:val="21"/>
              </w:rPr>
              <w:t>指一组以小脑萎缩和共济失调为主要临床特点的疾病。必须符合全部以</w:t>
            </w:r>
            <w:r>
              <w:rPr>
                <w:spacing w:val="-4"/>
                <w:sz w:val="21"/>
              </w:rPr>
              <w:t>下条件：</w:t>
            </w:r>
          </w:p>
          <w:p>
            <w:pPr>
              <w:pStyle w:val="TableParagraph"/>
              <w:numPr>
                <w:ilvl w:val="0"/>
                <w:numId w:val="52"/>
              </w:numPr>
              <w:tabs>
                <w:tab w:pos="468" w:val="left" w:leader="none"/>
              </w:tabs>
              <w:spacing w:line="278" w:lineRule="auto" w:before="0" w:after="0"/>
              <w:ind w:left="467" w:right="96" w:hanging="360"/>
              <w:jc w:val="left"/>
              <w:rPr>
                <w:rFonts w:ascii="黑体" w:eastAsia="黑体"/>
                <w:sz w:val="21"/>
              </w:rPr>
            </w:pPr>
            <w:r>
              <w:rPr>
                <w:rFonts w:ascii="黑体" w:eastAsia="黑体"/>
                <w:spacing w:val="-5"/>
                <w:sz w:val="21"/>
              </w:rPr>
              <w:t>脊髓小脑变性症必须由我们认可的神经内科专科医生确诊，并有以下</w:t>
            </w:r>
            <w:r>
              <w:rPr>
                <w:rFonts w:ascii="黑体" w:eastAsia="黑体"/>
                <w:spacing w:val="-2"/>
                <w:sz w:val="21"/>
              </w:rPr>
              <w:t>全部证据支持：</w:t>
            </w:r>
          </w:p>
          <w:p>
            <w:pPr>
              <w:pStyle w:val="TableParagraph"/>
              <w:tabs>
                <w:tab w:pos="887" w:val="left" w:leader="none"/>
              </w:tabs>
              <w:spacing w:line="269" w:lineRule="exact" w:before="0"/>
              <w:ind w:left="467"/>
              <w:rPr>
                <w:sz w:val="21"/>
              </w:rPr>
            </w:pPr>
            <w:r>
              <w:rPr>
                <w:spacing w:val="-10"/>
                <w:sz w:val="21"/>
              </w:rPr>
              <w:t>①</w:t>
            </w:r>
            <w:r>
              <w:rPr>
                <w:sz w:val="21"/>
              </w:rPr>
              <w:tab/>
            </w:r>
            <w:r>
              <w:rPr>
                <w:spacing w:val="-1"/>
                <w:sz w:val="21"/>
              </w:rPr>
              <w:t>影像学检查证实存在小脑萎缩；</w:t>
            </w:r>
          </w:p>
          <w:p>
            <w:pPr>
              <w:pStyle w:val="TableParagraph"/>
              <w:tabs>
                <w:tab w:pos="887" w:val="left" w:leader="none"/>
              </w:tabs>
              <w:ind w:left="467"/>
              <w:rPr>
                <w:sz w:val="21"/>
              </w:rPr>
            </w:pPr>
            <w:r>
              <w:rPr>
                <w:spacing w:val="-10"/>
                <w:sz w:val="21"/>
              </w:rPr>
              <w:t>②</w:t>
            </w:r>
            <w:r>
              <w:rPr>
                <w:sz w:val="21"/>
              </w:rPr>
              <w:tab/>
            </w:r>
            <w:r>
              <w:rPr>
                <w:spacing w:val="-1"/>
                <w:sz w:val="21"/>
              </w:rPr>
              <w:t>临床表现存在共济失调、语言障碍和肌张力异常。</w:t>
            </w:r>
          </w:p>
          <w:p>
            <w:pPr>
              <w:pStyle w:val="TableParagraph"/>
              <w:numPr>
                <w:ilvl w:val="0"/>
                <w:numId w:val="52"/>
              </w:numPr>
              <w:tabs>
                <w:tab w:pos="468" w:val="left" w:leader="none"/>
              </w:tabs>
              <w:spacing w:line="310" w:lineRule="atLeast" w:before="2" w:after="0"/>
              <w:ind w:left="467" w:right="97" w:hanging="360"/>
              <w:jc w:val="left"/>
              <w:rPr>
                <w:sz w:val="21"/>
              </w:rPr>
            </w:pPr>
            <w:r>
              <w:rPr>
                <w:spacing w:val="-4"/>
                <w:sz w:val="21"/>
              </w:rPr>
              <w:t>被保险人运动功能严重障碍，自主生活能力完全丧失，无法独立完成</w:t>
            </w:r>
            <w:r>
              <w:rPr>
                <w:spacing w:val="-2"/>
                <w:sz w:val="21"/>
              </w:rPr>
              <w:t>六项基本日常生活活动中的三项或三项以上。</w:t>
            </w:r>
          </w:p>
        </w:tc>
      </w:tr>
      <w:tr>
        <w:trPr>
          <w:trHeight w:val="624" w:hRule="atLeast"/>
        </w:trPr>
        <w:tc>
          <w:tcPr>
            <w:tcW w:w="1908" w:type="dxa"/>
          </w:tcPr>
          <w:p>
            <w:pPr>
              <w:pStyle w:val="TableParagraph"/>
              <w:spacing w:before="21"/>
              <w:rPr>
                <w:sz w:val="21"/>
              </w:rPr>
            </w:pPr>
            <w:r>
              <w:rPr>
                <w:spacing w:val="-2"/>
                <w:sz w:val="21"/>
              </w:rPr>
              <w:t>八十八、进行性多</w:t>
            </w:r>
          </w:p>
          <w:p>
            <w:pPr>
              <w:pStyle w:val="TableParagraph"/>
              <w:rPr>
                <w:sz w:val="21"/>
              </w:rPr>
            </w:pPr>
            <w:r>
              <w:rPr>
                <w:spacing w:val="-2"/>
                <w:sz w:val="21"/>
              </w:rPr>
              <w:t>灶性白质脑病</w:t>
            </w:r>
          </w:p>
        </w:tc>
        <w:tc>
          <w:tcPr>
            <w:tcW w:w="6810" w:type="dxa"/>
          </w:tcPr>
          <w:p>
            <w:pPr>
              <w:pStyle w:val="TableParagraph"/>
              <w:spacing w:before="21"/>
              <w:rPr>
                <w:rFonts w:ascii="黑体" w:eastAsia="黑体"/>
                <w:sz w:val="21"/>
              </w:rPr>
            </w:pPr>
            <w:r>
              <w:rPr>
                <w:sz w:val="21"/>
              </w:rPr>
              <w:t>是一种亚急性脱髓鞘性脑病，常发生于免疫缺陷的病人。</w:t>
            </w:r>
            <w:r>
              <w:rPr>
                <w:rFonts w:ascii="黑体" w:eastAsia="黑体"/>
                <w:spacing w:val="-2"/>
                <w:sz w:val="21"/>
              </w:rPr>
              <w:t>此症必须由我</w:t>
            </w:r>
          </w:p>
          <w:p>
            <w:pPr>
              <w:pStyle w:val="TableParagraph"/>
              <w:rPr>
                <w:rFonts w:ascii="黑体" w:eastAsia="黑体"/>
                <w:sz w:val="21"/>
              </w:rPr>
            </w:pPr>
            <w:r>
              <w:rPr>
                <w:rFonts w:ascii="黑体" w:eastAsia="黑体"/>
                <w:spacing w:val="-1"/>
                <w:sz w:val="21"/>
              </w:rPr>
              <w:t>们认可的神经科专科医生根据脑组织活检确诊。</w:t>
            </w:r>
          </w:p>
        </w:tc>
      </w:tr>
      <w:tr>
        <w:trPr>
          <w:trHeight w:val="3431" w:hRule="atLeast"/>
        </w:trPr>
        <w:tc>
          <w:tcPr>
            <w:tcW w:w="1908" w:type="dxa"/>
          </w:tcPr>
          <w:p>
            <w:pPr>
              <w:pStyle w:val="TableParagraph"/>
              <w:spacing w:line="278" w:lineRule="auto" w:before="20"/>
              <w:ind w:right="96"/>
              <w:rPr>
                <w:sz w:val="21"/>
              </w:rPr>
            </w:pPr>
            <w:r>
              <w:rPr>
                <w:spacing w:val="-2"/>
                <w:sz w:val="21"/>
              </w:rPr>
              <w:t>八十九、席汉氏综</w:t>
            </w:r>
            <w:r>
              <w:rPr>
                <w:spacing w:val="-6"/>
                <w:sz w:val="21"/>
              </w:rPr>
              <w:t>合征</w:t>
            </w:r>
          </w:p>
        </w:tc>
        <w:tc>
          <w:tcPr>
            <w:tcW w:w="6810" w:type="dxa"/>
          </w:tcPr>
          <w:p>
            <w:pPr>
              <w:pStyle w:val="TableParagraph"/>
              <w:spacing w:line="278" w:lineRule="auto" w:before="20"/>
              <w:ind w:right="180"/>
              <w:jc w:val="both"/>
              <w:rPr>
                <w:sz w:val="21"/>
              </w:rPr>
            </w:pPr>
            <w:r>
              <w:rPr>
                <w:spacing w:val="-2"/>
                <w:sz w:val="21"/>
              </w:rPr>
              <w:t>指因产后大出血并发休克、全身循环衰竭、弥漫性血管内凝血导致脑垂</w:t>
            </w:r>
            <w:r>
              <w:rPr>
                <w:spacing w:val="-2"/>
                <w:sz w:val="21"/>
              </w:rPr>
              <w:t>体缺血坏死和垂体分泌激素不足，造成性腺、甲状腺、肾上腺皮质功能</w:t>
            </w:r>
            <w:r>
              <w:rPr>
                <w:spacing w:val="-2"/>
                <w:sz w:val="21"/>
              </w:rPr>
              <w:t>减退。必须满足下列全部条件：</w:t>
            </w:r>
          </w:p>
          <w:p>
            <w:pPr>
              <w:pStyle w:val="TableParagraph"/>
              <w:numPr>
                <w:ilvl w:val="0"/>
                <w:numId w:val="53"/>
              </w:numPr>
              <w:tabs>
                <w:tab w:pos="528" w:val="left" w:leader="none"/>
              </w:tabs>
              <w:spacing w:line="269" w:lineRule="exact" w:before="0" w:after="0"/>
              <w:ind w:left="527" w:right="0" w:hanging="421"/>
              <w:jc w:val="left"/>
              <w:rPr>
                <w:sz w:val="21"/>
              </w:rPr>
            </w:pPr>
            <w:r>
              <w:rPr>
                <w:spacing w:val="-1"/>
                <w:sz w:val="21"/>
              </w:rPr>
              <w:t>产后大出血休克病史；</w:t>
            </w:r>
          </w:p>
          <w:p>
            <w:pPr>
              <w:pStyle w:val="TableParagraph"/>
              <w:numPr>
                <w:ilvl w:val="0"/>
                <w:numId w:val="53"/>
              </w:numPr>
              <w:tabs>
                <w:tab w:pos="528" w:val="left" w:leader="none"/>
              </w:tabs>
              <w:spacing w:line="240" w:lineRule="auto" w:before="43" w:after="0"/>
              <w:ind w:left="527" w:right="0" w:hanging="421"/>
              <w:jc w:val="left"/>
              <w:rPr>
                <w:sz w:val="21"/>
              </w:rPr>
            </w:pPr>
            <w:r>
              <w:rPr>
                <w:sz w:val="21"/>
              </w:rPr>
              <w:t>严重腺垂体功能破坏，破坏程度</w:t>
            </w:r>
            <w:r>
              <w:rPr>
                <w:rFonts w:ascii="Times New Roman" w:eastAsia="Times New Roman"/>
                <w:spacing w:val="-2"/>
                <w:sz w:val="21"/>
              </w:rPr>
              <w:t>&gt;95%</w:t>
            </w:r>
            <w:r>
              <w:rPr>
                <w:spacing w:val="-2"/>
                <w:sz w:val="21"/>
              </w:rPr>
              <w:t>；</w:t>
            </w:r>
          </w:p>
          <w:p>
            <w:pPr>
              <w:pStyle w:val="TableParagraph"/>
              <w:numPr>
                <w:ilvl w:val="0"/>
                <w:numId w:val="53"/>
              </w:numPr>
              <w:tabs>
                <w:tab w:pos="528" w:val="left" w:leader="none"/>
              </w:tabs>
              <w:spacing w:line="240" w:lineRule="auto" w:before="43" w:after="0"/>
              <w:ind w:left="527" w:right="0" w:hanging="421"/>
              <w:jc w:val="left"/>
              <w:rPr>
                <w:sz w:val="21"/>
              </w:rPr>
            </w:pPr>
            <w:r>
              <w:rPr>
                <w:spacing w:val="-1"/>
                <w:sz w:val="21"/>
              </w:rPr>
              <w:t>影像学检查显示脑垂体严重萎缩或消失；</w:t>
            </w:r>
          </w:p>
          <w:p>
            <w:pPr>
              <w:pStyle w:val="TableParagraph"/>
              <w:numPr>
                <w:ilvl w:val="0"/>
                <w:numId w:val="53"/>
              </w:numPr>
              <w:tabs>
                <w:tab w:pos="528" w:val="left" w:leader="none"/>
              </w:tabs>
              <w:spacing w:line="240" w:lineRule="auto" w:before="43" w:after="0"/>
              <w:ind w:left="527" w:right="0" w:hanging="421"/>
              <w:jc w:val="left"/>
              <w:rPr>
                <w:sz w:val="21"/>
              </w:rPr>
            </w:pPr>
            <w:r>
              <w:rPr>
                <w:spacing w:val="-2"/>
                <w:sz w:val="21"/>
              </w:rPr>
              <w:t>实验室检查显示：</w:t>
            </w:r>
          </w:p>
          <w:p>
            <w:pPr>
              <w:pStyle w:val="TableParagraph"/>
              <w:tabs>
                <w:tab w:pos="947" w:val="left" w:leader="none"/>
              </w:tabs>
              <w:spacing w:line="278" w:lineRule="auto"/>
              <w:ind w:left="947" w:right="180" w:hanging="420"/>
              <w:rPr>
                <w:sz w:val="21"/>
              </w:rPr>
            </w:pPr>
            <w:r>
              <w:rPr>
                <w:spacing w:val="-10"/>
                <w:sz w:val="21"/>
              </w:rPr>
              <w:t>①</w:t>
            </w:r>
            <w:r>
              <w:rPr>
                <w:sz w:val="21"/>
              </w:rPr>
              <w:tab/>
            </w:r>
            <w:r>
              <w:rPr>
                <w:spacing w:val="-2"/>
                <w:sz w:val="21"/>
              </w:rPr>
              <w:t>垂体前叶激素全面低下（包括生长激素、促甲状腺素、促肾上</w:t>
            </w:r>
            <w:r>
              <w:rPr>
                <w:spacing w:val="-2"/>
                <w:sz w:val="21"/>
              </w:rPr>
              <w:t>腺皮质激素、卵泡刺激素和黄体生成素</w:t>
            </w:r>
            <w:r>
              <w:rPr>
                <w:spacing w:val="-105"/>
                <w:sz w:val="21"/>
              </w:rPr>
              <w:t>）</w:t>
            </w:r>
            <w:r>
              <w:rPr>
                <w:spacing w:val="-1"/>
                <w:sz w:val="21"/>
              </w:rPr>
              <w:t>；和</w:t>
            </w:r>
          </w:p>
          <w:p>
            <w:pPr>
              <w:pStyle w:val="TableParagraph"/>
              <w:tabs>
                <w:tab w:pos="947" w:val="left" w:leader="none"/>
              </w:tabs>
              <w:spacing w:line="269" w:lineRule="exact" w:before="0"/>
              <w:ind w:left="527"/>
              <w:rPr>
                <w:sz w:val="21"/>
              </w:rPr>
            </w:pPr>
            <w:r>
              <w:rPr>
                <w:spacing w:val="-10"/>
                <w:sz w:val="21"/>
              </w:rPr>
              <w:t>②</w:t>
            </w:r>
            <w:r>
              <w:rPr>
                <w:sz w:val="21"/>
              </w:rPr>
              <w:tab/>
            </w:r>
            <w:r>
              <w:rPr>
                <w:spacing w:val="-1"/>
                <w:sz w:val="21"/>
              </w:rPr>
              <w:t>性激素、甲状腺素、肾上腺皮质激素全面低下。</w:t>
            </w:r>
          </w:p>
          <w:p>
            <w:pPr>
              <w:pStyle w:val="TableParagraph"/>
              <w:numPr>
                <w:ilvl w:val="0"/>
                <w:numId w:val="53"/>
              </w:numPr>
              <w:tabs>
                <w:tab w:pos="528" w:val="left" w:leader="none"/>
              </w:tabs>
              <w:spacing w:line="240" w:lineRule="auto" w:before="43" w:after="0"/>
              <w:ind w:left="527" w:right="0" w:hanging="421"/>
              <w:jc w:val="left"/>
              <w:rPr>
                <w:sz w:val="21"/>
              </w:rPr>
            </w:pPr>
            <w:r>
              <w:rPr>
                <w:spacing w:val="-1"/>
                <w:sz w:val="21"/>
              </w:rPr>
              <w:t>需要终身激素替代治疗以维持身体功能，持续服用各种替代激素超</w:t>
            </w:r>
          </w:p>
        </w:tc>
      </w:tr>
    </w:tbl>
    <w:p>
      <w:pPr>
        <w:spacing w:after="0" w:line="240" w:lineRule="auto"/>
        <w:jc w:val="left"/>
        <w:rPr>
          <w:sz w:val="21"/>
        </w:rPr>
        <w:sectPr>
          <w:type w:val="continuous"/>
          <w:pgSz w:w="11910" w:h="16840"/>
          <w:pgMar w:header="0" w:footer="1168" w:top="1460" w:bottom="1722" w:left="1060" w:right="1060"/>
        </w:sectPr>
      </w:pPr>
    </w:p>
    <w:tbl>
      <w:tblPr>
        <w:tblW w:w="0" w:type="auto"/>
        <w:jc w:val="left"/>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08"/>
        <w:gridCol w:w="6810"/>
      </w:tblGrid>
      <w:tr>
        <w:trPr>
          <w:trHeight w:val="312" w:hRule="atLeast"/>
        </w:trPr>
        <w:tc>
          <w:tcPr>
            <w:tcW w:w="1908" w:type="dxa"/>
          </w:tcPr>
          <w:p>
            <w:pPr>
              <w:pStyle w:val="TableParagraph"/>
              <w:spacing w:before="0"/>
              <w:ind w:left="0"/>
              <w:rPr>
                <w:rFonts w:ascii="Times New Roman"/>
                <w:sz w:val="20"/>
              </w:rPr>
            </w:pPr>
          </w:p>
        </w:tc>
        <w:tc>
          <w:tcPr>
            <w:tcW w:w="6810" w:type="dxa"/>
          </w:tcPr>
          <w:p>
            <w:pPr>
              <w:pStyle w:val="TableParagraph"/>
              <w:spacing w:before="21"/>
              <w:ind w:left="527"/>
              <w:rPr>
                <w:sz w:val="21"/>
              </w:rPr>
            </w:pPr>
            <w:r>
              <w:rPr>
                <w:spacing w:val="-3"/>
                <w:sz w:val="21"/>
              </w:rPr>
              <w:t>过一年。</w:t>
            </w:r>
          </w:p>
        </w:tc>
      </w:tr>
      <w:tr>
        <w:trPr>
          <w:trHeight w:val="3119" w:hRule="atLeast"/>
        </w:trPr>
        <w:tc>
          <w:tcPr>
            <w:tcW w:w="1908" w:type="dxa"/>
          </w:tcPr>
          <w:p>
            <w:pPr>
              <w:pStyle w:val="TableParagraph"/>
              <w:spacing w:line="278" w:lineRule="auto" w:before="20"/>
              <w:ind w:right="96"/>
              <w:rPr>
                <w:sz w:val="21"/>
              </w:rPr>
            </w:pPr>
            <w:r>
              <w:rPr>
                <w:spacing w:val="-2"/>
                <w:sz w:val="21"/>
              </w:rPr>
              <w:t>九十、严重慢性缩</w:t>
            </w:r>
            <w:r>
              <w:rPr>
                <w:spacing w:val="-2"/>
                <w:sz w:val="21"/>
              </w:rPr>
              <w:t>窄性心包炎</w:t>
            </w:r>
          </w:p>
        </w:tc>
        <w:tc>
          <w:tcPr>
            <w:tcW w:w="6810" w:type="dxa"/>
          </w:tcPr>
          <w:p>
            <w:pPr>
              <w:pStyle w:val="TableParagraph"/>
              <w:spacing w:line="278" w:lineRule="auto" w:before="20"/>
              <w:ind w:right="180"/>
              <w:jc w:val="both"/>
              <w:rPr>
                <w:sz w:val="21"/>
              </w:rPr>
            </w:pPr>
            <w:r>
              <w:rPr>
                <w:spacing w:val="-2"/>
                <w:sz w:val="21"/>
              </w:rPr>
              <w:t>指由于慢性心包炎症导致心包脏层和壁层广泛瘢痕粘连、增厚和钙化，</w:t>
            </w:r>
            <w:r>
              <w:rPr>
                <w:spacing w:val="-2"/>
                <w:sz w:val="21"/>
              </w:rPr>
              <w:t>心包腔闭塞，形成一个纤维瘢痕外壳，使心脏和大血管根部受压，妨碍</w:t>
            </w:r>
            <w:r>
              <w:rPr>
                <w:spacing w:val="-2"/>
                <w:sz w:val="21"/>
              </w:rPr>
              <w:t>心脏的扩张。</w:t>
            </w:r>
          </w:p>
          <w:p>
            <w:pPr>
              <w:pStyle w:val="TableParagraph"/>
              <w:spacing w:line="269" w:lineRule="exact" w:before="0"/>
              <w:rPr>
                <w:sz w:val="21"/>
              </w:rPr>
            </w:pPr>
            <w:r>
              <w:rPr>
                <w:spacing w:val="-1"/>
                <w:sz w:val="21"/>
              </w:rPr>
              <w:t>被保险人被明确诊断为慢性缩窄性心包炎，并符合全部以下条件：</w:t>
            </w:r>
          </w:p>
          <w:p>
            <w:pPr>
              <w:pStyle w:val="TableParagraph"/>
              <w:numPr>
                <w:ilvl w:val="0"/>
                <w:numId w:val="54"/>
              </w:numPr>
              <w:tabs>
                <w:tab w:pos="528" w:val="left" w:leader="none"/>
              </w:tabs>
              <w:spacing w:line="240" w:lineRule="auto" w:before="43" w:after="0"/>
              <w:ind w:left="527" w:right="0" w:hanging="421"/>
              <w:jc w:val="left"/>
              <w:rPr>
                <w:sz w:val="21"/>
              </w:rPr>
            </w:pPr>
            <w:r>
              <w:rPr>
                <w:spacing w:val="-2"/>
                <w:sz w:val="21"/>
              </w:rPr>
              <w:t>心功能</w:t>
            </w:r>
            <w:r>
              <w:rPr>
                <w:rFonts w:ascii="Times New Roman" w:eastAsia="Times New Roman"/>
                <w:spacing w:val="-2"/>
                <w:sz w:val="21"/>
              </w:rPr>
              <w:t>IV</w:t>
            </w:r>
            <w:r>
              <w:rPr>
                <w:spacing w:val="-4"/>
                <w:sz w:val="21"/>
              </w:rPr>
              <w:t>级持续一百八十天；</w:t>
            </w:r>
          </w:p>
          <w:p>
            <w:pPr>
              <w:pStyle w:val="TableParagraph"/>
              <w:numPr>
                <w:ilvl w:val="0"/>
                <w:numId w:val="54"/>
              </w:numPr>
              <w:tabs>
                <w:tab w:pos="528" w:val="left" w:leader="none"/>
              </w:tabs>
              <w:spacing w:line="240" w:lineRule="auto" w:before="43" w:after="0"/>
              <w:ind w:left="527" w:right="0" w:hanging="421"/>
              <w:jc w:val="left"/>
              <w:rPr>
                <w:sz w:val="21"/>
              </w:rPr>
            </w:pPr>
            <w:r>
              <w:rPr>
                <w:spacing w:val="-1"/>
                <w:sz w:val="21"/>
              </w:rPr>
              <w:t>实际接受了以下任何一种手术路径的心包剥脱或心包切除手术：</w:t>
            </w:r>
          </w:p>
          <w:p>
            <w:pPr>
              <w:pStyle w:val="TableParagraph"/>
              <w:tabs>
                <w:tab w:pos="947" w:val="left" w:leader="none"/>
              </w:tabs>
              <w:ind w:left="527"/>
              <w:rPr>
                <w:sz w:val="21"/>
              </w:rPr>
            </w:pPr>
            <w:r>
              <w:rPr>
                <w:spacing w:val="-10"/>
                <w:sz w:val="21"/>
              </w:rPr>
              <w:t>①</w:t>
            </w:r>
            <w:r>
              <w:rPr>
                <w:sz w:val="21"/>
              </w:rPr>
              <w:tab/>
            </w:r>
            <w:r>
              <w:rPr>
                <w:spacing w:val="-2"/>
                <w:sz w:val="21"/>
              </w:rPr>
              <w:t>胸骨正中切口；</w:t>
            </w:r>
          </w:p>
          <w:p>
            <w:pPr>
              <w:pStyle w:val="TableParagraph"/>
              <w:tabs>
                <w:tab w:pos="947" w:val="left" w:leader="none"/>
              </w:tabs>
              <w:ind w:left="527"/>
              <w:rPr>
                <w:sz w:val="21"/>
              </w:rPr>
            </w:pPr>
            <w:r>
              <w:rPr>
                <w:spacing w:val="-10"/>
                <w:sz w:val="21"/>
              </w:rPr>
              <w:t>②</w:t>
            </w:r>
            <w:r>
              <w:rPr>
                <w:sz w:val="21"/>
              </w:rPr>
              <w:tab/>
            </w:r>
            <w:r>
              <w:rPr>
                <w:spacing w:val="-2"/>
                <w:sz w:val="21"/>
              </w:rPr>
              <w:t>双侧前胸切口；</w:t>
            </w:r>
          </w:p>
          <w:p>
            <w:pPr>
              <w:pStyle w:val="TableParagraph"/>
              <w:tabs>
                <w:tab w:pos="947" w:val="left" w:leader="none"/>
              </w:tabs>
              <w:ind w:left="527"/>
              <w:rPr>
                <w:sz w:val="21"/>
              </w:rPr>
            </w:pPr>
            <w:r>
              <w:rPr>
                <w:spacing w:val="-10"/>
                <w:sz w:val="21"/>
              </w:rPr>
              <w:t>③</w:t>
            </w:r>
            <w:r>
              <w:rPr>
                <w:sz w:val="21"/>
              </w:rPr>
              <w:tab/>
            </w:r>
            <w:r>
              <w:rPr>
                <w:spacing w:val="-2"/>
                <w:sz w:val="21"/>
              </w:rPr>
              <w:t>左前胸肋间切口。</w:t>
            </w:r>
          </w:p>
          <w:p>
            <w:pPr>
              <w:pStyle w:val="TableParagraph"/>
              <w:rPr>
                <w:rFonts w:ascii="黑体" w:eastAsia="黑体"/>
                <w:sz w:val="21"/>
              </w:rPr>
            </w:pPr>
            <w:r>
              <w:rPr>
                <w:rFonts w:ascii="黑体" w:eastAsia="黑体"/>
                <w:color w:val="000000"/>
                <w:spacing w:val="-1"/>
                <w:sz w:val="21"/>
                <w:shd w:fill="D9D9D9" w:color="auto" w:val="clear"/>
              </w:rPr>
              <w:t>经胸腔镜、胸壁打孔进行的手术，心包粘连松解手术不在保障范围内。</w:t>
            </w:r>
          </w:p>
        </w:tc>
      </w:tr>
      <w:tr>
        <w:trPr>
          <w:trHeight w:val="623" w:hRule="atLeast"/>
        </w:trPr>
        <w:tc>
          <w:tcPr>
            <w:tcW w:w="1908" w:type="dxa"/>
          </w:tcPr>
          <w:p>
            <w:pPr>
              <w:pStyle w:val="TableParagraph"/>
              <w:spacing w:before="20"/>
              <w:rPr>
                <w:rFonts w:ascii="Times New Roman" w:eastAsia="Times New Roman"/>
                <w:sz w:val="21"/>
              </w:rPr>
            </w:pPr>
            <w:r>
              <w:rPr>
                <w:spacing w:val="34"/>
                <w:sz w:val="21"/>
              </w:rPr>
              <w:t>九十一、</w:t>
            </w:r>
            <w:r>
              <w:rPr>
                <w:rFonts w:ascii="Times New Roman" w:eastAsia="Times New Roman"/>
                <w:spacing w:val="-2"/>
                <w:sz w:val="21"/>
              </w:rPr>
              <w:t>Brugada</w:t>
            </w:r>
          </w:p>
          <w:p>
            <w:pPr>
              <w:pStyle w:val="TableParagraph"/>
              <w:rPr>
                <w:sz w:val="21"/>
              </w:rPr>
            </w:pPr>
            <w:r>
              <w:rPr>
                <w:spacing w:val="-4"/>
                <w:sz w:val="21"/>
              </w:rPr>
              <w:t>综合征</w:t>
            </w:r>
          </w:p>
        </w:tc>
        <w:tc>
          <w:tcPr>
            <w:tcW w:w="6810" w:type="dxa"/>
          </w:tcPr>
          <w:p>
            <w:pPr>
              <w:pStyle w:val="TableParagraph"/>
              <w:spacing w:before="20"/>
              <w:rPr>
                <w:rFonts w:ascii="黑体" w:eastAsia="黑体"/>
                <w:sz w:val="21"/>
              </w:rPr>
            </w:pPr>
            <w:r>
              <w:rPr>
                <w:rFonts w:ascii="黑体" w:eastAsia="黑体"/>
                <w:spacing w:val="-2"/>
                <w:sz w:val="21"/>
              </w:rPr>
              <w:t>指由心脏专科医生根据临床症状和典型心电图表现，明确诊断为Brugada</w:t>
            </w:r>
          </w:p>
          <w:p>
            <w:pPr>
              <w:pStyle w:val="TableParagraph"/>
              <w:rPr>
                <w:sz w:val="21"/>
              </w:rPr>
            </w:pPr>
            <w:r>
              <w:rPr>
                <w:rFonts w:ascii="黑体" w:eastAsia="黑体"/>
                <w:spacing w:val="-2"/>
                <w:sz w:val="21"/>
              </w:rPr>
              <w:t>综合征。</w:t>
            </w:r>
            <w:r>
              <w:rPr>
                <w:spacing w:val="-3"/>
                <w:sz w:val="21"/>
              </w:rPr>
              <w:t>经医生判断认为医疗必须且实际已安装永久性心脏除颤器。</w:t>
            </w:r>
          </w:p>
        </w:tc>
      </w:tr>
      <w:tr>
        <w:trPr>
          <w:trHeight w:val="936" w:hRule="atLeast"/>
        </w:trPr>
        <w:tc>
          <w:tcPr>
            <w:tcW w:w="1908" w:type="dxa"/>
          </w:tcPr>
          <w:p>
            <w:pPr>
              <w:pStyle w:val="TableParagraph"/>
              <w:spacing w:line="278" w:lineRule="auto" w:before="21"/>
              <w:ind w:right="96"/>
              <w:rPr>
                <w:sz w:val="21"/>
              </w:rPr>
            </w:pPr>
            <w:r>
              <w:rPr>
                <w:spacing w:val="-2"/>
                <w:sz w:val="21"/>
              </w:rPr>
              <w:t>九十二、室壁瘤切</w:t>
            </w:r>
            <w:r>
              <w:rPr>
                <w:spacing w:val="-4"/>
                <w:sz w:val="21"/>
              </w:rPr>
              <w:t>除手术</w:t>
            </w:r>
          </w:p>
        </w:tc>
        <w:tc>
          <w:tcPr>
            <w:tcW w:w="6810" w:type="dxa"/>
          </w:tcPr>
          <w:p>
            <w:pPr>
              <w:pStyle w:val="TableParagraph"/>
              <w:spacing w:line="278" w:lineRule="auto" w:before="21"/>
              <w:ind w:right="180"/>
              <w:rPr>
                <w:sz w:val="21"/>
              </w:rPr>
            </w:pPr>
            <w:r>
              <w:rPr>
                <w:spacing w:val="-2"/>
                <w:sz w:val="21"/>
              </w:rPr>
              <w:t>指被保险人被明确诊断为左室室壁瘤，并且实际接受了开胸开心进行的</w:t>
            </w:r>
            <w:r>
              <w:rPr>
                <w:spacing w:val="-2"/>
                <w:sz w:val="21"/>
              </w:rPr>
              <w:t>室壁瘤切除手术治疗。</w:t>
            </w:r>
          </w:p>
          <w:p>
            <w:pPr>
              <w:pStyle w:val="TableParagraph"/>
              <w:spacing w:line="269" w:lineRule="exact" w:before="0"/>
              <w:rPr>
                <w:rFonts w:ascii="黑体" w:eastAsia="黑体"/>
                <w:sz w:val="21"/>
              </w:rPr>
            </w:pPr>
            <w:r>
              <w:rPr>
                <w:rFonts w:ascii="黑体" w:eastAsia="黑体"/>
                <w:color w:val="000000"/>
                <w:spacing w:val="-1"/>
                <w:sz w:val="21"/>
                <w:shd w:fill="D9D9D9" w:color="auto" w:val="clear"/>
              </w:rPr>
              <w:t>经导管心室内成型手术治疗不在保障范围内。</w:t>
            </w:r>
          </w:p>
        </w:tc>
      </w:tr>
      <w:tr>
        <w:trPr>
          <w:trHeight w:val="2183" w:hRule="atLeast"/>
        </w:trPr>
        <w:tc>
          <w:tcPr>
            <w:tcW w:w="1908" w:type="dxa"/>
          </w:tcPr>
          <w:p>
            <w:pPr>
              <w:pStyle w:val="TableParagraph"/>
              <w:spacing w:line="278" w:lineRule="auto" w:before="20"/>
              <w:ind w:right="96"/>
              <w:rPr>
                <w:sz w:val="21"/>
              </w:rPr>
            </w:pPr>
            <w:r>
              <w:rPr>
                <w:spacing w:val="-2"/>
                <w:sz w:val="21"/>
              </w:rPr>
              <w:t>九十三、脊髓空洞</w:t>
            </w:r>
            <w:r>
              <w:rPr>
                <w:spacing w:val="-10"/>
                <w:sz w:val="21"/>
              </w:rPr>
              <w:t>症</w:t>
            </w:r>
          </w:p>
        </w:tc>
        <w:tc>
          <w:tcPr>
            <w:tcW w:w="6810" w:type="dxa"/>
          </w:tcPr>
          <w:p>
            <w:pPr>
              <w:pStyle w:val="TableParagraph"/>
              <w:spacing w:line="278" w:lineRule="auto" w:before="20"/>
              <w:ind w:right="-15"/>
              <w:rPr>
                <w:sz w:val="21"/>
              </w:rPr>
            </w:pPr>
            <w:r>
              <w:rPr>
                <w:spacing w:val="-2"/>
                <w:sz w:val="21"/>
              </w:rPr>
              <w:t>脊髓空洞症为慢性进行性的脊髓变性性疾病，其特征为脊髓内空洞形成。表现为感觉异常、肌萎缩及神经营养障碍。脊髓空洞症累及延髓称为延髓空洞症，表现为延髓麻痹。脊髓空洞症必须明确诊断并且造成永久不可逆的神经系统功能障碍，存在持续至少一百八十天以上的神经系统功能缺失并满足下列任一条件：</w:t>
            </w:r>
          </w:p>
          <w:p>
            <w:pPr>
              <w:pStyle w:val="TableParagraph"/>
              <w:numPr>
                <w:ilvl w:val="0"/>
                <w:numId w:val="55"/>
              </w:numPr>
              <w:tabs>
                <w:tab w:pos="528" w:val="left" w:leader="none"/>
              </w:tabs>
              <w:spacing w:line="268" w:lineRule="exact" w:before="0" w:after="0"/>
              <w:ind w:left="527" w:right="0" w:hanging="421"/>
              <w:jc w:val="left"/>
              <w:rPr>
                <w:sz w:val="21"/>
              </w:rPr>
            </w:pPr>
            <w:r>
              <w:rPr>
                <w:spacing w:val="-1"/>
                <w:sz w:val="21"/>
              </w:rPr>
              <w:t>延髓麻痹呈现显著舌肌萎缩、构音困难和吞咽困难；或</w:t>
            </w:r>
          </w:p>
          <w:p>
            <w:pPr>
              <w:pStyle w:val="TableParagraph"/>
              <w:numPr>
                <w:ilvl w:val="0"/>
                <w:numId w:val="55"/>
              </w:numPr>
              <w:tabs>
                <w:tab w:pos="528" w:val="left" w:leader="none"/>
              </w:tabs>
              <w:spacing w:line="240" w:lineRule="auto" w:before="43" w:after="0"/>
              <w:ind w:left="527" w:right="0" w:hanging="421"/>
              <w:jc w:val="left"/>
              <w:rPr>
                <w:sz w:val="21"/>
              </w:rPr>
            </w:pPr>
            <w:r>
              <w:rPr>
                <w:spacing w:val="-12"/>
                <w:sz w:val="21"/>
              </w:rPr>
              <w:t>双手萎缩呈“爪形手”，肌力</w:t>
            </w:r>
            <w:r>
              <w:rPr>
                <w:rFonts w:ascii="Times New Roman" w:hAnsi="Times New Roman" w:eastAsia="Times New Roman"/>
                <w:spacing w:val="-2"/>
                <w:sz w:val="21"/>
              </w:rPr>
              <w:t>1</w:t>
            </w:r>
            <w:r>
              <w:rPr>
                <w:spacing w:val="-4"/>
                <w:sz w:val="21"/>
              </w:rPr>
              <w:t>级或以下。</w:t>
            </w:r>
          </w:p>
        </w:tc>
      </w:tr>
      <w:tr>
        <w:trPr>
          <w:trHeight w:val="1559" w:hRule="atLeast"/>
        </w:trPr>
        <w:tc>
          <w:tcPr>
            <w:tcW w:w="1908" w:type="dxa"/>
          </w:tcPr>
          <w:p>
            <w:pPr>
              <w:pStyle w:val="TableParagraph"/>
              <w:spacing w:line="278" w:lineRule="auto" w:before="20"/>
              <w:ind w:right="96"/>
              <w:rPr>
                <w:sz w:val="21"/>
              </w:rPr>
            </w:pPr>
            <w:r>
              <w:rPr>
                <w:spacing w:val="-2"/>
                <w:sz w:val="21"/>
              </w:rPr>
              <w:t>九十四、严重强直</w:t>
            </w:r>
            <w:r>
              <w:rPr>
                <w:spacing w:val="-4"/>
                <w:sz w:val="21"/>
              </w:rPr>
              <w:t>性脊柱炎</w:t>
            </w:r>
          </w:p>
        </w:tc>
        <w:tc>
          <w:tcPr>
            <w:tcW w:w="6810" w:type="dxa"/>
          </w:tcPr>
          <w:p>
            <w:pPr>
              <w:pStyle w:val="TableParagraph"/>
              <w:spacing w:line="278" w:lineRule="auto" w:before="20"/>
              <w:ind w:right="-15"/>
              <w:rPr>
                <w:sz w:val="21"/>
              </w:rPr>
            </w:pPr>
            <w:r>
              <w:rPr>
                <w:spacing w:val="-2"/>
                <w:sz w:val="21"/>
              </w:rPr>
              <w:t>强直性脊柱炎是一种慢性全身性炎性疾病，主要侵犯脊柱导致脊柱畸形。</w:t>
            </w:r>
            <w:r>
              <w:rPr>
                <w:spacing w:val="-2"/>
                <w:sz w:val="21"/>
              </w:rPr>
              <w:t>强直性脊柱炎必须明确诊断并且满足下列全部条件：</w:t>
            </w:r>
          </w:p>
          <w:p>
            <w:pPr>
              <w:pStyle w:val="TableParagraph"/>
              <w:numPr>
                <w:ilvl w:val="0"/>
                <w:numId w:val="56"/>
              </w:numPr>
              <w:tabs>
                <w:tab w:pos="528" w:val="left" w:leader="none"/>
              </w:tabs>
              <w:spacing w:line="269" w:lineRule="exact" w:before="0" w:after="0"/>
              <w:ind w:left="527" w:right="0" w:hanging="421"/>
              <w:jc w:val="left"/>
              <w:rPr>
                <w:sz w:val="21"/>
              </w:rPr>
            </w:pPr>
            <w:r>
              <w:rPr>
                <w:spacing w:val="-2"/>
                <w:sz w:val="21"/>
              </w:rPr>
              <w:t>严重脊柱畸形；</w:t>
            </w:r>
          </w:p>
          <w:p>
            <w:pPr>
              <w:pStyle w:val="TableParagraph"/>
              <w:numPr>
                <w:ilvl w:val="0"/>
                <w:numId w:val="56"/>
              </w:numPr>
              <w:tabs>
                <w:tab w:pos="528" w:val="left" w:leader="none"/>
              </w:tabs>
              <w:spacing w:line="310" w:lineRule="atLeast" w:before="2" w:after="0"/>
              <w:ind w:left="527" w:right="180" w:hanging="420"/>
              <w:jc w:val="left"/>
              <w:rPr>
                <w:sz w:val="21"/>
              </w:rPr>
            </w:pPr>
            <w:r>
              <w:rPr>
                <w:spacing w:val="-2"/>
                <w:sz w:val="21"/>
              </w:rPr>
              <w:t>自主生活能力完全丧失，无法独立完成六项基本日常生活活动中的</w:t>
            </w:r>
            <w:r>
              <w:rPr>
                <w:spacing w:val="-2"/>
                <w:sz w:val="21"/>
              </w:rPr>
              <w:t>三项或三项以上。</w:t>
            </w:r>
          </w:p>
        </w:tc>
      </w:tr>
      <w:tr>
        <w:trPr>
          <w:trHeight w:val="4056" w:hRule="atLeast"/>
        </w:trPr>
        <w:tc>
          <w:tcPr>
            <w:tcW w:w="1908" w:type="dxa"/>
          </w:tcPr>
          <w:p>
            <w:pPr>
              <w:pStyle w:val="TableParagraph"/>
              <w:spacing w:line="278" w:lineRule="auto" w:before="21"/>
              <w:ind w:right="96"/>
              <w:jc w:val="both"/>
              <w:rPr>
                <w:sz w:val="21"/>
              </w:rPr>
            </w:pPr>
            <w:r>
              <w:rPr>
                <w:spacing w:val="-2"/>
                <w:sz w:val="21"/>
              </w:rPr>
              <w:t>九十五、败血症导</w:t>
            </w:r>
            <w:r>
              <w:rPr>
                <w:spacing w:val="-2"/>
                <w:sz w:val="21"/>
              </w:rPr>
              <w:t>致的多器官功能障</w:t>
            </w:r>
            <w:r>
              <w:rPr>
                <w:spacing w:val="-4"/>
                <w:sz w:val="21"/>
              </w:rPr>
              <w:t>碍综合征</w:t>
            </w:r>
          </w:p>
        </w:tc>
        <w:tc>
          <w:tcPr>
            <w:tcW w:w="6810" w:type="dxa"/>
          </w:tcPr>
          <w:p>
            <w:pPr>
              <w:pStyle w:val="TableParagraph"/>
              <w:spacing w:line="278" w:lineRule="auto" w:before="21"/>
              <w:ind w:right="180"/>
              <w:rPr>
                <w:sz w:val="21"/>
              </w:rPr>
            </w:pPr>
            <w:r>
              <w:rPr>
                <w:spacing w:val="-2"/>
                <w:sz w:val="21"/>
              </w:rPr>
              <w:t>多器官功能障碍指败血症导致的并发症，一个或多个器官系统生理功能</w:t>
            </w:r>
            <w:r>
              <w:rPr>
                <w:spacing w:val="-2"/>
                <w:sz w:val="21"/>
              </w:rPr>
              <w:t>障碍，因该疾病住院至少九十六小时，并至少满足以下一条标准：</w:t>
            </w:r>
          </w:p>
          <w:p>
            <w:pPr>
              <w:pStyle w:val="TableParagraph"/>
              <w:spacing w:line="269" w:lineRule="exact" w:before="0"/>
              <w:rPr>
                <w:sz w:val="21"/>
              </w:rPr>
            </w:pPr>
            <w:r>
              <w:rPr>
                <w:sz w:val="21"/>
              </w:rPr>
              <w:t>(1</w:t>
            </w:r>
            <w:r>
              <w:rPr>
                <w:spacing w:val="-2"/>
                <w:sz w:val="21"/>
              </w:rPr>
              <w:t>) 呼吸衰竭，需要进行气管插管机械通气；</w:t>
            </w:r>
          </w:p>
          <w:p>
            <w:pPr>
              <w:pStyle w:val="TableParagraph"/>
              <w:rPr>
                <w:sz w:val="21"/>
              </w:rPr>
            </w:pPr>
            <w:r>
              <w:rPr>
                <w:sz w:val="21"/>
              </w:rPr>
              <w:t>(2</w:t>
            </w:r>
            <w:r>
              <w:rPr>
                <w:spacing w:val="-1"/>
                <w:sz w:val="21"/>
              </w:rPr>
              <w:t>) 凝血血小板计数</w:t>
            </w:r>
            <w:r>
              <w:rPr>
                <w:rFonts w:ascii="Times New Roman" w:hAnsi="Times New Roman" w:eastAsia="Times New Roman"/>
                <w:spacing w:val="-2"/>
                <w:sz w:val="21"/>
              </w:rPr>
              <w:t>&lt;50×10</w:t>
            </w:r>
            <w:r>
              <w:rPr>
                <w:rFonts w:ascii="Times New Roman" w:hAnsi="Times New Roman" w:eastAsia="Times New Roman"/>
                <w:spacing w:val="-2"/>
                <w:sz w:val="21"/>
                <w:vertAlign w:val="superscript"/>
              </w:rPr>
              <w:t>9</w:t>
            </w:r>
            <w:r>
              <w:rPr>
                <w:rFonts w:ascii="Times New Roman" w:hAnsi="Times New Roman" w:eastAsia="Times New Roman"/>
                <w:spacing w:val="-2"/>
                <w:sz w:val="21"/>
                <w:vertAlign w:val="baseline"/>
              </w:rPr>
              <w:t>/L</w:t>
            </w:r>
            <w:r>
              <w:rPr>
                <w:spacing w:val="-2"/>
                <w:sz w:val="21"/>
                <w:vertAlign w:val="baseline"/>
              </w:rPr>
              <w:t>；</w:t>
            </w:r>
          </w:p>
          <w:p>
            <w:pPr>
              <w:pStyle w:val="TableParagraph"/>
              <w:numPr>
                <w:ilvl w:val="0"/>
                <w:numId w:val="57"/>
              </w:numPr>
              <w:tabs>
                <w:tab w:pos="528" w:val="left" w:leader="none"/>
              </w:tabs>
              <w:spacing w:line="240" w:lineRule="auto" w:before="43" w:after="0"/>
              <w:ind w:left="527" w:right="0" w:hanging="421"/>
              <w:jc w:val="left"/>
              <w:rPr>
                <w:sz w:val="21"/>
              </w:rPr>
            </w:pPr>
            <w:r>
              <w:rPr>
                <w:sz w:val="21"/>
              </w:rPr>
              <w:t>肝功能不全，胆红素</w:t>
            </w:r>
            <w:r>
              <w:rPr>
                <w:rFonts w:ascii="Times New Roman" w:hAnsi="Times New Roman" w:eastAsia="Times New Roman"/>
                <w:sz w:val="21"/>
              </w:rPr>
              <w:t>&gt;6mg/dl</w:t>
            </w:r>
            <w:r>
              <w:rPr>
                <w:rFonts w:ascii="Times New Roman" w:hAnsi="Times New Roman" w:eastAsia="Times New Roman"/>
                <w:spacing w:val="-2"/>
                <w:sz w:val="21"/>
              </w:rPr>
              <w:t> </w:t>
            </w:r>
            <w:r>
              <w:rPr>
                <w:sz w:val="21"/>
              </w:rPr>
              <w:t>或</w:t>
            </w:r>
            <w:r>
              <w:rPr>
                <w:rFonts w:ascii="Times New Roman" w:hAnsi="Times New Roman" w:eastAsia="Times New Roman"/>
                <w:spacing w:val="-2"/>
                <w:sz w:val="21"/>
              </w:rPr>
              <w:t>&gt;102μmol/L</w:t>
            </w:r>
            <w:r>
              <w:rPr>
                <w:spacing w:val="-2"/>
                <w:sz w:val="21"/>
              </w:rPr>
              <w:t>；</w:t>
            </w:r>
          </w:p>
          <w:p>
            <w:pPr>
              <w:pStyle w:val="TableParagraph"/>
              <w:numPr>
                <w:ilvl w:val="0"/>
                <w:numId w:val="57"/>
              </w:numPr>
              <w:tabs>
                <w:tab w:pos="528" w:val="left" w:leader="none"/>
              </w:tabs>
              <w:spacing w:line="240" w:lineRule="auto" w:before="43" w:after="0"/>
              <w:ind w:left="527" w:right="0" w:hanging="421"/>
              <w:jc w:val="left"/>
              <w:rPr>
                <w:sz w:val="21"/>
              </w:rPr>
            </w:pPr>
            <w:r>
              <w:rPr>
                <w:spacing w:val="-2"/>
                <w:sz w:val="21"/>
              </w:rPr>
              <w:t>需要用强心剂；</w:t>
            </w:r>
          </w:p>
          <w:p>
            <w:pPr>
              <w:pStyle w:val="TableParagraph"/>
              <w:numPr>
                <w:ilvl w:val="0"/>
                <w:numId w:val="57"/>
              </w:numPr>
              <w:tabs>
                <w:tab w:pos="528" w:val="left" w:leader="none"/>
              </w:tabs>
              <w:spacing w:line="240" w:lineRule="auto" w:before="43" w:after="0"/>
              <w:ind w:left="527" w:right="0" w:hanging="421"/>
              <w:jc w:val="left"/>
              <w:rPr>
                <w:sz w:val="21"/>
              </w:rPr>
            </w:pPr>
            <w:r>
              <w:rPr>
                <w:sz w:val="21"/>
              </w:rPr>
              <w:t>昏迷格拉斯哥昏迷评分</w:t>
            </w:r>
            <w:r>
              <w:rPr>
                <w:spacing w:val="-2"/>
                <w:sz w:val="21"/>
              </w:rPr>
              <w:t>（</w:t>
            </w:r>
            <w:r>
              <w:rPr>
                <w:rFonts w:ascii="Times New Roman" w:hAnsi="Times New Roman" w:eastAsia="Times New Roman"/>
                <w:spacing w:val="-2"/>
                <w:sz w:val="21"/>
              </w:rPr>
              <w:t>GCS</w:t>
            </w:r>
            <w:r>
              <w:rPr>
                <w:spacing w:val="-2"/>
                <w:sz w:val="21"/>
              </w:rPr>
              <w:t>）</w:t>
            </w:r>
            <w:r>
              <w:rPr>
                <w:rFonts w:ascii="Times New Roman" w:hAnsi="Times New Roman" w:eastAsia="Times New Roman"/>
                <w:spacing w:val="-2"/>
                <w:sz w:val="21"/>
              </w:rPr>
              <w:t>≤9</w:t>
            </w:r>
            <w:r>
              <w:rPr>
                <w:spacing w:val="-2"/>
                <w:sz w:val="21"/>
              </w:rPr>
              <w:t>；</w:t>
            </w:r>
          </w:p>
          <w:p>
            <w:pPr>
              <w:pStyle w:val="TableParagraph"/>
              <w:numPr>
                <w:ilvl w:val="0"/>
                <w:numId w:val="57"/>
              </w:numPr>
              <w:tabs>
                <w:tab w:pos="528" w:val="left" w:leader="none"/>
              </w:tabs>
              <w:spacing w:line="240" w:lineRule="auto" w:before="43" w:after="0"/>
              <w:ind w:left="527" w:right="0" w:hanging="421"/>
              <w:jc w:val="left"/>
              <w:rPr>
                <w:sz w:val="21"/>
              </w:rPr>
            </w:pPr>
            <w:r>
              <w:rPr>
                <w:sz w:val="21"/>
              </w:rPr>
              <w:t>肾功能衰竭，血清肌酐</w:t>
            </w:r>
            <w:r>
              <w:rPr>
                <w:rFonts w:ascii="Times New Roman" w:hAnsi="Times New Roman" w:eastAsia="Times New Roman"/>
                <w:sz w:val="21"/>
              </w:rPr>
              <w:t>&gt;300μmol/L</w:t>
            </w:r>
            <w:r>
              <w:rPr>
                <w:rFonts w:ascii="Times New Roman" w:hAnsi="Times New Roman" w:eastAsia="Times New Roman"/>
                <w:spacing w:val="-9"/>
                <w:sz w:val="21"/>
              </w:rPr>
              <w:t> </w:t>
            </w:r>
            <w:r>
              <w:rPr>
                <w:sz w:val="21"/>
              </w:rPr>
              <w:t>或</w:t>
            </w:r>
            <w:r>
              <w:rPr>
                <w:rFonts w:ascii="Times New Roman" w:hAnsi="Times New Roman" w:eastAsia="Times New Roman"/>
                <w:sz w:val="21"/>
              </w:rPr>
              <w:t>&gt;</w:t>
            </w:r>
            <w:r>
              <w:rPr>
                <w:spacing w:val="-27"/>
                <w:sz w:val="21"/>
              </w:rPr>
              <w:t>为 </w:t>
            </w:r>
            <w:r>
              <w:rPr>
                <w:rFonts w:ascii="Times New Roman" w:hAnsi="Times New Roman" w:eastAsia="Times New Roman"/>
                <w:sz w:val="21"/>
              </w:rPr>
              <w:t>3.5mg/dl</w:t>
            </w:r>
            <w:r>
              <w:rPr>
                <w:rFonts w:ascii="Times New Roman" w:hAnsi="Times New Roman" w:eastAsia="Times New Roman"/>
                <w:spacing w:val="-3"/>
                <w:sz w:val="21"/>
              </w:rPr>
              <w:t> </w:t>
            </w:r>
            <w:r>
              <w:rPr>
                <w:sz w:val="21"/>
              </w:rPr>
              <w:t>或尿量</w:t>
            </w:r>
            <w:r>
              <w:rPr>
                <w:rFonts w:ascii="Times New Roman" w:hAnsi="Times New Roman" w:eastAsia="Times New Roman"/>
                <w:spacing w:val="-2"/>
                <w:sz w:val="21"/>
              </w:rPr>
              <w:t>&lt;500ml/d</w:t>
            </w:r>
            <w:r>
              <w:rPr>
                <w:spacing w:val="-2"/>
                <w:sz w:val="21"/>
              </w:rPr>
              <w:t>；</w:t>
            </w:r>
          </w:p>
          <w:p>
            <w:pPr>
              <w:pStyle w:val="TableParagraph"/>
              <w:numPr>
                <w:ilvl w:val="0"/>
                <w:numId w:val="57"/>
              </w:numPr>
              <w:tabs>
                <w:tab w:pos="528" w:val="left" w:leader="none"/>
              </w:tabs>
              <w:spacing w:line="240" w:lineRule="auto" w:before="43" w:after="0"/>
              <w:ind w:left="527" w:right="0" w:hanging="421"/>
              <w:jc w:val="left"/>
              <w:rPr>
                <w:sz w:val="21"/>
              </w:rPr>
            </w:pPr>
            <w:r>
              <w:rPr>
                <w:spacing w:val="-1"/>
                <w:sz w:val="21"/>
              </w:rPr>
              <w:t>败血症有血液和影像学检查证实；</w:t>
            </w:r>
          </w:p>
          <w:p>
            <w:pPr>
              <w:pStyle w:val="TableParagraph"/>
              <w:numPr>
                <w:ilvl w:val="0"/>
                <w:numId w:val="57"/>
              </w:numPr>
              <w:tabs>
                <w:tab w:pos="528" w:val="left" w:leader="none"/>
              </w:tabs>
              <w:spacing w:line="240" w:lineRule="auto" w:before="43" w:after="0"/>
              <w:ind w:left="527" w:right="0" w:hanging="421"/>
              <w:jc w:val="left"/>
              <w:rPr>
                <w:sz w:val="21"/>
              </w:rPr>
            </w:pPr>
            <w:r>
              <w:rPr>
                <w:spacing w:val="-1"/>
                <w:sz w:val="21"/>
              </w:rPr>
              <w:t>住院重症监护病房最低九十六小时；</w:t>
            </w:r>
          </w:p>
          <w:p>
            <w:pPr>
              <w:pStyle w:val="TableParagraph"/>
              <w:numPr>
                <w:ilvl w:val="0"/>
                <w:numId w:val="57"/>
              </w:numPr>
              <w:tabs>
                <w:tab w:pos="528" w:val="left" w:leader="none"/>
              </w:tabs>
              <w:spacing w:line="240" w:lineRule="auto" w:before="43" w:after="0"/>
              <w:ind w:left="527" w:right="0" w:hanging="421"/>
              <w:jc w:val="left"/>
              <w:rPr>
                <w:sz w:val="21"/>
              </w:rPr>
            </w:pPr>
            <w:r>
              <w:rPr>
                <w:spacing w:val="-1"/>
                <w:sz w:val="21"/>
              </w:rPr>
              <w:t>器官功能障碍维持至少十五天。</w:t>
            </w:r>
          </w:p>
          <w:p>
            <w:pPr>
              <w:pStyle w:val="TableParagraph"/>
              <w:spacing w:line="310" w:lineRule="atLeast" w:before="2"/>
              <w:ind w:right="-15"/>
              <w:rPr>
                <w:rFonts w:ascii="黑体" w:eastAsia="黑体"/>
                <w:sz w:val="21"/>
              </w:rPr>
            </w:pPr>
            <w:r>
              <w:rPr>
                <w:rFonts w:ascii="黑体" w:eastAsia="黑体"/>
                <w:spacing w:val="-4"/>
                <w:sz w:val="21"/>
              </w:rPr>
              <w:t>败血症引起的多器官功能障碍综合症</w:t>
            </w:r>
            <w:r>
              <w:rPr>
                <w:rFonts w:ascii="Times New Roman" w:eastAsia="Times New Roman"/>
                <w:spacing w:val="-4"/>
                <w:sz w:val="21"/>
              </w:rPr>
              <w:t>(MODS</w:t>
            </w:r>
            <w:r>
              <w:rPr>
                <w:rFonts w:ascii="黑体" w:eastAsia="黑体"/>
                <w:spacing w:val="-4"/>
                <w:sz w:val="21"/>
              </w:rPr>
              <w:t>）的诊断应由专科医生证实。</w:t>
            </w:r>
            <w:r>
              <w:rPr>
                <w:rFonts w:ascii="黑体" w:eastAsia="黑体"/>
                <w:color w:val="000000"/>
                <w:spacing w:val="-3"/>
                <w:sz w:val="21"/>
                <w:shd w:fill="D9D9D9" w:color="auto" w:val="clear"/>
              </w:rPr>
              <w:t>非败血症引起的 </w:t>
            </w:r>
            <w:r>
              <w:rPr>
                <w:rFonts w:ascii="Times New Roman" w:eastAsia="Times New Roman"/>
                <w:color w:val="000000"/>
                <w:sz w:val="21"/>
                <w:shd w:fill="D9D9D9" w:color="auto" w:val="clear"/>
              </w:rPr>
              <w:t>MODS </w:t>
            </w:r>
            <w:r>
              <w:rPr>
                <w:rFonts w:ascii="黑体" w:eastAsia="黑体"/>
                <w:color w:val="000000"/>
                <w:sz w:val="21"/>
                <w:shd w:fill="D9D9D9" w:color="auto" w:val="clear"/>
              </w:rPr>
              <w:t>不在保障范围内。</w:t>
            </w:r>
          </w:p>
        </w:tc>
      </w:tr>
      <w:tr>
        <w:trPr>
          <w:trHeight w:val="623" w:hRule="atLeast"/>
        </w:trPr>
        <w:tc>
          <w:tcPr>
            <w:tcW w:w="1908" w:type="dxa"/>
          </w:tcPr>
          <w:p>
            <w:pPr>
              <w:pStyle w:val="TableParagraph"/>
              <w:spacing w:before="20"/>
              <w:rPr>
                <w:sz w:val="21"/>
              </w:rPr>
            </w:pPr>
            <w:r>
              <w:rPr>
                <w:spacing w:val="-2"/>
                <w:sz w:val="21"/>
              </w:rPr>
              <w:t>九十六、进行性风</w:t>
            </w:r>
          </w:p>
          <w:p>
            <w:pPr>
              <w:pStyle w:val="TableParagraph"/>
              <w:rPr>
                <w:sz w:val="21"/>
              </w:rPr>
            </w:pPr>
            <w:r>
              <w:rPr>
                <w:spacing w:val="-2"/>
                <w:sz w:val="21"/>
              </w:rPr>
              <w:t>疹性全脑炎</w:t>
            </w:r>
          </w:p>
        </w:tc>
        <w:tc>
          <w:tcPr>
            <w:tcW w:w="6810" w:type="dxa"/>
          </w:tcPr>
          <w:p>
            <w:pPr>
              <w:pStyle w:val="TableParagraph"/>
              <w:spacing w:before="20"/>
              <w:rPr>
                <w:sz w:val="21"/>
              </w:rPr>
            </w:pPr>
            <w:r>
              <w:rPr>
                <w:sz w:val="21"/>
              </w:rPr>
              <w:t>指由风疹病毒感染引起的儿童和青少年（十九岁及以下人群）</w:t>
            </w:r>
            <w:r>
              <w:rPr>
                <w:spacing w:val="-3"/>
                <w:sz w:val="21"/>
              </w:rPr>
              <w:t>的慢性脑</w:t>
            </w:r>
          </w:p>
          <w:p>
            <w:pPr>
              <w:pStyle w:val="TableParagraph"/>
              <w:rPr>
                <w:sz w:val="21"/>
              </w:rPr>
            </w:pPr>
            <w:r>
              <w:rPr>
                <w:spacing w:val="-1"/>
                <w:sz w:val="21"/>
              </w:rPr>
              <w:t>炎。疾病确诊一百八十天后，仍遗留下列一种或一种以上障碍：</w:t>
            </w:r>
          </w:p>
        </w:tc>
      </w:tr>
    </w:tbl>
    <w:p>
      <w:pPr>
        <w:spacing w:after="0"/>
        <w:rPr>
          <w:sz w:val="21"/>
        </w:rPr>
        <w:sectPr>
          <w:type w:val="continuous"/>
          <w:pgSz w:w="11910" w:h="16840"/>
          <w:pgMar w:header="0" w:footer="1168" w:top="1460" w:bottom="1360" w:left="1060" w:right="1060"/>
        </w:sectPr>
      </w:pPr>
    </w:p>
    <w:tbl>
      <w:tblPr>
        <w:tblW w:w="0" w:type="auto"/>
        <w:jc w:val="left"/>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08"/>
        <w:gridCol w:w="6810"/>
      </w:tblGrid>
      <w:tr>
        <w:trPr>
          <w:trHeight w:val="1248" w:hRule="atLeast"/>
        </w:trPr>
        <w:tc>
          <w:tcPr>
            <w:tcW w:w="1908" w:type="dxa"/>
          </w:tcPr>
          <w:p>
            <w:pPr>
              <w:pStyle w:val="TableParagraph"/>
              <w:spacing w:before="0"/>
              <w:ind w:left="0"/>
              <w:rPr>
                <w:rFonts w:ascii="Times New Roman"/>
                <w:sz w:val="20"/>
              </w:rPr>
            </w:pPr>
          </w:p>
        </w:tc>
        <w:tc>
          <w:tcPr>
            <w:tcW w:w="6810" w:type="dxa"/>
          </w:tcPr>
          <w:p>
            <w:pPr>
              <w:pStyle w:val="TableParagraph"/>
              <w:numPr>
                <w:ilvl w:val="0"/>
                <w:numId w:val="58"/>
              </w:numPr>
              <w:tabs>
                <w:tab w:pos="528" w:val="left" w:leader="none"/>
              </w:tabs>
              <w:spacing w:line="240" w:lineRule="auto" w:before="21" w:after="0"/>
              <w:ind w:left="527" w:right="0" w:hanging="421"/>
              <w:jc w:val="left"/>
              <w:rPr>
                <w:sz w:val="21"/>
              </w:rPr>
            </w:pPr>
            <w:r>
              <w:rPr>
                <w:spacing w:val="-1"/>
                <w:sz w:val="21"/>
              </w:rPr>
              <w:t>一肢或一肢以上肢体机能完全丧失；</w:t>
            </w:r>
          </w:p>
          <w:p>
            <w:pPr>
              <w:pStyle w:val="TableParagraph"/>
              <w:numPr>
                <w:ilvl w:val="0"/>
                <w:numId w:val="58"/>
              </w:numPr>
              <w:tabs>
                <w:tab w:pos="528" w:val="left" w:leader="none"/>
              </w:tabs>
              <w:spacing w:line="240" w:lineRule="auto" w:before="43" w:after="0"/>
              <w:ind w:left="527" w:right="0" w:hanging="421"/>
              <w:jc w:val="left"/>
              <w:rPr>
                <w:sz w:val="21"/>
              </w:rPr>
            </w:pPr>
            <w:r>
              <w:rPr>
                <w:spacing w:val="-1"/>
                <w:sz w:val="21"/>
              </w:rPr>
              <w:t>语言能力或咀嚼吞咽能力完全丧失；</w:t>
            </w:r>
          </w:p>
          <w:p>
            <w:pPr>
              <w:pStyle w:val="TableParagraph"/>
              <w:numPr>
                <w:ilvl w:val="0"/>
                <w:numId w:val="58"/>
              </w:numPr>
              <w:tabs>
                <w:tab w:pos="528" w:val="left" w:leader="none"/>
              </w:tabs>
              <w:spacing w:line="310" w:lineRule="atLeast" w:before="2" w:after="0"/>
              <w:ind w:left="527" w:right="180" w:hanging="420"/>
              <w:jc w:val="left"/>
              <w:rPr>
                <w:sz w:val="21"/>
              </w:rPr>
            </w:pPr>
            <w:r>
              <w:rPr>
                <w:spacing w:val="-2"/>
                <w:sz w:val="21"/>
              </w:rPr>
              <w:t>自主生活能力完全丧失，无法独立完成六项基本日常生活活动中的</w:t>
            </w:r>
            <w:r>
              <w:rPr>
                <w:spacing w:val="-2"/>
                <w:sz w:val="21"/>
              </w:rPr>
              <w:t>三项或三项以上。</w:t>
            </w:r>
          </w:p>
        </w:tc>
      </w:tr>
      <w:tr>
        <w:trPr>
          <w:trHeight w:val="3743" w:hRule="atLeast"/>
        </w:trPr>
        <w:tc>
          <w:tcPr>
            <w:tcW w:w="1908" w:type="dxa"/>
          </w:tcPr>
          <w:p>
            <w:pPr>
              <w:pStyle w:val="TableParagraph"/>
              <w:spacing w:line="278" w:lineRule="auto" w:before="20"/>
              <w:ind w:right="96"/>
              <w:rPr>
                <w:sz w:val="21"/>
              </w:rPr>
            </w:pPr>
            <w:r>
              <w:rPr>
                <w:spacing w:val="-2"/>
                <w:sz w:val="21"/>
              </w:rPr>
              <w:t>九十七、器官移植</w:t>
            </w:r>
            <w:r>
              <w:rPr>
                <w:spacing w:val="-2"/>
                <w:sz w:val="21"/>
              </w:rPr>
              <w:t>导致的</w:t>
            </w:r>
            <w:r>
              <w:rPr>
                <w:rFonts w:ascii="Times New Roman" w:eastAsia="Times New Roman"/>
                <w:spacing w:val="-2"/>
                <w:sz w:val="21"/>
              </w:rPr>
              <w:t>HIV</w:t>
            </w:r>
            <w:r>
              <w:rPr>
                <w:spacing w:val="-2"/>
                <w:sz w:val="21"/>
              </w:rPr>
              <w:t>感染</w:t>
            </w:r>
          </w:p>
        </w:tc>
        <w:tc>
          <w:tcPr>
            <w:tcW w:w="6810" w:type="dxa"/>
          </w:tcPr>
          <w:p>
            <w:pPr>
              <w:pStyle w:val="TableParagraph"/>
              <w:spacing w:line="278" w:lineRule="auto" w:before="20"/>
              <w:ind w:right="122"/>
              <w:rPr>
                <w:sz w:val="21"/>
              </w:rPr>
            </w:pPr>
            <w:r>
              <w:rPr>
                <w:spacing w:val="-4"/>
                <w:sz w:val="21"/>
              </w:rPr>
              <w:t>指因进行器官移植而感染上人类免疫缺陷病毒</w:t>
            </w:r>
            <w:r>
              <w:rPr>
                <w:spacing w:val="14"/>
                <w:sz w:val="21"/>
              </w:rPr>
              <w:t>（</w:t>
            </w:r>
            <w:r>
              <w:rPr>
                <w:rFonts w:ascii="Times New Roman" w:eastAsia="Times New Roman"/>
                <w:spacing w:val="13"/>
                <w:sz w:val="21"/>
              </w:rPr>
              <w:t>HIV</w:t>
            </w:r>
            <w:r>
              <w:rPr>
                <w:spacing w:val="-91"/>
                <w:sz w:val="21"/>
              </w:rPr>
              <w:t>）</w:t>
            </w:r>
            <w:r>
              <w:rPr>
                <w:spacing w:val="-4"/>
                <w:sz w:val="21"/>
              </w:rPr>
              <w:t>，且须满足下列全</w:t>
            </w:r>
            <w:r>
              <w:rPr>
                <w:spacing w:val="-4"/>
                <w:sz w:val="21"/>
              </w:rPr>
              <w:t>部条件：</w:t>
            </w:r>
          </w:p>
          <w:p>
            <w:pPr>
              <w:pStyle w:val="TableParagraph"/>
              <w:numPr>
                <w:ilvl w:val="0"/>
                <w:numId w:val="59"/>
              </w:numPr>
              <w:tabs>
                <w:tab w:pos="528" w:val="left" w:leader="none"/>
              </w:tabs>
              <w:spacing w:line="278" w:lineRule="auto" w:before="0" w:after="0"/>
              <w:ind w:left="527" w:right="-15" w:hanging="420"/>
              <w:jc w:val="left"/>
              <w:rPr>
                <w:sz w:val="21"/>
              </w:rPr>
            </w:pPr>
            <w:r>
              <w:rPr>
                <w:spacing w:val="-2"/>
                <w:sz w:val="21"/>
              </w:rPr>
              <w:t>在保障起始日或复效日之后，被保险人因治疗必需而实施器官移植，</w:t>
            </w:r>
            <w:r>
              <w:rPr>
                <w:spacing w:val="-2"/>
                <w:sz w:val="21"/>
              </w:rPr>
              <w:t>并且因器官移植而感染人类免疫缺陷病毒；</w:t>
            </w:r>
          </w:p>
          <w:p>
            <w:pPr>
              <w:pStyle w:val="TableParagraph"/>
              <w:numPr>
                <w:ilvl w:val="0"/>
                <w:numId w:val="59"/>
              </w:numPr>
              <w:tabs>
                <w:tab w:pos="528" w:val="left" w:leader="none"/>
              </w:tabs>
              <w:spacing w:line="278" w:lineRule="auto" w:before="0" w:after="0"/>
              <w:ind w:left="527" w:right="180" w:hanging="420"/>
              <w:jc w:val="both"/>
              <w:rPr>
                <w:sz w:val="21"/>
              </w:rPr>
            </w:pPr>
            <w:r>
              <w:rPr>
                <w:spacing w:val="-2"/>
                <w:sz w:val="21"/>
              </w:rPr>
              <w:t>提供器官移植治疗的器官移植中心或医院出具的此次因器官移植感</w:t>
            </w:r>
            <w:r>
              <w:rPr>
                <w:spacing w:val="-2"/>
                <w:sz w:val="21"/>
              </w:rPr>
              <w:t>染人类免疫缺陷病毒，属于医疗事故的报告，或者法院终审裁定为</w:t>
            </w:r>
            <w:r>
              <w:rPr>
                <w:spacing w:val="-2"/>
                <w:sz w:val="21"/>
              </w:rPr>
              <w:t>医疗事故并且不准上诉；</w:t>
            </w:r>
          </w:p>
          <w:p>
            <w:pPr>
              <w:pStyle w:val="TableParagraph"/>
              <w:numPr>
                <w:ilvl w:val="0"/>
                <w:numId w:val="59"/>
              </w:numPr>
              <w:tabs>
                <w:tab w:pos="528" w:val="left" w:leader="none"/>
              </w:tabs>
              <w:spacing w:line="278" w:lineRule="auto" w:before="0" w:after="0"/>
              <w:ind w:left="107" w:right="96" w:firstLine="0"/>
              <w:jc w:val="left"/>
              <w:rPr>
                <w:rFonts w:ascii="黑体" w:eastAsia="黑体"/>
                <w:sz w:val="21"/>
              </w:rPr>
            </w:pPr>
            <w:r>
              <w:rPr>
                <w:spacing w:val="-2"/>
                <w:sz w:val="21"/>
              </w:rPr>
              <w:t>提供器官移植治疗的器官移植中心或医院必须拥有合法经营执照。</w:t>
            </w:r>
            <w:r>
              <w:rPr>
                <w:rFonts w:ascii="黑体" w:eastAsia="黑体"/>
                <w:color w:val="000000"/>
                <w:spacing w:val="-4"/>
                <w:sz w:val="21"/>
                <w:shd w:fill="D9D9D9" w:color="auto" w:val="clear"/>
              </w:rPr>
              <w:t>任何因其他传播方式（包括：性传播或静脉注射毒品）导致的</w:t>
            </w:r>
            <w:r>
              <w:rPr>
                <w:rFonts w:ascii="Times New Roman" w:eastAsia="Times New Roman"/>
                <w:color w:val="000000"/>
                <w:spacing w:val="-4"/>
                <w:sz w:val="21"/>
                <w:shd w:fill="D9D9D9" w:color="auto" w:val="clear"/>
              </w:rPr>
              <w:t>HIV</w:t>
            </w:r>
            <w:r>
              <w:rPr>
                <w:rFonts w:ascii="黑体" w:eastAsia="黑体"/>
                <w:color w:val="000000"/>
                <w:spacing w:val="-4"/>
                <w:sz w:val="21"/>
                <w:shd w:fill="D9D9D9" w:color="auto" w:val="clear"/>
              </w:rPr>
              <w:t>感染不</w:t>
            </w:r>
            <w:r>
              <w:rPr>
                <w:rFonts w:ascii="黑体" w:eastAsia="黑体"/>
                <w:color w:val="000000"/>
                <w:spacing w:val="-2"/>
                <w:sz w:val="21"/>
                <w:shd w:fill="D9D9D9" w:color="auto" w:val="clear"/>
              </w:rPr>
              <w:t>在保障范围内。</w:t>
            </w:r>
          </w:p>
          <w:p>
            <w:pPr>
              <w:pStyle w:val="TableParagraph"/>
              <w:spacing w:line="269" w:lineRule="exact" w:before="0"/>
              <w:rPr>
                <w:rFonts w:ascii="黑体" w:hAnsi="黑体" w:eastAsia="黑体"/>
                <w:sz w:val="21"/>
              </w:rPr>
            </w:pPr>
            <w:r>
              <w:rPr>
                <w:rFonts w:ascii="黑体" w:hAnsi="黑体" w:eastAsia="黑体"/>
                <w:spacing w:val="-1"/>
                <w:sz w:val="21"/>
              </w:rPr>
              <w:t>我们承担本项疾病责任不受本合同责任免除中“被保险人感染艾滋病病</w:t>
            </w:r>
          </w:p>
          <w:p>
            <w:pPr>
              <w:pStyle w:val="TableParagraph"/>
              <w:spacing w:before="42"/>
              <w:rPr>
                <w:rFonts w:ascii="黑体" w:hAnsi="黑体" w:eastAsia="黑体"/>
                <w:sz w:val="21"/>
              </w:rPr>
            </w:pPr>
            <w:r>
              <w:rPr>
                <w:rFonts w:ascii="黑体" w:hAnsi="黑体" w:eastAsia="黑体"/>
                <w:spacing w:val="-1"/>
                <w:sz w:val="21"/>
              </w:rPr>
              <w:t>毒或患艾滋病”的限制。</w:t>
            </w:r>
          </w:p>
        </w:tc>
      </w:tr>
      <w:tr>
        <w:trPr>
          <w:trHeight w:val="935" w:hRule="atLeast"/>
        </w:trPr>
        <w:tc>
          <w:tcPr>
            <w:tcW w:w="1908" w:type="dxa"/>
          </w:tcPr>
          <w:p>
            <w:pPr>
              <w:pStyle w:val="TableParagraph"/>
              <w:spacing w:before="20"/>
              <w:rPr>
                <w:sz w:val="21"/>
              </w:rPr>
            </w:pPr>
            <w:r>
              <w:rPr>
                <w:spacing w:val="-2"/>
                <w:sz w:val="21"/>
              </w:rPr>
              <w:t>九十八、脑型疟疾</w:t>
            </w:r>
          </w:p>
        </w:tc>
        <w:tc>
          <w:tcPr>
            <w:tcW w:w="6810" w:type="dxa"/>
          </w:tcPr>
          <w:p>
            <w:pPr>
              <w:pStyle w:val="TableParagraph"/>
              <w:spacing w:line="278" w:lineRule="auto" w:before="20"/>
              <w:ind w:right="180"/>
              <w:rPr>
                <w:sz w:val="21"/>
              </w:rPr>
            </w:pPr>
            <w:r>
              <w:rPr>
                <w:spacing w:val="-2"/>
                <w:sz w:val="21"/>
              </w:rPr>
              <w:t>指恶性疟原虫严重感染导致的脑病或脑型疟疾，以昏迷为主要特征。脑</w:t>
            </w:r>
            <w:r>
              <w:rPr>
                <w:spacing w:val="-2"/>
                <w:sz w:val="21"/>
              </w:rPr>
              <w:t>型疟疾的诊断须由专科医生确认，且外周血涂片存在恶性疟原虫。</w:t>
            </w:r>
          </w:p>
          <w:p>
            <w:pPr>
              <w:pStyle w:val="TableParagraph"/>
              <w:spacing w:line="269" w:lineRule="exact" w:before="0"/>
              <w:rPr>
                <w:rFonts w:ascii="黑体" w:eastAsia="黑体"/>
                <w:sz w:val="21"/>
              </w:rPr>
            </w:pPr>
            <w:r>
              <w:rPr>
                <w:rFonts w:ascii="黑体" w:eastAsia="黑体"/>
                <w:color w:val="000000"/>
                <w:spacing w:val="-1"/>
                <w:sz w:val="21"/>
                <w:shd w:fill="D9D9D9" w:color="auto" w:val="clear"/>
              </w:rPr>
              <w:t>其他明确病因导致的脑病不在保障范围内。</w:t>
            </w:r>
          </w:p>
        </w:tc>
      </w:tr>
      <w:tr>
        <w:trPr>
          <w:trHeight w:val="2184" w:hRule="atLeast"/>
        </w:trPr>
        <w:tc>
          <w:tcPr>
            <w:tcW w:w="1908" w:type="dxa"/>
          </w:tcPr>
          <w:p>
            <w:pPr>
              <w:pStyle w:val="TableParagraph"/>
              <w:spacing w:line="278" w:lineRule="auto" w:before="21"/>
              <w:ind w:right="96"/>
              <w:rPr>
                <w:sz w:val="21"/>
              </w:rPr>
            </w:pPr>
            <w:r>
              <w:rPr>
                <w:spacing w:val="-2"/>
                <w:sz w:val="21"/>
              </w:rPr>
              <w:t>九十九、湿性年龄</w:t>
            </w:r>
            <w:r>
              <w:rPr>
                <w:spacing w:val="-2"/>
                <w:sz w:val="21"/>
              </w:rPr>
              <w:t>相关性黄斑变性</w:t>
            </w:r>
          </w:p>
        </w:tc>
        <w:tc>
          <w:tcPr>
            <w:tcW w:w="6810" w:type="dxa"/>
          </w:tcPr>
          <w:p>
            <w:pPr>
              <w:pStyle w:val="TableParagraph"/>
              <w:spacing w:line="278" w:lineRule="auto" w:before="21"/>
              <w:ind w:right="157"/>
              <w:jc w:val="both"/>
              <w:rPr>
                <w:rFonts w:ascii="黑体" w:hAnsi="黑体" w:eastAsia="黑体"/>
                <w:sz w:val="21"/>
              </w:rPr>
            </w:pPr>
            <w:r>
              <w:rPr>
                <w:spacing w:val="-2"/>
                <w:sz w:val="21"/>
              </w:rPr>
              <w:t>又称为新生血管性年龄相关性黄斑变性或“渗出性”年龄相关性黄斑变</w:t>
            </w:r>
            <w:r>
              <w:rPr>
                <w:spacing w:val="-2"/>
                <w:sz w:val="21"/>
              </w:rPr>
              <w:t>性，发生脉络膜新生血管（</w:t>
            </w:r>
            <w:r>
              <w:rPr>
                <w:rFonts w:ascii="Times New Roman" w:hAnsi="Times New Roman" w:eastAsia="Times New Roman"/>
                <w:spacing w:val="-2"/>
                <w:sz w:val="21"/>
              </w:rPr>
              <w:t>CNV</w:t>
            </w:r>
            <w:r>
              <w:rPr>
                <w:spacing w:val="-2"/>
                <w:sz w:val="21"/>
              </w:rPr>
              <w:t>）异常生长穿透玻璃膜进入视网膜，新</w:t>
            </w:r>
            <w:r>
              <w:rPr>
                <w:spacing w:val="-2"/>
                <w:sz w:val="21"/>
              </w:rPr>
              <w:t>生血管渗漏，渗出及出血。该病必须由荧光素眼底血管造影检查提示黄</w:t>
            </w:r>
            <w:r>
              <w:rPr>
                <w:spacing w:val="-2"/>
                <w:sz w:val="21"/>
              </w:rPr>
              <w:t>斑区新生血管形成，</w:t>
            </w:r>
            <w:r>
              <w:rPr>
                <w:rFonts w:ascii="黑体" w:hAnsi="黑体" w:eastAsia="黑体"/>
                <w:spacing w:val="-2"/>
                <w:sz w:val="21"/>
              </w:rPr>
              <w:t>并且必须由医院的眼科专科医生确诊为湿性年龄相</w:t>
            </w:r>
            <w:r>
              <w:rPr>
                <w:rFonts w:ascii="黑体" w:hAnsi="黑体" w:eastAsia="黑体"/>
                <w:spacing w:val="-2"/>
                <w:sz w:val="21"/>
              </w:rPr>
              <w:t>关性黄斑变性。</w:t>
            </w:r>
          </w:p>
          <w:p>
            <w:pPr>
              <w:pStyle w:val="TableParagraph"/>
              <w:spacing w:line="268" w:lineRule="exact" w:before="0"/>
              <w:rPr>
                <w:rFonts w:ascii="黑体" w:eastAsia="黑体"/>
                <w:sz w:val="21"/>
              </w:rPr>
            </w:pPr>
            <w:r>
              <w:rPr>
                <w:rFonts w:ascii="黑体" w:eastAsia="黑体"/>
                <w:spacing w:val="-1"/>
                <w:sz w:val="21"/>
              </w:rPr>
              <w:t>被保险人申请理赔时须提供近三个月内视力改变显示病情恶化的相关检</w:t>
            </w:r>
          </w:p>
          <w:p>
            <w:pPr>
              <w:pStyle w:val="TableParagraph"/>
              <w:rPr>
                <w:rFonts w:ascii="黑体" w:eastAsia="黑体"/>
                <w:sz w:val="21"/>
              </w:rPr>
            </w:pPr>
            <w:r>
              <w:rPr>
                <w:rFonts w:ascii="黑体" w:eastAsia="黑体"/>
                <w:spacing w:val="-1"/>
                <w:sz w:val="21"/>
              </w:rPr>
              <w:t>查报告、诊断证明及病历报告。</w:t>
            </w:r>
          </w:p>
        </w:tc>
      </w:tr>
      <w:tr>
        <w:trPr>
          <w:trHeight w:val="2495" w:hRule="atLeast"/>
        </w:trPr>
        <w:tc>
          <w:tcPr>
            <w:tcW w:w="1908" w:type="dxa"/>
          </w:tcPr>
          <w:p>
            <w:pPr>
              <w:pStyle w:val="TableParagraph"/>
              <w:spacing w:before="20"/>
              <w:rPr>
                <w:sz w:val="21"/>
              </w:rPr>
            </w:pPr>
            <w:r>
              <w:rPr>
                <w:spacing w:val="-2"/>
                <w:sz w:val="21"/>
              </w:rPr>
              <w:t>一百、神经白塞病</w:t>
            </w:r>
          </w:p>
        </w:tc>
        <w:tc>
          <w:tcPr>
            <w:tcW w:w="6810" w:type="dxa"/>
          </w:tcPr>
          <w:p>
            <w:pPr>
              <w:pStyle w:val="TableParagraph"/>
              <w:spacing w:line="278" w:lineRule="auto" w:before="20"/>
              <w:ind w:right="-15"/>
              <w:rPr>
                <w:sz w:val="21"/>
              </w:rPr>
            </w:pPr>
            <w:r>
              <w:rPr>
                <w:spacing w:val="-2"/>
                <w:sz w:val="21"/>
              </w:rPr>
              <w:t>白塞病是一种慢性全身性血管炎症性疾病，主要表现为复发性口腔溃疡、生殖器溃疡、眼炎及皮肤损害，并可累及大血管、神经系统、消化道、肺、肾等等。累及神经系统损害的白塞病称为神经白塞病。神经白塞病必须明确诊断，并且已经造成永久不可逆的神经系统功能损害。永久不可逆的神经系统损害指被保险人持续一百八十天无法独立完成下列基本日常生活活动之一：</w:t>
            </w:r>
          </w:p>
          <w:p>
            <w:pPr>
              <w:pStyle w:val="TableParagraph"/>
              <w:numPr>
                <w:ilvl w:val="0"/>
                <w:numId w:val="60"/>
              </w:numPr>
              <w:tabs>
                <w:tab w:pos="528" w:val="left" w:leader="none"/>
              </w:tabs>
              <w:spacing w:line="268" w:lineRule="exact" w:before="0" w:after="0"/>
              <w:ind w:left="527" w:right="0" w:hanging="421"/>
              <w:jc w:val="left"/>
              <w:rPr>
                <w:sz w:val="21"/>
              </w:rPr>
            </w:pPr>
            <w:r>
              <w:rPr>
                <w:spacing w:val="-1"/>
                <w:sz w:val="21"/>
              </w:rPr>
              <w:t>移动：自己从一个房间到另一个房间；</w:t>
            </w:r>
          </w:p>
          <w:p>
            <w:pPr>
              <w:pStyle w:val="TableParagraph"/>
              <w:numPr>
                <w:ilvl w:val="0"/>
                <w:numId w:val="60"/>
              </w:numPr>
              <w:tabs>
                <w:tab w:pos="528" w:val="left" w:leader="none"/>
              </w:tabs>
              <w:spacing w:line="240" w:lineRule="auto" w:before="43" w:after="0"/>
              <w:ind w:left="527" w:right="0" w:hanging="421"/>
              <w:jc w:val="left"/>
              <w:rPr>
                <w:sz w:val="21"/>
              </w:rPr>
            </w:pPr>
            <w:r>
              <w:rPr>
                <w:spacing w:val="-1"/>
                <w:sz w:val="21"/>
              </w:rPr>
              <w:t>进食：自己从已准备好的碗或碟中取食物放入口中。</w:t>
            </w:r>
          </w:p>
        </w:tc>
      </w:tr>
    </w:tbl>
    <w:p>
      <w:pPr>
        <w:spacing w:after="0" w:line="240" w:lineRule="auto"/>
        <w:jc w:val="left"/>
        <w:rPr>
          <w:sz w:val="21"/>
        </w:rPr>
        <w:sectPr>
          <w:type w:val="continuous"/>
          <w:pgSz w:w="11910" w:h="16840"/>
          <w:pgMar w:header="0" w:footer="1168" w:top="1460" w:bottom="1360" w:left="1060" w:right="1060"/>
        </w:sectPr>
      </w:pPr>
    </w:p>
    <w:p>
      <w:pPr>
        <w:pStyle w:val="Heading1"/>
        <w:spacing w:before="50"/>
        <w:ind w:left="737"/>
      </w:pPr>
      <w:r>
        <w:rPr>
          <w:w w:val="95"/>
        </w:rPr>
        <w:t>附</w:t>
      </w:r>
      <w:r>
        <w:rPr>
          <w:w w:val="95"/>
        </w:rPr>
        <w:t>表</w:t>
      </w:r>
      <w:r>
        <w:rPr>
          <w:w w:val="95"/>
        </w:rPr>
        <w:t>二</w:t>
      </w:r>
      <w:r>
        <w:rPr>
          <w:w w:val="95"/>
        </w:rPr>
        <w:t>：</w:t>
      </w:r>
      <w:r>
        <w:rPr>
          <w:w w:val="95"/>
        </w:rPr>
        <w:t>特</w:t>
      </w:r>
      <w:r>
        <w:rPr>
          <w:w w:val="95"/>
        </w:rPr>
        <w:t>定</w:t>
      </w:r>
      <w:r>
        <w:rPr>
          <w:w w:val="95"/>
        </w:rPr>
        <w:t>疾</w:t>
      </w:r>
      <w:r>
        <w:rPr>
          <w:w w:val="95"/>
        </w:rPr>
        <w:t>病</w:t>
      </w:r>
      <w:r>
        <w:rPr>
          <w:w w:val="95"/>
        </w:rPr>
        <w:t>种</w:t>
      </w:r>
      <w:r>
        <w:rPr>
          <w:w w:val="95"/>
        </w:rPr>
        <w:t>类</w:t>
      </w:r>
      <w:r>
        <w:rPr>
          <w:spacing w:val="-10"/>
          <w:w w:val="95"/>
        </w:rPr>
        <w:t>表</w:t>
      </w:r>
    </w:p>
    <w:p>
      <w:pPr>
        <w:pStyle w:val="BodyText"/>
        <w:spacing w:before="43" w:after="23"/>
        <w:rPr>
          <w:rFonts w:ascii="黑体" w:eastAsia="黑体"/>
        </w:rPr>
      </w:pPr>
      <w:r>
        <w:rPr>
          <w:rFonts w:ascii="黑体" w:eastAsia="黑体"/>
          <w:spacing w:val="-1"/>
        </w:rPr>
        <w:t>被保险人发生符合以下疾病定义所述条件的疾病，应当由专科医生明确诊断。</w:t>
      </w:r>
    </w:p>
    <w:tbl>
      <w:tblPr>
        <w:tblW w:w="0" w:type="auto"/>
        <w:jc w:val="left"/>
        <w:tblInd w:w="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08"/>
        <w:gridCol w:w="6810"/>
      </w:tblGrid>
      <w:tr>
        <w:trPr>
          <w:trHeight w:val="3432" w:hRule="atLeast"/>
        </w:trPr>
        <w:tc>
          <w:tcPr>
            <w:tcW w:w="1908" w:type="dxa"/>
          </w:tcPr>
          <w:p>
            <w:pPr>
              <w:pStyle w:val="TableParagraph"/>
              <w:spacing w:before="21"/>
              <w:rPr>
                <w:sz w:val="21"/>
              </w:rPr>
            </w:pPr>
            <w:r>
              <w:rPr>
                <w:spacing w:val="-2"/>
                <w:sz w:val="21"/>
              </w:rPr>
              <w:t>一、恶性肿瘤</w:t>
            </w:r>
          </w:p>
        </w:tc>
        <w:tc>
          <w:tcPr>
            <w:tcW w:w="6810" w:type="dxa"/>
          </w:tcPr>
          <w:p>
            <w:pPr>
              <w:pStyle w:val="TableParagraph"/>
              <w:spacing w:line="278" w:lineRule="auto" w:before="21"/>
              <w:ind w:right="92"/>
              <w:jc w:val="both"/>
              <w:rPr>
                <w:sz w:val="21"/>
              </w:rPr>
            </w:pPr>
            <w:r>
              <w:rPr>
                <w:spacing w:val="-2"/>
                <w:sz w:val="21"/>
              </w:rPr>
              <w:t>指恶性细胞不受控制的进行性增长和扩散，浸润和破坏周围正常组织，</w:t>
            </w:r>
            <w:r>
              <w:rPr>
                <w:spacing w:val="-2"/>
                <w:sz w:val="21"/>
              </w:rPr>
              <w:t>可以经血管、淋巴管和体腔扩散转移到身体其它部位的疾病。经病理学</w:t>
            </w:r>
            <w:r>
              <w:rPr>
                <w:spacing w:val="-2"/>
                <w:sz w:val="21"/>
              </w:rPr>
              <w:t>检查结果明确诊断，临床诊断属于世界卫生组织《疾病和有关健康问题</w:t>
            </w:r>
            <w:r>
              <w:rPr>
                <w:spacing w:val="-15"/>
                <w:sz w:val="21"/>
              </w:rPr>
              <w:t>的国际统计分类》</w:t>
            </w:r>
            <w:r>
              <w:rPr>
                <w:spacing w:val="-2"/>
                <w:sz w:val="21"/>
              </w:rPr>
              <w:t>（</w:t>
            </w:r>
            <w:r>
              <w:rPr>
                <w:rFonts w:ascii="Times New Roman" w:eastAsia="Times New Roman"/>
                <w:spacing w:val="-2"/>
                <w:sz w:val="21"/>
              </w:rPr>
              <w:t>ICD-10</w:t>
            </w:r>
            <w:r>
              <w:rPr>
                <w:spacing w:val="-2"/>
                <w:sz w:val="21"/>
              </w:rPr>
              <w:t>）的恶性肿瘤范畴。</w:t>
            </w:r>
          </w:p>
          <w:p>
            <w:pPr>
              <w:pStyle w:val="TableParagraph"/>
              <w:spacing w:line="269" w:lineRule="exact" w:before="0"/>
              <w:rPr>
                <w:rFonts w:ascii="黑体" w:eastAsia="黑体"/>
                <w:sz w:val="21"/>
              </w:rPr>
            </w:pPr>
            <w:r>
              <w:rPr>
                <w:rFonts w:ascii="黑体" w:eastAsia="黑体"/>
                <w:color w:val="000000"/>
                <w:spacing w:val="-1"/>
                <w:sz w:val="21"/>
                <w:shd w:fill="D9D9D9" w:color="auto" w:val="clear"/>
              </w:rPr>
              <w:t>下列疾病不在保障范围内：</w:t>
            </w:r>
          </w:p>
          <w:p>
            <w:pPr>
              <w:pStyle w:val="TableParagraph"/>
              <w:numPr>
                <w:ilvl w:val="0"/>
                <w:numId w:val="61"/>
              </w:numPr>
              <w:tabs>
                <w:tab w:pos="468" w:val="left" w:leader="none"/>
              </w:tabs>
              <w:spacing w:line="240" w:lineRule="auto" w:before="43" w:after="0"/>
              <w:ind w:left="467" w:right="0" w:hanging="361"/>
              <w:jc w:val="left"/>
              <w:rPr>
                <w:rFonts w:ascii="黑体" w:eastAsia="黑体"/>
                <w:sz w:val="21"/>
              </w:rPr>
            </w:pPr>
            <w:r>
              <w:rPr>
                <w:rFonts w:ascii="黑体" w:eastAsia="黑体"/>
                <w:color w:val="000000"/>
                <w:spacing w:val="-3"/>
                <w:sz w:val="21"/>
                <w:shd w:fill="D9D9D9" w:color="auto" w:val="clear"/>
              </w:rPr>
              <w:t>原位癌；</w:t>
            </w:r>
          </w:p>
          <w:p>
            <w:pPr>
              <w:pStyle w:val="TableParagraph"/>
              <w:numPr>
                <w:ilvl w:val="0"/>
                <w:numId w:val="61"/>
              </w:numPr>
              <w:tabs>
                <w:tab w:pos="468" w:val="left" w:leader="none"/>
              </w:tabs>
              <w:spacing w:line="240" w:lineRule="auto" w:before="43" w:after="0"/>
              <w:ind w:left="467" w:right="0" w:hanging="361"/>
              <w:jc w:val="left"/>
              <w:rPr>
                <w:rFonts w:ascii="黑体" w:eastAsia="黑体"/>
                <w:sz w:val="21"/>
              </w:rPr>
            </w:pPr>
            <w:r>
              <w:rPr>
                <w:rFonts w:ascii="黑体" w:eastAsia="黑体"/>
                <w:color w:val="000000"/>
                <w:spacing w:val="-14"/>
                <w:sz w:val="21"/>
                <w:shd w:fill="D9D9D9" w:color="auto" w:val="clear"/>
              </w:rPr>
              <w:t>相当于 </w:t>
            </w:r>
            <w:r>
              <w:rPr>
                <w:rFonts w:ascii="Times New Roman" w:eastAsia="Times New Roman"/>
                <w:color w:val="000000"/>
                <w:sz w:val="21"/>
                <w:shd w:fill="D9D9D9" w:color="auto" w:val="clear"/>
              </w:rPr>
              <w:t>Binet</w:t>
            </w:r>
            <w:r>
              <w:rPr>
                <w:rFonts w:ascii="Times New Roman" w:eastAsia="Times New Roman"/>
                <w:color w:val="000000"/>
                <w:spacing w:val="-1"/>
                <w:sz w:val="21"/>
                <w:shd w:fill="D9D9D9" w:color="auto" w:val="clear"/>
              </w:rPr>
              <w:t> </w:t>
            </w:r>
            <w:r>
              <w:rPr>
                <w:rFonts w:ascii="黑体" w:eastAsia="黑体"/>
                <w:color w:val="000000"/>
                <w:spacing w:val="-11"/>
                <w:sz w:val="21"/>
                <w:shd w:fill="D9D9D9" w:color="auto" w:val="clear"/>
              </w:rPr>
              <w:t>分期方案 </w:t>
            </w:r>
            <w:r>
              <w:rPr>
                <w:rFonts w:ascii="Times New Roman" w:eastAsia="Times New Roman"/>
                <w:color w:val="000000"/>
                <w:sz w:val="21"/>
                <w:shd w:fill="D9D9D9" w:color="auto" w:val="clear"/>
              </w:rPr>
              <w:t>A</w:t>
            </w:r>
            <w:r>
              <w:rPr>
                <w:rFonts w:ascii="Times New Roman" w:eastAsia="Times New Roman"/>
                <w:color w:val="000000"/>
                <w:spacing w:val="-2"/>
                <w:sz w:val="21"/>
                <w:shd w:fill="D9D9D9" w:color="auto" w:val="clear"/>
              </w:rPr>
              <w:t> </w:t>
            </w:r>
            <w:r>
              <w:rPr>
                <w:rFonts w:ascii="黑体" w:eastAsia="黑体"/>
                <w:color w:val="000000"/>
                <w:spacing w:val="-1"/>
                <w:sz w:val="21"/>
                <w:shd w:fill="D9D9D9" w:color="auto" w:val="clear"/>
              </w:rPr>
              <w:t>期程度的慢性淋巴细胞白血病；</w:t>
            </w:r>
          </w:p>
          <w:p>
            <w:pPr>
              <w:pStyle w:val="TableParagraph"/>
              <w:numPr>
                <w:ilvl w:val="0"/>
                <w:numId w:val="61"/>
              </w:numPr>
              <w:tabs>
                <w:tab w:pos="468" w:val="left" w:leader="none"/>
              </w:tabs>
              <w:spacing w:line="240" w:lineRule="auto" w:before="43" w:after="0"/>
              <w:ind w:left="467" w:right="0" w:hanging="361"/>
              <w:jc w:val="left"/>
              <w:rPr>
                <w:rFonts w:ascii="黑体" w:eastAsia="黑体"/>
                <w:sz w:val="21"/>
              </w:rPr>
            </w:pPr>
            <w:r>
              <w:rPr>
                <w:rFonts w:ascii="黑体" w:eastAsia="黑体"/>
                <w:color w:val="000000"/>
                <w:spacing w:val="-13"/>
                <w:sz w:val="21"/>
                <w:shd w:fill="D9D9D9" w:color="auto" w:val="clear"/>
              </w:rPr>
              <w:t>相当于 </w:t>
            </w:r>
            <w:r>
              <w:rPr>
                <w:rFonts w:ascii="Times New Roman" w:eastAsia="Times New Roman"/>
                <w:color w:val="000000"/>
                <w:sz w:val="21"/>
                <w:shd w:fill="D9D9D9" w:color="auto" w:val="clear"/>
              </w:rPr>
              <w:t>Ann</w:t>
            </w:r>
            <w:r>
              <w:rPr>
                <w:rFonts w:ascii="Times New Roman" w:eastAsia="Times New Roman"/>
                <w:color w:val="000000"/>
                <w:spacing w:val="-14"/>
                <w:sz w:val="21"/>
                <w:shd w:fill="D9D9D9" w:color="auto" w:val="clear"/>
              </w:rPr>
              <w:t> </w:t>
            </w:r>
            <w:r>
              <w:rPr>
                <w:rFonts w:ascii="Times New Roman" w:eastAsia="Times New Roman"/>
                <w:color w:val="000000"/>
                <w:sz w:val="21"/>
                <w:shd w:fill="D9D9D9" w:color="auto" w:val="clear"/>
              </w:rPr>
              <w:t>Arbor</w:t>
            </w:r>
            <w:r>
              <w:rPr>
                <w:rFonts w:ascii="Times New Roman" w:eastAsia="Times New Roman"/>
                <w:color w:val="000000"/>
                <w:spacing w:val="-3"/>
                <w:sz w:val="21"/>
                <w:shd w:fill="D9D9D9" w:color="auto" w:val="clear"/>
              </w:rPr>
              <w:t> </w:t>
            </w:r>
            <w:r>
              <w:rPr>
                <w:rFonts w:ascii="黑体" w:eastAsia="黑体"/>
                <w:color w:val="000000"/>
                <w:spacing w:val="-11"/>
                <w:sz w:val="21"/>
                <w:shd w:fill="D9D9D9" w:color="auto" w:val="clear"/>
              </w:rPr>
              <w:t>分期方案 </w:t>
            </w:r>
            <w:r>
              <w:rPr>
                <w:rFonts w:ascii="Times New Roman" w:eastAsia="Times New Roman"/>
                <w:color w:val="000000"/>
                <w:sz w:val="21"/>
                <w:shd w:fill="D9D9D9" w:color="auto" w:val="clear"/>
              </w:rPr>
              <w:t>I</w:t>
            </w:r>
            <w:r>
              <w:rPr>
                <w:rFonts w:ascii="Times New Roman" w:eastAsia="Times New Roman"/>
                <w:color w:val="000000"/>
                <w:spacing w:val="-2"/>
                <w:sz w:val="21"/>
                <w:shd w:fill="D9D9D9" w:color="auto" w:val="clear"/>
              </w:rPr>
              <w:t> </w:t>
            </w:r>
            <w:r>
              <w:rPr>
                <w:rFonts w:ascii="黑体" w:eastAsia="黑体"/>
                <w:color w:val="000000"/>
                <w:spacing w:val="-1"/>
                <w:sz w:val="21"/>
                <w:shd w:fill="D9D9D9" w:color="auto" w:val="clear"/>
              </w:rPr>
              <w:t>期程度的何杰金氏病；</w:t>
            </w:r>
          </w:p>
          <w:p>
            <w:pPr>
              <w:pStyle w:val="TableParagraph"/>
              <w:numPr>
                <w:ilvl w:val="0"/>
                <w:numId w:val="61"/>
              </w:numPr>
              <w:tabs>
                <w:tab w:pos="468" w:val="left" w:leader="none"/>
              </w:tabs>
              <w:spacing w:line="240" w:lineRule="auto" w:before="43" w:after="0"/>
              <w:ind w:left="467" w:right="0" w:hanging="361"/>
              <w:jc w:val="left"/>
              <w:rPr>
                <w:rFonts w:ascii="黑体" w:eastAsia="黑体"/>
                <w:sz w:val="21"/>
              </w:rPr>
            </w:pPr>
            <w:r>
              <w:rPr>
                <w:rFonts w:ascii="黑体" w:eastAsia="黑体"/>
                <w:color w:val="000000"/>
                <w:sz w:val="21"/>
                <w:shd w:fill="D9D9D9" w:color="auto" w:val="clear"/>
              </w:rPr>
              <w:t>皮肤癌</w:t>
            </w:r>
            <w:r>
              <w:rPr>
                <w:rFonts w:ascii="黑体" w:eastAsia="黑体"/>
                <w:color w:val="000000"/>
                <w:sz w:val="21"/>
              </w:rPr>
              <w:t>（不包括恶性黑色素瘤及已发生转移的皮肤癌</w:t>
            </w:r>
            <w:r>
              <w:rPr>
                <w:rFonts w:ascii="黑体" w:eastAsia="黑体"/>
                <w:color w:val="000000"/>
                <w:spacing w:val="-110"/>
                <w:sz w:val="21"/>
              </w:rPr>
              <w:t>）</w:t>
            </w:r>
            <w:r>
              <w:rPr>
                <w:rFonts w:ascii="黑体" w:eastAsia="黑体"/>
                <w:color w:val="000000"/>
                <w:spacing w:val="-5"/>
                <w:sz w:val="21"/>
              </w:rPr>
              <w:t>；</w:t>
            </w:r>
          </w:p>
          <w:p>
            <w:pPr>
              <w:pStyle w:val="TableParagraph"/>
              <w:numPr>
                <w:ilvl w:val="0"/>
                <w:numId w:val="61"/>
              </w:numPr>
              <w:tabs>
                <w:tab w:pos="468" w:val="left" w:leader="none"/>
              </w:tabs>
              <w:spacing w:line="240" w:lineRule="auto" w:before="43" w:after="0"/>
              <w:ind w:left="467" w:right="0" w:hanging="361"/>
              <w:jc w:val="left"/>
              <w:rPr>
                <w:rFonts w:ascii="黑体" w:eastAsia="黑体"/>
                <w:sz w:val="21"/>
              </w:rPr>
            </w:pPr>
            <w:r>
              <w:rPr>
                <w:rFonts w:ascii="Times New Roman" w:eastAsia="Times New Roman"/>
                <w:color w:val="000000"/>
                <w:sz w:val="21"/>
                <w:shd w:fill="D9D9D9" w:color="auto" w:val="clear"/>
              </w:rPr>
              <w:t>TNM</w:t>
            </w:r>
            <w:r>
              <w:rPr>
                <w:rFonts w:ascii="Times New Roman" w:eastAsia="Times New Roman"/>
                <w:color w:val="000000"/>
                <w:spacing w:val="-4"/>
                <w:sz w:val="21"/>
                <w:shd w:fill="D9D9D9" w:color="auto" w:val="clear"/>
              </w:rPr>
              <w:t> </w:t>
            </w:r>
            <w:r>
              <w:rPr>
                <w:rFonts w:ascii="黑体" w:eastAsia="黑体"/>
                <w:color w:val="000000"/>
                <w:spacing w:val="17"/>
                <w:sz w:val="21"/>
                <w:shd w:fill="D9D9D9" w:color="auto" w:val="clear"/>
              </w:rPr>
              <w:t>分期为</w:t>
            </w:r>
            <w:r>
              <w:rPr>
                <w:rFonts w:ascii="Times New Roman" w:eastAsia="Times New Roman"/>
                <w:color w:val="000000"/>
                <w:sz w:val="21"/>
                <w:shd w:fill="D9D9D9" w:color="auto" w:val="clear"/>
              </w:rPr>
              <w:t>T</w:t>
            </w:r>
            <w:r>
              <w:rPr>
                <w:rFonts w:ascii="Times New Roman" w:eastAsia="Times New Roman"/>
                <w:color w:val="000000"/>
                <w:sz w:val="21"/>
                <w:shd w:fill="D9D9D9" w:color="auto" w:val="clear"/>
                <w:vertAlign w:val="subscript"/>
              </w:rPr>
              <w:t>1</w:t>
            </w:r>
            <w:r>
              <w:rPr>
                <w:rFonts w:ascii="Times New Roman" w:eastAsia="Times New Roman"/>
                <w:color w:val="000000"/>
                <w:sz w:val="21"/>
                <w:shd w:fill="D9D9D9" w:color="auto" w:val="clear"/>
                <w:vertAlign w:val="baseline"/>
              </w:rPr>
              <w:t>N</w:t>
            </w:r>
            <w:r>
              <w:rPr>
                <w:rFonts w:ascii="Times New Roman" w:eastAsia="Times New Roman"/>
                <w:color w:val="000000"/>
                <w:sz w:val="21"/>
                <w:shd w:fill="D9D9D9" w:color="auto" w:val="clear"/>
                <w:vertAlign w:val="subscript"/>
              </w:rPr>
              <w:t>0</w:t>
            </w:r>
            <w:r>
              <w:rPr>
                <w:rFonts w:ascii="Times New Roman" w:eastAsia="Times New Roman"/>
                <w:color w:val="000000"/>
                <w:sz w:val="21"/>
                <w:shd w:fill="D9D9D9" w:color="auto" w:val="clear"/>
                <w:vertAlign w:val="baseline"/>
              </w:rPr>
              <w:t>M</w:t>
            </w:r>
            <w:r>
              <w:rPr>
                <w:rFonts w:ascii="Times New Roman" w:eastAsia="Times New Roman"/>
                <w:color w:val="000000"/>
                <w:sz w:val="21"/>
                <w:shd w:fill="D9D9D9" w:color="auto" w:val="clear"/>
                <w:vertAlign w:val="subscript"/>
              </w:rPr>
              <w:t>0</w:t>
            </w:r>
            <w:r>
              <w:rPr>
                <w:rFonts w:ascii="Times New Roman" w:eastAsia="Times New Roman"/>
                <w:color w:val="000000"/>
                <w:spacing w:val="-19"/>
                <w:sz w:val="21"/>
                <w:shd w:fill="D9D9D9" w:color="auto" w:val="clear"/>
                <w:vertAlign w:val="baseline"/>
              </w:rPr>
              <w:t> </w:t>
            </w:r>
            <w:r>
              <w:rPr>
                <w:rFonts w:ascii="黑体" w:eastAsia="黑体"/>
                <w:color w:val="000000"/>
                <w:spacing w:val="-1"/>
                <w:sz w:val="21"/>
                <w:shd w:fill="D9D9D9" w:color="auto" w:val="clear"/>
                <w:vertAlign w:val="baseline"/>
              </w:rPr>
              <w:t>期或更轻分期的前列腺癌；</w:t>
            </w:r>
          </w:p>
          <w:p>
            <w:pPr>
              <w:pStyle w:val="TableParagraph"/>
              <w:numPr>
                <w:ilvl w:val="0"/>
                <w:numId w:val="61"/>
              </w:numPr>
              <w:tabs>
                <w:tab w:pos="468" w:val="left" w:leader="none"/>
              </w:tabs>
              <w:spacing w:line="240" w:lineRule="auto" w:before="43" w:after="0"/>
              <w:ind w:left="467" w:right="0" w:hanging="361"/>
              <w:jc w:val="left"/>
              <w:rPr>
                <w:rFonts w:ascii="黑体" w:eastAsia="黑体"/>
                <w:sz w:val="21"/>
              </w:rPr>
            </w:pPr>
            <w:r>
              <w:rPr>
                <w:rFonts w:ascii="黑体" w:eastAsia="黑体"/>
                <w:color w:val="000000"/>
                <w:spacing w:val="-1"/>
                <w:sz w:val="21"/>
                <w:shd w:fill="D9D9D9" w:color="auto" w:val="clear"/>
              </w:rPr>
              <w:t>感染艾滋病病毒或患艾滋病期间所患恶性肿瘤。</w:t>
            </w:r>
          </w:p>
        </w:tc>
      </w:tr>
      <w:tr>
        <w:trPr>
          <w:trHeight w:val="1247" w:hRule="atLeast"/>
        </w:trPr>
        <w:tc>
          <w:tcPr>
            <w:tcW w:w="1908" w:type="dxa"/>
          </w:tcPr>
          <w:p>
            <w:pPr>
              <w:pStyle w:val="TableParagraph"/>
              <w:spacing w:line="278" w:lineRule="auto" w:before="20"/>
              <w:ind w:right="108"/>
              <w:jc w:val="both"/>
              <w:rPr>
                <w:sz w:val="21"/>
              </w:rPr>
            </w:pPr>
            <w:r>
              <w:rPr>
                <w:spacing w:val="-2"/>
                <w:sz w:val="21"/>
              </w:rPr>
              <w:t>二、冠状动脉搭桥</w:t>
            </w:r>
            <w:r>
              <w:rPr>
                <w:spacing w:val="-2"/>
                <w:sz w:val="21"/>
              </w:rPr>
              <w:t>术（或称冠状动脉</w:t>
            </w:r>
            <w:r>
              <w:rPr>
                <w:spacing w:val="-2"/>
                <w:sz w:val="21"/>
              </w:rPr>
              <w:t>旁路移植术）</w:t>
            </w:r>
          </w:p>
        </w:tc>
        <w:tc>
          <w:tcPr>
            <w:tcW w:w="6810" w:type="dxa"/>
          </w:tcPr>
          <w:p>
            <w:pPr>
              <w:pStyle w:val="TableParagraph"/>
              <w:spacing w:line="278" w:lineRule="auto" w:before="20"/>
              <w:ind w:right="92"/>
              <w:rPr>
                <w:sz w:val="21"/>
              </w:rPr>
            </w:pPr>
            <w:r>
              <w:rPr>
                <w:spacing w:val="-2"/>
                <w:sz w:val="21"/>
              </w:rPr>
              <w:t>指为治疗严重的冠心病，实际实施了开胸进行的冠状动脉血管旁路移植</w:t>
            </w:r>
            <w:r>
              <w:rPr>
                <w:spacing w:val="-4"/>
                <w:sz w:val="21"/>
              </w:rPr>
              <w:t>的手术。</w:t>
            </w:r>
          </w:p>
          <w:p>
            <w:pPr>
              <w:pStyle w:val="TableParagraph"/>
              <w:spacing w:line="269" w:lineRule="exact" w:before="0"/>
              <w:rPr>
                <w:rFonts w:ascii="黑体" w:eastAsia="黑体"/>
                <w:sz w:val="21"/>
              </w:rPr>
            </w:pPr>
            <w:r>
              <w:rPr>
                <w:rFonts w:ascii="黑体" w:eastAsia="黑体"/>
                <w:color w:val="000000"/>
                <w:spacing w:val="-1"/>
                <w:sz w:val="21"/>
                <w:shd w:fill="D9D9D9" w:color="auto" w:val="clear"/>
              </w:rPr>
              <w:t>冠状动脉支架植入术、心导管球囊扩张术、激光射频技术及其它非开胸</w:t>
            </w:r>
          </w:p>
          <w:p>
            <w:pPr>
              <w:pStyle w:val="TableParagraph"/>
              <w:rPr>
                <w:rFonts w:ascii="黑体" w:eastAsia="黑体"/>
                <w:sz w:val="21"/>
              </w:rPr>
            </w:pPr>
            <w:r>
              <w:rPr>
                <w:rFonts w:ascii="黑体" w:eastAsia="黑体"/>
                <w:color w:val="000000"/>
                <w:spacing w:val="-1"/>
                <w:sz w:val="21"/>
                <w:shd w:fill="D9D9D9" w:color="auto" w:val="clear"/>
              </w:rPr>
              <w:t>的介入手术、腔镜手术不在保障范围内。</w:t>
            </w:r>
          </w:p>
        </w:tc>
      </w:tr>
      <w:tr>
        <w:trPr>
          <w:trHeight w:val="623" w:hRule="atLeast"/>
        </w:trPr>
        <w:tc>
          <w:tcPr>
            <w:tcW w:w="1908" w:type="dxa"/>
          </w:tcPr>
          <w:p>
            <w:pPr>
              <w:pStyle w:val="TableParagraph"/>
              <w:spacing w:before="20"/>
              <w:rPr>
                <w:sz w:val="21"/>
              </w:rPr>
            </w:pPr>
            <w:r>
              <w:rPr>
                <w:spacing w:val="-2"/>
                <w:sz w:val="21"/>
              </w:rPr>
              <w:t>三、心脏瓣膜手术</w:t>
            </w:r>
          </w:p>
        </w:tc>
        <w:tc>
          <w:tcPr>
            <w:tcW w:w="6810" w:type="dxa"/>
          </w:tcPr>
          <w:p>
            <w:pPr>
              <w:pStyle w:val="TableParagraph"/>
              <w:spacing w:before="20"/>
              <w:rPr>
                <w:sz w:val="21"/>
              </w:rPr>
            </w:pPr>
            <w:r>
              <w:rPr>
                <w:spacing w:val="-1"/>
                <w:sz w:val="21"/>
              </w:rPr>
              <w:t>替换或修复一片或多片心脏瓣膜的手术，包括开胸手术、微创手术和心</w:t>
            </w:r>
          </w:p>
          <w:p>
            <w:pPr>
              <w:pStyle w:val="TableParagraph"/>
              <w:rPr>
                <w:sz w:val="21"/>
              </w:rPr>
            </w:pPr>
            <w:r>
              <w:rPr>
                <w:spacing w:val="-2"/>
                <w:sz w:val="21"/>
              </w:rPr>
              <w:t>导管治疗。</w:t>
            </w:r>
          </w:p>
        </w:tc>
      </w:tr>
      <w:tr>
        <w:trPr>
          <w:trHeight w:val="936" w:hRule="atLeast"/>
        </w:trPr>
        <w:tc>
          <w:tcPr>
            <w:tcW w:w="1908" w:type="dxa"/>
          </w:tcPr>
          <w:p>
            <w:pPr>
              <w:pStyle w:val="TableParagraph"/>
              <w:spacing w:before="21"/>
              <w:rPr>
                <w:sz w:val="21"/>
              </w:rPr>
            </w:pPr>
            <w:r>
              <w:rPr>
                <w:spacing w:val="-2"/>
                <w:sz w:val="21"/>
              </w:rPr>
              <w:t>四、神经外科手术</w:t>
            </w:r>
          </w:p>
        </w:tc>
        <w:tc>
          <w:tcPr>
            <w:tcW w:w="6810" w:type="dxa"/>
          </w:tcPr>
          <w:p>
            <w:pPr>
              <w:pStyle w:val="TableParagraph"/>
              <w:spacing w:before="21"/>
              <w:rPr>
                <w:sz w:val="21"/>
              </w:rPr>
            </w:pPr>
            <w:r>
              <w:rPr>
                <w:spacing w:val="-2"/>
                <w:sz w:val="21"/>
              </w:rPr>
              <w:t>神经外科手术包括：</w:t>
            </w:r>
          </w:p>
          <w:p>
            <w:pPr>
              <w:pStyle w:val="TableParagraph"/>
              <w:numPr>
                <w:ilvl w:val="0"/>
                <w:numId w:val="62"/>
              </w:numPr>
              <w:tabs>
                <w:tab w:pos="635" w:val="left" w:leader="none"/>
              </w:tabs>
              <w:spacing w:line="240" w:lineRule="auto" w:before="43" w:after="0"/>
              <w:ind w:left="634" w:right="0" w:hanging="528"/>
              <w:jc w:val="left"/>
              <w:rPr>
                <w:sz w:val="21"/>
              </w:rPr>
            </w:pPr>
            <w:r>
              <w:rPr>
                <w:spacing w:val="-3"/>
                <w:sz w:val="21"/>
              </w:rPr>
              <w:t>任何脑部或其它颅内结构的外科手术；</w:t>
            </w:r>
          </w:p>
          <w:p>
            <w:pPr>
              <w:pStyle w:val="TableParagraph"/>
              <w:numPr>
                <w:ilvl w:val="0"/>
                <w:numId w:val="62"/>
              </w:numPr>
              <w:tabs>
                <w:tab w:pos="635" w:val="left" w:leader="none"/>
              </w:tabs>
              <w:spacing w:line="240" w:lineRule="auto" w:before="43" w:after="0"/>
              <w:ind w:left="634" w:right="0" w:hanging="528"/>
              <w:jc w:val="left"/>
              <w:rPr>
                <w:sz w:val="21"/>
              </w:rPr>
            </w:pPr>
            <w:r>
              <w:rPr>
                <w:spacing w:val="-3"/>
                <w:sz w:val="21"/>
              </w:rPr>
              <w:t>位于脊髓部位的良性肿瘤治疗。</w:t>
            </w:r>
          </w:p>
        </w:tc>
      </w:tr>
    </w:tbl>
    <w:p>
      <w:pPr>
        <w:spacing w:after="0" w:line="240" w:lineRule="auto"/>
        <w:jc w:val="left"/>
        <w:rPr>
          <w:sz w:val="21"/>
        </w:rPr>
        <w:sectPr>
          <w:pgSz w:w="11910" w:h="16840"/>
          <w:pgMar w:header="0" w:footer="1168" w:top="1440" w:bottom="1360" w:left="1060" w:right="1060"/>
        </w:sectPr>
      </w:pPr>
    </w:p>
    <w:p>
      <w:pPr>
        <w:pStyle w:val="Heading1"/>
        <w:spacing w:before="50"/>
        <w:ind w:left="737"/>
      </w:pPr>
      <w:r>
        <w:rPr>
          <w:w w:val="95"/>
        </w:rPr>
        <w:t>附</w:t>
      </w:r>
      <w:r>
        <w:rPr>
          <w:w w:val="95"/>
        </w:rPr>
        <w:t>表</w:t>
      </w:r>
      <w:r>
        <w:rPr>
          <w:w w:val="95"/>
        </w:rPr>
        <w:t>三</w:t>
      </w:r>
      <w:r>
        <w:rPr>
          <w:w w:val="95"/>
        </w:rPr>
        <w:t>：</w:t>
      </w:r>
      <w:r>
        <w:rPr>
          <w:w w:val="95"/>
        </w:rPr>
        <w:t>保</w:t>
      </w:r>
      <w:r>
        <w:rPr>
          <w:w w:val="95"/>
        </w:rPr>
        <w:t>障</w:t>
      </w:r>
      <w:r>
        <w:rPr>
          <w:w w:val="95"/>
        </w:rPr>
        <w:t>计</w:t>
      </w:r>
      <w:r>
        <w:rPr>
          <w:w w:val="95"/>
        </w:rPr>
        <w:t>划</w:t>
      </w:r>
      <w:r>
        <w:rPr>
          <w:spacing w:val="-10"/>
          <w:w w:val="95"/>
        </w:rPr>
        <w:t>表</w:t>
      </w:r>
    </w:p>
    <w:p>
      <w:pPr>
        <w:pStyle w:val="BodyText"/>
        <w:spacing w:before="43" w:after="23"/>
        <w:ind w:left="7790"/>
      </w:pPr>
      <w:r>
        <w:rPr>
          <w:spacing w:val="-2"/>
        </w:rPr>
        <w:t>单位：人民币</w:t>
      </w:r>
    </w:p>
    <w:tbl>
      <w:tblPr>
        <w:tblW w:w="0" w:type="auto"/>
        <w:jc w:val="left"/>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70"/>
        <w:gridCol w:w="2968"/>
        <w:gridCol w:w="1842"/>
        <w:gridCol w:w="2124"/>
        <w:gridCol w:w="1837"/>
      </w:tblGrid>
      <w:tr>
        <w:trPr>
          <w:trHeight w:val="624" w:hRule="atLeast"/>
        </w:trPr>
        <w:tc>
          <w:tcPr>
            <w:tcW w:w="3738" w:type="dxa"/>
            <w:gridSpan w:val="2"/>
          </w:tcPr>
          <w:p>
            <w:pPr>
              <w:pStyle w:val="TableParagraph"/>
              <w:spacing w:before="171"/>
              <w:ind w:left="1434" w:right="1428"/>
              <w:jc w:val="center"/>
              <w:rPr>
                <w:sz w:val="22"/>
              </w:rPr>
            </w:pPr>
            <w:r>
              <w:rPr>
                <w:w w:val="95"/>
                <w:sz w:val="22"/>
              </w:rPr>
              <w:t>保</w:t>
            </w:r>
            <w:r>
              <w:rPr>
                <w:w w:val="95"/>
                <w:sz w:val="22"/>
              </w:rPr>
              <w:t>障</w:t>
            </w:r>
            <w:r>
              <w:rPr>
                <w:w w:val="95"/>
                <w:sz w:val="22"/>
              </w:rPr>
              <w:t>计</w:t>
            </w:r>
            <w:r>
              <w:rPr>
                <w:spacing w:val="-10"/>
                <w:w w:val="95"/>
                <w:sz w:val="22"/>
              </w:rPr>
              <w:t>划</w:t>
            </w:r>
          </w:p>
        </w:tc>
        <w:tc>
          <w:tcPr>
            <w:tcW w:w="1842" w:type="dxa"/>
          </w:tcPr>
          <w:p>
            <w:pPr>
              <w:pStyle w:val="TableParagraph"/>
              <w:spacing w:before="15"/>
              <w:ind w:left="269" w:right="260"/>
              <w:jc w:val="center"/>
              <w:rPr>
                <w:sz w:val="22"/>
              </w:rPr>
            </w:pPr>
            <w:r>
              <w:rPr>
                <w:w w:val="95"/>
                <w:sz w:val="22"/>
              </w:rPr>
              <w:t>计</w:t>
            </w:r>
            <w:r>
              <w:rPr>
                <w:w w:val="95"/>
                <w:sz w:val="22"/>
              </w:rPr>
              <w:t>划</w:t>
            </w:r>
            <w:r>
              <w:rPr>
                <w:spacing w:val="-10"/>
                <w:w w:val="95"/>
                <w:sz w:val="22"/>
              </w:rPr>
              <w:t>一</w:t>
            </w:r>
          </w:p>
          <w:p>
            <w:pPr>
              <w:pStyle w:val="TableParagraph"/>
              <w:spacing w:line="278" w:lineRule="exact" w:before="30"/>
              <w:ind w:left="269" w:right="261"/>
              <w:jc w:val="center"/>
              <w:rPr>
                <w:sz w:val="22"/>
              </w:rPr>
            </w:pPr>
            <w:r>
              <w:rPr>
                <w:w w:val="95"/>
                <w:sz w:val="22"/>
              </w:rPr>
              <w:t>（</w:t>
            </w:r>
            <w:r>
              <w:rPr>
                <w:w w:val="95"/>
                <w:sz w:val="22"/>
              </w:rPr>
              <w:t>华</w:t>
            </w:r>
            <w:r>
              <w:rPr>
                <w:w w:val="95"/>
                <w:sz w:val="22"/>
              </w:rPr>
              <w:t>计</w:t>
            </w:r>
            <w:r>
              <w:rPr>
                <w:w w:val="95"/>
                <w:sz w:val="22"/>
              </w:rPr>
              <w:t>划</w:t>
            </w:r>
            <w:r>
              <w:rPr>
                <w:spacing w:val="-10"/>
                <w:w w:val="95"/>
                <w:sz w:val="22"/>
              </w:rPr>
              <w:t>）</w:t>
            </w:r>
          </w:p>
        </w:tc>
        <w:tc>
          <w:tcPr>
            <w:tcW w:w="2124" w:type="dxa"/>
          </w:tcPr>
          <w:p>
            <w:pPr>
              <w:pStyle w:val="TableParagraph"/>
              <w:spacing w:before="15"/>
              <w:ind w:left="412" w:right="399"/>
              <w:jc w:val="center"/>
              <w:rPr>
                <w:sz w:val="22"/>
              </w:rPr>
            </w:pPr>
            <w:r>
              <w:rPr>
                <w:w w:val="95"/>
                <w:sz w:val="22"/>
              </w:rPr>
              <w:t>计</w:t>
            </w:r>
            <w:r>
              <w:rPr>
                <w:w w:val="95"/>
                <w:sz w:val="22"/>
              </w:rPr>
              <w:t>划</w:t>
            </w:r>
            <w:r>
              <w:rPr>
                <w:spacing w:val="-10"/>
                <w:w w:val="95"/>
                <w:sz w:val="22"/>
              </w:rPr>
              <w:t>二</w:t>
            </w:r>
          </w:p>
          <w:p>
            <w:pPr>
              <w:pStyle w:val="TableParagraph"/>
              <w:spacing w:line="278" w:lineRule="exact" w:before="30"/>
              <w:ind w:left="412" w:right="400"/>
              <w:jc w:val="center"/>
              <w:rPr>
                <w:sz w:val="22"/>
              </w:rPr>
            </w:pPr>
            <w:r>
              <w:rPr>
                <w:w w:val="95"/>
                <w:sz w:val="22"/>
              </w:rPr>
              <w:t>（</w:t>
            </w:r>
            <w:r>
              <w:rPr>
                <w:w w:val="95"/>
                <w:sz w:val="22"/>
              </w:rPr>
              <w:t>瀛</w:t>
            </w:r>
            <w:r>
              <w:rPr>
                <w:w w:val="95"/>
                <w:sz w:val="22"/>
              </w:rPr>
              <w:t>计</w:t>
            </w:r>
            <w:r>
              <w:rPr>
                <w:w w:val="95"/>
                <w:sz w:val="22"/>
              </w:rPr>
              <w:t>划</w:t>
            </w:r>
            <w:r>
              <w:rPr>
                <w:spacing w:val="-10"/>
                <w:w w:val="95"/>
                <w:sz w:val="22"/>
              </w:rPr>
              <w:t>）</w:t>
            </w:r>
          </w:p>
        </w:tc>
        <w:tc>
          <w:tcPr>
            <w:tcW w:w="1837" w:type="dxa"/>
          </w:tcPr>
          <w:p>
            <w:pPr>
              <w:pStyle w:val="TableParagraph"/>
              <w:spacing w:before="15"/>
              <w:ind w:left="270" w:right="253"/>
              <w:jc w:val="center"/>
              <w:rPr>
                <w:sz w:val="22"/>
              </w:rPr>
            </w:pPr>
            <w:r>
              <w:rPr>
                <w:w w:val="95"/>
                <w:sz w:val="22"/>
              </w:rPr>
              <w:t>计</w:t>
            </w:r>
            <w:r>
              <w:rPr>
                <w:w w:val="95"/>
                <w:sz w:val="22"/>
              </w:rPr>
              <w:t>划</w:t>
            </w:r>
            <w:r>
              <w:rPr>
                <w:spacing w:val="-10"/>
                <w:w w:val="95"/>
                <w:sz w:val="22"/>
              </w:rPr>
              <w:t>三</w:t>
            </w:r>
          </w:p>
          <w:p>
            <w:pPr>
              <w:pStyle w:val="TableParagraph"/>
              <w:spacing w:line="278" w:lineRule="exact" w:before="30"/>
              <w:ind w:left="270" w:right="255"/>
              <w:jc w:val="center"/>
              <w:rPr>
                <w:sz w:val="22"/>
              </w:rPr>
            </w:pPr>
            <w:r>
              <w:rPr>
                <w:w w:val="95"/>
                <w:sz w:val="22"/>
              </w:rPr>
              <w:t>（</w:t>
            </w:r>
            <w:r>
              <w:rPr>
                <w:w w:val="95"/>
                <w:sz w:val="22"/>
              </w:rPr>
              <w:t>和</w:t>
            </w:r>
            <w:r>
              <w:rPr>
                <w:w w:val="95"/>
                <w:sz w:val="22"/>
              </w:rPr>
              <w:t>计</w:t>
            </w:r>
            <w:r>
              <w:rPr>
                <w:w w:val="95"/>
                <w:sz w:val="22"/>
              </w:rPr>
              <w:t>划</w:t>
            </w:r>
            <w:r>
              <w:rPr>
                <w:spacing w:val="-10"/>
                <w:w w:val="95"/>
                <w:sz w:val="22"/>
              </w:rPr>
              <w:t>）</w:t>
            </w:r>
          </w:p>
        </w:tc>
      </w:tr>
      <w:tr>
        <w:trPr>
          <w:trHeight w:val="311" w:hRule="atLeast"/>
        </w:trPr>
        <w:tc>
          <w:tcPr>
            <w:tcW w:w="3738" w:type="dxa"/>
            <w:gridSpan w:val="2"/>
          </w:tcPr>
          <w:p>
            <w:pPr>
              <w:pStyle w:val="TableParagraph"/>
              <w:spacing w:line="278" w:lineRule="exact" w:before="13"/>
              <w:ind w:left="736"/>
              <w:rPr>
                <w:sz w:val="22"/>
              </w:rPr>
            </w:pPr>
            <w:r>
              <w:rPr>
                <w:w w:val="95"/>
                <w:sz w:val="22"/>
              </w:rPr>
              <w:t>保</w:t>
            </w:r>
            <w:r>
              <w:rPr>
                <w:w w:val="95"/>
                <w:sz w:val="22"/>
              </w:rPr>
              <w:t>险</w:t>
            </w:r>
            <w:r>
              <w:rPr>
                <w:w w:val="95"/>
                <w:sz w:val="22"/>
              </w:rPr>
              <w:t>金</w:t>
            </w:r>
            <w:r>
              <w:rPr>
                <w:w w:val="95"/>
                <w:sz w:val="22"/>
              </w:rPr>
              <w:t>额</w:t>
            </w:r>
            <w:r>
              <w:rPr>
                <w:rFonts w:ascii="Times New Roman" w:eastAsia="Times New Roman"/>
                <w:w w:val="95"/>
                <w:sz w:val="22"/>
              </w:rPr>
              <w:t>/</w:t>
            </w:r>
            <w:r>
              <w:rPr>
                <w:w w:val="95"/>
                <w:sz w:val="22"/>
              </w:rPr>
              <w:t>基</w:t>
            </w:r>
            <w:r>
              <w:rPr>
                <w:w w:val="95"/>
                <w:sz w:val="22"/>
              </w:rPr>
              <w:t>本</w:t>
            </w:r>
            <w:r>
              <w:rPr>
                <w:w w:val="95"/>
                <w:sz w:val="22"/>
              </w:rPr>
              <w:t>保</w:t>
            </w:r>
            <w:r>
              <w:rPr>
                <w:w w:val="95"/>
                <w:sz w:val="22"/>
              </w:rPr>
              <w:t>险</w:t>
            </w:r>
            <w:r>
              <w:rPr>
                <w:spacing w:val="-5"/>
                <w:w w:val="95"/>
                <w:sz w:val="22"/>
              </w:rPr>
              <w:t>金额</w:t>
            </w:r>
          </w:p>
        </w:tc>
        <w:tc>
          <w:tcPr>
            <w:tcW w:w="1842" w:type="dxa"/>
          </w:tcPr>
          <w:p>
            <w:pPr>
              <w:pStyle w:val="TableParagraph"/>
              <w:spacing w:line="278" w:lineRule="exact" w:before="13"/>
              <w:ind w:left="269" w:right="259"/>
              <w:jc w:val="center"/>
              <w:rPr>
                <w:sz w:val="22"/>
              </w:rPr>
            </w:pPr>
            <w:r>
              <w:rPr>
                <w:rFonts w:ascii="Times New Roman" w:eastAsia="Times New Roman"/>
                <w:sz w:val="22"/>
              </w:rPr>
              <w:t>200</w:t>
            </w:r>
            <w:r>
              <w:rPr>
                <w:rFonts w:ascii="Times New Roman" w:eastAsia="Times New Roman"/>
                <w:spacing w:val="-6"/>
                <w:sz w:val="22"/>
              </w:rPr>
              <w:t> </w:t>
            </w:r>
            <w:r>
              <w:rPr>
                <w:sz w:val="22"/>
              </w:rPr>
              <w:t>万</w:t>
            </w:r>
            <w:r>
              <w:rPr>
                <w:spacing w:val="-10"/>
                <w:sz w:val="22"/>
              </w:rPr>
              <w:t>元</w:t>
            </w:r>
          </w:p>
        </w:tc>
        <w:tc>
          <w:tcPr>
            <w:tcW w:w="2124" w:type="dxa"/>
          </w:tcPr>
          <w:p>
            <w:pPr>
              <w:pStyle w:val="TableParagraph"/>
              <w:spacing w:line="278" w:lineRule="exact" w:before="13"/>
              <w:ind w:left="412" w:right="398"/>
              <w:jc w:val="center"/>
              <w:rPr>
                <w:sz w:val="22"/>
              </w:rPr>
            </w:pPr>
            <w:r>
              <w:rPr>
                <w:rFonts w:ascii="Times New Roman" w:eastAsia="Times New Roman"/>
                <w:sz w:val="22"/>
              </w:rPr>
              <w:t>300</w:t>
            </w:r>
            <w:r>
              <w:rPr>
                <w:rFonts w:ascii="Times New Roman" w:eastAsia="Times New Roman"/>
                <w:spacing w:val="-6"/>
                <w:sz w:val="22"/>
              </w:rPr>
              <w:t> </w:t>
            </w:r>
            <w:r>
              <w:rPr>
                <w:sz w:val="22"/>
              </w:rPr>
              <w:t>万</w:t>
            </w:r>
            <w:r>
              <w:rPr>
                <w:spacing w:val="-10"/>
                <w:sz w:val="22"/>
              </w:rPr>
              <w:t>元</w:t>
            </w:r>
          </w:p>
        </w:tc>
        <w:tc>
          <w:tcPr>
            <w:tcW w:w="1837" w:type="dxa"/>
          </w:tcPr>
          <w:p>
            <w:pPr>
              <w:pStyle w:val="TableParagraph"/>
              <w:spacing w:line="278" w:lineRule="exact" w:before="13"/>
              <w:ind w:left="270" w:right="252"/>
              <w:jc w:val="center"/>
              <w:rPr>
                <w:sz w:val="22"/>
              </w:rPr>
            </w:pPr>
            <w:r>
              <w:rPr>
                <w:rFonts w:ascii="Times New Roman" w:eastAsia="Times New Roman"/>
                <w:sz w:val="22"/>
              </w:rPr>
              <w:t>500</w:t>
            </w:r>
            <w:r>
              <w:rPr>
                <w:rFonts w:ascii="Times New Roman" w:eastAsia="Times New Roman"/>
                <w:spacing w:val="-6"/>
                <w:sz w:val="22"/>
              </w:rPr>
              <w:t> </w:t>
            </w:r>
            <w:r>
              <w:rPr>
                <w:sz w:val="22"/>
              </w:rPr>
              <w:t>万</w:t>
            </w:r>
            <w:r>
              <w:rPr>
                <w:spacing w:val="-10"/>
                <w:sz w:val="22"/>
              </w:rPr>
              <w:t>元</w:t>
            </w:r>
          </w:p>
        </w:tc>
      </w:tr>
      <w:tr>
        <w:trPr>
          <w:trHeight w:val="311" w:hRule="atLeast"/>
        </w:trPr>
        <w:tc>
          <w:tcPr>
            <w:tcW w:w="3738" w:type="dxa"/>
            <w:gridSpan w:val="2"/>
          </w:tcPr>
          <w:p>
            <w:pPr>
              <w:pStyle w:val="TableParagraph"/>
              <w:spacing w:line="278" w:lineRule="exact" w:before="13"/>
              <w:ind w:left="1434" w:right="1428"/>
              <w:jc w:val="center"/>
              <w:rPr>
                <w:sz w:val="22"/>
              </w:rPr>
            </w:pPr>
            <w:r>
              <w:rPr>
                <w:w w:val="95"/>
                <w:sz w:val="22"/>
              </w:rPr>
              <w:t>投</w:t>
            </w:r>
            <w:r>
              <w:rPr>
                <w:w w:val="95"/>
                <w:sz w:val="22"/>
              </w:rPr>
              <w:t>保</w:t>
            </w:r>
            <w:r>
              <w:rPr>
                <w:w w:val="95"/>
                <w:sz w:val="22"/>
              </w:rPr>
              <w:t>年</w:t>
            </w:r>
            <w:r>
              <w:rPr>
                <w:spacing w:val="-10"/>
                <w:w w:val="95"/>
                <w:sz w:val="22"/>
              </w:rPr>
              <w:t>龄</w:t>
            </w:r>
          </w:p>
        </w:tc>
        <w:tc>
          <w:tcPr>
            <w:tcW w:w="1842" w:type="dxa"/>
          </w:tcPr>
          <w:p>
            <w:pPr>
              <w:pStyle w:val="TableParagraph"/>
              <w:spacing w:line="278" w:lineRule="exact" w:before="13"/>
              <w:ind w:left="269" w:right="261"/>
              <w:jc w:val="center"/>
              <w:rPr>
                <w:sz w:val="22"/>
              </w:rPr>
            </w:pPr>
            <w:r>
              <w:rPr>
                <w:rFonts w:ascii="Times New Roman" w:eastAsia="Times New Roman"/>
                <w:sz w:val="22"/>
              </w:rPr>
              <w:t>30</w:t>
            </w:r>
            <w:r>
              <w:rPr>
                <w:rFonts w:ascii="Times New Roman" w:eastAsia="Times New Roman"/>
                <w:spacing w:val="-6"/>
                <w:sz w:val="22"/>
              </w:rPr>
              <w:t> </w:t>
            </w:r>
            <w:r>
              <w:rPr>
                <w:sz w:val="22"/>
              </w:rPr>
              <w:t>天</w:t>
            </w:r>
            <w:r>
              <w:rPr>
                <w:rFonts w:ascii="Times New Roman" w:eastAsia="Times New Roman"/>
                <w:sz w:val="22"/>
              </w:rPr>
              <w:t>-64</w:t>
            </w:r>
            <w:r>
              <w:rPr>
                <w:rFonts w:ascii="Times New Roman" w:eastAsia="Times New Roman"/>
                <w:spacing w:val="-6"/>
                <w:sz w:val="22"/>
              </w:rPr>
              <w:t> </w:t>
            </w:r>
            <w:r>
              <w:rPr>
                <w:sz w:val="22"/>
              </w:rPr>
              <w:t>周</w:t>
            </w:r>
            <w:r>
              <w:rPr>
                <w:spacing w:val="-10"/>
                <w:sz w:val="22"/>
              </w:rPr>
              <w:t>岁</w:t>
            </w:r>
          </w:p>
        </w:tc>
        <w:tc>
          <w:tcPr>
            <w:tcW w:w="2124" w:type="dxa"/>
          </w:tcPr>
          <w:p>
            <w:pPr>
              <w:pStyle w:val="TableParagraph"/>
              <w:spacing w:line="278" w:lineRule="exact" w:before="13"/>
              <w:ind w:left="412" w:right="400"/>
              <w:jc w:val="center"/>
              <w:rPr>
                <w:sz w:val="22"/>
              </w:rPr>
            </w:pPr>
            <w:r>
              <w:rPr>
                <w:rFonts w:ascii="Times New Roman" w:eastAsia="Times New Roman"/>
                <w:sz w:val="22"/>
              </w:rPr>
              <w:t>30</w:t>
            </w:r>
            <w:r>
              <w:rPr>
                <w:rFonts w:ascii="Times New Roman" w:eastAsia="Times New Roman"/>
                <w:spacing w:val="-6"/>
                <w:sz w:val="22"/>
              </w:rPr>
              <w:t> </w:t>
            </w:r>
            <w:r>
              <w:rPr>
                <w:sz w:val="22"/>
              </w:rPr>
              <w:t>天</w:t>
            </w:r>
            <w:r>
              <w:rPr>
                <w:rFonts w:ascii="Times New Roman" w:eastAsia="Times New Roman"/>
                <w:sz w:val="22"/>
              </w:rPr>
              <w:t>-64</w:t>
            </w:r>
            <w:r>
              <w:rPr>
                <w:rFonts w:ascii="Times New Roman" w:eastAsia="Times New Roman"/>
                <w:spacing w:val="-6"/>
                <w:sz w:val="22"/>
              </w:rPr>
              <w:t> </w:t>
            </w:r>
            <w:r>
              <w:rPr>
                <w:sz w:val="22"/>
              </w:rPr>
              <w:t>周</w:t>
            </w:r>
            <w:r>
              <w:rPr>
                <w:spacing w:val="-10"/>
                <w:sz w:val="22"/>
              </w:rPr>
              <w:t>岁</w:t>
            </w:r>
          </w:p>
        </w:tc>
        <w:tc>
          <w:tcPr>
            <w:tcW w:w="1837" w:type="dxa"/>
          </w:tcPr>
          <w:p>
            <w:pPr>
              <w:pStyle w:val="TableParagraph"/>
              <w:spacing w:line="278" w:lineRule="exact" w:before="13"/>
              <w:ind w:left="270" w:right="255"/>
              <w:jc w:val="center"/>
              <w:rPr>
                <w:sz w:val="22"/>
              </w:rPr>
            </w:pPr>
            <w:r>
              <w:rPr>
                <w:rFonts w:ascii="Times New Roman" w:eastAsia="Times New Roman"/>
                <w:sz w:val="22"/>
              </w:rPr>
              <w:t>30</w:t>
            </w:r>
            <w:r>
              <w:rPr>
                <w:rFonts w:ascii="Times New Roman" w:eastAsia="Times New Roman"/>
                <w:spacing w:val="-6"/>
                <w:sz w:val="22"/>
              </w:rPr>
              <w:t> </w:t>
            </w:r>
            <w:r>
              <w:rPr>
                <w:sz w:val="22"/>
              </w:rPr>
              <w:t>天</w:t>
            </w:r>
            <w:r>
              <w:rPr>
                <w:rFonts w:ascii="Times New Roman" w:eastAsia="Times New Roman"/>
                <w:sz w:val="22"/>
              </w:rPr>
              <w:t>-64</w:t>
            </w:r>
            <w:r>
              <w:rPr>
                <w:rFonts w:ascii="Times New Roman" w:eastAsia="Times New Roman"/>
                <w:spacing w:val="-6"/>
                <w:sz w:val="22"/>
              </w:rPr>
              <w:t> </w:t>
            </w:r>
            <w:r>
              <w:rPr>
                <w:sz w:val="22"/>
              </w:rPr>
              <w:t>周</w:t>
            </w:r>
            <w:r>
              <w:rPr>
                <w:spacing w:val="-10"/>
                <w:sz w:val="22"/>
              </w:rPr>
              <w:t>岁</w:t>
            </w:r>
          </w:p>
        </w:tc>
      </w:tr>
      <w:tr>
        <w:trPr>
          <w:trHeight w:val="312" w:hRule="atLeast"/>
        </w:trPr>
        <w:tc>
          <w:tcPr>
            <w:tcW w:w="3738" w:type="dxa"/>
            <w:gridSpan w:val="2"/>
          </w:tcPr>
          <w:p>
            <w:pPr>
              <w:pStyle w:val="TableParagraph"/>
              <w:spacing w:line="278" w:lineRule="exact" w:before="15"/>
              <w:ind w:left="1208"/>
              <w:rPr>
                <w:sz w:val="22"/>
              </w:rPr>
            </w:pPr>
            <w:r>
              <w:rPr>
                <w:w w:val="95"/>
                <w:sz w:val="22"/>
              </w:rPr>
              <w:t>最</w:t>
            </w:r>
            <w:r>
              <w:rPr>
                <w:w w:val="95"/>
                <w:sz w:val="22"/>
              </w:rPr>
              <w:t>高</w:t>
            </w:r>
            <w:r>
              <w:rPr>
                <w:w w:val="95"/>
                <w:sz w:val="22"/>
              </w:rPr>
              <w:t>续</w:t>
            </w:r>
            <w:r>
              <w:rPr>
                <w:w w:val="95"/>
                <w:sz w:val="22"/>
              </w:rPr>
              <w:t>保</w:t>
            </w:r>
            <w:r>
              <w:rPr>
                <w:w w:val="95"/>
                <w:sz w:val="22"/>
              </w:rPr>
              <w:t>年</w:t>
            </w:r>
            <w:r>
              <w:rPr>
                <w:spacing w:val="-10"/>
                <w:w w:val="95"/>
                <w:sz w:val="22"/>
              </w:rPr>
              <w:t>龄</w:t>
            </w:r>
          </w:p>
        </w:tc>
        <w:tc>
          <w:tcPr>
            <w:tcW w:w="1842" w:type="dxa"/>
          </w:tcPr>
          <w:p>
            <w:pPr>
              <w:pStyle w:val="TableParagraph"/>
              <w:spacing w:line="278" w:lineRule="exact" w:before="15"/>
              <w:ind w:left="481"/>
              <w:rPr>
                <w:sz w:val="22"/>
              </w:rPr>
            </w:pPr>
            <w:r>
              <w:rPr>
                <w:rFonts w:ascii="Times New Roman" w:eastAsia="Times New Roman"/>
                <w:sz w:val="22"/>
              </w:rPr>
              <w:t>100</w:t>
            </w:r>
            <w:r>
              <w:rPr>
                <w:rFonts w:ascii="Times New Roman" w:eastAsia="Times New Roman"/>
                <w:spacing w:val="50"/>
                <w:sz w:val="22"/>
              </w:rPr>
              <w:t> </w:t>
            </w:r>
            <w:r>
              <w:rPr>
                <w:sz w:val="22"/>
              </w:rPr>
              <w:t>周</w:t>
            </w:r>
            <w:r>
              <w:rPr>
                <w:spacing w:val="-10"/>
                <w:sz w:val="22"/>
              </w:rPr>
              <w:t>岁</w:t>
            </w:r>
          </w:p>
        </w:tc>
        <w:tc>
          <w:tcPr>
            <w:tcW w:w="2124" w:type="dxa"/>
          </w:tcPr>
          <w:p>
            <w:pPr>
              <w:pStyle w:val="TableParagraph"/>
              <w:spacing w:line="278" w:lineRule="exact" w:before="15"/>
              <w:ind w:left="412" w:right="398"/>
              <w:jc w:val="center"/>
              <w:rPr>
                <w:sz w:val="22"/>
              </w:rPr>
            </w:pPr>
            <w:r>
              <w:rPr>
                <w:rFonts w:ascii="Times New Roman" w:eastAsia="Times New Roman"/>
                <w:sz w:val="22"/>
              </w:rPr>
              <w:t>80</w:t>
            </w:r>
            <w:r>
              <w:rPr>
                <w:rFonts w:ascii="Times New Roman" w:eastAsia="Times New Roman"/>
                <w:spacing w:val="-5"/>
                <w:sz w:val="22"/>
              </w:rPr>
              <w:t> </w:t>
            </w:r>
            <w:r>
              <w:rPr>
                <w:sz w:val="22"/>
              </w:rPr>
              <w:t>周</w:t>
            </w:r>
            <w:r>
              <w:rPr>
                <w:spacing w:val="-10"/>
                <w:sz w:val="22"/>
              </w:rPr>
              <w:t>岁</w:t>
            </w:r>
          </w:p>
        </w:tc>
        <w:tc>
          <w:tcPr>
            <w:tcW w:w="1837" w:type="dxa"/>
          </w:tcPr>
          <w:p>
            <w:pPr>
              <w:pStyle w:val="TableParagraph"/>
              <w:spacing w:line="278" w:lineRule="exact" w:before="15"/>
              <w:ind w:left="537"/>
              <w:rPr>
                <w:sz w:val="22"/>
              </w:rPr>
            </w:pPr>
            <w:r>
              <w:rPr>
                <w:rFonts w:ascii="Times New Roman" w:eastAsia="Times New Roman"/>
                <w:sz w:val="22"/>
              </w:rPr>
              <w:t>80</w:t>
            </w:r>
            <w:r>
              <w:rPr>
                <w:rFonts w:ascii="Times New Roman" w:eastAsia="Times New Roman"/>
                <w:spacing w:val="51"/>
                <w:sz w:val="22"/>
              </w:rPr>
              <w:t> </w:t>
            </w:r>
            <w:r>
              <w:rPr>
                <w:sz w:val="22"/>
              </w:rPr>
              <w:t>周</w:t>
            </w:r>
            <w:r>
              <w:rPr>
                <w:spacing w:val="-10"/>
                <w:sz w:val="22"/>
              </w:rPr>
              <w:t>岁</w:t>
            </w:r>
          </w:p>
        </w:tc>
      </w:tr>
      <w:tr>
        <w:trPr>
          <w:trHeight w:val="311" w:hRule="atLeast"/>
        </w:trPr>
        <w:tc>
          <w:tcPr>
            <w:tcW w:w="770" w:type="dxa"/>
            <w:vMerge w:val="restart"/>
          </w:tcPr>
          <w:p>
            <w:pPr>
              <w:pStyle w:val="TableParagraph"/>
              <w:spacing w:before="0"/>
              <w:ind w:left="0"/>
              <w:rPr>
                <w:sz w:val="22"/>
              </w:rPr>
            </w:pPr>
          </w:p>
          <w:p>
            <w:pPr>
              <w:pStyle w:val="TableParagraph"/>
              <w:spacing w:before="2"/>
              <w:ind w:left="0"/>
              <w:rPr>
                <w:sz w:val="17"/>
              </w:rPr>
            </w:pPr>
          </w:p>
          <w:p>
            <w:pPr>
              <w:pStyle w:val="TableParagraph"/>
              <w:spacing w:line="266" w:lineRule="auto" w:before="0"/>
              <w:ind w:left="163" w:right="155"/>
              <w:jc w:val="both"/>
              <w:rPr>
                <w:sz w:val="22"/>
              </w:rPr>
            </w:pPr>
            <w:r>
              <w:rPr>
                <w:spacing w:val="-6"/>
                <w:sz w:val="22"/>
              </w:rPr>
              <w:t>年度给付</w:t>
            </w:r>
            <w:r>
              <w:rPr>
                <w:w w:val="95"/>
                <w:sz w:val="22"/>
              </w:rPr>
              <w:t>限</w:t>
            </w:r>
            <w:r>
              <w:rPr>
                <w:spacing w:val="-10"/>
                <w:sz w:val="22"/>
              </w:rPr>
              <w:t>额</w:t>
            </w:r>
          </w:p>
        </w:tc>
        <w:tc>
          <w:tcPr>
            <w:tcW w:w="2968" w:type="dxa"/>
          </w:tcPr>
          <w:p>
            <w:pPr>
              <w:pStyle w:val="TableParagraph"/>
              <w:spacing w:line="278" w:lineRule="exact" w:before="14"/>
              <w:ind w:left="713"/>
              <w:rPr>
                <w:sz w:val="22"/>
              </w:rPr>
            </w:pPr>
            <w:r>
              <w:rPr>
                <w:w w:val="95"/>
                <w:sz w:val="22"/>
              </w:rPr>
              <w:t>一</w:t>
            </w:r>
            <w:r>
              <w:rPr>
                <w:w w:val="95"/>
                <w:sz w:val="22"/>
              </w:rPr>
              <w:t>般</w:t>
            </w:r>
            <w:r>
              <w:rPr>
                <w:w w:val="95"/>
                <w:sz w:val="22"/>
              </w:rPr>
              <w:t>医</w:t>
            </w:r>
            <w:r>
              <w:rPr>
                <w:w w:val="95"/>
                <w:sz w:val="22"/>
              </w:rPr>
              <w:t>疗</w:t>
            </w:r>
            <w:r>
              <w:rPr>
                <w:w w:val="95"/>
                <w:sz w:val="22"/>
              </w:rPr>
              <w:t>保</w:t>
            </w:r>
            <w:r>
              <w:rPr>
                <w:w w:val="95"/>
                <w:sz w:val="22"/>
              </w:rPr>
              <w:t>险</w:t>
            </w:r>
            <w:r>
              <w:rPr>
                <w:spacing w:val="-10"/>
                <w:w w:val="95"/>
                <w:sz w:val="22"/>
              </w:rPr>
              <w:t>金</w:t>
            </w:r>
          </w:p>
        </w:tc>
        <w:tc>
          <w:tcPr>
            <w:tcW w:w="1842" w:type="dxa"/>
          </w:tcPr>
          <w:p>
            <w:pPr>
              <w:pStyle w:val="TableParagraph"/>
              <w:spacing w:line="278" w:lineRule="exact" w:before="14"/>
              <w:ind w:left="481"/>
              <w:rPr>
                <w:sz w:val="22"/>
              </w:rPr>
            </w:pPr>
            <w:r>
              <w:rPr>
                <w:rFonts w:ascii="Times New Roman" w:eastAsia="Times New Roman"/>
                <w:sz w:val="22"/>
              </w:rPr>
              <w:t>100</w:t>
            </w:r>
            <w:r>
              <w:rPr>
                <w:rFonts w:ascii="Times New Roman" w:eastAsia="Times New Roman"/>
                <w:spacing w:val="50"/>
                <w:sz w:val="22"/>
              </w:rPr>
              <w:t> </w:t>
            </w:r>
            <w:r>
              <w:rPr>
                <w:sz w:val="22"/>
              </w:rPr>
              <w:t>万</w:t>
            </w:r>
            <w:r>
              <w:rPr>
                <w:spacing w:val="-10"/>
                <w:sz w:val="22"/>
              </w:rPr>
              <w:t>元</w:t>
            </w:r>
          </w:p>
        </w:tc>
        <w:tc>
          <w:tcPr>
            <w:tcW w:w="2124" w:type="dxa"/>
          </w:tcPr>
          <w:p>
            <w:pPr>
              <w:pStyle w:val="TableParagraph"/>
              <w:spacing w:before="28"/>
              <w:ind w:left="13"/>
              <w:jc w:val="center"/>
              <w:rPr>
                <w:rFonts w:ascii="Times New Roman"/>
                <w:sz w:val="22"/>
              </w:rPr>
            </w:pPr>
            <w:r>
              <w:rPr>
                <w:rFonts w:ascii="Times New Roman"/>
                <w:w w:val="99"/>
                <w:sz w:val="22"/>
              </w:rPr>
              <w:t>/</w:t>
            </w:r>
          </w:p>
        </w:tc>
        <w:tc>
          <w:tcPr>
            <w:tcW w:w="1837" w:type="dxa"/>
          </w:tcPr>
          <w:p>
            <w:pPr>
              <w:pStyle w:val="TableParagraph"/>
              <w:spacing w:line="278" w:lineRule="exact" w:before="14"/>
              <w:ind w:left="482"/>
              <w:rPr>
                <w:sz w:val="22"/>
              </w:rPr>
            </w:pPr>
            <w:r>
              <w:rPr>
                <w:rFonts w:ascii="Times New Roman" w:eastAsia="Times New Roman"/>
                <w:sz w:val="22"/>
              </w:rPr>
              <w:t>100</w:t>
            </w:r>
            <w:r>
              <w:rPr>
                <w:rFonts w:ascii="Times New Roman" w:eastAsia="Times New Roman"/>
                <w:spacing w:val="49"/>
                <w:sz w:val="22"/>
              </w:rPr>
              <w:t> </w:t>
            </w:r>
            <w:r>
              <w:rPr>
                <w:sz w:val="22"/>
              </w:rPr>
              <w:t>万</w:t>
            </w:r>
            <w:r>
              <w:rPr>
                <w:spacing w:val="-12"/>
                <w:sz w:val="22"/>
              </w:rPr>
              <w:t>元</w:t>
            </w:r>
          </w:p>
        </w:tc>
      </w:tr>
      <w:tr>
        <w:trPr>
          <w:trHeight w:val="311" w:hRule="atLeast"/>
        </w:trPr>
        <w:tc>
          <w:tcPr>
            <w:tcW w:w="770" w:type="dxa"/>
            <w:vMerge/>
            <w:tcBorders>
              <w:top w:val="nil"/>
            </w:tcBorders>
          </w:tcPr>
          <w:p>
            <w:pPr>
              <w:rPr>
                <w:sz w:val="2"/>
                <w:szCs w:val="2"/>
              </w:rPr>
            </w:pPr>
          </w:p>
        </w:tc>
        <w:tc>
          <w:tcPr>
            <w:tcW w:w="2968" w:type="dxa"/>
          </w:tcPr>
          <w:p>
            <w:pPr>
              <w:pStyle w:val="TableParagraph"/>
              <w:spacing w:line="278" w:lineRule="exact" w:before="13"/>
              <w:ind w:left="493"/>
              <w:rPr>
                <w:sz w:val="22"/>
              </w:rPr>
            </w:pPr>
            <w:r>
              <w:rPr>
                <w:w w:val="95"/>
                <w:sz w:val="22"/>
              </w:rPr>
              <w:t>重</w:t>
            </w:r>
            <w:r>
              <w:rPr>
                <w:w w:val="95"/>
                <w:sz w:val="22"/>
              </w:rPr>
              <w:t>大</w:t>
            </w:r>
            <w:r>
              <w:rPr>
                <w:w w:val="95"/>
                <w:sz w:val="22"/>
              </w:rPr>
              <w:t>疾</w:t>
            </w:r>
            <w:r>
              <w:rPr>
                <w:w w:val="95"/>
                <w:sz w:val="22"/>
              </w:rPr>
              <w:t>病</w:t>
            </w:r>
            <w:r>
              <w:rPr>
                <w:w w:val="95"/>
                <w:sz w:val="22"/>
              </w:rPr>
              <w:t>医</w:t>
            </w:r>
            <w:r>
              <w:rPr>
                <w:w w:val="95"/>
                <w:sz w:val="22"/>
              </w:rPr>
              <w:t>疗</w:t>
            </w:r>
            <w:r>
              <w:rPr>
                <w:w w:val="95"/>
                <w:sz w:val="22"/>
              </w:rPr>
              <w:t>保</w:t>
            </w:r>
            <w:r>
              <w:rPr>
                <w:w w:val="95"/>
                <w:sz w:val="22"/>
              </w:rPr>
              <w:t>险</w:t>
            </w:r>
            <w:r>
              <w:rPr>
                <w:spacing w:val="-10"/>
                <w:w w:val="95"/>
                <w:sz w:val="22"/>
              </w:rPr>
              <w:t>金</w:t>
            </w:r>
          </w:p>
        </w:tc>
        <w:tc>
          <w:tcPr>
            <w:tcW w:w="1842" w:type="dxa"/>
          </w:tcPr>
          <w:p>
            <w:pPr>
              <w:pStyle w:val="TableParagraph"/>
              <w:spacing w:line="278" w:lineRule="exact" w:before="13"/>
              <w:ind w:left="480"/>
              <w:rPr>
                <w:sz w:val="22"/>
              </w:rPr>
            </w:pPr>
            <w:r>
              <w:rPr>
                <w:rFonts w:ascii="Times New Roman" w:eastAsia="Times New Roman"/>
                <w:sz w:val="22"/>
              </w:rPr>
              <w:t>100</w:t>
            </w:r>
            <w:r>
              <w:rPr>
                <w:rFonts w:ascii="Times New Roman" w:eastAsia="Times New Roman"/>
                <w:spacing w:val="50"/>
                <w:sz w:val="22"/>
              </w:rPr>
              <w:t> </w:t>
            </w:r>
            <w:r>
              <w:rPr>
                <w:sz w:val="22"/>
              </w:rPr>
              <w:t>万</w:t>
            </w:r>
            <w:r>
              <w:rPr>
                <w:spacing w:val="-10"/>
                <w:sz w:val="22"/>
              </w:rPr>
              <w:t>元</w:t>
            </w:r>
          </w:p>
        </w:tc>
        <w:tc>
          <w:tcPr>
            <w:tcW w:w="2124" w:type="dxa"/>
          </w:tcPr>
          <w:p>
            <w:pPr>
              <w:pStyle w:val="TableParagraph"/>
              <w:spacing w:before="28"/>
              <w:ind w:left="13"/>
              <w:jc w:val="center"/>
              <w:rPr>
                <w:rFonts w:ascii="Times New Roman"/>
                <w:sz w:val="22"/>
              </w:rPr>
            </w:pPr>
            <w:r>
              <w:rPr>
                <w:rFonts w:ascii="Times New Roman"/>
                <w:w w:val="99"/>
                <w:sz w:val="22"/>
              </w:rPr>
              <w:t>/</w:t>
            </w:r>
          </w:p>
        </w:tc>
        <w:tc>
          <w:tcPr>
            <w:tcW w:w="1837" w:type="dxa"/>
          </w:tcPr>
          <w:p>
            <w:pPr>
              <w:pStyle w:val="TableParagraph"/>
              <w:spacing w:line="278" w:lineRule="exact" w:before="13"/>
              <w:ind w:left="482"/>
              <w:rPr>
                <w:sz w:val="22"/>
              </w:rPr>
            </w:pPr>
            <w:r>
              <w:rPr>
                <w:rFonts w:ascii="Times New Roman" w:eastAsia="Times New Roman"/>
                <w:sz w:val="22"/>
              </w:rPr>
              <w:t>100</w:t>
            </w:r>
            <w:r>
              <w:rPr>
                <w:rFonts w:ascii="Times New Roman" w:eastAsia="Times New Roman"/>
                <w:spacing w:val="49"/>
                <w:sz w:val="22"/>
              </w:rPr>
              <w:t> </w:t>
            </w:r>
            <w:r>
              <w:rPr>
                <w:sz w:val="22"/>
              </w:rPr>
              <w:t>万</w:t>
            </w:r>
            <w:r>
              <w:rPr>
                <w:spacing w:val="-12"/>
                <w:sz w:val="22"/>
              </w:rPr>
              <w:t>元</w:t>
            </w:r>
          </w:p>
        </w:tc>
      </w:tr>
      <w:tr>
        <w:trPr>
          <w:trHeight w:val="312" w:hRule="atLeast"/>
        </w:trPr>
        <w:tc>
          <w:tcPr>
            <w:tcW w:w="770" w:type="dxa"/>
            <w:vMerge/>
            <w:tcBorders>
              <w:top w:val="nil"/>
            </w:tcBorders>
          </w:tcPr>
          <w:p>
            <w:pPr>
              <w:rPr>
                <w:sz w:val="2"/>
                <w:szCs w:val="2"/>
              </w:rPr>
            </w:pPr>
          </w:p>
        </w:tc>
        <w:tc>
          <w:tcPr>
            <w:tcW w:w="2968" w:type="dxa"/>
          </w:tcPr>
          <w:p>
            <w:pPr>
              <w:pStyle w:val="TableParagraph"/>
              <w:spacing w:line="278" w:lineRule="exact" w:before="15"/>
              <w:ind w:left="0" w:right="262"/>
              <w:jc w:val="right"/>
              <w:rPr>
                <w:sz w:val="22"/>
              </w:rPr>
            </w:pPr>
            <w:r>
              <w:rPr>
                <w:w w:val="95"/>
                <w:sz w:val="22"/>
              </w:rPr>
              <w:t>特</w:t>
            </w:r>
            <w:r>
              <w:rPr>
                <w:w w:val="95"/>
                <w:sz w:val="22"/>
              </w:rPr>
              <w:t>定</w:t>
            </w:r>
            <w:r>
              <w:rPr>
                <w:w w:val="95"/>
                <w:sz w:val="22"/>
              </w:rPr>
              <w:t>疾</w:t>
            </w:r>
            <w:r>
              <w:rPr>
                <w:w w:val="95"/>
                <w:sz w:val="22"/>
              </w:rPr>
              <w:t>病</w:t>
            </w:r>
            <w:r>
              <w:rPr>
                <w:w w:val="95"/>
                <w:sz w:val="22"/>
              </w:rPr>
              <w:t>赴</w:t>
            </w:r>
            <w:r>
              <w:rPr>
                <w:w w:val="95"/>
                <w:sz w:val="22"/>
              </w:rPr>
              <w:t>日</w:t>
            </w:r>
            <w:r>
              <w:rPr>
                <w:w w:val="95"/>
                <w:sz w:val="22"/>
              </w:rPr>
              <w:t>医</w:t>
            </w:r>
            <w:r>
              <w:rPr>
                <w:w w:val="95"/>
                <w:sz w:val="22"/>
              </w:rPr>
              <w:t>疗</w:t>
            </w:r>
            <w:r>
              <w:rPr>
                <w:w w:val="95"/>
                <w:sz w:val="22"/>
              </w:rPr>
              <w:t>保</w:t>
            </w:r>
            <w:r>
              <w:rPr>
                <w:w w:val="95"/>
                <w:sz w:val="22"/>
              </w:rPr>
              <w:t>险</w:t>
            </w:r>
            <w:r>
              <w:rPr>
                <w:spacing w:val="-10"/>
                <w:w w:val="95"/>
                <w:sz w:val="22"/>
              </w:rPr>
              <w:t>金</w:t>
            </w:r>
          </w:p>
        </w:tc>
        <w:tc>
          <w:tcPr>
            <w:tcW w:w="1842" w:type="dxa"/>
          </w:tcPr>
          <w:p>
            <w:pPr>
              <w:pStyle w:val="TableParagraph"/>
              <w:spacing w:before="29"/>
              <w:ind w:left="9"/>
              <w:jc w:val="center"/>
              <w:rPr>
                <w:rFonts w:ascii="Times New Roman"/>
                <w:sz w:val="22"/>
              </w:rPr>
            </w:pPr>
            <w:r>
              <w:rPr>
                <w:rFonts w:ascii="Times New Roman"/>
                <w:w w:val="99"/>
                <w:sz w:val="22"/>
              </w:rPr>
              <w:t>/</w:t>
            </w:r>
          </w:p>
        </w:tc>
        <w:tc>
          <w:tcPr>
            <w:tcW w:w="2124" w:type="dxa"/>
          </w:tcPr>
          <w:p>
            <w:pPr>
              <w:pStyle w:val="TableParagraph"/>
              <w:spacing w:line="278" w:lineRule="exact" w:before="15"/>
              <w:ind w:left="412" w:right="398"/>
              <w:jc w:val="center"/>
              <w:rPr>
                <w:sz w:val="22"/>
              </w:rPr>
            </w:pPr>
            <w:r>
              <w:rPr>
                <w:rFonts w:ascii="Times New Roman" w:eastAsia="Times New Roman"/>
                <w:sz w:val="22"/>
              </w:rPr>
              <w:t>300</w:t>
            </w:r>
            <w:r>
              <w:rPr>
                <w:rFonts w:ascii="Times New Roman" w:eastAsia="Times New Roman"/>
                <w:spacing w:val="-6"/>
                <w:sz w:val="22"/>
              </w:rPr>
              <w:t> </w:t>
            </w:r>
            <w:r>
              <w:rPr>
                <w:sz w:val="22"/>
              </w:rPr>
              <w:t>万</w:t>
            </w:r>
            <w:r>
              <w:rPr>
                <w:spacing w:val="-10"/>
                <w:sz w:val="22"/>
              </w:rPr>
              <w:t>元</w:t>
            </w:r>
          </w:p>
        </w:tc>
        <w:tc>
          <w:tcPr>
            <w:tcW w:w="1837" w:type="dxa"/>
          </w:tcPr>
          <w:p>
            <w:pPr>
              <w:pStyle w:val="TableParagraph"/>
              <w:spacing w:line="278" w:lineRule="exact" w:before="15"/>
              <w:ind w:left="270" w:right="252"/>
              <w:jc w:val="center"/>
              <w:rPr>
                <w:sz w:val="22"/>
              </w:rPr>
            </w:pPr>
            <w:r>
              <w:rPr>
                <w:rFonts w:ascii="Times New Roman" w:eastAsia="Times New Roman"/>
                <w:sz w:val="22"/>
              </w:rPr>
              <w:t>300</w:t>
            </w:r>
            <w:r>
              <w:rPr>
                <w:rFonts w:ascii="Times New Roman" w:eastAsia="Times New Roman"/>
                <w:spacing w:val="-6"/>
                <w:sz w:val="22"/>
              </w:rPr>
              <w:t> </w:t>
            </w:r>
            <w:r>
              <w:rPr>
                <w:sz w:val="22"/>
              </w:rPr>
              <w:t>万</w:t>
            </w:r>
            <w:r>
              <w:rPr>
                <w:spacing w:val="-10"/>
                <w:sz w:val="22"/>
              </w:rPr>
              <w:t>元</w:t>
            </w:r>
          </w:p>
        </w:tc>
      </w:tr>
      <w:tr>
        <w:trPr>
          <w:trHeight w:val="623" w:hRule="atLeast"/>
        </w:trPr>
        <w:tc>
          <w:tcPr>
            <w:tcW w:w="770" w:type="dxa"/>
            <w:vMerge/>
            <w:tcBorders>
              <w:top w:val="nil"/>
            </w:tcBorders>
          </w:tcPr>
          <w:p>
            <w:pPr>
              <w:rPr>
                <w:sz w:val="2"/>
                <w:szCs w:val="2"/>
              </w:rPr>
            </w:pPr>
          </w:p>
        </w:tc>
        <w:tc>
          <w:tcPr>
            <w:tcW w:w="2968" w:type="dxa"/>
          </w:tcPr>
          <w:p>
            <w:pPr>
              <w:pStyle w:val="TableParagraph"/>
              <w:spacing w:before="13"/>
              <w:ind w:left="213" w:right="207"/>
              <w:jc w:val="center"/>
              <w:rPr>
                <w:sz w:val="22"/>
              </w:rPr>
            </w:pPr>
            <w:r>
              <w:rPr>
                <w:w w:val="95"/>
                <w:sz w:val="22"/>
              </w:rPr>
              <w:t>特</w:t>
            </w:r>
            <w:r>
              <w:rPr>
                <w:w w:val="95"/>
                <w:sz w:val="22"/>
              </w:rPr>
              <w:t>殊</w:t>
            </w:r>
            <w:r>
              <w:rPr>
                <w:w w:val="95"/>
                <w:sz w:val="22"/>
              </w:rPr>
              <w:t>情</w:t>
            </w:r>
            <w:r>
              <w:rPr>
                <w:w w:val="95"/>
                <w:sz w:val="22"/>
              </w:rPr>
              <w:t>况</w:t>
            </w:r>
            <w:r>
              <w:rPr>
                <w:w w:val="95"/>
                <w:sz w:val="22"/>
              </w:rPr>
              <w:t>下</w:t>
            </w:r>
            <w:r>
              <w:rPr>
                <w:w w:val="95"/>
                <w:sz w:val="22"/>
              </w:rPr>
              <w:t>的</w:t>
            </w:r>
            <w:r>
              <w:rPr>
                <w:w w:val="95"/>
                <w:sz w:val="22"/>
              </w:rPr>
              <w:t>一</w:t>
            </w:r>
            <w:r>
              <w:rPr>
                <w:w w:val="95"/>
                <w:sz w:val="22"/>
              </w:rPr>
              <w:t>次</w:t>
            </w:r>
            <w:r>
              <w:rPr>
                <w:w w:val="95"/>
                <w:sz w:val="22"/>
              </w:rPr>
              <w:t>性</w:t>
            </w:r>
            <w:r>
              <w:rPr>
                <w:w w:val="95"/>
                <w:sz w:val="22"/>
              </w:rPr>
              <w:t>补</w:t>
            </w:r>
            <w:r>
              <w:rPr>
                <w:w w:val="95"/>
                <w:sz w:val="22"/>
              </w:rPr>
              <w:t>偿</w:t>
            </w:r>
            <w:r>
              <w:rPr>
                <w:spacing w:val="-10"/>
                <w:w w:val="95"/>
                <w:sz w:val="22"/>
              </w:rPr>
              <w:t>保</w:t>
            </w:r>
          </w:p>
          <w:p>
            <w:pPr>
              <w:pStyle w:val="TableParagraph"/>
              <w:spacing w:line="278" w:lineRule="exact" w:before="31"/>
              <w:ind w:left="213" w:right="207"/>
              <w:jc w:val="center"/>
              <w:rPr>
                <w:sz w:val="22"/>
              </w:rPr>
            </w:pPr>
            <w:r>
              <w:rPr>
                <w:w w:val="95"/>
                <w:sz w:val="22"/>
              </w:rPr>
              <w:t>险</w:t>
            </w:r>
            <w:r>
              <w:rPr>
                <w:spacing w:val="-10"/>
                <w:sz w:val="22"/>
              </w:rPr>
              <w:t>金</w:t>
            </w:r>
          </w:p>
        </w:tc>
        <w:tc>
          <w:tcPr>
            <w:tcW w:w="1842" w:type="dxa"/>
          </w:tcPr>
          <w:p>
            <w:pPr>
              <w:pStyle w:val="TableParagraph"/>
              <w:spacing w:before="184"/>
              <w:ind w:left="9"/>
              <w:jc w:val="center"/>
              <w:rPr>
                <w:rFonts w:ascii="Times New Roman"/>
                <w:sz w:val="22"/>
              </w:rPr>
            </w:pPr>
            <w:r>
              <w:rPr>
                <w:rFonts w:ascii="Times New Roman"/>
                <w:w w:val="99"/>
                <w:sz w:val="22"/>
              </w:rPr>
              <w:t>/</w:t>
            </w:r>
          </w:p>
        </w:tc>
        <w:tc>
          <w:tcPr>
            <w:tcW w:w="2124" w:type="dxa"/>
          </w:tcPr>
          <w:p>
            <w:pPr>
              <w:pStyle w:val="TableParagraph"/>
              <w:spacing w:before="169"/>
              <w:ind w:left="412" w:right="398"/>
              <w:jc w:val="center"/>
              <w:rPr>
                <w:sz w:val="22"/>
              </w:rPr>
            </w:pPr>
            <w:r>
              <w:rPr>
                <w:rFonts w:ascii="Times New Roman" w:eastAsia="Times New Roman"/>
                <w:sz w:val="22"/>
              </w:rPr>
              <w:t>68000</w:t>
            </w:r>
            <w:r>
              <w:rPr>
                <w:rFonts w:ascii="Times New Roman" w:eastAsia="Times New Roman"/>
                <w:spacing w:val="-7"/>
                <w:sz w:val="22"/>
              </w:rPr>
              <w:t> </w:t>
            </w:r>
            <w:r>
              <w:rPr>
                <w:spacing w:val="-10"/>
                <w:sz w:val="22"/>
              </w:rPr>
              <w:t>元</w:t>
            </w:r>
          </w:p>
        </w:tc>
        <w:tc>
          <w:tcPr>
            <w:tcW w:w="1837" w:type="dxa"/>
          </w:tcPr>
          <w:p>
            <w:pPr>
              <w:pStyle w:val="TableParagraph"/>
              <w:spacing w:before="184"/>
              <w:ind w:left="16"/>
              <w:jc w:val="center"/>
              <w:rPr>
                <w:rFonts w:ascii="Times New Roman"/>
                <w:sz w:val="22"/>
              </w:rPr>
            </w:pPr>
            <w:r>
              <w:rPr>
                <w:rFonts w:ascii="Times New Roman"/>
                <w:w w:val="99"/>
                <w:sz w:val="22"/>
              </w:rPr>
              <w:t>/</w:t>
            </w:r>
          </w:p>
        </w:tc>
      </w:tr>
      <w:tr>
        <w:trPr>
          <w:trHeight w:val="311" w:hRule="atLeast"/>
        </w:trPr>
        <w:tc>
          <w:tcPr>
            <w:tcW w:w="770" w:type="dxa"/>
            <w:vMerge/>
            <w:tcBorders>
              <w:top w:val="nil"/>
            </w:tcBorders>
          </w:tcPr>
          <w:p>
            <w:pPr>
              <w:rPr>
                <w:sz w:val="2"/>
                <w:szCs w:val="2"/>
              </w:rPr>
            </w:pPr>
          </w:p>
        </w:tc>
        <w:tc>
          <w:tcPr>
            <w:tcW w:w="2968" w:type="dxa"/>
          </w:tcPr>
          <w:p>
            <w:pPr>
              <w:pStyle w:val="TableParagraph"/>
              <w:spacing w:line="278" w:lineRule="exact" w:before="13"/>
              <w:ind w:left="213" w:right="207"/>
              <w:jc w:val="center"/>
              <w:rPr>
                <w:sz w:val="22"/>
              </w:rPr>
            </w:pPr>
            <w:r>
              <w:rPr>
                <w:w w:val="95"/>
                <w:sz w:val="22"/>
              </w:rPr>
              <w:t>合</w:t>
            </w:r>
            <w:r>
              <w:rPr>
                <w:spacing w:val="-10"/>
                <w:sz w:val="22"/>
              </w:rPr>
              <w:t>计</w:t>
            </w:r>
          </w:p>
        </w:tc>
        <w:tc>
          <w:tcPr>
            <w:tcW w:w="1842" w:type="dxa"/>
          </w:tcPr>
          <w:p>
            <w:pPr>
              <w:pStyle w:val="TableParagraph"/>
              <w:spacing w:line="278" w:lineRule="exact" w:before="13"/>
              <w:ind w:left="269" w:right="259"/>
              <w:jc w:val="center"/>
              <w:rPr>
                <w:sz w:val="22"/>
              </w:rPr>
            </w:pPr>
            <w:r>
              <w:rPr>
                <w:rFonts w:ascii="Times New Roman" w:eastAsia="Times New Roman"/>
                <w:sz w:val="22"/>
              </w:rPr>
              <w:t>200</w:t>
            </w:r>
            <w:r>
              <w:rPr>
                <w:rFonts w:ascii="Times New Roman" w:eastAsia="Times New Roman"/>
                <w:spacing w:val="-6"/>
                <w:sz w:val="22"/>
              </w:rPr>
              <w:t> </w:t>
            </w:r>
            <w:r>
              <w:rPr>
                <w:sz w:val="22"/>
              </w:rPr>
              <w:t>万</w:t>
            </w:r>
            <w:r>
              <w:rPr>
                <w:spacing w:val="-10"/>
                <w:sz w:val="22"/>
              </w:rPr>
              <w:t>元</w:t>
            </w:r>
          </w:p>
        </w:tc>
        <w:tc>
          <w:tcPr>
            <w:tcW w:w="2124" w:type="dxa"/>
          </w:tcPr>
          <w:p>
            <w:pPr>
              <w:pStyle w:val="TableParagraph"/>
              <w:spacing w:line="278" w:lineRule="exact" w:before="13"/>
              <w:ind w:left="412" w:right="398"/>
              <w:jc w:val="center"/>
              <w:rPr>
                <w:sz w:val="22"/>
              </w:rPr>
            </w:pPr>
            <w:r>
              <w:rPr>
                <w:rFonts w:ascii="Times New Roman" w:eastAsia="Times New Roman"/>
                <w:sz w:val="22"/>
              </w:rPr>
              <w:t>300</w:t>
            </w:r>
            <w:r>
              <w:rPr>
                <w:rFonts w:ascii="Times New Roman" w:eastAsia="Times New Roman"/>
                <w:spacing w:val="-6"/>
                <w:sz w:val="22"/>
              </w:rPr>
              <w:t> </w:t>
            </w:r>
            <w:r>
              <w:rPr>
                <w:sz w:val="22"/>
              </w:rPr>
              <w:t>万</w:t>
            </w:r>
            <w:r>
              <w:rPr>
                <w:spacing w:val="-10"/>
                <w:sz w:val="22"/>
              </w:rPr>
              <w:t>元</w:t>
            </w:r>
          </w:p>
        </w:tc>
        <w:tc>
          <w:tcPr>
            <w:tcW w:w="1837" w:type="dxa"/>
          </w:tcPr>
          <w:p>
            <w:pPr>
              <w:pStyle w:val="TableParagraph"/>
              <w:spacing w:line="278" w:lineRule="exact" w:before="13"/>
              <w:ind w:left="270" w:right="252"/>
              <w:jc w:val="center"/>
              <w:rPr>
                <w:sz w:val="22"/>
              </w:rPr>
            </w:pPr>
            <w:r>
              <w:rPr>
                <w:rFonts w:ascii="Times New Roman" w:eastAsia="Times New Roman"/>
                <w:sz w:val="22"/>
              </w:rPr>
              <w:t>500</w:t>
            </w:r>
            <w:r>
              <w:rPr>
                <w:rFonts w:ascii="Times New Roman" w:eastAsia="Times New Roman"/>
                <w:spacing w:val="-6"/>
                <w:sz w:val="22"/>
              </w:rPr>
              <w:t> </w:t>
            </w:r>
            <w:r>
              <w:rPr>
                <w:sz w:val="22"/>
              </w:rPr>
              <w:t>万</w:t>
            </w:r>
            <w:r>
              <w:rPr>
                <w:spacing w:val="-10"/>
                <w:sz w:val="22"/>
              </w:rPr>
              <w:t>元</w:t>
            </w:r>
          </w:p>
        </w:tc>
      </w:tr>
      <w:tr>
        <w:trPr>
          <w:trHeight w:val="312" w:hRule="atLeast"/>
        </w:trPr>
        <w:tc>
          <w:tcPr>
            <w:tcW w:w="770" w:type="dxa"/>
            <w:vMerge w:val="restart"/>
          </w:tcPr>
          <w:p>
            <w:pPr>
              <w:pStyle w:val="TableParagraph"/>
              <w:spacing w:line="266" w:lineRule="auto" w:before="180"/>
              <w:ind w:left="163" w:right="155"/>
              <w:rPr>
                <w:sz w:val="22"/>
              </w:rPr>
            </w:pPr>
            <w:r>
              <w:rPr>
                <w:spacing w:val="-6"/>
                <w:sz w:val="22"/>
              </w:rPr>
              <w:t>年免</w:t>
            </w:r>
            <w:r>
              <w:rPr>
                <w:w w:val="95"/>
                <w:sz w:val="22"/>
              </w:rPr>
              <w:t>赔</w:t>
            </w:r>
            <w:r>
              <w:rPr>
                <w:spacing w:val="-10"/>
                <w:sz w:val="22"/>
              </w:rPr>
              <w:t>额</w:t>
            </w:r>
          </w:p>
        </w:tc>
        <w:tc>
          <w:tcPr>
            <w:tcW w:w="2968" w:type="dxa"/>
          </w:tcPr>
          <w:p>
            <w:pPr>
              <w:pStyle w:val="TableParagraph"/>
              <w:spacing w:line="278" w:lineRule="exact" w:before="15"/>
              <w:ind w:left="713"/>
              <w:rPr>
                <w:sz w:val="22"/>
              </w:rPr>
            </w:pPr>
            <w:r>
              <w:rPr>
                <w:w w:val="95"/>
                <w:sz w:val="22"/>
              </w:rPr>
              <w:t>一</w:t>
            </w:r>
            <w:r>
              <w:rPr>
                <w:w w:val="95"/>
                <w:sz w:val="22"/>
              </w:rPr>
              <w:t>般</w:t>
            </w:r>
            <w:r>
              <w:rPr>
                <w:w w:val="95"/>
                <w:sz w:val="22"/>
              </w:rPr>
              <w:t>医</w:t>
            </w:r>
            <w:r>
              <w:rPr>
                <w:w w:val="95"/>
                <w:sz w:val="22"/>
              </w:rPr>
              <w:t>疗</w:t>
            </w:r>
            <w:r>
              <w:rPr>
                <w:w w:val="95"/>
                <w:sz w:val="22"/>
              </w:rPr>
              <w:t>保</w:t>
            </w:r>
            <w:r>
              <w:rPr>
                <w:w w:val="95"/>
                <w:sz w:val="22"/>
              </w:rPr>
              <w:t>险</w:t>
            </w:r>
            <w:r>
              <w:rPr>
                <w:spacing w:val="-10"/>
                <w:w w:val="95"/>
                <w:sz w:val="22"/>
              </w:rPr>
              <w:t>金</w:t>
            </w:r>
          </w:p>
        </w:tc>
        <w:tc>
          <w:tcPr>
            <w:tcW w:w="1842" w:type="dxa"/>
          </w:tcPr>
          <w:p>
            <w:pPr>
              <w:pStyle w:val="TableParagraph"/>
              <w:spacing w:line="278" w:lineRule="exact" w:before="15"/>
              <w:ind w:left="269" w:right="259"/>
              <w:jc w:val="center"/>
              <w:rPr>
                <w:sz w:val="22"/>
              </w:rPr>
            </w:pPr>
            <w:r>
              <w:rPr>
                <w:rFonts w:ascii="Times New Roman" w:eastAsia="Times New Roman"/>
                <w:sz w:val="22"/>
              </w:rPr>
              <w:t>1</w:t>
            </w:r>
            <w:r>
              <w:rPr>
                <w:rFonts w:ascii="Times New Roman" w:eastAsia="Times New Roman"/>
                <w:spacing w:val="-4"/>
                <w:sz w:val="22"/>
              </w:rPr>
              <w:t> </w:t>
            </w:r>
            <w:r>
              <w:rPr>
                <w:sz w:val="22"/>
              </w:rPr>
              <w:t>万</w:t>
            </w:r>
            <w:r>
              <w:rPr>
                <w:spacing w:val="-10"/>
                <w:sz w:val="22"/>
              </w:rPr>
              <w:t>元</w:t>
            </w:r>
          </w:p>
        </w:tc>
        <w:tc>
          <w:tcPr>
            <w:tcW w:w="2124" w:type="dxa"/>
          </w:tcPr>
          <w:p>
            <w:pPr>
              <w:pStyle w:val="TableParagraph"/>
              <w:spacing w:line="278" w:lineRule="exact" w:before="15"/>
              <w:ind w:left="412" w:right="399"/>
              <w:jc w:val="center"/>
              <w:rPr>
                <w:sz w:val="22"/>
              </w:rPr>
            </w:pPr>
            <w:r>
              <w:rPr>
                <w:w w:val="95"/>
                <w:sz w:val="22"/>
              </w:rPr>
              <w:t>不</w:t>
            </w:r>
            <w:r>
              <w:rPr>
                <w:w w:val="95"/>
                <w:sz w:val="22"/>
              </w:rPr>
              <w:t>适</w:t>
            </w:r>
            <w:r>
              <w:rPr>
                <w:spacing w:val="-10"/>
                <w:w w:val="95"/>
                <w:sz w:val="22"/>
              </w:rPr>
              <w:t>用</w:t>
            </w:r>
          </w:p>
        </w:tc>
        <w:tc>
          <w:tcPr>
            <w:tcW w:w="1837" w:type="dxa"/>
          </w:tcPr>
          <w:p>
            <w:pPr>
              <w:pStyle w:val="TableParagraph"/>
              <w:spacing w:line="278" w:lineRule="exact" w:before="15"/>
              <w:ind w:left="270" w:right="252"/>
              <w:jc w:val="center"/>
              <w:rPr>
                <w:sz w:val="22"/>
              </w:rPr>
            </w:pPr>
            <w:r>
              <w:rPr>
                <w:rFonts w:ascii="Times New Roman" w:eastAsia="Times New Roman"/>
                <w:sz w:val="22"/>
              </w:rPr>
              <w:t>1</w:t>
            </w:r>
            <w:r>
              <w:rPr>
                <w:rFonts w:ascii="Times New Roman" w:eastAsia="Times New Roman"/>
                <w:spacing w:val="-4"/>
                <w:sz w:val="22"/>
              </w:rPr>
              <w:t> </w:t>
            </w:r>
            <w:r>
              <w:rPr>
                <w:sz w:val="22"/>
              </w:rPr>
              <w:t>万</w:t>
            </w:r>
            <w:r>
              <w:rPr>
                <w:spacing w:val="-10"/>
                <w:sz w:val="22"/>
              </w:rPr>
              <w:t>元</w:t>
            </w:r>
          </w:p>
        </w:tc>
      </w:tr>
      <w:tr>
        <w:trPr>
          <w:trHeight w:val="311" w:hRule="atLeast"/>
        </w:trPr>
        <w:tc>
          <w:tcPr>
            <w:tcW w:w="770" w:type="dxa"/>
            <w:vMerge/>
            <w:tcBorders>
              <w:top w:val="nil"/>
            </w:tcBorders>
          </w:tcPr>
          <w:p>
            <w:pPr>
              <w:rPr>
                <w:sz w:val="2"/>
                <w:szCs w:val="2"/>
              </w:rPr>
            </w:pPr>
          </w:p>
        </w:tc>
        <w:tc>
          <w:tcPr>
            <w:tcW w:w="2968" w:type="dxa"/>
          </w:tcPr>
          <w:p>
            <w:pPr>
              <w:pStyle w:val="TableParagraph"/>
              <w:spacing w:line="278" w:lineRule="exact" w:before="13"/>
              <w:ind w:left="493"/>
              <w:rPr>
                <w:sz w:val="22"/>
              </w:rPr>
            </w:pPr>
            <w:r>
              <w:rPr>
                <w:w w:val="95"/>
                <w:sz w:val="22"/>
              </w:rPr>
              <w:t>重</w:t>
            </w:r>
            <w:r>
              <w:rPr>
                <w:w w:val="95"/>
                <w:sz w:val="22"/>
              </w:rPr>
              <w:t>大</w:t>
            </w:r>
            <w:r>
              <w:rPr>
                <w:w w:val="95"/>
                <w:sz w:val="22"/>
              </w:rPr>
              <w:t>疾</w:t>
            </w:r>
            <w:r>
              <w:rPr>
                <w:w w:val="95"/>
                <w:sz w:val="22"/>
              </w:rPr>
              <w:t>病</w:t>
            </w:r>
            <w:r>
              <w:rPr>
                <w:w w:val="95"/>
                <w:sz w:val="22"/>
              </w:rPr>
              <w:t>医</w:t>
            </w:r>
            <w:r>
              <w:rPr>
                <w:w w:val="95"/>
                <w:sz w:val="22"/>
              </w:rPr>
              <w:t>疗</w:t>
            </w:r>
            <w:r>
              <w:rPr>
                <w:w w:val="95"/>
                <w:sz w:val="22"/>
              </w:rPr>
              <w:t>保</w:t>
            </w:r>
            <w:r>
              <w:rPr>
                <w:w w:val="95"/>
                <w:sz w:val="22"/>
              </w:rPr>
              <w:t>险</w:t>
            </w:r>
            <w:r>
              <w:rPr>
                <w:spacing w:val="-10"/>
                <w:w w:val="95"/>
                <w:sz w:val="22"/>
              </w:rPr>
              <w:t>金</w:t>
            </w:r>
          </w:p>
        </w:tc>
        <w:tc>
          <w:tcPr>
            <w:tcW w:w="1842" w:type="dxa"/>
          </w:tcPr>
          <w:p>
            <w:pPr>
              <w:pStyle w:val="TableParagraph"/>
              <w:spacing w:line="278" w:lineRule="exact" w:before="13"/>
              <w:ind w:left="269" w:right="260"/>
              <w:jc w:val="center"/>
              <w:rPr>
                <w:sz w:val="22"/>
              </w:rPr>
            </w:pPr>
            <w:r>
              <w:rPr>
                <w:rFonts w:ascii="Times New Roman" w:eastAsia="Times New Roman"/>
                <w:sz w:val="22"/>
              </w:rPr>
              <w:t>0</w:t>
            </w:r>
            <w:r>
              <w:rPr>
                <w:rFonts w:ascii="Times New Roman" w:eastAsia="Times New Roman"/>
                <w:spacing w:val="-2"/>
                <w:sz w:val="22"/>
              </w:rPr>
              <w:t> </w:t>
            </w:r>
            <w:r>
              <w:rPr>
                <w:spacing w:val="-10"/>
                <w:sz w:val="22"/>
              </w:rPr>
              <w:t>元</w:t>
            </w:r>
          </w:p>
        </w:tc>
        <w:tc>
          <w:tcPr>
            <w:tcW w:w="2124" w:type="dxa"/>
          </w:tcPr>
          <w:p>
            <w:pPr>
              <w:pStyle w:val="TableParagraph"/>
              <w:spacing w:line="278" w:lineRule="exact" w:before="13"/>
              <w:ind w:left="412" w:right="399"/>
              <w:jc w:val="center"/>
              <w:rPr>
                <w:sz w:val="22"/>
              </w:rPr>
            </w:pPr>
            <w:r>
              <w:rPr>
                <w:w w:val="95"/>
                <w:sz w:val="22"/>
              </w:rPr>
              <w:t>不</w:t>
            </w:r>
            <w:r>
              <w:rPr>
                <w:w w:val="95"/>
                <w:sz w:val="22"/>
              </w:rPr>
              <w:t>适</w:t>
            </w:r>
            <w:r>
              <w:rPr>
                <w:spacing w:val="-10"/>
                <w:w w:val="95"/>
                <w:sz w:val="22"/>
              </w:rPr>
              <w:t>用</w:t>
            </w:r>
          </w:p>
        </w:tc>
        <w:tc>
          <w:tcPr>
            <w:tcW w:w="1837" w:type="dxa"/>
          </w:tcPr>
          <w:p>
            <w:pPr>
              <w:pStyle w:val="TableParagraph"/>
              <w:spacing w:line="278" w:lineRule="exact" w:before="13"/>
              <w:ind w:left="270" w:right="253"/>
              <w:jc w:val="center"/>
              <w:rPr>
                <w:sz w:val="22"/>
              </w:rPr>
            </w:pPr>
            <w:r>
              <w:rPr>
                <w:rFonts w:ascii="Times New Roman" w:eastAsia="Times New Roman"/>
                <w:sz w:val="22"/>
              </w:rPr>
              <w:t>0</w:t>
            </w:r>
            <w:r>
              <w:rPr>
                <w:rFonts w:ascii="Times New Roman" w:eastAsia="Times New Roman"/>
                <w:spacing w:val="-2"/>
                <w:sz w:val="22"/>
              </w:rPr>
              <w:t> </w:t>
            </w:r>
            <w:r>
              <w:rPr>
                <w:spacing w:val="-10"/>
                <w:sz w:val="22"/>
              </w:rPr>
              <w:t>元</w:t>
            </w:r>
          </w:p>
        </w:tc>
      </w:tr>
      <w:tr>
        <w:trPr>
          <w:trHeight w:val="311" w:hRule="atLeast"/>
        </w:trPr>
        <w:tc>
          <w:tcPr>
            <w:tcW w:w="770" w:type="dxa"/>
            <w:vMerge/>
            <w:tcBorders>
              <w:top w:val="nil"/>
            </w:tcBorders>
          </w:tcPr>
          <w:p>
            <w:pPr>
              <w:rPr>
                <w:sz w:val="2"/>
                <w:szCs w:val="2"/>
              </w:rPr>
            </w:pPr>
          </w:p>
        </w:tc>
        <w:tc>
          <w:tcPr>
            <w:tcW w:w="2968" w:type="dxa"/>
          </w:tcPr>
          <w:p>
            <w:pPr>
              <w:pStyle w:val="TableParagraph"/>
              <w:spacing w:line="278" w:lineRule="exact" w:before="13"/>
              <w:ind w:left="0" w:right="262"/>
              <w:jc w:val="right"/>
              <w:rPr>
                <w:sz w:val="22"/>
              </w:rPr>
            </w:pPr>
            <w:r>
              <w:rPr>
                <w:w w:val="95"/>
                <w:sz w:val="22"/>
              </w:rPr>
              <w:t>特</w:t>
            </w:r>
            <w:r>
              <w:rPr>
                <w:w w:val="95"/>
                <w:sz w:val="22"/>
              </w:rPr>
              <w:t>定</w:t>
            </w:r>
            <w:r>
              <w:rPr>
                <w:w w:val="95"/>
                <w:sz w:val="22"/>
              </w:rPr>
              <w:t>疾</w:t>
            </w:r>
            <w:r>
              <w:rPr>
                <w:w w:val="95"/>
                <w:sz w:val="22"/>
              </w:rPr>
              <w:t>病</w:t>
            </w:r>
            <w:r>
              <w:rPr>
                <w:w w:val="95"/>
                <w:sz w:val="22"/>
              </w:rPr>
              <w:t>赴</w:t>
            </w:r>
            <w:r>
              <w:rPr>
                <w:w w:val="95"/>
                <w:sz w:val="22"/>
              </w:rPr>
              <w:t>日</w:t>
            </w:r>
            <w:r>
              <w:rPr>
                <w:w w:val="95"/>
                <w:sz w:val="22"/>
              </w:rPr>
              <w:t>医</w:t>
            </w:r>
            <w:r>
              <w:rPr>
                <w:w w:val="95"/>
                <w:sz w:val="22"/>
              </w:rPr>
              <w:t>疗</w:t>
            </w:r>
            <w:r>
              <w:rPr>
                <w:w w:val="95"/>
                <w:sz w:val="22"/>
              </w:rPr>
              <w:t>保</w:t>
            </w:r>
            <w:r>
              <w:rPr>
                <w:w w:val="95"/>
                <w:sz w:val="22"/>
              </w:rPr>
              <w:t>险</w:t>
            </w:r>
            <w:r>
              <w:rPr>
                <w:spacing w:val="-10"/>
                <w:w w:val="95"/>
                <w:sz w:val="22"/>
              </w:rPr>
              <w:t>金</w:t>
            </w:r>
          </w:p>
        </w:tc>
        <w:tc>
          <w:tcPr>
            <w:tcW w:w="1842" w:type="dxa"/>
          </w:tcPr>
          <w:p>
            <w:pPr>
              <w:pStyle w:val="TableParagraph"/>
              <w:spacing w:line="278" w:lineRule="exact" w:before="13"/>
              <w:ind w:left="269" w:right="260"/>
              <w:jc w:val="center"/>
              <w:rPr>
                <w:sz w:val="22"/>
              </w:rPr>
            </w:pPr>
            <w:r>
              <w:rPr>
                <w:w w:val="95"/>
                <w:sz w:val="22"/>
              </w:rPr>
              <w:t>不</w:t>
            </w:r>
            <w:r>
              <w:rPr>
                <w:w w:val="95"/>
                <w:sz w:val="22"/>
              </w:rPr>
              <w:t>适</w:t>
            </w:r>
            <w:r>
              <w:rPr>
                <w:spacing w:val="-10"/>
                <w:w w:val="95"/>
                <w:sz w:val="22"/>
              </w:rPr>
              <w:t>用</w:t>
            </w:r>
          </w:p>
        </w:tc>
        <w:tc>
          <w:tcPr>
            <w:tcW w:w="2124" w:type="dxa"/>
          </w:tcPr>
          <w:p>
            <w:pPr>
              <w:pStyle w:val="TableParagraph"/>
              <w:spacing w:line="278" w:lineRule="exact" w:before="13"/>
              <w:ind w:left="412" w:right="399"/>
              <w:jc w:val="center"/>
              <w:rPr>
                <w:sz w:val="22"/>
              </w:rPr>
            </w:pPr>
            <w:r>
              <w:rPr>
                <w:rFonts w:ascii="Times New Roman" w:eastAsia="Times New Roman"/>
                <w:sz w:val="22"/>
              </w:rPr>
              <w:t>0</w:t>
            </w:r>
            <w:r>
              <w:rPr>
                <w:rFonts w:ascii="Times New Roman" w:eastAsia="Times New Roman"/>
                <w:spacing w:val="-2"/>
                <w:sz w:val="22"/>
              </w:rPr>
              <w:t> </w:t>
            </w:r>
            <w:r>
              <w:rPr>
                <w:spacing w:val="-10"/>
                <w:sz w:val="22"/>
              </w:rPr>
              <w:t>元</w:t>
            </w:r>
          </w:p>
        </w:tc>
        <w:tc>
          <w:tcPr>
            <w:tcW w:w="1837" w:type="dxa"/>
          </w:tcPr>
          <w:p>
            <w:pPr>
              <w:pStyle w:val="TableParagraph"/>
              <w:spacing w:line="278" w:lineRule="exact" w:before="13"/>
              <w:ind w:left="270" w:right="253"/>
              <w:jc w:val="center"/>
              <w:rPr>
                <w:sz w:val="22"/>
              </w:rPr>
            </w:pPr>
            <w:r>
              <w:rPr>
                <w:rFonts w:ascii="Times New Roman" w:eastAsia="Times New Roman"/>
                <w:sz w:val="22"/>
              </w:rPr>
              <w:t>0</w:t>
            </w:r>
            <w:r>
              <w:rPr>
                <w:rFonts w:ascii="Times New Roman" w:eastAsia="Times New Roman"/>
                <w:spacing w:val="-2"/>
                <w:sz w:val="22"/>
              </w:rPr>
              <w:t> </w:t>
            </w:r>
            <w:r>
              <w:rPr>
                <w:spacing w:val="-10"/>
                <w:sz w:val="22"/>
              </w:rPr>
              <w:t>元</w:t>
            </w:r>
          </w:p>
        </w:tc>
      </w:tr>
      <w:tr>
        <w:trPr>
          <w:trHeight w:val="624" w:hRule="atLeast"/>
        </w:trPr>
        <w:tc>
          <w:tcPr>
            <w:tcW w:w="770" w:type="dxa"/>
            <w:vMerge w:val="restart"/>
          </w:tcPr>
          <w:p>
            <w:pPr>
              <w:pStyle w:val="TableParagraph"/>
              <w:spacing w:before="0"/>
              <w:ind w:left="0"/>
              <w:rPr>
                <w:sz w:val="22"/>
              </w:rPr>
            </w:pPr>
          </w:p>
          <w:p>
            <w:pPr>
              <w:pStyle w:val="TableParagraph"/>
              <w:spacing w:before="0"/>
              <w:ind w:left="0"/>
              <w:rPr>
                <w:sz w:val="22"/>
              </w:rPr>
            </w:pPr>
          </w:p>
          <w:p>
            <w:pPr>
              <w:pStyle w:val="TableParagraph"/>
              <w:spacing w:before="0"/>
              <w:ind w:left="0"/>
              <w:rPr>
                <w:sz w:val="22"/>
              </w:rPr>
            </w:pPr>
          </w:p>
          <w:p>
            <w:pPr>
              <w:pStyle w:val="TableParagraph"/>
              <w:spacing w:before="0"/>
              <w:ind w:left="0"/>
              <w:rPr>
                <w:sz w:val="22"/>
              </w:rPr>
            </w:pPr>
          </w:p>
          <w:p>
            <w:pPr>
              <w:pStyle w:val="TableParagraph"/>
              <w:spacing w:before="0"/>
              <w:ind w:left="0"/>
              <w:rPr>
                <w:sz w:val="22"/>
              </w:rPr>
            </w:pPr>
          </w:p>
          <w:p>
            <w:pPr>
              <w:pStyle w:val="TableParagraph"/>
              <w:spacing w:before="9"/>
              <w:ind w:left="0"/>
              <w:rPr>
                <w:sz w:val="31"/>
              </w:rPr>
            </w:pPr>
          </w:p>
          <w:p>
            <w:pPr>
              <w:pStyle w:val="TableParagraph"/>
              <w:spacing w:line="266" w:lineRule="auto" w:before="0"/>
              <w:ind w:left="106" w:right="212"/>
              <w:rPr>
                <w:sz w:val="22"/>
              </w:rPr>
            </w:pPr>
            <w:r>
              <w:rPr>
                <w:spacing w:val="-6"/>
                <w:sz w:val="22"/>
              </w:rPr>
              <w:t>赔付</w:t>
            </w:r>
            <w:r>
              <w:rPr>
                <w:w w:val="95"/>
                <w:sz w:val="22"/>
              </w:rPr>
              <w:t>比</w:t>
            </w:r>
            <w:r>
              <w:rPr>
                <w:spacing w:val="-10"/>
                <w:sz w:val="22"/>
              </w:rPr>
              <w:t>例</w:t>
            </w:r>
          </w:p>
        </w:tc>
        <w:tc>
          <w:tcPr>
            <w:tcW w:w="2968" w:type="dxa"/>
            <w:vMerge w:val="restart"/>
          </w:tcPr>
          <w:p>
            <w:pPr>
              <w:pStyle w:val="TableParagraph"/>
              <w:spacing w:before="0"/>
              <w:ind w:left="0"/>
              <w:rPr>
                <w:sz w:val="22"/>
              </w:rPr>
            </w:pPr>
          </w:p>
          <w:p>
            <w:pPr>
              <w:pStyle w:val="TableParagraph"/>
              <w:spacing w:before="7"/>
              <w:ind w:left="0"/>
              <w:rPr>
                <w:sz w:val="28"/>
              </w:rPr>
            </w:pPr>
          </w:p>
          <w:p>
            <w:pPr>
              <w:pStyle w:val="TableParagraph"/>
              <w:spacing w:before="1"/>
              <w:rPr>
                <w:sz w:val="22"/>
              </w:rPr>
            </w:pPr>
            <w:r>
              <w:rPr>
                <w:w w:val="95"/>
                <w:sz w:val="22"/>
              </w:rPr>
              <w:t>一</w:t>
            </w:r>
            <w:r>
              <w:rPr>
                <w:w w:val="95"/>
                <w:sz w:val="22"/>
              </w:rPr>
              <w:t>般</w:t>
            </w:r>
            <w:r>
              <w:rPr>
                <w:w w:val="95"/>
                <w:sz w:val="22"/>
              </w:rPr>
              <w:t>医</w:t>
            </w:r>
            <w:r>
              <w:rPr>
                <w:w w:val="95"/>
                <w:sz w:val="22"/>
              </w:rPr>
              <w:t>疗</w:t>
            </w:r>
            <w:r>
              <w:rPr>
                <w:w w:val="95"/>
                <w:sz w:val="22"/>
              </w:rPr>
              <w:t>保</w:t>
            </w:r>
            <w:r>
              <w:rPr>
                <w:w w:val="95"/>
                <w:sz w:val="22"/>
              </w:rPr>
              <w:t>险</w:t>
            </w:r>
            <w:r>
              <w:rPr>
                <w:spacing w:val="-10"/>
                <w:w w:val="95"/>
                <w:sz w:val="22"/>
              </w:rPr>
              <w:t>金</w:t>
            </w:r>
          </w:p>
        </w:tc>
        <w:tc>
          <w:tcPr>
            <w:tcW w:w="5803" w:type="dxa"/>
            <w:gridSpan w:val="3"/>
          </w:tcPr>
          <w:p>
            <w:pPr>
              <w:pStyle w:val="TableParagraph"/>
              <w:spacing w:before="15"/>
              <w:rPr>
                <w:sz w:val="22"/>
              </w:rPr>
            </w:pPr>
            <w:r>
              <w:rPr>
                <w:rFonts w:ascii="Times New Roman" w:eastAsia="Times New Roman"/>
                <w:w w:val="95"/>
                <w:sz w:val="22"/>
              </w:rPr>
              <w:t>1</w:t>
            </w:r>
            <w:r>
              <w:rPr>
                <w:w w:val="95"/>
                <w:sz w:val="22"/>
              </w:rPr>
              <w:t>）</w:t>
            </w:r>
            <w:r>
              <w:rPr>
                <w:w w:val="95"/>
                <w:sz w:val="22"/>
              </w:rPr>
              <w:t>以</w:t>
            </w:r>
            <w:r>
              <w:rPr>
                <w:w w:val="95"/>
                <w:sz w:val="22"/>
              </w:rPr>
              <w:t>享</w:t>
            </w:r>
            <w:r>
              <w:rPr>
                <w:w w:val="95"/>
                <w:sz w:val="22"/>
              </w:rPr>
              <w:t>有</w:t>
            </w:r>
            <w:r>
              <w:rPr>
                <w:w w:val="95"/>
                <w:sz w:val="22"/>
              </w:rPr>
              <w:t>基</w:t>
            </w:r>
            <w:r>
              <w:rPr>
                <w:w w:val="95"/>
                <w:sz w:val="22"/>
              </w:rPr>
              <w:t>本</w:t>
            </w:r>
            <w:r>
              <w:rPr>
                <w:w w:val="95"/>
                <w:sz w:val="22"/>
              </w:rPr>
              <w:t>医</w:t>
            </w:r>
            <w:r>
              <w:rPr>
                <w:w w:val="95"/>
                <w:sz w:val="22"/>
              </w:rPr>
              <w:t>疗</w:t>
            </w:r>
            <w:r>
              <w:rPr>
                <w:w w:val="95"/>
                <w:sz w:val="22"/>
              </w:rPr>
              <w:t>保险</w:t>
            </w:r>
            <w:r>
              <w:rPr>
                <w:w w:val="95"/>
                <w:sz w:val="22"/>
              </w:rPr>
              <w:t>或</w:t>
            </w:r>
            <w:r>
              <w:rPr>
                <w:w w:val="95"/>
                <w:sz w:val="22"/>
              </w:rPr>
              <w:t>公</w:t>
            </w:r>
            <w:r>
              <w:rPr>
                <w:w w:val="95"/>
                <w:sz w:val="22"/>
              </w:rPr>
              <w:t>费</w:t>
            </w:r>
            <w:r>
              <w:rPr>
                <w:w w:val="95"/>
                <w:sz w:val="22"/>
              </w:rPr>
              <w:t>医疗</w:t>
            </w:r>
            <w:r>
              <w:rPr>
                <w:w w:val="95"/>
                <w:sz w:val="22"/>
              </w:rPr>
              <w:t>保</w:t>
            </w:r>
            <w:r>
              <w:rPr>
                <w:w w:val="95"/>
                <w:sz w:val="22"/>
              </w:rPr>
              <w:t>障</w:t>
            </w:r>
            <w:r>
              <w:rPr>
                <w:w w:val="95"/>
                <w:sz w:val="22"/>
              </w:rPr>
              <w:t>身</w:t>
            </w:r>
            <w:r>
              <w:rPr>
                <w:w w:val="95"/>
                <w:sz w:val="22"/>
              </w:rPr>
              <w:t>份投</w:t>
            </w:r>
            <w:r>
              <w:rPr>
                <w:w w:val="95"/>
                <w:sz w:val="22"/>
              </w:rPr>
              <w:t>保</w:t>
            </w:r>
            <w:r>
              <w:rPr>
                <w:w w:val="95"/>
                <w:sz w:val="22"/>
              </w:rPr>
              <w:t>并</w:t>
            </w:r>
            <w:r>
              <w:rPr>
                <w:w w:val="95"/>
                <w:sz w:val="22"/>
              </w:rPr>
              <w:t>以</w:t>
            </w:r>
            <w:r>
              <w:rPr>
                <w:spacing w:val="-5"/>
                <w:w w:val="95"/>
                <w:sz w:val="22"/>
              </w:rPr>
              <w:t>基本</w:t>
            </w:r>
          </w:p>
          <w:p>
            <w:pPr>
              <w:pStyle w:val="TableParagraph"/>
              <w:spacing w:line="278" w:lineRule="exact" w:before="30"/>
              <w:rPr>
                <w:sz w:val="22"/>
              </w:rPr>
            </w:pPr>
            <w:r>
              <w:rPr>
                <w:w w:val="95"/>
                <w:sz w:val="22"/>
              </w:rPr>
              <w:t>医</w:t>
            </w:r>
            <w:r>
              <w:rPr>
                <w:w w:val="95"/>
                <w:sz w:val="22"/>
              </w:rPr>
              <w:t>疗</w:t>
            </w:r>
            <w:r>
              <w:rPr>
                <w:w w:val="95"/>
                <w:sz w:val="22"/>
              </w:rPr>
              <w:t>保</w:t>
            </w:r>
            <w:r>
              <w:rPr>
                <w:w w:val="95"/>
                <w:sz w:val="22"/>
              </w:rPr>
              <w:t>险</w:t>
            </w:r>
            <w:r>
              <w:rPr>
                <w:w w:val="95"/>
                <w:sz w:val="22"/>
              </w:rPr>
              <w:t>或</w:t>
            </w:r>
            <w:r>
              <w:rPr>
                <w:w w:val="95"/>
                <w:sz w:val="22"/>
              </w:rPr>
              <w:t>公</w:t>
            </w:r>
            <w:r>
              <w:rPr>
                <w:w w:val="95"/>
                <w:sz w:val="22"/>
              </w:rPr>
              <w:t>费</w:t>
            </w:r>
            <w:r>
              <w:rPr>
                <w:w w:val="95"/>
                <w:sz w:val="22"/>
              </w:rPr>
              <w:t>医</w:t>
            </w:r>
            <w:r>
              <w:rPr>
                <w:w w:val="95"/>
                <w:sz w:val="22"/>
              </w:rPr>
              <w:t>疗</w:t>
            </w:r>
            <w:r>
              <w:rPr>
                <w:w w:val="95"/>
                <w:sz w:val="22"/>
              </w:rPr>
              <w:t>结</w:t>
            </w:r>
            <w:r>
              <w:rPr>
                <w:spacing w:val="-1"/>
                <w:w w:val="95"/>
                <w:sz w:val="22"/>
              </w:rPr>
              <w:t>算：</w:t>
            </w:r>
            <w:r>
              <w:rPr>
                <w:rFonts w:ascii="Times New Roman" w:eastAsia="Times New Roman"/>
                <w:spacing w:val="-2"/>
                <w:w w:val="95"/>
                <w:sz w:val="22"/>
              </w:rPr>
              <w:t>100%</w:t>
            </w:r>
            <w:r>
              <w:rPr>
                <w:spacing w:val="-2"/>
                <w:w w:val="95"/>
                <w:sz w:val="22"/>
              </w:rPr>
              <w:t>；</w:t>
            </w:r>
          </w:p>
        </w:tc>
      </w:tr>
      <w:tr>
        <w:trPr>
          <w:trHeight w:val="623" w:hRule="atLeast"/>
        </w:trPr>
        <w:tc>
          <w:tcPr>
            <w:tcW w:w="770" w:type="dxa"/>
            <w:vMerge/>
            <w:tcBorders>
              <w:top w:val="nil"/>
            </w:tcBorders>
          </w:tcPr>
          <w:p>
            <w:pPr>
              <w:rPr>
                <w:sz w:val="2"/>
                <w:szCs w:val="2"/>
              </w:rPr>
            </w:pPr>
          </w:p>
        </w:tc>
        <w:tc>
          <w:tcPr>
            <w:tcW w:w="2968" w:type="dxa"/>
            <w:vMerge/>
            <w:tcBorders>
              <w:top w:val="nil"/>
            </w:tcBorders>
          </w:tcPr>
          <w:p>
            <w:pPr>
              <w:rPr>
                <w:sz w:val="2"/>
                <w:szCs w:val="2"/>
              </w:rPr>
            </w:pPr>
          </w:p>
        </w:tc>
        <w:tc>
          <w:tcPr>
            <w:tcW w:w="5803" w:type="dxa"/>
            <w:gridSpan w:val="3"/>
          </w:tcPr>
          <w:p>
            <w:pPr>
              <w:pStyle w:val="TableParagraph"/>
              <w:spacing w:before="13"/>
              <w:rPr>
                <w:sz w:val="22"/>
              </w:rPr>
            </w:pPr>
            <w:r>
              <w:rPr>
                <w:rFonts w:ascii="Times New Roman" w:eastAsia="Times New Roman"/>
                <w:w w:val="95"/>
                <w:sz w:val="22"/>
              </w:rPr>
              <w:t>2</w:t>
            </w:r>
            <w:r>
              <w:rPr>
                <w:w w:val="95"/>
                <w:sz w:val="22"/>
              </w:rPr>
              <w:t>）</w:t>
            </w:r>
            <w:r>
              <w:rPr>
                <w:w w:val="95"/>
                <w:sz w:val="22"/>
              </w:rPr>
              <w:t>以</w:t>
            </w:r>
            <w:r>
              <w:rPr>
                <w:w w:val="95"/>
                <w:sz w:val="22"/>
              </w:rPr>
              <w:t>享</w:t>
            </w:r>
            <w:r>
              <w:rPr>
                <w:w w:val="95"/>
                <w:sz w:val="22"/>
              </w:rPr>
              <w:t>有</w:t>
            </w:r>
            <w:r>
              <w:rPr>
                <w:w w:val="95"/>
                <w:sz w:val="22"/>
              </w:rPr>
              <w:t>基</w:t>
            </w:r>
            <w:r>
              <w:rPr>
                <w:w w:val="95"/>
                <w:sz w:val="22"/>
              </w:rPr>
              <w:t>本</w:t>
            </w:r>
            <w:r>
              <w:rPr>
                <w:w w:val="95"/>
                <w:sz w:val="22"/>
              </w:rPr>
              <w:t>医</w:t>
            </w:r>
            <w:r>
              <w:rPr>
                <w:w w:val="95"/>
                <w:sz w:val="22"/>
              </w:rPr>
              <w:t>疗</w:t>
            </w:r>
            <w:r>
              <w:rPr>
                <w:w w:val="95"/>
                <w:sz w:val="22"/>
              </w:rPr>
              <w:t>保险</w:t>
            </w:r>
            <w:r>
              <w:rPr>
                <w:w w:val="95"/>
                <w:sz w:val="22"/>
              </w:rPr>
              <w:t>或</w:t>
            </w:r>
            <w:r>
              <w:rPr>
                <w:w w:val="95"/>
                <w:sz w:val="22"/>
              </w:rPr>
              <w:t>公</w:t>
            </w:r>
            <w:r>
              <w:rPr>
                <w:w w:val="95"/>
                <w:sz w:val="22"/>
              </w:rPr>
              <w:t>费</w:t>
            </w:r>
            <w:r>
              <w:rPr>
                <w:w w:val="95"/>
                <w:sz w:val="22"/>
              </w:rPr>
              <w:t>医疗</w:t>
            </w:r>
            <w:r>
              <w:rPr>
                <w:w w:val="95"/>
                <w:sz w:val="22"/>
              </w:rPr>
              <w:t>保</w:t>
            </w:r>
            <w:r>
              <w:rPr>
                <w:w w:val="95"/>
                <w:sz w:val="22"/>
              </w:rPr>
              <w:t>障</w:t>
            </w:r>
            <w:r>
              <w:rPr>
                <w:w w:val="95"/>
                <w:sz w:val="22"/>
              </w:rPr>
              <w:t>身</w:t>
            </w:r>
            <w:r>
              <w:rPr>
                <w:w w:val="95"/>
                <w:sz w:val="22"/>
              </w:rPr>
              <w:t>份投</w:t>
            </w:r>
            <w:r>
              <w:rPr>
                <w:w w:val="95"/>
                <w:sz w:val="22"/>
              </w:rPr>
              <w:t>保</w:t>
            </w:r>
            <w:r>
              <w:rPr>
                <w:w w:val="95"/>
                <w:sz w:val="22"/>
              </w:rPr>
              <w:t>但</w:t>
            </w:r>
            <w:r>
              <w:rPr>
                <w:w w:val="95"/>
                <w:sz w:val="22"/>
              </w:rPr>
              <w:t>未</w:t>
            </w:r>
            <w:r>
              <w:rPr>
                <w:spacing w:val="-5"/>
                <w:w w:val="95"/>
                <w:sz w:val="22"/>
              </w:rPr>
              <w:t>用基</w:t>
            </w:r>
          </w:p>
          <w:p>
            <w:pPr>
              <w:pStyle w:val="TableParagraph"/>
              <w:spacing w:line="278" w:lineRule="exact" w:before="31"/>
              <w:rPr>
                <w:sz w:val="22"/>
              </w:rPr>
            </w:pPr>
            <w:r>
              <w:rPr>
                <w:w w:val="95"/>
                <w:sz w:val="22"/>
              </w:rPr>
              <w:t>本</w:t>
            </w:r>
            <w:r>
              <w:rPr>
                <w:w w:val="95"/>
                <w:sz w:val="22"/>
              </w:rPr>
              <w:t>医</w:t>
            </w:r>
            <w:r>
              <w:rPr>
                <w:w w:val="95"/>
                <w:sz w:val="22"/>
              </w:rPr>
              <w:t>疗</w:t>
            </w:r>
            <w:r>
              <w:rPr>
                <w:w w:val="95"/>
                <w:sz w:val="22"/>
              </w:rPr>
              <w:t>保</w:t>
            </w:r>
            <w:r>
              <w:rPr>
                <w:w w:val="95"/>
                <w:sz w:val="22"/>
              </w:rPr>
              <w:t>险</w:t>
            </w:r>
            <w:r>
              <w:rPr>
                <w:w w:val="95"/>
                <w:sz w:val="22"/>
              </w:rPr>
              <w:t>或</w:t>
            </w:r>
            <w:r>
              <w:rPr>
                <w:w w:val="95"/>
                <w:sz w:val="22"/>
              </w:rPr>
              <w:t>公</w:t>
            </w:r>
            <w:r>
              <w:rPr>
                <w:w w:val="95"/>
                <w:sz w:val="22"/>
              </w:rPr>
              <w:t>费</w:t>
            </w:r>
            <w:r>
              <w:rPr>
                <w:w w:val="95"/>
                <w:sz w:val="22"/>
              </w:rPr>
              <w:t>医</w:t>
            </w:r>
            <w:r>
              <w:rPr>
                <w:w w:val="95"/>
                <w:sz w:val="22"/>
              </w:rPr>
              <w:t>疗</w:t>
            </w:r>
            <w:r>
              <w:rPr>
                <w:w w:val="95"/>
                <w:sz w:val="22"/>
              </w:rPr>
              <w:t>结</w:t>
            </w:r>
            <w:r>
              <w:rPr>
                <w:w w:val="95"/>
                <w:sz w:val="22"/>
              </w:rPr>
              <w:t>算</w:t>
            </w:r>
            <w:r>
              <w:rPr>
                <w:spacing w:val="-2"/>
                <w:w w:val="95"/>
                <w:sz w:val="22"/>
              </w:rPr>
              <w:t>：</w:t>
            </w:r>
            <w:r>
              <w:rPr>
                <w:rFonts w:ascii="Times New Roman" w:eastAsia="Times New Roman"/>
                <w:spacing w:val="-2"/>
                <w:w w:val="95"/>
                <w:sz w:val="22"/>
              </w:rPr>
              <w:t>60%</w:t>
            </w:r>
            <w:r>
              <w:rPr>
                <w:spacing w:val="-2"/>
                <w:w w:val="95"/>
                <w:sz w:val="22"/>
              </w:rPr>
              <w:t>；</w:t>
            </w:r>
          </w:p>
        </w:tc>
      </w:tr>
      <w:tr>
        <w:trPr>
          <w:trHeight w:val="311" w:hRule="atLeast"/>
        </w:trPr>
        <w:tc>
          <w:tcPr>
            <w:tcW w:w="770" w:type="dxa"/>
            <w:vMerge/>
            <w:tcBorders>
              <w:top w:val="nil"/>
            </w:tcBorders>
          </w:tcPr>
          <w:p>
            <w:pPr>
              <w:rPr>
                <w:sz w:val="2"/>
                <w:szCs w:val="2"/>
              </w:rPr>
            </w:pPr>
          </w:p>
        </w:tc>
        <w:tc>
          <w:tcPr>
            <w:tcW w:w="2968" w:type="dxa"/>
            <w:vMerge/>
            <w:tcBorders>
              <w:top w:val="nil"/>
            </w:tcBorders>
          </w:tcPr>
          <w:p>
            <w:pPr>
              <w:rPr>
                <w:sz w:val="2"/>
                <w:szCs w:val="2"/>
              </w:rPr>
            </w:pPr>
          </w:p>
        </w:tc>
        <w:tc>
          <w:tcPr>
            <w:tcW w:w="5803" w:type="dxa"/>
            <w:gridSpan w:val="3"/>
          </w:tcPr>
          <w:p>
            <w:pPr>
              <w:pStyle w:val="TableParagraph"/>
              <w:spacing w:line="278" w:lineRule="exact" w:before="13"/>
              <w:rPr>
                <w:rFonts w:ascii="Times New Roman" w:eastAsia="Times New Roman"/>
                <w:sz w:val="22"/>
              </w:rPr>
            </w:pPr>
            <w:r>
              <w:rPr>
                <w:rFonts w:ascii="Times New Roman" w:eastAsia="Times New Roman"/>
                <w:w w:val="95"/>
                <w:sz w:val="22"/>
              </w:rPr>
              <w:t>3</w:t>
            </w:r>
            <w:r>
              <w:rPr>
                <w:w w:val="95"/>
                <w:sz w:val="22"/>
              </w:rPr>
              <w:t>）</w:t>
            </w:r>
            <w:r>
              <w:rPr>
                <w:w w:val="95"/>
                <w:sz w:val="22"/>
              </w:rPr>
              <w:t>未</w:t>
            </w:r>
            <w:r>
              <w:rPr>
                <w:w w:val="95"/>
                <w:sz w:val="22"/>
              </w:rPr>
              <w:t>以</w:t>
            </w:r>
            <w:r>
              <w:rPr>
                <w:w w:val="95"/>
                <w:sz w:val="22"/>
              </w:rPr>
              <w:t>基</w:t>
            </w:r>
            <w:r>
              <w:rPr>
                <w:w w:val="95"/>
                <w:sz w:val="22"/>
              </w:rPr>
              <w:t>本</w:t>
            </w:r>
            <w:r>
              <w:rPr>
                <w:w w:val="95"/>
                <w:sz w:val="22"/>
              </w:rPr>
              <w:t>医</w:t>
            </w:r>
            <w:r>
              <w:rPr>
                <w:w w:val="95"/>
                <w:sz w:val="22"/>
              </w:rPr>
              <w:t>疗</w:t>
            </w:r>
            <w:r>
              <w:rPr>
                <w:w w:val="95"/>
                <w:sz w:val="22"/>
              </w:rPr>
              <w:t>保</w:t>
            </w:r>
            <w:r>
              <w:rPr>
                <w:w w:val="95"/>
                <w:sz w:val="22"/>
              </w:rPr>
              <w:t>险或</w:t>
            </w:r>
            <w:r>
              <w:rPr>
                <w:w w:val="95"/>
                <w:sz w:val="22"/>
              </w:rPr>
              <w:t>公</w:t>
            </w:r>
            <w:r>
              <w:rPr>
                <w:w w:val="95"/>
                <w:sz w:val="22"/>
              </w:rPr>
              <w:t>费</w:t>
            </w:r>
            <w:r>
              <w:rPr>
                <w:w w:val="95"/>
                <w:sz w:val="22"/>
              </w:rPr>
              <w:t>医</w:t>
            </w:r>
            <w:r>
              <w:rPr>
                <w:w w:val="95"/>
                <w:sz w:val="22"/>
              </w:rPr>
              <w:t>疗保</w:t>
            </w:r>
            <w:r>
              <w:rPr>
                <w:w w:val="95"/>
                <w:sz w:val="22"/>
              </w:rPr>
              <w:t>障</w:t>
            </w:r>
            <w:r>
              <w:rPr>
                <w:w w:val="95"/>
                <w:sz w:val="22"/>
              </w:rPr>
              <w:t>身</w:t>
            </w:r>
            <w:r>
              <w:rPr>
                <w:w w:val="95"/>
                <w:sz w:val="22"/>
              </w:rPr>
              <w:t>份</w:t>
            </w:r>
            <w:r>
              <w:rPr>
                <w:spacing w:val="-1"/>
                <w:w w:val="95"/>
                <w:sz w:val="22"/>
              </w:rPr>
              <w:t>投保：</w:t>
            </w:r>
            <w:r>
              <w:rPr>
                <w:rFonts w:ascii="Times New Roman" w:eastAsia="Times New Roman"/>
                <w:spacing w:val="-2"/>
                <w:w w:val="95"/>
                <w:sz w:val="22"/>
              </w:rPr>
              <w:t>100%</w:t>
            </w:r>
          </w:p>
        </w:tc>
      </w:tr>
      <w:tr>
        <w:trPr>
          <w:trHeight w:val="316" w:hRule="atLeast"/>
        </w:trPr>
        <w:tc>
          <w:tcPr>
            <w:tcW w:w="770" w:type="dxa"/>
            <w:vMerge/>
            <w:tcBorders>
              <w:top w:val="nil"/>
            </w:tcBorders>
          </w:tcPr>
          <w:p>
            <w:pPr>
              <w:rPr>
                <w:sz w:val="2"/>
                <w:szCs w:val="2"/>
              </w:rPr>
            </w:pPr>
          </w:p>
        </w:tc>
        <w:tc>
          <w:tcPr>
            <w:tcW w:w="2968" w:type="dxa"/>
            <w:vMerge w:val="restart"/>
          </w:tcPr>
          <w:p>
            <w:pPr>
              <w:pStyle w:val="TableParagraph"/>
              <w:spacing w:before="0"/>
              <w:ind w:left="0"/>
              <w:rPr>
                <w:sz w:val="22"/>
              </w:rPr>
            </w:pPr>
          </w:p>
          <w:p>
            <w:pPr>
              <w:pStyle w:val="TableParagraph"/>
              <w:spacing w:before="0"/>
              <w:ind w:left="0"/>
              <w:rPr>
                <w:sz w:val="22"/>
              </w:rPr>
            </w:pPr>
          </w:p>
          <w:p>
            <w:pPr>
              <w:pStyle w:val="TableParagraph"/>
              <w:spacing w:before="0"/>
              <w:ind w:left="0"/>
              <w:rPr>
                <w:sz w:val="22"/>
              </w:rPr>
            </w:pPr>
          </w:p>
          <w:p>
            <w:pPr>
              <w:pStyle w:val="TableParagraph"/>
              <w:spacing w:before="171"/>
              <w:rPr>
                <w:sz w:val="22"/>
              </w:rPr>
            </w:pPr>
            <w:r>
              <w:rPr>
                <w:w w:val="95"/>
                <w:sz w:val="22"/>
              </w:rPr>
              <w:t>重</w:t>
            </w:r>
            <w:r>
              <w:rPr>
                <w:w w:val="95"/>
                <w:sz w:val="22"/>
              </w:rPr>
              <w:t>大</w:t>
            </w:r>
            <w:r>
              <w:rPr>
                <w:w w:val="95"/>
                <w:sz w:val="22"/>
              </w:rPr>
              <w:t>疾</w:t>
            </w:r>
            <w:r>
              <w:rPr>
                <w:w w:val="95"/>
                <w:sz w:val="22"/>
              </w:rPr>
              <w:t>病</w:t>
            </w:r>
            <w:r>
              <w:rPr>
                <w:w w:val="95"/>
                <w:sz w:val="22"/>
              </w:rPr>
              <w:t>医</w:t>
            </w:r>
            <w:r>
              <w:rPr>
                <w:w w:val="95"/>
                <w:sz w:val="22"/>
              </w:rPr>
              <w:t>疗</w:t>
            </w:r>
            <w:r>
              <w:rPr>
                <w:w w:val="95"/>
                <w:sz w:val="22"/>
              </w:rPr>
              <w:t>保</w:t>
            </w:r>
            <w:r>
              <w:rPr>
                <w:w w:val="95"/>
                <w:sz w:val="22"/>
              </w:rPr>
              <w:t>险</w:t>
            </w:r>
            <w:r>
              <w:rPr>
                <w:spacing w:val="-10"/>
                <w:w w:val="95"/>
                <w:sz w:val="22"/>
              </w:rPr>
              <w:t>金</w:t>
            </w:r>
          </w:p>
        </w:tc>
        <w:tc>
          <w:tcPr>
            <w:tcW w:w="5803" w:type="dxa"/>
            <w:gridSpan w:val="3"/>
          </w:tcPr>
          <w:p>
            <w:pPr>
              <w:pStyle w:val="TableParagraph"/>
              <w:spacing w:line="280" w:lineRule="exact" w:before="16"/>
              <w:rPr>
                <w:sz w:val="22"/>
              </w:rPr>
            </w:pPr>
            <w:r>
              <w:rPr>
                <w:rFonts w:ascii="Times New Roman" w:eastAsia="Times New Roman"/>
                <w:w w:val="95"/>
                <w:sz w:val="22"/>
              </w:rPr>
              <w:t>1</w:t>
            </w:r>
            <w:r>
              <w:rPr>
                <w:w w:val="95"/>
                <w:sz w:val="22"/>
              </w:rPr>
              <w:t>、</w:t>
            </w:r>
            <w:r>
              <w:rPr>
                <w:w w:val="95"/>
                <w:sz w:val="22"/>
              </w:rPr>
              <w:t>质</w:t>
            </w:r>
            <w:r>
              <w:rPr>
                <w:w w:val="95"/>
                <w:sz w:val="22"/>
              </w:rPr>
              <w:t>子</w:t>
            </w:r>
            <w:r>
              <w:rPr>
                <w:w w:val="95"/>
                <w:sz w:val="22"/>
              </w:rPr>
              <w:t>重</w:t>
            </w:r>
            <w:r>
              <w:rPr>
                <w:w w:val="95"/>
                <w:sz w:val="22"/>
              </w:rPr>
              <w:t>离</w:t>
            </w:r>
            <w:r>
              <w:rPr>
                <w:w w:val="95"/>
                <w:sz w:val="22"/>
              </w:rPr>
              <w:t>子</w:t>
            </w:r>
            <w:r>
              <w:rPr>
                <w:w w:val="95"/>
                <w:sz w:val="22"/>
              </w:rPr>
              <w:t>医</w:t>
            </w:r>
            <w:r>
              <w:rPr>
                <w:w w:val="95"/>
                <w:sz w:val="22"/>
              </w:rPr>
              <w:t>疗</w:t>
            </w:r>
            <w:r>
              <w:rPr>
                <w:w w:val="95"/>
                <w:sz w:val="22"/>
              </w:rPr>
              <w:t>费</w:t>
            </w:r>
            <w:r>
              <w:rPr>
                <w:w w:val="95"/>
                <w:sz w:val="22"/>
              </w:rPr>
              <w:t>用</w:t>
            </w:r>
            <w:r>
              <w:rPr>
                <w:spacing w:val="-2"/>
                <w:w w:val="95"/>
                <w:sz w:val="22"/>
              </w:rPr>
              <w:t>：</w:t>
            </w:r>
            <w:r>
              <w:rPr>
                <w:rFonts w:ascii="Times New Roman" w:eastAsia="Times New Roman"/>
                <w:spacing w:val="-2"/>
                <w:w w:val="95"/>
                <w:sz w:val="22"/>
              </w:rPr>
              <w:t>60%</w:t>
            </w:r>
            <w:r>
              <w:rPr>
                <w:spacing w:val="-2"/>
                <w:w w:val="95"/>
                <w:sz w:val="22"/>
              </w:rPr>
              <w:t>；</w:t>
            </w:r>
          </w:p>
        </w:tc>
      </w:tr>
      <w:tr>
        <w:trPr>
          <w:trHeight w:val="1990" w:hRule="atLeast"/>
        </w:trPr>
        <w:tc>
          <w:tcPr>
            <w:tcW w:w="770" w:type="dxa"/>
            <w:vMerge/>
            <w:tcBorders>
              <w:top w:val="nil"/>
            </w:tcBorders>
          </w:tcPr>
          <w:p>
            <w:pPr>
              <w:rPr>
                <w:sz w:val="2"/>
                <w:szCs w:val="2"/>
              </w:rPr>
            </w:pPr>
          </w:p>
        </w:tc>
        <w:tc>
          <w:tcPr>
            <w:tcW w:w="2968" w:type="dxa"/>
            <w:vMerge/>
            <w:tcBorders>
              <w:top w:val="nil"/>
            </w:tcBorders>
          </w:tcPr>
          <w:p>
            <w:pPr>
              <w:rPr>
                <w:sz w:val="2"/>
                <w:szCs w:val="2"/>
              </w:rPr>
            </w:pPr>
          </w:p>
        </w:tc>
        <w:tc>
          <w:tcPr>
            <w:tcW w:w="5803" w:type="dxa"/>
            <w:gridSpan w:val="3"/>
          </w:tcPr>
          <w:p>
            <w:pPr>
              <w:pStyle w:val="TableParagraph"/>
              <w:spacing w:before="72"/>
              <w:rPr>
                <w:sz w:val="22"/>
              </w:rPr>
            </w:pPr>
            <w:r>
              <w:rPr>
                <w:rFonts w:ascii="Times New Roman" w:eastAsia="Times New Roman"/>
                <w:w w:val="95"/>
                <w:sz w:val="22"/>
              </w:rPr>
              <w:t>2</w:t>
            </w:r>
            <w:r>
              <w:rPr>
                <w:w w:val="95"/>
                <w:sz w:val="22"/>
              </w:rPr>
              <w:t>、</w:t>
            </w:r>
            <w:r>
              <w:rPr>
                <w:w w:val="95"/>
                <w:sz w:val="22"/>
              </w:rPr>
              <w:t>其</w:t>
            </w:r>
            <w:r>
              <w:rPr>
                <w:w w:val="95"/>
                <w:sz w:val="22"/>
              </w:rPr>
              <w:t>他</w:t>
            </w:r>
            <w:r>
              <w:rPr>
                <w:w w:val="95"/>
                <w:sz w:val="22"/>
              </w:rPr>
              <w:t>费</w:t>
            </w:r>
            <w:r>
              <w:rPr>
                <w:spacing w:val="-5"/>
                <w:w w:val="95"/>
                <w:sz w:val="22"/>
              </w:rPr>
              <w:t>用：</w:t>
            </w:r>
          </w:p>
          <w:p>
            <w:pPr>
              <w:pStyle w:val="TableParagraph"/>
              <w:numPr>
                <w:ilvl w:val="0"/>
                <w:numId w:val="63"/>
              </w:numPr>
              <w:tabs>
                <w:tab w:pos="439" w:val="left" w:leader="none"/>
              </w:tabs>
              <w:spacing w:line="266" w:lineRule="auto" w:before="30" w:after="0"/>
              <w:ind w:left="107" w:right="92" w:firstLine="0"/>
              <w:jc w:val="left"/>
              <w:rPr>
                <w:sz w:val="22"/>
              </w:rPr>
            </w:pPr>
            <w:r>
              <w:rPr>
                <w:w w:val="99"/>
                <w:sz w:val="22"/>
              </w:rPr>
              <w:t>以享有基本医疗保险或公费医疗保障身份投保并以基</w:t>
            </w:r>
            <w:r>
              <w:rPr>
                <w:spacing w:val="-3"/>
                <w:w w:val="99"/>
                <w:sz w:val="22"/>
              </w:rPr>
              <w:t>本医疗保险或公费医疗结算：</w:t>
            </w:r>
            <w:r>
              <w:rPr>
                <w:rFonts w:ascii="Times New Roman" w:eastAsia="Times New Roman"/>
                <w:w w:val="99"/>
                <w:sz w:val="22"/>
              </w:rPr>
              <w:t>100</w:t>
            </w:r>
            <w:r>
              <w:rPr>
                <w:rFonts w:ascii="Times New Roman" w:eastAsia="Times New Roman"/>
                <w:spacing w:val="-1"/>
                <w:w w:val="99"/>
                <w:sz w:val="22"/>
              </w:rPr>
              <w:t>%</w:t>
            </w:r>
            <w:r>
              <w:rPr>
                <w:w w:val="99"/>
                <w:sz w:val="22"/>
              </w:rPr>
              <w:t>；</w:t>
            </w:r>
          </w:p>
          <w:p>
            <w:pPr>
              <w:pStyle w:val="TableParagraph"/>
              <w:numPr>
                <w:ilvl w:val="0"/>
                <w:numId w:val="63"/>
              </w:numPr>
              <w:tabs>
                <w:tab w:pos="439" w:val="left" w:leader="none"/>
              </w:tabs>
              <w:spacing w:line="266" w:lineRule="auto" w:before="0" w:after="0"/>
              <w:ind w:left="107" w:right="92" w:firstLine="0"/>
              <w:jc w:val="left"/>
              <w:rPr>
                <w:sz w:val="22"/>
              </w:rPr>
            </w:pPr>
            <w:r>
              <w:rPr>
                <w:w w:val="99"/>
                <w:sz w:val="22"/>
              </w:rPr>
              <w:t>以享有基本医疗保险或公费医疗保障身份投保但未用</w:t>
            </w:r>
            <w:r>
              <w:rPr>
                <w:spacing w:val="-3"/>
                <w:w w:val="99"/>
                <w:sz w:val="22"/>
              </w:rPr>
              <w:t>基本医疗保险或公费医疗结算：</w:t>
            </w:r>
            <w:r>
              <w:rPr>
                <w:rFonts w:ascii="Times New Roman" w:eastAsia="Times New Roman"/>
                <w:w w:val="99"/>
                <w:sz w:val="22"/>
              </w:rPr>
              <w:t>60%</w:t>
            </w:r>
            <w:r>
              <w:rPr>
                <w:w w:val="99"/>
                <w:sz w:val="22"/>
              </w:rPr>
              <w:t>；</w:t>
            </w:r>
          </w:p>
          <w:p>
            <w:pPr>
              <w:pStyle w:val="TableParagraph"/>
              <w:numPr>
                <w:ilvl w:val="0"/>
                <w:numId w:val="63"/>
              </w:numPr>
              <w:tabs>
                <w:tab w:pos="439" w:val="left" w:leader="none"/>
              </w:tabs>
              <w:spacing w:line="280" w:lineRule="exact" w:before="0" w:after="0"/>
              <w:ind w:left="438" w:right="0" w:hanging="332"/>
              <w:jc w:val="left"/>
              <w:rPr>
                <w:rFonts w:ascii="Times New Roman" w:eastAsia="Times New Roman"/>
                <w:sz w:val="22"/>
              </w:rPr>
            </w:pPr>
            <w:r>
              <w:rPr>
                <w:w w:val="95"/>
                <w:sz w:val="22"/>
              </w:rPr>
              <w:t>未</w:t>
            </w:r>
            <w:r>
              <w:rPr>
                <w:w w:val="95"/>
                <w:sz w:val="22"/>
              </w:rPr>
              <w:t>以</w:t>
            </w:r>
            <w:r>
              <w:rPr>
                <w:w w:val="95"/>
                <w:sz w:val="22"/>
              </w:rPr>
              <w:t>基</w:t>
            </w:r>
            <w:r>
              <w:rPr>
                <w:w w:val="95"/>
                <w:sz w:val="22"/>
              </w:rPr>
              <w:t>本</w:t>
            </w:r>
            <w:r>
              <w:rPr>
                <w:w w:val="95"/>
                <w:sz w:val="22"/>
              </w:rPr>
              <w:t>医</w:t>
            </w:r>
            <w:r>
              <w:rPr>
                <w:w w:val="95"/>
                <w:sz w:val="22"/>
              </w:rPr>
              <w:t>疗</w:t>
            </w:r>
            <w:r>
              <w:rPr>
                <w:w w:val="95"/>
                <w:sz w:val="22"/>
              </w:rPr>
              <w:t>保</w:t>
            </w:r>
            <w:r>
              <w:rPr>
                <w:w w:val="95"/>
                <w:sz w:val="22"/>
              </w:rPr>
              <w:t>险或</w:t>
            </w:r>
            <w:r>
              <w:rPr>
                <w:w w:val="95"/>
                <w:sz w:val="22"/>
              </w:rPr>
              <w:t>公</w:t>
            </w:r>
            <w:r>
              <w:rPr>
                <w:w w:val="95"/>
                <w:sz w:val="22"/>
              </w:rPr>
              <w:t>费</w:t>
            </w:r>
            <w:r>
              <w:rPr>
                <w:w w:val="95"/>
                <w:sz w:val="22"/>
              </w:rPr>
              <w:t>医</w:t>
            </w:r>
            <w:r>
              <w:rPr>
                <w:w w:val="95"/>
                <w:sz w:val="22"/>
              </w:rPr>
              <w:t>疗保</w:t>
            </w:r>
            <w:r>
              <w:rPr>
                <w:w w:val="95"/>
                <w:sz w:val="22"/>
              </w:rPr>
              <w:t>障</w:t>
            </w:r>
            <w:r>
              <w:rPr>
                <w:w w:val="95"/>
                <w:sz w:val="22"/>
              </w:rPr>
              <w:t>身</w:t>
            </w:r>
            <w:r>
              <w:rPr>
                <w:w w:val="95"/>
                <w:sz w:val="22"/>
              </w:rPr>
              <w:t>份</w:t>
            </w:r>
            <w:r>
              <w:rPr>
                <w:spacing w:val="-2"/>
                <w:w w:val="95"/>
                <w:sz w:val="22"/>
              </w:rPr>
              <w:t>投保：</w:t>
            </w:r>
            <w:r>
              <w:rPr>
                <w:rFonts w:ascii="Times New Roman" w:eastAsia="Times New Roman"/>
                <w:spacing w:val="-4"/>
                <w:w w:val="95"/>
                <w:sz w:val="22"/>
              </w:rPr>
              <w:t>100%</w:t>
            </w:r>
          </w:p>
        </w:tc>
      </w:tr>
      <w:tr>
        <w:trPr>
          <w:trHeight w:val="311" w:hRule="atLeast"/>
        </w:trPr>
        <w:tc>
          <w:tcPr>
            <w:tcW w:w="770" w:type="dxa"/>
            <w:vMerge/>
            <w:tcBorders>
              <w:top w:val="nil"/>
            </w:tcBorders>
          </w:tcPr>
          <w:p>
            <w:pPr>
              <w:rPr>
                <w:sz w:val="2"/>
                <w:szCs w:val="2"/>
              </w:rPr>
            </w:pPr>
          </w:p>
        </w:tc>
        <w:tc>
          <w:tcPr>
            <w:tcW w:w="2968" w:type="dxa"/>
          </w:tcPr>
          <w:p>
            <w:pPr>
              <w:pStyle w:val="TableParagraph"/>
              <w:spacing w:line="278" w:lineRule="exact" w:before="13"/>
              <w:rPr>
                <w:sz w:val="22"/>
              </w:rPr>
            </w:pPr>
            <w:r>
              <w:rPr>
                <w:w w:val="95"/>
                <w:sz w:val="22"/>
              </w:rPr>
              <w:t>特</w:t>
            </w:r>
            <w:r>
              <w:rPr>
                <w:w w:val="95"/>
                <w:sz w:val="22"/>
              </w:rPr>
              <w:t>定</w:t>
            </w:r>
            <w:r>
              <w:rPr>
                <w:w w:val="95"/>
                <w:sz w:val="22"/>
              </w:rPr>
              <w:t>疾</w:t>
            </w:r>
            <w:r>
              <w:rPr>
                <w:w w:val="95"/>
                <w:sz w:val="22"/>
              </w:rPr>
              <w:t>病</w:t>
            </w:r>
            <w:r>
              <w:rPr>
                <w:w w:val="95"/>
                <w:sz w:val="22"/>
              </w:rPr>
              <w:t>赴</w:t>
            </w:r>
            <w:r>
              <w:rPr>
                <w:w w:val="95"/>
                <w:sz w:val="22"/>
              </w:rPr>
              <w:t>日</w:t>
            </w:r>
            <w:r>
              <w:rPr>
                <w:w w:val="95"/>
                <w:sz w:val="22"/>
              </w:rPr>
              <w:t>医</w:t>
            </w:r>
            <w:r>
              <w:rPr>
                <w:w w:val="95"/>
                <w:sz w:val="22"/>
              </w:rPr>
              <w:t>疗</w:t>
            </w:r>
            <w:r>
              <w:rPr>
                <w:w w:val="95"/>
                <w:sz w:val="22"/>
              </w:rPr>
              <w:t>保</w:t>
            </w:r>
            <w:r>
              <w:rPr>
                <w:w w:val="95"/>
                <w:sz w:val="22"/>
              </w:rPr>
              <w:t>险</w:t>
            </w:r>
            <w:r>
              <w:rPr>
                <w:spacing w:val="-10"/>
                <w:w w:val="95"/>
                <w:sz w:val="22"/>
              </w:rPr>
              <w:t>金</w:t>
            </w:r>
          </w:p>
        </w:tc>
        <w:tc>
          <w:tcPr>
            <w:tcW w:w="1842" w:type="dxa"/>
          </w:tcPr>
          <w:p>
            <w:pPr>
              <w:pStyle w:val="TableParagraph"/>
              <w:spacing w:line="278" w:lineRule="exact" w:before="13"/>
              <w:ind w:left="269" w:right="260"/>
              <w:jc w:val="center"/>
              <w:rPr>
                <w:sz w:val="22"/>
              </w:rPr>
            </w:pPr>
            <w:r>
              <w:rPr>
                <w:w w:val="95"/>
                <w:sz w:val="22"/>
              </w:rPr>
              <w:t>不</w:t>
            </w:r>
            <w:r>
              <w:rPr>
                <w:w w:val="95"/>
                <w:sz w:val="22"/>
              </w:rPr>
              <w:t>适</w:t>
            </w:r>
            <w:r>
              <w:rPr>
                <w:spacing w:val="-10"/>
                <w:w w:val="95"/>
                <w:sz w:val="22"/>
              </w:rPr>
              <w:t>用</w:t>
            </w:r>
          </w:p>
        </w:tc>
        <w:tc>
          <w:tcPr>
            <w:tcW w:w="2124" w:type="dxa"/>
          </w:tcPr>
          <w:p>
            <w:pPr>
              <w:pStyle w:val="TableParagraph"/>
              <w:spacing w:before="28"/>
              <w:ind w:left="412" w:right="397"/>
              <w:jc w:val="center"/>
              <w:rPr>
                <w:rFonts w:ascii="Times New Roman"/>
                <w:sz w:val="22"/>
              </w:rPr>
            </w:pPr>
            <w:r>
              <w:rPr>
                <w:rFonts w:ascii="Times New Roman"/>
                <w:spacing w:val="-4"/>
                <w:sz w:val="22"/>
              </w:rPr>
              <w:t>100%</w:t>
            </w:r>
          </w:p>
        </w:tc>
        <w:tc>
          <w:tcPr>
            <w:tcW w:w="1837" w:type="dxa"/>
          </w:tcPr>
          <w:p>
            <w:pPr>
              <w:pStyle w:val="TableParagraph"/>
              <w:spacing w:before="28"/>
              <w:ind w:left="270" w:right="251"/>
              <w:jc w:val="center"/>
              <w:rPr>
                <w:rFonts w:ascii="Times New Roman"/>
                <w:sz w:val="22"/>
              </w:rPr>
            </w:pPr>
            <w:r>
              <w:rPr>
                <w:rFonts w:ascii="Times New Roman"/>
                <w:spacing w:val="-4"/>
                <w:sz w:val="22"/>
              </w:rPr>
              <w:t>100%</w:t>
            </w:r>
          </w:p>
        </w:tc>
      </w:tr>
    </w:tbl>
    <w:p>
      <w:pPr>
        <w:pStyle w:val="BodyText"/>
        <w:spacing w:before="31"/>
      </w:pPr>
      <w:r>
        <w:rPr>
          <w:spacing w:val="-5"/>
        </w:rPr>
        <w:t>注：</w:t>
      </w:r>
    </w:p>
    <w:p>
      <w:pPr>
        <w:pStyle w:val="ListParagraph"/>
        <w:numPr>
          <w:ilvl w:val="1"/>
          <w:numId w:val="8"/>
        </w:numPr>
        <w:tabs>
          <w:tab w:pos="1517" w:val="left" w:leader="none"/>
          <w:tab w:pos="1518" w:val="left" w:leader="none"/>
        </w:tabs>
        <w:spacing w:line="240" w:lineRule="auto" w:before="43" w:after="0"/>
        <w:ind w:left="1517" w:right="0" w:hanging="361"/>
        <w:jc w:val="left"/>
        <w:rPr>
          <w:sz w:val="21"/>
        </w:rPr>
      </w:pPr>
      <w:r>
        <w:rPr>
          <w:w w:val="95"/>
          <w:sz w:val="21"/>
        </w:rPr>
        <w:t>“</w:t>
      </w:r>
      <w:r>
        <w:rPr>
          <w:rFonts w:ascii="Times New Roman" w:hAnsi="Times New Roman" w:eastAsia="Times New Roman"/>
          <w:w w:val="95"/>
          <w:sz w:val="22"/>
        </w:rPr>
        <w:t>/</w:t>
      </w:r>
      <w:r>
        <w:rPr>
          <w:w w:val="95"/>
          <w:sz w:val="21"/>
        </w:rPr>
        <w:t>”</w:t>
      </w:r>
      <w:r>
        <w:rPr>
          <w:w w:val="95"/>
          <w:sz w:val="21"/>
        </w:rPr>
        <w:t>代</w:t>
      </w:r>
      <w:r>
        <w:rPr>
          <w:w w:val="95"/>
          <w:sz w:val="21"/>
        </w:rPr>
        <w:t>表</w:t>
      </w:r>
      <w:r>
        <w:rPr>
          <w:w w:val="95"/>
          <w:sz w:val="21"/>
        </w:rPr>
        <w:t>该</w:t>
      </w:r>
      <w:r>
        <w:rPr>
          <w:w w:val="95"/>
          <w:sz w:val="21"/>
        </w:rPr>
        <w:t>计</w:t>
      </w:r>
      <w:r>
        <w:rPr>
          <w:w w:val="95"/>
          <w:sz w:val="21"/>
        </w:rPr>
        <w:t>划</w:t>
      </w:r>
      <w:r>
        <w:rPr>
          <w:w w:val="95"/>
          <w:sz w:val="21"/>
        </w:rPr>
        <w:t>不</w:t>
      </w:r>
      <w:r>
        <w:rPr>
          <w:w w:val="95"/>
          <w:sz w:val="21"/>
        </w:rPr>
        <w:t>提</w:t>
      </w:r>
      <w:r>
        <w:rPr>
          <w:w w:val="95"/>
          <w:sz w:val="21"/>
        </w:rPr>
        <w:t>供</w:t>
      </w:r>
      <w:r>
        <w:rPr>
          <w:w w:val="95"/>
          <w:sz w:val="21"/>
        </w:rPr>
        <w:t>对</w:t>
      </w:r>
      <w:r>
        <w:rPr>
          <w:w w:val="95"/>
          <w:sz w:val="21"/>
        </w:rPr>
        <w:t>应</w:t>
      </w:r>
      <w:r>
        <w:rPr>
          <w:w w:val="95"/>
          <w:sz w:val="21"/>
        </w:rPr>
        <w:t>保</w:t>
      </w:r>
      <w:r>
        <w:rPr>
          <w:w w:val="95"/>
          <w:sz w:val="21"/>
        </w:rPr>
        <w:t>险</w:t>
      </w:r>
      <w:r>
        <w:rPr>
          <w:w w:val="95"/>
          <w:sz w:val="21"/>
        </w:rPr>
        <w:t>责</w:t>
      </w:r>
      <w:r>
        <w:rPr>
          <w:w w:val="95"/>
          <w:sz w:val="21"/>
        </w:rPr>
        <w:t>任</w:t>
      </w:r>
      <w:r>
        <w:rPr>
          <w:spacing w:val="-10"/>
          <w:w w:val="95"/>
          <w:sz w:val="21"/>
        </w:rPr>
        <w:t>。</w:t>
      </w:r>
    </w:p>
    <w:p>
      <w:pPr>
        <w:pStyle w:val="ListParagraph"/>
        <w:numPr>
          <w:ilvl w:val="1"/>
          <w:numId w:val="8"/>
        </w:numPr>
        <w:tabs>
          <w:tab w:pos="1517" w:val="left" w:leader="none"/>
          <w:tab w:pos="1518" w:val="left" w:leader="none"/>
        </w:tabs>
        <w:spacing w:line="278" w:lineRule="auto" w:before="43" w:after="0"/>
        <w:ind w:left="1517" w:right="733" w:hanging="360"/>
        <w:jc w:val="left"/>
        <w:rPr>
          <w:sz w:val="21"/>
        </w:rPr>
      </w:pPr>
      <w:r>
        <w:rPr>
          <w:spacing w:val="-2"/>
          <w:sz w:val="21"/>
        </w:rPr>
        <w:t>计划二（灜计划）中特定疾病赴日医疗保险金、特殊情况下的一次性补偿保险金两</w:t>
      </w:r>
      <w:r>
        <w:rPr>
          <w:spacing w:val="-2"/>
          <w:sz w:val="21"/>
        </w:rPr>
        <w:t>项保险责任不可兼得。</w:t>
      </w:r>
    </w:p>
    <w:p>
      <w:pPr>
        <w:pStyle w:val="BodyText"/>
        <w:ind w:left="0"/>
        <w:rPr>
          <w:sz w:val="20"/>
        </w:rPr>
      </w:pPr>
    </w:p>
    <w:p>
      <w:pPr>
        <w:pStyle w:val="BodyText"/>
        <w:ind w:left="0"/>
        <w:rPr>
          <w:sz w:val="20"/>
        </w:rPr>
      </w:pPr>
    </w:p>
    <w:p>
      <w:pPr>
        <w:pStyle w:val="BodyText"/>
        <w:ind w:left="0"/>
        <w:rPr>
          <w:sz w:val="20"/>
        </w:rPr>
      </w:pPr>
    </w:p>
    <w:p>
      <w:pPr>
        <w:spacing w:before="167"/>
        <w:ind w:left="0" w:right="731" w:firstLine="0"/>
        <w:jc w:val="right"/>
        <w:rPr>
          <w:rFonts w:ascii="Times New Roman" w:eastAsia="Times New Roman"/>
          <w:b/>
          <w:sz w:val="21"/>
        </w:rPr>
      </w:pPr>
      <w:r>
        <w:rPr>
          <w:rFonts w:ascii="Times New Roman" w:eastAsia="Times New Roman"/>
          <w:b/>
          <w:w w:val="95"/>
          <w:sz w:val="21"/>
        </w:rPr>
        <w:t>&lt;</w:t>
      </w:r>
      <w:r>
        <w:rPr>
          <w:b/>
          <w:w w:val="95"/>
          <w:sz w:val="21"/>
        </w:rPr>
        <w:t>本</w:t>
      </w:r>
      <w:r>
        <w:rPr>
          <w:b/>
          <w:w w:val="95"/>
          <w:sz w:val="21"/>
        </w:rPr>
        <w:t>页</w:t>
      </w:r>
      <w:r>
        <w:rPr>
          <w:b/>
          <w:w w:val="95"/>
          <w:sz w:val="21"/>
        </w:rPr>
        <w:t>结束</w:t>
      </w:r>
      <w:r>
        <w:rPr>
          <w:rFonts w:ascii="Times New Roman" w:eastAsia="Times New Roman"/>
          <w:b/>
          <w:spacing w:val="-10"/>
          <w:w w:val="95"/>
          <w:sz w:val="21"/>
        </w:rPr>
        <w:t>&gt;</w:t>
      </w:r>
    </w:p>
    <w:sectPr>
      <w:pgSz w:w="11910" w:h="16840"/>
      <w:pgMar w:header="0" w:footer="1168" w:top="1440" w:bottom="1360" w:left="1060" w:right="10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shapetype id="_x0000_t202" o:spt="202" coordsize="21600,21600" path="m,l,21600r21600,l21600,xe">
          <v:stroke joinstyle="miter"/>
          <v:path gradientshapeok="t" o:connecttype="rect"/>
        </v:shapetype>
        <v:shape style="position:absolute;margin-left:88.879997pt;margin-top:772.861877pt;width:89.9pt;height:10pt;mso-position-horizontal-relative:page;mso-position-vertical-relative:page;z-index:-16737792" type="#_x0000_t202" id="docshape1" filled="false" stroked="false">
          <v:textbox inset="0,0,0,0">
            <w:txbxContent>
              <w:p>
                <w:pPr>
                  <w:spacing w:line="200" w:lineRule="exact" w:before="0"/>
                  <w:ind w:left="20" w:right="0" w:firstLine="0"/>
                  <w:jc w:val="left"/>
                  <w:rPr>
                    <w:sz w:val="16"/>
                  </w:rPr>
                </w:pPr>
                <w:r>
                  <w:rPr>
                    <w:w w:val="95"/>
                    <w:sz w:val="16"/>
                  </w:rPr>
                  <w:t>长</w:t>
                </w:r>
                <w:r>
                  <w:rPr>
                    <w:w w:val="95"/>
                    <w:sz w:val="16"/>
                  </w:rPr>
                  <w:t>生</w:t>
                </w:r>
                <w:r>
                  <w:rPr>
                    <w:w w:val="95"/>
                    <w:sz w:val="16"/>
                  </w:rPr>
                  <w:t>彩</w:t>
                </w:r>
                <w:r>
                  <w:rPr>
                    <w:w w:val="95"/>
                    <w:sz w:val="16"/>
                  </w:rPr>
                  <w:t>虹</w:t>
                </w:r>
                <w:r>
                  <w:rPr>
                    <w:w w:val="95"/>
                    <w:sz w:val="16"/>
                  </w:rPr>
                  <w:t>桥</w:t>
                </w:r>
                <w:r>
                  <w:rPr>
                    <w:w w:val="95"/>
                    <w:sz w:val="16"/>
                  </w:rPr>
                  <w:t>尊</w:t>
                </w:r>
                <w:r>
                  <w:rPr>
                    <w:w w:val="95"/>
                    <w:sz w:val="16"/>
                  </w:rPr>
                  <w:t>享</w:t>
                </w:r>
                <w:r>
                  <w:rPr>
                    <w:w w:val="95"/>
                    <w:sz w:val="16"/>
                  </w:rPr>
                  <w:t>医</w:t>
                </w:r>
                <w:r>
                  <w:rPr>
                    <w:w w:val="95"/>
                    <w:sz w:val="16"/>
                  </w:rPr>
                  <w:t>疗</w:t>
                </w:r>
                <w:r>
                  <w:rPr>
                    <w:w w:val="95"/>
                    <w:sz w:val="16"/>
                  </w:rPr>
                  <w:t>保</w:t>
                </w:r>
                <w:r>
                  <w:rPr>
                    <w:spacing w:val="-10"/>
                    <w:w w:val="95"/>
                    <w:sz w:val="16"/>
                  </w:rPr>
                  <w:t>险</w:t>
                </w:r>
              </w:p>
            </w:txbxContent>
          </v:textbox>
          <w10:wrap type="none"/>
        </v:shape>
      </w:pict>
    </w:r>
    <w:r>
      <w:rPr/>
      <w:pict>
        <v:shape style="position:absolute;margin-left:288.560333pt;margin-top:772.861877pt;width:18pt;height:10pt;mso-position-horizontal-relative:page;mso-position-vertical-relative:page;z-index:-16737280" type="#_x0000_t202" id="docshape2" filled="false" stroked="false">
          <v:textbox inset="0,0,0,0">
            <w:txbxContent>
              <w:p>
                <w:pPr>
                  <w:spacing w:line="200" w:lineRule="exact" w:before="0"/>
                  <w:ind w:left="20" w:right="0" w:firstLine="0"/>
                  <w:jc w:val="left"/>
                  <w:rPr>
                    <w:sz w:val="16"/>
                  </w:rPr>
                </w:pPr>
                <w:r>
                  <w:rPr>
                    <w:w w:val="95"/>
                    <w:sz w:val="16"/>
                  </w:rPr>
                  <w:t>条</w:t>
                </w:r>
                <w:r>
                  <w:rPr>
                    <w:spacing w:val="-10"/>
                    <w:w w:val="95"/>
                    <w:sz w:val="16"/>
                  </w:rPr>
                  <w:t>款</w:t>
                </w:r>
              </w:p>
            </w:txbxContent>
          </v:textbox>
          <w10:wrap type="none"/>
        </v:shape>
      </w:pict>
    </w:r>
    <w:r>
      <w:rPr/>
      <w:pict>
        <v:shape style="position:absolute;margin-left:494.21991pt;margin-top:772.608643pt;width:15.05pt;height:10.85pt;mso-position-horizontal-relative:page;mso-position-vertical-relative:page;z-index:-16736768" type="#_x0000_t202" id="docshape3" filled="false" stroked="false">
          <v:textbox inset="0,0,0,0">
            <w:txbxContent>
              <w:p>
                <w:pPr>
                  <w:spacing w:before="13"/>
                  <w:ind w:left="60" w:right="0" w:firstLine="0"/>
                  <w:jc w:val="left"/>
                  <w:rPr>
                    <w:rFonts w:ascii="Times New Roman"/>
                    <w:sz w:val="16"/>
                  </w:rPr>
                </w:pPr>
                <w:r>
                  <w:rPr>
                    <w:rFonts w:ascii="Times New Roman"/>
                    <w:spacing w:val="-5"/>
                    <w:sz w:val="16"/>
                  </w:rPr>
                  <w:fldChar w:fldCharType="begin"/>
                </w:r>
                <w:r>
                  <w:rPr>
                    <w:rFonts w:ascii="Times New Roman"/>
                    <w:spacing w:val="-5"/>
                    <w:sz w:val="16"/>
                  </w:rPr>
                  <w:instrText> PAGE </w:instrText>
                </w:r>
                <w:r>
                  <w:rPr>
                    <w:rFonts w:ascii="Times New Roman"/>
                    <w:spacing w:val="-5"/>
                    <w:sz w:val="16"/>
                  </w:rPr>
                  <w:fldChar w:fldCharType="separate"/>
                </w:r>
                <w:r>
                  <w:rPr>
                    <w:rFonts w:ascii="Times New Roman"/>
                    <w:spacing w:val="-5"/>
                    <w:sz w:val="16"/>
                  </w:rPr>
                  <w:t>10</w:t>
                </w:r>
                <w:r>
                  <w:rPr>
                    <w:rFonts w:ascii="Times New Roman"/>
                    <w:spacing w:val="-5"/>
                    <w:sz w:val="16"/>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2">
    <w:multiLevelType w:val="hybridMultilevel"/>
    <w:lvl w:ilvl="0">
      <w:start w:val="1"/>
      <w:numFmt w:val="decimal"/>
      <w:lvlText w:val="%1）"/>
      <w:lvlJc w:val="left"/>
      <w:pPr>
        <w:ind w:left="107" w:hanging="331"/>
        <w:jc w:val="left"/>
      </w:pPr>
      <w:rPr>
        <w:rFonts w:hint="default" w:ascii="Times New Roman" w:hAnsi="Times New Roman" w:eastAsia="Times New Roman" w:cs="Times New Roman"/>
        <w:b w:val="0"/>
        <w:bCs w:val="0"/>
        <w:i w:val="0"/>
        <w:iCs w:val="0"/>
        <w:spacing w:val="-20"/>
        <w:w w:val="99"/>
        <w:sz w:val="20"/>
        <w:szCs w:val="20"/>
        <w:lang w:val="en-US" w:eastAsia="zh-CN" w:bidi="ar-SA"/>
      </w:rPr>
    </w:lvl>
    <w:lvl w:ilvl="1">
      <w:start w:val="0"/>
      <w:numFmt w:val="bullet"/>
      <w:lvlText w:val="•"/>
      <w:lvlJc w:val="left"/>
      <w:pPr>
        <w:ind w:left="669" w:hanging="331"/>
      </w:pPr>
      <w:rPr>
        <w:rFonts w:hint="default"/>
        <w:lang w:val="en-US" w:eastAsia="zh-CN" w:bidi="ar-SA"/>
      </w:rPr>
    </w:lvl>
    <w:lvl w:ilvl="2">
      <w:start w:val="0"/>
      <w:numFmt w:val="bullet"/>
      <w:lvlText w:val="•"/>
      <w:lvlJc w:val="left"/>
      <w:pPr>
        <w:ind w:left="1238" w:hanging="331"/>
      </w:pPr>
      <w:rPr>
        <w:rFonts w:hint="default"/>
        <w:lang w:val="en-US" w:eastAsia="zh-CN" w:bidi="ar-SA"/>
      </w:rPr>
    </w:lvl>
    <w:lvl w:ilvl="3">
      <w:start w:val="0"/>
      <w:numFmt w:val="bullet"/>
      <w:lvlText w:val="•"/>
      <w:lvlJc w:val="left"/>
      <w:pPr>
        <w:ind w:left="1807" w:hanging="331"/>
      </w:pPr>
      <w:rPr>
        <w:rFonts w:hint="default"/>
        <w:lang w:val="en-US" w:eastAsia="zh-CN" w:bidi="ar-SA"/>
      </w:rPr>
    </w:lvl>
    <w:lvl w:ilvl="4">
      <w:start w:val="0"/>
      <w:numFmt w:val="bullet"/>
      <w:lvlText w:val="•"/>
      <w:lvlJc w:val="left"/>
      <w:pPr>
        <w:ind w:left="2377" w:hanging="331"/>
      </w:pPr>
      <w:rPr>
        <w:rFonts w:hint="default"/>
        <w:lang w:val="en-US" w:eastAsia="zh-CN" w:bidi="ar-SA"/>
      </w:rPr>
    </w:lvl>
    <w:lvl w:ilvl="5">
      <w:start w:val="0"/>
      <w:numFmt w:val="bullet"/>
      <w:lvlText w:val="•"/>
      <w:lvlJc w:val="left"/>
      <w:pPr>
        <w:ind w:left="2946" w:hanging="331"/>
      </w:pPr>
      <w:rPr>
        <w:rFonts w:hint="default"/>
        <w:lang w:val="en-US" w:eastAsia="zh-CN" w:bidi="ar-SA"/>
      </w:rPr>
    </w:lvl>
    <w:lvl w:ilvl="6">
      <w:start w:val="0"/>
      <w:numFmt w:val="bullet"/>
      <w:lvlText w:val="•"/>
      <w:lvlJc w:val="left"/>
      <w:pPr>
        <w:ind w:left="3515" w:hanging="331"/>
      </w:pPr>
      <w:rPr>
        <w:rFonts w:hint="default"/>
        <w:lang w:val="en-US" w:eastAsia="zh-CN" w:bidi="ar-SA"/>
      </w:rPr>
    </w:lvl>
    <w:lvl w:ilvl="7">
      <w:start w:val="0"/>
      <w:numFmt w:val="bullet"/>
      <w:lvlText w:val="•"/>
      <w:lvlJc w:val="left"/>
      <w:pPr>
        <w:ind w:left="4085" w:hanging="331"/>
      </w:pPr>
      <w:rPr>
        <w:rFonts w:hint="default"/>
        <w:lang w:val="en-US" w:eastAsia="zh-CN" w:bidi="ar-SA"/>
      </w:rPr>
    </w:lvl>
    <w:lvl w:ilvl="8">
      <w:start w:val="0"/>
      <w:numFmt w:val="bullet"/>
      <w:lvlText w:val="•"/>
      <w:lvlJc w:val="left"/>
      <w:pPr>
        <w:ind w:left="4654" w:hanging="331"/>
      </w:pPr>
      <w:rPr>
        <w:rFonts w:hint="default"/>
        <w:lang w:val="en-US" w:eastAsia="zh-CN" w:bidi="ar-SA"/>
      </w:rPr>
    </w:lvl>
  </w:abstractNum>
  <w:abstractNum w:abstractNumId="61">
    <w:multiLevelType w:val="hybridMultilevel"/>
    <w:lvl w:ilvl="0">
      <w:start w:val="1"/>
      <w:numFmt w:val="decimal"/>
      <w:lvlText w:val="（%1）"/>
      <w:lvlJc w:val="left"/>
      <w:pPr>
        <w:ind w:left="634"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56" w:hanging="527"/>
      </w:pPr>
      <w:rPr>
        <w:rFonts w:hint="default"/>
        <w:lang w:val="en-US" w:eastAsia="zh-CN" w:bidi="ar-SA"/>
      </w:rPr>
    </w:lvl>
    <w:lvl w:ilvl="2">
      <w:start w:val="0"/>
      <w:numFmt w:val="bullet"/>
      <w:lvlText w:val="•"/>
      <w:lvlJc w:val="left"/>
      <w:pPr>
        <w:ind w:left="1872" w:hanging="527"/>
      </w:pPr>
      <w:rPr>
        <w:rFonts w:hint="default"/>
        <w:lang w:val="en-US" w:eastAsia="zh-CN" w:bidi="ar-SA"/>
      </w:rPr>
    </w:lvl>
    <w:lvl w:ilvl="3">
      <w:start w:val="0"/>
      <w:numFmt w:val="bullet"/>
      <w:lvlText w:val="•"/>
      <w:lvlJc w:val="left"/>
      <w:pPr>
        <w:ind w:left="2488" w:hanging="527"/>
      </w:pPr>
      <w:rPr>
        <w:rFonts w:hint="default"/>
        <w:lang w:val="en-US" w:eastAsia="zh-CN" w:bidi="ar-SA"/>
      </w:rPr>
    </w:lvl>
    <w:lvl w:ilvl="4">
      <w:start w:val="0"/>
      <w:numFmt w:val="bullet"/>
      <w:lvlText w:val="•"/>
      <w:lvlJc w:val="left"/>
      <w:pPr>
        <w:ind w:left="3104" w:hanging="527"/>
      </w:pPr>
      <w:rPr>
        <w:rFonts w:hint="default"/>
        <w:lang w:val="en-US" w:eastAsia="zh-CN" w:bidi="ar-SA"/>
      </w:rPr>
    </w:lvl>
    <w:lvl w:ilvl="5">
      <w:start w:val="0"/>
      <w:numFmt w:val="bullet"/>
      <w:lvlText w:val="•"/>
      <w:lvlJc w:val="left"/>
      <w:pPr>
        <w:ind w:left="3720" w:hanging="527"/>
      </w:pPr>
      <w:rPr>
        <w:rFonts w:hint="default"/>
        <w:lang w:val="en-US" w:eastAsia="zh-CN" w:bidi="ar-SA"/>
      </w:rPr>
    </w:lvl>
    <w:lvl w:ilvl="6">
      <w:start w:val="0"/>
      <w:numFmt w:val="bullet"/>
      <w:lvlText w:val="•"/>
      <w:lvlJc w:val="left"/>
      <w:pPr>
        <w:ind w:left="4336" w:hanging="527"/>
      </w:pPr>
      <w:rPr>
        <w:rFonts w:hint="default"/>
        <w:lang w:val="en-US" w:eastAsia="zh-CN" w:bidi="ar-SA"/>
      </w:rPr>
    </w:lvl>
    <w:lvl w:ilvl="7">
      <w:start w:val="0"/>
      <w:numFmt w:val="bullet"/>
      <w:lvlText w:val="•"/>
      <w:lvlJc w:val="left"/>
      <w:pPr>
        <w:ind w:left="4952" w:hanging="527"/>
      </w:pPr>
      <w:rPr>
        <w:rFonts w:hint="default"/>
        <w:lang w:val="en-US" w:eastAsia="zh-CN" w:bidi="ar-SA"/>
      </w:rPr>
    </w:lvl>
    <w:lvl w:ilvl="8">
      <w:start w:val="0"/>
      <w:numFmt w:val="bullet"/>
      <w:lvlText w:val="•"/>
      <w:lvlJc w:val="left"/>
      <w:pPr>
        <w:ind w:left="5568" w:hanging="527"/>
      </w:pPr>
      <w:rPr>
        <w:rFonts w:hint="default"/>
        <w:lang w:val="en-US" w:eastAsia="zh-CN" w:bidi="ar-SA"/>
      </w:rPr>
    </w:lvl>
  </w:abstractNum>
  <w:abstractNum w:abstractNumId="60">
    <w:multiLevelType w:val="hybridMultilevel"/>
    <w:lvl w:ilvl="0">
      <w:start w:val="1"/>
      <w:numFmt w:val="decimal"/>
      <w:lvlText w:val="(%1)"/>
      <w:lvlJc w:val="left"/>
      <w:pPr>
        <w:ind w:left="467" w:hanging="360"/>
        <w:jc w:val="left"/>
      </w:pPr>
      <w:rPr>
        <w:rFonts w:hint="default" w:ascii="黑体" w:hAnsi="黑体" w:eastAsia="黑体" w:cs="黑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59">
    <w:multiLevelType w:val="hybridMultilevel"/>
    <w:lvl w:ilvl="0">
      <w:start w:val="1"/>
      <w:numFmt w:val="decimal"/>
      <w:lvlText w:val="(%1)"/>
      <w:lvlJc w:val="left"/>
      <w:pPr>
        <w:ind w:left="527" w:hanging="42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148" w:hanging="420"/>
      </w:pPr>
      <w:rPr>
        <w:rFonts w:hint="default"/>
        <w:lang w:val="en-US" w:eastAsia="zh-CN" w:bidi="ar-SA"/>
      </w:rPr>
    </w:lvl>
    <w:lvl w:ilvl="2">
      <w:start w:val="0"/>
      <w:numFmt w:val="bullet"/>
      <w:lvlText w:val="•"/>
      <w:lvlJc w:val="left"/>
      <w:pPr>
        <w:ind w:left="1776" w:hanging="420"/>
      </w:pPr>
      <w:rPr>
        <w:rFonts w:hint="default"/>
        <w:lang w:val="en-US" w:eastAsia="zh-CN" w:bidi="ar-SA"/>
      </w:rPr>
    </w:lvl>
    <w:lvl w:ilvl="3">
      <w:start w:val="0"/>
      <w:numFmt w:val="bullet"/>
      <w:lvlText w:val="•"/>
      <w:lvlJc w:val="left"/>
      <w:pPr>
        <w:ind w:left="2404" w:hanging="420"/>
      </w:pPr>
      <w:rPr>
        <w:rFonts w:hint="default"/>
        <w:lang w:val="en-US" w:eastAsia="zh-CN" w:bidi="ar-SA"/>
      </w:rPr>
    </w:lvl>
    <w:lvl w:ilvl="4">
      <w:start w:val="0"/>
      <w:numFmt w:val="bullet"/>
      <w:lvlText w:val="•"/>
      <w:lvlJc w:val="left"/>
      <w:pPr>
        <w:ind w:left="3032" w:hanging="420"/>
      </w:pPr>
      <w:rPr>
        <w:rFonts w:hint="default"/>
        <w:lang w:val="en-US" w:eastAsia="zh-CN" w:bidi="ar-SA"/>
      </w:rPr>
    </w:lvl>
    <w:lvl w:ilvl="5">
      <w:start w:val="0"/>
      <w:numFmt w:val="bullet"/>
      <w:lvlText w:val="•"/>
      <w:lvlJc w:val="left"/>
      <w:pPr>
        <w:ind w:left="3660" w:hanging="420"/>
      </w:pPr>
      <w:rPr>
        <w:rFonts w:hint="default"/>
        <w:lang w:val="en-US" w:eastAsia="zh-CN" w:bidi="ar-SA"/>
      </w:rPr>
    </w:lvl>
    <w:lvl w:ilvl="6">
      <w:start w:val="0"/>
      <w:numFmt w:val="bullet"/>
      <w:lvlText w:val="•"/>
      <w:lvlJc w:val="left"/>
      <w:pPr>
        <w:ind w:left="4288" w:hanging="420"/>
      </w:pPr>
      <w:rPr>
        <w:rFonts w:hint="default"/>
        <w:lang w:val="en-US" w:eastAsia="zh-CN" w:bidi="ar-SA"/>
      </w:rPr>
    </w:lvl>
    <w:lvl w:ilvl="7">
      <w:start w:val="0"/>
      <w:numFmt w:val="bullet"/>
      <w:lvlText w:val="•"/>
      <w:lvlJc w:val="left"/>
      <w:pPr>
        <w:ind w:left="4916" w:hanging="420"/>
      </w:pPr>
      <w:rPr>
        <w:rFonts w:hint="default"/>
        <w:lang w:val="en-US" w:eastAsia="zh-CN" w:bidi="ar-SA"/>
      </w:rPr>
    </w:lvl>
    <w:lvl w:ilvl="8">
      <w:start w:val="0"/>
      <w:numFmt w:val="bullet"/>
      <w:lvlText w:val="•"/>
      <w:lvlJc w:val="left"/>
      <w:pPr>
        <w:ind w:left="5544" w:hanging="420"/>
      </w:pPr>
      <w:rPr>
        <w:rFonts w:hint="default"/>
        <w:lang w:val="en-US" w:eastAsia="zh-CN" w:bidi="ar-SA"/>
      </w:rPr>
    </w:lvl>
  </w:abstractNum>
  <w:abstractNum w:abstractNumId="58">
    <w:multiLevelType w:val="hybridMultilevel"/>
    <w:lvl w:ilvl="0">
      <w:start w:val="1"/>
      <w:numFmt w:val="decimal"/>
      <w:lvlText w:val="(%1)"/>
      <w:lvlJc w:val="left"/>
      <w:pPr>
        <w:ind w:left="527" w:hanging="42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148" w:hanging="420"/>
      </w:pPr>
      <w:rPr>
        <w:rFonts w:hint="default"/>
        <w:lang w:val="en-US" w:eastAsia="zh-CN" w:bidi="ar-SA"/>
      </w:rPr>
    </w:lvl>
    <w:lvl w:ilvl="2">
      <w:start w:val="0"/>
      <w:numFmt w:val="bullet"/>
      <w:lvlText w:val="•"/>
      <w:lvlJc w:val="left"/>
      <w:pPr>
        <w:ind w:left="1776" w:hanging="420"/>
      </w:pPr>
      <w:rPr>
        <w:rFonts w:hint="default"/>
        <w:lang w:val="en-US" w:eastAsia="zh-CN" w:bidi="ar-SA"/>
      </w:rPr>
    </w:lvl>
    <w:lvl w:ilvl="3">
      <w:start w:val="0"/>
      <w:numFmt w:val="bullet"/>
      <w:lvlText w:val="•"/>
      <w:lvlJc w:val="left"/>
      <w:pPr>
        <w:ind w:left="2404" w:hanging="420"/>
      </w:pPr>
      <w:rPr>
        <w:rFonts w:hint="default"/>
        <w:lang w:val="en-US" w:eastAsia="zh-CN" w:bidi="ar-SA"/>
      </w:rPr>
    </w:lvl>
    <w:lvl w:ilvl="4">
      <w:start w:val="0"/>
      <w:numFmt w:val="bullet"/>
      <w:lvlText w:val="•"/>
      <w:lvlJc w:val="left"/>
      <w:pPr>
        <w:ind w:left="3032" w:hanging="420"/>
      </w:pPr>
      <w:rPr>
        <w:rFonts w:hint="default"/>
        <w:lang w:val="en-US" w:eastAsia="zh-CN" w:bidi="ar-SA"/>
      </w:rPr>
    </w:lvl>
    <w:lvl w:ilvl="5">
      <w:start w:val="0"/>
      <w:numFmt w:val="bullet"/>
      <w:lvlText w:val="•"/>
      <w:lvlJc w:val="left"/>
      <w:pPr>
        <w:ind w:left="3660" w:hanging="420"/>
      </w:pPr>
      <w:rPr>
        <w:rFonts w:hint="default"/>
        <w:lang w:val="en-US" w:eastAsia="zh-CN" w:bidi="ar-SA"/>
      </w:rPr>
    </w:lvl>
    <w:lvl w:ilvl="6">
      <w:start w:val="0"/>
      <w:numFmt w:val="bullet"/>
      <w:lvlText w:val="•"/>
      <w:lvlJc w:val="left"/>
      <w:pPr>
        <w:ind w:left="4288" w:hanging="420"/>
      </w:pPr>
      <w:rPr>
        <w:rFonts w:hint="default"/>
        <w:lang w:val="en-US" w:eastAsia="zh-CN" w:bidi="ar-SA"/>
      </w:rPr>
    </w:lvl>
    <w:lvl w:ilvl="7">
      <w:start w:val="0"/>
      <w:numFmt w:val="bullet"/>
      <w:lvlText w:val="•"/>
      <w:lvlJc w:val="left"/>
      <w:pPr>
        <w:ind w:left="4916" w:hanging="420"/>
      </w:pPr>
      <w:rPr>
        <w:rFonts w:hint="default"/>
        <w:lang w:val="en-US" w:eastAsia="zh-CN" w:bidi="ar-SA"/>
      </w:rPr>
    </w:lvl>
    <w:lvl w:ilvl="8">
      <w:start w:val="0"/>
      <w:numFmt w:val="bullet"/>
      <w:lvlText w:val="•"/>
      <w:lvlJc w:val="left"/>
      <w:pPr>
        <w:ind w:left="5544" w:hanging="420"/>
      </w:pPr>
      <w:rPr>
        <w:rFonts w:hint="default"/>
        <w:lang w:val="en-US" w:eastAsia="zh-CN" w:bidi="ar-SA"/>
      </w:rPr>
    </w:lvl>
  </w:abstractNum>
  <w:abstractNum w:abstractNumId="57">
    <w:multiLevelType w:val="hybridMultilevel"/>
    <w:lvl w:ilvl="0">
      <w:start w:val="1"/>
      <w:numFmt w:val="decimal"/>
      <w:lvlText w:val="(%1)"/>
      <w:lvlJc w:val="left"/>
      <w:pPr>
        <w:ind w:left="527" w:hanging="42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148" w:hanging="420"/>
      </w:pPr>
      <w:rPr>
        <w:rFonts w:hint="default"/>
        <w:lang w:val="en-US" w:eastAsia="zh-CN" w:bidi="ar-SA"/>
      </w:rPr>
    </w:lvl>
    <w:lvl w:ilvl="2">
      <w:start w:val="0"/>
      <w:numFmt w:val="bullet"/>
      <w:lvlText w:val="•"/>
      <w:lvlJc w:val="left"/>
      <w:pPr>
        <w:ind w:left="1776" w:hanging="420"/>
      </w:pPr>
      <w:rPr>
        <w:rFonts w:hint="default"/>
        <w:lang w:val="en-US" w:eastAsia="zh-CN" w:bidi="ar-SA"/>
      </w:rPr>
    </w:lvl>
    <w:lvl w:ilvl="3">
      <w:start w:val="0"/>
      <w:numFmt w:val="bullet"/>
      <w:lvlText w:val="•"/>
      <w:lvlJc w:val="left"/>
      <w:pPr>
        <w:ind w:left="2404" w:hanging="420"/>
      </w:pPr>
      <w:rPr>
        <w:rFonts w:hint="default"/>
        <w:lang w:val="en-US" w:eastAsia="zh-CN" w:bidi="ar-SA"/>
      </w:rPr>
    </w:lvl>
    <w:lvl w:ilvl="4">
      <w:start w:val="0"/>
      <w:numFmt w:val="bullet"/>
      <w:lvlText w:val="•"/>
      <w:lvlJc w:val="left"/>
      <w:pPr>
        <w:ind w:left="3032" w:hanging="420"/>
      </w:pPr>
      <w:rPr>
        <w:rFonts w:hint="default"/>
        <w:lang w:val="en-US" w:eastAsia="zh-CN" w:bidi="ar-SA"/>
      </w:rPr>
    </w:lvl>
    <w:lvl w:ilvl="5">
      <w:start w:val="0"/>
      <w:numFmt w:val="bullet"/>
      <w:lvlText w:val="•"/>
      <w:lvlJc w:val="left"/>
      <w:pPr>
        <w:ind w:left="3660" w:hanging="420"/>
      </w:pPr>
      <w:rPr>
        <w:rFonts w:hint="default"/>
        <w:lang w:val="en-US" w:eastAsia="zh-CN" w:bidi="ar-SA"/>
      </w:rPr>
    </w:lvl>
    <w:lvl w:ilvl="6">
      <w:start w:val="0"/>
      <w:numFmt w:val="bullet"/>
      <w:lvlText w:val="•"/>
      <w:lvlJc w:val="left"/>
      <w:pPr>
        <w:ind w:left="4288" w:hanging="420"/>
      </w:pPr>
      <w:rPr>
        <w:rFonts w:hint="default"/>
        <w:lang w:val="en-US" w:eastAsia="zh-CN" w:bidi="ar-SA"/>
      </w:rPr>
    </w:lvl>
    <w:lvl w:ilvl="7">
      <w:start w:val="0"/>
      <w:numFmt w:val="bullet"/>
      <w:lvlText w:val="•"/>
      <w:lvlJc w:val="left"/>
      <w:pPr>
        <w:ind w:left="4916" w:hanging="420"/>
      </w:pPr>
      <w:rPr>
        <w:rFonts w:hint="default"/>
        <w:lang w:val="en-US" w:eastAsia="zh-CN" w:bidi="ar-SA"/>
      </w:rPr>
    </w:lvl>
    <w:lvl w:ilvl="8">
      <w:start w:val="0"/>
      <w:numFmt w:val="bullet"/>
      <w:lvlText w:val="•"/>
      <w:lvlJc w:val="left"/>
      <w:pPr>
        <w:ind w:left="5544" w:hanging="420"/>
      </w:pPr>
      <w:rPr>
        <w:rFonts w:hint="default"/>
        <w:lang w:val="en-US" w:eastAsia="zh-CN" w:bidi="ar-SA"/>
      </w:rPr>
    </w:lvl>
  </w:abstractNum>
  <w:abstractNum w:abstractNumId="56">
    <w:multiLevelType w:val="hybridMultilevel"/>
    <w:lvl w:ilvl="0">
      <w:start w:val="3"/>
      <w:numFmt w:val="decimal"/>
      <w:lvlText w:val="(%1)"/>
      <w:lvlJc w:val="left"/>
      <w:pPr>
        <w:ind w:left="527" w:hanging="42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148" w:hanging="420"/>
      </w:pPr>
      <w:rPr>
        <w:rFonts w:hint="default"/>
        <w:lang w:val="en-US" w:eastAsia="zh-CN" w:bidi="ar-SA"/>
      </w:rPr>
    </w:lvl>
    <w:lvl w:ilvl="2">
      <w:start w:val="0"/>
      <w:numFmt w:val="bullet"/>
      <w:lvlText w:val="•"/>
      <w:lvlJc w:val="left"/>
      <w:pPr>
        <w:ind w:left="1776" w:hanging="420"/>
      </w:pPr>
      <w:rPr>
        <w:rFonts w:hint="default"/>
        <w:lang w:val="en-US" w:eastAsia="zh-CN" w:bidi="ar-SA"/>
      </w:rPr>
    </w:lvl>
    <w:lvl w:ilvl="3">
      <w:start w:val="0"/>
      <w:numFmt w:val="bullet"/>
      <w:lvlText w:val="•"/>
      <w:lvlJc w:val="left"/>
      <w:pPr>
        <w:ind w:left="2404" w:hanging="420"/>
      </w:pPr>
      <w:rPr>
        <w:rFonts w:hint="default"/>
        <w:lang w:val="en-US" w:eastAsia="zh-CN" w:bidi="ar-SA"/>
      </w:rPr>
    </w:lvl>
    <w:lvl w:ilvl="4">
      <w:start w:val="0"/>
      <w:numFmt w:val="bullet"/>
      <w:lvlText w:val="•"/>
      <w:lvlJc w:val="left"/>
      <w:pPr>
        <w:ind w:left="3032" w:hanging="420"/>
      </w:pPr>
      <w:rPr>
        <w:rFonts w:hint="default"/>
        <w:lang w:val="en-US" w:eastAsia="zh-CN" w:bidi="ar-SA"/>
      </w:rPr>
    </w:lvl>
    <w:lvl w:ilvl="5">
      <w:start w:val="0"/>
      <w:numFmt w:val="bullet"/>
      <w:lvlText w:val="•"/>
      <w:lvlJc w:val="left"/>
      <w:pPr>
        <w:ind w:left="3660" w:hanging="420"/>
      </w:pPr>
      <w:rPr>
        <w:rFonts w:hint="default"/>
        <w:lang w:val="en-US" w:eastAsia="zh-CN" w:bidi="ar-SA"/>
      </w:rPr>
    </w:lvl>
    <w:lvl w:ilvl="6">
      <w:start w:val="0"/>
      <w:numFmt w:val="bullet"/>
      <w:lvlText w:val="•"/>
      <w:lvlJc w:val="left"/>
      <w:pPr>
        <w:ind w:left="4288" w:hanging="420"/>
      </w:pPr>
      <w:rPr>
        <w:rFonts w:hint="default"/>
        <w:lang w:val="en-US" w:eastAsia="zh-CN" w:bidi="ar-SA"/>
      </w:rPr>
    </w:lvl>
    <w:lvl w:ilvl="7">
      <w:start w:val="0"/>
      <w:numFmt w:val="bullet"/>
      <w:lvlText w:val="•"/>
      <w:lvlJc w:val="left"/>
      <w:pPr>
        <w:ind w:left="4916" w:hanging="420"/>
      </w:pPr>
      <w:rPr>
        <w:rFonts w:hint="default"/>
        <w:lang w:val="en-US" w:eastAsia="zh-CN" w:bidi="ar-SA"/>
      </w:rPr>
    </w:lvl>
    <w:lvl w:ilvl="8">
      <w:start w:val="0"/>
      <w:numFmt w:val="bullet"/>
      <w:lvlText w:val="•"/>
      <w:lvlJc w:val="left"/>
      <w:pPr>
        <w:ind w:left="5544" w:hanging="420"/>
      </w:pPr>
      <w:rPr>
        <w:rFonts w:hint="default"/>
        <w:lang w:val="en-US" w:eastAsia="zh-CN" w:bidi="ar-SA"/>
      </w:rPr>
    </w:lvl>
  </w:abstractNum>
  <w:abstractNum w:abstractNumId="55">
    <w:multiLevelType w:val="hybridMultilevel"/>
    <w:lvl w:ilvl="0">
      <w:start w:val="1"/>
      <w:numFmt w:val="decimal"/>
      <w:lvlText w:val="(%1)"/>
      <w:lvlJc w:val="left"/>
      <w:pPr>
        <w:ind w:left="527" w:hanging="42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148" w:hanging="420"/>
      </w:pPr>
      <w:rPr>
        <w:rFonts w:hint="default"/>
        <w:lang w:val="en-US" w:eastAsia="zh-CN" w:bidi="ar-SA"/>
      </w:rPr>
    </w:lvl>
    <w:lvl w:ilvl="2">
      <w:start w:val="0"/>
      <w:numFmt w:val="bullet"/>
      <w:lvlText w:val="•"/>
      <w:lvlJc w:val="left"/>
      <w:pPr>
        <w:ind w:left="1776" w:hanging="420"/>
      </w:pPr>
      <w:rPr>
        <w:rFonts w:hint="default"/>
        <w:lang w:val="en-US" w:eastAsia="zh-CN" w:bidi="ar-SA"/>
      </w:rPr>
    </w:lvl>
    <w:lvl w:ilvl="3">
      <w:start w:val="0"/>
      <w:numFmt w:val="bullet"/>
      <w:lvlText w:val="•"/>
      <w:lvlJc w:val="left"/>
      <w:pPr>
        <w:ind w:left="2404" w:hanging="420"/>
      </w:pPr>
      <w:rPr>
        <w:rFonts w:hint="default"/>
        <w:lang w:val="en-US" w:eastAsia="zh-CN" w:bidi="ar-SA"/>
      </w:rPr>
    </w:lvl>
    <w:lvl w:ilvl="4">
      <w:start w:val="0"/>
      <w:numFmt w:val="bullet"/>
      <w:lvlText w:val="•"/>
      <w:lvlJc w:val="left"/>
      <w:pPr>
        <w:ind w:left="3032" w:hanging="420"/>
      </w:pPr>
      <w:rPr>
        <w:rFonts w:hint="default"/>
        <w:lang w:val="en-US" w:eastAsia="zh-CN" w:bidi="ar-SA"/>
      </w:rPr>
    </w:lvl>
    <w:lvl w:ilvl="5">
      <w:start w:val="0"/>
      <w:numFmt w:val="bullet"/>
      <w:lvlText w:val="•"/>
      <w:lvlJc w:val="left"/>
      <w:pPr>
        <w:ind w:left="3660" w:hanging="420"/>
      </w:pPr>
      <w:rPr>
        <w:rFonts w:hint="default"/>
        <w:lang w:val="en-US" w:eastAsia="zh-CN" w:bidi="ar-SA"/>
      </w:rPr>
    </w:lvl>
    <w:lvl w:ilvl="6">
      <w:start w:val="0"/>
      <w:numFmt w:val="bullet"/>
      <w:lvlText w:val="•"/>
      <w:lvlJc w:val="left"/>
      <w:pPr>
        <w:ind w:left="4288" w:hanging="420"/>
      </w:pPr>
      <w:rPr>
        <w:rFonts w:hint="default"/>
        <w:lang w:val="en-US" w:eastAsia="zh-CN" w:bidi="ar-SA"/>
      </w:rPr>
    </w:lvl>
    <w:lvl w:ilvl="7">
      <w:start w:val="0"/>
      <w:numFmt w:val="bullet"/>
      <w:lvlText w:val="•"/>
      <w:lvlJc w:val="left"/>
      <w:pPr>
        <w:ind w:left="4916" w:hanging="420"/>
      </w:pPr>
      <w:rPr>
        <w:rFonts w:hint="default"/>
        <w:lang w:val="en-US" w:eastAsia="zh-CN" w:bidi="ar-SA"/>
      </w:rPr>
    </w:lvl>
    <w:lvl w:ilvl="8">
      <w:start w:val="0"/>
      <w:numFmt w:val="bullet"/>
      <w:lvlText w:val="•"/>
      <w:lvlJc w:val="left"/>
      <w:pPr>
        <w:ind w:left="5544" w:hanging="420"/>
      </w:pPr>
      <w:rPr>
        <w:rFonts w:hint="default"/>
        <w:lang w:val="en-US" w:eastAsia="zh-CN" w:bidi="ar-SA"/>
      </w:rPr>
    </w:lvl>
  </w:abstractNum>
  <w:abstractNum w:abstractNumId="54">
    <w:multiLevelType w:val="hybridMultilevel"/>
    <w:lvl w:ilvl="0">
      <w:start w:val="1"/>
      <w:numFmt w:val="decimal"/>
      <w:lvlText w:val="(%1)"/>
      <w:lvlJc w:val="left"/>
      <w:pPr>
        <w:ind w:left="527" w:hanging="42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148" w:hanging="420"/>
      </w:pPr>
      <w:rPr>
        <w:rFonts w:hint="default"/>
        <w:lang w:val="en-US" w:eastAsia="zh-CN" w:bidi="ar-SA"/>
      </w:rPr>
    </w:lvl>
    <w:lvl w:ilvl="2">
      <w:start w:val="0"/>
      <w:numFmt w:val="bullet"/>
      <w:lvlText w:val="•"/>
      <w:lvlJc w:val="left"/>
      <w:pPr>
        <w:ind w:left="1776" w:hanging="420"/>
      </w:pPr>
      <w:rPr>
        <w:rFonts w:hint="default"/>
        <w:lang w:val="en-US" w:eastAsia="zh-CN" w:bidi="ar-SA"/>
      </w:rPr>
    </w:lvl>
    <w:lvl w:ilvl="3">
      <w:start w:val="0"/>
      <w:numFmt w:val="bullet"/>
      <w:lvlText w:val="•"/>
      <w:lvlJc w:val="left"/>
      <w:pPr>
        <w:ind w:left="2404" w:hanging="420"/>
      </w:pPr>
      <w:rPr>
        <w:rFonts w:hint="default"/>
        <w:lang w:val="en-US" w:eastAsia="zh-CN" w:bidi="ar-SA"/>
      </w:rPr>
    </w:lvl>
    <w:lvl w:ilvl="4">
      <w:start w:val="0"/>
      <w:numFmt w:val="bullet"/>
      <w:lvlText w:val="•"/>
      <w:lvlJc w:val="left"/>
      <w:pPr>
        <w:ind w:left="3032" w:hanging="420"/>
      </w:pPr>
      <w:rPr>
        <w:rFonts w:hint="default"/>
        <w:lang w:val="en-US" w:eastAsia="zh-CN" w:bidi="ar-SA"/>
      </w:rPr>
    </w:lvl>
    <w:lvl w:ilvl="5">
      <w:start w:val="0"/>
      <w:numFmt w:val="bullet"/>
      <w:lvlText w:val="•"/>
      <w:lvlJc w:val="left"/>
      <w:pPr>
        <w:ind w:left="3660" w:hanging="420"/>
      </w:pPr>
      <w:rPr>
        <w:rFonts w:hint="default"/>
        <w:lang w:val="en-US" w:eastAsia="zh-CN" w:bidi="ar-SA"/>
      </w:rPr>
    </w:lvl>
    <w:lvl w:ilvl="6">
      <w:start w:val="0"/>
      <w:numFmt w:val="bullet"/>
      <w:lvlText w:val="•"/>
      <w:lvlJc w:val="left"/>
      <w:pPr>
        <w:ind w:left="4288" w:hanging="420"/>
      </w:pPr>
      <w:rPr>
        <w:rFonts w:hint="default"/>
        <w:lang w:val="en-US" w:eastAsia="zh-CN" w:bidi="ar-SA"/>
      </w:rPr>
    </w:lvl>
    <w:lvl w:ilvl="7">
      <w:start w:val="0"/>
      <w:numFmt w:val="bullet"/>
      <w:lvlText w:val="•"/>
      <w:lvlJc w:val="left"/>
      <w:pPr>
        <w:ind w:left="4916" w:hanging="420"/>
      </w:pPr>
      <w:rPr>
        <w:rFonts w:hint="default"/>
        <w:lang w:val="en-US" w:eastAsia="zh-CN" w:bidi="ar-SA"/>
      </w:rPr>
    </w:lvl>
    <w:lvl w:ilvl="8">
      <w:start w:val="0"/>
      <w:numFmt w:val="bullet"/>
      <w:lvlText w:val="•"/>
      <w:lvlJc w:val="left"/>
      <w:pPr>
        <w:ind w:left="5544" w:hanging="420"/>
      </w:pPr>
      <w:rPr>
        <w:rFonts w:hint="default"/>
        <w:lang w:val="en-US" w:eastAsia="zh-CN" w:bidi="ar-SA"/>
      </w:rPr>
    </w:lvl>
  </w:abstractNum>
  <w:abstractNum w:abstractNumId="53">
    <w:multiLevelType w:val="hybridMultilevel"/>
    <w:lvl w:ilvl="0">
      <w:start w:val="1"/>
      <w:numFmt w:val="decimal"/>
      <w:lvlText w:val="(%1)"/>
      <w:lvlJc w:val="left"/>
      <w:pPr>
        <w:ind w:left="527" w:hanging="42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148" w:hanging="420"/>
      </w:pPr>
      <w:rPr>
        <w:rFonts w:hint="default"/>
        <w:lang w:val="en-US" w:eastAsia="zh-CN" w:bidi="ar-SA"/>
      </w:rPr>
    </w:lvl>
    <w:lvl w:ilvl="2">
      <w:start w:val="0"/>
      <w:numFmt w:val="bullet"/>
      <w:lvlText w:val="•"/>
      <w:lvlJc w:val="left"/>
      <w:pPr>
        <w:ind w:left="1776" w:hanging="420"/>
      </w:pPr>
      <w:rPr>
        <w:rFonts w:hint="default"/>
        <w:lang w:val="en-US" w:eastAsia="zh-CN" w:bidi="ar-SA"/>
      </w:rPr>
    </w:lvl>
    <w:lvl w:ilvl="3">
      <w:start w:val="0"/>
      <w:numFmt w:val="bullet"/>
      <w:lvlText w:val="•"/>
      <w:lvlJc w:val="left"/>
      <w:pPr>
        <w:ind w:left="2404" w:hanging="420"/>
      </w:pPr>
      <w:rPr>
        <w:rFonts w:hint="default"/>
        <w:lang w:val="en-US" w:eastAsia="zh-CN" w:bidi="ar-SA"/>
      </w:rPr>
    </w:lvl>
    <w:lvl w:ilvl="4">
      <w:start w:val="0"/>
      <w:numFmt w:val="bullet"/>
      <w:lvlText w:val="•"/>
      <w:lvlJc w:val="left"/>
      <w:pPr>
        <w:ind w:left="3032" w:hanging="420"/>
      </w:pPr>
      <w:rPr>
        <w:rFonts w:hint="default"/>
        <w:lang w:val="en-US" w:eastAsia="zh-CN" w:bidi="ar-SA"/>
      </w:rPr>
    </w:lvl>
    <w:lvl w:ilvl="5">
      <w:start w:val="0"/>
      <w:numFmt w:val="bullet"/>
      <w:lvlText w:val="•"/>
      <w:lvlJc w:val="left"/>
      <w:pPr>
        <w:ind w:left="3660" w:hanging="420"/>
      </w:pPr>
      <w:rPr>
        <w:rFonts w:hint="default"/>
        <w:lang w:val="en-US" w:eastAsia="zh-CN" w:bidi="ar-SA"/>
      </w:rPr>
    </w:lvl>
    <w:lvl w:ilvl="6">
      <w:start w:val="0"/>
      <w:numFmt w:val="bullet"/>
      <w:lvlText w:val="•"/>
      <w:lvlJc w:val="left"/>
      <w:pPr>
        <w:ind w:left="4288" w:hanging="420"/>
      </w:pPr>
      <w:rPr>
        <w:rFonts w:hint="default"/>
        <w:lang w:val="en-US" w:eastAsia="zh-CN" w:bidi="ar-SA"/>
      </w:rPr>
    </w:lvl>
    <w:lvl w:ilvl="7">
      <w:start w:val="0"/>
      <w:numFmt w:val="bullet"/>
      <w:lvlText w:val="•"/>
      <w:lvlJc w:val="left"/>
      <w:pPr>
        <w:ind w:left="4916" w:hanging="420"/>
      </w:pPr>
      <w:rPr>
        <w:rFonts w:hint="default"/>
        <w:lang w:val="en-US" w:eastAsia="zh-CN" w:bidi="ar-SA"/>
      </w:rPr>
    </w:lvl>
    <w:lvl w:ilvl="8">
      <w:start w:val="0"/>
      <w:numFmt w:val="bullet"/>
      <w:lvlText w:val="•"/>
      <w:lvlJc w:val="left"/>
      <w:pPr>
        <w:ind w:left="5544" w:hanging="420"/>
      </w:pPr>
      <w:rPr>
        <w:rFonts w:hint="default"/>
        <w:lang w:val="en-US" w:eastAsia="zh-CN" w:bidi="ar-SA"/>
      </w:rPr>
    </w:lvl>
  </w:abstractNum>
  <w:abstractNum w:abstractNumId="52">
    <w:multiLevelType w:val="hybridMultilevel"/>
    <w:lvl w:ilvl="0">
      <w:start w:val="1"/>
      <w:numFmt w:val="decimal"/>
      <w:lvlText w:val="(%1)"/>
      <w:lvlJc w:val="left"/>
      <w:pPr>
        <w:ind w:left="527" w:hanging="42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148" w:hanging="420"/>
      </w:pPr>
      <w:rPr>
        <w:rFonts w:hint="default"/>
        <w:lang w:val="en-US" w:eastAsia="zh-CN" w:bidi="ar-SA"/>
      </w:rPr>
    </w:lvl>
    <w:lvl w:ilvl="2">
      <w:start w:val="0"/>
      <w:numFmt w:val="bullet"/>
      <w:lvlText w:val="•"/>
      <w:lvlJc w:val="left"/>
      <w:pPr>
        <w:ind w:left="1776" w:hanging="420"/>
      </w:pPr>
      <w:rPr>
        <w:rFonts w:hint="default"/>
        <w:lang w:val="en-US" w:eastAsia="zh-CN" w:bidi="ar-SA"/>
      </w:rPr>
    </w:lvl>
    <w:lvl w:ilvl="3">
      <w:start w:val="0"/>
      <w:numFmt w:val="bullet"/>
      <w:lvlText w:val="•"/>
      <w:lvlJc w:val="left"/>
      <w:pPr>
        <w:ind w:left="2404" w:hanging="420"/>
      </w:pPr>
      <w:rPr>
        <w:rFonts w:hint="default"/>
        <w:lang w:val="en-US" w:eastAsia="zh-CN" w:bidi="ar-SA"/>
      </w:rPr>
    </w:lvl>
    <w:lvl w:ilvl="4">
      <w:start w:val="0"/>
      <w:numFmt w:val="bullet"/>
      <w:lvlText w:val="•"/>
      <w:lvlJc w:val="left"/>
      <w:pPr>
        <w:ind w:left="3032" w:hanging="420"/>
      </w:pPr>
      <w:rPr>
        <w:rFonts w:hint="default"/>
        <w:lang w:val="en-US" w:eastAsia="zh-CN" w:bidi="ar-SA"/>
      </w:rPr>
    </w:lvl>
    <w:lvl w:ilvl="5">
      <w:start w:val="0"/>
      <w:numFmt w:val="bullet"/>
      <w:lvlText w:val="•"/>
      <w:lvlJc w:val="left"/>
      <w:pPr>
        <w:ind w:left="3660" w:hanging="420"/>
      </w:pPr>
      <w:rPr>
        <w:rFonts w:hint="default"/>
        <w:lang w:val="en-US" w:eastAsia="zh-CN" w:bidi="ar-SA"/>
      </w:rPr>
    </w:lvl>
    <w:lvl w:ilvl="6">
      <w:start w:val="0"/>
      <w:numFmt w:val="bullet"/>
      <w:lvlText w:val="•"/>
      <w:lvlJc w:val="left"/>
      <w:pPr>
        <w:ind w:left="4288" w:hanging="420"/>
      </w:pPr>
      <w:rPr>
        <w:rFonts w:hint="default"/>
        <w:lang w:val="en-US" w:eastAsia="zh-CN" w:bidi="ar-SA"/>
      </w:rPr>
    </w:lvl>
    <w:lvl w:ilvl="7">
      <w:start w:val="0"/>
      <w:numFmt w:val="bullet"/>
      <w:lvlText w:val="•"/>
      <w:lvlJc w:val="left"/>
      <w:pPr>
        <w:ind w:left="4916" w:hanging="420"/>
      </w:pPr>
      <w:rPr>
        <w:rFonts w:hint="default"/>
        <w:lang w:val="en-US" w:eastAsia="zh-CN" w:bidi="ar-SA"/>
      </w:rPr>
    </w:lvl>
    <w:lvl w:ilvl="8">
      <w:start w:val="0"/>
      <w:numFmt w:val="bullet"/>
      <w:lvlText w:val="•"/>
      <w:lvlJc w:val="left"/>
      <w:pPr>
        <w:ind w:left="5544" w:hanging="420"/>
      </w:pPr>
      <w:rPr>
        <w:rFonts w:hint="default"/>
        <w:lang w:val="en-US" w:eastAsia="zh-CN" w:bidi="ar-SA"/>
      </w:rPr>
    </w:lvl>
  </w:abstractNum>
  <w:abstractNum w:abstractNumId="51">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50">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49">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48">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47">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46">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45">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44">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43">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42">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41">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40">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39">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38">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37">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36">
    <w:multiLevelType w:val="hybridMultilevel"/>
    <w:lvl w:ilvl="0">
      <w:start w:val="1"/>
      <w:numFmt w:val="decimal"/>
      <w:lvlText w:val="(%1)"/>
      <w:lvlJc w:val="left"/>
      <w:pPr>
        <w:ind w:left="527" w:hanging="42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148" w:hanging="420"/>
      </w:pPr>
      <w:rPr>
        <w:rFonts w:hint="default"/>
        <w:lang w:val="en-US" w:eastAsia="zh-CN" w:bidi="ar-SA"/>
      </w:rPr>
    </w:lvl>
    <w:lvl w:ilvl="2">
      <w:start w:val="0"/>
      <w:numFmt w:val="bullet"/>
      <w:lvlText w:val="•"/>
      <w:lvlJc w:val="left"/>
      <w:pPr>
        <w:ind w:left="1776" w:hanging="420"/>
      </w:pPr>
      <w:rPr>
        <w:rFonts w:hint="default"/>
        <w:lang w:val="en-US" w:eastAsia="zh-CN" w:bidi="ar-SA"/>
      </w:rPr>
    </w:lvl>
    <w:lvl w:ilvl="3">
      <w:start w:val="0"/>
      <w:numFmt w:val="bullet"/>
      <w:lvlText w:val="•"/>
      <w:lvlJc w:val="left"/>
      <w:pPr>
        <w:ind w:left="2404" w:hanging="420"/>
      </w:pPr>
      <w:rPr>
        <w:rFonts w:hint="default"/>
        <w:lang w:val="en-US" w:eastAsia="zh-CN" w:bidi="ar-SA"/>
      </w:rPr>
    </w:lvl>
    <w:lvl w:ilvl="4">
      <w:start w:val="0"/>
      <w:numFmt w:val="bullet"/>
      <w:lvlText w:val="•"/>
      <w:lvlJc w:val="left"/>
      <w:pPr>
        <w:ind w:left="3032" w:hanging="420"/>
      </w:pPr>
      <w:rPr>
        <w:rFonts w:hint="default"/>
        <w:lang w:val="en-US" w:eastAsia="zh-CN" w:bidi="ar-SA"/>
      </w:rPr>
    </w:lvl>
    <w:lvl w:ilvl="5">
      <w:start w:val="0"/>
      <w:numFmt w:val="bullet"/>
      <w:lvlText w:val="•"/>
      <w:lvlJc w:val="left"/>
      <w:pPr>
        <w:ind w:left="3660" w:hanging="420"/>
      </w:pPr>
      <w:rPr>
        <w:rFonts w:hint="default"/>
        <w:lang w:val="en-US" w:eastAsia="zh-CN" w:bidi="ar-SA"/>
      </w:rPr>
    </w:lvl>
    <w:lvl w:ilvl="6">
      <w:start w:val="0"/>
      <w:numFmt w:val="bullet"/>
      <w:lvlText w:val="•"/>
      <w:lvlJc w:val="left"/>
      <w:pPr>
        <w:ind w:left="4288" w:hanging="420"/>
      </w:pPr>
      <w:rPr>
        <w:rFonts w:hint="default"/>
        <w:lang w:val="en-US" w:eastAsia="zh-CN" w:bidi="ar-SA"/>
      </w:rPr>
    </w:lvl>
    <w:lvl w:ilvl="7">
      <w:start w:val="0"/>
      <w:numFmt w:val="bullet"/>
      <w:lvlText w:val="•"/>
      <w:lvlJc w:val="left"/>
      <w:pPr>
        <w:ind w:left="4916" w:hanging="420"/>
      </w:pPr>
      <w:rPr>
        <w:rFonts w:hint="default"/>
        <w:lang w:val="en-US" w:eastAsia="zh-CN" w:bidi="ar-SA"/>
      </w:rPr>
    </w:lvl>
    <w:lvl w:ilvl="8">
      <w:start w:val="0"/>
      <w:numFmt w:val="bullet"/>
      <w:lvlText w:val="•"/>
      <w:lvlJc w:val="left"/>
      <w:pPr>
        <w:ind w:left="5544" w:hanging="420"/>
      </w:pPr>
      <w:rPr>
        <w:rFonts w:hint="default"/>
        <w:lang w:val="en-US" w:eastAsia="zh-CN" w:bidi="ar-SA"/>
      </w:rPr>
    </w:lvl>
  </w:abstractNum>
  <w:abstractNum w:abstractNumId="35">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34">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33">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32">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31">
    <w:multiLevelType w:val="hybridMultilevel"/>
    <w:lvl w:ilvl="0">
      <w:start w:val="1"/>
      <w:numFmt w:val="decimal"/>
      <w:lvlText w:val="(%1)"/>
      <w:lvlJc w:val="left"/>
      <w:pPr>
        <w:ind w:left="467" w:hanging="360"/>
        <w:jc w:val="left"/>
      </w:pPr>
      <w:rPr>
        <w:rFonts w:hint="default" w:ascii="黑体" w:hAnsi="黑体" w:eastAsia="黑体" w:cs="黑体"/>
        <w:b w:val="0"/>
        <w:bCs w:val="0"/>
        <w:i w:val="0"/>
        <w:iCs w:val="0"/>
        <w:spacing w:val="-1"/>
        <w:w w:val="100"/>
        <w:sz w:val="21"/>
        <w:szCs w:val="21"/>
        <w:shd w:fill="D9D9D9" w:color="auto" w:val="clear"/>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30">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29">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28">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27">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26">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25">
    <w:multiLevelType w:val="hybridMultilevel"/>
    <w:lvl w:ilvl="0">
      <w:start w:val="1"/>
      <w:numFmt w:val="decimal"/>
      <w:lvlText w:val="(%1)"/>
      <w:lvlJc w:val="left"/>
      <w:pPr>
        <w:ind w:left="458" w:hanging="351"/>
        <w:jc w:val="left"/>
      </w:pPr>
      <w:rPr>
        <w:rFonts w:hint="default" w:ascii="Times New Roman" w:hAnsi="Times New Roman" w:eastAsia="Times New Roman" w:cs="Times New Roman"/>
        <w:b w:val="0"/>
        <w:bCs w:val="0"/>
        <w:i w:val="0"/>
        <w:iCs w:val="0"/>
        <w:spacing w:val="-1"/>
        <w:w w:val="100"/>
        <w:sz w:val="21"/>
        <w:szCs w:val="21"/>
        <w:lang w:val="en-US" w:eastAsia="zh-CN" w:bidi="ar-SA"/>
      </w:rPr>
    </w:lvl>
    <w:lvl w:ilvl="1">
      <w:start w:val="0"/>
      <w:numFmt w:val="bullet"/>
      <w:lvlText w:val="•"/>
      <w:lvlJc w:val="left"/>
      <w:pPr>
        <w:ind w:left="1094" w:hanging="351"/>
      </w:pPr>
      <w:rPr>
        <w:rFonts w:hint="default"/>
        <w:lang w:val="en-US" w:eastAsia="zh-CN" w:bidi="ar-SA"/>
      </w:rPr>
    </w:lvl>
    <w:lvl w:ilvl="2">
      <w:start w:val="0"/>
      <w:numFmt w:val="bullet"/>
      <w:lvlText w:val="•"/>
      <w:lvlJc w:val="left"/>
      <w:pPr>
        <w:ind w:left="1728" w:hanging="351"/>
      </w:pPr>
      <w:rPr>
        <w:rFonts w:hint="default"/>
        <w:lang w:val="en-US" w:eastAsia="zh-CN" w:bidi="ar-SA"/>
      </w:rPr>
    </w:lvl>
    <w:lvl w:ilvl="3">
      <w:start w:val="0"/>
      <w:numFmt w:val="bullet"/>
      <w:lvlText w:val="•"/>
      <w:lvlJc w:val="left"/>
      <w:pPr>
        <w:ind w:left="2362" w:hanging="351"/>
      </w:pPr>
      <w:rPr>
        <w:rFonts w:hint="default"/>
        <w:lang w:val="en-US" w:eastAsia="zh-CN" w:bidi="ar-SA"/>
      </w:rPr>
    </w:lvl>
    <w:lvl w:ilvl="4">
      <w:start w:val="0"/>
      <w:numFmt w:val="bullet"/>
      <w:lvlText w:val="•"/>
      <w:lvlJc w:val="left"/>
      <w:pPr>
        <w:ind w:left="2996" w:hanging="351"/>
      </w:pPr>
      <w:rPr>
        <w:rFonts w:hint="default"/>
        <w:lang w:val="en-US" w:eastAsia="zh-CN" w:bidi="ar-SA"/>
      </w:rPr>
    </w:lvl>
    <w:lvl w:ilvl="5">
      <w:start w:val="0"/>
      <w:numFmt w:val="bullet"/>
      <w:lvlText w:val="•"/>
      <w:lvlJc w:val="left"/>
      <w:pPr>
        <w:ind w:left="3630" w:hanging="351"/>
      </w:pPr>
      <w:rPr>
        <w:rFonts w:hint="default"/>
        <w:lang w:val="en-US" w:eastAsia="zh-CN" w:bidi="ar-SA"/>
      </w:rPr>
    </w:lvl>
    <w:lvl w:ilvl="6">
      <w:start w:val="0"/>
      <w:numFmt w:val="bullet"/>
      <w:lvlText w:val="•"/>
      <w:lvlJc w:val="left"/>
      <w:pPr>
        <w:ind w:left="4264" w:hanging="351"/>
      </w:pPr>
      <w:rPr>
        <w:rFonts w:hint="default"/>
        <w:lang w:val="en-US" w:eastAsia="zh-CN" w:bidi="ar-SA"/>
      </w:rPr>
    </w:lvl>
    <w:lvl w:ilvl="7">
      <w:start w:val="0"/>
      <w:numFmt w:val="bullet"/>
      <w:lvlText w:val="•"/>
      <w:lvlJc w:val="left"/>
      <w:pPr>
        <w:ind w:left="4898" w:hanging="351"/>
      </w:pPr>
      <w:rPr>
        <w:rFonts w:hint="default"/>
        <w:lang w:val="en-US" w:eastAsia="zh-CN" w:bidi="ar-SA"/>
      </w:rPr>
    </w:lvl>
    <w:lvl w:ilvl="8">
      <w:start w:val="0"/>
      <w:numFmt w:val="bullet"/>
      <w:lvlText w:val="•"/>
      <w:lvlJc w:val="left"/>
      <w:pPr>
        <w:ind w:left="5532" w:hanging="351"/>
      </w:pPr>
      <w:rPr>
        <w:rFonts w:hint="default"/>
        <w:lang w:val="en-US" w:eastAsia="zh-CN" w:bidi="ar-SA"/>
      </w:rPr>
    </w:lvl>
  </w:abstractNum>
  <w:abstractNum w:abstractNumId="24">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23">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22">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21">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20">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19">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18">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17">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16">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15">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14">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13">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12">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11">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10">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9">
    <w:multiLevelType w:val="hybridMultilevel"/>
    <w:lvl w:ilvl="0">
      <w:start w:val="1"/>
      <w:numFmt w:val="decimal"/>
      <w:lvlText w:val="(%1)"/>
      <w:lvlJc w:val="left"/>
      <w:pPr>
        <w:ind w:left="467" w:hanging="360"/>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8">
    <w:multiLevelType w:val="hybridMultilevel"/>
    <w:lvl w:ilvl="0">
      <w:start w:val="1"/>
      <w:numFmt w:val="decimal"/>
      <w:lvlText w:val="(%1)"/>
      <w:lvlJc w:val="left"/>
      <w:pPr>
        <w:ind w:left="467" w:hanging="360"/>
        <w:jc w:val="left"/>
      </w:pPr>
      <w:rPr>
        <w:rFonts w:hint="default" w:ascii="黑体" w:hAnsi="黑体" w:eastAsia="黑体" w:cs="黑体"/>
        <w:b w:val="0"/>
        <w:bCs w:val="0"/>
        <w:i w:val="0"/>
        <w:iCs w:val="0"/>
        <w:spacing w:val="-1"/>
        <w:w w:val="100"/>
        <w:sz w:val="21"/>
        <w:szCs w:val="21"/>
        <w:lang w:val="en-US" w:eastAsia="zh-CN" w:bidi="ar-SA"/>
      </w:rPr>
    </w:lvl>
    <w:lvl w:ilvl="1">
      <w:start w:val="0"/>
      <w:numFmt w:val="bullet"/>
      <w:lvlText w:val="•"/>
      <w:lvlJc w:val="left"/>
      <w:pPr>
        <w:ind w:left="1094" w:hanging="360"/>
      </w:pPr>
      <w:rPr>
        <w:rFonts w:hint="default"/>
        <w:lang w:val="en-US" w:eastAsia="zh-CN" w:bidi="ar-SA"/>
      </w:rPr>
    </w:lvl>
    <w:lvl w:ilvl="2">
      <w:start w:val="0"/>
      <w:numFmt w:val="bullet"/>
      <w:lvlText w:val="•"/>
      <w:lvlJc w:val="left"/>
      <w:pPr>
        <w:ind w:left="1728" w:hanging="360"/>
      </w:pPr>
      <w:rPr>
        <w:rFonts w:hint="default"/>
        <w:lang w:val="en-US" w:eastAsia="zh-CN" w:bidi="ar-SA"/>
      </w:rPr>
    </w:lvl>
    <w:lvl w:ilvl="3">
      <w:start w:val="0"/>
      <w:numFmt w:val="bullet"/>
      <w:lvlText w:val="•"/>
      <w:lvlJc w:val="left"/>
      <w:pPr>
        <w:ind w:left="2362" w:hanging="360"/>
      </w:pPr>
      <w:rPr>
        <w:rFonts w:hint="default"/>
        <w:lang w:val="en-US" w:eastAsia="zh-CN" w:bidi="ar-SA"/>
      </w:rPr>
    </w:lvl>
    <w:lvl w:ilvl="4">
      <w:start w:val="0"/>
      <w:numFmt w:val="bullet"/>
      <w:lvlText w:val="•"/>
      <w:lvlJc w:val="left"/>
      <w:pPr>
        <w:ind w:left="2996" w:hanging="360"/>
      </w:pPr>
      <w:rPr>
        <w:rFonts w:hint="default"/>
        <w:lang w:val="en-US" w:eastAsia="zh-CN" w:bidi="ar-SA"/>
      </w:rPr>
    </w:lvl>
    <w:lvl w:ilvl="5">
      <w:start w:val="0"/>
      <w:numFmt w:val="bullet"/>
      <w:lvlText w:val="•"/>
      <w:lvlJc w:val="left"/>
      <w:pPr>
        <w:ind w:left="3630" w:hanging="360"/>
      </w:pPr>
      <w:rPr>
        <w:rFonts w:hint="default"/>
        <w:lang w:val="en-US" w:eastAsia="zh-CN" w:bidi="ar-SA"/>
      </w:rPr>
    </w:lvl>
    <w:lvl w:ilvl="6">
      <w:start w:val="0"/>
      <w:numFmt w:val="bullet"/>
      <w:lvlText w:val="•"/>
      <w:lvlJc w:val="left"/>
      <w:pPr>
        <w:ind w:left="4264" w:hanging="360"/>
      </w:pPr>
      <w:rPr>
        <w:rFonts w:hint="default"/>
        <w:lang w:val="en-US" w:eastAsia="zh-CN" w:bidi="ar-SA"/>
      </w:rPr>
    </w:lvl>
    <w:lvl w:ilvl="7">
      <w:start w:val="0"/>
      <w:numFmt w:val="bullet"/>
      <w:lvlText w:val="•"/>
      <w:lvlJc w:val="left"/>
      <w:pPr>
        <w:ind w:left="4898" w:hanging="360"/>
      </w:pPr>
      <w:rPr>
        <w:rFonts w:hint="default"/>
        <w:lang w:val="en-US" w:eastAsia="zh-CN" w:bidi="ar-SA"/>
      </w:rPr>
    </w:lvl>
    <w:lvl w:ilvl="8">
      <w:start w:val="0"/>
      <w:numFmt w:val="bullet"/>
      <w:lvlText w:val="•"/>
      <w:lvlJc w:val="left"/>
      <w:pPr>
        <w:ind w:left="5532" w:hanging="360"/>
      </w:pPr>
      <w:rPr>
        <w:rFonts w:hint="default"/>
        <w:lang w:val="en-US" w:eastAsia="zh-CN" w:bidi="ar-SA"/>
      </w:rPr>
    </w:lvl>
  </w:abstractNum>
  <w:abstractNum w:abstractNumId="7">
    <w:multiLevelType w:val="hybridMultilevel"/>
    <w:lvl w:ilvl="0">
      <w:start w:val="1"/>
      <w:numFmt w:val="decimal"/>
      <w:lvlText w:val="%1）"/>
      <w:lvlJc w:val="left"/>
      <w:pPr>
        <w:ind w:left="1277" w:hanging="360"/>
        <w:jc w:val="left"/>
      </w:pPr>
      <w:rPr>
        <w:rFonts w:hint="default" w:ascii="Times New Roman" w:hAnsi="Times New Roman" w:eastAsia="Times New Roman" w:cs="Times New Roman"/>
        <w:b w:val="0"/>
        <w:bCs w:val="0"/>
        <w:i w:val="0"/>
        <w:iCs w:val="0"/>
        <w:w w:val="100"/>
        <w:sz w:val="18"/>
        <w:szCs w:val="18"/>
        <w:lang w:val="en-US" w:eastAsia="zh-CN" w:bidi="ar-SA"/>
      </w:rPr>
    </w:lvl>
    <w:lvl w:ilvl="1">
      <w:start w:val="1"/>
      <w:numFmt w:val="decimal"/>
      <w:lvlText w:val="%2."/>
      <w:lvlJc w:val="left"/>
      <w:pPr>
        <w:ind w:left="1517" w:hanging="360"/>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2438" w:hanging="360"/>
      </w:pPr>
      <w:rPr>
        <w:rFonts w:hint="default"/>
        <w:lang w:val="en-US" w:eastAsia="zh-CN" w:bidi="ar-SA"/>
      </w:rPr>
    </w:lvl>
    <w:lvl w:ilvl="3">
      <w:start w:val="0"/>
      <w:numFmt w:val="bullet"/>
      <w:lvlText w:val="•"/>
      <w:lvlJc w:val="left"/>
      <w:pPr>
        <w:ind w:left="3356" w:hanging="360"/>
      </w:pPr>
      <w:rPr>
        <w:rFonts w:hint="default"/>
        <w:lang w:val="en-US" w:eastAsia="zh-CN" w:bidi="ar-SA"/>
      </w:rPr>
    </w:lvl>
    <w:lvl w:ilvl="4">
      <w:start w:val="0"/>
      <w:numFmt w:val="bullet"/>
      <w:lvlText w:val="•"/>
      <w:lvlJc w:val="left"/>
      <w:pPr>
        <w:ind w:left="4274" w:hanging="360"/>
      </w:pPr>
      <w:rPr>
        <w:rFonts w:hint="default"/>
        <w:lang w:val="en-US" w:eastAsia="zh-CN" w:bidi="ar-SA"/>
      </w:rPr>
    </w:lvl>
    <w:lvl w:ilvl="5">
      <w:start w:val="0"/>
      <w:numFmt w:val="bullet"/>
      <w:lvlText w:val="•"/>
      <w:lvlJc w:val="left"/>
      <w:pPr>
        <w:ind w:left="5193" w:hanging="360"/>
      </w:pPr>
      <w:rPr>
        <w:rFonts w:hint="default"/>
        <w:lang w:val="en-US" w:eastAsia="zh-CN" w:bidi="ar-SA"/>
      </w:rPr>
    </w:lvl>
    <w:lvl w:ilvl="6">
      <w:start w:val="0"/>
      <w:numFmt w:val="bullet"/>
      <w:lvlText w:val="•"/>
      <w:lvlJc w:val="left"/>
      <w:pPr>
        <w:ind w:left="6111" w:hanging="360"/>
      </w:pPr>
      <w:rPr>
        <w:rFonts w:hint="default"/>
        <w:lang w:val="en-US" w:eastAsia="zh-CN" w:bidi="ar-SA"/>
      </w:rPr>
    </w:lvl>
    <w:lvl w:ilvl="7">
      <w:start w:val="0"/>
      <w:numFmt w:val="bullet"/>
      <w:lvlText w:val="•"/>
      <w:lvlJc w:val="left"/>
      <w:pPr>
        <w:ind w:left="7029" w:hanging="360"/>
      </w:pPr>
      <w:rPr>
        <w:rFonts w:hint="default"/>
        <w:lang w:val="en-US" w:eastAsia="zh-CN" w:bidi="ar-SA"/>
      </w:rPr>
    </w:lvl>
    <w:lvl w:ilvl="8">
      <w:start w:val="0"/>
      <w:numFmt w:val="bullet"/>
      <w:lvlText w:val="•"/>
      <w:lvlJc w:val="left"/>
      <w:pPr>
        <w:ind w:left="7947" w:hanging="360"/>
      </w:pPr>
      <w:rPr>
        <w:rFonts w:hint="default"/>
        <w:lang w:val="en-US" w:eastAsia="zh-CN" w:bidi="ar-SA"/>
      </w:rPr>
    </w:lvl>
  </w:abstractNum>
  <w:abstractNum w:abstractNumId="6">
    <w:multiLevelType w:val="hybridMultilevel"/>
    <w:lvl w:ilvl="0">
      <w:start w:val="1"/>
      <w:numFmt w:val="decimal"/>
      <w:lvlText w:val="%1)"/>
      <w:lvlJc w:val="left"/>
      <w:pPr>
        <w:ind w:left="1277" w:hanging="360"/>
        <w:jc w:val="left"/>
      </w:pPr>
      <w:rPr>
        <w:rFonts w:hint="default" w:ascii="Times New Roman" w:hAnsi="Times New Roman" w:eastAsia="Times New Roman" w:cs="Times New Roman"/>
        <w:b w:val="0"/>
        <w:bCs w:val="0"/>
        <w:i w:val="0"/>
        <w:iCs w:val="0"/>
        <w:w w:val="100"/>
        <w:sz w:val="18"/>
        <w:szCs w:val="18"/>
        <w:lang w:val="en-US" w:eastAsia="zh-CN" w:bidi="ar-SA"/>
      </w:rPr>
    </w:lvl>
    <w:lvl w:ilvl="1">
      <w:start w:val="0"/>
      <w:numFmt w:val="bullet"/>
      <w:lvlText w:val="•"/>
      <w:lvlJc w:val="left"/>
      <w:pPr>
        <w:ind w:left="2130" w:hanging="360"/>
      </w:pPr>
      <w:rPr>
        <w:rFonts w:hint="default"/>
        <w:lang w:val="en-US" w:eastAsia="zh-CN" w:bidi="ar-SA"/>
      </w:rPr>
    </w:lvl>
    <w:lvl w:ilvl="2">
      <w:start w:val="0"/>
      <w:numFmt w:val="bullet"/>
      <w:lvlText w:val="•"/>
      <w:lvlJc w:val="left"/>
      <w:pPr>
        <w:ind w:left="2980" w:hanging="360"/>
      </w:pPr>
      <w:rPr>
        <w:rFonts w:hint="default"/>
        <w:lang w:val="en-US" w:eastAsia="zh-CN" w:bidi="ar-SA"/>
      </w:rPr>
    </w:lvl>
    <w:lvl w:ilvl="3">
      <w:start w:val="0"/>
      <w:numFmt w:val="bullet"/>
      <w:lvlText w:val="•"/>
      <w:lvlJc w:val="left"/>
      <w:pPr>
        <w:ind w:left="3831" w:hanging="360"/>
      </w:pPr>
      <w:rPr>
        <w:rFonts w:hint="default"/>
        <w:lang w:val="en-US" w:eastAsia="zh-CN" w:bidi="ar-SA"/>
      </w:rPr>
    </w:lvl>
    <w:lvl w:ilvl="4">
      <w:start w:val="0"/>
      <w:numFmt w:val="bullet"/>
      <w:lvlText w:val="•"/>
      <w:lvlJc w:val="left"/>
      <w:pPr>
        <w:ind w:left="4681" w:hanging="360"/>
      </w:pPr>
      <w:rPr>
        <w:rFonts w:hint="default"/>
        <w:lang w:val="en-US" w:eastAsia="zh-CN" w:bidi="ar-SA"/>
      </w:rPr>
    </w:lvl>
    <w:lvl w:ilvl="5">
      <w:start w:val="0"/>
      <w:numFmt w:val="bullet"/>
      <w:lvlText w:val="•"/>
      <w:lvlJc w:val="left"/>
      <w:pPr>
        <w:ind w:left="5532" w:hanging="360"/>
      </w:pPr>
      <w:rPr>
        <w:rFonts w:hint="default"/>
        <w:lang w:val="en-US" w:eastAsia="zh-CN" w:bidi="ar-SA"/>
      </w:rPr>
    </w:lvl>
    <w:lvl w:ilvl="6">
      <w:start w:val="0"/>
      <w:numFmt w:val="bullet"/>
      <w:lvlText w:val="•"/>
      <w:lvlJc w:val="left"/>
      <w:pPr>
        <w:ind w:left="6382" w:hanging="360"/>
      </w:pPr>
      <w:rPr>
        <w:rFonts w:hint="default"/>
        <w:lang w:val="en-US" w:eastAsia="zh-CN" w:bidi="ar-SA"/>
      </w:rPr>
    </w:lvl>
    <w:lvl w:ilvl="7">
      <w:start w:val="0"/>
      <w:numFmt w:val="bullet"/>
      <w:lvlText w:val="•"/>
      <w:lvlJc w:val="left"/>
      <w:pPr>
        <w:ind w:left="7233" w:hanging="360"/>
      </w:pPr>
      <w:rPr>
        <w:rFonts w:hint="default"/>
        <w:lang w:val="en-US" w:eastAsia="zh-CN" w:bidi="ar-SA"/>
      </w:rPr>
    </w:lvl>
    <w:lvl w:ilvl="8">
      <w:start w:val="0"/>
      <w:numFmt w:val="bullet"/>
      <w:lvlText w:val="•"/>
      <w:lvlJc w:val="left"/>
      <w:pPr>
        <w:ind w:left="8083" w:hanging="360"/>
      </w:pPr>
      <w:rPr>
        <w:rFonts w:hint="default"/>
        <w:lang w:val="en-US" w:eastAsia="zh-CN" w:bidi="ar-SA"/>
      </w:rPr>
    </w:lvl>
  </w:abstractNum>
  <w:abstractNum w:abstractNumId="5">
    <w:multiLevelType w:val="hybridMultilevel"/>
    <w:lvl w:ilvl="0">
      <w:start w:val="1"/>
      <w:numFmt w:val="decimal"/>
      <w:lvlText w:val="%1)"/>
      <w:lvlJc w:val="left"/>
      <w:pPr>
        <w:ind w:left="1277" w:hanging="360"/>
        <w:jc w:val="left"/>
      </w:pPr>
      <w:rPr>
        <w:rFonts w:hint="default" w:ascii="Times New Roman" w:hAnsi="Times New Roman" w:eastAsia="Times New Roman" w:cs="Times New Roman"/>
        <w:b w:val="0"/>
        <w:bCs w:val="0"/>
        <w:i w:val="0"/>
        <w:iCs w:val="0"/>
        <w:w w:val="100"/>
        <w:sz w:val="18"/>
        <w:szCs w:val="18"/>
        <w:lang w:val="en-US" w:eastAsia="zh-CN" w:bidi="ar-SA"/>
      </w:rPr>
    </w:lvl>
    <w:lvl w:ilvl="1">
      <w:start w:val="0"/>
      <w:numFmt w:val="bullet"/>
      <w:lvlText w:val="•"/>
      <w:lvlJc w:val="left"/>
      <w:pPr>
        <w:ind w:left="2130" w:hanging="360"/>
      </w:pPr>
      <w:rPr>
        <w:rFonts w:hint="default"/>
        <w:lang w:val="en-US" w:eastAsia="zh-CN" w:bidi="ar-SA"/>
      </w:rPr>
    </w:lvl>
    <w:lvl w:ilvl="2">
      <w:start w:val="0"/>
      <w:numFmt w:val="bullet"/>
      <w:lvlText w:val="•"/>
      <w:lvlJc w:val="left"/>
      <w:pPr>
        <w:ind w:left="2980" w:hanging="360"/>
      </w:pPr>
      <w:rPr>
        <w:rFonts w:hint="default"/>
        <w:lang w:val="en-US" w:eastAsia="zh-CN" w:bidi="ar-SA"/>
      </w:rPr>
    </w:lvl>
    <w:lvl w:ilvl="3">
      <w:start w:val="0"/>
      <w:numFmt w:val="bullet"/>
      <w:lvlText w:val="•"/>
      <w:lvlJc w:val="left"/>
      <w:pPr>
        <w:ind w:left="3831" w:hanging="360"/>
      </w:pPr>
      <w:rPr>
        <w:rFonts w:hint="default"/>
        <w:lang w:val="en-US" w:eastAsia="zh-CN" w:bidi="ar-SA"/>
      </w:rPr>
    </w:lvl>
    <w:lvl w:ilvl="4">
      <w:start w:val="0"/>
      <w:numFmt w:val="bullet"/>
      <w:lvlText w:val="•"/>
      <w:lvlJc w:val="left"/>
      <w:pPr>
        <w:ind w:left="4681" w:hanging="360"/>
      </w:pPr>
      <w:rPr>
        <w:rFonts w:hint="default"/>
        <w:lang w:val="en-US" w:eastAsia="zh-CN" w:bidi="ar-SA"/>
      </w:rPr>
    </w:lvl>
    <w:lvl w:ilvl="5">
      <w:start w:val="0"/>
      <w:numFmt w:val="bullet"/>
      <w:lvlText w:val="•"/>
      <w:lvlJc w:val="left"/>
      <w:pPr>
        <w:ind w:left="5532" w:hanging="360"/>
      </w:pPr>
      <w:rPr>
        <w:rFonts w:hint="default"/>
        <w:lang w:val="en-US" w:eastAsia="zh-CN" w:bidi="ar-SA"/>
      </w:rPr>
    </w:lvl>
    <w:lvl w:ilvl="6">
      <w:start w:val="0"/>
      <w:numFmt w:val="bullet"/>
      <w:lvlText w:val="•"/>
      <w:lvlJc w:val="left"/>
      <w:pPr>
        <w:ind w:left="6382" w:hanging="360"/>
      </w:pPr>
      <w:rPr>
        <w:rFonts w:hint="default"/>
        <w:lang w:val="en-US" w:eastAsia="zh-CN" w:bidi="ar-SA"/>
      </w:rPr>
    </w:lvl>
    <w:lvl w:ilvl="7">
      <w:start w:val="0"/>
      <w:numFmt w:val="bullet"/>
      <w:lvlText w:val="•"/>
      <w:lvlJc w:val="left"/>
      <w:pPr>
        <w:ind w:left="7233" w:hanging="360"/>
      </w:pPr>
      <w:rPr>
        <w:rFonts w:hint="default"/>
        <w:lang w:val="en-US" w:eastAsia="zh-CN" w:bidi="ar-SA"/>
      </w:rPr>
    </w:lvl>
    <w:lvl w:ilvl="8">
      <w:start w:val="0"/>
      <w:numFmt w:val="bullet"/>
      <w:lvlText w:val="•"/>
      <w:lvlJc w:val="left"/>
      <w:pPr>
        <w:ind w:left="8083" w:hanging="360"/>
      </w:pPr>
      <w:rPr>
        <w:rFonts w:hint="default"/>
        <w:lang w:val="en-US" w:eastAsia="zh-CN" w:bidi="ar-SA"/>
      </w:rPr>
    </w:lvl>
  </w:abstractNum>
  <w:abstractNum w:abstractNumId="4">
    <w:multiLevelType w:val="hybridMultilevel"/>
    <w:lvl w:ilvl="0">
      <w:start w:val="1"/>
      <w:numFmt w:val="decimal"/>
      <w:lvlText w:val="%1)"/>
      <w:lvlJc w:val="left"/>
      <w:pPr>
        <w:ind w:left="1577" w:hanging="420"/>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2400" w:hanging="420"/>
      </w:pPr>
      <w:rPr>
        <w:rFonts w:hint="default"/>
        <w:lang w:val="en-US" w:eastAsia="zh-CN" w:bidi="ar-SA"/>
      </w:rPr>
    </w:lvl>
    <w:lvl w:ilvl="2">
      <w:start w:val="0"/>
      <w:numFmt w:val="bullet"/>
      <w:lvlText w:val="•"/>
      <w:lvlJc w:val="left"/>
      <w:pPr>
        <w:ind w:left="3220" w:hanging="420"/>
      </w:pPr>
      <w:rPr>
        <w:rFonts w:hint="default"/>
        <w:lang w:val="en-US" w:eastAsia="zh-CN" w:bidi="ar-SA"/>
      </w:rPr>
    </w:lvl>
    <w:lvl w:ilvl="3">
      <w:start w:val="0"/>
      <w:numFmt w:val="bullet"/>
      <w:lvlText w:val="•"/>
      <w:lvlJc w:val="left"/>
      <w:pPr>
        <w:ind w:left="4041" w:hanging="420"/>
      </w:pPr>
      <w:rPr>
        <w:rFonts w:hint="default"/>
        <w:lang w:val="en-US" w:eastAsia="zh-CN" w:bidi="ar-SA"/>
      </w:rPr>
    </w:lvl>
    <w:lvl w:ilvl="4">
      <w:start w:val="0"/>
      <w:numFmt w:val="bullet"/>
      <w:lvlText w:val="•"/>
      <w:lvlJc w:val="left"/>
      <w:pPr>
        <w:ind w:left="4861" w:hanging="420"/>
      </w:pPr>
      <w:rPr>
        <w:rFonts w:hint="default"/>
        <w:lang w:val="en-US" w:eastAsia="zh-CN" w:bidi="ar-SA"/>
      </w:rPr>
    </w:lvl>
    <w:lvl w:ilvl="5">
      <w:start w:val="0"/>
      <w:numFmt w:val="bullet"/>
      <w:lvlText w:val="•"/>
      <w:lvlJc w:val="left"/>
      <w:pPr>
        <w:ind w:left="5682" w:hanging="420"/>
      </w:pPr>
      <w:rPr>
        <w:rFonts w:hint="default"/>
        <w:lang w:val="en-US" w:eastAsia="zh-CN" w:bidi="ar-SA"/>
      </w:rPr>
    </w:lvl>
    <w:lvl w:ilvl="6">
      <w:start w:val="0"/>
      <w:numFmt w:val="bullet"/>
      <w:lvlText w:val="•"/>
      <w:lvlJc w:val="left"/>
      <w:pPr>
        <w:ind w:left="6502" w:hanging="420"/>
      </w:pPr>
      <w:rPr>
        <w:rFonts w:hint="default"/>
        <w:lang w:val="en-US" w:eastAsia="zh-CN" w:bidi="ar-SA"/>
      </w:rPr>
    </w:lvl>
    <w:lvl w:ilvl="7">
      <w:start w:val="0"/>
      <w:numFmt w:val="bullet"/>
      <w:lvlText w:val="•"/>
      <w:lvlJc w:val="left"/>
      <w:pPr>
        <w:ind w:left="7323" w:hanging="420"/>
      </w:pPr>
      <w:rPr>
        <w:rFonts w:hint="default"/>
        <w:lang w:val="en-US" w:eastAsia="zh-CN" w:bidi="ar-SA"/>
      </w:rPr>
    </w:lvl>
    <w:lvl w:ilvl="8">
      <w:start w:val="0"/>
      <w:numFmt w:val="bullet"/>
      <w:lvlText w:val="•"/>
      <w:lvlJc w:val="left"/>
      <w:pPr>
        <w:ind w:left="8143" w:hanging="420"/>
      </w:pPr>
      <w:rPr>
        <w:rFonts w:hint="default"/>
        <w:lang w:val="en-US" w:eastAsia="zh-CN" w:bidi="ar-SA"/>
      </w:rPr>
    </w:lvl>
  </w:abstractNum>
  <w:abstractNum w:abstractNumId="3">
    <w:multiLevelType w:val="hybridMultilevel"/>
    <w:lvl w:ilvl="0">
      <w:start w:val="1"/>
      <w:numFmt w:val="decimal"/>
      <w:lvlText w:val="%1)"/>
      <w:lvlJc w:val="left"/>
      <w:pPr>
        <w:ind w:left="1187" w:hanging="240"/>
        <w:jc w:val="left"/>
      </w:pPr>
      <w:rPr>
        <w:rFonts w:hint="default" w:ascii="Times New Roman" w:hAnsi="Times New Roman" w:eastAsia="Times New Roman" w:cs="Times New Roman"/>
        <w:b w:val="0"/>
        <w:bCs w:val="0"/>
        <w:i w:val="0"/>
        <w:iCs w:val="0"/>
        <w:w w:val="100"/>
        <w:sz w:val="18"/>
        <w:szCs w:val="18"/>
        <w:shd w:fill="D9D9D9" w:color="auto" w:val="clear"/>
        <w:lang w:val="en-US" w:eastAsia="zh-CN" w:bidi="ar-SA"/>
      </w:rPr>
    </w:lvl>
    <w:lvl w:ilvl="1">
      <w:start w:val="1"/>
      <w:numFmt w:val="decimal"/>
      <w:lvlText w:val="%2)"/>
      <w:lvlJc w:val="left"/>
      <w:pPr>
        <w:ind w:left="1583" w:hanging="420"/>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2491" w:hanging="420"/>
      </w:pPr>
      <w:rPr>
        <w:rFonts w:hint="default"/>
        <w:lang w:val="en-US" w:eastAsia="zh-CN" w:bidi="ar-SA"/>
      </w:rPr>
    </w:lvl>
    <w:lvl w:ilvl="3">
      <w:start w:val="0"/>
      <w:numFmt w:val="bullet"/>
      <w:lvlText w:val="•"/>
      <w:lvlJc w:val="left"/>
      <w:pPr>
        <w:ind w:left="3403" w:hanging="420"/>
      </w:pPr>
      <w:rPr>
        <w:rFonts w:hint="default"/>
        <w:lang w:val="en-US" w:eastAsia="zh-CN" w:bidi="ar-SA"/>
      </w:rPr>
    </w:lvl>
    <w:lvl w:ilvl="4">
      <w:start w:val="0"/>
      <w:numFmt w:val="bullet"/>
      <w:lvlText w:val="•"/>
      <w:lvlJc w:val="left"/>
      <w:pPr>
        <w:ind w:left="4314" w:hanging="420"/>
      </w:pPr>
      <w:rPr>
        <w:rFonts w:hint="default"/>
        <w:lang w:val="en-US" w:eastAsia="zh-CN" w:bidi="ar-SA"/>
      </w:rPr>
    </w:lvl>
    <w:lvl w:ilvl="5">
      <w:start w:val="0"/>
      <w:numFmt w:val="bullet"/>
      <w:lvlText w:val="•"/>
      <w:lvlJc w:val="left"/>
      <w:pPr>
        <w:ind w:left="5226" w:hanging="420"/>
      </w:pPr>
      <w:rPr>
        <w:rFonts w:hint="default"/>
        <w:lang w:val="en-US" w:eastAsia="zh-CN" w:bidi="ar-SA"/>
      </w:rPr>
    </w:lvl>
    <w:lvl w:ilvl="6">
      <w:start w:val="0"/>
      <w:numFmt w:val="bullet"/>
      <w:lvlText w:val="•"/>
      <w:lvlJc w:val="left"/>
      <w:pPr>
        <w:ind w:left="6138" w:hanging="420"/>
      </w:pPr>
      <w:rPr>
        <w:rFonts w:hint="default"/>
        <w:lang w:val="en-US" w:eastAsia="zh-CN" w:bidi="ar-SA"/>
      </w:rPr>
    </w:lvl>
    <w:lvl w:ilvl="7">
      <w:start w:val="0"/>
      <w:numFmt w:val="bullet"/>
      <w:lvlText w:val="•"/>
      <w:lvlJc w:val="left"/>
      <w:pPr>
        <w:ind w:left="7049" w:hanging="420"/>
      </w:pPr>
      <w:rPr>
        <w:rFonts w:hint="default"/>
        <w:lang w:val="en-US" w:eastAsia="zh-CN" w:bidi="ar-SA"/>
      </w:rPr>
    </w:lvl>
    <w:lvl w:ilvl="8">
      <w:start w:val="0"/>
      <w:numFmt w:val="bullet"/>
      <w:lvlText w:val="•"/>
      <w:lvlJc w:val="left"/>
      <w:pPr>
        <w:ind w:left="7961" w:hanging="420"/>
      </w:pPr>
      <w:rPr>
        <w:rFonts w:hint="default"/>
        <w:lang w:val="en-US" w:eastAsia="zh-CN" w:bidi="ar-SA"/>
      </w:rPr>
    </w:lvl>
  </w:abstractNum>
  <w:abstractNum w:abstractNumId="2">
    <w:multiLevelType w:val="hybridMultilevel"/>
    <w:lvl w:ilvl="0">
      <w:start w:val="1"/>
      <w:numFmt w:val="decimal"/>
      <w:lvlText w:val="%1)"/>
      <w:lvlJc w:val="left"/>
      <w:pPr>
        <w:ind w:left="1277" w:hanging="360"/>
        <w:jc w:val="left"/>
      </w:pPr>
      <w:rPr>
        <w:rFonts w:hint="default" w:ascii="Times New Roman" w:hAnsi="Times New Roman" w:eastAsia="Times New Roman" w:cs="Times New Roman"/>
        <w:b w:val="0"/>
        <w:bCs w:val="0"/>
        <w:i w:val="0"/>
        <w:iCs w:val="0"/>
        <w:w w:val="100"/>
        <w:sz w:val="18"/>
        <w:szCs w:val="18"/>
        <w:lang w:val="en-US" w:eastAsia="zh-CN" w:bidi="ar-SA"/>
      </w:rPr>
    </w:lvl>
    <w:lvl w:ilvl="1">
      <w:start w:val="1"/>
      <w:numFmt w:val="decimal"/>
      <w:lvlText w:val="%2)"/>
      <w:lvlJc w:val="left"/>
      <w:pPr>
        <w:ind w:left="1577" w:hanging="420"/>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2491" w:hanging="420"/>
      </w:pPr>
      <w:rPr>
        <w:rFonts w:hint="default"/>
        <w:lang w:val="en-US" w:eastAsia="zh-CN" w:bidi="ar-SA"/>
      </w:rPr>
    </w:lvl>
    <w:lvl w:ilvl="3">
      <w:start w:val="0"/>
      <w:numFmt w:val="bullet"/>
      <w:lvlText w:val="•"/>
      <w:lvlJc w:val="left"/>
      <w:pPr>
        <w:ind w:left="3403" w:hanging="420"/>
      </w:pPr>
      <w:rPr>
        <w:rFonts w:hint="default"/>
        <w:lang w:val="en-US" w:eastAsia="zh-CN" w:bidi="ar-SA"/>
      </w:rPr>
    </w:lvl>
    <w:lvl w:ilvl="4">
      <w:start w:val="0"/>
      <w:numFmt w:val="bullet"/>
      <w:lvlText w:val="•"/>
      <w:lvlJc w:val="left"/>
      <w:pPr>
        <w:ind w:left="4314" w:hanging="420"/>
      </w:pPr>
      <w:rPr>
        <w:rFonts w:hint="default"/>
        <w:lang w:val="en-US" w:eastAsia="zh-CN" w:bidi="ar-SA"/>
      </w:rPr>
    </w:lvl>
    <w:lvl w:ilvl="5">
      <w:start w:val="0"/>
      <w:numFmt w:val="bullet"/>
      <w:lvlText w:val="•"/>
      <w:lvlJc w:val="left"/>
      <w:pPr>
        <w:ind w:left="5226" w:hanging="420"/>
      </w:pPr>
      <w:rPr>
        <w:rFonts w:hint="default"/>
        <w:lang w:val="en-US" w:eastAsia="zh-CN" w:bidi="ar-SA"/>
      </w:rPr>
    </w:lvl>
    <w:lvl w:ilvl="6">
      <w:start w:val="0"/>
      <w:numFmt w:val="bullet"/>
      <w:lvlText w:val="•"/>
      <w:lvlJc w:val="left"/>
      <w:pPr>
        <w:ind w:left="6138" w:hanging="420"/>
      </w:pPr>
      <w:rPr>
        <w:rFonts w:hint="default"/>
        <w:lang w:val="en-US" w:eastAsia="zh-CN" w:bidi="ar-SA"/>
      </w:rPr>
    </w:lvl>
    <w:lvl w:ilvl="7">
      <w:start w:val="0"/>
      <w:numFmt w:val="bullet"/>
      <w:lvlText w:val="•"/>
      <w:lvlJc w:val="left"/>
      <w:pPr>
        <w:ind w:left="7049" w:hanging="420"/>
      </w:pPr>
      <w:rPr>
        <w:rFonts w:hint="default"/>
        <w:lang w:val="en-US" w:eastAsia="zh-CN" w:bidi="ar-SA"/>
      </w:rPr>
    </w:lvl>
    <w:lvl w:ilvl="8">
      <w:start w:val="0"/>
      <w:numFmt w:val="bullet"/>
      <w:lvlText w:val="•"/>
      <w:lvlJc w:val="left"/>
      <w:pPr>
        <w:ind w:left="7961" w:hanging="420"/>
      </w:pPr>
      <w:rPr>
        <w:rFonts w:hint="default"/>
        <w:lang w:val="en-US" w:eastAsia="zh-CN" w:bidi="ar-SA"/>
      </w:rPr>
    </w:lvl>
  </w:abstractNum>
  <w:abstractNum w:abstractNumId="1">
    <w:multiLevelType w:val="hybridMultilevel"/>
    <w:lvl w:ilvl="0">
      <w:start w:val="2"/>
      <w:numFmt w:val="decimal"/>
      <w:lvlText w:val="%1)"/>
      <w:lvlJc w:val="left"/>
      <w:pPr>
        <w:ind w:left="1277" w:hanging="360"/>
        <w:jc w:val="left"/>
      </w:pPr>
      <w:rPr>
        <w:rFonts w:hint="default" w:ascii="Times New Roman" w:hAnsi="Times New Roman" w:eastAsia="Times New Roman" w:cs="Times New Roman"/>
        <w:b w:val="0"/>
        <w:bCs w:val="0"/>
        <w:i w:val="0"/>
        <w:iCs w:val="0"/>
        <w:w w:val="100"/>
        <w:sz w:val="18"/>
        <w:szCs w:val="18"/>
        <w:lang w:val="en-US" w:eastAsia="zh-CN" w:bidi="ar-SA"/>
      </w:rPr>
    </w:lvl>
    <w:lvl w:ilvl="1">
      <w:start w:val="0"/>
      <w:numFmt w:val="bullet"/>
      <w:lvlText w:val="•"/>
      <w:lvlJc w:val="left"/>
      <w:pPr>
        <w:ind w:left="2130" w:hanging="360"/>
      </w:pPr>
      <w:rPr>
        <w:rFonts w:hint="default"/>
        <w:lang w:val="en-US" w:eastAsia="zh-CN" w:bidi="ar-SA"/>
      </w:rPr>
    </w:lvl>
    <w:lvl w:ilvl="2">
      <w:start w:val="0"/>
      <w:numFmt w:val="bullet"/>
      <w:lvlText w:val="•"/>
      <w:lvlJc w:val="left"/>
      <w:pPr>
        <w:ind w:left="2980" w:hanging="360"/>
      </w:pPr>
      <w:rPr>
        <w:rFonts w:hint="default"/>
        <w:lang w:val="en-US" w:eastAsia="zh-CN" w:bidi="ar-SA"/>
      </w:rPr>
    </w:lvl>
    <w:lvl w:ilvl="3">
      <w:start w:val="0"/>
      <w:numFmt w:val="bullet"/>
      <w:lvlText w:val="•"/>
      <w:lvlJc w:val="left"/>
      <w:pPr>
        <w:ind w:left="3831" w:hanging="360"/>
      </w:pPr>
      <w:rPr>
        <w:rFonts w:hint="default"/>
        <w:lang w:val="en-US" w:eastAsia="zh-CN" w:bidi="ar-SA"/>
      </w:rPr>
    </w:lvl>
    <w:lvl w:ilvl="4">
      <w:start w:val="0"/>
      <w:numFmt w:val="bullet"/>
      <w:lvlText w:val="•"/>
      <w:lvlJc w:val="left"/>
      <w:pPr>
        <w:ind w:left="4681" w:hanging="360"/>
      </w:pPr>
      <w:rPr>
        <w:rFonts w:hint="default"/>
        <w:lang w:val="en-US" w:eastAsia="zh-CN" w:bidi="ar-SA"/>
      </w:rPr>
    </w:lvl>
    <w:lvl w:ilvl="5">
      <w:start w:val="0"/>
      <w:numFmt w:val="bullet"/>
      <w:lvlText w:val="•"/>
      <w:lvlJc w:val="left"/>
      <w:pPr>
        <w:ind w:left="5532" w:hanging="360"/>
      </w:pPr>
      <w:rPr>
        <w:rFonts w:hint="default"/>
        <w:lang w:val="en-US" w:eastAsia="zh-CN" w:bidi="ar-SA"/>
      </w:rPr>
    </w:lvl>
    <w:lvl w:ilvl="6">
      <w:start w:val="0"/>
      <w:numFmt w:val="bullet"/>
      <w:lvlText w:val="•"/>
      <w:lvlJc w:val="left"/>
      <w:pPr>
        <w:ind w:left="6382" w:hanging="360"/>
      </w:pPr>
      <w:rPr>
        <w:rFonts w:hint="default"/>
        <w:lang w:val="en-US" w:eastAsia="zh-CN" w:bidi="ar-SA"/>
      </w:rPr>
    </w:lvl>
    <w:lvl w:ilvl="7">
      <w:start w:val="0"/>
      <w:numFmt w:val="bullet"/>
      <w:lvlText w:val="•"/>
      <w:lvlJc w:val="left"/>
      <w:pPr>
        <w:ind w:left="7233" w:hanging="360"/>
      </w:pPr>
      <w:rPr>
        <w:rFonts w:hint="default"/>
        <w:lang w:val="en-US" w:eastAsia="zh-CN" w:bidi="ar-SA"/>
      </w:rPr>
    </w:lvl>
    <w:lvl w:ilvl="8">
      <w:start w:val="0"/>
      <w:numFmt w:val="bullet"/>
      <w:lvlText w:val="•"/>
      <w:lvlJc w:val="left"/>
      <w:pPr>
        <w:ind w:left="8083" w:hanging="360"/>
      </w:pPr>
      <w:rPr>
        <w:rFonts w:hint="default"/>
        <w:lang w:val="en-US" w:eastAsia="zh-CN" w:bidi="ar-SA"/>
      </w:rPr>
    </w:lvl>
  </w:abstractNum>
  <w:abstractNum w:abstractNumId="0">
    <w:multiLevelType w:val="hybridMultilevel"/>
    <w:lvl w:ilvl="0">
      <w:start w:val="1"/>
      <w:numFmt w:val="decimal"/>
      <w:lvlText w:val="%1)"/>
      <w:lvlJc w:val="left"/>
      <w:pPr>
        <w:ind w:left="1277" w:hanging="360"/>
        <w:jc w:val="left"/>
      </w:pPr>
      <w:rPr>
        <w:rFonts w:hint="default" w:ascii="Times New Roman" w:hAnsi="Times New Roman" w:eastAsia="Times New Roman" w:cs="Times New Roman"/>
        <w:b w:val="0"/>
        <w:bCs w:val="0"/>
        <w:i w:val="0"/>
        <w:iCs w:val="0"/>
        <w:w w:val="100"/>
        <w:sz w:val="18"/>
        <w:szCs w:val="18"/>
        <w:lang w:val="en-US" w:eastAsia="zh-CN" w:bidi="ar-SA"/>
      </w:rPr>
    </w:lvl>
    <w:lvl w:ilvl="1">
      <w:start w:val="1"/>
      <w:numFmt w:val="decimal"/>
      <w:lvlText w:val="%2)"/>
      <w:lvlJc w:val="left"/>
      <w:pPr>
        <w:ind w:left="1583" w:hanging="420"/>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2491" w:hanging="420"/>
      </w:pPr>
      <w:rPr>
        <w:rFonts w:hint="default"/>
        <w:lang w:val="en-US" w:eastAsia="zh-CN" w:bidi="ar-SA"/>
      </w:rPr>
    </w:lvl>
    <w:lvl w:ilvl="3">
      <w:start w:val="0"/>
      <w:numFmt w:val="bullet"/>
      <w:lvlText w:val="•"/>
      <w:lvlJc w:val="left"/>
      <w:pPr>
        <w:ind w:left="3403" w:hanging="420"/>
      </w:pPr>
      <w:rPr>
        <w:rFonts w:hint="default"/>
        <w:lang w:val="en-US" w:eastAsia="zh-CN" w:bidi="ar-SA"/>
      </w:rPr>
    </w:lvl>
    <w:lvl w:ilvl="4">
      <w:start w:val="0"/>
      <w:numFmt w:val="bullet"/>
      <w:lvlText w:val="•"/>
      <w:lvlJc w:val="left"/>
      <w:pPr>
        <w:ind w:left="4314" w:hanging="420"/>
      </w:pPr>
      <w:rPr>
        <w:rFonts w:hint="default"/>
        <w:lang w:val="en-US" w:eastAsia="zh-CN" w:bidi="ar-SA"/>
      </w:rPr>
    </w:lvl>
    <w:lvl w:ilvl="5">
      <w:start w:val="0"/>
      <w:numFmt w:val="bullet"/>
      <w:lvlText w:val="•"/>
      <w:lvlJc w:val="left"/>
      <w:pPr>
        <w:ind w:left="5226" w:hanging="420"/>
      </w:pPr>
      <w:rPr>
        <w:rFonts w:hint="default"/>
        <w:lang w:val="en-US" w:eastAsia="zh-CN" w:bidi="ar-SA"/>
      </w:rPr>
    </w:lvl>
    <w:lvl w:ilvl="6">
      <w:start w:val="0"/>
      <w:numFmt w:val="bullet"/>
      <w:lvlText w:val="•"/>
      <w:lvlJc w:val="left"/>
      <w:pPr>
        <w:ind w:left="6138" w:hanging="420"/>
      </w:pPr>
      <w:rPr>
        <w:rFonts w:hint="default"/>
        <w:lang w:val="en-US" w:eastAsia="zh-CN" w:bidi="ar-SA"/>
      </w:rPr>
    </w:lvl>
    <w:lvl w:ilvl="7">
      <w:start w:val="0"/>
      <w:numFmt w:val="bullet"/>
      <w:lvlText w:val="•"/>
      <w:lvlJc w:val="left"/>
      <w:pPr>
        <w:ind w:left="7049" w:hanging="420"/>
      </w:pPr>
      <w:rPr>
        <w:rFonts w:hint="default"/>
        <w:lang w:val="en-US" w:eastAsia="zh-CN" w:bidi="ar-SA"/>
      </w:rPr>
    </w:lvl>
    <w:lvl w:ilvl="8">
      <w:start w:val="0"/>
      <w:numFmt w:val="bullet"/>
      <w:lvlText w:val="•"/>
      <w:lvlJc w:val="left"/>
      <w:pPr>
        <w:ind w:left="7961" w:hanging="420"/>
      </w:pPr>
      <w:rPr>
        <w:rFonts w:hint="default"/>
        <w:lang w:val="en-US" w:eastAsia="zh-CN" w:bidi="ar-SA"/>
      </w:rPr>
    </w:lvl>
  </w:abstract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36"/>
      <w:ind w:left="737"/>
    </w:pPr>
    <w:rPr>
      <w:rFonts w:ascii="宋体" w:hAnsi="宋体" w:eastAsia="宋体" w:cs="宋体"/>
      <w:b/>
      <w:bCs/>
      <w:sz w:val="21"/>
      <w:szCs w:val="21"/>
      <w:lang w:val="en-US" w:eastAsia="zh-CN" w:bidi="ar-SA"/>
    </w:rPr>
  </w:style>
  <w:style w:styleId="TOC2" w:type="paragraph">
    <w:name w:val="TOC 2"/>
    <w:basedOn w:val="Normal"/>
    <w:uiPriority w:val="1"/>
    <w:qFormat/>
    <w:pPr>
      <w:spacing w:before="30"/>
      <w:ind w:left="1157"/>
    </w:pPr>
    <w:rPr>
      <w:rFonts w:ascii="宋体" w:hAnsi="宋体" w:eastAsia="宋体" w:cs="宋体"/>
      <w:sz w:val="22"/>
      <w:szCs w:val="22"/>
      <w:lang w:val="en-US" w:eastAsia="zh-CN" w:bidi="ar-SA"/>
    </w:rPr>
  </w:style>
  <w:style w:styleId="BodyText" w:type="paragraph">
    <w:name w:val="Body Text"/>
    <w:basedOn w:val="Normal"/>
    <w:uiPriority w:val="1"/>
    <w:qFormat/>
    <w:pPr>
      <w:ind w:left="737"/>
    </w:pPr>
    <w:rPr>
      <w:rFonts w:ascii="宋体" w:hAnsi="宋体" w:eastAsia="宋体" w:cs="宋体"/>
      <w:sz w:val="21"/>
      <w:szCs w:val="21"/>
      <w:lang w:val="en-US" w:eastAsia="zh-CN" w:bidi="ar-SA"/>
    </w:rPr>
  </w:style>
  <w:style w:styleId="Heading1" w:type="paragraph">
    <w:name w:val="Heading 1"/>
    <w:basedOn w:val="Normal"/>
    <w:uiPriority w:val="1"/>
    <w:qFormat/>
    <w:pPr>
      <w:ind w:left="1583"/>
      <w:outlineLvl w:val="1"/>
    </w:pPr>
    <w:rPr>
      <w:rFonts w:ascii="宋体" w:hAnsi="宋体" w:eastAsia="宋体" w:cs="宋体"/>
      <w:b/>
      <w:bCs/>
      <w:sz w:val="21"/>
      <w:szCs w:val="21"/>
      <w:lang w:val="en-US" w:eastAsia="zh-CN" w:bidi="ar-SA"/>
    </w:rPr>
  </w:style>
  <w:style w:styleId="Title" w:type="paragraph">
    <w:name w:val="Title"/>
    <w:basedOn w:val="Normal"/>
    <w:uiPriority w:val="1"/>
    <w:qFormat/>
    <w:pPr>
      <w:ind w:left="3324" w:right="3322"/>
      <w:jc w:val="center"/>
    </w:pPr>
    <w:rPr>
      <w:rFonts w:ascii="宋体" w:hAnsi="宋体" w:eastAsia="宋体" w:cs="宋体"/>
      <w:b/>
      <w:bCs/>
      <w:sz w:val="32"/>
      <w:szCs w:val="32"/>
      <w:lang w:val="en-US" w:eastAsia="zh-CN" w:bidi="ar-SA"/>
    </w:rPr>
  </w:style>
  <w:style w:styleId="ListParagraph" w:type="paragraph">
    <w:name w:val="List Paragraph"/>
    <w:basedOn w:val="Normal"/>
    <w:uiPriority w:val="1"/>
    <w:qFormat/>
    <w:pPr>
      <w:spacing w:line="220" w:lineRule="exact"/>
      <w:ind w:left="1277" w:hanging="361"/>
    </w:pPr>
    <w:rPr>
      <w:rFonts w:ascii="宋体" w:hAnsi="宋体" w:eastAsia="宋体" w:cs="宋体"/>
      <w:lang w:val="en-US" w:eastAsia="zh-CN" w:bidi="ar-SA"/>
    </w:rPr>
  </w:style>
  <w:style w:styleId="TableParagraph" w:type="paragraph">
    <w:name w:val="Table Paragraph"/>
    <w:basedOn w:val="Normal"/>
    <w:uiPriority w:val="1"/>
    <w:qFormat/>
    <w:pPr>
      <w:spacing w:before="43"/>
      <w:ind w:left="107"/>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2023-06-02T07:27:35Z</dcterms:created>
  <dcterms:modified xsi:type="dcterms:W3CDTF">2023-06-02T07:27:35Z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