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9"/>
        <w:rPr>
          <w:rFonts w:ascii="Times New Roman"/>
          <w:sz w:val="53"/>
        </w:rPr>
      </w:pPr>
    </w:p>
    <w:p>
      <w:pPr>
        <w:pStyle w:val="5"/>
      </w:pPr>
      <w:r>
        <w:rPr>
          <w:w w:val="95"/>
        </w:rPr>
        <w:t>鼎诚人寿保险有限责任公</w:t>
      </w:r>
      <w:r>
        <w:rPr>
          <w:spacing w:val="-10"/>
          <w:w w:val="95"/>
        </w:rPr>
        <w:t>司</w:t>
      </w:r>
    </w:p>
    <w:p>
      <w:pPr>
        <w:spacing w:before="97" w:line="314" w:lineRule="auto"/>
        <w:ind w:left="3198" w:right="207" w:firstLine="0"/>
        <w:jc w:val="center"/>
        <w:rPr>
          <w:rFonts w:hint="eastAsia" w:ascii="华文中宋" w:eastAsia="华文中宋"/>
          <w:b/>
          <w:sz w:val="30"/>
        </w:rPr>
      </w:pPr>
      <w:r>
        <w:rPr>
          <w:rFonts w:hint="eastAsia" w:ascii="华文中宋" w:eastAsia="华文中宋"/>
          <w:b/>
          <w:spacing w:val="-2"/>
          <w:sz w:val="30"/>
        </w:rPr>
        <w:t>鼎诚鼎宝保重大疾病保险条款</w:t>
      </w:r>
      <w:r>
        <w:rPr>
          <w:rFonts w:hint="eastAsia" w:ascii="华文中宋" w:eastAsia="华文中宋"/>
          <w:b/>
          <w:spacing w:val="16"/>
          <w:sz w:val="30"/>
        </w:rPr>
        <w:t>阅 读 指 引</w:t>
      </w:r>
    </w:p>
    <w:p>
      <w:pPr>
        <w:pStyle w:val="4"/>
        <w:spacing w:before="50" w:line="278" w:lineRule="auto"/>
        <w:ind w:left="1199" w:right="109"/>
        <w:jc w:val="center"/>
      </w:pPr>
      <w:r>
        <w:br w:type="column"/>
      </w:r>
      <w:r>
        <w:rPr>
          <w:spacing w:val="-2"/>
        </w:rPr>
        <w:t>鼎诚人寿〔2022〕疾病</w:t>
      </w:r>
      <w:r>
        <w:rPr>
          <w:spacing w:val="-8"/>
        </w:rPr>
        <w:t xml:space="preserve">保险 </w:t>
      </w:r>
      <w:r>
        <w:t>003</w:t>
      </w:r>
      <w:r>
        <w:rPr>
          <w:spacing w:val="-11"/>
        </w:rPr>
        <w:t xml:space="preserve"> 号</w:t>
      </w:r>
    </w:p>
    <w:p>
      <w:pPr>
        <w:pStyle w:val="4"/>
        <w:spacing w:before="3"/>
        <w:rPr>
          <w:sz w:val="2"/>
        </w:rPr>
      </w:pPr>
    </w:p>
    <w:p>
      <w:pPr>
        <w:pStyle w:val="4"/>
        <w:ind w:left="1678"/>
        <w:rPr>
          <w:sz w:val="20"/>
        </w:rPr>
      </w:pPr>
      <w:r>
        <w:rPr>
          <w:sz w:val="20"/>
        </w:rPr>
        <w:drawing>
          <wp:inline distT="0" distB="0" distL="0" distR="0">
            <wp:extent cx="723900" cy="723900"/>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a:picLocks noChangeAspect="1"/>
                    </pic:cNvPicPr>
                  </pic:nvPicPr>
                  <pic:blipFill>
                    <a:blip r:embed="rId7" cstate="print"/>
                    <a:stretch>
                      <a:fillRect/>
                    </a:stretch>
                  </pic:blipFill>
                  <pic:spPr>
                    <a:xfrm>
                      <a:off x="0" y="0"/>
                      <a:ext cx="723900" cy="723900"/>
                    </a:xfrm>
                    <a:prstGeom prst="rect">
                      <a:avLst/>
                    </a:prstGeom>
                  </pic:spPr>
                </pic:pic>
              </a:graphicData>
            </a:graphic>
          </wp:inline>
        </w:drawing>
      </w:r>
    </w:p>
    <w:p>
      <w:pPr>
        <w:pStyle w:val="4"/>
        <w:spacing w:before="77"/>
        <w:ind w:left="1197" w:right="107"/>
        <w:jc w:val="center"/>
      </w:pPr>
      <w:r>
        <w:rPr>
          <w:spacing w:val="-3"/>
        </w:rPr>
        <w:t>请扫描以查询验证条款</w:t>
      </w:r>
    </w:p>
    <w:p>
      <w:pPr>
        <w:spacing w:after="0"/>
        <w:jc w:val="center"/>
        <w:sectPr>
          <w:footerReference r:id="rId5" w:type="default"/>
          <w:type w:val="continuous"/>
          <w:pgSz w:w="11910" w:h="16840"/>
          <w:pgMar w:top="240" w:right="340" w:bottom="640" w:left="800" w:header="0" w:footer="457" w:gutter="0"/>
          <w:pgNumType w:start="1"/>
          <w:cols w:equalWidth="0" w:num="2">
            <w:col w:w="7315" w:space="40"/>
            <w:col w:w="3415"/>
          </w:cols>
        </w:sectPr>
      </w:pPr>
    </w:p>
    <w:p>
      <w:pPr>
        <w:pStyle w:val="4"/>
        <w:spacing w:line="189" w:lineRule="auto"/>
        <w:ind w:left="1117" w:right="1512"/>
        <w:jc w:val="center"/>
      </w:pPr>
      <w:r>
        <w:rPr>
          <w:spacing w:val="-149"/>
        </w:rPr>
        <w:t>在</w:t>
      </w:r>
      <w:r>
        <w:rPr>
          <w:spacing w:val="-63"/>
          <w:position w:val="-7"/>
        </w:rPr>
        <w:t>．</w:t>
      </w:r>
      <w:r>
        <w:rPr>
          <w:spacing w:val="-149"/>
        </w:rPr>
        <w:t>本</w:t>
      </w:r>
      <w:r>
        <w:rPr>
          <w:spacing w:val="-63"/>
          <w:position w:val="-7"/>
        </w:rPr>
        <w:t>．</w:t>
      </w:r>
      <w:r>
        <w:rPr>
          <w:spacing w:val="-152"/>
        </w:rPr>
        <w:t>条</w:t>
      </w:r>
      <w:r>
        <w:rPr>
          <w:spacing w:val="-63"/>
          <w:position w:val="-7"/>
        </w:rPr>
        <w:t>．</w:t>
      </w:r>
      <w:r>
        <w:rPr>
          <w:spacing w:val="-149"/>
        </w:rPr>
        <w:t>款</w:t>
      </w:r>
      <w:r>
        <w:rPr>
          <w:spacing w:val="-63"/>
          <w:position w:val="-7"/>
        </w:rPr>
        <w:t>．</w:t>
      </w:r>
      <w:r>
        <w:rPr>
          <w:spacing w:val="-152"/>
        </w:rPr>
        <w:t>中</w:t>
      </w:r>
      <w:r>
        <w:rPr>
          <w:spacing w:val="-99"/>
          <w:position w:val="-7"/>
        </w:rPr>
        <w:t>．</w:t>
      </w:r>
      <w:r>
        <w:rPr>
          <w:spacing w:val="-99"/>
        </w:rPr>
        <w:t>，</w:t>
      </w:r>
      <w:r>
        <w:rPr>
          <w:spacing w:val="-99"/>
          <w:position w:val="-7"/>
        </w:rPr>
        <w:t>．</w:t>
      </w:r>
      <w:r>
        <w:rPr>
          <w:spacing w:val="-99"/>
        </w:rPr>
        <w:t>“</w:t>
      </w:r>
      <w:r>
        <w:rPr>
          <w:spacing w:val="-99"/>
          <w:position w:val="-7"/>
        </w:rPr>
        <w:t>．</w:t>
      </w:r>
      <w:r>
        <w:rPr>
          <w:spacing w:val="-149"/>
        </w:rPr>
        <w:t>您</w:t>
      </w:r>
      <w:r>
        <w:rPr>
          <w:spacing w:val="-93"/>
          <w:position w:val="-7"/>
        </w:rPr>
        <w:t>．</w:t>
      </w:r>
      <w:r>
        <w:rPr>
          <w:spacing w:val="-93"/>
        </w:rPr>
        <w:t>”</w:t>
      </w:r>
      <w:r>
        <w:rPr>
          <w:spacing w:val="-93"/>
          <w:position w:val="-7"/>
        </w:rPr>
        <w:t>．</w:t>
      </w:r>
      <w:r>
        <w:rPr>
          <w:spacing w:val="-149"/>
        </w:rPr>
        <w:t>指</w:t>
      </w:r>
      <w:r>
        <w:rPr>
          <w:spacing w:val="-63"/>
          <w:position w:val="-7"/>
        </w:rPr>
        <w:t>．</w:t>
      </w:r>
      <w:r>
        <w:rPr>
          <w:spacing w:val="-151"/>
        </w:rPr>
        <w:t>投</w:t>
      </w:r>
      <w:r>
        <w:rPr>
          <w:spacing w:val="-63"/>
          <w:position w:val="-7"/>
        </w:rPr>
        <w:t>．</w:t>
      </w:r>
      <w:r>
        <w:rPr>
          <w:spacing w:val="-149"/>
        </w:rPr>
        <w:t>保</w:t>
      </w:r>
      <w:r>
        <w:rPr>
          <w:spacing w:val="-63"/>
          <w:position w:val="-7"/>
        </w:rPr>
        <w:t>．</w:t>
      </w:r>
      <w:r>
        <w:rPr>
          <w:spacing w:val="-149"/>
        </w:rPr>
        <w:t>人</w:t>
      </w:r>
      <w:r>
        <w:rPr>
          <w:spacing w:val="-98"/>
          <w:position w:val="-7"/>
        </w:rPr>
        <w:t>．</w:t>
      </w:r>
      <w:r>
        <w:rPr>
          <w:spacing w:val="-98"/>
        </w:rPr>
        <w:t>，</w:t>
      </w:r>
      <w:r>
        <w:rPr>
          <w:spacing w:val="-98"/>
          <w:position w:val="-7"/>
        </w:rPr>
        <w:t>．</w:t>
      </w:r>
      <w:r>
        <w:rPr>
          <w:spacing w:val="-98"/>
        </w:rPr>
        <w:t>“</w:t>
      </w:r>
      <w:r>
        <w:rPr>
          <w:spacing w:val="-98"/>
          <w:position w:val="-7"/>
        </w:rPr>
        <w:t>．</w:t>
      </w:r>
      <w:r>
        <w:rPr>
          <w:spacing w:val="-152"/>
        </w:rPr>
        <w:t>我</w:t>
      </w:r>
      <w:r>
        <w:rPr>
          <w:spacing w:val="-63"/>
          <w:position w:val="-7"/>
        </w:rPr>
        <w:t>．</w:t>
      </w:r>
      <w:r>
        <w:rPr>
          <w:spacing w:val="-149"/>
        </w:rPr>
        <w:t>们</w:t>
      </w:r>
      <w:r>
        <w:rPr>
          <w:spacing w:val="-93"/>
          <w:position w:val="-7"/>
        </w:rPr>
        <w:t>．</w:t>
      </w:r>
      <w:r>
        <w:rPr>
          <w:spacing w:val="-93"/>
        </w:rPr>
        <w:t>”</w:t>
      </w:r>
      <w:r>
        <w:rPr>
          <w:spacing w:val="-93"/>
          <w:position w:val="-7"/>
        </w:rPr>
        <w:t>．</w:t>
      </w:r>
      <w:r>
        <w:rPr>
          <w:spacing w:val="-149"/>
        </w:rPr>
        <w:t>、</w:t>
      </w:r>
      <w:r>
        <w:rPr>
          <w:spacing w:val="-93"/>
          <w:position w:val="-7"/>
        </w:rPr>
        <w:t>．</w:t>
      </w:r>
      <w:r>
        <w:rPr>
          <w:spacing w:val="-93"/>
        </w:rPr>
        <w:t>“</w:t>
      </w:r>
      <w:r>
        <w:rPr>
          <w:spacing w:val="-93"/>
          <w:position w:val="-7"/>
        </w:rPr>
        <w:t>．</w:t>
      </w:r>
      <w:r>
        <w:rPr>
          <w:spacing w:val="-149"/>
        </w:rPr>
        <w:t>本</w:t>
      </w:r>
      <w:r>
        <w:rPr>
          <w:spacing w:val="-63"/>
          <w:position w:val="-7"/>
        </w:rPr>
        <w:t>．</w:t>
      </w:r>
      <w:r>
        <w:rPr>
          <w:spacing w:val="-152"/>
        </w:rPr>
        <w:t>公</w:t>
      </w:r>
      <w:r>
        <w:rPr>
          <w:spacing w:val="-63"/>
          <w:position w:val="-7"/>
        </w:rPr>
        <w:t>．</w:t>
      </w:r>
      <w:r>
        <w:rPr>
          <w:spacing w:val="-149"/>
        </w:rPr>
        <w:t>司</w:t>
      </w:r>
      <w:r>
        <w:rPr>
          <w:spacing w:val="-92"/>
          <w:position w:val="-7"/>
        </w:rPr>
        <w:t>．</w:t>
      </w:r>
      <w:r>
        <w:rPr>
          <w:spacing w:val="-92"/>
        </w:rPr>
        <w:t>”</w:t>
      </w:r>
      <w:r>
        <w:rPr>
          <w:spacing w:val="-92"/>
          <w:position w:val="-7"/>
        </w:rPr>
        <w:t>．</w:t>
      </w:r>
      <w:r>
        <w:rPr>
          <w:spacing w:val="-152"/>
        </w:rPr>
        <w:t>均</w:t>
      </w:r>
      <w:r>
        <w:rPr>
          <w:spacing w:val="-63"/>
          <w:position w:val="-7"/>
        </w:rPr>
        <w:t>．</w:t>
      </w:r>
      <w:r>
        <w:rPr>
          <w:spacing w:val="-149"/>
        </w:rPr>
        <w:t>指</w:t>
      </w:r>
      <w:r>
        <w:rPr>
          <w:spacing w:val="-63"/>
          <w:position w:val="-7"/>
        </w:rPr>
        <w:t>．</w:t>
      </w:r>
      <w:r>
        <w:rPr>
          <w:spacing w:val="-152"/>
        </w:rPr>
        <w:t>鼎</w:t>
      </w:r>
      <w:r>
        <w:rPr>
          <w:spacing w:val="-63"/>
          <w:position w:val="-7"/>
        </w:rPr>
        <w:t>．</w:t>
      </w:r>
      <w:r>
        <w:rPr>
          <w:spacing w:val="-149"/>
        </w:rPr>
        <w:t>诚</w:t>
      </w:r>
      <w:r>
        <w:rPr>
          <w:spacing w:val="-63"/>
          <w:position w:val="-7"/>
        </w:rPr>
        <w:t>．</w:t>
      </w:r>
      <w:r>
        <w:rPr>
          <w:spacing w:val="-152"/>
        </w:rPr>
        <w:t>人</w:t>
      </w:r>
      <w:r>
        <w:rPr>
          <w:spacing w:val="-63"/>
          <w:position w:val="-7"/>
        </w:rPr>
        <w:t>．</w:t>
      </w:r>
      <w:r>
        <w:rPr>
          <w:spacing w:val="-149"/>
        </w:rPr>
        <w:t>寿</w:t>
      </w:r>
      <w:r>
        <w:rPr>
          <w:spacing w:val="-63"/>
          <w:position w:val="-7"/>
        </w:rPr>
        <w:t>．</w:t>
      </w:r>
      <w:r>
        <w:rPr>
          <w:spacing w:val="-152"/>
        </w:rPr>
        <w:t>保</w:t>
      </w:r>
      <w:r>
        <w:rPr>
          <w:spacing w:val="-63"/>
          <w:position w:val="-7"/>
        </w:rPr>
        <w:t>．</w:t>
      </w:r>
      <w:r>
        <w:rPr>
          <w:spacing w:val="-150"/>
        </w:rPr>
        <w:t>险</w:t>
      </w:r>
      <w:r>
        <w:rPr>
          <w:spacing w:val="-63"/>
          <w:position w:val="-7"/>
        </w:rPr>
        <w:t>．</w:t>
      </w:r>
      <w:r>
        <w:rPr>
          <w:spacing w:val="-152"/>
        </w:rPr>
        <w:t>有</w:t>
      </w:r>
      <w:r>
        <w:rPr>
          <w:spacing w:val="-63"/>
          <w:position w:val="-7"/>
        </w:rPr>
        <w:t>．</w:t>
      </w:r>
      <w:r>
        <w:rPr>
          <w:spacing w:val="-150"/>
        </w:rPr>
        <w:t>限</w:t>
      </w:r>
      <w:r>
        <w:rPr>
          <w:spacing w:val="-63"/>
          <w:position w:val="-7"/>
        </w:rPr>
        <w:t>．</w:t>
      </w:r>
      <w:r>
        <w:rPr>
          <w:spacing w:val="-150"/>
        </w:rPr>
        <w:t>责</w:t>
      </w:r>
      <w:r>
        <w:rPr>
          <w:spacing w:val="-63"/>
          <w:position w:val="-7"/>
        </w:rPr>
        <w:t>．</w:t>
      </w:r>
      <w:r>
        <w:rPr>
          <w:spacing w:val="-152"/>
        </w:rPr>
        <w:t>任</w:t>
      </w:r>
      <w:r>
        <w:rPr>
          <w:spacing w:val="-63"/>
          <w:position w:val="-7"/>
        </w:rPr>
        <w:t>．</w:t>
      </w:r>
      <w:r>
        <w:rPr>
          <w:spacing w:val="-149"/>
        </w:rPr>
        <w:t>公</w:t>
      </w:r>
      <w:r>
        <w:rPr>
          <w:spacing w:val="-63"/>
          <w:position w:val="-7"/>
        </w:rPr>
        <w:t>．</w:t>
      </w:r>
      <w:r>
        <w:rPr>
          <w:spacing w:val="-151"/>
        </w:rPr>
        <w:t>司</w:t>
      </w:r>
      <w:r>
        <w:rPr>
          <w:spacing w:val="-63"/>
          <w:position w:val="-7"/>
        </w:rPr>
        <w:t>．</w:t>
      </w:r>
      <w:r>
        <w:rPr>
          <w:spacing w:val="-152"/>
        </w:rPr>
        <w:t>。</w:t>
      </w:r>
      <w:r>
        <w:rPr>
          <w:spacing w:val="-10"/>
          <w:position w:val="-7"/>
        </w:rPr>
        <w:t>．</w:t>
      </w:r>
    </w:p>
    <w:p>
      <w:pPr>
        <w:pStyle w:val="4"/>
        <w:spacing w:before="41"/>
        <w:ind w:left="1114" w:right="1512"/>
        <w:jc w:val="center"/>
      </w:pPr>
      <w:r>
        <w:drawing>
          <wp:anchor distT="0" distB="0" distL="0" distR="0" simplePos="0" relativeHeight="251663360" behindDoc="1" locked="0" layoutInCell="1" allowOverlap="1">
            <wp:simplePos x="0" y="0"/>
            <wp:positionH relativeFrom="page">
              <wp:posOffset>692785</wp:posOffset>
            </wp:positionH>
            <wp:positionV relativeFrom="paragraph">
              <wp:posOffset>250190</wp:posOffset>
            </wp:positionV>
            <wp:extent cx="6441440" cy="746379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a:picLocks noChangeAspect="1"/>
                    </pic:cNvPicPr>
                  </pic:nvPicPr>
                  <pic:blipFill>
                    <a:blip r:embed="rId8" cstate="print"/>
                    <a:stretch>
                      <a:fillRect/>
                    </a:stretch>
                  </pic:blipFill>
                  <pic:spPr>
                    <a:xfrm>
                      <a:off x="0" y="0"/>
                      <a:ext cx="6441692" cy="7463993"/>
                    </a:xfrm>
                    <a:prstGeom prst="rect">
                      <a:avLst/>
                    </a:prstGeom>
                  </pic:spPr>
                </pic:pic>
              </a:graphicData>
            </a:graphic>
          </wp:anchor>
        </w:drawing>
      </w:r>
      <w:r>
        <w:rPr>
          <w:spacing w:val="-149"/>
        </w:rPr>
        <w:t>本</w:t>
      </w:r>
      <w:r>
        <w:rPr>
          <w:spacing w:val="-63"/>
          <w:position w:val="-7"/>
        </w:rPr>
        <w:t>．</w:t>
      </w:r>
      <w:r>
        <w:rPr>
          <w:spacing w:val="-149"/>
        </w:rPr>
        <w:t>阅</w:t>
      </w:r>
      <w:r>
        <w:rPr>
          <w:spacing w:val="-63"/>
          <w:position w:val="-7"/>
        </w:rPr>
        <w:t>．</w:t>
      </w:r>
      <w:r>
        <w:rPr>
          <w:spacing w:val="-152"/>
        </w:rPr>
        <w:t>读</w:t>
      </w:r>
      <w:r>
        <w:rPr>
          <w:spacing w:val="-63"/>
          <w:position w:val="-7"/>
        </w:rPr>
        <w:t>．</w:t>
      </w:r>
      <w:r>
        <w:rPr>
          <w:spacing w:val="-149"/>
        </w:rPr>
        <w:t>指</w:t>
      </w:r>
      <w:r>
        <w:rPr>
          <w:spacing w:val="-63"/>
          <w:position w:val="-7"/>
        </w:rPr>
        <w:t>．</w:t>
      </w:r>
      <w:r>
        <w:rPr>
          <w:spacing w:val="-152"/>
        </w:rPr>
        <w:t>引</w:t>
      </w:r>
      <w:r>
        <w:rPr>
          <w:spacing w:val="-63"/>
          <w:position w:val="-7"/>
        </w:rPr>
        <w:t>．</w:t>
      </w:r>
      <w:r>
        <w:rPr>
          <w:spacing w:val="-149"/>
        </w:rPr>
        <w:t>有</w:t>
      </w:r>
      <w:r>
        <w:rPr>
          <w:spacing w:val="-63"/>
          <w:position w:val="-7"/>
        </w:rPr>
        <w:t>．</w:t>
      </w:r>
      <w:r>
        <w:rPr>
          <w:spacing w:val="-151"/>
        </w:rPr>
        <w:t>助</w:t>
      </w:r>
      <w:r>
        <w:rPr>
          <w:spacing w:val="-63"/>
          <w:position w:val="-7"/>
        </w:rPr>
        <w:t>．</w:t>
      </w:r>
      <w:r>
        <w:rPr>
          <w:spacing w:val="-149"/>
        </w:rPr>
        <w:t>于</w:t>
      </w:r>
      <w:r>
        <w:rPr>
          <w:spacing w:val="-63"/>
          <w:position w:val="-7"/>
        </w:rPr>
        <w:t>．</w:t>
      </w:r>
      <w:r>
        <w:rPr>
          <w:spacing w:val="-151"/>
        </w:rPr>
        <w:t>您</w:t>
      </w:r>
      <w:r>
        <w:rPr>
          <w:spacing w:val="-63"/>
          <w:position w:val="-7"/>
        </w:rPr>
        <w:t>．</w:t>
      </w:r>
      <w:r>
        <w:rPr>
          <w:spacing w:val="-149"/>
        </w:rPr>
        <w:t>理</w:t>
      </w:r>
      <w:r>
        <w:rPr>
          <w:spacing w:val="-63"/>
          <w:position w:val="-7"/>
        </w:rPr>
        <w:t>．</w:t>
      </w:r>
      <w:r>
        <w:rPr>
          <w:spacing w:val="-151"/>
        </w:rPr>
        <w:t>解</w:t>
      </w:r>
      <w:r>
        <w:rPr>
          <w:spacing w:val="-63"/>
          <w:position w:val="-7"/>
        </w:rPr>
        <w:t>．</w:t>
      </w:r>
      <w:r>
        <w:rPr>
          <w:spacing w:val="-149"/>
        </w:rPr>
        <w:t>条</w:t>
      </w:r>
      <w:r>
        <w:rPr>
          <w:spacing w:val="-63"/>
          <w:position w:val="-7"/>
        </w:rPr>
        <w:t>．</w:t>
      </w:r>
      <w:r>
        <w:rPr>
          <w:spacing w:val="-149"/>
        </w:rPr>
        <w:t>款</w:t>
      </w:r>
      <w:r>
        <w:rPr>
          <w:spacing w:val="-93"/>
          <w:position w:val="-7"/>
        </w:rPr>
        <w:t>．</w:t>
      </w:r>
      <w:r>
        <w:rPr>
          <w:spacing w:val="-93"/>
        </w:rPr>
        <w:t>，</w:t>
      </w:r>
      <w:r>
        <w:rPr>
          <w:spacing w:val="-93"/>
          <w:position w:val="-7"/>
        </w:rPr>
        <w:t>．</w:t>
      </w:r>
      <w:r>
        <w:rPr>
          <w:spacing w:val="-149"/>
        </w:rPr>
        <w:t>对</w:t>
      </w:r>
      <w:r>
        <w:rPr>
          <w:spacing w:val="-63"/>
          <w:position w:val="-7"/>
        </w:rPr>
        <w:t>．</w:t>
      </w:r>
      <w:r>
        <w:rPr>
          <w:spacing w:val="-152"/>
        </w:rPr>
        <w:t>本</w:t>
      </w:r>
      <w:r>
        <w:rPr>
          <w:spacing w:val="-63"/>
          <w:position w:val="-7"/>
        </w:rPr>
        <w:t>．</w:t>
      </w:r>
      <w:r>
        <w:rPr>
          <w:spacing w:val="-149"/>
        </w:rPr>
        <w:t>合</w:t>
      </w:r>
      <w:r>
        <w:rPr>
          <w:spacing w:val="-63"/>
          <w:position w:val="-7"/>
        </w:rPr>
        <w:t>．</w:t>
      </w:r>
      <w:r>
        <w:rPr>
          <w:spacing w:val="-152"/>
        </w:rPr>
        <w:t>同</w:t>
      </w:r>
      <w:r>
        <w:rPr>
          <w:spacing w:val="-63"/>
          <w:position w:val="-7"/>
        </w:rPr>
        <w:t>．</w:t>
      </w:r>
      <w:r>
        <w:rPr>
          <w:spacing w:val="-149"/>
        </w:rPr>
        <w:t>内</w:t>
      </w:r>
      <w:r>
        <w:rPr>
          <w:spacing w:val="-63"/>
          <w:position w:val="-7"/>
        </w:rPr>
        <w:t>．</w:t>
      </w:r>
      <w:r>
        <w:rPr>
          <w:spacing w:val="-151"/>
        </w:rPr>
        <w:t>容</w:t>
      </w:r>
      <w:r>
        <w:rPr>
          <w:spacing w:val="-63"/>
          <w:position w:val="-7"/>
        </w:rPr>
        <w:t>．</w:t>
      </w:r>
      <w:r>
        <w:rPr>
          <w:spacing w:val="-149"/>
        </w:rPr>
        <w:t>的</w:t>
      </w:r>
      <w:r>
        <w:rPr>
          <w:spacing w:val="-63"/>
          <w:position w:val="-7"/>
        </w:rPr>
        <w:t>．</w:t>
      </w:r>
      <w:r>
        <w:rPr>
          <w:spacing w:val="-151"/>
        </w:rPr>
        <w:t>解</w:t>
      </w:r>
      <w:r>
        <w:rPr>
          <w:spacing w:val="-63"/>
          <w:position w:val="-7"/>
        </w:rPr>
        <w:t>．</w:t>
      </w:r>
      <w:r>
        <w:rPr>
          <w:spacing w:val="-149"/>
        </w:rPr>
        <w:t>释</w:t>
      </w:r>
      <w:r>
        <w:rPr>
          <w:spacing w:val="-63"/>
          <w:position w:val="-7"/>
        </w:rPr>
        <w:t>．</w:t>
      </w:r>
      <w:r>
        <w:rPr>
          <w:spacing w:val="-149"/>
        </w:rPr>
        <w:t>以</w:t>
      </w:r>
      <w:r>
        <w:rPr>
          <w:spacing w:val="-63"/>
          <w:position w:val="-7"/>
        </w:rPr>
        <w:t>．</w:t>
      </w:r>
      <w:r>
        <w:rPr>
          <w:spacing w:val="-151"/>
        </w:rPr>
        <w:t>条</w:t>
      </w:r>
      <w:r>
        <w:rPr>
          <w:spacing w:val="-63"/>
          <w:position w:val="-7"/>
        </w:rPr>
        <w:t>．</w:t>
      </w:r>
      <w:r>
        <w:rPr>
          <w:spacing w:val="-149"/>
        </w:rPr>
        <w:t>款</w:t>
      </w:r>
      <w:r>
        <w:rPr>
          <w:spacing w:val="-63"/>
          <w:position w:val="-7"/>
        </w:rPr>
        <w:t>．</w:t>
      </w:r>
      <w:r>
        <w:rPr>
          <w:spacing w:val="-152"/>
        </w:rPr>
        <w:t>为</w:t>
      </w:r>
      <w:r>
        <w:rPr>
          <w:spacing w:val="-63"/>
          <w:position w:val="-7"/>
        </w:rPr>
        <w:t>．</w:t>
      </w:r>
      <w:r>
        <w:rPr>
          <w:spacing w:val="-149"/>
        </w:rPr>
        <w:t>准</w:t>
      </w:r>
      <w:r>
        <w:rPr>
          <w:spacing w:val="-63"/>
          <w:position w:val="-7"/>
        </w:rPr>
        <w:t>．</w:t>
      </w:r>
      <w:r>
        <w:rPr>
          <w:spacing w:val="-152"/>
        </w:rPr>
        <w:t>。</w:t>
      </w:r>
      <w:r>
        <w:rPr>
          <w:spacing w:val="-10"/>
          <w:position w:val="-7"/>
        </w:rPr>
        <w:t>．</w:t>
      </w:r>
    </w:p>
    <w:p>
      <w:pPr>
        <w:tabs>
          <w:tab w:val="left" w:pos="1441"/>
        </w:tabs>
        <w:spacing w:before="101"/>
        <w:ind w:left="431" w:right="0" w:firstLine="0"/>
        <w:jc w:val="left"/>
        <w:rPr>
          <w:b/>
          <w:sz w:val="21"/>
        </w:rPr>
      </w:pPr>
      <w:r>
        <w:rPr>
          <w:rFonts w:ascii="Wingdings 2" w:hAnsi="Wingdings 2" w:eastAsia="Wingdings 2"/>
          <w:b/>
          <w:spacing w:val="-10"/>
          <w:position w:val="-11"/>
          <w:sz w:val="52"/>
        </w:rPr>
        <w:t></w:t>
      </w:r>
      <w:r>
        <w:rPr>
          <w:rFonts w:ascii="Times New Roman" w:hAnsi="Times New Roman" w:eastAsia="Times New Roman"/>
          <w:position w:val="-11"/>
          <w:sz w:val="52"/>
        </w:rPr>
        <w:tab/>
      </w:r>
      <w:r>
        <w:rPr>
          <w:b/>
          <w:spacing w:val="-4"/>
          <w:sz w:val="21"/>
        </w:rPr>
        <w:t>您拥有的重要权益</w:t>
      </w:r>
    </w:p>
    <w:p>
      <w:pPr>
        <w:pStyle w:val="9"/>
        <w:numPr>
          <w:ilvl w:val="0"/>
          <w:numId w:val="1"/>
        </w:numPr>
        <w:tabs>
          <w:tab w:val="left" w:pos="1823"/>
          <w:tab w:val="left" w:pos="1824"/>
          <w:tab w:val="right" w:leader="dot" w:pos="10229"/>
        </w:tabs>
        <w:spacing w:before="62" w:after="0" w:line="240" w:lineRule="auto"/>
        <w:ind w:left="1823" w:right="0" w:hanging="421"/>
        <w:jc w:val="left"/>
        <w:rPr>
          <w:sz w:val="21"/>
        </w:rPr>
      </w:pPr>
      <w:r>
        <w:rPr>
          <w:spacing w:val="-2"/>
          <w:sz w:val="21"/>
        </w:rPr>
        <w:t>签收本合同次日零时起</w:t>
      </w:r>
      <w:r>
        <w:rPr>
          <w:spacing w:val="-41"/>
          <w:sz w:val="21"/>
        </w:rPr>
        <w:t xml:space="preserve"> </w:t>
      </w:r>
      <w:r>
        <w:rPr>
          <w:spacing w:val="-2"/>
          <w:sz w:val="21"/>
        </w:rPr>
        <w:t>15</w:t>
      </w:r>
      <w:r>
        <w:rPr>
          <w:spacing w:val="-43"/>
          <w:sz w:val="21"/>
        </w:rPr>
        <w:t xml:space="preserve"> </w:t>
      </w:r>
      <w:r>
        <w:rPr>
          <w:spacing w:val="-2"/>
          <w:sz w:val="21"/>
        </w:rPr>
        <w:t>日（即犹豫期）以内您可以提出解除本合同</w:t>
      </w:r>
      <w:r>
        <w:rPr>
          <w:spacing w:val="-10"/>
          <w:sz w:val="21"/>
        </w:rPr>
        <w:t>…</w:t>
      </w:r>
      <w:r>
        <w:rPr>
          <w:rFonts w:ascii="Times New Roman" w:hAnsi="Times New Roman" w:eastAsia="Times New Roman"/>
          <w:sz w:val="21"/>
        </w:rPr>
        <w:tab/>
      </w:r>
      <w:r>
        <w:rPr>
          <w:spacing w:val="-5"/>
          <w:sz w:val="21"/>
        </w:rPr>
        <w:t>1.4</w:t>
      </w:r>
    </w:p>
    <w:p>
      <w:pPr>
        <w:pStyle w:val="9"/>
        <w:numPr>
          <w:ilvl w:val="0"/>
          <w:numId w:val="1"/>
        </w:numPr>
        <w:tabs>
          <w:tab w:val="left" w:pos="1823"/>
          <w:tab w:val="left" w:pos="1824"/>
          <w:tab w:val="right" w:leader="dot" w:pos="10229"/>
        </w:tabs>
        <w:spacing w:before="43" w:after="0" w:line="240" w:lineRule="auto"/>
        <w:ind w:left="1823" w:right="0" w:hanging="421"/>
        <w:jc w:val="left"/>
        <w:rPr>
          <w:sz w:val="21"/>
        </w:rPr>
      </w:pPr>
      <w:r>
        <w:rPr>
          <w:spacing w:val="-2"/>
          <w:sz w:val="21"/>
        </w:rPr>
        <w:t>本合同提供的保障在保险责任条款中列</w:t>
      </w:r>
      <w:r>
        <w:rPr>
          <w:spacing w:val="-10"/>
          <w:sz w:val="21"/>
        </w:rPr>
        <w:t>明</w:t>
      </w:r>
      <w:r>
        <w:rPr>
          <w:rFonts w:ascii="Times New Roman" w:hAnsi="Times New Roman" w:eastAsia="Times New Roman"/>
          <w:sz w:val="21"/>
        </w:rPr>
        <w:tab/>
      </w:r>
      <w:r>
        <w:rPr>
          <w:spacing w:val="-5"/>
          <w:sz w:val="21"/>
        </w:rPr>
        <w:t>2.4</w:t>
      </w:r>
    </w:p>
    <w:p>
      <w:pPr>
        <w:pStyle w:val="9"/>
        <w:numPr>
          <w:ilvl w:val="0"/>
          <w:numId w:val="1"/>
        </w:numPr>
        <w:tabs>
          <w:tab w:val="left" w:pos="1823"/>
          <w:tab w:val="left" w:pos="1824"/>
          <w:tab w:val="right" w:leader="dot" w:pos="10229"/>
        </w:tabs>
        <w:spacing w:before="43" w:after="0" w:line="240" w:lineRule="auto"/>
        <w:ind w:left="1823" w:right="0" w:hanging="421"/>
        <w:jc w:val="left"/>
        <w:rPr>
          <w:sz w:val="21"/>
        </w:rPr>
      </w:pPr>
      <w:r>
        <w:rPr>
          <w:spacing w:val="-2"/>
          <w:sz w:val="21"/>
        </w:rPr>
        <w:t>您有按照本合同约定申请保单贷款的权</w:t>
      </w:r>
      <w:r>
        <w:rPr>
          <w:spacing w:val="-10"/>
          <w:sz w:val="21"/>
        </w:rPr>
        <w:t>利</w:t>
      </w:r>
      <w:r>
        <w:rPr>
          <w:rFonts w:ascii="Times New Roman" w:hAnsi="Times New Roman" w:eastAsia="Times New Roman"/>
          <w:sz w:val="21"/>
        </w:rPr>
        <w:tab/>
      </w:r>
      <w:r>
        <w:rPr>
          <w:spacing w:val="-5"/>
          <w:sz w:val="21"/>
        </w:rPr>
        <w:t>5.2</w:t>
      </w:r>
    </w:p>
    <w:p>
      <w:pPr>
        <w:pStyle w:val="9"/>
        <w:numPr>
          <w:ilvl w:val="0"/>
          <w:numId w:val="1"/>
        </w:numPr>
        <w:tabs>
          <w:tab w:val="left" w:pos="1823"/>
          <w:tab w:val="left" w:pos="1824"/>
          <w:tab w:val="right" w:leader="dot" w:pos="10229"/>
        </w:tabs>
        <w:spacing w:before="44" w:after="0" w:line="264" w:lineRule="exact"/>
        <w:ind w:left="1823" w:right="0" w:hanging="421"/>
        <w:jc w:val="left"/>
        <w:rPr>
          <w:sz w:val="21"/>
        </w:rPr>
      </w:pPr>
      <w:r>
        <w:rPr>
          <w:spacing w:val="-2"/>
          <w:sz w:val="21"/>
        </w:rPr>
        <w:t>您有退保的权</w:t>
      </w:r>
      <w:r>
        <w:rPr>
          <w:spacing w:val="-12"/>
          <w:sz w:val="21"/>
        </w:rPr>
        <w:t>利</w:t>
      </w:r>
      <w:r>
        <w:rPr>
          <w:rFonts w:ascii="Times New Roman" w:hAnsi="Times New Roman" w:eastAsia="Times New Roman"/>
          <w:sz w:val="21"/>
        </w:rPr>
        <w:tab/>
      </w:r>
      <w:r>
        <w:rPr>
          <w:spacing w:val="-5"/>
          <w:sz w:val="21"/>
        </w:rPr>
        <w:t>7.1</w:t>
      </w:r>
    </w:p>
    <w:p>
      <w:pPr>
        <w:pStyle w:val="3"/>
        <w:tabs>
          <w:tab w:val="left" w:pos="1401"/>
        </w:tabs>
        <w:spacing w:before="0" w:line="476" w:lineRule="exact"/>
        <w:ind w:left="431" w:right="0" w:firstLine="0"/>
      </w:pPr>
      <w:r>
        <w:rPr>
          <w:rFonts w:ascii="Wingdings 2" w:hAnsi="Wingdings 2" w:eastAsia="Wingdings 2"/>
          <w:spacing w:val="-10"/>
          <w:position w:val="-11"/>
          <w:sz w:val="52"/>
        </w:rPr>
        <w:t></w:t>
      </w:r>
      <w:r>
        <w:rPr>
          <w:rFonts w:ascii="Times New Roman" w:hAnsi="Times New Roman" w:eastAsia="Times New Roman"/>
          <w:b w:val="0"/>
          <w:position w:val="-11"/>
          <w:sz w:val="52"/>
        </w:rPr>
        <w:tab/>
      </w:r>
      <w:r>
        <w:rPr>
          <w:spacing w:val="-3"/>
        </w:rPr>
        <w:t>您应当特别注意的事项</w:t>
      </w:r>
    </w:p>
    <w:p>
      <w:pPr>
        <w:pStyle w:val="9"/>
        <w:numPr>
          <w:ilvl w:val="0"/>
          <w:numId w:val="1"/>
        </w:numPr>
        <w:tabs>
          <w:tab w:val="left" w:pos="1823"/>
          <w:tab w:val="left" w:pos="1824"/>
          <w:tab w:val="left" w:leader="dot" w:pos="9476"/>
        </w:tabs>
        <w:spacing w:before="0" w:after="0" w:line="202" w:lineRule="exact"/>
        <w:ind w:left="1823" w:right="0" w:hanging="421"/>
        <w:jc w:val="left"/>
        <w:rPr>
          <w:sz w:val="21"/>
        </w:rPr>
      </w:pPr>
      <w:r>
        <w:rPr>
          <w:spacing w:val="-4"/>
          <w:sz w:val="21"/>
        </w:rPr>
        <w:t>在某些情况下，我们不承担保险责</w:t>
      </w:r>
      <w:r>
        <w:rPr>
          <w:spacing w:val="-10"/>
          <w:sz w:val="21"/>
        </w:rPr>
        <w:t>任</w:t>
      </w:r>
      <w:r>
        <w:rPr>
          <w:rFonts w:ascii="Times New Roman" w:hAnsi="Times New Roman" w:eastAsia="Times New Roman"/>
          <w:sz w:val="21"/>
        </w:rPr>
        <w:tab/>
      </w:r>
      <w:r>
        <w:rPr>
          <w:spacing w:val="-6"/>
          <w:sz w:val="21"/>
        </w:rPr>
        <w:t>2.5、2.6</w:t>
      </w:r>
    </w:p>
    <w:p>
      <w:pPr>
        <w:pStyle w:val="9"/>
        <w:numPr>
          <w:ilvl w:val="0"/>
          <w:numId w:val="1"/>
        </w:numPr>
        <w:tabs>
          <w:tab w:val="left" w:pos="1823"/>
          <w:tab w:val="left" w:pos="1824"/>
          <w:tab w:val="right" w:leader="dot" w:pos="10229"/>
        </w:tabs>
        <w:spacing w:before="43" w:after="0" w:line="240" w:lineRule="auto"/>
        <w:ind w:left="1823" w:right="0" w:hanging="421"/>
        <w:jc w:val="left"/>
        <w:rPr>
          <w:sz w:val="21"/>
        </w:rPr>
      </w:pPr>
      <w:r>
        <w:rPr>
          <w:spacing w:val="-2"/>
          <w:sz w:val="21"/>
        </w:rPr>
        <w:t>保险事故发生后，请您及时通知我</w:t>
      </w:r>
      <w:r>
        <w:rPr>
          <w:spacing w:val="-10"/>
          <w:sz w:val="21"/>
        </w:rPr>
        <w:t>们</w:t>
      </w:r>
      <w:r>
        <w:rPr>
          <w:rFonts w:ascii="Times New Roman" w:hAnsi="Times New Roman" w:eastAsia="Times New Roman"/>
          <w:sz w:val="21"/>
        </w:rPr>
        <w:tab/>
      </w:r>
      <w:r>
        <w:rPr>
          <w:spacing w:val="-5"/>
          <w:sz w:val="21"/>
        </w:rPr>
        <w:t>3.2</w:t>
      </w:r>
    </w:p>
    <w:p>
      <w:pPr>
        <w:pStyle w:val="9"/>
        <w:numPr>
          <w:ilvl w:val="0"/>
          <w:numId w:val="1"/>
        </w:numPr>
        <w:tabs>
          <w:tab w:val="left" w:pos="1823"/>
          <w:tab w:val="left" w:pos="1824"/>
          <w:tab w:val="right" w:leader="dot" w:pos="10229"/>
        </w:tabs>
        <w:spacing w:before="43" w:after="0" w:line="240" w:lineRule="auto"/>
        <w:ind w:left="1823" w:right="0" w:hanging="421"/>
        <w:jc w:val="left"/>
        <w:rPr>
          <w:sz w:val="21"/>
        </w:rPr>
      </w:pPr>
      <w:r>
        <w:rPr>
          <w:spacing w:val="-2"/>
          <w:sz w:val="21"/>
        </w:rPr>
        <w:t>您应当按时支付保险</w:t>
      </w:r>
      <w:r>
        <w:rPr>
          <w:spacing w:val="-10"/>
          <w:sz w:val="21"/>
        </w:rPr>
        <w:t>费</w:t>
      </w:r>
      <w:r>
        <w:rPr>
          <w:rFonts w:ascii="Times New Roman" w:hAnsi="Times New Roman" w:eastAsia="Times New Roman"/>
          <w:sz w:val="21"/>
        </w:rPr>
        <w:tab/>
      </w:r>
      <w:r>
        <w:rPr>
          <w:spacing w:val="-5"/>
          <w:sz w:val="21"/>
        </w:rPr>
        <w:t>4.1</w:t>
      </w:r>
    </w:p>
    <w:p>
      <w:pPr>
        <w:pStyle w:val="9"/>
        <w:numPr>
          <w:ilvl w:val="0"/>
          <w:numId w:val="1"/>
        </w:numPr>
        <w:tabs>
          <w:tab w:val="left" w:pos="1823"/>
          <w:tab w:val="left" w:pos="1824"/>
          <w:tab w:val="right" w:leader="dot" w:pos="10229"/>
        </w:tabs>
        <w:spacing w:before="42" w:after="0" w:line="240" w:lineRule="auto"/>
        <w:ind w:left="1823" w:right="0" w:hanging="421"/>
        <w:jc w:val="left"/>
        <w:rPr>
          <w:sz w:val="21"/>
        </w:rPr>
      </w:pPr>
      <w:r>
        <w:rPr>
          <w:spacing w:val="-2"/>
          <w:sz w:val="21"/>
        </w:rPr>
        <w:t>退保会给您造成一定的损失，请您慎重决</w:t>
      </w:r>
      <w:r>
        <w:rPr>
          <w:spacing w:val="-10"/>
          <w:sz w:val="21"/>
        </w:rPr>
        <w:t>策</w:t>
      </w:r>
      <w:r>
        <w:rPr>
          <w:rFonts w:ascii="Times New Roman" w:hAnsi="Times New Roman" w:eastAsia="Times New Roman"/>
          <w:sz w:val="21"/>
        </w:rPr>
        <w:tab/>
      </w:r>
      <w:r>
        <w:rPr>
          <w:spacing w:val="-5"/>
          <w:sz w:val="21"/>
        </w:rPr>
        <w:t>7.1</w:t>
      </w:r>
    </w:p>
    <w:p>
      <w:pPr>
        <w:pStyle w:val="9"/>
        <w:numPr>
          <w:ilvl w:val="0"/>
          <w:numId w:val="1"/>
        </w:numPr>
        <w:tabs>
          <w:tab w:val="left" w:pos="1823"/>
          <w:tab w:val="left" w:pos="1824"/>
          <w:tab w:val="right" w:leader="dot" w:pos="10229"/>
        </w:tabs>
        <w:spacing w:before="43" w:after="0" w:line="240" w:lineRule="auto"/>
        <w:ind w:left="1823" w:right="0" w:hanging="421"/>
        <w:jc w:val="left"/>
        <w:rPr>
          <w:sz w:val="21"/>
        </w:rPr>
      </w:pPr>
      <w:r>
        <w:rPr>
          <w:spacing w:val="-2"/>
          <w:sz w:val="21"/>
        </w:rPr>
        <w:t>您有如实告知的义</w:t>
      </w:r>
      <w:r>
        <w:rPr>
          <w:spacing w:val="-10"/>
          <w:sz w:val="21"/>
        </w:rPr>
        <w:t>务</w:t>
      </w:r>
      <w:r>
        <w:rPr>
          <w:rFonts w:ascii="Times New Roman" w:hAnsi="Times New Roman" w:eastAsia="Times New Roman"/>
          <w:sz w:val="21"/>
        </w:rPr>
        <w:tab/>
      </w:r>
      <w:r>
        <w:rPr>
          <w:spacing w:val="-5"/>
          <w:sz w:val="21"/>
        </w:rPr>
        <w:t>8.1</w:t>
      </w:r>
    </w:p>
    <w:p>
      <w:pPr>
        <w:pStyle w:val="9"/>
        <w:numPr>
          <w:ilvl w:val="0"/>
          <w:numId w:val="1"/>
        </w:numPr>
        <w:tabs>
          <w:tab w:val="left" w:pos="1823"/>
          <w:tab w:val="left" w:pos="1824"/>
          <w:tab w:val="right" w:leader="dot" w:pos="10232"/>
        </w:tabs>
        <w:spacing w:before="43" w:after="0" w:line="240" w:lineRule="auto"/>
        <w:ind w:left="1823" w:right="0" w:hanging="421"/>
        <w:jc w:val="left"/>
        <w:rPr>
          <w:sz w:val="21"/>
        </w:rPr>
      </w:pPr>
      <w:r>
        <w:rPr>
          <w:spacing w:val="-2"/>
          <w:sz w:val="21"/>
        </w:rPr>
        <w:t>我们对一些重要术语进行了解释，并作了显著标识，请您注</w:t>
      </w:r>
      <w:r>
        <w:rPr>
          <w:spacing w:val="-10"/>
          <w:sz w:val="21"/>
        </w:rPr>
        <w:t>意</w:t>
      </w:r>
      <w:r>
        <w:rPr>
          <w:rFonts w:ascii="Times New Roman" w:hAnsi="Times New Roman" w:eastAsia="Times New Roman"/>
          <w:sz w:val="21"/>
        </w:rPr>
        <w:tab/>
      </w:r>
      <w:r>
        <w:rPr>
          <w:spacing w:val="-5"/>
          <w:sz w:val="21"/>
        </w:rPr>
        <w:t>10</w:t>
      </w:r>
    </w:p>
    <w:p>
      <w:pPr>
        <w:spacing w:before="199" w:line="278" w:lineRule="auto"/>
        <w:ind w:left="1401" w:right="506" w:firstLine="0"/>
        <w:jc w:val="left"/>
        <w:rPr>
          <w:b/>
          <w:sz w:val="21"/>
        </w:rPr>
      </w:pPr>
      <w:r>
        <w:pict>
          <v:shape id="docshape2" o:spid="_x0000_s1026" o:spt="202" type="#_x0000_t202" style="position:absolute;left:0pt;margin-left:60.55pt;margin-top:7.85pt;height:27.5pt;width:24.55pt;mso-position-horizontal-relative:page;z-index:251660288;mso-width-relative:page;mso-height-relative:page;" filled="f" stroked="f" coordsize="21600,21600">
            <v:path/>
            <v:fill on="f" focussize="0,0"/>
            <v:stroke on="f" joinstyle="miter"/>
            <v:imagedata o:title=""/>
            <o:lock v:ext="edit"/>
            <v:textbox inset="0mm,0mm,0mm,0mm">
              <w:txbxContent>
                <w:p>
                  <w:pPr>
                    <w:spacing w:before="0"/>
                    <w:ind w:left="0" w:right="0" w:firstLine="0"/>
                    <w:jc w:val="left"/>
                    <w:rPr>
                      <w:rFonts w:ascii="Wingdings 2" w:hAnsi="Wingdings 2"/>
                      <w:b/>
                      <w:sz w:val="52"/>
                    </w:rPr>
                  </w:pPr>
                  <w:r>
                    <w:rPr>
                      <w:rFonts w:ascii="Wingdings 2" w:hAnsi="Wingdings 2"/>
                      <w:b/>
                      <w:w w:val="100"/>
                      <w:sz w:val="52"/>
                    </w:rPr>
                    <w:t></w:t>
                  </w:r>
                </w:p>
              </w:txbxContent>
            </v:textbox>
          </v:shape>
        </w:pict>
      </w:r>
      <w:r>
        <w:rPr>
          <w:b/>
          <w:spacing w:val="-2"/>
          <w:sz w:val="21"/>
        </w:rPr>
        <w:t>条款是保险合同的重要内容，为充分保障您的权益，请您仔细阅读本条款，特别是黑体字、加粗字体、背景突出表示的部分。</w:t>
      </w:r>
    </w:p>
    <w:p>
      <w:pPr>
        <w:spacing w:after="0" w:line="278" w:lineRule="auto"/>
        <w:jc w:val="left"/>
        <w:rPr>
          <w:sz w:val="21"/>
        </w:rPr>
        <w:sectPr>
          <w:type w:val="continuous"/>
          <w:pgSz w:w="11910" w:h="16840"/>
          <w:pgMar w:top="240" w:right="340" w:bottom="640" w:left="800" w:header="0" w:footer="457" w:gutter="0"/>
          <w:cols w:space="720" w:num="1"/>
        </w:sectPr>
      </w:pPr>
    </w:p>
    <w:p>
      <w:pPr>
        <w:tabs>
          <w:tab w:val="left" w:pos="1441"/>
        </w:tabs>
        <w:spacing w:before="14" w:line="244" w:lineRule="auto"/>
        <w:ind w:left="623" w:right="725" w:hanging="193"/>
        <w:jc w:val="left"/>
        <w:rPr>
          <w:b/>
          <w:sz w:val="21"/>
        </w:rPr>
      </w:pPr>
      <w:r>
        <w:rPr>
          <w:rFonts w:ascii="Wingdings 2" w:hAnsi="Wingdings 2" w:eastAsia="Wingdings 2"/>
          <w:b/>
          <w:spacing w:val="-10"/>
          <w:position w:val="-11"/>
          <w:sz w:val="52"/>
        </w:rPr>
        <w:t></w:t>
      </w:r>
      <w:r>
        <w:rPr>
          <w:rFonts w:ascii="Times New Roman" w:hAnsi="Times New Roman" w:eastAsia="Times New Roman"/>
          <w:position w:val="-11"/>
          <w:sz w:val="52"/>
        </w:rPr>
        <w:tab/>
      </w:r>
      <w:r>
        <w:rPr>
          <w:b/>
          <w:spacing w:val="-4"/>
          <w:sz w:val="21"/>
        </w:rPr>
        <w:t>条款目录</w:t>
      </w:r>
      <w:r>
        <w:rPr>
          <w:b/>
          <w:spacing w:val="80"/>
          <w:sz w:val="21"/>
        </w:rPr>
        <w:t xml:space="preserve">  </w:t>
      </w:r>
      <w:r>
        <w:rPr>
          <w:b/>
          <w:spacing w:val="-2"/>
          <w:sz w:val="21"/>
        </w:rPr>
        <w:t>1．您与我们订立的合同</w:t>
      </w:r>
    </w:p>
    <w:p>
      <w:pPr>
        <w:pStyle w:val="9"/>
        <w:numPr>
          <w:ilvl w:val="1"/>
          <w:numId w:val="2"/>
        </w:numPr>
        <w:tabs>
          <w:tab w:val="left" w:pos="1258"/>
        </w:tabs>
        <w:spacing w:before="0" w:after="0" w:line="233" w:lineRule="exact"/>
        <w:ind w:left="1257" w:right="0" w:hanging="424"/>
        <w:jc w:val="left"/>
        <w:rPr>
          <w:sz w:val="21"/>
        </w:rPr>
      </w:pPr>
      <w:r>
        <w:rPr>
          <w:spacing w:val="-4"/>
          <w:sz w:val="21"/>
        </w:rPr>
        <w:t>合同构成</w:t>
      </w:r>
    </w:p>
    <w:p>
      <w:pPr>
        <w:pStyle w:val="9"/>
        <w:numPr>
          <w:ilvl w:val="1"/>
          <w:numId w:val="2"/>
        </w:numPr>
        <w:tabs>
          <w:tab w:val="left" w:pos="1258"/>
        </w:tabs>
        <w:spacing w:before="0" w:after="0" w:line="251" w:lineRule="exact"/>
        <w:ind w:left="1257" w:right="0" w:hanging="424"/>
        <w:jc w:val="left"/>
        <w:rPr>
          <w:sz w:val="21"/>
        </w:rPr>
      </w:pPr>
      <w:r>
        <w:rPr>
          <w:spacing w:val="-4"/>
          <w:sz w:val="21"/>
        </w:rPr>
        <w:t>合同成立与生效</w:t>
      </w:r>
    </w:p>
    <w:p>
      <w:pPr>
        <w:pStyle w:val="9"/>
        <w:numPr>
          <w:ilvl w:val="1"/>
          <w:numId w:val="2"/>
        </w:numPr>
        <w:tabs>
          <w:tab w:val="left" w:pos="1258"/>
        </w:tabs>
        <w:spacing w:before="0" w:after="0" w:line="251" w:lineRule="exact"/>
        <w:ind w:left="1257" w:right="0" w:hanging="424"/>
        <w:jc w:val="left"/>
        <w:rPr>
          <w:sz w:val="21"/>
        </w:rPr>
      </w:pPr>
      <w:r>
        <w:rPr>
          <w:spacing w:val="-4"/>
          <w:sz w:val="21"/>
        </w:rPr>
        <w:t>投保范围</w:t>
      </w:r>
    </w:p>
    <w:p>
      <w:pPr>
        <w:pStyle w:val="9"/>
        <w:numPr>
          <w:ilvl w:val="1"/>
          <w:numId w:val="2"/>
        </w:numPr>
        <w:tabs>
          <w:tab w:val="left" w:pos="1258"/>
        </w:tabs>
        <w:spacing w:before="5" w:after="0" w:line="223" w:lineRule="auto"/>
        <w:ind w:left="623" w:right="1147" w:firstLine="211"/>
        <w:jc w:val="left"/>
        <w:rPr>
          <w:b/>
          <w:sz w:val="21"/>
        </w:rPr>
      </w:pPr>
      <w:r>
        <w:rPr>
          <w:spacing w:val="-4"/>
          <w:sz w:val="21"/>
        </w:rPr>
        <w:t>犹豫期</w:t>
      </w:r>
      <w:r>
        <w:rPr>
          <w:spacing w:val="210"/>
          <w:sz w:val="21"/>
        </w:rPr>
        <w:t xml:space="preserve"> </w:t>
      </w:r>
      <w:r>
        <w:rPr>
          <w:b/>
          <w:spacing w:val="-2"/>
          <w:sz w:val="21"/>
        </w:rPr>
        <w:t>2．我们提供的保障</w:t>
      </w:r>
    </w:p>
    <w:p>
      <w:pPr>
        <w:pStyle w:val="9"/>
        <w:numPr>
          <w:ilvl w:val="1"/>
          <w:numId w:val="3"/>
        </w:numPr>
        <w:tabs>
          <w:tab w:val="left" w:pos="1258"/>
        </w:tabs>
        <w:spacing w:before="0" w:after="0" w:line="243" w:lineRule="exact"/>
        <w:ind w:left="1257" w:right="0" w:hanging="424"/>
        <w:jc w:val="left"/>
        <w:rPr>
          <w:sz w:val="21"/>
        </w:rPr>
      </w:pPr>
      <w:r>
        <w:rPr>
          <w:spacing w:val="-4"/>
          <w:sz w:val="21"/>
        </w:rPr>
        <w:t>基本保险金额</w:t>
      </w:r>
    </w:p>
    <w:p>
      <w:pPr>
        <w:pStyle w:val="9"/>
        <w:numPr>
          <w:ilvl w:val="1"/>
          <w:numId w:val="3"/>
        </w:numPr>
        <w:tabs>
          <w:tab w:val="left" w:pos="1258"/>
        </w:tabs>
        <w:spacing w:before="0" w:after="0" w:line="250" w:lineRule="exact"/>
        <w:ind w:left="1257" w:right="0" w:hanging="424"/>
        <w:jc w:val="left"/>
        <w:rPr>
          <w:sz w:val="21"/>
        </w:rPr>
      </w:pPr>
      <w:r>
        <w:rPr>
          <w:spacing w:val="-3"/>
          <w:sz w:val="21"/>
        </w:rPr>
        <w:t>未成年人身故保险金限制</w:t>
      </w:r>
    </w:p>
    <w:p>
      <w:pPr>
        <w:pStyle w:val="9"/>
        <w:numPr>
          <w:ilvl w:val="1"/>
          <w:numId w:val="3"/>
        </w:numPr>
        <w:tabs>
          <w:tab w:val="left" w:pos="1258"/>
        </w:tabs>
        <w:spacing w:before="0" w:after="0" w:line="251" w:lineRule="exact"/>
        <w:ind w:left="1257" w:right="0" w:hanging="424"/>
        <w:jc w:val="left"/>
        <w:rPr>
          <w:sz w:val="21"/>
        </w:rPr>
      </w:pPr>
      <w:r>
        <w:rPr>
          <w:spacing w:val="-4"/>
          <w:sz w:val="21"/>
        </w:rPr>
        <w:t>保险期间</w:t>
      </w:r>
    </w:p>
    <w:p>
      <w:pPr>
        <w:pStyle w:val="9"/>
        <w:numPr>
          <w:ilvl w:val="1"/>
          <w:numId w:val="3"/>
        </w:numPr>
        <w:tabs>
          <w:tab w:val="left" w:pos="1258"/>
        </w:tabs>
        <w:spacing w:before="0" w:after="0" w:line="251" w:lineRule="exact"/>
        <w:ind w:left="1257" w:right="0" w:hanging="424"/>
        <w:jc w:val="left"/>
        <w:rPr>
          <w:sz w:val="21"/>
        </w:rPr>
      </w:pPr>
      <w:r>
        <w:rPr>
          <w:spacing w:val="-4"/>
          <w:sz w:val="21"/>
        </w:rPr>
        <w:t>保险责任</w:t>
      </w:r>
    </w:p>
    <w:p>
      <w:pPr>
        <w:pStyle w:val="9"/>
        <w:numPr>
          <w:ilvl w:val="1"/>
          <w:numId w:val="3"/>
        </w:numPr>
        <w:tabs>
          <w:tab w:val="left" w:pos="1258"/>
        </w:tabs>
        <w:spacing w:before="0" w:after="0" w:line="250" w:lineRule="exact"/>
        <w:ind w:left="1257" w:right="0" w:hanging="424"/>
        <w:jc w:val="left"/>
        <w:rPr>
          <w:sz w:val="21"/>
        </w:rPr>
      </w:pPr>
      <w:r>
        <w:rPr>
          <w:spacing w:val="-4"/>
          <w:sz w:val="21"/>
        </w:rPr>
        <w:t>责任免除</w:t>
      </w:r>
    </w:p>
    <w:p>
      <w:pPr>
        <w:pStyle w:val="9"/>
        <w:numPr>
          <w:ilvl w:val="1"/>
          <w:numId w:val="3"/>
        </w:numPr>
        <w:tabs>
          <w:tab w:val="left" w:pos="1258"/>
        </w:tabs>
        <w:spacing w:before="5" w:after="0" w:line="223" w:lineRule="auto"/>
        <w:ind w:left="623" w:right="1049" w:firstLine="211"/>
        <w:jc w:val="left"/>
        <w:rPr>
          <w:b/>
          <w:sz w:val="21"/>
        </w:rPr>
      </w:pPr>
      <w:r>
        <w:rPr>
          <w:spacing w:val="-2"/>
          <w:sz w:val="21"/>
        </w:rPr>
        <w:t xml:space="preserve">其他免责条款 </w:t>
      </w:r>
      <w:r>
        <w:rPr>
          <w:b/>
          <w:spacing w:val="-2"/>
          <w:sz w:val="21"/>
        </w:rPr>
        <w:t>3．保险金的申请</w:t>
      </w:r>
    </w:p>
    <w:p>
      <w:pPr>
        <w:pStyle w:val="9"/>
        <w:numPr>
          <w:ilvl w:val="1"/>
          <w:numId w:val="4"/>
        </w:numPr>
        <w:tabs>
          <w:tab w:val="left" w:pos="1258"/>
        </w:tabs>
        <w:spacing w:before="0" w:after="0" w:line="244" w:lineRule="exact"/>
        <w:ind w:left="1257" w:right="0" w:hanging="424"/>
        <w:jc w:val="left"/>
        <w:rPr>
          <w:sz w:val="21"/>
        </w:rPr>
      </w:pPr>
      <w:r>
        <w:rPr>
          <w:spacing w:val="-5"/>
          <w:sz w:val="21"/>
        </w:rPr>
        <w:t>受益人</w:t>
      </w:r>
    </w:p>
    <w:p>
      <w:pPr>
        <w:pStyle w:val="9"/>
        <w:numPr>
          <w:ilvl w:val="1"/>
          <w:numId w:val="4"/>
        </w:numPr>
        <w:tabs>
          <w:tab w:val="left" w:pos="1258"/>
        </w:tabs>
        <w:spacing w:before="0" w:after="0" w:line="251" w:lineRule="exact"/>
        <w:ind w:left="1257" w:right="0" w:hanging="424"/>
        <w:jc w:val="left"/>
        <w:rPr>
          <w:sz w:val="21"/>
        </w:rPr>
      </w:pPr>
      <w:r>
        <w:rPr>
          <w:spacing w:val="-4"/>
          <w:sz w:val="21"/>
        </w:rPr>
        <w:t>保险事故通知</w:t>
      </w:r>
    </w:p>
    <w:p>
      <w:pPr>
        <w:pStyle w:val="9"/>
        <w:numPr>
          <w:ilvl w:val="1"/>
          <w:numId w:val="4"/>
        </w:numPr>
        <w:tabs>
          <w:tab w:val="left" w:pos="1258"/>
        </w:tabs>
        <w:spacing w:before="0" w:after="0" w:line="251" w:lineRule="exact"/>
        <w:ind w:left="1257" w:right="0" w:hanging="424"/>
        <w:jc w:val="left"/>
        <w:rPr>
          <w:sz w:val="21"/>
        </w:rPr>
      </w:pPr>
      <w:r>
        <w:rPr>
          <w:spacing w:val="-4"/>
          <w:sz w:val="21"/>
        </w:rPr>
        <w:t>保险金申请</w:t>
      </w:r>
    </w:p>
    <w:p>
      <w:pPr>
        <w:pStyle w:val="9"/>
        <w:numPr>
          <w:ilvl w:val="1"/>
          <w:numId w:val="4"/>
        </w:numPr>
        <w:tabs>
          <w:tab w:val="left" w:pos="1258"/>
        </w:tabs>
        <w:spacing w:before="0" w:after="0" w:line="250" w:lineRule="exact"/>
        <w:ind w:left="1257" w:right="0" w:hanging="424"/>
        <w:jc w:val="left"/>
        <w:rPr>
          <w:sz w:val="21"/>
        </w:rPr>
      </w:pPr>
      <w:r>
        <w:rPr>
          <w:spacing w:val="-4"/>
          <w:sz w:val="21"/>
        </w:rPr>
        <w:t>保险金给付</w:t>
      </w:r>
    </w:p>
    <w:p>
      <w:pPr>
        <w:pStyle w:val="9"/>
        <w:numPr>
          <w:ilvl w:val="1"/>
          <w:numId w:val="4"/>
        </w:numPr>
        <w:tabs>
          <w:tab w:val="left" w:pos="1258"/>
        </w:tabs>
        <w:spacing w:before="0" w:after="0" w:line="250" w:lineRule="exact"/>
        <w:ind w:left="1257" w:right="0" w:hanging="424"/>
        <w:jc w:val="left"/>
        <w:rPr>
          <w:sz w:val="21"/>
        </w:rPr>
      </w:pPr>
      <w:r>
        <w:rPr>
          <w:spacing w:val="-4"/>
          <w:sz w:val="21"/>
        </w:rPr>
        <w:t>失踪处理</w:t>
      </w:r>
    </w:p>
    <w:p>
      <w:pPr>
        <w:pStyle w:val="9"/>
        <w:numPr>
          <w:ilvl w:val="1"/>
          <w:numId w:val="4"/>
        </w:numPr>
        <w:tabs>
          <w:tab w:val="left" w:pos="1258"/>
        </w:tabs>
        <w:spacing w:before="0" w:after="0" w:line="250" w:lineRule="exact"/>
        <w:ind w:left="1257" w:right="0" w:hanging="424"/>
        <w:jc w:val="left"/>
        <w:rPr>
          <w:sz w:val="21"/>
        </w:rPr>
      </w:pPr>
      <w:r>
        <w:rPr>
          <w:spacing w:val="-4"/>
          <w:sz w:val="21"/>
        </w:rPr>
        <w:t>诉讼时效</w:t>
      </w:r>
    </w:p>
    <w:p>
      <w:pPr>
        <w:pStyle w:val="3"/>
        <w:numPr>
          <w:ilvl w:val="0"/>
          <w:numId w:val="5"/>
        </w:numPr>
        <w:tabs>
          <w:tab w:val="left" w:pos="941"/>
        </w:tabs>
        <w:spacing w:before="0" w:after="0" w:line="250" w:lineRule="exact"/>
        <w:ind w:left="940" w:right="0" w:hanging="318"/>
        <w:jc w:val="left"/>
      </w:pPr>
      <w:r>
        <w:rPr>
          <w:spacing w:val="-4"/>
        </w:rPr>
        <w:t>保险费的支付</w:t>
      </w:r>
    </w:p>
    <w:p>
      <w:pPr>
        <w:pStyle w:val="9"/>
        <w:numPr>
          <w:ilvl w:val="1"/>
          <w:numId w:val="5"/>
        </w:numPr>
        <w:tabs>
          <w:tab w:val="left" w:pos="1258"/>
        </w:tabs>
        <w:spacing w:before="0" w:after="0" w:line="251" w:lineRule="exact"/>
        <w:ind w:left="1257" w:right="0" w:hanging="424"/>
        <w:jc w:val="left"/>
        <w:rPr>
          <w:sz w:val="21"/>
        </w:rPr>
      </w:pPr>
      <w:r>
        <w:rPr>
          <w:spacing w:val="-4"/>
          <w:sz w:val="21"/>
        </w:rPr>
        <w:t>保险费的支付</w:t>
      </w:r>
    </w:p>
    <w:p>
      <w:pPr>
        <w:pStyle w:val="9"/>
        <w:numPr>
          <w:ilvl w:val="1"/>
          <w:numId w:val="5"/>
        </w:numPr>
        <w:tabs>
          <w:tab w:val="left" w:pos="1258"/>
        </w:tabs>
        <w:spacing w:before="6" w:after="0" w:line="223" w:lineRule="auto"/>
        <w:ind w:left="623" w:right="1359" w:firstLine="211"/>
        <w:jc w:val="left"/>
        <w:rPr>
          <w:b/>
          <w:sz w:val="21"/>
        </w:rPr>
      </w:pPr>
      <w:r>
        <w:rPr>
          <w:spacing w:val="-4"/>
          <w:sz w:val="21"/>
        </w:rPr>
        <w:t xml:space="preserve">宽限期 </w:t>
      </w:r>
      <w:r>
        <w:rPr>
          <w:b/>
          <w:spacing w:val="-2"/>
          <w:sz w:val="21"/>
        </w:rPr>
        <w:t>5．现金价值权益</w:t>
      </w:r>
    </w:p>
    <w:p>
      <w:pPr>
        <w:pStyle w:val="9"/>
        <w:numPr>
          <w:ilvl w:val="1"/>
          <w:numId w:val="6"/>
        </w:numPr>
        <w:tabs>
          <w:tab w:val="left" w:pos="1258"/>
        </w:tabs>
        <w:spacing w:before="0" w:after="0" w:line="253" w:lineRule="exact"/>
        <w:ind w:left="1257" w:right="0" w:hanging="424"/>
        <w:jc w:val="left"/>
        <w:rPr>
          <w:sz w:val="21"/>
        </w:rPr>
      </w:pPr>
      <w:r>
        <w:rPr>
          <w:spacing w:val="-4"/>
          <w:sz w:val="21"/>
        </w:rPr>
        <w:t>现金价值</w:t>
      </w:r>
    </w:p>
    <w:p>
      <w:pPr>
        <w:spacing w:before="0" w:line="240" w:lineRule="auto"/>
        <w:rPr>
          <w:sz w:val="20"/>
        </w:rPr>
      </w:pPr>
      <w:r>
        <w:br w:type="column"/>
      </w:r>
    </w:p>
    <w:p>
      <w:pPr>
        <w:pStyle w:val="4"/>
        <w:spacing w:before="4"/>
        <w:rPr>
          <w:sz w:val="23"/>
        </w:rPr>
      </w:pPr>
    </w:p>
    <w:p>
      <w:pPr>
        <w:pStyle w:val="9"/>
        <w:numPr>
          <w:ilvl w:val="1"/>
          <w:numId w:val="6"/>
        </w:numPr>
        <w:tabs>
          <w:tab w:val="left" w:pos="777"/>
        </w:tabs>
        <w:spacing w:before="0" w:after="0" w:line="259" w:lineRule="exact"/>
        <w:ind w:left="776" w:right="0" w:hanging="424"/>
        <w:jc w:val="left"/>
        <w:rPr>
          <w:sz w:val="21"/>
        </w:rPr>
      </w:pPr>
      <w:r>
        <w:rPr>
          <w:spacing w:val="-4"/>
          <w:sz w:val="21"/>
        </w:rPr>
        <w:t>保单贷款</w:t>
      </w:r>
    </w:p>
    <w:p>
      <w:pPr>
        <w:pStyle w:val="9"/>
        <w:numPr>
          <w:ilvl w:val="1"/>
          <w:numId w:val="6"/>
        </w:numPr>
        <w:tabs>
          <w:tab w:val="left" w:pos="777"/>
        </w:tabs>
        <w:spacing w:before="5" w:after="0" w:line="223" w:lineRule="auto"/>
        <w:ind w:left="142" w:right="727" w:firstLine="211"/>
        <w:jc w:val="left"/>
        <w:rPr>
          <w:b/>
          <w:sz w:val="21"/>
        </w:rPr>
      </w:pPr>
      <w:r>
        <w:rPr>
          <w:spacing w:val="-2"/>
          <w:sz w:val="21"/>
        </w:rPr>
        <w:t xml:space="preserve">保险费自动垫交 </w:t>
      </w:r>
      <w:r>
        <w:rPr>
          <w:b/>
          <w:spacing w:val="-2"/>
          <w:sz w:val="21"/>
        </w:rPr>
        <w:t>6．合同效力的中止及恢复</w:t>
      </w:r>
    </w:p>
    <w:p>
      <w:pPr>
        <w:pStyle w:val="9"/>
        <w:numPr>
          <w:ilvl w:val="1"/>
          <w:numId w:val="7"/>
        </w:numPr>
        <w:tabs>
          <w:tab w:val="left" w:pos="777"/>
        </w:tabs>
        <w:spacing w:before="0" w:after="0" w:line="243" w:lineRule="exact"/>
        <w:ind w:left="776" w:right="0" w:hanging="424"/>
        <w:jc w:val="left"/>
        <w:rPr>
          <w:sz w:val="21"/>
        </w:rPr>
      </w:pPr>
      <w:r>
        <w:rPr>
          <w:spacing w:val="-4"/>
          <w:sz w:val="21"/>
        </w:rPr>
        <w:t>效力中止</w:t>
      </w:r>
    </w:p>
    <w:p>
      <w:pPr>
        <w:pStyle w:val="9"/>
        <w:numPr>
          <w:ilvl w:val="1"/>
          <w:numId w:val="7"/>
        </w:numPr>
        <w:tabs>
          <w:tab w:val="left" w:pos="777"/>
        </w:tabs>
        <w:spacing w:before="5" w:after="0" w:line="223" w:lineRule="auto"/>
        <w:ind w:left="142" w:right="1680" w:firstLine="211"/>
        <w:jc w:val="left"/>
        <w:rPr>
          <w:b/>
          <w:sz w:val="21"/>
        </w:rPr>
      </w:pPr>
      <w:r>
        <w:rPr>
          <w:spacing w:val="-4"/>
          <w:sz w:val="21"/>
        </w:rPr>
        <w:t xml:space="preserve">效力恢复 </w:t>
      </w:r>
      <w:r>
        <w:rPr>
          <w:b/>
          <w:spacing w:val="-2"/>
          <w:sz w:val="21"/>
        </w:rPr>
        <w:t>7．合同解除</w:t>
      </w:r>
    </w:p>
    <w:p>
      <w:pPr>
        <w:spacing w:before="1" w:line="223" w:lineRule="auto"/>
        <w:ind w:left="142" w:right="0" w:firstLine="211"/>
        <w:jc w:val="left"/>
        <w:rPr>
          <w:b/>
          <w:sz w:val="21"/>
        </w:rPr>
      </w:pPr>
      <w:r>
        <w:rPr>
          <w:sz w:val="21"/>
        </w:rPr>
        <w:t>7.1</w:t>
      </w:r>
      <w:r>
        <w:rPr>
          <w:spacing w:val="-6"/>
          <w:sz w:val="21"/>
        </w:rPr>
        <w:t xml:space="preserve"> 您解除本合同的手续及风险</w:t>
      </w:r>
      <w:r>
        <w:rPr>
          <w:sz w:val="21"/>
        </w:rPr>
        <w:t xml:space="preserve"> </w:t>
      </w:r>
      <w:r>
        <w:rPr>
          <w:b/>
          <w:spacing w:val="-2"/>
          <w:sz w:val="21"/>
        </w:rPr>
        <w:t>8．如实告知与合同解除权的限制</w:t>
      </w:r>
    </w:p>
    <w:p>
      <w:pPr>
        <w:pStyle w:val="9"/>
        <w:numPr>
          <w:ilvl w:val="1"/>
          <w:numId w:val="8"/>
        </w:numPr>
        <w:tabs>
          <w:tab w:val="left" w:pos="777"/>
        </w:tabs>
        <w:spacing w:before="0" w:after="0" w:line="243" w:lineRule="exact"/>
        <w:ind w:left="776" w:right="0" w:hanging="424"/>
        <w:jc w:val="left"/>
        <w:rPr>
          <w:sz w:val="21"/>
        </w:rPr>
      </w:pPr>
      <w:r>
        <w:rPr>
          <w:spacing w:val="-3"/>
          <w:sz w:val="21"/>
        </w:rPr>
        <w:t>明确说明与如实告知</w:t>
      </w:r>
    </w:p>
    <w:p>
      <w:pPr>
        <w:pStyle w:val="9"/>
        <w:numPr>
          <w:ilvl w:val="1"/>
          <w:numId w:val="8"/>
        </w:numPr>
        <w:tabs>
          <w:tab w:val="left" w:pos="777"/>
        </w:tabs>
        <w:spacing w:before="5" w:after="0" w:line="223" w:lineRule="auto"/>
        <w:ind w:left="142" w:right="840" w:firstLine="211"/>
        <w:jc w:val="left"/>
        <w:rPr>
          <w:b/>
          <w:sz w:val="21"/>
        </w:rPr>
      </w:pPr>
      <w:r>
        <w:rPr>
          <w:spacing w:val="-2"/>
          <w:sz w:val="21"/>
        </w:rPr>
        <w:t xml:space="preserve">合同解除权的限制 </w:t>
      </w:r>
      <w:r>
        <w:rPr>
          <w:b/>
          <w:spacing w:val="-2"/>
          <w:sz w:val="21"/>
        </w:rPr>
        <w:t>9．其他需要关注的事项</w:t>
      </w:r>
    </w:p>
    <w:p>
      <w:pPr>
        <w:pStyle w:val="9"/>
        <w:numPr>
          <w:ilvl w:val="1"/>
          <w:numId w:val="9"/>
        </w:numPr>
        <w:tabs>
          <w:tab w:val="left" w:pos="777"/>
        </w:tabs>
        <w:spacing w:before="0" w:after="0" w:line="245" w:lineRule="exact"/>
        <w:ind w:left="776" w:right="0" w:hanging="424"/>
        <w:jc w:val="left"/>
        <w:rPr>
          <w:sz w:val="21"/>
        </w:rPr>
      </w:pPr>
      <w:r>
        <w:rPr>
          <w:spacing w:val="-4"/>
          <w:sz w:val="21"/>
        </w:rPr>
        <w:t>年龄错误</w:t>
      </w:r>
    </w:p>
    <w:p>
      <w:pPr>
        <w:pStyle w:val="9"/>
        <w:numPr>
          <w:ilvl w:val="1"/>
          <w:numId w:val="9"/>
        </w:numPr>
        <w:tabs>
          <w:tab w:val="left" w:pos="777"/>
        </w:tabs>
        <w:spacing w:before="0" w:after="0" w:line="251" w:lineRule="exact"/>
        <w:ind w:left="776" w:right="0" w:hanging="424"/>
        <w:jc w:val="left"/>
        <w:rPr>
          <w:sz w:val="21"/>
        </w:rPr>
      </w:pPr>
      <w:r>
        <w:rPr>
          <w:spacing w:val="-4"/>
          <w:sz w:val="21"/>
        </w:rPr>
        <w:t>未还款项</w:t>
      </w:r>
    </w:p>
    <w:p>
      <w:pPr>
        <w:pStyle w:val="9"/>
        <w:numPr>
          <w:ilvl w:val="1"/>
          <w:numId w:val="9"/>
        </w:numPr>
        <w:tabs>
          <w:tab w:val="left" w:pos="777"/>
        </w:tabs>
        <w:spacing w:before="0" w:after="0" w:line="250" w:lineRule="exact"/>
        <w:ind w:left="776" w:right="0" w:hanging="424"/>
        <w:jc w:val="left"/>
        <w:rPr>
          <w:sz w:val="21"/>
        </w:rPr>
      </w:pPr>
      <w:r>
        <w:rPr>
          <w:spacing w:val="-4"/>
          <w:sz w:val="21"/>
        </w:rPr>
        <w:t>合同内容变更</w:t>
      </w:r>
    </w:p>
    <w:p>
      <w:pPr>
        <w:pStyle w:val="9"/>
        <w:numPr>
          <w:ilvl w:val="1"/>
          <w:numId w:val="9"/>
        </w:numPr>
        <w:tabs>
          <w:tab w:val="left" w:pos="777"/>
        </w:tabs>
        <w:spacing w:before="0" w:after="0" w:line="250" w:lineRule="exact"/>
        <w:ind w:left="776" w:right="0" w:hanging="424"/>
        <w:jc w:val="left"/>
        <w:rPr>
          <w:sz w:val="21"/>
        </w:rPr>
      </w:pPr>
      <w:r>
        <w:rPr>
          <w:spacing w:val="-4"/>
          <w:sz w:val="21"/>
        </w:rPr>
        <w:t>联系方式变更</w:t>
      </w:r>
    </w:p>
    <w:p>
      <w:pPr>
        <w:pStyle w:val="9"/>
        <w:numPr>
          <w:ilvl w:val="1"/>
          <w:numId w:val="9"/>
        </w:numPr>
        <w:tabs>
          <w:tab w:val="left" w:pos="777"/>
        </w:tabs>
        <w:spacing w:before="5" w:after="0" w:line="223" w:lineRule="auto"/>
        <w:ind w:left="142" w:right="1680" w:firstLine="211"/>
        <w:jc w:val="left"/>
        <w:rPr>
          <w:b/>
          <w:sz w:val="21"/>
        </w:rPr>
      </w:pPr>
      <w:r>
        <w:rPr>
          <w:spacing w:val="-4"/>
          <w:sz w:val="21"/>
        </w:rPr>
        <w:t xml:space="preserve">争议处理 </w:t>
      </w:r>
      <w:r>
        <w:rPr>
          <w:b/>
          <w:spacing w:val="-2"/>
          <w:sz w:val="21"/>
        </w:rPr>
        <w:t>10．释义</w:t>
      </w:r>
    </w:p>
    <w:p>
      <w:pPr>
        <w:pStyle w:val="9"/>
        <w:numPr>
          <w:ilvl w:val="1"/>
          <w:numId w:val="10"/>
        </w:numPr>
        <w:tabs>
          <w:tab w:val="left" w:pos="880"/>
        </w:tabs>
        <w:spacing w:before="0" w:after="0" w:line="245" w:lineRule="exact"/>
        <w:ind w:left="879" w:right="0" w:hanging="527"/>
        <w:jc w:val="left"/>
        <w:rPr>
          <w:sz w:val="21"/>
        </w:rPr>
      </w:pPr>
      <w:r>
        <w:rPr>
          <w:spacing w:val="-4"/>
          <w:sz w:val="21"/>
        </w:rPr>
        <w:t>保单年生效对应日</w:t>
      </w:r>
    </w:p>
    <w:p>
      <w:pPr>
        <w:pStyle w:val="9"/>
        <w:numPr>
          <w:ilvl w:val="1"/>
          <w:numId w:val="10"/>
        </w:numPr>
        <w:tabs>
          <w:tab w:val="left" w:pos="880"/>
        </w:tabs>
        <w:spacing w:before="0" w:after="0" w:line="251" w:lineRule="exact"/>
        <w:ind w:left="879" w:right="0" w:hanging="527"/>
        <w:jc w:val="left"/>
        <w:rPr>
          <w:sz w:val="21"/>
        </w:rPr>
      </w:pPr>
      <w:r>
        <w:rPr>
          <w:spacing w:val="-4"/>
          <w:sz w:val="21"/>
        </w:rPr>
        <w:t>保单年度</w:t>
      </w:r>
    </w:p>
    <w:p>
      <w:pPr>
        <w:pStyle w:val="9"/>
        <w:numPr>
          <w:ilvl w:val="1"/>
          <w:numId w:val="10"/>
        </w:numPr>
        <w:tabs>
          <w:tab w:val="left" w:pos="880"/>
        </w:tabs>
        <w:spacing w:before="0" w:after="0" w:line="250" w:lineRule="exact"/>
        <w:ind w:left="879" w:right="0" w:hanging="527"/>
        <w:jc w:val="left"/>
        <w:rPr>
          <w:sz w:val="21"/>
        </w:rPr>
      </w:pPr>
      <w:r>
        <w:rPr>
          <w:spacing w:val="-4"/>
          <w:sz w:val="21"/>
        </w:rPr>
        <w:t>保险费约定支付日</w:t>
      </w:r>
    </w:p>
    <w:p>
      <w:pPr>
        <w:pStyle w:val="9"/>
        <w:numPr>
          <w:ilvl w:val="1"/>
          <w:numId w:val="10"/>
        </w:numPr>
        <w:tabs>
          <w:tab w:val="left" w:pos="880"/>
        </w:tabs>
        <w:spacing w:before="0" w:after="0" w:line="250" w:lineRule="exact"/>
        <w:ind w:left="879" w:right="0" w:hanging="527"/>
        <w:jc w:val="left"/>
        <w:rPr>
          <w:sz w:val="21"/>
        </w:rPr>
      </w:pPr>
      <w:r>
        <w:rPr>
          <w:spacing w:val="-5"/>
          <w:sz w:val="21"/>
        </w:rPr>
        <w:t>周岁</w:t>
      </w:r>
    </w:p>
    <w:p>
      <w:pPr>
        <w:pStyle w:val="9"/>
        <w:numPr>
          <w:ilvl w:val="1"/>
          <w:numId w:val="10"/>
        </w:numPr>
        <w:tabs>
          <w:tab w:val="left" w:pos="880"/>
        </w:tabs>
        <w:spacing w:before="0" w:after="0" w:line="250" w:lineRule="exact"/>
        <w:ind w:left="879" w:right="0" w:hanging="527"/>
        <w:jc w:val="left"/>
        <w:rPr>
          <w:sz w:val="21"/>
        </w:rPr>
      </w:pPr>
      <w:r>
        <w:rPr>
          <w:spacing w:val="-4"/>
          <w:sz w:val="21"/>
        </w:rPr>
        <w:t>有效身份证件</w:t>
      </w:r>
    </w:p>
    <w:p>
      <w:pPr>
        <w:pStyle w:val="9"/>
        <w:numPr>
          <w:ilvl w:val="1"/>
          <w:numId w:val="10"/>
        </w:numPr>
        <w:tabs>
          <w:tab w:val="left" w:pos="880"/>
        </w:tabs>
        <w:spacing w:before="0" w:after="0" w:line="248" w:lineRule="exact"/>
        <w:ind w:left="879" w:right="0" w:hanging="527"/>
        <w:jc w:val="left"/>
        <w:rPr>
          <w:sz w:val="21"/>
        </w:rPr>
      </w:pPr>
      <w:r>
        <w:rPr>
          <w:spacing w:val="-4"/>
          <w:sz w:val="21"/>
        </w:rPr>
        <w:t>意外伤害</w:t>
      </w:r>
    </w:p>
    <w:p>
      <w:pPr>
        <w:pStyle w:val="9"/>
        <w:numPr>
          <w:ilvl w:val="1"/>
          <w:numId w:val="10"/>
        </w:numPr>
        <w:tabs>
          <w:tab w:val="left" w:pos="880"/>
        </w:tabs>
        <w:spacing w:before="0" w:after="0" w:line="258" w:lineRule="exact"/>
        <w:ind w:left="879" w:right="0" w:hanging="527"/>
        <w:jc w:val="left"/>
        <w:rPr>
          <w:sz w:val="21"/>
        </w:rPr>
      </w:pPr>
      <w:r>
        <w:rPr>
          <w:spacing w:val="-5"/>
          <w:sz w:val="21"/>
        </w:rPr>
        <w:t>猝死</w:t>
      </w:r>
    </w:p>
    <w:p>
      <w:pPr>
        <w:spacing w:before="0" w:line="240" w:lineRule="auto"/>
        <w:rPr>
          <w:sz w:val="20"/>
        </w:rPr>
      </w:pPr>
      <w:r>
        <w:br w:type="column"/>
      </w:r>
    </w:p>
    <w:p>
      <w:pPr>
        <w:pStyle w:val="4"/>
        <w:spacing w:before="8"/>
        <w:rPr>
          <w:sz w:val="24"/>
        </w:rPr>
      </w:pPr>
    </w:p>
    <w:p>
      <w:pPr>
        <w:pStyle w:val="9"/>
        <w:numPr>
          <w:ilvl w:val="1"/>
          <w:numId w:val="10"/>
        </w:numPr>
        <w:tabs>
          <w:tab w:val="left" w:pos="693"/>
        </w:tabs>
        <w:spacing w:before="0" w:after="0" w:line="259" w:lineRule="exact"/>
        <w:ind w:left="692" w:right="0" w:hanging="527"/>
        <w:jc w:val="left"/>
        <w:rPr>
          <w:sz w:val="21"/>
        </w:rPr>
      </w:pPr>
      <w:r>
        <w:rPr>
          <w:spacing w:val="-4"/>
          <w:sz w:val="21"/>
        </w:rPr>
        <w:t>重度疾病</w:t>
      </w:r>
    </w:p>
    <w:p>
      <w:pPr>
        <w:pStyle w:val="9"/>
        <w:numPr>
          <w:ilvl w:val="1"/>
          <w:numId w:val="10"/>
        </w:numPr>
        <w:tabs>
          <w:tab w:val="left" w:pos="693"/>
        </w:tabs>
        <w:spacing w:before="0" w:after="0" w:line="250" w:lineRule="exact"/>
        <w:ind w:left="692" w:right="0" w:hanging="527"/>
        <w:jc w:val="left"/>
        <w:rPr>
          <w:sz w:val="21"/>
        </w:rPr>
      </w:pPr>
      <w:r>
        <w:rPr>
          <w:spacing w:val="-5"/>
          <w:sz w:val="21"/>
        </w:rPr>
        <w:t>医院</w:t>
      </w:r>
    </w:p>
    <w:p>
      <w:pPr>
        <w:pStyle w:val="9"/>
        <w:numPr>
          <w:ilvl w:val="1"/>
          <w:numId w:val="10"/>
        </w:numPr>
        <w:tabs>
          <w:tab w:val="left" w:pos="798"/>
        </w:tabs>
        <w:spacing w:before="0" w:after="0" w:line="251" w:lineRule="exact"/>
        <w:ind w:left="797" w:right="0" w:hanging="632"/>
        <w:jc w:val="left"/>
        <w:rPr>
          <w:sz w:val="21"/>
        </w:rPr>
      </w:pPr>
      <w:r>
        <w:rPr>
          <w:spacing w:val="-4"/>
          <w:sz w:val="21"/>
        </w:rPr>
        <w:t>专科医生</w:t>
      </w:r>
    </w:p>
    <w:p>
      <w:pPr>
        <w:pStyle w:val="9"/>
        <w:numPr>
          <w:ilvl w:val="1"/>
          <w:numId w:val="10"/>
        </w:numPr>
        <w:tabs>
          <w:tab w:val="left" w:pos="798"/>
        </w:tabs>
        <w:spacing w:before="0" w:after="0" w:line="251" w:lineRule="exact"/>
        <w:ind w:left="797" w:right="0" w:hanging="632"/>
        <w:jc w:val="left"/>
        <w:rPr>
          <w:sz w:val="21"/>
        </w:rPr>
      </w:pPr>
      <w:r>
        <w:rPr>
          <w:spacing w:val="-4"/>
          <w:sz w:val="21"/>
        </w:rPr>
        <w:t>初次确诊</w:t>
      </w:r>
    </w:p>
    <w:p>
      <w:pPr>
        <w:pStyle w:val="9"/>
        <w:numPr>
          <w:ilvl w:val="1"/>
          <w:numId w:val="10"/>
        </w:numPr>
        <w:tabs>
          <w:tab w:val="left" w:pos="798"/>
        </w:tabs>
        <w:spacing w:before="0" w:after="0" w:line="250" w:lineRule="exact"/>
        <w:ind w:left="797" w:right="0" w:hanging="632"/>
        <w:jc w:val="left"/>
        <w:rPr>
          <w:sz w:val="21"/>
        </w:rPr>
      </w:pPr>
      <w:r>
        <w:rPr>
          <w:spacing w:val="-4"/>
          <w:sz w:val="21"/>
        </w:rPr>
        <w:t>轻度疾病</w:t>
      </w:r>
    </w:p>
    <w:p>
      <w:pPr>
        <w:pStyle w:val="9"/>
        <w:numPr>
          <w:ilvl w:val="1"/>
          <w:numId w:val="10"/>
        </w:numPr>
        <w:tabs>
          <w:tab w:val="left" w:pos="798"/>
        </w:tabs>
        <w:spacing w:before="0" w:after="0" w:line="250" w:lineRule="exact"/>
        <w:ind w:left="797" w:right="0" w:hanging="632"/>
        <w:jc w:val="left"/>
        <w:rPr>
          <w:sz w:val="21"/>
        </w:rPr>
      </w:pPr>
      <w:r>
        <w:rPr>
          <w:spacing w:val="-5"/>
          <w:sz w:val="21"/>
        </w:rPr>
        <w:t>毒品</w:t>
      </w:r>
    </w:p>
    <w:p>
      <w:pPr>
        <w:pStyle w:val="9"/>
        <w:numPr>
          <w:ilvl w:val="1"/>
          <w:numId w:val="10"/>
        </w:numPr>
        <w:tabs>
          <w:tab w:val="left" w:pos="798"/>
        </w:tabs>
        <w:spacing w:before="0" w:after="0" w:line="250" w:lineRule="exact"/>
        <w:ind w:left="797" w:right="0" w:hanging="632"/>
        <w:jc w:val="left"/>
        <w:rPr>
          <w:sz w:val="21"/>
        </w:rPr>
      </w:pPr>
      <w:r>
        <w:rPr>
          <w:spacing w:val="-4"/>
          <w:sz w:val="21"/>
        </w:rPr>
        <w:t>酒后驾驶</w:t>
      </w:r>
    </w:p>
    <w:p>
      <w:pPr>
        <w:pStyle w:val="9"/>
        <w:numPr>
          <w:ilvl w:val="1"/>
          <w:numId w:val="10"/>
        </w:numPr>
        <w:tabs>
          <w:tab w:val="left" w:pos="798"/>
        </w:tabs>
        <w:spacing w:before="0" w:after="0" w:line="250" w:lineRule="exact"/>
        <w:ind w:left="797" w:right="0" w:hanging="632"/>
        <w:jc w:val="left"/>
        <w:rPr>
          <w:sz w:val="21"/>
        </w:rPr>
      </w:pPr>
      <w:r>
        <w:rPr>
          <w:spacing w:val="-3"/>
          <w:sz w:val="21"/>
        </w:rPr>
        <w:t>无合法有效驾驶证驾驶</w:t>
      </w:r>
    </w:p>
    <w:p>
      <w:pPr>
        <w:pStyle w:val="9"/>
        <w:numPr>
          <w:ilvl w:val="1"/>
          <w:numId w:val="10"/>
        </w:numPr>
        <w:tabs>
          <w:tab w:val="left" w:pos="798"/>
        </w:tabs>
        <w:spacing w:before="0" w:after="0" w:line="251" w:lineRule="exact"/>
        <w:ind w:left="797" w:right="0" w:hanging="632"/>
        <w:jc w:val="left"/>
        <w:rPr>
          <w:sz w:val="21"/>
        </w:rPr>
      </w:pPr>
      <w:r>
        <w:rPr>
          <w:spacing w:val="-4"/>
          <w:sz w:val="21"/>
        </w:rPr>
        <w:t>无有效行驶证</w:t>
      </w:r>
    </w:p>
    <w:p>
      <w:pPr>
        <w:pStyle w:val="9"/>
        <w:numPr>
          <w:ilvl w:val="1"/>
          <w:numId w:val="10"/>
        </w:numPr>
        <w:tabs>
          <w:tab w:val="left" w:pos="798"/>
        </w:tabs>
        <w:spacing w:before="0" w:after="0" w:line="251" w:lineRule="exact"/>
        <w:ind w:left="797" w:right="0" w:hanging="632"/>
        <w:jc w:val="left"/>
        <w:rPr>
          <w:sz w:val="21"/>
        </w:rPr>
      </w:pPr>
      <w:r>
        <w:rPr>
          <w:spacing w:val="-5"/>
          <w:sz w:val="21"/>
        </w:rPr>
        <w:t>机动车</w:t>
      </w:r>
    </w:p>
    <w:p>
      <w:pPr>
        <w:pStyle w:val="9"/>
        <w:numPr>
          <w:ilvl w:val="1"/>
          <w:numId w:val="10"/>
        </w:numPr>
        <w:tabs>
          <w:tab w:val="left" w:pos="798"/>
        </w:tabs>
        <w:spacing w:before="0" w:after="0" w:line="250" w:lineRule="exact"/>
        <w:ind w:left="797" w:right="0" w:hanging="632"/>
        <w:jc w:val="left"/>
        <w:rPr>
          <w:sz w:val="21"/>
        </w:rPr>
      </w:pPr>
      <w:r>
        <w:rPr>
          <w:spacing w:val="-3"/>
          <w:sz w:val="21"/>
        </w:rPr>
        <w:t>感染艾滋病病毒或患艾滋病</w:t>
      </w:r>
    </w:p>
    <w:p>
      <w:pPr>
        <w:pStyle w:val="9"/>
        <w:numPr>
          <w:ilvl w:val="1"/>
          <w:numId w:val="10"/>
        </w:numPr>
        <w:tabs>
          <w:tab w:val="left" w:pos="798"/>
        </w:tabs>
        <w:spacing w:before="0" w:after="0" w:line="250" w:lineRule="exact"/>
        <w:ind w:left="797" w:right="0" w:hanging="632"/>
        <w:jc w:val="left"/>
        <w:rPr>
          <w:sz w:val="21"/>
        </w:rPr>
      </w:pPr>
      <w:r>
        <w:rPr>
          <w:spacing w:val="-4"/>
          <w:sz w:val="21"/>
        </w:rPr>
        <w:t>遗传性疾病</w:t>
      </w:r>
    </w:p>
    <w:p>
      <w:pPr>
        <w:pStyle w:val="9"/>
        <w:numPr>
          <w:ilvl w:val="1"/>
          <w:numId w:val="10"/>
        </w:numPr>
        <w:tabs>
          <w:tab w:val="left" w:pos="798"/>
        </w:tabs>
        <w:spacing w:before="7" w:after="0" w:line="220" w:lineRule="auto"/>
        <w:ind w:left="795" w:right="496" w:hanging="629"/>
        <w:jc w:val="left"/>
        <w:rPr>
          <w:sz w:val="21"/>
        </w:rPr>
      </w:pPr>
      <w:r>
        <w:rPr>
          <w:spacing w:val="-2"/>
          <w:sz w:val="21"/>
        </w:rPr>
        <w:t>先天性畸形、变形或染色体</w:t>
      </w:r>
      <w:r>
        <w:rPr>
          <w:spacing w:val="-6"/>
          <w:sz w:val="21"/>
        </w:rPr>
        <w:t>异常</w:t>
      </w:r>
    </w:p>
    <w:p>
      <w:pPr>
        <w:spacing w:after="0" w:line="220" w:lineRule="auto"/>
        <w:jc w:val="left"/>
        <w:rPr>
          <w:sz w:val="21"/>
        </w:rPr>
        <w:sectPr>
          <w:type w:val="continuous"/>
          <w:pgSz w:w="11910" w:h="16840"/>
          <w:pgMar w:top="240" w:right="340" w:bottom="640" w:left="800" w:header="0" w:footer="457" w:gutter="0"/>
          <w:cols w:equalWidth="0" w:num="3">
            <w:col w:w="3569" w:space="40"/>
            <w:col w:w="3300" w:space="39"/>
            <w:col w:w="3822"/>
          </w:cols>
        </w:sectPr>
      </w:pPr>
    </w:p>
    <w:p>
      <w:pPr>
        <w:tabs>
          <w:tab w:val="left" w:pos="1177"/>
        </w:tabs>
        <w:spacing w:before="10"/>
        <w:ind w:left="220" w:right="0" w:firstLine="0"/>
        <w:jc w:val="left"/>
        <w:rPr>
          <w:b/>
          <w:sz w:val="24"/>
        </w:rPr>
      </w:pPr>
      <w:r>
        <w:drawing>
          <wp:anchor distT="0" distB="0" distL="0" distR="0" simplePos="0" relativeHeight="251659264" behindDoc="0" locked="0" layoutInCell="1" allowOverlap="1">
            <wp:simplePos x="0" y="0"/>
            <wp:positionH relativeFrom="page">
              <wp:posOffset>578485</wp:posOffset>
            </wp:positionH>
            <wp:positionV relativeFrom="paragraph">
              <wp:posOffset>386715</wp:posOffset>
            </wp:positionV>
            <wp:extent cx="6375400" cy="12065"/>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a:picLocks noChangeAspect="1"/>
                    </pic:cNvPicPr>
                  </pic:nvPicPr>
                  <pic:blipFill>
                    <a:blip r:embed="rId9" cstate="print"/>
                    <a:stretch>
                      <a:fillRect/>
                    </a:stretch>
                  </pic:blipFill>
                  <pic:spPr>
                    <a:xfrm>
                      <a:off x="0" y="0"/>
                      <a:ext cx="6375162" cy="12287"/>
                    </a:xfrm>
                    <a:prstGeom prst="rect">
                      <a:avLst/>
                    </a:prstGeom>
                  </pic:spPr>
                </pic:pic>
              </a:graphicData>
            </a:graphic>
          </wp:anchor>
        </w:drawing>
      </w:r>
      <w:r>
        <w:rPr>
          <w:spacing w:val="-310"/>
          <w:position w:val="-5"/>
          <w:sz w:val="45"/>
        </w:rPr>
        <w:t>●</w:t>
      </w:r>
      <w:r>
        <w:rPr>
          <w:rFonts w:ascii="Times New Roman" w:hAnsi="Times New Roman" w:eastAsia="Times New Roman"/>
          <w:color w:val="FFFFFF"/>
          <w:spacing w:val="-5"/>
          <w:sz w:val="30"/>
        </w:rPr>
        <w:t>1</w:t>
      </w:r>
      <w:r>
        <w:rPr>
          <w:rFonts w:ascii="Times New Roman" w:hAnsi="Times New Roman" w:eastAsia="Times New Roman"/>
          <w:color w:val="FFFFFF"/>
          <w:sz w:val="30"/>
        </w:rPr>
        <w:tab/>
      </w:r>
      <w:r>
        <w:rPr>
          <w:b/>
          <w:w w:val="95"/>
          <w:position w:val="2"/>
          <w:sz w:val="24"/>
        </w:rPr>
        <w:t>您与我们订</w:t>
      </w:r>
      <w:r>
        <w:rPr>
          <w:b/>
          <w:spacing w:val="-3"/>
          <w:w w:val="95"/>
          <w:position w:val="2"/>
          <w:sz w:val="24"/>
        </w:rPr>
        <w:t>立的合同</w:t>
      </w:r>
    </w:p>
    <w:p>
      <w:pPr>
        <w:pStyle w:val="9"/>
        <w:numPr>
          <w:ilvl w:val="1"/>
          <w:numId w:val="11"/>
        </w:numPr>
        <w:tabs>
          <w:tab w:val="left" w:pos="1179"/>
        </w:tabs>
        <w:spacing w:before="334" w:after="0" w:line="278" w:lineRule="auto"/>
        <w:ind w:left="3038" w:right="793" w:hanging="2818"/>
        <w:jc w:val="both"/>
        <w:rPr>
          <w:sz w:val="21"/>
        </w:rPr>
      </w:pPr>
      <w:r>
        <w:rPr>
          <w:b/>
          <w:sz w:val="21"/>
        </w:rPr>
        <w:t>合同构成</w:t>
      </w:r>
      <w:r>
        <w:rPr>
          <w:b/>
          <w:spacing w:val="878"/>
          <w:sz w:val="21"/>
        </w:rPr>
        <w:t xml:space="preserve"> </w:t>
      </w:r>
      <w:r>
        <w:rPr>
          <w:sz w:val="21"/>
        </w:rPr>
        <w:t>本合同是您与我们约定保险权利义务关系的协议，包括本保险条款、保险单</w:t>
      </w:r>
      <w:r>
        <w:rPr>
          <w:spacing w:val="-2"/>
          <w:sz w:val="21"/>
        </w:rPr>
        <w:t>或其他保险凭证、投保单、与本合同有关的投保文件、合法有效的声明、批注、批单及其他您与本公司（</w:t>
      </w:r>
      <w:r>
        <w:rPr>
          <w:spacing w:val="-15"/>
          <w:sz w:val="21"/>
        </w:rPr>
        <w:t>以下简称“双方”</w:t>
      </w:r>
      <w:r>
        <w:rPr>
          <w:spacing w:val="-3"/>
          <w:sz w:val="21"/>
        </w:rPr>
        <w:t>）</w:t>
      </w:r>
      <w:r>
        <w:rPr>
          <w:spacing w:val="-2"/>
          <w:sz w:val="21"/>
        </w:rPr>
        <w:t>共同认可的书面协议。</w:t>
      </w:r>
    </w:p>
    <w:p>
      <w:pPr>
        <w:pStyle w:val="4"/>
        <w:spacing w:before="4"/>
        <w:rPr>
          <w:sz w:val="24"/>
        </w:rPr>
      </w:pPr>
    </w:p>
    <w:p>
      <w:pPr>
        <w:pStyle w:val="9"/>
        <w:numPr>
          <w:ilvl w:val="1"/>
          <w:numId w:val="11"/>
        </w:numPr>
        <w:tabs>
          <w:tab w:val="left" w:pos="1177"/>
          <w:tab w:val="left" w:pos="1179"/>
          <w:tab w:val="left" w:pos="3037"/>
        </w:tabs>
        <w:spacing w:before="1" w:after="0" w:line="240" w:lineRule="auto"/>
        <w:ind w:left="1178" w:right="0" w:hanging="959"/>
        <w:jc w:val="left"/>
        <w:rPr>
          <w:sz w:val="21"/>
        </w:rPr>
      </w:pPr>
      <w:r>
        <w:rPr>
          <w:b/>
          <w:spacing w:val="-2"/>
          <w:sz w:val="21"/>
        </w:rPr>
        <w:t>合同成立与生</w:t>
      </w:r>
      <w:r>
        <w:rPr>
          <w:b/>
          <w:spacing w:val="-12"/>
          <w:sz w:val="21"/>
        </w:rPr>
        <w:t>效</w:t>
      </w:r>
      <w:r>
        <w:rPr>
          <w:b/>
          <w:sz w:val="21"/>
        </w:rPr>
        <w:tab/>
      </w:r>
      <w:r>
        <w:rPr>
          <w:spacing w:val="-2"/>
          <w:sz w:val="21"/>
        </w:rPr>
        <w:t>本合同自您提出申请、我们同意承保时成立</w:t>
      </w:r>
      <w:r>
        <w:rPr>
          <w:spacing w:val="-10"/>
          <w:sz w:val="21"/>
        </w:rPr>
        <w:t>。</w:t>
      </w:r>
    </w:p>
    <w:p>
      <w:pPr>
        <w:pStyle w:val="4"/>
        <w:spacing w:before="6"/>
        <w:rPr>
          <w:sz w:val="15"/>
        </w:rPr>
      </w:pPr>
    </w:p>
    <w:p>
      <w:pPr>
        <w:spacing w:before="0" w:line="278" w:lineRule="auto"/>
        <w:ind w:left="3038" w:right="690" w:firstLine="0"/>
        <w:jc w:val="left"/>
        <w:rPr>
          <w:sz w:val="21"/>
        </w:rPr>
      </w:pPr>
      <w:r>
        <w:rPr>
          <w:spacing w:val="-2"/>
          <w:sz w:val="21"/>
        </w:rPr>
        <w:t>自本合同成立、我们收取保险费并签发保险单的次日零时起本合同生效，生</w:t>
      </w:r>
      <w:r>
        <w:rPr>
          <w:spacing w:val="-11"/>
          <w:sz w:val="21"/>
        </w:rPr>
        <w:t>效日期在保险单上载明，</w:t>
      </w:r>
      <w:r>
        <w:rPr>
          <w:b/>
          <w:spacing w:val="-13"/>
          <w:sz w:val="21"/>
        </w:rPr>
        <w:t>保单年生效对应日</w:t>
      </w:r>
      <w:r>
        <w:rPr>
          <w:spacing w:val="-6"/>
          <w:sz w:val="21"/>
        </w:rPr>
        <w:t>（</w:t>
      </w:r>
      <w:r>
        <w:rPr>
          <w:spacing w:val="-31"/>
          <w:sz w:val="21"/>
        </w:rPr>
        <w:t xml:space="preserve">见 </w:t>
      </w:r>
      <w:r>
        <w:rPr>
          <w:spacing w:val="16"/>
          <w:sz w:val="21"/>
        </w:rPr>
        <w:t>10</w:t>
      </w:r>
      <w:r>
        <w:rPr>
          <w:spacing w:val="13"/>
          <w:sz w:val="21"/>
        </w:rPr>
        <w:t>.</w:t>
      </w:r>
      <w:r>
        <w:rPr>
          <w:spacing w:val="15"/>
          <w:sz w:val="21"/>
        </w:rPr>
        <w:t>1</w:t>
      </w:r>
      <w:r>
        <w:rPr>
          <w:spacing w:val="-92"/>
          <w:sz w:val="21"/>
        </w:rPr>
        <w:t>）</w:t>
      </w:r>
      <w:r>
        <w:rPr>
          <w:b/>
          <w:spacing w:val="-27"/>
          <w:sz w:val="21"/>
        </w:rPr>
        <w:t>、保单年度</w:t>
      </w:r>
      <w:r>
        <w:rPr>
          <w:spacing w:val="-6"/>
          <w:sz w:val="21"/>
        </w:rPr>
        <w:t>（</w:t>
      </w:r>
      <w:r>
        <w:rPr>
          <w:spacing w:val="-30"/>
          <w:sz w:val="21"/>
        </w:rPr>
        <w:t xml:space="preserve">见 </w:t>
      </w:r>
      <w:r>
        <w:rPr>
          <w:spacing w:val="13"/>
          <w:sz w:val="21"/>
        </w:rPr>
        <w:t>1</w:t>
      </w:r>
      <w:r>
        <w:rPr>
          <w:spacing w:val="16"/>
          <w:sz w:val="21"/>
        </w:rPr>
        <w:t>0</w:t>
      </w:r>
      <w:r>
        <w:rPr>
          <w:spacing w:val="15"/>
          <w:sz w:val="21"/>
        </w:rPr>
        <w:t>.</w:t>
      </w:r>
      <w:r>
        <w:rPr>
          <w:spacing w:val="16"/>
          <w:sz w:val="21"/>
        </w:rPr>
        <w:t>2</w:t>
      </w:r>
      <w:r>
        <w:rPr>
          <w:spacing w:val="-92"/>
          <w:sz w:val="21"/>
        </w:rPr>
        <w:t>）</w:t>
      </w:r>
      <w:r>
        <w:rPr>
          <w:b/>
          <w:spacing w:val="-6"/>
          <w:sz w:val="21"/>
        </w:rPr>
        <w:t>、</w:t>
      </w:r>
      <w:r>
        <w:rPr>
          <w:b/>
          <w:sz w:val="21"/>
        </w:rPr>
        <w:t>保险费约定支付日</w:t>
      </w:r>
      <w:r>
        <w:rPr>
          <w:sz w:val="21"/>
        </w:rPr>
        <w:t>（</w:t>
      </w:r>
      <w:r>
        <w:rPr>
          <w:spacing w:val="-23"/>
          <w:sz w:val="21"/>
        </w:rPr>
        <w:t xml:space="preserve">见 </w:t>
      </w:r>
      <w:r>
        <w:rPr>
          <w:sz w:val="21"/>
        </w:rPr>
        <w:t>10.3）均以该日期计算。</w:t>
      </w:r>
    </w:p>
    <w:p>
      <w:pPr>
        <w:pStyle w:val="4"/>
        <w:spacing w:before="5"/>
        <w:rPr>
          <w:sz w:val="24"/>
        </w:rPr>
      </w:pPr>
    </w:p>
    <w:p>
      <w:pPr>
        <w:pStyle w:val="9"/>
        <w:numPr>
          <w:ilvl w:val="1"/>
          <w:numId w:val="11"/>
        </w:numPr>
        <w:tabs>
          <w:tab w:val="left" w:pos="1179"/>
        </w:tabs>
        <w:spacing w:before="0" w:after="0" w:line="278" w:lineRule="auto"/>
        <w:ind w:left="3038" w:right="793" w:hanging="2818"/>
        <w:jc w:val="both"/>
        <w:rPr>
          <w:sz w:val="21"/>
        </w:rPr>
      </w:pPr>
      <w:r>
        <w:rPr>
          <w:b/>
          <w:sz w:val="21"/>
        </w:rPr>
        <w:t>投保范围</w:t>
      </w:r>
      <w:r>
        <w:rPr>
          <w:b/>
          <w:spacing w:val="593"/>
          <w:sz w:val="21"/>
        </w:rPr>
        <w:t xml:space="preserve"> </w:t>
      </w:r>
      <w:r>
        <w:rPr>
          <w:spacing w:val="-6"/>
          <w:sz w:val="21"/>
        </w:rPr>
        <w:t xml:space="preserve">凡出生满 </w:t>
      </w:r>
      <w:r>
        <w:rPr>
          <w:sz w:val="21"/>
        </w:rPr>
        <w:t>28</w:t>
      </w:r>
      <w:r>
        <w:rPr>
          <w:spacing w:val="-14"/>
          <w:sz w:val="21"/>
        </w:rPr>
        <w:t xml:space="preserve"> 日</w:t>
      </w:r>
      <w:r>
        <w:rPr>
          <w:sz w:val="21"/>
        </w:rPr>
        <w:t>（含）</w:t>
      </w:r>
      <w:r>
        <w:rPr>
          <w:spacing w:val="-13"/>
          <w:sz w:val="21"/>
        </w:rPr>
        <w:t xml:space="preserve">至 </w:t>
      </w:r>
      <w:r>
        <w:rPr>
          <w:sz w:val="21"/>
        </w:rPr>
        <w:t>17</w:t>
      </w:r>
      <w:r>
        <w:rPr>
          <w:spacing w:val="-26"/>
          <w:sz w:val="21"/>
        </w:rPr>
        <w:t xml:space="preserve"> </w:t>
      </w:r>
      <w:r>
        <w:rPr>
          <w:b/>
          <w:sz w:val="21"/>
        </w:rPr>
        <w:t>周岁</w:t>
      </w:r>
      <w:r>
        <w:rPr>
          <w:sz w:val="21"/>
        </w:rPr>
        <w:t>（</w:t>
      </w:r>
      <w:r>
        <w:rPr>
          <w:spacing w:val="-13"/>
          <w:sz w:val="21"/>
        </w:rPr>
        <w:t xml:space="preserve">见 </w:t>
      </w:r>
      <w:r>
        <w:rPr>
          <w:spacing w:val="20"/>
          <w:sz w:val="21"/>
        </w:rPr>
        <w:t>10</w:t>
      </w:r>
      <w:r>
        <w:rPr>
          <w:spacing w:val="17"/>
          <w:sz w:val="21"/>
        </w:rPr>
        <w:t>.</w:t>
      </w:r>
      <w:r>
        <w:rPr>
          <w:spacing w:val="20"/>
          <w:sz w:val="21"/>
        </w:rPr>
        <w:t>4</w:t>
      </w:r>
      <w:r>
        <w:rPr>
          <w:spacing w:val="-98"/>
          <w:sz w:val="21"/>
        </w:rPr>
        <w:t>）</w:t>
      </w:r>
      <w:r>
        <w:rPr>
          <w:spacing w:val="17"/>
          <w:sz w:val="21"/>
        </w:rPr>
        <w:t>（</w:t>
      </w:r>
      <w:r>
        <w:rPr>
          <w:sz w:val="21"/>
        </w:rPr>
        <w:t>含</w:t>
      </w:r>
      <w:r>
        <w:rPr>
          <w:spacing w:val="-106"/>
          <w:sz w:val="21"/>
        </w:rPr>
        <w:t>）</w:t>
      </w:r>
      <w:r>
        <w:rPr>
          <w:sz w:val="21"/>
        </w:rPr>
        <w:t>、身体健康的自然人均可作</w:t>
      </w:r>
      <w:r>
        <w:rPr>
          <w:spacing w:val="-2"/>
          <w:sz w:val="21"/>
        </w:rPr>
        <w:t>为被保险人，由对其具有保险利益的人作为投保人向我们投保本保险。</w:t>
      </w:r>
    </w:p>
    <w:p>
      <w:pPr>
        <w:pStyle w:val="4"/>
        <w:spacing w:before="4"/>
        <w:rPr>
          <w:sz w:val="24"/>
        </w:rPr>
      </w:pPr>
    </w:p>
    <w:p>
      <w:pPr>
        <w:pStyle w:val="9"/>
        <w:numPr>
          <w:ilvl w:val="1"/>
          <w:numId w:val="11"/>
        </w:numPr>
        <w:tabs>
          <w:tab w:val="left" w:pos="1179"/>
          <w:tab w:val="left" w:pos="3037"/>
        </w:tabs>
        <w:spacing w:before="0" w:after="0" w:line="278" w:lineRule="auto"/>
        <w:ind w:left="3038" w:right="793" w:hanging="2818"/>
        <w:jc w:val="both"/>
        <w:rPr>
          <w:sz w:val="21"/>
        </w:rPr>
      </w:pPr>
      <w:r>
        <w:rPr>
          <w:b/>
          <w:spacing w:val="-4"/>
          <w:sz w:val="21"/>
        </w:rPr>
        <w:t>犹豫期</w:t>
      </w:r>
      <w:r>
        <w:rPr>
          <w:b/>
          <w:sz w:val="21"/>
        </w:rPr>
        <w:tab/>
      </w:r>
      <w:r>
        <w:rPr>
          <w:sz w:val="21"/>
        </w:rPr>
        <w:t>自您签收本合同的次日零时起，有</w:t>
      </w:r>
      <w:r>
        <w:rPr>
          <w:spacing w:val="-14"/>
          <w:sz w:val="21"/>
        </w:rPr>
        <w:t xml:space="preserve"> </w:t>
      </w:r>
      <w:r>
        <w:rPr>
          <w:sz w:val="21"/>
        </w:rPr>
        <w:t>15</w:t>
      </w:r>
      <w:r>
        <w:rPr>
          <w:spacing w:val="-17"/>
          <w:sz w:val="21"/>
        </w:rPr>
        <w:t xml:space="preserve"> </w:t>
      </w:r>
      <w:r>
        <w:rPr>
          <w:sz w:val="21"/>
        </w:rPr>
        <w:t>日的犹豫期。在此期间，请您认真审</w:t>
      </w:r>
      <w:r>
        <w:rPr>
          <w:spacing w:val="-2"/>
          <w:sz w:val="21"/>
        </w:rPr>
        <w:t>阅本合同，如果您认为本合同与您的需求不相符，您可以在此期间提出解除</w:t>
      </w:r>
      <w:r>
        <w:rPr>
          <w:spacing w:val="-4"/>
          <w:sz w:val="21"/>
        </w:rPr>
        <w:t>本合同。</w:t>
      </w:r>
    </w:p>
    <w:p>
      <w:pPr>
        <w:pStyle w:val="4"/>
        <w:spacing w:before="156" w:line="278" w:lineRule="auto"/>
        <w:ind w:left="3038" w:right="793"/>
        <w:jc w:val="both"/>
        <w:rPr>
          <w:rFonts w:ascii="黑体" w:eastAsia="黑体"/>
        </w:rPr>
      </w:pPr>
      <w:r>
        <w:rPr>
          <w:spacing w:val="-2"/>
        </w:rPr>
        <w:t>解除本合同时，您需要提出书面申请，并提供本合同及有效身份证件。</w:t>
      </w:r>
      <w:r>
        <w:rPr>
          <w:rFonts w:ascii="黑体" w:eastAsia="黑体"/>
          <w:color w:val="000000"/>
          <w:spacing w:val="-2"/>
          <w:shd w:val="clear" w:color="auto" w:fill="D9D9D9"/>
        </w:rPr>
        <w:t>自我</w:t>
      </w:r>
      <w:r>
        <w:rPr>
          <w:rFonts w:ascii="黑体" w:eastAsia="黑体"/>
          <w:color w:val="000000"/>
          <w:spacing w:val="40"/>
          <w:shd w:val="clear" w:color="auto" w:fill="D9D9D9"/>
        </w:rPr>
        <w:t xml:space="preserve"> </w:t>
      </w:r>
      <w:r>
        <w:rPr>
          <w:rFonts w:ascii="黑体" w:eastAsia="黑体"/>
          <w:color w:val="000000"/>
          <w:spacing w:val="-2"/>
          <w:shd w:val="clear" w:color="auto" w:fill="D9D9D9"/>
        </w:rPr>
        <w:t>们收到您解除本合同的书面申请时起，本合同即被解除，我们自始不承担保险责任，并将无息退还您支付的保险费。</w:t>
      </w:r>
    </w:p>
    <w:p>
      <w:pPr>
        <w:pStyle w:val="4"/>
        <w:spacing w:before="7"/>
        <w:rPr>
          <w:rFonts w:ascii="黑体"/>
          <w:sz w:val="24"/>
        </w:rPr>
      </w:pPr>
    </w:p>
    <w:p>
      <w:pPr>
        <w:tabs>
          <w:tab w:val="left" w:pos="1177"/>
        </w:tabs>
        <w:spacing w:before="0"/>
        <w:ind w:left="220" w:right="0" w:firstLine="0"/>
        <w:jc w:val="left"/>
        <w:rPr>
          <w:b/>
          <w:sz w:val="24"/>
        </w:rPr>
      </w:pPr>
      <w:r>
        <w:drawing>
          <wp:anchor distT="0" distB="0" distL="0" distR="0" simplePos="0" relativeHeight="251659264" behindDoc="0" locked="0" layoutInCell="1" allowOverlap="1">
            <wp:simplePos x="0" y="0"/>
            <wp:positionH relativeFrom="page">
              <wp:posOffset>578485</wp:posOffset>
            </wp:positionH>
            <wp:positionV relativeFrom="paragraph">
              <wp:posOffset>379730</wp:posOffset>
            </wp:positionV>
            <wp:extent cx="6325870" cy="12065"/>
            <wp:effectExtent l="0" t="0" r="0" b="0"/>
            <wp:wrapTopAndBottom/>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a:picLocks noChangeAspect="1"/>
                    </pic:cNvPicPr>
                  </pic:nvPicPr>
                  <pic:blipFill>
                    <a:blip r:embed="rId10" cstate="print"/>
                    <a:stretch>
                      <a:fillRect/>
                    </a:stretch>
                  </pic:blipFill>
                  <pic:spPr>
                    <a:xfrm>
                      <a:off x="0" y="0"/>
                      <a:ext cx="6325611" cy="12191"/>
                    </a:xfrm>
                    <a:prstGeom prst="rect">
                      <a:avLst/>
                    </a:prstGeom>
                  </pic:spPr>
                </pic:pic>
              </a:graphicData>
            </a:graphic>
          </wp:anchor>
        </w:drawing>
      </w:r>
      <w:r>
        <w:rPr>
          <w:spacing w:val="-310"/>
          <w:position w:val="-5"/>
          <w:sz w:val="45"/>
        </w:rPr>
        <w:t>●</w:t>
      </w:r>
      <w:r>
        <w:rPr>
          <w:rFonts w:ascii="Times New Roman" w:hAnsi="Times New Roman" w:eastAsia="Times New Roman"/>
          <w:color w:val="FFFFFF"/>
          <w:spacing w:val="-5"/>
          <w:sz w:val="30"/>
        </w:rPr>
        <w:t>2</w:t>
      </w:r>
      <w:r>
        <w:rPr>
          <w:rFonts w:ascii="Times New Roman" w:hAnsi="Times New Roman" w:eastAsia="Times New Roman"/>
          <w:color w:val="FFFFFF"/>
          <w:sz w:val="30"/>
        </w:rPr>
        <w:tab/>
      </w:r>
      <w:r>
        <w:rPr>
          <w:b/>
          <w:w w:val="95"/>
          <w:position w:val="2"/>
          <w:sz w:val="24"/>
        </w:rPr>
        <w:t>我们提供的</w:t>
      </w:r>
      <w:r>
        <w:rPr>
          <w:b/>
          <w:spacing w:val="-5"/>
          <w:w w:val="95"/>
          <w:position w:val="2"/>
          <w:sz w:val="24"/>
        </w:rPr>
        <w:t>保障</w:t>
      </w:r>
    </w:p>
    <w:p>
      <w:pPr>
        <w:pStyle w:val="4"/>
        <w:spacing w:before="7"/>
        <w:rPr>
          <w:b/>
          <w:sz w:val="20"/>
        </w:rPr>
      </w:pPr>
    </w:p>
    <w:p>
      <w:pPr>
        <w:pStyle w:val="9"/>
        <w:numPr>
          <w:ilvl w:val="1"/>
          <w:numId w:val="12"/>
        </w:numPr>
        <w:tabs>
          <w:tab w:val="left" w:pos="1177"/>
          <w:tab w:val="left" w:pos="1179"/>
          <w:tab w:val="left" w:pos="3037"/>
        </w:tabs>
        <w:spacing w:before="71" w:after="0" w:line="278" w:lineRule="auto"/>
        <w:ind w:left="3038" w:right="793" w:hanging="2818"/>
        <w:jc w:val="left"/>
        <w:rPr>
          <w:sz w:val="21"/>
        </w:rPr>
      </w:pPr>
      <w:r>
        <w:rPr>
          <w:b/>
          <w:spacing w:val="-2"/>
          <w:sz w:val="21"/>
        </w:rPr>
        <w:t>基本保险金额</w:t>
      </w:r>
      <w:r>
        <w:rPr>
          <w:b/>
          <w:sz w:val="21"/>
        </w:rPr>
        <w:tab/>
      </w:r>
      <w:r>
        <w:rPr>
          <w:spacing w:val="-2"/>
          <w:sz w:val="21"/>
        </w:rPr>
        <w:t>本合同的基本保险金额由您在投保时与我们约定，并在保险单上载明。如果该金额发生变更，则以变更后的金额为基本保险金额。</w:t>
      </w:r>
    </w:p>
    <w:p>
      <w:pPr>
        <w:pStyle w:val="4"/>
        <w:spacing w:before="3"/>
        <w:rPr>
          <w:sz w:val="12"/>
        </w:rPr>
      </w:pPr>
    </w:p>
    <w:p>
      <w:pPr>
        <w:spacing w:after="0"/>
        <w:rPr>
          <w:sz w:val="12"/>
        </w:rPr>
        <w:sectPr>
          <w:pgSz w:w="11910" w:h="16840"/>
          <w:pgMar w:top="1160" w:right="340" w:bottom="640" w:left="800" w:header="0" w:footer="457" w:gutter="0"/>
          <w:cols w:space="720" w:num="1"/>
        </w:sectPr>
      </w:pPr>
    </w:p>
    <w:p>
      <w:pPr>
        <w:pStyle w:val="3"/>
        <w:numPr>
          <w:ilvl w:val="1"/>
          <w:numId w:val="12"/>
        </w:numPr>
        <w:tabs>
          <w:tab w:val="left" w:pos="1177"/>
          <w:tab w:val="left" w:pos="1179"/>
        </w:tabs>
        <w:spacing w:before="71" w:after="0" w:line="278" w:lineRule="auto"/>
        <w:ind w:left="1178" w:right="38" w:hanging="959"/>
        <w:jc w:val="left"/>
      </w:pPr>
      <w:r>
        <w:rPr>
          <w:spacing w:val="-2"/>
        </w:rPr>
        <w:t>未成年人身故保</w:t>
      </w:r>
      <w:r>
        <w:rPr>
          <w:spacing w:val="-4"/>
        </w:rPr>
        <w:t>险金限制</w:t>
      </w:r>
    </w:p>
    <w:p>
      <w:pPr>
        <w:pStyle w:val="4"/>
        <w:spacing w:before="71" w:line="278" w:lineRule="auto"/>
        <w:ind w:left="220" w:right="793"/>
        <w:jc w:val="both"/>
        <w:rPr>
          <w:rFonts w:ascii="黑体" w:eastAsia="黑体"/>
        </w:rPr>
      </w:pPr>
      <w:r>
        <w:br w:type="column"/>
      </w:r>
      <w:r>
        <w:rPr>
          <w:rFonts w:ascii="黑体" w:eastAsia="黑体"/>
          <w:spacing w:val="-2"/>
        </w:rPr>
        <w:t>为未成年子女投保的人身保险，因被保险人身故给付的保险金总和不得超过国务院保险监督管理机构规定的限额，身故给付的保险金额总和约定也不得超过前述限额。</w:t>
      </w:r>
    </w:p>
    <w:p>
      <w:pPr>
        <w:spacing w:after="0" w:line="278" w:lineRule="auto"/>
        <w:jc w:val="both"/>
        <w:rPr>
          <w:rFonts w:ascii="黑体" w:eastAsia="黑体"/>
        </w:rPr>
        <w:sectPr>
          <w:type w:val="continuous"/>
          <w:pgSz w:w="11910" w:h="16840"/>
          <w:pgMar w:top="240" w:right="340" w:bottom="640" w:left="800" w:header="0" w:footer="457" w:gutter="0"/>
          <w:cols w:equalWidth="0" w:num="2">
            <w:col w:w="2697" w:space="121"/>
            <w:col w:w="7952"/>
          </w:cols>
        </w:sectPr>
      </w:pPr>
    </w:p>
    <w:p>
      <w:pPr>
        <w:pStyle w:val="4"/>
        <w:spacing w:before="11"/>
        <w:rPr>
          <w:rFonts w:ascii="黑体"/>
          <w:sz w:val="7"/>
        </w:rPr>
      </w:pPr>
    </w:p>
    <w:p>
      <w:pPr>
        <w:pStyle w:val="9"/>
        <w:numPr>
          <w:ilvl w:val="1"/>
          <w:numId w:val="12"/>
        </w:numPr>
        <w:tabs>
          <w:tab w:val="left" w:pos="1177"/>
          <w:tab w:val="left" w:pos="1179"/>
          <w:tab w:val="left" w:pos="3037"/>
        </w:tabs>
        <w:spacing w:before="72" w:after="0" w:line="261" w:lineRule="auto"/>
        <w:ind w:left="3038" w:right="793" w:hanging="2818"/>
        <w:jc w:val="left"/>
        <w:rPr>
          <w:sz w:val="21"/>
        </w:rPr>
      </w:pPr>
      <w:r>
        <w:rPr>
          <w:b/>
          <w:spacing w:val="-4"/>
          <w:position w:val="-1"/>
          <w:sz w:val="21"/>
        </w:rPr>
        <w:t>保险期间</w:t>
      </w:r>
      <w:r>
        <w:rPr>
          <w:b/>
          <w:position w:val="-1"/>
          <w:sz w:val="21"/>
        </w:rPr>
        <w:tab/>
      </w:r>
      <w:r>
        <w:rPr>
          <w:spacing w:val="-2"/>
          <w:sz w:val="21"/>
        </w:rPr>
        <w:t>本合同的保险期间为终身，自保险单上记载的保险合同生效日零时起至被保险人身故时止。</w:t>
      </w:r>
    </w:p>
    <w:p>
      <w:pPr>
        <w:pStyle w:val="4"/>
        <w:spacing w:before="4"/>
        <w:rPr>
          <w:sz w:val="26"/>
        </w:rPr>
      </w:pPr>
    </w:p>
    <w:p>
      <w:pPr>
        <w:pStyle w:val="9"/>
        <w:numPr>
          <w:ilvl w:val="1"/>
          <w:numId w:val="12"/>
        </w:numPr>
        <w:tabs>
          <w:tab w:val="left" w:pos="1177"/>
          <w:tab w:val="left" w:pos="1179"/>
          <w:tab w:val="left" w:pos="3037"/>
        </w:tabs>
        <w:spacing w:before="0" w:after="0" w:line="240" w:lineRule="auto"/>
        <w:ind w:left="1178" w:right="0" w:hanging="959"/>
        <w:jc w:val="left"/>
        <w:rPr>
          <w:sz w:val="21"/>
        </w:rPr>
      </w:pPr>
      <w:r>
        <w:rPr>
          <w:b/>
          <w:sz w:val="21"/>
        </w:rPr>
        <w:t>保险责</w:t>
      </w:r>
      <w:r>
        <w:rPr>
          <w:b/>
          <w:spacing w:val="-10"/>
          <w:sz w:val="21"/>
        </w:rPr>
        <w:t>任</w:t>
      </w:r>
      <w:r>
        <w:rPr>
          <w:b/>
          <w:sz w:val="21"/>
        </w:rPr>
        <w:tab/>
      </w:r>
      <w:r>
        <w:rPr>
          <w:spacing w:val="-2"/>
          <w:sz w:val="21"/>
        </w:rPr>
        <w:t>在本合同保险期间内，我们承担下列保险责任</w:t>
      </w:r>
      <w:r>
        <w:rPr>
          <w:spacing w:val="-10"/>
          <w:sz w:val="21"/>
        </w:rPr>
        <w:t>：</w:t>
      </w:r>
    </w:p>
    <w:p>
      <w:pPr>
        <w:pStyle w:val="4"/>
        <w:spacing w:before="9"/>
        <w:rPr>
          <w:sz w:val="27"/>
        </w:rPr>
      </w:pPr>
    </w:p>
    <w:p>
      <w:pPr>
        <w:pStyle w:val="4"/>
        <w:tabs>
          <w:tab w:val="left" w:pos="3037"/>
        </w:tabs>
        <w:spacing w:line="278" w:lineRule="auto"/>
        <w:ind w:left="3038" w:right="796" w:hanging="1860"/>
        <w:jc w:val="both"/>
      </w:pPr>
      <w:r>
        <w:rPr>
          <w:b/>
          <w:spacing w:val="-4"/>
        </w:rPr>
        <w:t>等待期</w:t>
      </w:r>
      <w:r>
        <w:rPr>
          <w:b/>
        </w:rPr>
        <w:tab/>
      </w:r>
      <w:r>
        <w:rPr>
          <w:w w:val="95"/>
        </w:rPr>
        <w:t>本合同生效（或最后效力恢复）之日起</w:t>
      </w:r>
      <w:r>
        <w:rPr>
          <w:spacing w:val="32"/>
        </w:rPr>
        <w:t xml:space="preserve"> </w:t>
      </w:r>
      <w:r>
        <w:rPr>
          <w:w w:val="95"/>
        </w:rPr>
        <w:t>180</w:t>
      </w:r>
      <w:r>
        <w:rPr>
          <w:spacing w:val="32"/>
        </w:rPr>
        <w:t xml:space="preserve"> </w:t>
      </w:r>
      <w:r>
        <w:rPr>
          <w:w w:val="95"/>
        </w:rPr>
        <w:t>日（含）内为等待期，被保险人</w:t>
      </w:r>
      <w:r>
        <w:t>因</w:t>
      </w:r>
      <w:r>
        <w:rPr>
          <w:b/>
        </w:rPr>
        <w:t>意外伤害</w:t>
      </w:r>
      <w:r>
        <w:t>（见</w:t>
      </w:r>
      <w:r>
        <w:rPr>
          <w:spacing w:val="-42"/>
        </w:rPr>
        <w:t xml:space="preserve"> </w:t>
      </w:r>
      <w:r>
        <w:t>10.6）发生保险事故的，无等待期。</w:t>
      </w:r>
    </w:p>
    <w:p>
      <w:pPr>
        <w:pStyle w:val="4"/>
        <w:spacing w:before="4"/>
        <w:rPr>
          <w:sz w:val="24"/>
        </w:rPr>
      </w:pPr>
    </w:p>
    <w:p>
      <w:pPr>
        <w:pStyle w:val="4"/>
        <w:spacing w:line="278" w:lineRule="auto"/>
        <w:ind w:left="3038" w:right="796" w:hanging="1860"/>
        <w:jc w:val="both"/>
        <w:rPr>
          <w:rFonts w:ascii="黑体" w:hAnsi="黑体" w:eastAsia="黑体"/>
        </w:rPr>
      </w:pPr>
      <w:r>
        <w:rPr>
          <w:b/>
        </w:rPr>
        <w:t xml:space="preserve">重度疾病保险金 </w:t>
      </w:r>
      <w:r>
        <w:t>被保险人于等待期内因意外伤害以外的原因确诊本合同所指的</w:t>
      </w:r>
      <w:r>
        <w:rPr>
          <w:b/>
        </w:rPr>
        <w:t>重度疾病</w:t>
      </w:r>
      <w:r>
        <w:t xml:space="preserve">（见 </w:t>
      </w:r>
      <w:r>
        <w:rPr>
          <w:spacing w:val="14"/>
        </w:rPr>
        <w:t>10.8</w:t>
      </w:r>
      <w:r>
        <w:rPr>
          <w:spacing w:val="-94"/>
        </w:rPr>
        <w:t>）</w:t>
      </w:r>
      <w:r>
        <w:rPr>
          <w:spacing w:val="11"/>
        </w:rPr>
        <w:t>（</w:t>
      </w:r>
      <w:r>
        <w:rPr>
          <w:spacing w:val="-4"/>
        </w:rPr>
        <w:t>无论一种或多种</w:t>
      </w:r>
      <w:r>
        <w:rPr>
          <w:spacing w:val="-108"/>
        </w:rPr>
        <w:t>）</w:t>
      </w:r>
      <w:r>
        <w:rPr>
          <w:spacing w:val="-1"/>
        </w:rPr>
        <w:t>，</w:t>
      </w:r>
      <w:r>
        <w:rPr>
          <w:rFonts w:ascii="黑体" w:hAnsi="黑体" w:eastAsia="黑体"/>
          <w:color w:val="000000"/>
          <w:spacing w:val="-4"/>
          <w:shd w:val="clear" w:color="auto" w:fill="D9D9D9"/>
        </w:rPr>
        <w:t>我们按照本合同生效之日起已支付的保险费（不</w:t>
      </w:r>
      <w:r>
        <w:rPr>
          <w:rFonts w:ascii="黑体" w:hAnsi="黑体" w:eastAsia="黑体"/>
          <w:color w:val="000000"/>
          <w:spacing w:val="40"/>
          <w:shd w:val="clear" w:color="auto" w:fill="D9D9D9"/>
        </w:rPr>
        <w:t xml:space="preserve"> </w:t>
      </w:r>
      <w:r>
        <w:rPr>
          <w:rFonts w:ascii="黑体" w:hAnsi="黑体" w:eastAsia="黑体"/>
          <w:color w:val="000000"/>
          <w:spacing w:val="-2"/>
          <w:shd w:val="clear" w:color="auto" w:fill="D9D9D9"/>
        </w:rPr>
        <w:t>计利息）</w:t>
      </w:r>
      <w:r>
        <w:rPr>
          <w:rFonts w:ascii="黑体" w:hAnsi="黑体" w:eastAsia="黑体"/>
          <w:color w:val="000000"/>
          <w:spacing w:val="-12"/>
          <w:shd w:val="clear" w:color="auto" w:fill="D9D9D9"/>
        </w:rPr>
        <w:t>给付“重度疾病保险金”，本合同终止；</w:t>
      </w:r>
    </w:p>
    <w:p>
      <w:pPr>
        <w:pStyle w:val="4"/>
        <w:spacing w:before="156"/>
        <w:ind w:left="3038"/>
        <w:jc w:val="both"/>
      </w:pPr>
      <w:r>
        <w:rPr>
          <w:spacing w:val="11"/>
        </w:rPr>
        <w:t>被保险人因意外伤害或于等待期后因意外伤害以外的原因</w:t>
      </w:r>
      <w:r>
        <w:rPr>
          <w:b/>
          <w:spacing w:val="14"/>
        </w:rPr>
        <w:t>初次确诊</w:t>
      </w:r>
      <w:r>
        <w:rPr>
          <w:spacing w:val="12"/>
        </w:rPr>
        <w:t>（</w:t>
      </w:r>
      <w:r>
        <w:rPr>
          <w:spacing w:val="2"/>
        </w:rPr>
        <w:t>见</w:t>
      </w:r>
    </w:p>
    <w:p>
      <w:pPr>
        <w:spacing w:after="0"/>
        <w:jc w:val="both"/>
        <w:sectPr>
          <w:type w:val="continuous"/>
          <w:pgSz w:w="11910" w:h="16840"/>
          <w:pgMar w:top="240" w:right="340" w:bottom="640" w:left="800" w:header="0" w:footer="457" w:gutter="0"/>
          <w:cols w:space="720" w:num="1"/>
        </w:sectPr>
      </w:pPr>
    </w:p>
    <w:p>
      <w:pPr>
        <w:pStyle w:val="4"/>
        <w:spacing w:before="56" w:line="278" w:lineRule="auto"/>
        <w:ind w:left="3038" w:right="796"/>
        <w:jc w:val="both"/>
        <w:rPr>
          <w:rFonts w:ascii="黑体" w:hAnsi="黑体" w:eastAsia="黑体"/>
        </w:rPr>
      </w:pPr>
      <w:r>
        <w:rPr>
          <w:spacing w:val="-2"/>
        </w:rPr>
        <w:t>10.11）本合同所指的重度疾病（无论一种或多种</w:t>
      </w:r>
      <w:r>
        <w:rPr>
          <w:spacing w:val="-108"/>
        </w:rPr>
        <w:t>）</w:t>
      </w:r>
      <w:r>
        <w:rPr>
          <w:spacing w:val="-3"/>
        </w:rPr>
        <w:t>，我们按照本合同的基本保险金额给付“重度疾病保险金”，</w:t>
      </w:r>
      <w:r>
        <w:rPr>
          <w:rFonts w:ascii="黑体" w:hAnsi="黑体" w:eastAsia="黑体"/>
          <w:color w:val="000000"/>
          <w:spacing w:val="-2"/>
          <w:shd w:val="clear" w:color="auto" w:fill="D9D9D9"/>
        </w:rPr>
        <w:t>同时不再承担给付“轻度疾病保险金”</w:t>
      </w:r>
      <w:r>
        <w:rPr>
          <w:rFonts w:ascii="黑体" w:hAnsi="黑体" w:eastAsia="黑体"/>
          <w:color w:val="000000"/>
          <w:spacing w:val="40"/>
          <w:shd w:val="clear" w:color="auto" w:fill="D9D9D9"/>
        </w:rPr>
        <w:t xml:space="preserve"> </w:t>
      </w:r>
      <w:r>
        <w:rPr>
          <w:rFonts w:ascii="黑体" w:hAnsi="黑体" w:eastAsia="黑体"/>
          <w:color w:val="000000"/>
          <w:spacing w:val="-2"/>
          <w:shd w:val="clear" w:color="auto" w:fill="D9D9D9"/>
        </w:rPr>
        <w:t>和“身故保险金”的责任，本合同终止。</w:t>
      </w:r>
    </w:p>
    <w:p>
      <w:pPr>
        <w:pStyle w:val="4"/>
        <w:spacing w:before="156" w:line="278" w:lineRule="auto"/>
        <w:ind w:left="3038" w:right="793"/>
      </w:pPr>
      <w:r>
        <w:rPr>
          <w:spacing w:val="-2"/>
        </w:rPr>
        <w:t>其中，已支付的保险费按照初次确诊重度疾病当时的基本保险金额和交费方</w:t>
      </w:r>
      <w:r>
        <w:rPr>
          <w:spacing w:val="-4"/>
        </w:rPr>
        <w:t>式计算。</w:t>
      </w:r>
    </w:p>
    <w:p>
      <w:pPr>
        <w:pStyle w:val="4"/>
        <w:spacing w:before="4"/>
        <w:rPr>
          <w:sz w:val="24"/>
        </w:rPr>
      </w:pPr>
    </w:p>
    <w:p>
      <w:pPr>
        <w:pStyle w:val="4"/>
        <w:spacing w:line="278" w:lineRule="auto"/>
        <w:ind w:left="3038" w:right="793" w:hanging="1860"/>
        <w:jc w:val="both"/>
        <w:rPr>
          <w:rFonts w:ascii="黑体" w:hAnsi="黑体" w:eastAsia="黑体"/>
        </w:rPr>
      </w:pPr>
      <w:r>
        <w:rPr>
          <w:b/>
        </w:rPr>
        <w:t xml:space="preserve">轻度疾病保险金 </w:t>
      </w:r>
      <w:r>
        <w:t>被保险人于等待期内因意外伤害以外的原因确诊本合同所指的</w:t>
      </w:r>
      <w:r>
        <w:rPr>
          <w:b/>
        </w:rPr>
        <w:t>轻度疾病</w:t>
      </w:r>
      <w:r>
        <w:t xml:space="preserve">（见 </w:t>
      </w:r>
      <w:r>
        <w:rPr>
          <w:spacing w:val="11"/>
        </w:rPr>
        <w:t>10.12</w:t>
      </w:r>
      <w:r>
        <w:rPr>
          <w:spacing w:val="-97"/>
        </w:rPr>
        <w:t>）</w:t>
      </w:r>
      <w:r>
        <w:rPr>
          <w:spacing w:val="11"/>
        </w:rPr>
        <w:t>（</w:t>
      </w:r>
      <w:r>
        <w:rPr>
          <w:spacing w:val="-4"/>
        </w:rPr>
        <w:t>无论一种或多种</w:t>
      </w:r>
      <w:r>
        <w:rPr>
          <w:spacing w:val="-108"/>
        </w:rPr>
        <w:t>）</w:t>
      </w:r>
      <w:r>
        <w:rPr>
          <w:spacing w:val="-1"/>
        </w:rPr>
        <w:t>，</w:t>
      </w:r>
      <w:r>
        <w:rPr>
          <w:rFonts w:ascii="黑体" w:hAnsi="黑体" w:eastAsia="黑体"/>
          <w:color w:val="000000"/>
          <w:spacing w:val="-4"/>
          <w:shd w:val="clear" w:color="auto" w:fill="D9D9D9"/>
        </w:rPr>
        <w:t>我们不承担给付 “轻度疾病保险金”的责任，</w:t>
      </w:r>
      <w:r>
        <w:rPr>
          <w:rFonts w:ascii="黑体" w:hAnsi="黑体" w:eastAsia="黑体"/>
          <w:color w:val="000000"/>
          <w:spacing w:val="40"/>
          <w:shd w:val="clear" w:color="auto" w:fill="D9D9D9"/>
        </w:rPr>
        <w:t xml:space="preserve"> </w:t>
      </w:r>
      <w:r>
        <w:rPr>
          <w:rFonts w:ascii="黑体" w:hAnsi="黑体" w:eastAsia="黑体"/>
          <w:color w:val="000000"/>
          <w:spacing w:val="-2"/>
          <w:shd w:val="clear" w:color="auto" w:fill="D9D9D9"/>
        </w:rPr>
        <w:t>本项保险责任终止；</w:t>
      </w:r>
    </w:p>
    <w:p>
      <w:pPr>
        <w:pStyle w:val="4"/>
        <w:spacing w:before="156" w:line="278" w:lineRule="auto"/>
        <w:ind w:left="3038" w:right="791"/>
        <w:jc w:val="both"/>
      </w:pPr>
      <w:r>
        <w:rPr>
          <w:spacing w:val="4"/>
          <w:w w:val="100"/>
        </w:rPr>
        <w:t>被保险人因意外伤害或于等待期后因意外伤害以外的原因初次确诊本合同</w:t>
      </w:r>
      <w:r>
        <w:rPr>
          <w:spacing w:val="-3"/>
          <w:w w:val="100"/>
        </w:rPr>
        <w:t>所指的轻度疾病，且未发生过本合同所指的重度疾病，我们按照本合同基本保险金额的</w:t>
      </w:r>
      <w:r>
        <w:rPr>
          <w:spacing w:val="-53"/>
        </w:rPr>
        <w:t xml:space="preserve"> </w:t>
      </w:r>
      <w:r>
        <w:rPr>
          <w:w w:val="100"/>
        </w:rPr>
        <w:t>30</w:t>
      </w:r>
      <w:r>
        <w:rPr>
          <w:spacing w:val="-20"/>
          <w:w w:val="100"/>
        </w:rPr>
        <w:t>%给付“轻度疾病保险金”。</w:t>
      </w:r>
    </w:p>
    <w:p>
      <w:pPr>
        <w:pStyle w:val="4"/>
        <w:spacing w:before="156" w:line="278" w:lineRule="auto"/>
        <w:ind w:left="3038" w:right="796"/>
        <w:jc w:val="both"/>
        <w:rPr>
          <w:rFonts w:ascii="黑体" w:hAnsi="黑体" w:eastAsia="黑体"/>
        </w:rPr>
      </w:pPr>
      <w:r>
        <w:rPr>
          <w:rFonts w:ascii="黑体" w:hAnsi="黑体" w:eastAsia="黑体"/>
          <w:spacing w:val="-2"/>
        </w:rPr>
        <w:t>本合同的“轻度疾病保险金”的累计给付次数以六次为限，每种轻度疾病仅给付一次，当“轻度疾病保险金”的累计给付次数达到六次时，本项保险责</w:t>
      </w:r>
      <w:r>
        <w:rPr>
          <w:rFonts w:ascii="黑体" w:hAnsi="黑体" w:eastAsia="黑体"/>
          <w:spacing w:val="-4"/>
        </w:rPr>
        <w:t>任终止。</w:t>
      </w:r>
    </w:p>
    <w:p>
      <w:pPr>
        <w:pStyle w:val="4"/>
        <w:spacing w:before="10"/>
        <w:rPr>
          <w:rFonts w:ascii="黑体"/>
          <w:sz w:val="18"/>
        </w:rPr>
      </w:pPr>
    </w:p>
    <w:p>
      <w:pPr>
        <w:spacing w:after="0"/>
        <w:rPr>
          <w:rFonts w:ascii="黑体"/>
          <w:sz w:val="18"/>
        </w:rPr>
        <w:sectPr>
          <w:pgSz w:w="11910" w:h="16840"/>
          <w:pgMar w:top="800" w:right="340" w:bottom="640" w:left="800" w:header="0" w:footer="457" w:gutter="0"/>
          <w:cols w:space="720" w:num="1"/>
        </w:sectPr>
      </w:pPr>
    </w:p>
    <w:p>
      <w:pPr>
        <w:pStyle w:val="3"/>
        <w:spacing w:line="278" w:lineRule="auto"/>
        <w:ind w:right="0" w:firstLine="0"/>
      </w:pPr>
      <w:r>
        <w:rPr>
          <w:spacing w:val="-2"/>
        </w:rPr>
        <w:t>轻度疾病豁免保</w:t>
      </w:r>
      <w:r>
        <w:rPr>
          <w:spacing w:val="-6"/>
        </w:rPr>
        <w:t>险费</w:t>
      </w:r>
    </w:p>
    <w:p>
      <w:pPr>
        <w:pStyle w:val="4"/>
        <w:spacing w:before="71" w:line="278" w:lineRule="auto"/>
        <w:ind w:left="341" w:right="793"/>
        <w:jc w:val="both"/>
      </w:pPr>
      <w:r>
        <w:br w:type="column"/>
      </w:r>
      <w:r>
        <w:rPr>
          <w:spacing w:val="-2"/>
        </w:rPr>
        <w:t>我们给付首次“轻度疾病保险金”后，免予收取对应疾病确诊之日之后的本合同保险期间内剩余的各期保险费，</w:t>
      </w:r>
      <w:r>
        <w:rPr>
          <w:rFonts w:ascii="黑体" w:hAnsi="黑体" w:eastAsia="黑体"/>
          <w:spacing w:val="-2"/>
        </w:rPr>
        <w:t>但不包含被保险人确诊之日前所欠交的保险费及利息，</w:t>
      </w:r>
      <w:r>
        <w:rPr>
          <w:spacing w:val="-2"/>
        </w:rPr>
        <w:t>本项保险责任终止。</w:t>
      </w:r>
    </w:p>
    <w:p>
      <w:pPr>
        <w:spacing w:after="0" w:line="278" w:lineRule="auto"/>
        <w:jc w:val="both"/>
        <w:sectPr>
          <w:type w:val="continuous"/>
          <w:pgSz w:w="11910" w:h="16840"/>
          <w:pgMar w:top="240" w:right="340" w:bottom="640" w:left="800" w:header="0" w:footer="457" w:gutter="0"/>
          <w:cols w:equalWidth="0" w:num="2">
            <w:col w:w="2657" w:space="40"/>
            <w:col w:w="8073"/>
          </w:cols>
        </w:sectPr>
      </w:pPr>
    </w:p>
    <w:p>
      <w:pPr>
        <w:pStyle w:val="4"/>
        <w:spacing w:before="156" w:line="278" w:lineRule="auto"/>
        <w:ind w:left="3038" w:right="794"/>
        <w:rPr>
          <w:rFonts w:ascii="黑体" w:eastAsia="黑体"/>
        </w:rPr>
      </w:pPr>
      <w:r>
        <w:rPr>
          <w:rFonts w:ascii="黑体" w:eastAsia="黑体"/>
          <w:color w:val="000000"/>
          <w:spacing w:val="-2"/>
          <w:shd w:val="clear" w:color="auto" w:fill="D9D9D9"/>
        </w:rPr>
        <w:t>在豁免保险费期间，我们不接受本合同保险责任、基本保险金额以及交费方式的变更。</w:t>
      </w:r>
    </w:p>
    <w:p>
      <w:pPr>
        <w:pStyle w:val="4"/>
        <w:spacing w:before="156"/>
        <w:ind w:left="3038"/>
      </w:pPr>
      <w:r>
        <w:rPr>
          <w:spacing w:val="-3"/>
        </w:rPr>
        <w:t>已获得豁免保险费的保险合同，其权益与正常交费的保险合同相同。</w:t>
      </w:r>
    </w:p>
    <w:p>
      <w:pPr>
        <w:pStyle w:val="4"/>
        <w:rPr>
          <w:sz w:val="20"/>
        </w:rPr>
      </w:pPr>
    </w:p>
    <w:p>
      <w:pPr>
        <w:pStyle w:val="4"/>
        <w:spacing w:before="11"/>
        <w:rPr>
          <w:sz w:val="19"/>
        </w:rPr>
      </w:pPr>
    </w:p>
    <w:p>
      <w:pPr>
        <w:pStyle w:val="4"/>
        <w:tabs>
          <w:tab w:val="left" w:pos="3037"/>
        </w:tabs>
        <w:spacing w:line="278" w:lineRule="auto"/>
        <w:ind w:left="3038" w:right="793" w:hanging="1860"/>
        <w:rPr>
          <w:rFonts w:ascii="黑体" w:hAnsi="黑体" w:eastAsia="黑体"/>
        </w:rPr>
      </w:pPr>
      <w:r>
        <w:rPr>
          <w:b/>
          <w:spacing w:val="-2"/>
        </w:rPr>
        <w:t>身故保险金</w:t>
      </w:r>
      <w:r>
        <w:rPr>
          <w:b/>
        </w:rPr>
        <w:tab/>
      </w:r>
      <w:r>
        <w:rPr>
          <w:spacing w:val="-2"/>
          <w:w w:val="95"/>
        </w:rPr>
        <w:t>被保险人于等待期内因意外伤害以外的原因导致身故，</w:t>
      </w:r>
      <w:r>
        <w:rPr>
          <w:rFonts w:ascii="黑体" w:hAnsi="黑体" w:eastAsia="黑体"/>
          <w:color w:val="000000"/>
          <w:spacing w:val="-2"/>
          <w:w w:val="95"/>
          <w:shd w:val="clear" w:color="auto" w:fill="D9D9D9"/>
        </w:rPr>
        <w:t>我们按照本合同生效</w:t>
      </w:r>
      <w:r>
        <w:rPr>
          <w:rFonts w:ascii="黑体" w:hAnsi="黑体" w:eastAsia="黑体"/>
          <w:color w:val="000000"/>
          <w:spacing w:val="80"/>
          <w:w w:val="150"/>
          <w:shd w:val="clear" w:color="auto" w:fill="D9D9D9"/>
        </w:rPr>
        <w:t xml:space="preserve">                                     </w:t>
      </w:r>
      <w:r>
        <w:rPr>
          <w:rFonts w:ascii="黑体" w:hAnsi="黑体" w:eastAsia="黑体"/>
          <w:color w:val="000000"/>
          <w:spacing w:val="-2"/>
          <w:shd w:val="clear" w:color="auto" w:fill="D9D9D9"/>
        </w:rPr>
        <w:t>之日起已支付的保险费（不计利息）给付“身故保险金</w:t>
      </w:r>
      <w:r>
        <w:rPr>
          <w:rFonts w:ascii="黑体" w:hAnsi="黑体" w:eastAsia="黑体"/>
          <w:color w:val="000000"/>
          <w:spacing w:val="-109"/>
          <w:shd w:val="clear" w:color="auto" w:fill="D9D9D9"/>
        </w:rPr>
        <w:t>”</w:t>
      </w:r>
      <w:r>
        <w:rPr>
          <w:rFonts w:ascii="黑体" w:hAnsi="黑体" w:eastAsia="黑体"/>
          <w:color w:val="000000"/>
          <w:shd w:val="clear" w:color="auto" w:fill="D9D9D9"/>
        </w:rPr>
        <w:t>，</w:t>
      </w:r>
      <w:r>
        <w:rPr>
          <w:rFonts w:ascii="黑体" w:hAnsi="黑体" w:eastAsia="黑体"/>
          <w:color w:val="000000"/>
          <w:spacing w:val="-2"/>
          <w:shd w:val="clear" w:color="auto" w:fill="D9D9D9"/>
        </w:rPr>
        <w:t>本合同终止；</w:t>
      </w:r>
    </w:p>
    <w:p>
      <w:pPr>
        <w:pStyle w:val="4"/>
        <w:spacing w:before="156" w:line="278" w:lineRule="auto"/>
        <w:ind w:left="3038" w:right="793"/>
        <w:jc w:val="both"/>
        <w:rPr>
          <w:rFonts w:ascii="黑体" w:hAnsi="黑体" w:eastAsia="黑体"/>
        </w:rPr>
      </w:pPr>
      <w:r>
        <w:rPr>
          <w:spacing w:val="-3"/>
        </w:rPr>
        <w:t xml:space="preserve">被保险人于年满 </w:t>
      </w:r>
      <w:r>
        <w:t>18</w:t>
      </w:r>
      <w:r>
        <w:rPr>
          <w:spacing w:val="-4"/>
        </w:rPr>
        <w:t xml:space="preserve"> 周岁后的首个保单年生效对应日</w:t>
      </w:r>
      <w:r>
        <w:t>（不含）前，因意外伤</w:t>
      </w:r>
      <w:r>
        <w:rPr>
          <w:spacing w:val="-2"/>
        </w:rPr>
        <w:t>害或于等待期后因意外伤害以外的原因导致身故，</w:t>
      </w:r>
      <w:r>
        <w:rPr>
          <w:rFonts w:ascii="黑体" w:hAnsi="黑体" w:eastAsia="黑体"/>
          <w:color w:val="000000"/>
          <w:spacing w:val="-2"/>
          <w:shd w:val="clear" w:color="auto" w:fill="D9D9D9"/>
        </w:rPr>
        <w:t>我们按照本合同生效之日</w:t>
      </w:r>
      <w:r>
        <w:rPr>
          <w:rFonts w:ascii="黑体" w:hAnsi="黑体" w:eastAsia="黑体"/>
          <w:color w:val="000000"/>
          <w:spacing w:val="40"/>
          <w:shd w:val="clear" w:color="auto" w:fill="D9D9D9"/>
        </w:rPr>
        <w:t xml:space="preserve"> </w:t>
      </w:r>
      <w:r>
        <w:rPr>
          <w:rFonts w:ascii="黑体" w:hAnsi="黑体" w:eastAsia="黑体"/>
          <w:color w:val="000000"/>
          <w:spacing w:val="-2"/>
          <w:shd w:val="clear" w:color="auto" w:fill="D9D9D9"/>
        </w:rPr>
        <w:t>起已支付的保险费（不计利息）</w:t>
      </w:r>
      <w:r>
        <w:rPr>
          <w:rFonts w:ascii="黑体" w:hAnsi="黑体" w:eastAsia="黑体"/>
          <w:color w:val="000000"/>
          <w:spacing w:val="-12"/>
          <w:shd w:val="clear" w:color="auto" w:fill="D9D9D9"/>
        </w:rPr>
        <w:t>给付“身故保险金”，本合同终止；</w:t>
      </w:r>
    </w:p>
    <w:p>
      <w:pPr>
        <w:pStyle w:val="4"/>
        <w:spacing w:before="156" w:line="278" w:lineRule="auto"/>
        <w:ind w:left="3038" w:right="793"/>
        <w:jc w:val="both"/>
      </w:pPr>
      <w:r>
        <w:rPr>
          <w:spacing w:val="-3"/>
        </w:rPr>
        <w:t xml:space="preserve">被保险人于年满 </w:t>
      </w:r>
      <w:r>
        <w:t>18</w:t>
      </w:r>
      <w:r>
        <w:rPr>
          <w:spacing w:val="-4"/>
        </w:rPr>
        <w:t xml:space="preserve"> 周岁后的首个保单年生效对应日</w:t>
      </w:r>
      <w:r>
        <w:t>（含）后，因意外伤害</w:t>
      </w:r>
      <w:r>
        <w:rPr>
          <w:spacing w:val="-2"/>
        </w:rPr>
        <w:t>或于等待期后因意外伤害以外的原因导致身故，我们按照本合同的基本保险</w:t>
      </w:r>
      <w:r>
        <w:rPr>
          <w:spacing w:val="-12"/>
        </w:rPr>
        <w:t>金额给付“身故保险金”，本合同终止。</w:t>
      </w:r>
    </w:p>
    <w:p>
      <w:pPr>
        <w:pStyle w:val="4"/>
        <w:spacing w:before="156"/>
        <w:ind w:left="3038"/>
      </w:pPr>
      <w:r>
        <w:rPr>
          <w:spacing w:val="-3"/>
        </w:rPr>
        <w:t>其中，已支付的保险费按照身故当时的基本保险金额和交费方式计算。</w:t>
      </w:r>
    </w:p>
    <w:p>
      <w:pPr>
        <w:pStyle w:val="4"/>
        <w:spacing w:before="9"/>
        <w:rPr>
          <w:sz w:val="27"/>
        </w:rPr>
      </w:pPr>
    </w:p>
    <w:p>
      <w:pPr>
        <w:pStyle w:val="4"/>
        <w:tabs>
          <w:tab w:val="left" w:pos="3037"/>
        </w:tabs>
        <w:ind w:left="1178"/>
        <w:rPr>
          <w:rFonts w:ascii="黑体" w:hAnsi="黑体" w:eastAsia="黑体"/>
        </w:rPr>
      </w:pPr>
      <w:r>
        <w:rPr>
          <w:b/>
        </w:rPr>
        <w:t>特别约</w:t>
      </w:r>
      <w:r>
        <w:rPr>
          <w:b/>
          <w:spacing w:val="-10"/>
        </w:rPr>
        <w:t>定</w:t>
      </w:r>
      <w:r>
        <w:rPr>
          <w:b/>
        </w:rPr>
        <w:tab/>
      </w:r>
      <w:r>
        <w:rPr>
          <w:rFonts w:ascii="黑体" w:hAnsi="黑体" w:eastAsia="黑体"/>
          <w:color w:val="000000"/>
          <w:spacing w:val="-2"/>
          <w:shd w:val="clear" w:color="auto" w:fill="D9D9D9"/>
        </w:rPr>
        <w:t>本合同的“身故保险金”和“重度疾病保险金</w:t>
      </w:r>
      <w:r>
        <w:rPr>
          <w:rFonts w:ascii="黑体" w:hAnsi="黑体" w:eastAsia="黑体"/>
          <w:color w:val="000000"/>
          <w:spacing w:val="-106"/>
          <w:shd w:val="clear" w:color="auto" w:fill="D9D9D9"/>
        </w:rPr>
        <w:t>”</w:t>
      </w:r>
      <w:r>
        <w:rPr>
          <w:rFonts w:ascii="黑体" w:hAnsi="黑体" w:eastAsia="黑体"/>
          <w:color w:val="000000"/>
          <w:spacing w:val="-3"/>
          <w:shd w:val="clear" w:color="auto" w:fill="D9D9D9"/>
        </w:rPr>
        <w:t>，</w:t>
      </w:r>
      <w:r>
        <w:rPr>
          <w:rFonts w:ascii="黑体" w:hAnsi="黑体" w:eastAsia="黑体"/>
          <w:color w:val="000000"/>
          <w:spacing w:val="-2"/>
          <w:shd w:val="clear" w:color="auto" w:fill="D9D9D9"/>
        </w:rPr>
        <w:t>我们仅给付一项</w:t>
      </w:r>
      <w:r>
        <w:rPr>
          <w:rFonts w:ascii="黑体" w:hAnsi="黑体" w:eastAsia="黑体"/>
          <w:color w:val="000000"/>
          <w:spacing w:val="-10"/>
          <w:shd w:val="clear" w:color="auto" w:fill="D9D9D9"/>
        </w:rPr>
        <w:t>。</w:t>
      </w:r>
    </w:p>
    <w:p>
      <w:pPr>
        <w:pStyle w:val="4"/>
        <w:spacing w:before="5"/>
        <w:rPr>
          <w:rFonts w:ascii="黑体"/>
          <w:sz w:val="13"/>
        </w:rPr>
      </w:pPr>
      <w:r>
        <w:drawing>
          <wp:anchor distT="0" distB="0" distL="0" distR="0" simplePos="0" relativeHeight="251664384" behindDoc="1" locked="0" layoutInCell="1" allowOverlap="1">
            <wp:simplePos x="0" y="0"/>
            <wp:positionH relativeFrom="page">
              <wp:posOffset>2436495</wp:posOffset>
            </wp:positionH>
            <wp:positionV relativeFrom="paragraph">
              <wp:posOffset>321945</wp:posOffset>
            </wp:positionV>
            <wp:extent cx="4069715" cy="173990"/>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a:picLocks noChangeAspect="1"/>
                    </pic:cNvPicPr>
                  </pic:nvPicPr>
                  <pic:blipFill>
                    <a:blip r:embed="rId11" cstate="print"/>
                    <a:stretch>
                      <a:fillRect/>
                    </a:stretch>
                  </pic:blipFill>
                  <pic:spPr>
                    <a:xfrm>
                      <a:off x="0" y="0"/>
                      <a:ext cx="4069969" cy="173736"/>
                    </a:xfrm>
                    <a:prstGeom prst="rect">
                      <a:avLst/>
                    </a:prstGeom>
                  </pic:spPr>
                </pic:pic>
              </a:graphicData>
            </a:graphic>
          </wp:anchor>
        </w:drawing>
      </w:r>
      <w:r>
        <w:pict>
          <v:shape id="docshape3" o:spid="_x0000_s1027" o:spt="202" type="#_x0000_t202" style="position:absolute;left:0pt;margin-left:191.85pt;margin-top:25.35pt;height:13.7pt;width:320.5pt;mso-position-horizontal-relative:page;z-index:-251651072;mso-width-relative:page;mso-height-relative:page;" filled="f" stroked="f" coordsize="21600,21600">
            <v:path/>
            <v:fill on="f" focussize="0,0"/>
            <v:stroke on="f" joinstyle="miter"/>
            <v:imagedata o:title=""/>
            <o:lock v:ext="edit"/>
            <v:textbox inset="0mm,0mm,0mm,0mm">
              <w:txbxContent>
                <w:p>
                  <w:pPr>
                    <w:pStyle w:val="4"/>
                    <w:spacing w:before="3"/>
                    <w:ind w:right="-15"/>
                    <w:rPr>
                      <w:rFonts w:ascii="黑体" w:hAnsi="黑体" w:eastAsia="黑体"/>
                    </w:rPr>
                  </w:pPr>
                  <w:r>
                    <w:rPr>
                      <w:rFonts w:ascii="黑体" w:hAnsi="黑体" w:eastAsia="黑体"/>
                      <w:spacing w:val="-7"/>
                    </w:rPr>
                    <w:t>种以上的重度疾病，我们仅按一种重度疾病给付“重度疾病保险金”。</w:t>
                  </w:r>
                </w:p>
              </w:txbxContent>
            </v:textbox>
          </v:shape>
        </w:pict>
      </w:r>
      <w:r>
        <w:pict>
          <v:shape id="docshape4" o:spid="_x0000_s1028" o:spt="202" type="#_x0000_t202" style="position:absolute;left:0pt;margin-left:191.85pt;margin-top:9.75pt;height:13.7pt;width:346.4pt;mso-position-horizontal-relative:page;mso-wrap-distance-bottom:0pt;mso-wrap-distance-top:0pt;z-index:-251645952;mso-width-relative:page;mso-height-relative:page;" fillcolor="#D9D9D9" filled="t" stroked="f" coordsize="21600,21600">
            <v:path/>
            <v:fill on="t" focussize="0,0"/>
            <v:stroke on="f" joinstyle="miter"/>
            <v:imagedata o:title=""/>
            <o:lock v:ext="edit"/>
            <v:textbox inset="0mm,0mm,0mm,0mm">
              <w:txbxContent>
                <w:p>
                  <w:pPr>
                    <w:pStyle w:val="4"/>
                    <w:spacing w:before="3"/>
                    <w:rPr>
                      <w:rFonts w:ascii="黑体" w:eastAsia="黑体"/>
                      <w:color w:val="000000"/>
                    </w:rPr>
                  </w:pPr>
                  <w:r>
                    <w:rPr>
                      <w:rFonts w:ascii="黑体" w:eastAsia="黑体"/>
                      <w:color w:val="000000"/>
                      <w:spacing w:val="-1"/>
                    </w:rPr>
                    <w:t>如果被保险人由于同一疾病或同一事故导致其发生本合同所指的两种或两</w:t>
                  </w:r>
                </w:p>
              </w:txbxContent>
            </v:textbox>
            <w10:wrap type="topAndBottom"/>
          </v:shape>
        </w:pict>
      </w:r>
      <w:r>
        <w:drawing>
          <wp:anchor distT="0" distB="0" distL="0" distR="0" simplePos="0" relativeHeight="251666432" behindDoc="1" locked="0" layoutInCell="1" allowOverlap="1">
            <wp:simplePos x="0" y="0"/>
            <wp:positionH relativeFrom="page">
              <wp:posOffset>2436495</wp:posOffset>
            </wp:positionH>
            <wp:positionV relativeFrom="paragraph">
              <wp:posOffset>817245</wp:posOffset>
            </wp:positionV>
            <wp:extent cx="4069715" cy="173990"/>
            <wp:effectExtent l="0" t="0" r="0" b="0"/>
            <wp:wrapNone/>
            <wp:docPr id="11"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5.png"/>
                    <pic:cNvPicPr>
                      <a:picLocks noChangeAspect="1"/>
                    </pic:cNvPicPr>
                  </pic:nvPicPr>
                  <pic:blipFill>
                    <a:blip r:embed="rId11" cstate="print"/>
                    <a:stretch>
                      <a:fillRect/>
                    </a:stretch>
                  </pic:blipFill>
                  <pic:spPr>
                    <a:xfrm>
                      <a:off x="0" y="0"/>
                      <a:ext cx="4069969" cy="173735"/>
                    </a:xfrm>
                    <a:prstGeom prst="rect">
                      <a:avLst/>
                    </a:prstGeom>
                  </pic:spPr>
                </pic:pic>
              </a:graphicData>
            </a:graphic>
          </wp:anchor>
        </w:drawing>
      </w:r>
      <w:r>
        <w:pict>
          <v:shape id="docshape5" o:spid="_x0000_s1029" o:spt="202" type="#_x0000_t202" style="position:absolute;left:0pt;margin-left:191.85pt;margin-top:64.35pt;height:13.7pt;width:320.5pt;mso-position-horizontal-relative:page;z-index:-251650048;mso-width-relative:page;mso-height-relative:page;" filled="f" stroked="f" coordsize="21600,21600">
            <v:path/>
            <v:fill on="f" focussize="0,0"/>
            <v:stroke on="f" joinstyle="miter"/>
            <v:imagedata o:title=""/>
            <o:lock v:ext="edit"/>
            <v:textbox inset="0mm,0mm,0mm,0mm">
              <w:txbxContent>
                <w:p>
                  <w:pPr>
                    <w:pStyle w:val="4"/>
                    <w:spacing w:before="3"/>
                    <w:ind w:right="-15"/>
                    <w:rPr>
                      <w:rFonts w:ascii="黑体" w:hAnsi="黑体" w:eastAsia="黑体"/>
                    </w:rPr>
                  </w:pPr>
                  <w:r>
                    <w:rPr>
                      <w:rFonts w:ascii="黑体" w:hAnsi="黑体" w:eastAsia="黑体"/>
                      <w:spacing w:val="-7"/>
                    </w:rPr>
                    <w:t>种以上的轻度疾病，我们仅按一种轻度疾病给付“轻度疾病保险金”。</w:t>
                  </w:r>
                </w:p>
              </w:txbxContent>
            </v:textbox>
          </v:shape>
        </w:pict>
      </w:r>
      <w:r>
        <w:pict>
          <v:shape id="docshape6" o:spid="_x0000_s1030" o:spt="202" type="#_x0000_t202" style="position:absolute;left:0pt;margin-left:191.85pt;margin-top:48.75pt;height:13.7pt;width:346.4pt;mso-position-horizontal-relative:page;mso-wrap-distance-bottom:0pt;mso-wrap-distance-top:0pt;z-index:-251644928;mso-width-relative:page;mso-height-relative:page;" fillcolor="#D9D9D9" filled="t" stroked="f" coordsize="21600,21600">
            <v:path/>
            <v:fill on="t" focussize="0,0"/>
            <v:stroke on="f" joinstyle="miter"/>
            <v:imagedata o:title=""/>
            <o:lock v:ext="edit"/>
            <v:textbox inset="0mm,0mm,0mm,0mm">
              <w:txbxContent>
                <w:p>
                  <w:pPr>
                    <w:pStyle w:val="4"/>
                    <w:spacing w:before="3"/>
                    <w:ind w:right="-15"/>
                    <w:rPr>
                      <w:rFonts w:ascii="黑体" w:eastAsia="黑体"/>
                      <w:color w:val="000000"/>
                    </w:rPr>
                  </w:pPr>
                  <w:r>
                    <w:rPr>
                      <w:rFonts w:ascii="黑体" w:eastAsia="黑体"/>
                      <w:color w:val="000000"/>
                      <w:spacing w:val="-1"/>
                    </w:rPr>
                    <w:t>如果被保险人由于同一疾病或同一事故导致其发生本合同所指的两种或两</w:t>
                  </w:r>
                </w:p>
              </w:txbxContent>
            </v:textbox>
            <w10:wrap type="topAndBottom"/>
          </v:shape>
        </w:pict>
      </w:r>
      <w:r>
        <w:pict>
          <v:shape id="docshape7" o:spid="_x0000_s1031" o:spt="202" type="#_x0000_t202" style="position:absolute;left:0pt;margin-left:191.85pt;margin-top:87.75pt;height:13.7pt;width:346.4pt;mso-position-horizontal-relative:page;mso-wrap-distance-bottom:0pt;mso-wrap-distance-top:0pt;z-index:-251643904;mso-width-relative:page;mso-height-relative:page;" fillcolor="#D9D9D9" filled="t" stroked="f" coordsize="21600,21600">
            <v:path/>
            <v:fill on="t" focussize="0,0"/>
            <v:stroke on="f" joinstyle="miter"/>
            <v:imagedata o:title=""/>
            <o:lock v:ext="edit"/>
            <v:textbox inset="0mm,0mm,0mm,0mm">
              <w:txbxContent>
                <w:p>
                  <w:pPr>
                    <w:pStyle w:val="4"/>
                    <w:spacing w:before="3"/>
                    <w:ind w:right="-15"/>
                    <w:rPr>
                      <w:rFonts w:ascii="黑体" w:hAnsi="黑体" w:eastAsia="黑体"/>
                      <w:color w:val="000000"/>
                    </w:rPr>
                  </w:pPr>
                  <w:r>
                    <w:rPr>
                      <w:rFonts w:ascii="黑体" w:hAnsi="黑体" w:eastAsia="黑体"/>
                      <w:color w:val="000000"/>
                      <w:spacing w:val="-3"/>
                    </w:rPr>
                    <w:t>被保险人确诊的疾病同时符合本合同约定的“重度疾病保险金”及“轻度疾</w:t>
                  </w:r>
                </w:p>
              </w:txbxContent>
            </v:textbox>
            <w10:wrap type="topAndBottom"/>
          </v:shape>
        </w:pict>
      </w:r>
    </w:p>
    <w:p>
      <w:pPr>
        <w:pStyle w:val="4"/>
        <w:spacing w:before="3"/>
        <w:rPr>
          <w:rFonts w:ascii="黑体"/>
          <w:sz w:val="13"/>
        </w:rPr>
      </w:pPr>
    </w:p>
    <w:p>
      <w:pPr>
        <w:pStyle w:val="4"/>
        <w:spacing w:before="3"/>
        <w:rPr>
          <w:rFonts w:ascii="黑体"/>
          <w:sz w:val="13"/>
        </w:rPr>
      </w:pPr>
    </w:p>
    <w:p>
      <w:pPr>
        <w:pStyle w:val="4"/>
        <w:spacing w:before="12"/>
        <w:rPr>
          <w:rFonts w:ascii="黑体"/>
          <w:sz w:val="2"/>
        </w:rPr>
      </w:pPr>
    </w:p>
    <w:p>
      <w:pPr>
        <w:pStyle w:val="4"/>
        <w:ind w:left="3038"/>
        <w:rPr>
          <w:rFonts w:ascii="黑体"/>
          <w:sz w:val="20"/>
        </w:rPr>
      </w:pPr>
      <w:r>
        <w:rPr>
          <w:rFonts w:ascii="黑体"/>
          <w:sz w:val="20"/>
        </w:rPr>
        <w:pict>
          <v:shape id="docshape8" o:spid="_x0000_s1032" o:spt="202" type="#_x0000_t202" style="height:13.7pt;width:346.4pt;" fillcolor="#D9D9D9" filled="t" stroked="f" coordsize="21600,21600">
            <v:path/>
            <v:fill on="t" focussize="0,0"/>
            <v:stroke on="f" joinstyle="miter"/>
            <v:imagedata o:title=""/>
            <o:lock v:ext="edit"/>
            <v:textbox inset="0mm,0mm,0mm,0mm">
              <w:txbxContent>
                <w:p>
                  <w:pPr>
                    <w:pStyle w:val="4"/>
                    <w:spacing w:before="3"/>
                    <w:ind w:right="-15"/>
                    <w:rPr>
                      <w:rFonts w:ascii="黑体" w:hAnsi="黑体" w:eastAsia="黑体"/>
                      <w:color w:val="000000"/>
                    </w:rPr>
                  </w:pPr>
                  <w:r>
                    <w:rPr>
                      <w:rFonts w:ascii="黑体" w:hAnsi="黑体" w:eastAsia="黑体"/>
                      <w:color w:val="000000"/>
                      <w:spacing w:val="-5"/>
                    </w:rPr>
                    <w:t>病保险金”中两项或两项以上给付条件的，我们仅承担其中保险金最高的一</w:t>
                  </w:r>
                </w:p>
              </w:txbxContent>
            </v:textbox>
            <w10:wrap type="none"/>
            <w10:anchorlock/>
          </v:shape>
        </w:pict>
      </w:r>
    </w:p>
    <w:p>
      <w:pPr>
        <w:spacing w:after="0"/>
        <w:rPr>
          <w:rFonts w:ascii="黑体"/>
          <w:sz w:val="20"/>
        </w:rPr>
        <w:sectPr>
          <w:type w:val="continuous"/>
          <w:pgSz w:w="11910" w:h="16840"/>
          <w:pgMar w:top="240" w:right="340" w:bottom="640" w:left="800" w:header="0" w:footer="457" w:gutter="0"/>
          <w:cols w:space="720" w:num="1"/>
        </w:sectPr>
      </w:pPr>
    </w:p>
    <w:tbl>
      <w:tblPr>
        <w:tblStyle w:val="6"/>
        <w:tblW w:w="0" w:type="auto"/>
        <w:tblInd w:w="119"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45"/>
        <w:gridCol w:w="1972"/>
        <w:gridCol w:w="724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9" w:hRule="atLeast"/>
        </w:trPr>
        <w:tc>
          <w:tcPr>
            <w:tcW w:w="2717" w:type="dxa"/>
            <w:gridSpan w:val="2"/>
            <w:vMerge w:val="restart"/>
          </w:tcPr>
          <w:p>
            <w:pPr>
              <w:pStyle w:val="10"/>
              <w:spacing w:before="0"/>
              <w:ind w:left="0"/>
              <w:rPr>
                <w:rFonts w:ascii="Times New Roman"/>
                <w:sz w:val="20"/>
              </w:rPr>
            </w:pPr>
          </w:p>
        </w:tc>
        <w:tc>
          <w:tcPr>
            <w:tcW w:w="7243" w:type="dxa"/>
          </w:tcPr>
          <w:p>
            <w:pPr>
              <w:pStyle w:val="10"/>
              <w:spacing w:before="0" w:line="241" w:lineRule="exact"/>
              <w:ind w:left="209"/>
              <w:rPr>
                <w:rFonts w:ascii="黑体" w:eastAsia="黑体"/>
                <w:sz w:val="21"/>
              </w:rPr>
            </w:pPr>
            <w:r>
              <w:rPr>
                <w:rFonts w:ascii="黑体" w:eastAsia="黑体"/>
                <w:color w:val="000000"/>
                <w:spacing w:val="-4"/>
                <w:sz w:val="21"/>
                <w:shd w:val="clear" w:color="auto" w:fill="D9D9D9"/>
              </w:rPr>
              <w:t>项保险责任。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82" w:hRule="atLeast"/>
        </w:trPr>
        <w:tc>
          <w:tcPr>
            <w:tcW w:w="2717" w:type="dxa"/>
            <w:gridSpan w:val="2"/>
            <w:vMerge w:val="continue"/>
            <w:tcBorders>
              <w:top w:val="nil"/>
            </w:tcBorders>
          </w:tcPr>
          <w:p>
            <w:pPr>
              <w:rPr>
                <w:sz w:val="2"/>
                <w:szCs w:val="2"/>
              </w:rPr>
            </w:pPr>
          </w:p>
        </w:tc>
        <w:tc>
          <w:tcPr>
            <w:tcW w:w="7243" w:type="dxa"/>
          </w:tcPr>
          <w:p>
            <w:pPr>
              <w:pStyle w:val="10"/>
              <w:spacing w:before="100" w:line="278" w:lineRule="auto"/>
              <w:ind w:left="209" w:right="101"/>
              <w:jc w:val="both"/>
              <w:rPr>
                <w:rFonts w:ascii="黑体" w:hAnsi="黑体" w:eastAsia="黑体"/>
                <w:sz w:val="21"/>
              </w:rPr>
            </w:pPr>
            <w:r>
              <w:rPr>
                <w:rFonts w:ascii="黑体" w:hAnsi="黑体" w:eastAsia="黑体"/>
                <w:color w:val="000000"/>
                <w:spacing w:val="-2"/>
                <w:sz w:val="21"/>
                <w:shd w:val="clear" w:color="auto" w:fill="D9D9D9"/>
              </w:rPr>
              <w:t>如果被保险人在申请“重度疾病保险金”前已经申请并获得了“轻度疾病保</w:t>
            </w:r>
            <w:r>
              <w:rPr>
                <w:rFonts w:ascii="黑体" w:hAnsi="黑体" w:eastAsia="黑体"/>
                <w:color w:val="000000"/>
                <w:spacing w:val="40"/>
                <w:sz w:val="21"/>
                <w:shd w:val="clear" w:color="auto" w:fill="D9D9D9"/>
              </w:rPr>
              <w:t xml:space="preserve"> </w:t>
            </w:r>
            <w:r>
              <w:rPr>
                <w:rFonts w:ascii="黑体" w:hAnsi="黑体" w:eastAsia="黑体"/>
                <w:color w:val="000000"/>
                <w:spacing w:val="-13"/>
                <w:sz w:val="21"/>
                <w:shd w:val="clear" w:color="auto" w:fill="D9D9D9"/>
              </w:rPr>
              <w:t>险金”，且该轻度疾病的确诊发生在被保险人符合“重度疾病保险金”给付</w:t>
            </w:r>
            <w:r>
              <w:rPr>
                <w:rFonts w:ascii="黑体" w:hAnsi="黑体" w:eastAsia="黑体"/>
                <w:color w:val="000000"/>
                <w:spacing w:val="-2"/>
                <w:sz w:val="21"/>
                <w:shd w:val="clear" w:color="auto" w:fill="D9D9D9"/>
              </w:rPr>
              <w:t>条件之后，我们在给付“重度疾病保险金”时，将扣除已经给付的“轻度疾</w:t>
            </w:r>
            <w:r>
              <w:rPr>
                <w:rFonts w:ascii="黑体" w:hAnsi="黑体" w:eastAsia="黑体"/>
                <w:color w:val="000000"/>
                <w:spacing w:val="-13"/>
                <w:sz w:val="21"/>
                <w:shd w:val="clear" w:color="auto" w:fill="D9D9D9"/>
              </w:rPr>
              <w:t>病保险金”，本合同终止。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914" w:hRule="atLeast"/>
        </w:trPr>
        <w:tc>
          <w:tcPr>
            <w:tcW w:w="745" w:type="dxa"/>
          </w:tcPr>
          <w:p>
            <w:pPr>
              <w:pStyle w:val="10"/>
              <w:spacing w:before="178"/>
              <w:rPr>
                <w:b/>
                <w:sz w:val="21"/>
              </w:rPr>
            </w:pPr>
            <w:r>
              <w:rPr>
                <w:b/>
                <w:spacing w:val="-5"/>
                <w:sz w:val="21"/>
              </w:rPr>
              <w:t>2.5</w:t>
            </w:r>
          </w:p>
        </w:tc>
        <w:tc>
          <w:tcPr>
            <w:tcW w:w="1972" w:type="dxa"/>
          </w:tcPr>
          <w:p>
            <w:pPr>
              <w:pStyle w:val="10"/>
              <w:spacing w:before="178"/>
              <w:ind w:left="321"/>
              <w:rPr>
                <w:b/>
                <w:sz w:val="21"/>
              </w:rPr>
            </w:pPr>
            <w:r>
              <w:rPr>
                <w:b/>
                <w:spacing w:val="-3"/>
                <w:sz w:val="21"/>
              </w:rPr>
              <w:t>责任免除</w:t>
            </w:r>
          </w:p>
        </w:tc>
        <w:tc>
          <w:tcPr>
            <w:tcW w:w="7243" w:type="dxa"/>
          </w:tcPr>
          <w:p>
            <w:pPr>
              <w:pStyle w:val="10"/>
              <w:spacing w:before="178" w:line="278" w:lineRule="auto"/>
              <w:ind w:left="209" w:right="99"/>
              <w:rPr>
                <w:rFonts w:ascii="黑体" w:eastAsia="黑体"/>
                <w:sz w:val="21"/>
              </w:rPr>
            </w:pPr>
            <w:r>
              <w:rPr>
                <w:rFonts w:ascii="黑体" w:eastAsia="黑体"/>
                <w:color w:val="000000"/>
                <w:spacing w:val="-2"/>
                <w:sz w:val="21"/>
                <w:shd w:val="clear" w:color="auto" w:fill="D9D9D9"/>
              </w:rPr>
              <w:t>在本合同保险期间内，因下列情形之一导致被保险人发生保险事故的，我们</w:t>
            </w:r>
            <w:r>
              <w:rPr>
                <w:rFonts w:ascii="黑体" w:eastAsia="黑体"/>
                <w:color w:val="000000"/>
                <w:spacing w:val="80"/>
                <w:w w:val="150"/>
                <w:sz w:val="21"/>
                <w:shd w:val="clear" w:color="auto" w:fill="D9D9D9"/>
              </w:rPr>
              <w:t xml:space="preserve">                                     </w:t>
            </w:r>
            <w:r>
              <w:rPr>
                <w:rFonts w:ascii="黑体" w:eastAsia="黑体"/>
                <w:color w:val="000000"/>
                <w:spacing w:val="-2"/>
                <w:sz w:val="21"/>
                <w:shd w:val="clear" w:color="auto" w:fill="D9D9D9"/>
              </w:rPr>
              <w:t>不承担保险责任：</w:t>
            </w:r>
            <w:r>
              <w:rPr>
                <w:rFonts w:ascii="黑体" w:eastAsia="黑体"/>
                <w:color w:val="000000"/>
                <w:spacing w:val="40"/>
                <w:sz w:val="21"/>
                <w:shd w:val="clear" w:color="auto" w:fill="D9D9D9"/>
              </w:rPr>
              <w:t xml:space="preserve"> </w:t>
            </w:r>
          </w:p>
          <w:p>
            <w:pPr>
              <w:pStyle w:val="10"/>
              <w:numPr>
                <w:ilvl w:val="0"/>
                <w:numId w:val="13"/>
              </w:numPr>
              <w:tabs>
                <w:tab w:val="left" w:pos="739"/>
              </w:tabs>
              <w:spacing w:before="0" w:after="0" w:line="269" w:lineRule="exact"/>
              <w:ind w:left="738" w:right="0" w:hanging="530"/>
              <w:jc w:val="left"/>
              <w:rPr>
                <w:rFonts w:ascii="黑体" w:eastAsia="黑体"/>
                <w:sz w:val="21"/>
              </w:rPr>
            </w:pPr>
            <w:r>
              <w:rPr>
                <w:rFonts w:ascii="黑体" w:eastAsia="黑体"/>
                <w:color w:val="000000"/>
                <w:spacing w:val="-3"/>
                <w:sz w:val="21"/>
                <w:shd w:val="clear" w:color="auto" w:fill="D9D9D9"/>
              </w:rPr>
              <w:t>投保人对被保险人的故意杀害、故意伤害；</w:t>
            </w:r>
          </w:p>
          <w:p>
            <w:pPr>
              <w:pStyle w:val="10"/>
              <w:numPr>
                <w:ilvl w:val="0"/>
                <w:numId w:val="13"/>
              </w:numPr>
              <w:tabs>
                <w:tab w:val="left" w:pos="739"/>
              </w:tabs>
              <w:spacing w:before="43" w:after="0" w:line="240" w:lineRule="auto"/>
              <w:ind w:left="738" w:right="0" w:hanging="530"/>
              <w:jc w:val="left"/>
              <w:rPr>
                <w:rFonts w:ascii="黑体" w:eastAsia="黑体"/>
                <w:sz w:val="21"/>
              </w:rPr>
            </w:pPr>
            <w:r>
              <w:rPr>
                <w:rFonts w:ascii="黑体" w:eastAsia="黑体"/>
                <w:color w:val="000000"/>
                <w:spacing w:val="-3"/>
                <w:sz w:val="21"/>
                <w:shd w:val="clear" w:color="auto" w:fill="D9D9D9"/>
              </w:rPr>
              <w:t>被保险人故意犯罪或抗拒依法采取的刑事强制措施；</w:t>
            </w:r>
          </w:p>
          <w:p>
            <w:pPr>
              <w:pStyle w:val="10"/>
              <w:numPr>
                <w:ilvl w:val="0"/>
                <w:numId w:val="13"/>
              </w:numPr>
              <w:tabs>
                <w:tab w:val="left" w:pos="739"/>
              </w:tabs>
              <w:spacing w:before="42" w:after="0" w:line="278" w:lineRule="auto"/>
              <w:ind w:left="209" w:right="99" w:firstLine="0"/>
              <w:jc w:val="left"/>
              <w:rPr>
                <w:rFonts w:ascii="黑体" w:eastAsia="黑体"/>
                <w:sz w:val="21"/>
              </w:rPr>
            </w:pPr>
            <w:r>
              <w:rPr>
                <w:rFonts w:ascii="黑体" w:eastAsia="黑体"/>
                <w:color w:val="000000"/>
                <w:spacing w:val="-1"/>
                <w:sz w:val="21"/>
                <w:shd w:val="clear" w:color="auto" w:fill="D9D9D9"/>
              </w:rPr>
              <w:t xml:space="preserve">被保险人故意自伤、或自本合同成立或者本合同效力恢复之日起 </w:t>
            </w:r>
            <w:r>
              <w:rPr>
                <w:rFonts w:ascii="黑体" w:eastAsia="黑体"/>
                <w:color w:val="000000"/>
                <w:sz w:val="21"/>
                <w:shd w:val="clear" w:color="auto" w:fill="D9D9D9"/>
              </w:rPr>
              <w:t>2</w:t>
            </w:r>
            <w:r>
              <w:rPr>
                <w:rFonts w:ascii="黑体" w:eastAsia="黑体"/>
                <w:color w:val="000000"/>
                <w:spacing w:val="-11"/>
                <w:sz w:val="21"/>
                <w:shd w:val="clear" w:color="auto" w:fill="D9D9D9"/>
              </w:rPr>
              <w:t xml:space="preserve"> 年</w:t>
            </w:r>
            <w:r>
              <w:rPr>
                <w:rFonts w:ascii="黑体" w:eastAsia="黑体"/>
                <w:color w:val="000000"/>
                <w:spacing w:val="13335"/>
                <w:sz w:val="21"/>
                <w:shd w:val="clear" w:color="auto" w:fill="D9D9D9"/>
              </w:rPr>
              <w:t xml:space="preserve"> </w:t>
            </w:r>
            <w:r>
              <w:rPr>
                <w:rFonts w:ascii="黑体" w:eastAsia="黑体"/>
                <w:color w:val="000000"/>
                <w:spacing w:val="-2"/>
                <w:sz w:val="21"/>
                <w:shd w:val="clear" w:color="auto" w:fill="D9D9D9"/>
              </w:rPr>
              <w:t>内自杀，但被保险人自杀时为无民事行为能力人的除外；</w:t>
            </w:r>
          </w:p>
          <w:p>
            <w:pPr>
              <w:pStyle w:val="10"/>
              <w:numPr>
                <w:ilvl w:val="0"/>
                <w:numId w:val="13"/>
              </w:numPr>
              <w:tabs>
                <w:tab w:val="left" w:pos="739"/>
              </w:tabs>
              <w:spacing w:before="0" w:after="0" w:line="269" w:lineRule="exact"/>
              <w:ind w:left="738" w:right="0" w:hanging="530"/>
              <w:jc w:val="left"/>
              <w:rPr>
                <w:rFonts w:ascii="黑体" w:eastAsia="黑体"/>
                <w:sz w:val="21"/>
              </w:rPr>
            </w:pPr>
            <w:r>
              <w:rPr>
                <w:rFonts w:ascii="黑体" w:eastAsia="黑体"/>
                <w:color w:val="000000"/>
                <w:spacing w:val="-2"/>
                <w:sz w:val="21"/>
                <w:shd w:val="clear" w:color="auto" w:fill="D9D9D9"/>
              </w:rPr>
              <w:t>被保险人服用、吸食或注射</w:t>
            </w:r>
            <w:r>
              <w:rPr>
                <w:rFonts w:hint="eastAsia" w:ascii="黑体" w:eastAsia="黑体"/>
                <w:b/>
                <w:color w:val="000000"/>
                <w:spacing w:val="-2"/>
                <w:sz w:val="21"/>
                <w:shd w:val="clear" w:color="auto" w:fill="D9D9D9"/>
              </w:rPr>
              <w:t>毒品</w:t>
            </w:r>
            <w:r>
              <w:rPr>
                <w:rFonts w:ascii="黑体" w:eastAsia="黑体"/>
                <w:color w:val="000000"/>
                <w:spacing w:val="-2"/>
                <w:sz w:val="21"/>
                <w:shd w:val="clear" w:color="auto" w:fill="D9D9D9"/>
              </w:rPr>
              <w:t>（</w:t>
            </w:r>
            <w:r>
              <w:rPr>
                <w:rFonts w:ascii="黑体" w:eastAsia="黑体"/>
                <w:color w:val="000000"/>
                <w:spacing w:val="-24"/>
                <w:sz w:val="21"/>
                <w:shd w:val="clear" w:color="auto" w:fill="D9D9D9"/>
              </w:rPr>
              <w:t xml:space="preserve">见 </w:t>
            </w:r>
            <w:r>
              <w:rPr>
                <w:rFonts w:ascii="黑体" w:eastAsia="黑体"/>
                <w:color w:val="000000"/>
                <w:spacing w:val="14"/>
                <w:sz w:val="21"/>
                <w:shd w:val="clear" w:color="auto" w:fill="D9D9D9"/>
              </w:rPr>
              <w:t>1</w:t>
            </w:r>
            <w:r>
              <w:rPr>
                <w:rFonts w:ascii="黑体" w:eastAsia="黑体"/>
                <w:color w:val="000000"/>
                <w:spacing w:val="11"/>
                <w:sz w:val="21"/>
                <w:shd w:val="clear" w:color="auto" w:fill="D9D9D9"/>
              </w:rPr>
              <w:t>0</w:t>
            </w:r>
            <w:r>
              <w:rPr>
                <w:rFonts w:ascii="黑体" w:eastAsia="黑体"/>
                <w:color w:val="000000"/>
                <w:spacing w:val="13"/>
                <w:sz w:val="21"/>
                <w:shd w:val="clear" w:color="auto" w:fill="D9D9D9"/>
              </w:rPr>
              <w:t>.</w:t>
            </w:r>
            <w:r>
              <w:rPr>
                <w:rFonts w:ascii="黑体" w:eastAsia="黑体"/>
                <w:color w:val="000000"/>
                <w:spacing w:val="14"/>
                <w:sz w:val="21"/>
                <w:shd w:val="clear" w:color="auto" w:fill="D9D9D9"/>
              </w:rPr>
              <w:t>13</w:t>
            </w:r>
            <w:r>
              <w:rPr>
                <w:rFonts w:ascii="黑体" w:eastAsia="黑体"/>
                <w:color w:val="000000"/>
                <w:spacing w:val="-94"/>
                <w:sz w:val="21"/>
                <w:shd w:val="clear" w:color="auto" w:fill="D9D9D9"/>
              </w:rPr>
              <w:t>）</w:t>
            </w:r>
            <w:r>
              <w:rPr>
                <w:rFonts w:ascii="黑体" w:eastAsia="黑体"/>
                <w:color w:val="000000"/>
                <w:spacing w:val="14"/>
                <w:sz w:val="21"/>
                <w:shd w:val="clear" w:color="auto" w:fill="D9D9D9"/>
              </w:rPr>
              <w:t>；</w:t>
            </w:r>
            <w:r>
              <w:rPr>
                <w:rFonts w:ascii="黑体" w:eastAsia="黑体"/>
                <w:color w:val="000000"/>
                <w:spacing w:val="40"/>
                <w:sz w:val="21"/>
                <w:shd w:val="clear" w:color="auto" w:fill="D9D9D9"/>
              </w:rPr>
              <w:t xml:space="preserve"> </w:t>
            </w:r>
          </w:p>
          <w:p>
            <w:pPr>
              <w:pStyle w:val="10"/>
              <w:numPr>
                <w:ilvl w:val="0"/>
                <w:numId w:val="13"/>
              </w:numPr>
              <w:tabs>
                <w:tab w:val="left" w:pos="739"/>
              </w:tabs>
              <w:spacing w:before="44" w:after="0" w:line="278" w:lineRule="auto"/>
              <w:ind w:left="209" w:right="104" w:firstLine="0"/>
              <w:jc w:val="left"/>
              <w:rPr>
                <w:rFonts w:ascii="黑体" w:eastAsia="黑体"/>
                <w:sz w:val="21"/>
              </w:rPr>
            </w:pPr>
            <w:r>
              <w:rPr>
                <w:rFonts w:ascii="黑体" w:eastAsia="黑体"/>
                <w:color w:val="000000"/>
                <w:spacing w:val="-8"/>
                <w:sz w:val="21"/>
                <w:shd w:val="clear" w:color="auto" w:fill="D9D9D9"/>
              </w:rPr>
              <w:t>被保险人</w:t>
            </w:r>
            <w:r>
              <w:rPr>
                <w:rFonts w:hint="eastAsia" w:ascii="黑体" w:eastAsia="黑体"/>
                <w:b/>
                <w:color w:val="000000"/>
                <w:spacing w:val="-8"/>
                <w:sz w:val="21"/>
                <w:shd w:val="clear" w:color="auto" w:fill="D9D9D9"/>
              </w:rPr>
              <w:t>酒后驾驶</w:t>
            </w:r>
            <w:r>
              <w:rPr>
                <w:rFonts w:ascii="黑体" w:eastAsia="黑体"/>
                <w:color w:val="000000"/>
                <w:spacing w:val="-8"/>
                <w:sz w:val="21"/>
                <w:shd w:val="clear" w:color="auto" w:fill="D9D9D9"/>
              </w:rPr>
              <w:t>（</w:t>
            </w:r>
            <w:r>
              <w:rPr>
                <w:rFonts w:ascii="黑体" w:eastAsia="黑体"/>
                <w:color w:val="000000"/>
                <w:spacing w:val="-24"/>
                <w:sz w:val="21"/>
                <w:shd w:val="clear" w:color="auto" w:fill="D9D9D9"/>
              </w:rPr>
              <w:t xml:space="preserve">见 </w:t>
            </w:r>
            <w:r>
              <w:rPr>
                <w:rFonts w:ascii="黑体" w:eastAsia="黑体"/>
                <w:color w:val="000000"/>
                <w:spacing w:val="10"/>
                <w:sz w:val="21"/>
                <w:shd w:val="clear" w:color="auto" w:fill="D9D9D9"/>
              </w:rPr>
              <w:t>10</w:t>
            </w:r>
            <w:r>
              <w:rPr>
                <w:rFonts w:ascii="黑体" w:eastAsia="黑体"/>
                <w:color w:val="000000"/>
                <w:spacing w:val="8"/>
                <w:sz w:val="21"/>
                <w:shd w:val="clear" w:color="auto" w:fill="D9D9D9"/>
              </w:rPr>
              <w:t>.</w:t>
            </w:r>
            <w:r>
              <w:rPr>
                <w:rFonts w:ascii="黑体" w:eastAsia="黑体"/>
                <w:color w:val="000000"/>
                <w:spacing w:val="10"/>
                <w:sz w:val="21"/>
                <w:shd w:val="clear" w:color="auto" w:fill="D9D9D9"/>
              </w:rPr>
              <w:t>14</w:t>
            </w:r>
            <w:r>
              <w:rPr>
                <w:rFonts w:ascii="黑体" w:eastAsia="黑体"/>
                <w:color w:val="000000"/>
                <w:spacing w:val="-98"/>
                <w:sz w:val="21"/>
                <w:shd w:val="clear" w:color="auto" w:fill="D9D9D9"/>
              </w:rPr>
              <w:t>）</w:t>
            </w:r>
            <w:r>
              <w:rPr>
                <w:rFonts w:ascii="黑体" w:eastAsia="黑体"/>
                <w:color w:val="000000"/>
                <w:spacing w:val="-8"/>
                <w:sz w:val="21"/>
                <w:shd w:val="clear" w:color="auto" w:fill="D9D9D9"/>
              </w:rPr>
              <w:t>、</w:t>
            </w:r>
            <w:r>
              <w:rPr>
                <w:rFonts w:hint="eastAsia" w:ascii="黑体" w:eastAsia="黑体"/>
                <w:b/>
                <w:color w:val="000000"/>
                <w:spacing w:val="-8"/>
                <w:sz w:val="21"/>
                <w:shd w:val="clear" w:color="auto" w:fill="D9D9D9"/>
              </w:rPr>
              <w:t>无合法有效驾驶证驾驶</w:t>
            </w:r>
            <w:r>
              <w:rPr>
                <w:rFonts w:ascii="黑体" w:eastAsia="黑体"/>
                <w:color w:val="000000"/>
                <w:spacing w:val="-8"/>
                <w:sz w:val="21"/>
                <w:shd w:val="clear" w:color="auto" w:fill="D9D9D9"/>
              </w:rPr>
              <w:t>（</w:t>
            </w:r>
            <w:r>
              <w:rPr>
                <w:rFonts w:ascii="黑体" w:eastAsia="黑体"/>
                <w:color w:val="000000"/>
                <w:spacing w:val="-24"/>
                <w:sz w:val="21"/>
                <w:shd w:val="clear" w:color="auto" w:fill="D9D9D9"/>
              </w:rPr>
              <w:t xml:space="preserve">见 </w:t>
            </w:r>
            <w:r>
              <w:rPr>
                <w:rFonts w:ascii="黑体" w:eastAsia="黑体"/>
                <w:color w:val="000000"/>
                <w:spacing w:val="10"/>
                <w:sz w:val="21"/>
                <w:shd w:val="clear" w:color="auto" w:fill="D9D9D9"/>
              </w:rPr>
              <w:t>10</w:t>
            </w:r>
            <w:r>
              <w:rPr>
                <w:rFonts w:ascii="黑体" w:eastAsia="黑体"/>
                <w:color w:val="000000"/>
                <w:spacing w:val="7"/>
                <w:sz w:val="21"/>
                <w:shd w:val="clear" w:color="auto" w:fill="D9D9D9"/>
              </w:rPr>
              <w:t>.</w:t>
            </w:r>
            <w:r>
              <w:rPr>
                <w:rFonts w:ascii="黑体" w:eastAsia="黑体"/>
                <w:color w:val="000000"/>
                <w:spacing w:val="10"/>
                <w:sz w:val="21"/>
                <w:shd w:val="clear" w:color="auto" w:fill="D9D9D9"/>
              </w:rPr>
              <w:t>15</w:t>
            </w:r>
            <w:r>
              <w:rPr>
                <w:rFonts w:ascii="黑体" w:eastAsia="黑体"/>
                <w:color w:val="000000"/>
                <w:spacing w:val="-98"/>
                <w:sz w:val="21"/>
                <w:shd w:val="clear" w:color="auto" w:fill="D9D9D9"/>
              </w:rPr>
              <w:t>）</w:t>
            </w:r>
            <w:r>
              <w:rPr>
                <w:rFonts w:ascii="黑体" w:eastAsia="黑体"/>
                <w:color w:val="000000"/>
                <w:spacing w:val="-10"/>
                <w:sz w:val="21"/>
                <w:shd w:val="clear" w:color="auto" w:fill="D9D9D9"/>
              </w:rPr>
              <w:t>，</w:t>
            </w:r>
            <w:r>
              <w:rPr>
                <w:rFonts w:ascii="黑体" w:eastAsia="黑体"/>
                <w:color w:val="000000"/>
                <w:spacing w:val="13325"/>
                <w:sz w:val="21"/>
                <w:shd w:val="clear" w:color="auto" w:fill="D9D9D9"/>
              </w:rPr>
              <w:t xml:space="preserve"> </w:t>
            </w:r>
            <w:r>
              <w:rPr>
                <w:rFonts w:ascii="黑体" w:eastAsia="黑体"/>
                <w:color w:val="000000"/>
                <w:sz w:val="21"/>
                <w:shd w:val="clear" w:color="auto" w:fill="D9D9D9"/>
              </w:rPr>
              <w:t>或驾驶</w:t>
            </w:r>
            <w:r>
              <w:rPr>
                <w:rFonts w:hint="eastAsia" w:ascii="黑体" w:eastAsia="黑体"/>
                <w:b/>
                <w:color w:val="000000"/>
                <w:sz w:val="21"/>
                <w:shd w:val="clear" w:color="auto" w:fill="D9D9D9"/>
              </w:rPr>
              <w:t>无有效行驶证</w:t>
            </w:r>
            <w:r>
              <w:rPr>
                <w:rFonts w:ascii="黑体" w:eastAsia="黑体"/>
                <w:color w:val="000000"/>
                <w:sz w:val="21"/>
                <w:shd w:val="clear" w:color="auto" w:fill="D9D9D9"/>
              </w:rPr>
              <w:t>（</w:t>
            </w:r>
            <w:r>
              <w:rPr>
                <w:rFonts w:ascii="黑体" w:eastAsia="黑体"/>
                <w:color w:val="000000"/>
                <w:spacing w:val="-14"/>
                <w:sz w:val="21"/>
                <w:shd w:val="clear" w:color="auto" w:fill="D9D9D9"/>
              </w:rPr>
              <w:t xml:space="preserve">见 </w:t>
            </w:r>
            <w:r>
              <w:rPr>
                <w:rFonts w:ascii="黑体" w:eastAsia="黑体"/>
                <w:color w:val="000000"/>
                <w:sz w:val="21"/>
                <w:shd w:val="clear" w:color="auto" w:fill="D9D9D9"/>
              </w:rPr>
              <w:t>10.16）的</w:t>
            </w:r>
            <w:r>
              <w:rPr>
                <w:rFonts w:hint="eastAsia" w:ascii="黑体" w:eastAsia="黑体"/>
                <w:b/>
                <w:color w:val="000000"/>
                <w:sz w:val="21"/>
                <w:shd w:val="clear" w:color="auto" w:fill="D9D9D9"/>
              </w:rPr>
              <w:t>机动车</w:t>
            </w:r>
            <w:r>
              <w:rPr>
                <w:rFonts w:ascii="黑体" w:eastAsia="黑体"/>
                <w:color w:val="000000"/>
                <w:sz w:val="21"/>
                <w:shd w:val="clear" w:color="auto" w:fill="D9D9D9"/>
              </w:rPr>
              <w:t>（</w:t>
            </w:r>
            <w:r>
              <w:rPr>
                <w:rFonts w:ascii="黑体" w:eastAsia="黑体"/>
                <w:color w:val="000000"/>
                <w:spacing w:val="-12"/>
                <w:sz w:val="21"/>
                <w:shd w:val="clear" w:color="auto" w:fill="D9D9D9"/>
              </w:rPr>
              <w:t xml:space="preserve">见 </w:t>
            </w:r>
            <w:r>
              <w:rPr>
                <w:rFonts w:ascii="黑体" w:eastAsia="黑体"/>
                <w:color w:val="000000"/>
                <w:spacing w:val="16"/>
                <w:sz w:val="21"/>
                <w:shd w:val="clear" w:color="auto" w:fill="D9D9D9"/>
              </w:rPr>
              <w:t>1</w:t>
            </w:r>
            <w:r>
              <w:rPr>
                <w:rFonts w:ascii="黑体" w:eastAsia="黑体"/>
                <w:color w:val="000000"/>
                <w:spacing w:val="13"/>
                <w:sz w:val="21"/>
                <w:shd w:val="clear" w:color="auto" w:fill="D9D9D9"/>
              </w:rPr>
              <w:t>0.</w:t>
            </w:r>
            <w:r>
              <w:rPr>
                <w:rFonts w:ascii="黑体" w:eastAsia="黑体"/>
                <w:color w:val="000000"/>
                <w:spacing w:val="16"/>
                <w:sz w:val="21"/>
                <w:shd w:val="clear" w:color="auto" w:fill="D9D9D9"/>
              </w:rPr>
              <w:t>17</w:t>
            </w:r>
            <w:r>
              <w:rPr>
                <w:rFonts w:ascii="黑体" w:eastAsia="黑体"/>
                <w:color w:val="000000"/>
                <w:spacing w:val="-90"/>
                <w:sz w:val="21"/>
                <w:shd w:val="clear" w:color="auto" w:fill="D9D9D9"/>
              </w:rPr>
              <w:t>）</w:t>
            </w:r>
            <w:r>
              <w:rPr>
                <w:rFonts w:ascii="黑体" w:eastAsia="黑体"/>
                <w:color w:val="000000"/>
                <w:spacing w:val="13"/>
                <w:sz w:val="21"/>
                <w:shd w:val="clear" w:color="auto" w:fill="D9D9D9"/>
              </w:rPr>
              <w:t>；</w:t>
            </w:r>
          </w:p>
          <w:p>
            <w:pPr>
              <w:pStyle w:val="10"/>
              <w:numPr>
                <w:ilvl w:val="0"/>
                <w:numId w:val="13"/>
              </w:numPr>
              <w:tabs>
                <w:tab w:val="left" w:pos="739"/>
              </w:tabs>
              <w:spacing w:before="0" w:after="0" w:line="278" w:lineRule="auto"/>
              <w:ind w:left="209" w:right="101" w:firstLine="0"/>
              <w:jc w:val="left"/>
              <w:rPr>
                <w:rFonts w:ascii="黑体" w:eastAsia="黑体"/>
                <w:sz w:val="21"/>
              </w:rPr>
            </w:pPr>
            <w:r>
              <w:rPr>
                <w:rFonts w:ascii="黑体" w:eastAsia="黑体"/>
                <w:color w:val="000000"/>
                <w:spacing w:val="-4"/>
                <w:sz w:val="21"/>
                <w:shd w:val="clear" w:color="auto" w:fill="D9D9D9"/>
              </w:rPr>
              <w:t>被保险人</w:t>
            </w:r>
            <w:r>
              <w:rPr>
                <w:rFonts w:hint="eastAsia" w:ascii="黑体" w:eastAsia="黑体"/>
                <w:b/>
                <w:color w:val="000000"/>
                <w:spacing w:val="-4"/>
                <w:sz w:val="21"/>
                <w:shd w:val="clear" w:color="auto" w:fill="D9D9D9"/>
              </w:rPr>
              <w:t>感染艾滋病病毒或患艾滋病</w:t>
            </w:r>
            <w:r>
              <w:rPr>
                <w:rFonts w:ascii="黑体" w:eastAsia="黑体"/>
                <w:color w:val="000000"/>
                <w:spacing w:val="-4"/>
                <w:sz w:val="21"/>
                <w:shd w:val="clear" w:color="auto" w:fill="D9D9D9"/>
              </w:rPr>
              <w:t>（</w:t>
            </w:r>
            <w:r>
              <w:rPr>
                <w:rFonts w:ascii="黑体" w:eastAsia="黑体"/>
                <w:color w:val="000000"/>
                <w:spacing w:val="-14"/>
                <w:sz w:val="21"/>
                <w:shd w:val="clear" w:color="auto" w:fill="D9D9D9"/>
              </w:rPr>
              <w:t xml:space="preserve">见 </w:t>
            </w:r>
            <w:r>
              <w:rPr>
                <w:rFonts w:ascii="黑体" w:eastAsia="黑体"/>
                <w:color w:val="000000"/>
                <w:spacing w:val="12"/>
                <w:sz w:val="21"/>
                <w:shd w:val="clear" w:color="auto" w:fill="D9D9D9"/>
              </w:rPr>
              <w:t>10</w:t>
            </w:r>
            <w:r>
              <w:rPr>
                <w:rFonts w:ascii="黑体" w:eastAsia="黑体"/>
                <w:color w:val="000000"/>
                <w:spacing w:val="9"/>
                <w:sz w:val="21"/>
                <w:shd w:val="clear" w:color="auto" w:fill="D9D9D9"/>
              </w:rPr>
              <w:t>.1</w:t>
            </w:r>
            <w:r>
              <w:rPr>
                <w:rFonts w:ascii="黑体" w:eastAsia="黑体"/>
                <w:color w:val="000000"/>
                <w:spacing w:val="12"/>
                <w:sz w:val="21"/>
                <w:shd w:val="clear" w:color="auto" w:fill="D9D9D9"/>
              </w:rPr>
              <w:t>8</w:t>
            </w:r>
            <w:r>
              <w:rPr>
                <w:rFonts w:ascii="黑体" w:eastAsia="黑体"/>
                <w:color w:val="000000"/>
                <w:spacing w:val="-94"/>
                <w:sz w:val="21"/>
                <w:shd w:val="clear" w:color="auto" w:fill="D9D9D9"/>
              </w:rPr>
              <w:t>）</w:t>
            </w:r>
            <w:r>
              <w:rPr>
                <w:rFonts w:ascii="黑体" w:eastAsia="黑体"/>
                <w:color w:val="000000"/>
                <w:spacing w:val="-4"/>
                <w:sz w:val="21"/>
                <w:shd w:val="clear" w:color="auto" w:fill="D9D9D9"/>
              </w:rPr>
              <w:t>，但本合同另有约定</w:t>
            </w:r>
            <w:r>
              <w:rPr>
                <w:rFonts w:ascii="黑体" w:eastAsia="黑体"/>
                <w:color w:val="000000"/>
                <w:spacing w:val="13335"/>
                <w:sz w:val="21"/>
                <w:shd w:val="clear" w:color="auto" w:fill="D9D9D9"/>
              </w:rPr>
              <w:t xml:space="preserve"> </w:t>
            </w:r>
            <w:r>
              <w:rPr>
                <w:rFonts w:ascii="黑体" w:eastAsia="黑体"/>
                <w:color w:val="000000"/>
                <w:spacing w:val="-4"/>
                <w:sz w:val="21"/>
                <w:shd w:val="clear" w:color="auto" w:fill="D9D9D9"/>
              </w:rPr>
              <w:t>的除外；</w:t>
            </w:r>
          </w:p>
          <w:p>
            <w:pPr>
              <w:pStyle w:val="10"/>
              <w:numPr>
                <w:ilvl w:val="0"/>
                <w:numId w:val="13"/>
              </w:numPr>
              <w:tabs>
                <w:tab w:val="left" w:pos="739"/>
              </w:tabs>
              <w:spacing w:before="0" w:after="0" w:line="269" w:lineRule="exact"/>
              <w:ind w:left="738" w:right="0" w:hanging="530"/>
              <w:jc w:val="left"/>
              <w:rPr>
                <w:rFonts w:ascii="黑体" w:eastAsia="黑体"/>
                <w:sz w:val="21"/>
              </w:rPr>
            </w:pPr>
            <w:r>
              <w:rPr>
                <w:rFonts w:ascii="黑体" w:eastAsia="黑体"/>
                <w:color w:val="000000"/>
                <w:spacing w:val="-3"/>
                <w:sz w:val="21"/>
                <w:shd w:val="clear" w:color="auto" w:fill="D9D9D9"/>
              </w:rPr>
              <w:t>战争、军事冲突、暴乱或武装叛乱；</w:t>
            </w:r>
          </w:p>
          <w:p>
            <w:pPr>
              <w:pStyle w:val="10"/>
              <w:numPr>
                <w:ilvl w:val="0"/>
                <w:numId w:val="13"/>
              </w:numPr>
              <w:tabs>
                <w:tab w:val="left" w:pos="739"/>
              </w:tabs>
              <w:spacing w:before="43" w:after="0" w:line="240" w:lineRule="auto"/>
              <w:ind w:left="738" w:right="0" w:hanging="530"/>
              <w:jc w:val="left"/>
              <w:rPr>
                <w:rFonts w:ascii="黑体" w:eastAsia="黑体"/>
                <w:sz w:val="21"/>
              </w:rPr>
            </w:pPr>
            <w:r>
              <w:rPr>
                <w:rFonts w:ascii="黑体" w:eastAsia="黑体"/>
                <w:color w:val="000000"/>
                <w:spacing w:val="-3"/>
                <w:sz w:val="21"/>
                <w:shd w:val="clear" w:color="auto" w:fill="D9D9D9"/>
              </w:rPr>
              <w:t>核爆炸、核辐射或核污染；</w:t>
            </w:r>
          </w:p>
          <w:p>
            <w:pPr>
              <w:pStyle w:val="10"/>
              <w:numPr>
                <w:ilvl w:val="0"/>
                <w:numId w:val="13"/>
              </w:numPr>
              <w:tabs>
                <w:tab w:val="left" w:pos="739"/>
              </w:tabs>
              <w:spacing w:before="43" w:after="0" w:line="278" w:lineRule="auto"/>
              <w:ind w:left="209" w:right="-15" w:firstLine="0"/>
              <w:jc w:val="left"/>
              <w:rPr>
                <w:rFonts w:ascii="黑体" w:eastAsia="黑体"/>
                <w:sz w:val="21"/>
              </w:rPr>
            </w:pPr>
            <w:r>
              <w:rPr>
                <w:rFonts w:hint="eastAsia" w:ascii="黑体" w:eastAsia="黑体"/>
                <w:b/>
                <w:color w:val="000000"/>
                <w:spacing w:val="-2"/>
                <w:sz w:val="21"/>
                <w:shd w:val="clear" w:color="auto" w:fill="D9D9D9"/>
              </w:rPr>
              <w:t>遗传性疾病</w:t>
            </w:r>
            <w:r>
              <w:rPr>
                <w:rFonts w:ascii="黑体" w:eastAsia="黑体"/>
                <w:color w:val="000000"/>
                <w:spacing w:val="-2"/>
                <w:sz w:val="21"/>
                <w:shd w:val="clear" w:color="auto" w:fill="D9D9D9"/>
              </w:rPr>
              <w:t>（</w:t>
            </w:r>
            <w:r>
              <w:rPr>
                <w:rFonts w:ascii="黑体" w:eastAsia="黑体"/>
                <w:color w:val="000000"/>
                <w:spacing w:val="-24"/>
                <w:sz w:val="21"/>
                <w:shd w:val="clear" w:color="auto" w:fill="D9D9D9"/>
              </w:rPr>
              <w:t xml:space="preserve">见 </w:t>
            </w:r>
            <w:r>
              <w:rPr>
                <w:rFonts w:ascii="黑体" w:eastAsia="黑体"/>
                <w:color w:val="000000"/>
                <w:spacing w:val="17"/>
                <w:sz w:val="21"/>
                <w:shd w:val="clear" w:color="auto" w:fill="D9D9D9"/>
              </w:rPr>
              <w:t>10</w:t>
            </w:r>
            <w:r>
              <w:rPr>
                <w:rFonts w:ascii="黑体" w:eastAsia="黑体"/>
                <w:color w:val="000000"/>
                <w:spacing w:val="14"/>
                <w:sz w:val="21"/>
                <w:shd w:val="clear" w:color="auto" w:fill="D9D9D9"/>
              </w:rPr>
              <w:t>.1</w:t>
            </w:r>
            <w:r>
              <w:rPr>
                <w:rFonts w:ascii="黑体" w:eastAsia="黑体"/>
                <w:color w:val="000000"/>
                <w:spacing w:val="17"/>
                <w:sz w:val="21"/>
                <w:shd w:val="clear" w:color="auto" w:fill="D9D9D9"/>
              </w:rPr>
              <w:t>9</w:t>
            </w:r>
            <w:r>
              <w:rPr>
                <w:rFonts w:ascii="黑体" w:eastAsia="黑体"/>
                <w:color w:val="000000"/>
                <w:spacing w:val="-89"/>
                <w:sz w:val="21"/>
                <w:shd w:val="clear" w:color="auto" w:fill="D9D9D9"/>
              </w:rPr>
              <w:t>）</w:t>
            </w:r>
            <w:r>
              <w:rPr>
                <w:rFonts w:ascii="黑体" w:eastAsia="黑体"/>
                <w:color w:val="000000"/>
                <w:spacing w:val="-10"/>
                <w:sz w:val="21"/>
                <w:shd w:val="clear" w:color="auto" w:fill="D9D9D9"/>
              </w:rPr>
              <w:t>，</w:t>
            </w:r>
            <w:r>
              <w:rPr>
                <w:rFonts w:hint="eastAsia" w:ascii="黑体" w:eastAsia="黑体"/>
                <w:b/>
                <w:color w:val="000000"/>
                <w:spacing w:val="-2"/>
                <w:sz w:val="21"/>
                <w:shd w:val="clear" w:color="auto" w:fill="D9D9D9"/>
              </w:rPr>
              <w:t>先天性畸形、变形或染色体异常</w:t>
            </w:r>
            <w:r>
              <w:rPr>
                <w:rFonts w:ascii="黑体" w:eastAsia="黑体"/>
                <w:color w:val="000000"/>
                <w:spacing w:val="-2"/>
                <w:sz w:val="21"/>
                <w:shd w:val="clear" w:color="auto" w:fill="D9D9D9"/>
              </w:rPr>
              <w:t xml:space="preserve">（见 </w:t>
            </w:r>
            <w:r>
              <w:rPr>
                <w:rFonts w:ascii="黑体" w:eastAsia="黑体"/>
                <w:color w:val="000000"/>
                <w:spacing w:val="11"/>
                <w:sz w:val="21"/>
                <w:shd w:val="clear" w:color="auto" w:fill="D9D9D9"/>
              </w:rPr>
              <w:t>1</w:t>
            </w:r>
            <w:r>
              <w:rPr>
                <w:rFonts w:ascii="黑体" w:eastAsia="黑体"/>
                <w:color w:val="000000"/>
                <w:spacing w:val="14"/>
                <w:sz w:val="21"/>
                <w:shd w:val="clear" w:color="auto" w:fill="D9D9D9"/>
              </w:rPr>
              <w:t>0</w:t>
            </w:r>
            <w:r>
              <w:rPr>
                <w:rFonts w:ascii="黑体" w:eastAsia="黑体"/>
                <w:color w:val="000000"/>
                <w:spacing w:val="13"/>
                <w:sz w:val="21"/>
                <w:shd w:val="clear" w:color="auto" w:fill="D9D9D9"/>
              </w:rPr>
              <w:t>.</w:t>
            </w:r>
            <w:r>
              <w:rPr>
                <w:rFonts w:ascii="黑体" w:eastAsia="黑体"/>
                <w:color w:val="000000"/>
                <w:spacing w:val="14"/>
                <w:sz w:val="21"/>
                <w:shd w:val="clear" w:color="auto" w:fill="D9D9D9"/>
              </w:rPr>
              <w:t>2</w:t>
            </w:r>
            <w:r>
              <w:rPr>
                <w:rFonts w:ascii="黑体" w:eastAsia="黑体"/>
                <w:color w:val="000000"/>
                <w:spacing w:val="11"/>
                <w:sz w:val="21"/>
                <w:shd w:val="clear" w:color="auto" w:fill="D9D9D9"/>
              </w:rPr>
              <w:t>0</w:t>
            </w:r>
            <w:r>
              <w:rPr>
                <w:rFonts w:ascii="黑体" w:eastAsia="黑体"/>
                <w:color w:val="000000"/>
                <w:spacing w:val="-92"/>
                <w:sz w:val="21"/>
                <w:shd w:val="clear" w:color="auto" w:fill="D9D9D9"/>
              </w:rPr>
              <w:t>）</w:t>
            </w:r>
            <w:r>
              <w:rPr>
                <w:rFonts w:ascii="黑体" w:eastAsia="黑体"/>
                <w:color w:val="000000"/>
                <w:spacing w:val="14"/>
                <w:sz w:val="21"/>
                <w:shd w:val="clear" w:color="auto" w:fill="D9D9D9"/>
              </w:rPr>
              <w:t>，</w:t>
            </w:r>
            <w:r>
              <w:rPr>
                <w:rFonts w:ascii="黑体" w:eastAsia="黑体"/>
                <w:color w:val="000000"/>
                <w:spacing w:val="13545"/>
                <w:sz w:val="21"/>
                <w:shd w:val="clear" w:color="auto" w:fill="D9D9D9"/>
              </w:rPr>
              <w:t xml:space="preserve"> </w:t>
            </w:r>
            <w:r>
              <w:rPr>
                <w:rFonts w:ascii="黑体" w:eastAsia="黑体"/>
                <w:color w:val="000000"/>
                <w:spacing w:val="-2"/>
                <w:sz w:val="21"/>
                <w:shd w:val="clear" w:color="auto" w:fill="D9D9D9"/>
              </w:rPr>
              <w:t>但本合同另有约定的除外。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0" w:hRule="atLeast"/>
        </w:trPr>
        <w:tc>
          <w:tcPr>
            <w:tcW w:w="745" w:type="dxa"/>
          </w:tcPr>
          <w:p>
            <w:pPr>
              <w:pStyle w:val="10"/>
              <w:spacing w:before="0"/>
              <w:ind w:left="0"/>
              <w:rPr>
                <w:rFonts w:ascii="Times New Roman"/>
                <w:sz w:val="20"/>
              </w:rPr>
            </w:pPr>
          </w:p>
        </w:tc>
        <w:tc>
          <w:tcPr>
            <w:tcW w:w="1972" w:type="dxa"/>
          </w:tcPr>
          <w:p>
            <w:pPr>
              <w:pStyle w:val="10"/>
              <w:spacing w:before="0"/>
              <w:ind w:left="0"/>
              <w:rPr>
                <w:rFonts w:ascii="Times New Roman"/>
                <w:sz w:val="20"/>
              </w:rPr>
            </w:pPr>
          </w:p>
        </w:tc>
        <w:tc>
          <w:tcPr>
            <w:tcW w:w="7243" w:type="dxa"/>
          </w:tcPr>
          <w:p>
            <w:pPr>
              <w:pStyle w:val="10"/>
              <w:spacing w:before="100" w:line="278" w:lineRule="auto"/>
              <w:ind w:left="209" w:right="108"/>
              <w:rPr>
                <w:rFonts w:ascii="黑体" w:eastAsia="黑体"/>
                <w:sz w:val="21"/>
              </w:rPr>
            </w:pPr>
            <w:r>
              <w:rPr>
                <w:rFonts w:ascii="黑体" w:eastAsia="黑体"/>
                <w:color w:val="000000"/>
                <w:spacing w:val="-2"/>
                <w:sz w:val="21"/>
                <w:shd w:val="clear" w:color="auto" w:fill="D9D9D9"/>
              </w:rPr>
              <w:t>发生上述第（1）项情形导致被保险人身故的，我们向被保险人的继承人退</w:t>
            </w:r>
            <w:r>
              <w:rPr>
                <w:rFonts w:ascii="黑体" w:eastAsia="黑体"/>
                <w:color w:val="000000"/>
                <w:spacing w:val="80"/>
                <w:w w:val="150"/>
                <w:sz w:val="21"/>
                <w:shd w:val="clear" w:color="auto" w:fill="D9D9D9"/>
              </w:rPr>
              <w:t xml:space="preserve">                                     </w:t>
            </w:r>
            <w:r>
              <w:rPr>
                <w:rFonts w:ascii="黑体" w:eastAsia="黑体"/>
                <w:color w:val="000000"/>
                <w:spacing w:val="-2"/>
                <w:sz w:val="21"/>
                <w:shd w:val="clear" w:color="auto" w:fill="D9D9D9"/>
              </w:rPr>
              <w:t>还本合同的现金价值，本合同终止。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92" w:hRule="atLeast"/>
        </w:trPr>
        <w:tc>
          <w:tcPr>
            <w:tcW w:w="745" w:type="dxa"/>
          </w:tcPr>
          <w:p>
            <w:pPr>
              <w:pStyle w:val="10"/>
              <w:spacing w:before="0"/>
              <w:ind w:left="0"/>
              <w:rPr>
                <w:rFonts w:ascii="Times New Roman"/>
                <w:sz w:val="20"/>
              </w:rPr>
            </w:pPr>
          </w:p>
        </w:tc>
        <w:tc>
          <w:tcPr>
            <w:tcW w:w="1972" w:type="dxa"/>
          </w:tcPr>
          <w:p>
            <w:pPr>
              <w:pStyle w:val="10"/>
              <w:spacing w:before="0"/>
              <w:ind w:left="0"/>
              <w:rPr>
                <w:rFonts w:ascii="Times New Roman"/>
                <w:sz w:val="20"/>
              </w:rPr>
            </w:pPr>
          </w:p>
        </w:tc>
        <w:tc>
          <w:tcPr>
            <w:tcW w:w="7243" w:type="dxa"/>
          </w:tcPr>
          <w:p>
            <w:pPr>
              <w:pStyle w:val="10"/>
              <w:spacing w:before="100"/>
              <w:ind w:left="209"/>
              <w:rPr>
                <w:rFonts w:ascii="黑体" w:eastAsia="黑体"/>
                <w:sz w:val="21"/>
              </w:rPr>
            </w:pPr>
            <w:r>
              <w:rPr>
                <w:rFonts w:ascii="黑体" w:eastAsia="黑体"/>
                <w:color w:val="000000"/>
                <w:sz w:val="21"/>
                <w:shd w:val="clear" w:color="auto" w:fill="D9D9D9"/>
              </w:rPr>
              <w:t>发生上述第（1）</w:t>
            </w:r>
            <w:r>
              <w:rPr>
                <w:rFonts w:ascii="黑体" w:eastAsia="黑体"/>
                <w:color w:val="000000"/>
                <w:spacing w:val="-1"/>
                <w:sz w:val="21"/>
                <w:shd w:val="clear" w:color="auto" w:fill="D9D9D9"/>
              </w:rPr>
              <w:t>项情形导致被保险人发生本合同所指重度疾病、轻度疾病</w:t>
            </w:r>
          </w:p>
          <w:p>
            <w:pPr>
              <w:pStyle w:val="10"/>
              <w:spacing w:before="43" w:line="278" w:lineRule="auto"/>
              <w:ind w:left="209" w:right="98"/>
              <w:rPr>
                <w:rFonts w:ascii="黑体" w:eastAsia="黑体"/>
                <w:sz w:val="21"/>
              </w:rPr>
            </w:pPr>
            <w:r>
              <w:rPr>
                <w:rFonts w:ascii="黑体" w:eastAsia="黑体"/>
                <w:color w:val="000000"/>
                <w:spacing w:val="-2"/>
                <w:sz w:val="21"/>
                <w:shd w:val="clear" w:color="auto" w:fill="D9D9D9"/>
              </w:rPr>
              <w:t>（无论一种或多种）的，我们向被保险人退还本合同的现金价值，本合同终</w:t>
            </w:r>
            <w:r>
              <w:rPr>
                <w:rFonts w:ascii="黑体" w:eastAsia="黑体"/>
                <w:color w:val="000000"/>
                <w:spacing w:val="-6"/>
                <w:sz w:val="21"/>
                <w:shd w:val="clear" w:color="auto" w:fill="D9D9D9"/>
              </w:rPr>
              <w:t>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69" w:hRule="atLeast"/>
        </w:trPr>
        <w:tc>
          <w:tcPr>
            <w:tcW w:w="745" w:type="dxa"/>
          </w:tcPr>
          <w:p>
            <w:pPr>
              <w:pStyle w:val="10"/>
              <w:spacing w:before="0"/>
              <w:ind w:left="0"/>
              <w:rPr>
                <w:rFonts w:ascii="Times New Roman"/>
                <w:sz w:val="20"/>
              </w:rPr>
            </w:pPr>
          </w:p>
        </w:tc>
        <w:tc>
          <w:tcPr>
            <w:tcW w:w="1972" w:type="dxa"/>
          </w:tcPr>
          <w:p>
            <w:pPr>
              <w:pStyle w:val="10"/>
              <w:spacing w:before="0"/>
              <w:ind w:left="0"/>
              <w:rPr>
                <w:rFonts w:ascii="Times New Roman"/>
                <w:sz w:val="20"/>
              </w:rPr>
            </w:pPr>
          </w:p>
        </w:tc>
        <w:tc>
          <w:tcPr>
            <w:tcW w:w="7243" w:type="dxa"/>
          </w:tcPr>
          <w:p>
            <w:pPr>
              <w:pStyle w:val="10"/>
              <w:spacing w:before="100" w:line="278" w:lineRule="auto"/>
              <w:ind w:left="209" w:right="99"/>
              <w:jc w:val="both"/>
              <w:rPr>
                <w:rFonts w:ascii="黑体" w:eastAsia="黑体"/>
                <w:sz w:val="21"/>
              </w:rPr>
            </w:pPr>
            <w:r>
              <w:rPr>
                <w:rFonts w:ascii="黑体" w:eastAsia="黑体"/>
                <w:color w:val="000000"/>
                <w:spacing w:val="-2"/>
                <w:sz w:val="21"/>
                <w:shd w:val="clear" w:color="auto" w:fill="D9D9D9"/>
              </w:rPr>
              <w:t>发生上述情形（2）-（9）导致被保险人身故、发生本合同所指重度疾病、</w:t>
            </w:r>
            <w:r>
              <w:rPr>
                <w:rFonts w:ascii="黑体" w:eastAsia="黑体"/>
                <w:color w:val="000000"/>
                <w:spacing w:val="40"/>
                <w:sz w:val="21"/>
                <w:shd w:val="clear" w:color="auto" w:fill="D9D9D9"/>
              </w:rPr>
              <w:t xml:space="preserve"> </w:t>
            </w:r>
            <w:r>
              <w:rPr>
                <w:rFonts w:ascii="黑体" w:eastAsia="黑体"/>
                <w:color w:val="000000"/>
                <w:spacing w:val="-2"/>
                <w:sz w:val="21"/>
                <w:shd w:val="clear" w:color="auto" w:fill="D9D9D9"/>
              </w:rPr>
              <w:t>轻度疾病（无论一种或多种）的，我们向您退还本合同的现金价值，本合同</w:t>
            </w:r>
            <w:r>
              <w:rPr>
                <w:rFonts w:ascii="黑体" w:eastAsia="黑体"/>
                <w:color w:val="000000"/>
                <w:spacing w:val="-4"/>
                <w:sz w:val="21"/>
                <w:shd w:val="clear" w:color="auto" w:fill="D9D9D9"/>
              </w:rPr>
              <w:t>终止。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656" w:hRule="atLeast"/>
        </w:trPr>
        <w:tc>
          <w:tcPr>
            <w:tcW w:w="745" w:type="dxa"/>
          </w:tcPr>
          <w:p>
            <w:pPr>
              <w:pStyle w:val="10"/>
              <w:spacing w:before="178"/>
              <w:rPr>
                <w:b/>
                <w:sz w:val="21"/>
              </w:rPr>
            </w:pPr>
            <w:r>
              <w:rPr>
                <w:b/>
                <w:spacing w:val="-5"/>
                <w:sz w:val="21"/>
              </w:rPr>
              <w:t>2.6</w:t>
            </w:r>
          </w:p>
        </w:tc>
        <w:tc>
          <w:tcPr>
            <w:tcW w:w="1972" w:type="dxa"/>
          </w:tcPr>
          <w:p>
            <w:pPr>
              <w:pStyle w:val="10"/>
              <w:spacing w:before="178"/>
              <w:ind w:left="321"/>
              <w:rPr>
                <w:b/>
                <w:sz w:val="21"/>
              </w:rPr>
            </w:pPr>
            <w:r>
              <w:rPr>
                <w:b/>
                <w:spacing w:val="-2"/>
                <w:sz w:val="21"/>
              </w:rPr>
              <w:t>其他免责条款</w:t>
            </w:r>
          </w:p>
        </w:tc>
        <w:tc>
          <w:tcPr>
            <w:tcW w:w="7243" w:type="dxa"/>
          </w:tcPr>
          <w:p>
            <w:pPr>
              <w:pStyle w:val="10"/>
              <w:spacing w:before="178" w:line="278" w:lineRule="auto"/>
              <w:ind w:left="209" w:right="99"/>
              <w:jc w:val="both"/>
              <w:rPr>
                <w:sz w:val="21"/>
              </w:rPr>
            </w:pPr>
            <w:r>
              <w:rPr>
                <w:spacing w:val="-28"/>
                <w:sz w:val="21"/>
              </w:rPr>
              <w:t>除“</w:t>
            </w:r>
            <w:r>
              <w:rPr>
                <w:spacing w:val="-2"/>
                <w:sz w:val="21"/>
              </w:rPr>
              <w:t>2.5</w:t>
            </w:r>
            <w:r>
              <w:rPr>
                <w:spacing w:val="-18"/>
                <w:sz w:val="21"/>
              </w:rPr>
              <w:t xml:space="preserve"> 责任免除”外，本合同中还有一些免除保险人责任的条款，详见“</w:t>
            </w:r>
            <w:r>
              <w:rPr>
                <w:spacing w:val="-2"/>
                <w:sz w:val="21"/>
              </w:rPr>
              <w:t>1.4</w:t>
            </w:r>
            <w:r>
              <w:rPr>
                <w:spacing w:val="-37"/>
                <w:sz w:val="21"/>
              </w:rPr>
              <w:t>犹豫期”、“</w:t>
            </w:r>
            <w:r>
              <w:rPr>
                <w:spacing w:val="-2"/>
                <w:sz w:val="21"/>
              </w:rPr>
              <w:t>2.4</w:t>
            </w:r>
            <w:r>
              <w:rPr>
                <w:spacing w:val="-36"/>
                <w:sz w:val="21"/>
              </w:rPr>
              <w:t xml:space="preserve"> 保险责任”、</w:t>
            </w:r>
            <w:r>
              <w:rPr>
                <w:spacing w:val="-2"/>
                <w:sz w:val="21"/>
              </w:rPr>
              <w:t>“3.2</w:t>
            </w:r>
            <w:r>
              <w:rPr>
                <w:spacing w:val="-18"/>
                <w:sz w:val="21"/>
              </w:rPr>
              <w:t xml:space="preserve"> 保险事故通知”、</w:t>
            </w:r>
            <w:r>
              <w:rPr>
                <w:spacing w:val="-2"/>
                <w:sz w:val="21"/>
              </w:rPr>
              <w:t>“6.1</w:t>
            </w:r>
            <w:r>
              <w:rPr>
                <w:spacing w:val="-22"/>
                <w:sz w:val="21"/>
              </w:rPr>
              <w:t xml:space="preserve"> 效力中止”、</w:t>
            </w:r>
            <w:r>
              <w:rPr>
                <w:spacing w:val="-2"/>
                <w:sz w:val="21"/>
              </w:rPr>
              <w:t>“8.1</w:t>
            </w:r>
            <w:r>
              <w:rPr>
                <w:w w:val="95"/>
                <w:sz w:val="21"/>
              </w:rPr>
              <w:t>明确</w:t>
            </w:r>
            <w:r>
              <w:rPr>
                <w:spacing w:val="-23"/>
                <w:w w:val="95"/>
                <w:sz w:val="21"/>
              </w:rPr>
              <w:t>说明与如实告知”、“</w:t>
            </w:r>
            <w:r>
              <w:rPr>
                <w:w w:val="95"/>
                <w:sz w:val="21"/>
              </w:rPr>
              <w:t>9.1</w:t>
            </w:r>
            <w:r>
              <w:rPr>
                <w:spacing w:val="35"/>
                <w:sz w:val="21"/>
              </w:rPr>
              <w:t xml:space="preserve"> </w:t>
            </w:r>
            <w:r>
              <w:rPr>
                <w:spacing w:val="-37"/>
                <w:w w:val="95"/>
                <w:sz w:val="21"/>
              </w:rPr>
              <w:t>年龄错误”、</w:t>
            </w:r>
            <w:r>
              <w:rPr>
                <w:w w:val="95"/>
                <w:sz w:val="21"/>
              </w:rPr>
              <w:t>“10</w:t>
            </w:r>
            <w:r>
              <w:rPr>
                <w:spacing w:val="29"/>
                <w:sz w:val="21"/>
              </w:rPr>
              <w:t xml:space="preserve"> </w:t>
            </w:r>
            <w:r>
              <w:rPr>
                <w:w w:val="95"/>
                <w:sz w:val="21"/>
              </w:rPr>
              <w:t>释义”及“附表一：重度疾病</w:t>
            </w:r>
            <w:r>
              <w:rPr>
                <w:spacing w:val="-3"/>
                <w:sz w:val="21"/>
              </w:rPr>
              <w:t>列表及定义”及“附表二：轻度疾病列表及定义”中背景突出显示的内容。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38" w:hRule="atLeast"/>
        </w:trPr>
        <w:tc>
          <w:tcPr>
            <w:tcW w:w="745" w:type="dxa"/>
            <w:tcBorders>
              <w:bottom w:val="single" w:color="000000" w:sz="8" w:space="0"/>
            </w:tcBorders>
          </w:tcPr>
          <w:p>
            <w:pPr>
              <w:pStyle w:val="10"/>
              <w:spacing w:before="240"/>
              <w:rPr>
                <w:rFonts w:ascii="Times New Roman" w:hAnsi="Times New Roman"/>
                <w:sz w:val="30"/>
              </w:rPr>
            </w:pPr>
            <w:r>
              <w:rPr>
                <w:spacing w:val="-310"/>
                <w:position w:val="-5"/>
                <w:sz w:val="45"/>
              </w:rPr>
              <w:t>●</w:t>
            </w:r>
            <w:r>
              <w:rPr>
                <w:rFonts w:ascii="Times New Roman" w:hAnsi="Times New Roman"/>
                <w:color w:val="FFFFFF"/>
                <w:spacing w:val="-5"/>
                <w:sz w:val="30"/>
              </w:rPr>
              <w:t>3</w:t>
            </w:r>
          </w:p>
        </w:tc>
        <w:tc>
          <w:tcPr>
            <w:tcW w:w="1972" w:type="dxa"/>
            <w:tcBorders>
              <w:bottom w:val="single" w:color="000000" w:sz="8" w:space="0"/>
            </w:tcBorders>
          </w:tcPr>
          <w:p>
            <w:pPr>
              <w:pStyle w:val="10"/>
              <w:spacing w:before="12"/>
              <w:ind w:left="0"/>
              <w:rPr>
                <w:rFonts w:ascii="黑体"/>
                <w:sz w:val="28"/>
              </w:rPr>
            </w:pPr>
          </w:p>
          <w:p>
            <w:pPr>
              <w:pStyle w:val="10"/>
              <w:spacing w:before="0"/>
              <w:ind w:left="321"/>
              <w:rPr>
                <w:b/>
                <w:sz w:val="24"/>
              </w:rPr>
            </w:pPr>
            <w:r>
              <w:rPr>
                <w:b/>
                <w:w w:val="95"/>
                <w:sz w:val="24"/>
              </w:rPr>
              <w:t>保险金的申</w:t>
            </w:r>
            <w:r>
              <w:rPr>
                <w:b/>
                <w:spacing w:val="-10"/>
                <w:w w:val="95"/>
                <w:sz w:val="24"/>
              </w:rPr>
              <w:t>请</w:t>
            </w:r>
          </w:p>
        </w:tc>
        <w:tc>
          <w:tcPr>
            <w:tcW w:w="7243" w:type="dxa"/>
            <w:tcBorders>
              <w:bottom w:val="single" w:color="000000" w:sz="8" w:space="0"/>
            </w:tcBorders>
          </w:tcPr>
          <w:p>
            <w:pPr>
              <w:pStyle w:val="10"/>
              <w:spacing w:before="0"/>
              <w:ind w:left="0"/>
              <w:rPr>
                <w:rFonts w:ascii="Times New Roman"/>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02" w:hRule="atLeast"/>
        </w:trPr>
        <w:tc>
          <w:tcPr>
            <w:tcW w:w="745" w:type="dxa"/>
            <w:tcBorders>
              <w:top w:val="single" w:color="000000" w:sz="8" w:space="0"/>
            </w:tcBorders>
          </w:tcPr>
          <w:p>
            <w:pPr>
              <w:pStyle w:val="10"/>
              <w:spacing w:before="1"/>
              <w:ind w:left="0"/>
              <w:rPr>
                <w:rFonts w:ascii="黑体"/>
                <w:sz w:val="26"/>
              </w:rPr>
            </w:pPr>
          </w:p>
          <w:p>
            <w:pPr>
              <w:pStyle w:val="10"/>
              <w:spacing w:before="0"/>
              <w:rPr>
                <w:b/>
                <w:sz w:val="21"/>
              </w:rPr>
            </w:pPr>
            <w:r>
              <w:rPr>
                <w:b/>
                <w:spacing w:val="-5"/>
                <w:sz w:val="21"/>
              </w:rPr>
              <w:t>3.1</w:t>
            </w:r>
          </w:p>
        </w:tc>
        <w:tc>
          <w:tcPr>
            <w:tcW w:w="1972" w:type="dxa"/>
            <w:tcBorders>
              <w:top w:val="single" w:color="000000" w:sz="8" w:space="0"/>
            </w:tcBorders>
          </w:tcPr>
          <w:p>
            <w:pPr>
              <w:pStyle w:val="10"/>
              <w:spacing w:before="1"/>
              <w:ind w:left="0"/>
              <w:rPr>
                <w:rFonts w:ascii="黑体"/>
                <w:sz w:val="26"/>
              </w:rPr>
            </w:pPr>
          </w:p>
          <w:p>
            <w:pPr>
              <w:pStyle w:val="10"/>
              <w:spacing w:before="0"/>
              <w:ind w:left="321"/>
              <w:rPr>
                <w:b/>
                <w:sz w:val="21"/>
              </w:rPr>
            </w:pPr>
            <w:r>
              <w:rPr>
                <w:b/>
                <w:spacing w:val="-4"/>
                <w:sz w:val="21"/>
              </w:rPr>
              <w:t>受益人</w:t>
            </w:r>
          </w:p>
        </w:tc>
        <w:tc>
          <w:tcPr>
            <w:tcW w:w="7243" w:type="dxa"/>
            <w:tcBorders>
              <w:top w:val="single" w:color="000000" w:sz="8" w:space="0"/>
            </w:tcBorders>
          </w:tcPr>
          <w:p>
            <w:pPr>
              <w:pStyle w:val="10"/>
              <w:spacing w:before="1"/>
              <w:ind w:left="0"/>
              <w:rPr>
                <w:rFonts w:ascii="黑体"/>
                <w:sz w:val="26"/>
              </w:rPr>
            </w:pPr>
          </w:p>
          <w:p>
            <w:pPr>
              <w:pStyle w:val="10"/>
              <w:spacing w:before="0"/>
              <w:ind w:left="209"/>
              <w:rPr>
                <w:sz w:val="21"/>
              </w:rPr>
            </w:pPr>
            <w:r>
              <w:rPr>
                <w:spacing w:val="-3"/>
                <w:sz w:val="21"/>
              </w:rPr>
              <w:t>您或者被保险人可以指定一人或多人为身故保险金受益人。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79" w:hRule="atLeast"/>
        </w:trPr>
        <w:tc>
          <w:tcPr>
            <w:tcW w:w="745" w:type="dxa"/>
          </w:tcPr>
          <w:p>
            <w:pPr>
              <w:pStyle w:val="10"/>
              <w:spacing w:before="0"/>
              <w:ind w:left="0"/>
              <w:rPr>
                <w:rFonts w:ascii="Times New Roman"/>
                <w:sz w:val="20"/>
              </w:rPr>
            </w:pPr>
          </w:p>
        </w:tc>
        <w:tc>
          <w:tcPr>
            <w:tcW w:w="1972" w:type="dxa"/>
          </w:tcPr>
          <w:p>
            <w:pPr>
              <w:pStyle w:val="10"/>
              <w:spacing w:before="0"/>
              <w:ind w:left="0"/>
              <w:rPr>
                <w:rFonts w:ascii="Times New Roman"/>
                <w:sz w:val="20"/>
              </w:rPr>
            </w:pPr>
          </w:p>
        </w:tc>
        <w:tc>
          <w:tcPr>
            <w:tcW w:w="7243" w:type="dxa"/>
          </w:tcPr>
          <w:p>
            <w:pPr>
              <w:pStyle w:val="10"/>
              <w:spacing w:before="100" w:line="278" w:lineRule="auto"/>
              <w:ind w:left="209" w:right="306"/>
              <w:rPr>
                <w:sz w:val="21"/>
              </w:rPr>
            </w:pPr>
            <w:r>
              <w:rPr>
                <w:spacing w:val="-2"/>
                <w:sz w:val="21"/>
              </w:rPr>
              <w:t>身故保险金受益人为多人时，您或者被保险人可以确定受益顺序和受益份</w:t>
            </w:r>
            <w:r>
              <w:rPr>
                <w:spacing w:val="-3"/>
                <w:sz w:val="21"/>
              </w:rPr>
              <w:t>额；如果没有确定份额，各身故保险金受益人按照相等份额享有受益权。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9" w:hRule="atLeast"/>
        </w:trPr>
        <w:tc>
          <w:tcPr>
            <w:tcW w:w="745" w:type="dxa"/>
          </w:tcPr>
          <w:p>
            <w:pPr>
              <w:pStyle w:val="10"/>
              <w:spacing w:before="0"/>
              <w:ind w:left="0"/>
              <w:rPr>
                <w:rFonts w:ascii="Times New Roman"/>
                <w:sz w:val="20"/>
              </w:rPr>
            </w:pPr>
          </w:p>
        </w:tc>
        <w:tc>
          <w:tcPr>
            <w:tcW w:w="1972" w:type="dxa"/>
          </w:tcPr>
          <w:p>
            <w:pPr>
              <w:pStyle w:val="10"/>
              <w:spacing w:before="0"/>
              <w:ind w:left="0"/>
              <w:rPr>
                <w:rFonts w:ascii="Times New Roman"/>
                <w:sz w:val="20"/>
              </w:rPr>
            </w:pPr>
          </w:p>
        </w:tc>
        <w:tc>
          <w:tcPr>
            <w:tcW w:w="7243" w:type="dxa"/>
          </w:tcPr>
          <w:p>
            <w:pPr>
              <w:pStyle w:val="10"/>
              <w:spacing w:before="100" w:line="220" w:lineRule="exact"/>
              <w:ind w:left="209"/>
              <w:rPr>
                <w:sz w:val="21"/>
              </w:rPr>
            </w:pPr>
            <w:r>
              <w:rPr>
                <w:spacing w:val="-3"/>
                <w:sz w:val="21"/>
              </w:rPr>
              <w:t>被保险人为无民事行为能力人或限制民事行为能力人的，可以由其监护人指</w:t>
            </w:r>
          </w:p>
        </w:tc>
      </w:tr>
    </w:tbl>
    <w:p>
      <w:pPr>
        <w:spacing w:after="0" w:line="220" w:lineRule="exact"/>
        <w:rPr>
          <w:sz w:val="21"/>
        </w:rPr>
        <w:sectPr>
          <w:pgSz w:w="11910" w:h="16840"/>
          <w:pgMar w:top="880" w:right="340" w:bottom="1680" w:left="800" w:header="0" w:footer="457" w:gutter="0"/>
          <w:cols w:space="720" w:num="1"/>
        </w:sectPr>
      </w:pPr>
    </w:p>
    <w:tbl>
      <w:tblPr>
        <w:tblStyle w:val="6"/>
        <w:tblW w:w="0" w:type="auto"/>
        <w:tblInd w:w="17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87"/>
        <w:gridCol w:w="2095"/>
        <w:gridCol w:w="70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9" w:hRule="atLeast"/>
        </w:trPr>
        <w:tc>
          <w:tcPr>
            <w:tcW w:w="687" w:type="dxa"/>
          </w:tcPr>
          <w:p>
            <w:pPr>
              <w:pStyle w:val="10"/>
              <w:spacing w:before="0"/>
              <w:ind w:left="0"/>
              <w:rPr>
                <w:rFonts w:ascii="Times New Roman"/>
                <w:sz w:val="20"/>
              </w:rPr>
            </w:pPr>
          </w:p>
        </w:tc>
        <w:tc>
          <w:tcPr>
            <w:tcW w:w="2095" w:type="dxa"/>
          </w:tcPr>
          <w:p>
            <w:pPr>
              <w:pStyle w:val="10"/>
              <w:spacing w:before="0"/>
              <w:ind w:left="0"/>
              <w:rPr>
                <w:rFonts w:ascii="Times New Roman"/>
                <w:sz w:val="20"/>
              </w:rPr>
            </w:pPr>
          </w:p>
        </w:tc>
        <w:tc>
          <w:tcPr>
            <w:tcW w:w="7070" w:type="dxa"/>
          </w:tcPr>
          <w:p>
            <w:pPr>
              <w:pStyle w:val="10"/>
              <w:spacing w:before="0" w:line="241" w:lineRule="exact"/>
              <w:ind w:left="86"/>
              <w:rPr>
                <w:sz w:val="21"/>
              </w:rPr>
            </w:pPr>
            <w:r>
              <w:rPr>
                <w:spacing w:val="-3"/>
                <w:sz w:val="21"/>
              </w:rPr>
              <w:t>定身故保险金受益人。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0" w:hRule="atLeast"/>
        </w:trPr>
        <w:tc>
          <w:tcPr>
            <w:tcW w:w="687" w:type="dxa"/>
          </w:tcPr>
          <w:p>
            <w:pPr>
              <w:pStyle w:val="10"/>
              <w:spacing w:before="0"/>
              <w:ind w:left="0"/>
              <w:rPr>
                <w:rFonts w:ascii="Times New Roman"/>
                <w:sz w:val="20"/>
              </w:rPr>
            </w:pPr>
          </w:p>
        </w:tc>
        <w:tc>
          <w:tcPr>
            <w:tcW w:w="2095" w:type="dxa"/>
          </w:tcPr>
          <w:p>
            <w:pPr>
              <w:pStyle w:val="10"/>
              <w:spacing w:before="0"/>
              <w:ind w:left="0"/>
              <w:rPr>
                <w:rFonts w:ascii="Times New Roman"/>
                <w:sz w:val="20"/>
              </w:rPr>
            </w:pPr>
          </w:p>
        </w:tc>
        <w:tc>
          <w:tcPr>
            <w:tcW w:w="7070" w:type="dxa"/>
          </w:tcPr>
          <w:p>
            <w:pPr>
              <w:pStyle w:val="10"/>
              <w:spacing w:before="100" w:line="278" w:lineRule="auto"/>
              <w:ind w:left="86" w:right="48"/>
              <w:rPr>
                <w:sz w:val="21"/>
              </w:rPr>
            </w:pPr>
            <w:r>
              <w:rPr>
                <w:spacing w:val="-2"/>
                <w:sz w:val="21"/>
              </w:rPr>
              <w:t>您或者被保险人可以变更身故保险金受益人并书面通知我们。经我们审核通过后，在保险单或其他保险凭证上批注或附贴批单。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7" w:hRule="atLeast"/>
        </w:trPr>
        <w:tc>
          <w:tcPr>
            <w:tcW w:w="687" w:type="dxa"/>
          </w:tcPr>
          <w:p>
            <w:pPr>
              <w:pStyle w:val="10"/>
              <w:spacing w:before="0"/>
              <w:ind w:left="0"/>
              <w:rPr>
                <w:rFonts w:ascii="Times New Roman"/>
                <w:sz w:val="20"/>
              </w:rPr>
            </w:pPr>
          </w:p>
        </w:tc>
        <w:tc>
          <w:tcPr>
            <w:tcW w:w="2095" w:type="dxa"/>
          </w:tcPr>
          <w:p>
            <w:pPr>
              <w:pStyle w:val="10"/>
              <w:spacing w:before="0"/>
              <w:ind w:left="0"/>
              <w:rPr>
                <w:rFonts w:ascii="Times New Roman"/>
                <w:sz w:val="20"/>
              </w:rPr>
            </w:pPr>
          </w:p>
        </w:tc>
        <w:tc>
          <w:tcPr>
            <w:tcW w:w="7070" w:type="dxa"/>
          </w:tcPr>
          <w:p>
            <w:pPr>
              <w:pStyle w:val="10"/>
              <w:spacing w:before="100"/>
              <w:ind w:left="86"/>
              <w:rPr>
                <w:sz w:val="21"/>
              </w:rPr>
            </w:pPr>
            <w:r>
              <w:rPr>
                <w:spacing w:val="-3"/>
                <w:sz w:val="21"/>
              </w:rPr>
              <w:t>您在指定和变更身故保险金受益人时，必须经过被保险人同意。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715" w:hRule="atLeast"/>
        </w:trPr>
        <w:tc>
          <w:tcPr>
            <w:tcW w:w="687" w:type="dxa"/>
          </w:tcPr>
          <w:p>
            <w:pPr>
              <w:pStyle w:val="10"/>
              <w:spacing w:before="0"/>
              <w:ind w:left="0"/>
              <w:rPr>
                <w:rFonts w:ascii="Times New Roman"/>
                <w:sz w:val="20"/>
              </w:rPr>
            </w:pPr>
          </w:p>
        </w:tc>
        <w:tc>
          <w:tcPr>
            <w:tcW w:w="2095" w:type="dxa"/>
          </w:tcPr>
          <w:p>
            <w:pPr>
              <w:pStyle w:val="10"/>
              <w:spacing w:before="0"/>
              <w:ind w:left="0"/>
              <w:rPr>
                <w:rFonts w:ascii="Times New Roman"/>
                <w:sz w:val="20"/>
              </w:rPr>
            </w:pPr>
          </w:p>
        </w:tc>
        <w:tc>
          <w:tcPr>
            <w:tcW w:w="7070" w:type="dxa"/>
          </w:tcPr>
          <w:p>
            <w:pPr>
              <w:pStyle w:val="10"/>
              <w:spacing w:before="100" w:line="278" w:lineRule="auto"/>
              <w:ind w:left="86" w:right="51"/>
              <w:rPr>
                <w:sz w:val="21"/>
              </w:rPr>
            </w:pPr>
            <w:r>
              <w:rPr>
                <w:spacing w:val="-2"/>
                <w:sz w:val="21"/>
              </w:rPr>
              <w:t>被保险人身故后，有下列情形之一的，保险金作为被保险人的遗产，由我们依照《中华人民共和国民法典》的规定履行给付保险金的义务：</w:t>
            </w:r>
          </w:p>
          <w:p>
            <w:pPr>
              <w:pStyle w:val="10"/>
              <w:numPr>
                <w:ilvl w:val="0"/>
                <w:numId w:val="14"/>
              </w:numPr>
              <w:tabs>
                <w:tab w:val="left" w:pos="616"/>
              </w:tabs>
              <w:spacing w:before="0" w:after="0" w:line="269" w:lineRule="exact"/>
              <w:ind w:left="615" w:right="0" w:hanging="530"/>
              <w:jc w:val="left"/>
              <w:rPr>
                <w:sz w:val="21"/>
              </w:rPr>
            </w:pPr>
            <w:r>
              <w:rPr>
                <w:spacing w:val="-3"/>
                <w:sz w:val="21"/>
              </w:rPr>
              <w:t>没有指定受益人，或者受益人指定不明无法确定的；</w:t>
            </w:r>
          </w:p>
          <w:p>
            <w:pPr>
              <w:pStyle w:val="10"/>
              <w:numPr>
                <w:ilvl w:val="0"/>
                <w:numId w:val="14"/>
              </w:numPr>
              <w:tabs>
                <w:tab w:val="left" w:pos="616"/>
              </w:tabs>
              <w:spacing w:before="43" w:after="0" w:line="240" w:lineRule="auto"/>
              <w:ind w:left="615" w:right="0" w:hanging="530"/>
              <w:jc w:val="left"/>
              <w:rPr>
                <w:sz w:val="21"/>
              </w:rPr>
            </w:pPr>
            <w:r>
              <w:rPr>
                <w:spacing w:val="-3"/>
                <w:sz w:val="21"/>
              </w:rPr>
              <w:t>受益人先于被保险人身故，没有其他受益人的；</w:t>
            </w:r>
          </w:p>
          <w:p>
            <w:pPr>
              <w:pStyle w:val="10"/>
              <w:numPr>
                <w:ilvl w:val="0"/>
                <w:numId w:val="14"/>
              </w:numPr>
              <w:tabs>
                <w:tab w:val="left" w:pos="616"/>
              </w:tabs>
              <w:spacing w:before="42" w:after="0" w:line="240" w:lineRule="auto"/>
              <w:ind w:left="615" w:right="0" w:hanging="530"/>
              <w:jc w:val="left"/>
              <w:rPr>
                <w:sz w:val="21"/>
              </w:rPr>
            </w:pPr>
            <w:r>
              <w:rPr>
                <w:spacing w:val="-3"/>
                <w:sz w:val="21"/>
              </w:rPr>
              <w:t>受益人依法丧失受益权或者放弃受益权，没有其他受益人的。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0" w:hRule="atLeast"/>
        </w:trPr>
        <w:tc>
          <w:tcPr>
            <w:tcW w:w="687" w:type="dxa"/>
          </w:tcPr>
          <w:p>
            <w:pPr>
              <w:pStyle w:val="10"/>
              <w:spacing w:before="0"/>
              <w:ind w:left="0"/>
              <w:rPr>
                <w:rFonts w:ascii="Times New Roman"/>
                <w:sz w:val="20"/>
              </w:rPr>
            </w:pPr>
          </w:p>
        </w:tc>
        <w:tc>
          <w:tcPr>
            <w:tcW w:w="2095" w:type="dxa"/>
          </w:tcPr>
          <w:p>
            <w:pPr>
              <w:pStyle w:val="10"/>
              <w:spacing w:before="0"/>
              <w:ind w:left="0"/>
              <w:rPr>
                <w:rFonts w:ascii="Times New Roman"/>
                <w:sz w:val="20"/>
              </w:rPr>
            </w:pPr>
          </w:p>
        </w:tc>
        <w:tc>
          <w:tcPr>
            <w:tcW w:w="7070" w:type="dxa"/>
          </w:tcPr>
          <w:p>
            <w:pPr>
              <w:pStyle w:val="10"/>
              <w:spacing w:before="100" w:line="278" w:lineRule="auto"/>
              <w:ind w:left="86" w:right="49"/>
              <w:rPr>
                <w:sz w:val="21"/>
              </w:rPr>
            </w:pPr>
            <w:r>
              <w:rPr>
                <w:spacing w:val="-2"/>
                <w:sz w:val="21"/>
              </w:rPr>
              <w:t>受益人与被保险人在同一事件中身故，且不能确定身故先后顺序的，推定受益人身故在先。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0" w:hRule="atLeast"/>
        </w:trPr>
        <w:tc>
          <w:tcPr>
            <w:tcW w:w="687" w:type="dxa"/>
          </w:tcPr>
          <w:p>
            <w:pPr>
              <w:pStyle w:val="10"/>
              <w:spacing w:before="0"/>
              <w:ind w:left="0"/>
              <w:rPr>
                <w:rFonts w:ascii="Times New Roman"/>
                <w:sz w:val="20"/>
              </w:rPr>
            </w:pPr>
          </w:p>
        </w:tc>
        <w:tc>
          <w:tcPr>
            <w:tcW w:w="2095" w:type="dxa"/>
          </w:tcPr>
          <w:p>
            <w:pPr>
              <w:pStyle w:val="10"/>
              <w:spacing w:before="0"/>
              <w:ind w:left="0"/>
              <w:rPr>
                <w:rFonts w:ascii="Times New Roman"/>
                <w:sz w:val="20"/>
              </w:rPr>
            </w:pPr>
          </w:p>
        </w:tc>
        <w:tc>
          <w:tcPr>
            <w:tcW w:w="7070" w:type="dxa"/>
          </w:tcPr>
          <w:p>
            <w:pPr>
              <w:pStyle w:val="10"/>
              <w:spacing w:before="100" w:line="278" w:lineRule="auto"/>
              <w:ind w:left="86" w:right="49"/>
              <w:rPr>
                <w:rFonts w:ascii="黑体" w:eastAsia="黑体"/>
                <w:sz w:val="21"/>
              </w:rPr>
            </w:pPr>
            <w:r>
              <w:rPr>
                <w:rFonts w:ascii="黑体" w:eastAsia="黑体"/>
                <w:spacing w:val="-2"/>
                <w:sz w:val="21"/>
              </w:rPr>
              <w:t>受益人故意造成被保险人身故、伤残、疾病的，或者故意杀害被保险人未遂的，该受益人丧失受益权。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36" w:hRule="atLeast"/>
        </w:trPr>
        <w:tc>
          <w:tcPr>
            <w:tcW w:w="687" w:type="dxa"/>
          </w:tcPr>
          <w:p>
            <w:pPr>
              <w:pStyle w:val="10"/>
              <w:spacing w:before="0"/>
              <w:ind w:left="0"/>
              <w:rPr>
                <w:rFonts w:ascii="Times New Roman"/>
                <w:sz w:val="20"/>
              </w:rPr>
            </w:pPr>
          </w:p>
        </w:tc>
        <w:tc>
          <w:tcPr>
            <w:tcW w:w="2095" w:type="dxa"/>
          </w:tcPr>
          <w:p>
            <w:pPr>
              <w:pStyle w:val="10"/>
              <w:spacing w:before="0"/>
              <w:ind w:left="0"/>
              <w:rPr>
                <w:rFonts w:ascii="Times New Roman"/>
                <w:sz w:val="20"/>
              </w:rPr>
            </w:pPr>
          </w:p>
        </w:tc>
        <w:tc>
          <w:tcPr>
            <w:tcW w:w="7070" w:type="dxa"/>
          </w:tcPr>
          <w:p>
            <w:pPr>
              <w:pStyle w:val="10"/>
              <w:spacing w:before="100" w:line="278" w:lineRule="auto"/>
              <w:ind w:left="86" w:right="51"/>
              <w:rPr>
                <w:sz w:val="21"/>
              </w:rPr>
            </w:pPr>
            <w:r>
              <w:rPr>
                <w:spacing w:val="-13"/>
                <w:sz w:val="21"/>
              </w:rPr>
              <w:t>除另有约定外，本合同的“重度疾病保险金”、“轻度疾病保险金”的受益人</w:t>
            </w:r>
            <w:r>
              <w:rPr>
                <w:spacing w:val="-2"/>
                <w:sz w:val="21"/>
              </w:rPr>
              <w:t>为被保险人本人。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3" w:hRule="atLeast"/>
        </w:trPr>
        <w:tc>
          <w:tcPr>
            <w:tcW w:w="687" w:type="dxa"/>
          </w:tcPr>
          <w:p>
            <w:pPr>
              <w:pStyle w:val="10"/>
              <w:spacing w:before="12"/>
              <w:ind w:left="0"/>
              <w:rPr>
                <w:rFonts w:ascii="黑体"/>
                <w:sz w:val="19"/>
              </w:rPr>
            </w:pPr>
          </w:p>
          <w:p>
            <w:pPr>
              <w:pStyle w:val="10"/>
              <w:spacing w:before="0"/>
              <w:ind w:left="50"/>
              <w:rPr>
                <w:b/>
                <w:sz w:val="21"/>
              </w:rPr>
            </w:pPr>
            <w:r>
              <w:rPr>
                <w:b/>
                <w:spacing w:val="-5"/>
                <w:sz w:val="21"/>
              </w:rPr>
              <w:t>3.2</w:t>
            </w:r>
          </w:p>
        </w:tc>
        <w:tc>
          <w:tcPr>
            <w:tcW w:w="2095" w:type="dxa"/>
          </w:tcPr>
          <w:p>
            <w:pPr>
              <w:pStyle w:val="10"/>
              <w:spacing w:before="12"/>
              <w:ind w:left="0"/>
              <w:rPr>
                <w:rFonts w:ascii="黑体"/>
                <w:sz w:val="19"/>
              </w:rPr>
            </w:pPr>
          </w:p>
          <w:p>
            <w:pPr>
              <w:pStyle w:val="10"/>
              <w:spacing w:before="0"/>
              <w:ind w:left="321"/>
              <w:rPr>
                <w:b/>
                <w:sz w:val="21"/>
              </w:rPr>
            </w:pPr>
            <w:r>
              <w:rPr>
                <w:b/>
                <w:spacing w:val="-2"/>
                <w:sz w:val="21"/>
              </w:rPr>
              <w:t>保险事故通知</w:t>
            </w:r>
          </w:p>
        </w:tc>
        <w:tc>
          <w:tcPr>
            <w:tcW w:w="7070" w:type="dxa"/>
          </w:tcPr>
          <w:p>
            <w:pPr>
              <w:pStyle w:val="10"/>
              <w:spacing w:before="12"/>
              <w:ind w:left="0"/>
              <w:rPr>
                <w:rFonts w:ascii="黑体"/>
                <w:sz w:val="19"/>
              </w:rPr>
            </w:pPr>
          </w:p>
          <w:p>
            <w:pPr>
              <w:pStyle w:val="10"/>
              <w:spacing w:before="0"/>
              <w:ind w:left="86"/>
              <w:rPr>
                <w:sz w:val="21"/>
              </w:rPr>
            </w:pPr>
            <w:r>
              <w:rPr>
                <w:spacing w:val="-4"/>
                <w:sz w:val="21"/>
              </w:rPr>
              <w:t xml:space="preserve">请您、被保险人或受益人在知道保险事故发生之日起 </w:t>
            </w:r>
            <w:r>
              <w:rPr>
                <w:spacing w:val="-2"/>
                <w:sz w:val="21"/>
              </w:rPr>
              <w:t>10</w:t>
            </w:r>
            <w:r>
              <w:rPr>
                <w:spacing w:val="-10"/>
                <w:sz w:val="21"/>
              </w:rPr>
              <w:t xml:space="preserve"> 日内通知我们。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794" w:hRule="atLeast"/>
        </w:trPr>
        <w:tc>
          <w:tcPr>
            <w:tcW w:w="687" w:type="dxa"/>
          </w:tcPr>
          <w:p>
            <w:pPr>
              <w:pStyle w:val="10"/>
              <w:spacing w:before="0"/>
              <w:ind w:left="0"/>
              <w:rPr>
                <w:rFonts w:ascii="Times New Roman"/>
                <w:sz w:val="20"/>
              </w:rPr>
            </w:pPr>
          </w:p>
        </w:tc>
        <w:tc>
          <w:tcPr>
            <w:tcW w:w="2095" w:type="dxa"/>
          </w:tcPr>
          <w:p>
            <w:pPr>
              <w:pStyle w:val="10"/>
              <w:spacing w:before="0"/>
              <w:ind w:left="0"/>
              <w:rPr>
                <w:rFonts w:ascii="Times New Roman"/>
                <w:sz w:val="20"/>
              </w:rPr>
            </w:pPr>
          </w:p>
        </w:tc>
        <w:tc>
          <w:tcPr>
            <w:tcW w:w="7070" w:type="dxa"/>
          </w:tcPr>
          <w:p>
            <w:pPr>
              <w:pStyle w:val="10"/>
              <w:spacing w:before="100" w:line="278" w:lineRule="auto"/>
              <w:ind w:left="86" w:right="49"/>
              <w:rPr>
                <w:sz w:val="21"/>
              </w:rPr>
            </w:pPr>
            <w:r>
              <w:rPr>
                <w:rFonts w:ascii="黑体" w:eastAsia="黑体"/>
                <w:color w:val="000000"/>
                <w:spacing w:val="-2"/>
                <w:sz w:val="21"/>
                <w:shd w:val="clear" w:color="auto" w:fill="D9D9D9"/>
              </w:rPr>
              <w:t>如果您、被保险人或受益人故意或者因重大过失未及时通知我们，致使保险</w:t>
            </w:r>
            <w:r>
              <w:rPr>
                <w:rFonts w:ascii="黑体" w:eastAsia="黑体"/>
                <w:color w:val="000000"/>
                <w:spacing w:val="80"/>
                <w:w w:val="150"/>
                <w:sz w:val="21"/>
                <w:shd w:val="clear" w:color="auto" w:fill="D9D9D9"/>
              </w:rPr>
              <w:t xml:space="preserve">                                     </w:t>
            </w:r>
            <w:r>
              <w:rPr>
                <w:rFonts w:ascii="黑体" w:eastAsia="黑体"/>
                <w:color w:val="000000"/>
                <w:spacing w:val="-2"/>
                <w:sz w:val="21"/>
                <w:shd w:val="clear" w:color="auto" w:fill="D9D9D9"/>
              </w:rPr>
              <w:t>事故的性质、原因、损失程度等难以确定的，我们对无法确定的部分，不承担给付保险金的责任，</w:t>
            </w:r>
            <w:r>
              <w:rPr>
                <w:color w:val="000000"/>
                <w:spacing w:val="-2"/>
                <w:sz w:val="21"/>
              </w:rPr>
              <w:t>但我们通过其他途径已经及时知道或者应当及时知道保险事故发生或者您虽未及时通知但不影响我们确定保险事故的性质、原因、损失程度的除外。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3" w:hRule="atLeast"/>
        </w:trPr>
        <w:tc>
          <w:tcPr>
            <w:tcW w:w="687" w:type="dxa"/>
          </w:tcPr>
          <w:p>
            <w:pPr>
              <w:pStyle w:val="10"/>
              <w:spacing w:before="178"/>
              <w:ind w:left="50"/>
              <w:rPr>
                <w:b/>
                <w:sz w:val="21"/>
              </w:rPr>
            </w:pPr>
            <w:r>
              <w:rPr>
                <w:b/>
                <w:spacing w:val="-5"/>
                <w:sz w:val="21"/>
              </w:rPr>
              <w:t>3.3</w:t>
            </w:r>
          </w:p>
        </w:tc>
        <w:tc>
          <w:tcPr>
            <w:tcW w:w="2095" w:type="dxa"/>
          </w:tcPr>
          <w:p>
            <w:pPr>
              <w:pStyle w:val="10"/>
              <w:spacing w:before="178"/>
              <w:ind w:left="321"/>
              <w:rPr>
                <w:b/>
                <w:sz w:val="21"/>
              </w:rPr>
            </w:pPr>
            <w:r>
              <w:rPr>
                <w:b/>
                <w:spacing w:val="-2"/>
                <w:sz w:val="21"/>
              </w:rPr>
              <w:t>保险金申请</w:t>
            </w:r>
          </w:p>
        </w:tc>
        <w:tc>
          <w:tcPr>
            <w:tcW w:w="7070" w:type="dxa"/>
          </w:tcPr>
          <w:p>
            <w:pPr>
              <w:pStyle w:val="10"/>
              <w:spacing w:before="178"/>
              <w:ind w:left="86"/>
              <w:rPr>
                <w:sz w:val="21"/>
              </w:rPr>
            </w:pPr>
            <w:r>
              <w:rPr>
                <w:spacing w:val="-3"/>
                <w:sz w:val="21"/>
              </w:rPr>
              <w:t>在申请保险金时，请按照下列方式办理：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106" w:hRule="atLeast"/>
        </w:trPr>
        <w:tc>
          <w:tcPr>
            <w:tcW w:w="687" w:type="dxa"/>
          </w:tcPr>
          <w:p>
            <w:pPr>
              <w:pStyle w:val="10"/>
              <w:spacing w:before="0"/>
              <w:ind w:left="0"/>
              <w:rPr>
                <w:rFonts w:ascii="Times New Roman"/>
                <w:sz w:val="20"/>
              </w:rPr>
            </w:pPr>
          </w:p>
        </w:tc>
        <w:tc>
          <w:tcPr>
            <w:tcW w:w="2095" w:type="dxa"/>
          </w:tcPr>
          <w:p>
            <w:pPr>
              <w:pStyle w:val="10"/>
              <w:spacing w:before="178"/>
              <w:ind w:left="321"/>
              <w:rPr>
                <w:b/>
                <w:sz w:val="21"/>
              </w:rPr>
            </w:pPr>
            <w:r>
              <w:rPr>
                <w:b/>
                <w:spacing w:val="-2"/>
                <w:sz w:val="21"/>
              </w:rPr>
              <w:t>身故保险金申请</w:t>
            </w:r>
          </w:p>
        </w:tc>
        <w:tc>
          <w:tcPr>
            <w:tcW w:w="7070" w:type="dxa"/>
          </w:tcPr>
          <w:p>
            <w:pPr>
              <w:pStyle w:val="10"/>
              <w:spacing w:before="178"/>
              <w:ind w:left="86"/>
              <w:rPr>
                <w:sz w:val="21"/>
              </w:rPr>
            </w:pPr>
            <w:r>
              <w:rPr>
                <w:spacing w:val="-3"/>
                <w:sz w:val="21"/>
              </w:rPr>
              <w:t>由“身故保险金”受益人填写保险金给付申请书，并提供下列证明和资料：</w:t>
            </w:r>
          </w:p>
          <w:p>
            <w:pPr>
              <w:pStyle w:val="10"/>
              <w:numPr>
                <w:ilvl w:val="0"/>
                <w:numId w:val="15"/>
              </w:numPr>
              <w:tabs>
                <w:tab w:val="left" w:pos="616"/>
              </w:tabs>
              <w:spacing w:before="43" w:after="0" w:line="240" w:lineRule="auto"/>
              <w:ind w:left="615" w:right="0" w:hanging="530"/>
              <w:jc w:val="left"/>
              <w:rPr>
                <w:sz w:val="21"/>
              </w:rPr>
            </w:pPr>
            <w:r>
              <w:rPr>
                <w:spacing w:val="-4"/>
                <w:sz w:val="21"/>
              </w:rPr>
              <w:t>本合同；</w:t>
            </w:r>
          </w:p>
          <w:p>
            <w:pPr>
              <w:pStyle w:val="10"/>
              <w:numPr>
                <w:ilvl w:val="0"/>
                <w:numId w:val="15"/>
              </w:numPr>
              <w:tabs>
                <w:tab w:val="left" w:pos="616"/>
              </w:tabs>
              <w:spacing w:before="42" w:after="0" w:line="240" w:lineRule="auto"/>
              <w:ind w:left="615" w:right="0" w:hanging="530"/>
              <w:jc w:val="left"/>
              <w:rPr>
                <w:sz w:val="21"/>
              </w:rPr>
            </w:pPr>
            <w:r>
              <w:rPr>
                <w:spacing w:val="-3"/>
                <w:sz w:val="21"/>
              </w:rPr>
              <w:t>受益人的有效身份证件；</w:t>
            </w:r>
          </w:p>
          <w:p>
            <w:pPr>
              <w:pStyle w:val="10"/>
              <w:numPr>
                <w:ilvl w:val="0"/>
                <w:numId w:val="15"/>
              </w:numPr>
              <w:tabs>
                <w:tab w:val="left" w:pos="616"/>
              </w:tabs>
              <w:spacing w:before="43" w:after="0" w:line="278" w:lineRule="auto"/>
              <w:ind w:left="86" w:right="152" w:firstLine="0"/>
              <w:jc w:val="left"/>
              <w:rPr>
                <w:sz w:val="21"/>
              </w:rPr>
            </w:pPr>
            <w:r>
              <w:rPr>
                <w:spacing w:val="-2"/>
                <w:sz w:val="21"/>
              </w:rPr>
              <w:t>国家卫生行政部门认定的医疗机构、公安部门或其他相关机构出具的被保险人的死亡证明；</w:t>
            </w:r>
          </w:p>
          <w:p>
            <w:pPr>
              <w:pStyle w:val="10"/>
              <w:numPr>
                <w:ilvl w:val="0"/>
                <w:numId w:val="15"/>
              </w:numPr>
              <w:tabs>
                <w:tab w:val="left" w:pos="616"/>
              </w:tabs>
              <w:spacing w:before="0" w:after="0" w:line="269" w:lineRule="exact"/>
              <w:ind w:left="615" w:right="0" w:hanging="530"/>
              <w:jc w:val="left"/>
              <w:rPr>
                <w:sz w:val="21"/>
              </w:rPr>
            </w:pPr>
            <w:r>
              <w:rPr>
                <w:spacing w:val="-3"/>
                <w:sz w:val="21"/>
              </w:rPr>
              <w:t>所能提供的与确认保险事故的性质、原因等有关的其他证明和资料。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46" w:hRule="atLeast"/>
        </w:trPr>
        <w:tc>
          <w:tcPr>
            <w:tcW w:w="687" w:type="dxa"/>
          </w:tcPr>
          <w:p>
            <w:pPr>
              <w:pStyle w:val="10"/>
              <w:spacing w:before="0"/>
              <w:ind w:left="0"/>
              <w:rPr>
                <w:rFonts w:ascii="Times New Roman"/>
                <w:sz w:val="20"/>
              </w:rPr>
            </w:pPr>
          </w:p>
        </w:tc>
        <w:tc>
          <w:tcPr>
            <w:tcW w:w="2095" w:type="dxa"/>
          </w:tcPr>
          <w:p>
            <w:pPr>
              <w:pStyle w:val="10"/>
              <w:spacing w:before="0"/>
              <w:ind w:left="0"/>
              <w:rPr>
                <w:rFonts w:ascii="Times New Roman"/>
                <w:sz w:val="20"/>
              </w:rPr>
            </w:pPr>
          </w:p>
        </w:tc>
        <w:tc>
          <w:tcPr>
            <w:tcW w:w="7070" w:type="dxa"/>
          </w:tcPr>
          <w:p>
            <w:pPr>
              <w:pStyle w:val="10"/>
              <w:spacing w:before="100"/>
              <w:ind w:left="86"/>
              <w:rPr>
                <w:sz w:val="21"/>
              </w:rPr>
            </w:pPr>
            <w:r>
              <w:rPr>
                <w:spacing w:val="-3"/>
                <w:sz w:val="21"/>
              </w:rPr>
              <w:t>保险金作为被保险人遗产时，必须提供可证明合法继承权的相关权利文件。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8" w:hRule="atLeast"/>
        </w:trPr>
        <w:tc>
          <w:tcPr>
            <w:tcW w:w="687" w:type="dxa"/>
          </w:tcPr>
          <w:p>
            <w:pPr>
              <w:pStyle w:val="10"/>
              <w:spacing w:before="0"/>
              <w:ind w:left="0"/>
              <w:rPr>
                <w:rFonts w:ascii="Times New Roman"/>
                <w:sz w:val="20"/>
              </w:rPr>
            </w:pPr>
          </w:p>
        </w:tc>
        <w:tc>
          <w:tcPr>
            <w:tcW w:w="2095" w:type="dxa"/>
          </w:tcPr>
          <w:p>
            <w:pPr>
              <w:pStyle w:val="10"/>
              <w:spacing w:before="178"/>
              <w:ind w:left="321"/>
              <w:rPr>
                <w:b/>
                <w:sz w:val="21"/>
              </w:rPr>
            </w:pPr>
            <w:r>
              <w:rPr>
                <w:b/>
                <w:spacing w:val="-4"/>
                <w:sz w:val="21"/>
              </w:rPr>
              <w:t>重度疾病保险金、</w:t>
            </w:r>
          </w:p>
        </w:tc>
        <w:tc>
          <w:tcPr>
            <w:tcW w:w="7070" w:type="dxa"/>
          </w:tcPr>
          <w:p>
            <w:pPr>
              <w:pStyle w:val="10"/>
              <w:spacing w:before="178"/>
              <w:ind w:left="86"/>
              <w:rPr>
                <w:sz w:val="21"/>
              </w:rPr>
            </w:pPr>
            <w:r>
              <w:rPr>
                <w:spacing w:val="-17"/>
                <w:sz w:val="21"/>
              </w:rPr>
              <w:t>由“重度疾病保险金”、“轻度疾病保险金”受益人填写保险金给付申请书，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87" w:type="dxa"/>
          </w:tcPr>
          <w:p>
            <w:pPr>
              <w:pStyle w:val="10"/>
              <w:spacing w:before="0"/>
              <w:ind w:left="0"/>
              <w:rPr>
                <w:rFonts w:ascii="Times New Roman"/>
                <w:sz w:val="20"/>
              </w:rPr>
            </w:pPr>
          </w:p>
        </w:tc>
        <w:tc>
          <w:tcPr>
            <w:tcW w:w="2095" w:type="dxa"/>
          </w:tcPr>
          <w:p>
            <w:pPr>
              <w:pStyle w:val="10"/>
              <w:spacing w:before="22"/>
              <w:ind w:left="321"/>
              <w:rPr>
                <w:b/>
                <w:sz w:val="21"/>
              </w:rPr>
            </w:pPr>
            <w:r>
              <w:rPr>
                <w:b/>
                <w:spacing w:val="-4"/>
                <w:sz w:val="21"/>
              </w:rPr>
              <w:t>轻度疾病保险金</w:t>
            </w:r>
          </w:p>
        </w:tc>
        <w:tc>
          <w:tcPr>
            <w:tcW w:w="7070" w:type="dxa"/>
          </w:tcPr>
          <w:p>
            <w:pPr>
              <w:pStyle w:val="10"/>
              <w:spacing w:before="22"/>
              <w:ind w:left="86"/>
              <w:rPr>
                <w:sz w:val="21"/>
              </w:rPr>
            </w:pPr>
            <w:r>
              <w:rPr>
                <w:spacing w:val="-3"/>
                <w:sz w:val="21"/>
              </w:rPr>
              <w:t>并提供下列证明和资料：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687" w:type="dxa"/>
          </w:tcPr>
          <w:p>
            <w:pPr>
              <w:pStyle w:val="10"/>
              <w:spacing w:before="0"/>
              <w:ind w:left="0"/>
              <w:rPr>
                <w:rFonts w:ascii="Times New Roman"/>
                <w:sz w:val="20"/>
              </w:rPr>
            </w:pPr>
          </w:p>
        </w:tc>
        <w:tc>
          <w:tcPr>
            <w:tcW w:w="2095" w:type="dxa"/>
          </w:tcPr>
          <w:p>
            <w:pPr>
              <w:pStyle w:val="10"/>
              <w:spacing w:before="22"/>
              <w:ind w:left="321"/>
              <w:rPr>
                <w:b/>
                <w:sz w:val="21"/>
              </w:rPr>
            </w:pPr>
            <w:r>
              <w:rPr>
                <w:b/>
                <w:spacing w:val="-5"/>
                <w:sz w:val="21"/>
              </w:rPr>
              <w:t>申请</w:t>
            </w:r>
          </w:p>
        </w:tc>
        <w:tc>
          <w:tcPr>
            <w:tcW w:w="7070" w:type="dxa"/>
          </w:tcPr>
          <w:p>
            <w:pPr>
              <w:pStyle w:val="10"/>
              <w:spacing w:before="22"/>
              <w:ind w:left="86"/>
              <w:rPr>
                <w:sz w:val="21"/>
              </w:rPr>
            </w:pPr>
            <w:r>
              <w:rPr>
                <w:spacing w:val="-2"/>
                <w:sz w:val="21"/>
              </w:rPr>
              <w:t>（1）</w:t>
            </w:r>
            <w:r>
              <w:rPr>
                <w:spacing w:val="-5"/>
                <w:sz w:val="21"/>
              </w:rPr>
              <w:t>本合同；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87" w:type="dxa"/>
          </w:tcPr>
          <w:p>
            <w:pPr>
              <w:pStyle w:val="10"/>
              <w:spacing w:before="0"/>
              <w:ind w:left="0"/>
              <w:rPr>
                <w:rFonts w:ascii="Times New Roman"/>
                <w:sz w:val="20"/>
              </w:rPr>
            </w:pPr>
          </w:p>
        </w:tc>
        <w:tc>
          <w:tcPr>
            <w:tcW w:w="2095" w:type="dxa"/>
          </w:tcPr>
          <w:p>
            <w:pPr>
              <w:pStyle w:val="10"/>
              <w:spacing w:before="0"/>
              <w:ind w:left="0"/>
              <w:rPr>
                <w:rFonts w:ascii="Times New Roman"/>
                <w:sz w:val="20"/>
              </w:rPr>
            </w:pPr>
          </w:p>
        </w:tc>
        <w:tc>
          <w:tcPr>
            <w:tcW w:w="7070" w:type="dxa"/>
          </w:tcPr>
          <w:p>
            <w:pPr>
              <w:pStyle w:val="10"/>
              <w:spacing w:before="22"/>
              <w:ind w:left="86"/>
              <w:rPr>
                <w:sz w:val="21"/>
              </w:rPr>
            </w:pPr>
            <w:r>
              <w:rPr>
                <w:spacing w:val="-2"/>
                <w:sz w:val="21"/>
              </w:rPr>
              <w:t>（2）</w:t>
            </w:r>
            <w:r>
              <w:rPr>
                <w:spacing w:val="-3"/>
                <w:sz w:val="21"/>
              </w:rPr>
              <w:t>受益人的有效身份证件；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687" w:type="dxa"/>
          </w:tcPr>
          <w:p>
            <w:pPr>
              <w:pStyle w:val="10"/>
              <w:spacing w:before="0"/>
              <w:ind w:left="0"/>
              <w:rPr>
                <w:rFonts w:ascii="Times New Roman"/>
                <w:sz w:val="20"/>
              </w:rPr>
            </w:pPr>
          </w:p>
        </w:tc>
        <w:tc>
          <w:tcPr>
            <w:tcW w:w="2095" w:type="dxa"/>
          </w:tcPr>
          <w:p>
            <w:pPr>
              <w:pStyle w:val="10"/>
              <w:spacing w:before="0"/>
              <w:ind w:left="0"/>
              <w:rPr>
                <w:rFonts w:ascii="Times New Roman"/>
                <w:sz w:val="20"/>
              </w:rPr>
            </w:pPr>
          </w:p>
        </w:tc>
        <w:tc>
          <w:tcPr>
            <w:tcW w:w="7070" w:type="dxa"/>
          </w:tcPr>
          <w:p>
            <w:pPr>
              <w:pStyle w:val="10"/>
              <w:spacing w:before="22"/>
              <w:ind w:left="86"/>
              <w:rPr>
                <w:sz w:val="21"/>
              </w:rPr>
            </w:pPr>
            <w:r>
              <w:rPr>
                <w:spacing w:val="-2"/>
                <w:sz w:val="21"/>
              </w:rPr>
              <w:t>（3）</w:t>
            </w:r>
            <w:r>
              <w:rPr>
                <w:spacing w:val="-3"/>
                <w:sz w:val="21"/>
              </w:rPr>
              <w:t>由医院专科医生出具的被保险人的疾病诊断证明书，以及由医院出具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87" w:type="dxa"/>
          </w:tcPr>
          <w:p>
            <w:pPr>
              <w:pStyle w:val="10"/>
              <w:spacing w:before="0"/>
              <w:ind w:left="0"/>
              <w:rPr>
                <w:rFonts w:ascii="Times New Roman"/>
                <w:sz w:val="20"/>
              </w:rPr>
            </w:pPr>
          </w:p>
        </w:tc>
        <w:tc>
          <w:tcPr>
            <w:tcW w:w="2095" w:type="dxa"/>
          </w:tcPr>
          <w:p>
            <w:pPr>
              <w:pStyle w:val="10"/>
              <w:spacing w:before="0"/>
              <w:ind w:left="0"/>
              <w:rPr>
                <w:rFonts w:ascii="Times New Roman"/>
                <w:sz w:val="20"/>
              </w:rPr>
            </w:pPr>
          </w:p>
        </w:tc>
        <w:tc>
          <w:tcPr>
            <w:tcW w:w="7070" w:type="dxa"/>
          </w:tcPr>
          <w:p>
            <w:pPr>
              <w:pStyle w:val="10"/>
              <w:spacing w:before="22"/>
              <w:ind w:left="86"/>
              <w:rPr>
                <w:sz w:val="21"/>
              </w:rPr>
            </w:pPr>
            <w:r>
              <w:rPr>
                <w:spacing w:val="-3"/>
                <w:sz w:val="21"/>
              </w:rPr>
              <w:t>的与该疾病诊断证明书相关的病理显微镜检查、血液检验及其他科学方法检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687" w:type="dxa"/>
          </w:tcPr>
          <w:p>
            <w:pPr>
              <w:pStyle w:val="10"/>
              <w:spacing w:before="0"/>
              <w:ind w:left="0"/>
              <w:rPr>
                <w:rFonts w:ascii="Times New Roman"/>
                <w:sz w:val="20"/>
              </w:rPr>
            </w:pPr>
          </w:p>
        </w:tc>
        <w:tc>
          <w:tcPr>
            <w:tcW w:w="2095" w:type="dxa"/>
          </w:tcPr>
          <w:p>
            <w:pPr>
              <w:pStyle w:val="10"/>
              <w:spacing w:before="0"/>
              <w:ind w:left="0"/>
              <w:rPr>
                <w:rFonts w:ascii="Times New Roman"/>
                <w:sz w:val="20"/>
              </w:rPr>
            </w:pPr>
          </w:p>
        </w:tc>
        <w:tc>
          <w:tcPr>
            <w:tcW w:w="7070" w:type="dxa"/>
          </w:tcPr>
          <w:p>
            <w:pPr>
              <w:pStyle w:val="10"/>
              <w:spacing w:before="22"/>
              <w:ind w:left="86"/>
              <w:rPr>
                <w:sz w:val="21"/>
              </w:rPr>
            </w:pPr>
            <w:r>
              <w:rPr>
                <w:spacing w:val="-4"/>
                <w:sz w:val="21"/>
              </w:rPr>
              <w:t>验报告；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687" w:type="dxa"/>
          </w:tcPr>
          <w:p>
            <w:pPr>
              <w:pStyle w:val="10"/>
              <w:spacing w:before="0"/>
              <w:ind w:left="0"/>
              <w:rPr>
                <w:rFonts w:ascii="Times New Roman"/>
                <w:sz w:val="20"/>
              </w:rPr>
            </w:pPr>
          </w:p>
        </w:tc>
        <w:tc>
          <w:tcPr>
            <w:tcW w:w="2095" w:type="dxa"/>
          </w:tcPr>
          <w:p>
            <w:pPr>
              <w:pStyle w:val="10"/>
              <w:spacing w:before="0"/>
              <w:ind w:left="0"/>
              <w:rPr>
                <w:rFonts w:ascii="Times New Roman"/>
                <w:sz w:val="20"/>
              </w:rPr>
            </w:pPr>
          </w:p>
        </w:tc>
        <w:tc>
          <w:tcPr>
            <w:tcW w:w="7070" w:type="dxa"/>
          </w:tcPr>
          <w:p>
            <w:pPr>
              <w:pStyle w:val="10"/>
              <w:spacing w:before="22"/>
              <w:ind w:left="86"/>
              <w:rPr>
                <w:sz w:val="21"/>
              </w:rPr>
            </w:pPr>
            <w:r>
              <w:rPr>
                <w:spacing w:val="-2"/>
                <w:sz w:val="21"/>
              </w:rPr>
              <w:t>（4）</w:t>
            </w:r>
            <w:r>
              <w:rPr>
                <w:spacing w:val="-3"/>
                <w:sz w:val="21"/>
              </w:rPr>
              <w:t>所能提供的与确认保险事故的性质、原因、伤害程度等有关的其他证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687" w:type="dxa"/>
          </w:tcPr>
          <w:p>
            <w:pPr>
              <w:pStyle w:val="10"/>
              <w:spacing w:before="0"/>
              <w:ind w:left="0"/>
              <w:rPr>
                <w:rFonts w:ascii="Times New Roman"/>
                <w:sz w:val="18"/>
              </w:rPr>
            </w:pPr>
          </w:p>
        </w:tc>
        <w:tc>
          <w:tcPr>
            <w:tcW w:w="2095" w:type="dxa"/>
          </w:tcPr>
          <w:p>
            <w:pPr>
              <w:pStyle w:val="10"/>
              <w:spacing w:before="0"/>
              <w:ind w:left="0"/>
              <w:rPr>
                <w:rFonts w:ascii="Times New Roman"/>
                <w:sz w:val="18"/>
              </w:rPr>
            </w:pPr>
          </w:p>
        </w:tc>
        <w:tc>
          <w:tcPr>
            <w:tcW w:w="7070" w:type="dxa"/>
          </w:tcPr>
          <w:p>
            <w:pPr>
              <w:pStyle w:val="10"/>
              <w:spacing w:before="22" w:line="220" w:lineRule="exact"/>
              <w:ind w:left="86"/>
              <w:rPr>
                <w:sz w:val="21"/>
              </w:rPr>
            </w:pPr>
            <w:r>
              <w:rPr>
                <w:spacing w:val="-4"/>
                <w:sz w:val="21"/>
              </w:rPr>
              <w:t>明和资料。</w:t>
            </w:r>
          </w:p>
        </w:tc>
      </w:tr>
    </w:tbl>
    <w:p>
      <w:pPr>
        <w:pStyle w:val="4"/>
        <w:spacing w:before="48" w:line="278" w:lineRule="auto"/>
        <w:ind w:left="3038" w:right="793"/>
        <w:jc w:val="both"/>
      </w:pPr>
      <w:bookmarkStart w:id="0" w:name="_GoBack"/>
      <w:bookmarkEnd w:id="0"/>
      <w:r>
        <w:rPr>
          <w:w w:val="95"/>
        </w:rPr>
        <w:t>以上证明和资料不完整的，我们将在收到材料后</w:t>
      </w:r>
      <w:r>
        <w:rPr>
          <w:spacing w:val="32"/>
        </w:rPr>
        <w:t xml:space="preserve"> </w:t>
      </w:r>
      <w:r>
        <w:rPr>
          <w:w w:val="95"/>
        </w:rPr>
        <w:t>2</w:t>
      </w:r>
      <w:r>
        <w:rPr>
          <w:spacing w:val="32"/>
        </w:rPr>
        <w:t xml:space="preserve"> </w:t>
      </w:r>
      <w:r>
        <w:rPr>
          <w:w w:val="95"/>
        </w:rPr>
        <w:t>个工作日内一次性通知受</w:t>
      </w:r>
      <w:r>
        <w:rPr>
          <w:spacing w:val="-2"/>
        </w:rPr>
        <w:t>益人补充提供有关证明和资料。</w:t>
      </w:r>
    </w:p>
    <w:p>
      <w:pPr>
        <w:pStyle w:val="4"/>
        <w:spacing w:before="5"/>
        <w:rPr>
          <w:sz w:val="24"/>
        </w:rPr>
      </w:pPr>
    </w:p>
    <w:p>
      <w:pPr>
        <w:pStyle w:val="9"/>
        <w:numPr>
          <w:ilvl w:val="1"/>
          <w:numId w:val="16"/>
        </w:numPr>
        <w:tabs>
          <w:tab w:val="left" w:pos="1179"/>
        </w:tabs>
        <w:spacing w:before="0" w:after="0" w:line="278" w:lineRule="auto"/>
        <w:ind w:left="3038" w:right="793" w:hanging="2818"/>
        <w:jc w:val="both"/>
        <w:rPr>
          <w:sz w:val="21"/>
        </w:rPr>
      </w:pPr>
      <w:r>
        <w:rPr>
          <w:b/>
          <w:spacing w:val="102"/>
          <w:sz w:val="21"/>
        </w:rPr>
        <w:t xml:space="preserve">保险金给付 </w:t>
      </w:r>
      <w:r>
        <w:rPr>
          <w:spacing w:val="-1"/>
          <w:sz w:val="21"/>
        </w:rPr>
        <w:t xml:space="preserve">我们在收到保险金给付申请书及本合同约定的证明和资料后，将在 </w:t>
      </w:r>
      <w:r>
        <w:rPr>
          <w:sz w:val="21"/>
        </w:rPr>
        <w:t>5</w:t>
      </w:r>
      <w:r>
        <w:rPr>
          <w:spacing w:val="-7"/>
          <w:sz w:val="21"/>
        </w:rPr>
        <w:t xml:space="preserve"> 日内作</w:t>
      </w:r>
      <w:r>
        <w:rPr>
          <w:spacing w:val="-2"/>
          <w:sz w:val="21"/>
        </w:rPr>
        <w:t xml:space="preserve">出核定；情形复杂的，在 </w:t>
      </w:r>
      <w:r>
        <w:rPr>
          <w:sz w:val="21"/>
        </w:rPr>
        <w:t>30</w:t>
      </w:r>
      <w:r>
        <w:rPr>
          <w:spacing w:val="-4"/>
          <w:sz w:val="21"/>
        </w:rPr>
        <w:t xml:space="preserve"> 日内作出核定。对属于保险责任的，我们在与</w:t>
      </w:r>
      <w:r>
        <w:rPr>
          <w:spacing w:val="-2"/>
          <w:sz w:val="21"/>
        </w:rPr>
        <w:t xml:space="preserve">受益人达成给付保险金的协议后 </w:t>
      </w:r>
      <w:r>
        <w:rPr>
          <w:sz w:val="21"/>
        </w:rPr>
        <w:t>10</w:t>
      </w:r>
      <w:r>
        <w:rPr>
          <w:spacing w:val="-5"/>
          <w:sz w:val="21"/>
        </w:rPr>
        <w:t xml:space="preserve"> 日内，履行给付保险金义务。</w:t>
      </w:r>
    </w:p>
    <w:p>
      <w:pPr>
        <w:pStyle w:val="4"/>
        <w:spacing w:before="155" w:line="278" w:lineRule="auto"/>
        <w:ind w:left="3038" w:right="793"/>
        <w:jc w:val="both"/>
      </w:pPr>
      <w:r>
        <w:rPr>
          <w:spacing w:val="-4"/>
        </w:rPr>
        <w:t xml:space="preserve">对不属于保险责任的，我们自作出核定之日起 </w:t>
      </w:r>
      <w:r>
        <w:rPr>
          <w:spacing w:val="-2"/>
        </w:rPr>
        <w:t>3</w:t>
      </w:r>
      <w:r>
        <w:rPr>
          <w:spacing w:val="-7"/>
        </w:rPr>
        <w:t xml:space="preserve"> 日内向受益人发出拒绝给付</w:t>
      </w:r>
      <w:r>
        <w:rPr>
          <w:spacing w:val="-2"/>
        </w:rPr>
        <w:t>保险金通知书并说明理由。</w:t>
      </w:r>
    </w:p>
    <w:p>
      <w:pPr>
        <w:pStyle w:val="4"/>
        <w:spacing w:before="156" w:line="278" w:lineRule="auto"/>
        <w:ind w:left="3038" w:right="793"/>
        <w:jc w:val="both"/>
      </w:pPr>
      <w:r>
        <w:rPr>
          <w:spacing w:val="-1"/>
        </w:rPr>
        <w:t xml:space="preserve">我们在收到保险金给付申请书及有关证明和资料之日起 </w:t>
      </w:r>
      <w:r>
        <w:t>60</w:t>
      </w:r>
      <w:r>
        <w:rPr>
          <w:spacing w:val="-4"/>
        </w:rPr>
        <w:t xml:space="preserve"> 日内，对给付保</w:t>
      </w:r>
      <w:r>
        <w:rPr>
          <w:spacing w:val="-2"/>
        </w:rPr>
        <w:t>险金的数额不能确定的，根据已有证明和资料可以确定的数额先予支付；我们最终确定给付保险金的数额后，将支付相应的差额。</w:t>
      </w:r>
    </w:p>
    <w:p>
      <w:pPr>
        <w:pStyle w:val="4"/>
        <w:spacing w:before="5"/>
        <w:rPr>
          <w:sz w:val="24"/>
        </w:rPr>
      </w:pPr>
    </w:p>
    <w:p>
      <w:pPr>
        <w:pStyle w:val="9"/>
        <w:numPr>
          <w:ilvl w:val="1"/>
          <w:numId w:val="16"/>
        </w:numPr>
        <w:tabs>
          <w:tab w:val="left" w:pos="1179"/>
        </w:tabs>
        <w:spacing w:before="0" w:after="0" w:line="278" w:lineRule="auto"/>
        <w:ind w:left="3038" w:right="794" w:hanging="2818"/>
        <w:jc w:val="both"/>
        <w:rPr>
          <w:sz w:val="21"/>
        </w:rPr>
      </w:pPr>
      <w:r>
        <w:rPr>
          <w:b/>
          <w:sz w:val="21"/>
        </w:rPr>
        <w:t>失踪处理</w:t>
      </w:r>
      <w:r>
        <w:rPr>
          <w:b/>
          <w:spacing w:val="877"/>
          <w:sz w:val="21"/>
        </w:rPr>
        <w:t xml:space="preserve"> </w:t>
      </w:r>
      <w:r>
        <w:rPr>
          <w:sz w:val="21"/>
        </w:rPr>
        <w:t>在本合同保险期间内被保险人失踪，且经人民法院宣告被保险人死亡后，我</w:t>
      </w:r>
      <w:r>
        <w:rPr>
          <w:spacing w:val="-2"/>
          <w:sz w:val="21"/>
        </w:rPr>
        <w:t>们根据法院宣告死亡判决依法确定被保险人死亡日期，按照本合同的约定给付身故保险金，本合同终止。</w:t>
      </w:r>
    </w:p>
    <w:p>
      <w:pPr>
        <w:pStyle w:val="4"/>
        <w:spacing w:before="156" w:line="278" w:lineRule="auto"/>
        <w:ind w:left="3038" w:right="793"/>
        <w:jc w:val="both"/>
      </w:pPr>
      <w:r>
        <w:rPr>
          <w:spacing w:val="-2"/>
        </w:rPr>
        <w:t>如果被保险人在宣告死亡后重新出现或者确知其没有死亡，受益人或者其他</w:t>
      </w:r>
      <w:r>
        <w:rPr>
          <w:spacing w:val="-1"/>
        </w:rPr>
        <w:t xml:space="preserve">领取保险金的人应于被保险人重新出现或确知其没有死亡之日起 </w:t>
      </w:r>
      <w:r>
        <w:t>30</w:t>
      </w:r>
      <w:r>
        <w:rPr>
          <w:spacing w:val="-5"/>
        </w:rPr>
        <w:t xml:space="preserve"> 日内向</w:t>
      </w:r>
      <w:r>
        <w:rPr>
          <w:spacing w:val="-2"/>
        </w:rPr>
        <w:t>我们无息退还已给付的保险金，本合同的效力依法确定。</w:t>
      </w:r>
    </w:p>
    <w:p>
      <w:pPr>
        <w:pStyle w:val="4"/>
        <w:spacing w:before="4"/>
        <w:rPr>
          <w:sz w:val="24"/>
        </w:rPr>
      </w:pPr>
    </w:p>
    <w:p>
      <w:pPr>
        <w:pStyle w:val="9"/>
        <w:numPr>
          <w:ilvl w:val="1"/>
          <w:numId w:val="16"/>
        </w:numPr>
        <w:tabs>
          <w:tab w:val="left" w:pos="1179"/>
        </w:tabs>
        <w:spacing w:before="0" w:after="0" w:line="278" w:lineRule="auto"/>
        <w:ind w:left="3038" w:right="793" w:hanging="2818"/>
        <w:jc w:val="both"/>
        <w:rPr>
          <w:sz w:val="21"/>
        </w:rPr>
      </w:pPr>
      <w:r>
        <w:rPr>
          <w:b/>
          <w:sz w:val="21"/>
        </w:rPr>
        <w:t>诉讼时效</w:t>
      </w:r>
      <w:r>
        <w:rPr>
          <w:b/>
          <w:spacing w:val="826"/>
          <w:sz w:val="21"/>
        </w:rPr>
        <w:t xml:space="preserve"> </w:t>
      </w:r>
      <w:r>
        <w:rPr>
          <w:spacing w:val="-2"/>
          <w:sz w:val="21"/>
        </w:rPr>
        <w:t xml:space="preserve">受益人向我们请求给付保险金的诉讼时效期间为 </w:t>
      </w:r>
      <w:r>
        <w:rPr>
          <w:sz w:val="21"/>
        </w:rPr>
        <w:t>2</w:t>
      </w:r>
      <w:r>
        <w:rPr>
          <w:spacing w:val="-5"/>
          <w:sz w:val="21"/>
        </w:rPr>
        <w:t xml:space="preserve"> 年，自其知道或者应当知</w:t>
      </w:r>
      <w:r>
        <w:rPr>
          <w:spacing w:val="-2"/>
          <w:sz w:val="21"/>
        </w:rPr>
        <w:t>道保险事故发生之日起计算。</w:t>
      </w:r>
    </w:p>
    <w:p>
      <w:pPr>
        <w:pStyle w:val="4"/>
        <w:spacing w:before="7"/>
      </w:pPr>
    </w:p>
    <w:p>
      <w:pPr>
        <w:tabs>
          <w:tab w:val="left" w:pos="1177"/>
        </w:tabs>
        <w:spacing w:before="38"/>
        <w:ind w:left="220" w:right="0" w:firstLine="0"/>
        <w:jc w:val="left"/>
        <w:rPr>
          <w:b/>
          <w:sz w:val="24"/>
        </w:rPr>
      </w:pPr>
      <w:r>
        <w:drawing>
          <wp:anchor distT="0" distB="0" distL="0" distR="0" simplePos="0" relativeHeight="251659264" behindDoc="0" locked="0" layoutInCell="1" allowOverlap="1">
            <wp:simplePos x="0" y="0"/>
            <wp:positionH relativeFrom="page">
              <wp:posOffset>578485</wp:posOffset>
            </wp:positionH>
            <wp:positionV relativeFrom="paragraph">
              <wp:posOffset>403860</wp:posOffset>
            </wp:positionV>
            <wp:extent cx="6374765" cy="12065"/>
            <wp:effectExtent l="0" t="0" r="0" b="0"/>
            <wp:wrapTopAndBottom/>
            <wp:docPr id="1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3.png"/>
                    <pic:cNvPicPr>
                      <a:picLocks noChangeAspect="1"/>
                    </pic:cNvPicPr>
                  </pic:nvPicPr>
                  <pic:blipFill>
                    <a:blip r:embed="rId9" cstate="print"/>
                    <a:stretch>
                      <a:fillRect/>
                    </a:stretch>
                  </pic:blipFill>
                  <pic:spPr>
                    <a:xfrm>
                      <a:off x="0" y="0"/>
                      <a:ext cx="6375030" cy="12287"/>
                    </a:xfrm>
                    <a:prstGeom prst="rect">
                      <a:avLst/>
                    </a:prstGeom>
                  </pic:spPr>
                </pic:pic>
              </a:graphicData>
            </a:graphic>
          </wp:anchor>
        </w:drawing>
      </w:r>
      <w:r>
        <w:rPr>
          <w:spacing w:val="-310"/>
          <w:position w:val="-5"/>
          <w:sz w:val="45"/>
        </w:rPr>
        <w:t>●</w:t>
      </w:r>
      <w:r>
        <w:rPr>
          <w:rFonts w:ascii="Times New Roman" w:hAnsi="Times New Roman" w:eastAsia="Times New Roman"/>
          <w:color w:val="FFFFFF"/>
          <w:spacing w:val="-5"/>
          <w:sz w:val="30"/>
        </w:rPr>
        <w:t>4</w:t>
      </w:r>
      <w:r>
        <w:rPr>
          <w:rFonts w:ascii="Times New Roman" w:hAnsi="Times New Roman" w:eastAsia="Times New Roman"/>
          <w:color w:val="FFFFFF"/>
          <w:sz w:val="30"/>
        </w:rPr>
        <w:tab/>
      </w:r>
      <w:r>
        <w:rPr>
          <w:b/>
          <w:w w:val="95"/>
          <w:position w:val="2"/>
          <w:sz w:val="24"/>
        </w:rPr>
        <w:t>保险费的支</w:t>
      </w:r>
      <w:r>
        <w:rPr>
          <w:b/>
          <w:spacing w:val="-10"/>
          <w:w w:val="95"/>
          <w:position w:val="2"/>
          <w:sz w:val="24"/>
        </w:rPr>
        <w:t>付</w:t>
      </w:r>
    </w:p>
    <w:p>
      <w:pPr>
        <w:pStyle w:val="9"/>
        <w:numPr>
          <w:ilvl w:val="1"/>
          <w:numId w:val="17"/>
        </w:numPr>
        <w:tabs>
          <w:tab w:val="left" w:pos="1179"/>
        </w:tabs>
        <w:spacing w:before="334" w:after="0" w:line="278" w:lineRule="auto"/>
        <w:ind w:left="3038" w:right="791" w:hanging="2818"/>
        <w:jc w:val="both"/>
        <w:rPr>
          <w:sz w:val="21"/>
        </w:rPr>
      </w:pPr>
      <w:r>
        <w:rPr>
          <w:b/>
          <w:spacing w:val="65"/>
          <w:sz w:val="21"/>
        </w:rPr>
        <w:t xml:space="preserve">保险费的支付 </w:t>
      </w:r>
      <w:r>
        <w:rPr>
          <w:sz w:val="21"/>
        </w:rPr>
        <w:t>本合同保险费的支付方式和交费期间由您和本公司约定并在保险单上载明。</w:t>
      </w:r>
      <w:r>
        <w:rPr>
          <w:spacing w:val="-2"/>
          <w:sz w:val="21"/>
        </w:rPr>
        <w:t>本合同保险费采用分期支付方式的，在支付首期保险费后，您应当按照约定的日期支付其余各期的保险费。</w:t>
      </w:r>
    </w:p>
    <w:p>
      <w:pPr>
        <w:pStyle w:val="4"/>
        <w:spacing w:before="4"/>
        <w:rPr>
          <w:sz w:val="24"/>
        </w:rPr>
      </w:pPr>
    </w:p>
    <w:p>
      <w:pPr>
        <w:pStyle w:val="9"/>
        <w:numPr>
          <w:ilvl w:val="1"/>
          <w:numId w:val="17"/>
        </w:numPr>
        <w:tabs>
          <w:tab w:val="left" w:pos="1179"/>
          <w:tab w:val="left" w:pos="3037"/>
        </w:tabs>
        <w:spacing w:before="1" w:after="0" w:line="278" w:lineRule="auto"/>
        <w:ind w:left="3038" w:right="793" w:hanging="2818"/>
        <w:jc w:val="both"/>
        <w:rPr>
          <w:sz w:val="21"/>
        </w:rPr>
      </w:pPr>
      <w:r>
        <w:rPr>
          <w:b/>
          <w:spacing w:val="-4"/>
          <w:sz w:val="21"/>
        </w:rPr>
        <w:t>宽限期</w:t>
      </w:r>
      <w:r>
        <w:rPr>
          <w:b/>
          <w:sz w:val="21"/>
        </w:rPr>
        <w:tab/>
      </w:r>
      <w:r>
        <w:rPr>
          <w:spacing w:val="-2"/>
          <w:sz w:val="21"/>
        </w:rPr>
        <w:t>分期支付保险费的，您支付首期保险费后，除本合同另有约定外，如果您到</w:t>
      </w:r>
      <w:r>
        <w:rPr>
          <w:sz w:val="21"/>
        </w:rPr>
        <w:t>期未支付保险费，自保险费约定支付日的次日零时起</w:t>
      </w:r>
      <w:r>
        <w:rPr>
          <w:spacing w:val="-16"/>
          <w:sz w:val="21"/>
        </w:rPr>
        <w:t xml:space="preserve"> </w:t>
      </w:r>
      <w:r>
        <w:rPr>
          <w:sz w:val="21"/>
        </w:rPr>
        <w:t>60</w:t>
      </w:r>
      <w:r>
        <w:rPr>
          <w:spacing w:val="-16"/>
          <w:sz w:val="21"/>
        </w:rPr>
        <w:t xml:space="preserve"> </w:t>
      </w:r>
      <w:r>
        <w:rPr>
          <w:sz w:val="21"/>
        </w:rPr>
        <w:t>日为宽限期。宽限</w:t>
      </w:r>
      <w:r>
        <w:rPr>
          <w:spacing w:val="-2"/>
          <w:sz w:val="21"/>
        </w:rPr>
        <w:t>期内发生的保险事故，我们仍会承担保险责任，但在给付保险金时会扣减您欠交的保险费。</w:t>
      </w:r>
    </w:p>
    <w:p>
      <w:pPr>
        <w:pStyle w:val="4"/>
        <w:spacing w:before="156" w:line="278" w:lineRule="auto"/>
        <w:ind w:left="3038" w:right="793"/>
        <w:rPr>
          <w:rFonts w:ascii="黑体" w:eastAsia="黑体"/>
        </w:rPr>
      </w:pPr>
      <w:r>
        <w:rPr>
          <w:rFonts w:ascii="黑体" w:eastAsia="黑体"/>
          <w:spacing w:val="-2"/>
        </w:rPr>
        <w:t>如果您宽限期结束之后仍未支付保险费，则本合同自宽限期满的次日零时起效力中止。</w:t>
      </w:r>
    </w:p>
    <w:p>
      <w:pPr>
        <w:pStyle w:val="4"/>
        <w:spacing w:before="6"/>
        <w:rPr>
          <w:rFonts w:ascii="黑体"/>
          <w:sz w:val="24"/>
        </w:rPr>
      </w:pPr>
    </w:p>
    <w:p>
      <w:pPr>
        <w:tabs>
          <w:tab w:val="left" w:pos="1177"/>
        </w:tabs>
        <w:spacing w:before="0"/>
        <w:ind w:left="220" w:right="0" w:firstLine="0"/>
        <w:jc w:val="left"/>
        <w:rPr>
          <w:b/>
          <w:sz w:val="24"/>
        </w:rPr>
      </w:pPr>
      <w:r>
        <w:drawing>
          <wp:anchor distT="0" distB="0" distL="0" distR="0" simplePos="0" relativeHeight="251659264" behindDoc="0" locked="0" layoutInCell="1" allowOverlap="1">
            <wp:simplePos x="0" y="0"/>
            <wp:positionH relativeFrom="page">
              <wp:posOffset>578485</wp:posOffset>
            </wp:positionH>
            <wp:positionV relativeFrom="paragraph">
              <wp:posOffset>379730</wp:posOffset>
            </wp:positionV>
            <wp:extent cx="6325870" cy="12065"/>
            <wp:effectExtent l="0" t="0" r="0" b="0"/>
            <wp:wrapTopAndBottom/>
            <wp:docPr id="1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4.png"/>
                    <pic:cNvPicPr>
                      <a:picLocks noChangeAspect="1"/>
                    </pic:cNvPicPr>
                  </pic:nvPicPr>
                  <pic:blipFill>
                    <a:blip r:embed="rId10" cstate="print"/>
                    <a:stretch>
                      <a:fillRect/>
                    </a:stretch>
                  </pic:blipFill>
                  <pic:spPr>
                    <a:xfrm>
                      <a:off x="0" y="0"/>
                      <a:ext cx="6325611" cy="12192"/>
                    </a:xfrm>
                    <a:prstGeom prst="rect">
                      <a:avLst/>
                    </a:prstGeom>
                  </pic:spPr>
                </pic:pic>
              </a:graphicData>
            </a:graphic>
          </wp:anchor>
        </w:drawing>
      </w:r>
      <w:r>
        <w:rPr>
          <w:spacing w:val="-310"/>
          <w:position w:val="-5"/>
          <w:sz w:val="45"/>
        </w:rPr>
        <w:t>●</w:t>
      </w:r>
      <w:r>
        <w:rPr>
          <w:rFonts w:ascii="Times New Roman" w:hAnsi="Times New Roman" w:eastAsia="Times New Roman"/>
          <w:color w:val="FFFFFF"/>
          <w:spacing w:val="-5"/>
          <w:sz w:val="30"/>
        </w:rPr>
        <w:t>5</w:t>
      </w:r>
      <w:r>
        <w:rPr>
          <w:rFonts w:ascii="Times New Roman" w:hAnsi="Times New Roman" w:eastAsia="Times New Roman"/>
          <w:color w:val="FFFFFF"/>
          <w:sz w:val="30"/>
        </w:rPr>
        <w:tab/>
      </w:r>
      <w:r>
        <w:rPr>
          <w:b/>
          <w:w w:val="95"/>
          <w:position w:val="2"/>
          <w:sz w:val="24"/>
        </w:rPr>
        <w:t>现金价值权</w:t>
      </w:r>
      <w:r>
        <w:rPr>
          <w:b/>
          <w:spacing w:val="-10"/>
          <w:w w:val="95"/>
          <w:position w:val="2"/>
          <w:sz w:val="24"/>
        </w:rPr>
        <w:t>益</w:t>
      </w:r>
    </w:p>
    <w:p>
      <w:pPr>
        <w:pStyle w:val="4"/>
        <w:spacing w:before="7"/>
        <w:rPr>
          <w:b/>
          <w:sz w:val="20"/>
        </w:rPr>
      </w:pPr>
    </w:p>
    <w:p>
      <w:pPr>
        <w:pStyle w:val="9"/>
        <w:numPr>
          <w:ilvl w:val="1"/>
          <w:numId w:val="18"/>
        </w:numPr>
        <w:tabs>
          <w:tab w:val="left" w:pos="1179"/>
        </w:tabs>
        <w:spacing w:before="71" w:after="0" w:line="278" w:lineRule="auto"/>
        <w:ind w:left="3038" w:right="796" w:hanging="2818"/>
        <w:jc w:val="both"/>
        <w:rPr>
          <w:sz w:val="21"/>
        </w:rPr>
      </w:pPr>
      <w:r>
        <w:rPr>
          <w:b/>
          <w:w w:val="100"/>
          <w:sz w:val="21"/>
        </w:rPr>
        <w:t>现金价值</w:t>
      </w:r>
      <w:r>
        <w:rPr>
          <w:b/>
          <w:spacing w:val="-5"/>
          <w:sz w:val="21"/>
        </w:rPr>
        <w:t xml:space="preserve">          </w:t>
      </w:r>
      <w:r>
        <w:rPr>
          <w:spacing w:val="-3"/>
          <w:w w:val="100"/>
          <w:sz w:val="21"/>
        </w:rPr>
        <w:t>指保险单所具有的价值，通常体现为解除合同时，根据精算原理计算的，由</w:t>
      </w:r>
      <w:r>
        <w:rPr>
          <w:spacing w:val="3"/>
          <w:w w:val="100"/>
          <w:sz w:val="21"/>
        </w:rPr>
        <w:t>我们退还的那部分金额。本合同各保单年度末的现金价值会在保险单上载</w:t>
      </w:r>
      <w:r>
        <w:rPr>
          <w:spacing w:val="-3"/>
          <w:w w:val="100"/>
          <w:sz w:val="21"/>
        </w:rPr>
        <w:t>明。您可以向我们咨询保单年度内的现金价值。</w:t>
      </w:r>
    </w:p>
    <w:p>
      <w:pPr>
        <w:spacing w:after="0" w:line="278" w:lineRule="auto"/>
        <w:jc w:val="both"/>
        <w:rPr>
          <w:sz w:val="21"/>
        </w:rPr>
        <w:sectPr>
          <w:pgSz w:w="11910" w:h="16840"/>
          <w:pgMar w:top="1120" w:right="340" w:bottom="640" w:left="800" w:header="0" w:footer="457" w:gutter="0"/>
          <w:cols w:space="720" w:num="1"/>
        </w:sectPr>
      </w:pPr>
    </w:p>
    <w:p>
      <w:pPr>
        <w:pStyle w:val="9"/>
        <w:numPr>
          <w:ilvl w:val="1"/>
          <w:numId w:val="18"/>
        </w:numPr>
        <w:tabs>
          <w:tab w:val="left" w:pos="1179"/>
        </w:tabs>
        <w:spacing w:before="56" w:after="0" w:line="278" w:lineRule="auto"/>
        <w:ind w:left="3038" w:right="793" w:hanging="2818"/>
        <w:jc w:val="both"/>
        <w:rPr>
          <w:sz w:val="21"/>
        </w:rPr>
      </w:pPr>
      <w:r>
        <w:rPr>
          <w:b/>
          <w:sz w:val="21"/>
        </w:rPr>
        <w:t>保单贷款</w:t>
      </w:r>
      <w:r>
        <w:rPr>
          <w:b/>
          <w:spacing w:val="878"/>
          <w:sz w:val="21"/>
        </w:rPr>
        <w:t xml:space="preserve"> </w:t>
      </w:r>
      <w:r>
        <w:rPr>
          <w:sz w:val="21"/>
        </w:rPr>
        <w:t>在本合同有效期内，您可以申请并经我们审核同意后办理保单贷款。累积贷</w:t>
      </w:r>
      <w:r>
        <w:rPr>
          <w:spacing w:val="-1"/>
          <w:sz w:val="21"/>
        </w:rPr>
        <w:t xml:space="preserve">款金额不得超过本合同当时现金价值扣除各项未还款项后余额的 </w:t>
      </w:r>
      <w:r>
        <w:rPr>
          <w:sz w:val="21"/>
        </w:rPr>
        <w:t>80%，每次</w:t>
      </w:r>
      <w:r>
        <w:rPr>
          <w:spacing w:val="-5"/>
          <w:sz w:val="21"/>
        </w:rPr>
        <w:t xml:space="preserve">贷款期限最长不超过 </w:t>
      </w:r>
      <w:r>
        <w:rPr>
          <w:spacing w:val="-2"/>
          <w:sz w:val="21"/>
        </w:rPr>
        <w:t>6</w:t>
      </w:r>
      <w:r>
        <w:rPr>
          <w:spacing w:val="-7"/>
          <w:sz w:val="21"/>
        </w:rPr>
        <w:t xml:space="preserve"> 个月，贷款利率按照本公司公布的利率执行。如果您</w:t>
      </w:r>
      <w:r>
        <w:rPr>
          <w:spacing w:val="-2"/>
          <w:sz w:val="21"/>
        </w:rPr>
        <w:t>到期未能偿还贷款本息或未能足额偿还贷款本息，则您所欠的贷款本金及利息将作为新的贷款本金计息。</w:t>
      </w:r>
    </w:p>
    <w:p>
      <w:pPr>
        <w:pStyle w:val="4"/>
        <w:spacing w:before="156" w:line="278" w:lineRule="auto"/>
        <w:ind w:left="3038" w:right="793"/>
        <w:rPr>
          <w:rFonts w:ascii="黑体" w:eastAsia="黑体"/>
        </w:rPr>
      </w:pPr>
      <w:r>
        <w:rPr>
          <w:rFonts w:ascii="黑体" w:eastAsia="黑体"/>
          <w:spacing w:val="-2"/>
        </w:rPr>
        <w:t>当未还贷款本金及利息加上其他未还款项达到本合同现金价值时，本合同效</w:t>
      </w:r>
      <w:r>
        <w:rPr>
          <w:rFonts w:ascii="黑体" w:eastAsia="黑体"/>
          <w:spacing w:val="-4"/>
        </w:rPr>
        <w:t>力中止。</w:t>
      </w:r>
    </w:p>
    <w:p>
      <w:pPr>
        <w:pStyle w:val="4"/>
        <w:spacing w:before="4"/>
        <w:rPr>
          <w:rFonts w:ascii="黑体"/>
          <w:sz w:val="24"/>
        </w:rPr>
      </w:pPr>
    </w:p>
    <w:p>
      <w:pPr>
        <w:pStyle w:val="9"/>
        <w:numPr>
          <w:ilvl w:val="1"/>
          <w:numId w:val="18"/>
        </w:numPr>
        <w:tabs>
          <w:tab w:val="left" w:pos="1179"/>
        </w:tabs>
        <w:spacing w:before="0" w:after="0" w:line="278" w:lineRule="auto"/>
        <w:ind w:left="3038" w:right="793" w:hanging="2818"/>
        <w:jc w:val="both"/>
        <w:rPr>
          <w:rFonts w:ascii="黑体" w:eastAsia="黑体"/>
          <w:sz w:val="21"/>
        </w:rPr>
      </w:pPr>
      <w:r>
        <w:rPr>
          <w:b/>
          <w:spacing w:val="30"/>
          <w:sz w:val="21"/>
        </w:rPr>
        <w:t xml:space="preserve">保险费自动垫交 </w:t>
      </w:r>
      <w:r>
        <w:rPr>
          <w:sz w:val="21"/>
        </w:rPr>
        <w:t>您可以选择保险费自动垫交功能，即如果您在宽限期结束时仍未支付保险费</w:t>
      </w:r>
      <w:r>
        <w:rPr>
          <w:spacing w:val="-2"/>
          <w:sz w:val="21"/>
        </w:rPr>
        <w:t>且您已选择了自动垫交功能，我们将以本合同的现金价值扣除您的未还款项之后的余额自动垫交到期应支付的保险费，本合同继续有效。</w:t>
      </w:r>
      <w:r>
        <w:rPr>
          <w:rFonts w:ascii="黑体" w:eastAsia="黑体"/>
          <w:spacing w:val="-2"/>
          <w:sz w:val="21"/>
        </w:rPr>
        <w:t>所垫交的保险费视同保单贷款，贷款利率按照本公司公布的利率执行。</w:t>
      </w:r>
    </w:p>
    <w:p>
      <w:pPr>
        <w:pStyle w:val="4"/>
        <w:spacing w:before="156" w:line="278" w:lineRule="auto"/>
        <w:ind w:left="3038" w:right="791"/>
        <w:jc w:val="both"/>
        <w:rPr>
          <w:rFonts w:ascii="黑体" w:eastAsia="黑体"/>
        </w:rPr>
      </w:pPr>
      <w:r>
        <w:rPr>
          <w:spacing w:val="-2"/>
        </w:rPr>
        <w:t>当现金价值扣除各项未还款项后的余额不足以垫交到期应支付的保险费时，我们将根据现金价值的余额计算本合同可以继续有效的天数，本合同在此期间继续有效。</w:t>
      </w:r>
      <w:r>
        <w:rPr>
          <w:rFonts w:ascii="黑体" w:eastAsia="黑体"/>
          <w:spacing w:val="-2"/>
        </w:rPr>
        <w:t>当现金价值余额为零时，本合同效力中止。</w:t>
      </w:r>
    </w:p>
    <w:p>
      <w:pPr>
        <w:pStyle w:val="4"/>
        <w:spacing w:before="7"/>
        <w:rPr>
          <w:rFonts w:ascii="黑体"/>
          <w:sz w:val="24"/>
        </w:rPr>
      </w:pPr>
    </w:p>
    <w:p>
      <w:pPr>
        <w:tabs>
          <w:tab w:val="left" w:pos="1177"/>
        </w:tabs>
        <w:spacing w:before="0"/>
        <w:ind w:left="220" w:right="0" w:firstLine="0"/>
        <w:jc w:val="left"/>
        <w:rPr>
          <w:b/>
          <w:sz w:val="24"/>
        </w:rPr>
      </w:pPr>
      <w:r>
        <w:drawing>
          <wp:anchor distT="0" distB="0" distL="0" distR="0" simplePos="0" relativeHeight="251659264" behindDoc="0" locked="0" layoutInCell="1" allowOverlap="1">
            <wp:simplePos x="0" y="0"/>
            <wp:positionH relativeFrom="page">
              <wp:posOffset>578485</wp:posOffset>
            </wp:positionH>
            <wp:positionV relativeFrom="paragraph">
              <wp:posOffset>379730</wp:posOffset>
            </wp:positionV>
            <wp:extent cx="6325870" cy="6350"/>
            <wp:effectExtent l="0" t="0" r="0" b="0"/>
            <wp:wrapTopAndBottom/>
            <wp:docPr id="17"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6.png"/>
                    <pic:cNvPicPr>
                      <a:picLocks noChangeAspect="1"/>
                    </pic:cNvPicPr>
                  </pic:nvPicPr>
                  <pic:blipFill>
                    <a:blip r:embed="rId12" cstate="print"/>
                    <a:stretch>
                      <a:fillRect/>
                    </a:stretch>
                  </pic:blipFill>
                  <pic:spPr>
                    <a:xfrm>
                      <a:off x="0" y="0"/>
                      <a:ext cx="6325611" cy="6096"/>
                    </a:xfrm>
                    <a:prstGeom prst="rect">
                      <a:avLst/>
                    </a:prstGeom>
                  </pic:spPr>
                </pic:pic>
              </a:graphicData>
            </a:graphic>
          </wp:anchor>
        </w:drawing>
      </w:r>
      <w:r>
        <w:rPr>
          <w:spacing w:val="-310"/>
          <w:position w:val="-5"/>
          <w:sz w:val="45"/>
        </w:rPr>
        <w:t>●</w:t>
      </w:r>
      <w:r>
        <w:rPr>
          <w:rFonts w:ascii="Times New Roman" w:hAnsi="Times New Roman" w:eastAsia="Times New Roman"/>
          <w:color w:val="FFFFFF"/>
          <w:spacing w:val="-5"/>
          <w:sz w:val="30"/>
        </w:rPr>
        <w:t>6</w:t>
      </w:r>
      <w:r>
        <w:rPr>
          <w:rFonts w:ascii="Times New Roman" w:hAnsi="Times New Roman" w:eastAsia="Times New Roman"/>
          <w:color w:val="FFFFFF"/>
          <w:sz w:val="30"/>
        </w:rPr>
        <w:tab/>
      </w:r>
      <w:r>
        <w:rPr>
          <w:b/>
          <w:w w:val="95"/>
          <w:position w:val="2"/>
          <w:sz w:val="24"/>
        </w:rPr>
        <w:t>合同效力的中止及恢</w:t>
      </w:r>
      <w:r>
        <w:rPr>
          <w:b/>
          <w:spacing w:val="-10"/>
          <w:w w:val="95"/>
          <w:position w:val="2"/>
          <w:sz w:val="24"/>
        </w:rPr>
        <w:t>复</w:t>
      </w:r>
    </w:p>
    <w:p>
      <w:pPr>
        <w:pStyle w:val="9"/>
        <w:numPr>
          <w:ilvl w:val="1"/>
          <w:numId w:val="19"/>
        </w:numPr>
        <w:tabs>
          <w:tab w:val="left" w:pos="1177"/>
          <w:tab w:val="left" w:pos="1179"/>
          <w:tab w:val="left" w:pos="3037"/>
        </w:tabs>
        <w:spacing w:before="335" w:after="0" w:line="240" w:lineRule="auto"/>
        <w:ind w:left="1178" w:right="0" w:hanging="959"/>
        <w:jc w:val="left"/>
        <w:rPr>
          <w:rFonts w:ascii="黑体" w:eastAsia="黑体"/>
          <w:sz w:val="21"/>
        </w:rPr>
      </w:pPr>
      <w:r>
        <w:rPr>
          <w:b/>
          <w:sz w:val="21"/>
        </w:rPr>
        <w:t>效力中</w:t>
      </w:r>
      <w:r>
        <w:rPr>
          <w:b/>
          <w:spacing w:val="-10"/>
          <w:sz w:val="21"/>
        </w:rPr>
        <w:t>止</w:t>
      </w:r>
      <w:r>
        <w:rPr>
          <w:b/>
          <w:sz w:val="21"/>
        </w:rPr>
        <w:tab/>
      </w:r>
      <w:r>
        <w:rPr>
          <w:rFonts w:ascii="黑体" w:eastAsia="黑体"/>
          <w:color w:val="000000"/>
          <w:spacing w:val="-2"/>
          <w:sz w:val="21"/>
          <w:shd w:val="clear" w:color="auto" w:fill="D9D9D9"/>
        </w:rPr>
        <w:t>在本合同效力中止期间，我们不承担保险责任</w:t>
      </w:r>
      <w:r>
        <w:rPr>
          <w:rFonts w:ascii="黑体" w:eastAsia="黑体"/>
          <w:color w:val="000000"/>
          <w:spacing w:val="-10"/>
          <w:sz w:val="21"/>
          <w:shd w:val="clear" w:color="auto" w:fill="D9D9D9"/>
        </w:rPr>
        <w:t>。</w:t>
      </w:r>
    </w:p>
    <w:p>
      <w:pPr>
        <w:pStyle w:val="4"/>
        <w:spacing w:before="8"/>
        <w:rPr>
          <w:rFonts w:ascii="黑体"/>
          <w:sz w:val="27"/>
        </w:rPr>
      </w:pPr>
    </w:p>
    <w:p>
      <w:pPr>
        <w:pStyle w:val="9"/>
        <w:numPr>
          <w:ilvl w:val="1"/>
          <w:numId w:val="19"/>
        </w:numPr>
        <w:tabs>
          <w:tab w:val="left" w:pos="1179"/>
        </w:tabs>
        <w:spacing w:before="0" w:after="0" w:line="278" w:lineRule="auto"/>
        <w:ind w:left="3038" w:right="793" w:hanging="2818"/>
        <w:jc w:val="both"/>
        <w:rPr>
          <w:sz w:val="21"/>
        </w:rPr>
      </w:pPr>
      <w:r>
        <w:rPr>
          <w:b/>
          <w:sz w:val="21"/>
        </w:rPr>
        <w:t>效力恢复</w:t>
      </w:r>
      <w:r>
        <w:rPr>
          <w:b/>
          <w:spacing w:val="826"/>
          <w:sz w:val="21"/>
        </w:rPr>
        <w:t xml:space="preserve"> </w:t>
      </w:r>
      <w:r>
        <w:rPr>
          <w:spacing w:val="-3"/>
          <w:sz w:val="21"/>
        </w:rPr>
        <w:t xml:space="preserve">在本合同效力中止后 </w:t>
      </w:r>
      <w:r>
        <w:rPr>
          <w:sz w:val="21"/>
        </w:rPr>
        <w:t>2</w:t>
      </w:r>
      <w:r>
        <w:rPr>
          <w:spacing w:val="-5"/>
          <w:sz w:val="21"/>
        </w:rPr>
        <w:t xml:space="preserve"> 年内，您可以申请恢复本合同效力。经双方协商并达</w:t>
      </w:r>
      <w:r>
        <w:rPr>
          <w:spacing w:val="-2"/>
          <w:sz w:val="21"/>
        </w:rPr>
        <w:t>成协议，在您补交保险费和其他未还款项之日起，本合同效力恢复。</w:t>
      </w:r>
    </w:p>
    <w:p>
      <w:pPr>
        <w:pStyle w:val="4"/>
        <w:spacing w:before="157" w:line="278" w:lineRule="auto"/>
        <w:ind w:left="3038" w:right="793"/>
      </w:pPr>
      <w:r>
        <w:rPr>
          <w:rFonts w:ascii="黑体" w:eastAsia="黑体"/>
          <w:spacing w:val="-5"/>
        </w:rPr>
        <w:t xml:space="preserve">自本合同效力中止之日起满 </w:t>
      </w:r>
      <w:r>
        <w:rPr>
          <w:rFonts w:ascii="黑体" w:eastAsia="黑体"/>
          <w:spacing w:val="-2"/>
        </w:rPr>
        <w:t>2</w:t>
      </w:r>
      <w:r>
        <w:rPr>
          <w:rFonts w:ascii="黑体" w:eastAsia="黑体"/>
          <w:spacing w:val="-8"/>
        </w:rPr>
        <w:t xml:space="preserve"> 年您与我们未达成协议的，我们有权解除本合</w:t>
      </w:r>
      <w:r>
        <w:rPr>
          <w:rFonts w:ascii="黑体" w:eastAsia="黑体"/>
          <w:spacing w:val="-2"/>
        </w:rPr>
        <w:t>同。</w:t>
      </w:r>
      <w:r>
        <w:rPr>
          <w:spacing w:val="-2"/>
        </w:rPr>
        <w:t>我们解除本合同的，向您退还合同效力中止时本合同的现金价值。</w:t>
      </w:r>
    </w:p>
    <w:p>
      <w:pPr>
        <w:tabs>
          <w:tab w:val="left" w:pos="1177"/>
        </w:tabs>
        <w:spacing w:before="2"/>
        <w:ind w:left="220" w:right="0" w:firstLine="0"/>
        <w:jc w:val="left"/>
        <w:rPr>
          <w:b/>
          <w:sz w:val="24"/>
        </w:rPr>
      </w:pPr>
      <w:r>
        <w:drawing>
          <wp:anchor distT="0" distB="0" distL="0" distR="0" simplePos="0" relativeHeight="251659264" behindDoc="0" locked="0" layoutInCell="1" allowOverlap="1">
            <wp:simplePos x="0" y="0"/>
            <wp:positionH relativeFrom="page">
              <wp:posOffset>578485</wp:posOffset>
            </wp:positionH>
            <wp:positionV relativeFrom="paragraph">
              <wp:posOffset>381000</wp:posOffset>
            </wp:positionV>
            <wp:extent cx="6325870" cy="12065"/>
            <wp:effectExtent l="0" t="0" r="0" b="0"/>
            <wp:wrapTopAndBottom/>
            <wp:docPr id="19"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4.png"/>
                    <pic:cNvPicPr>
                      <a:picLocks noChangeAspect="1"/>
                    </pic:cNvPicPr>
                  </pic:nvPicPr>
                  <pic:blipFill>
                    <a:blip r:embed="rId10" cstate="print"/>
                    <a:stretch>
                      <a:fillRect/>
                    </a:stretch>
                  </pic:blipFill>
                  <pic:spPr>
                    <a:xfrm>
                      <a:off x="0" y="0"/>
                      <a:ext cx="6325808" cy="12191"/>
                    </a:xfrm>
                    <a:prstGeom prst="rect">
                      <a:avLst/>
                    </a:prstGeom>
                  </pic:spPr>
                </pic:pic>
              </a:graphicData>
            </a:graphic>
          </wp:anchor>
        </w:drawing>
      </w:r>
      <w:r>
        <w:rPr>
          <w:spacing w:val="-310"/>
          <w:position w:val="-5"/>
          <w:sz w:val="45"/>
        </w:rPr>
        <w:t>●</w:t>
      </w:r>
      <w:r>
        <w:rPr>
          <w:rFonts w:ascii="Times New Roman" w:hAnsi="Times New Roman" w:eastAsia="Times New Roman"/>
          <w:color w:val="FFFFFF"/>
          <w:spacing w:val="-5"/>
          <w:sz w:val="30"/>
        </w:rPr>
        <w:t>7</w:t>
      </w:r>
      <w:r>
        <w:rPr>
          <w:rFonts w:ascii="Times New Roman" w:hAnsi="Times New Roman" w:eastAsia="Times New Roman"/>
          <w:color w:val="FFFFFF"/>
          <w:sz w:val="30"/>
        </w:rPr>
        <w:tab/>
      </w:r>
      <w:r>
        <w:rPr>
          <w:b/>
          <w:spacing w:val="-3"/>
          <w:w w:val="95"/>
          <w:position w:val="2"/>
          <w:sz w:val="24"/>
        </w:rPr>
        <w:t>合同解除</w:t>
      </w:r>
    </w:p>
    <w:p>
      <w:pPr>
        <w:pStyle w:val="4"/>
        <w:spacing w:before="7"/>
        <w:rPr>
          <w:b/>
          <w:sz w:val="20"/>
        </w:rPr>
      </w:pPr>
    </w:p>
    <w:p>
      <w:pPr>
        <w:spacing w:after="0"/>
        <w:rPr>
          <w:sz w:val="20"/>
        </w:rPr>
        <w:sectPr>
          <w:pgSz w:w="11910" w:h="16840"/>
          <w:pgMar w:top="800" w:right="340" w:bottom="640" w:left="800" w:header="0" w:footer="457" w:gutter="0"/>
          <w:cols w:space="720" w:num="1"/>
        </w:sectPr>
      </w:pPr>
    </w:p>
    <w:p>
      <w:pPr>
        <w:pStyle w:val="3"/>
        <w:tabs>
          <w:tab w:val="left" w:pos="1177"/>
        </w:tabs>
        <w:spacing w:line="278" w:lineRule="auto"/>
      </w:pPr>
      <w:r>
        <w:rPr>
          <w:spacing w:val="-4"/>
        </w:rPr>
        <w:t>7.1</w:t>
      </w:r>
      <w:r>
        <w:tab/>
      </w:r>
      <w:r>
        <w:rPr>
          <w:spacing w:val="-2"/>
        </w:rPr>
        <w:t>您解除本合同的</w:t>
      </w:r>
      <w:r>
        <w:rPr>
          <w:spacing w:val="-4"/>
        </w:rPr>
        <w:t>手续及风险</w:t>
      </w:r>
    </w:p>
    <w:p>
      <w:pPr>
        <w:pStyle w:val="4"/>
        <w:spacing w:before="71" w:line="278" w:lineRule="auto"/>
        <w:ind w:left="220" w:right="793"/>
      </w:pPr>
      <w:r>
        <w:br w:type="column"/>
      </w:r>
      <w:r>
        <w:rPr>
          <w:spacing w:val="-2"/>
        </w:rPr>
        <w:t>如果您在犹豫期后申请解除本合同，请填写解除本合同的申请书并向我们提供下列资料：</w:t>
      </w:r>
    </w:p>
    <w:p>
      <w:pPr>
        <w:pStyle w:val="9"/>
        <w:numPr>
          <w:ilvl w:val="0"/>
          <w:numId w:val="20"/>
        </w:numPr>
        <w:tabs>
          <w:tab w:val="left" w:pos="750"/>
        </w:tabs>
        <w:spacing w:before="0" w:after="0" w:line="269" w:lineRule="exact"/>
        <w:ind w:left="749" w:right="0" w:hanging="530"/>
        <w:jc w:val="left"/>
        <w:rPr>
          <w:sz w:val="21"/>
        </w:rPr>
      </w:pPr>
      <w:r>
        <w:rPr>
          <w:spacing w:val="-4"/>
          <w:sz w:val="21"/>
        </w:rPr>
        <w:t>本合同；</w:t>
      </w:r>
    </w:p>
    <w:p>
      <w:pPr>
        <w:pStyle w:val="9"/>
        <w:numPr>
          <w:ilvl w:val="0"/>
          <w:numId w:val="20"/>
        </w:numPr>
        <w:tabs>
          <w:tab w:val="left" w:pos="750"/>
        </w:tabs>
        <w:spacing w:before="43" w:after="0" w:line="240" w:lineRule="auto"/>
        <w:ind w:left="749" w:right="0" w:hanging="530"/>
        <w:jc w:val="left"/>
        <w:rPr>
          <w:sz w:val="21"/>
        </w:rPr>
      </w:pPr>
      <w:r>
        <w:rPr>
          <w:spacing w:val="-3"/>
          <w:sz w:val="21"/>
        </w:rPr>
        <w:t>您的有效身份证件。</w:t>
      </w:r>
    </w:p>
    <w:p>
      <w:pPr>
        <w:pStyle w:val="4"/>
        <w:spacing w:before="7"/>
        <w:rPr>
          <w:sz w:val="15"/>
        </w:rPr>
      </w:pPr>
    </w:p>
    <w:p>
      <w:pPr>
        <w:pStyle w:val="4"/>
        <w:ind w:left="220"/>
      </w:pPr>
      <w:r>
        <w:rPr>
          <w:spacing w:val="-5"/>
        </w:rPr>
        <w:t xml:space="preserve">如果您在线申请解除本合同的，我们将在 </w:t>
      </w:r>
      <w:r>
        <w:rPr>
          <w:spacing w:val="-2"/>
        </w:rPr>
        <w:t>1</w:t>
      </w:r>
      <w:r>
        <w:rPr>
          <w:spacing w:val="-10"/>
        </w:rPr>
        <w:t xml:space="preserve"> 个工作日内核定并通知您；情形</w:t>
      </w:r>
    </w:p>
    <w:p>
      <w:pPr>
        <w:pStyle w:val="4"/>
        <w:spacing w:before="43"/>
        <w:ind w:left="220"/>
      </w:pPr>
      <w:r>
        <w:rPr>
          <w:spacing w:val="-10"/>
        </w:rPr>
        <w:t xml:space="preserve">复杂的，在 </w:t>
      </w:r>
      <w:r>
        <w:rPr>
          <w:spacing w:val="-2"/>
        </w:rPr>
        <w:t>3</w:t>
      </w:r>
      <w:r>
        <w:rPr>
          <w:spacing w:val="-10"/>
        </w:rPr>
        <w:t xml:space="preserve"> 个工作日内核定并通知您。</w:t>
      </w:r>
    </w:p>
    <w:p>
      <w:pPr>
        <w:pStyle w:val="4"/>
        <w:spacing w:before="7"/>
        <w:rPr>
          <w:sz w:val="15"/>
        </w:rPr>
      </w:pPr>
    </w:p>
    <w:p>
      <w:pPr>
        <w:pStyle w:val="4"/>
        <w:spacing w:line="278" w:lineRule="auto"/>
        <w:ind w:left="220" w:right="793"/>
      </w:pPr>
      <w:r>
        <w:rPr>
          <w:spacing w:val="-2"/>
        </w:rPr>
        <w:t>自我们收到解除本合同的申请书时起，本合同终止。我们自收到解除本合同</w:t>
      </w:r>
      <w:r>
        <w:rPr>
          <w:spacing w:val="-3"/>
        </w:rPr>
        <w:t xml:space="preserve">的申请书之日起 </w:t>
      </w:r>
      <w:r>
        <w:t>30</w:t>
      </w:r>
      <w:r>
        <w:rPr>
          <w:spacing w:val="-5"/>
        </w:rPr>
        <w:t xml:space="preserve"> 日内向您退还本合同的现金价值。</w:t>
      </w:r>
    </w:p>
    <w:p>
      <w:pPr>
        <w:spacing w:after="0" w:line="278" w:lineRule="auto"/>
        <w:sectPr>
          <w:type w:val="continuous"/>
          <w:pgSz w:w="11910" w:h="16840"/>
          <w:pgMar w:top="240" w:right="340" w:bottom="640" w:left="800" w:header="0" w:footer="457" w:gutter="0"/>
          <w:cols w:equalWidth="0" w:num="2">
            <w:col w:w="2697" w:space="121"/>
            <w:col w:w="7952"/>
          </w:cols>
        </w:sectPr>
      </w:pPr>
    </w:p>
    <w:p>
      <w:pPr>
        <w:pStyle w:val="4"/>
        <w:spacing w:before="156"/>
        <w:ind w:left="3038"/>
        <w:rPr>
          <w:rFonts w:ascii="黑体" w:eastAsia="黑体"/>
        </w:rPr>
      </w:pPr>
      <w:r>
        <w:rPr>
          <w:rFonts w:ascii="黑体" w:eastAsia="黑体"/>
          <w:spacing w:val="-3"/>
        </w:rPr>
        <w:t>您在犹豫期后解除本合同会遭受一定损失。</w:t>
      </w:r>
    </w:p>
    <w:p>
      <w:pPr>
        <w:pStyle w:val="4"/>
        <w:spacing w:before="11"/>
        <w:rPr>
          <w:rFonts w:ascii="黑体"/>
          <w:sz w:val="27"/>
        </w:rPr>
      </w:pPr>
    </w:p>
    <w:p>
      <w:pPr>
        <w:pStyle w:val="2"/>
        <w:tabs>
          <w:tab w:val="left" w:pos="1177"/>
        </w:tabs>
        <w:spacing w:before="0"/>
      </w:pPr>
      <w:r>
        <w:drawing>
          <wp:anchor distT="0" distB="0" distL="0" distR="0" simplePos="0" relativeHeight="251659264" behindDoc="0" locked="0" layoutInCell="1" allowOverlap="1">
            <wp:simplePos x="0" y="0"/>
            <wp:positionH relativeFrom="page">
              <wp:posOffset>578485</wp:posOffset>
            </wp:positionH>
            <wp:positionV relativeFrom="paragraph">
              <wp:posOffset>379730</wp:posOffset>
            </wp:positionV>
            <wp:extent cx="6375400" cy="12065"/>
            <wp:effectExtent l="0" t="0" r="0" b="0"/>
            <wp:wrapTopAndBottom/>
            <wp:docPr id="2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3.png"/>
                    <pic:cNvPicPr>
                      <a:picLocks noChangeAspect="1"/>
                    </pic:cNvPicPr>
                  </pic:nvPicPr>
                  <pic:blipFill>
                    <a:blip r:embed="rId9" cstate="print"/>
                    <a:stretch>
                      <a:fillRect/>
                    </a:stretch>
                  </pic:blipFill>
                  <pic:spPr>
                    <a:xfrm>
                      <a:off x="0" y="0"/>
                      <a:ext cx="6375428" cy="12287"/>
                    </a:xfrm>
                    <a:prstGeom prst="rect">
                      <a:avLst/>
                    </a:prstGeom>
                  </pic:spPr>
                </pic:pic>
              </a:graphicData>
            </a:graphic>
          </wp:anchor>
        </w:drawing>
      </w:r>
      <w:r>
        <w:rPr>
          <w:b w:val="0"/>
          <w:spacing w:val="-310"/>
          <w:position w:val="-5"/>
          <w:sz w:val="45"/>
        </w:rPr>
        <w:t>●</w:t>
      </w:r>
      <w:r>
        <w:rPr>
          <w:rFonts w:ascii="Times New Roman" w:hAnsi="Times New Roman" w:eastAsia="Times New Roman"/>
          <w:b w:val="0"/>
          <w:color w:val="FFFFFF"/>
          <w:spacing w:val="-5"/>
          <w:sz w:val="30"/>
        </w:rPr>
        <w:t>8</w:t>
      </w:r>
      <w:r>
        <w:rPr>
          <w:rFonts w:ascii="Times New Roman" w:hAnsi="Times New Roman" w:eastAsia="Times New Roman"/>
          <w:b w:val="0"/>
          <w:color w:val="FFFFFF"/>
          <w:sz w:val="30"/>
        </w:rPr>
        <w:tab/>
      </w:r>
      <w:r>
        <w:rPr>
          <w:w w:val="95"/>
          <w:position w:val="2"/>
        </w:rPr>
        <w:t>如实告知与合同解除权的限</w:t>
      </w:r>
      <w:r>
        <w:rPr>
          <w:spacing w:val="-10"/>
          <w:w w:val="95"/>
          <w:position w:val="2"/>
        </w:rPr>
        <w:t>制</w:t>
      </w:r>
    </w:p>
    <w:p>
      <w:pPr>
        <w:pStyle w:val="4"/>
        <w:spacing w:before="10"/>
        <w:rPr>
          <w:b/>
          <w:sz w:val="22"/>
        </w:rPr>
      </w:pPr>
    </w:p>
    <w:p>
      <w:pPr>
        <w:spacing w:after="0"/>
        <w:rPr>
          <w:sz w:val="22"/>
        </w:rPr>
        <w:sectPr>
          <w:type w:val="continuous"/>
          <w:pgSz w:w="11910" w:h="16840"/>
          <w:pgMar w:top="240" w:right="340" w:bottom="640" w:left="800" w:header="0" w:footer="457" w:gutter="0"/>
          <w:cols w:space="720" w:num="1"/>
        </w:sectPr>
      </w:pPr>
    </w:p>
    <w:p>
      <w:pPr>
        <w:pStyle w:val="3"/>
        <w:numPr>
          <w:ilvl w:val="1"/>
          <w:numId w:val="21"/>
        </w:numPr>
        <w:tabs>
          <w:tab w:val="left" w:pos="1177"/>
          <w:tab w:val="left" w:pos="1179"/>
        </w:tabs>
        <w:spacing w:before="71" w:after="0" w:line="278" w:lineRule="auto"/>
        <w:ind w:left="1178" w:right="38" w:hanging="959"/>
        <w:jc w:val="left"/>
      </w:pPr>
      <w:r>
        <w:rPr>
          <w:spacing w:val="-2"/>
        </w:rPr>
        <w:t>明确说明与如实</w:t>
      </w:r>
      <w:r>
        <w:rPr>
          <w:spacing w:val="-6"/>
        </w:rPr>
        <w:t>告知</w:t>
      </w:r>
    </w:p>
    <w:p>
      <w:pPr>
        <w:pStyle w:val="4"/>
        <w:spacing w:before="71"/>
        <w:ind w:left="220"/>
      </w:pPr>
      <w:r>
        <w:br w:type="column"/>
      </w:r>
      <w:r>
        <w:rPr>
          <w:spacing w:val="-3"/>
        </w:rPr>
        <w:t>订立本合同时，我们应向您说明本合同的内容。</w:t>
      </w:r>
    </w:p>
    <w:p>
      <w:pPr>
        <w:spacing w:after="0"/>
        <w:sectPr>
          <w:type w:val="continuous"/>
          <w:pgSz w:w="11910" w:h="16840"/>
          <w:pgMar w:top="240" w:right="340" w:bottom="640" w:left="800" w:header="0" w:footer="457" w:gutter="0"/>
          <w:cols w:equalWidth="0" w:num="2">
            <w:col w:w="2697" w:space="121"/>
            <w:col w:w="7952"/>
          </w:cols>
        </w:sectPr>
      </w:pPr>
    </w:p>
    <w:p>
      <w:pPr>
        <w:pStyle w:val="4"/>
        <w:spacing w:before="56" w:line="278" w:lineRule="auto"/>
        <w:ind w:left="3038" w:right="793"/>
        <w:jc w:val="both"/>
      </w:pPr>
      <w:r>
        <w:rPr>
          <w:spacing w:val="-2"/>
        </w:rPr>
        <w:t>对保险条款中免除我们责任的条款，我们在订立合同时应当在投保单、保险单或者其他保险凭证上做出足以引起您注意的提示，并对该条款的内容以书面或者口头形式向您做出明确说明，未做提示或者明确说明的，该条款不产</w:t>
      </w:r>
      <w:r>
        <w:rPr>
          <w:spacing w:val="-4"/>
        </w:rPr>
        <w:t>生效力。</w:t>
      </w:r>
    </w:p>
    <w:p>
      <w:pPr>
        <w:pStyle w:val="4"/>
        <w:spacing w:before="156"/>
        <w:ind w:left="3038"/>
      </w:pPr>
      <w:r>
        <w:rPr>
          <w:spacing w:val="-3"/>
        </w:rPr>
        <w:t>我们就您和被保险人的有关情况提出询问,您应当如实告知。</w:t>
      </w:r>
    </w:p>
    <w:p>
      <w:pPr>
        <w:pStyle w:val="4"/>
        <w:spacing w:before="12"/>
        <w:rPr>
          <w:sz w:val="9"/>
        </w:rPr>
      </w:pPr>
    </w:p>
    <w:p>
      <w:pPr>
        <w:pStyle w:val="4"/>
        <w:spacing w:before="72" w:line="278" w:lineRule="auto"/>
        <w:ind w:left="3038" w:right="793"/>
        <w:rPr>
          <w:rFonts w:ascii="黑体" w:eastAsia="黑体"/>
        </w:rPr>
      </w:pPr>
      <w:r>
        <w:rPr>
          <w:rFonts w:ascii="黑体" w:eastAsia="黑体"/>
          <w:color w:val="000000"/>
          <w:spacing w:val="-2"/>
          <w:shd w:val="clear" w:color="auto" w:fill="D9D9D9"/>
        </w:rPr>
        <w:t>如果您故意或者因重大过失未履行前款规定的如实告知义务，足以影响我们</w:t>
      </w:r>
      <w:r>
        <w:rPr>
          <w:rFonts w:ascii="黑体" w:eastAsia="黑体"/>
          <w:color w:val="000000"/>
          <w:spacing w:val="80"/>
          <w:w w:val="150"/>
          <w:shd w:val="clear" w:color="auto" w:fill="D9D9D9"/>
        </w:rPr>
        <w:t xml:space="preserve">                                     </w:t>
      </w:r>
      <w:r>
        <w:rPr>
          <w:rFonts w:ascii="黑体" w:eastAsia="黑体"/>
          <w:color w:val="000000"/>
          <w:spacing w:val="-2"/>
          <w:shd w:val="clear" w:color="auto" w:fill="D9D9D9"/>
        </w:rPr>
        <w:t>决定是否同意承保或者提高保险费率的，我们有权解除本合同。</w:t>
      </w:r>
    </w:p>
    <w:p>
      <w:pPr>
        <w:pStyle w:val="4"/>
        <w:spacing w:before="155" w:line="278" w:lineRule="auto"/>
        <w:ind w:left="3038" w:right="794"/>
        <w:rPr>
          <w:rFonts w:ascii="黑体" w:eastAsia="黑体"/>
        </w:rPr>
      </w:pPr>
      <w:r>
        <w:rPr>
          <w:rFonts w:ascii="黑体" w:eastAsia="黑体"/>
          <w:color w:val="000000"/>
          <w:spacing w:val="-2"/>
          <w:shd w:val="clear" w:color="auto" w:fill="D9D9D9"/>
        </w:rPr>
        <w:t>如果您故意不履行如实告知义务，对于本合同解除前发生的保险事故，我们</w:t>
      </w:r>
      <w:r>
        <w:rPr>
          <w:rFonts w:ascii="黑体" w:eastAsia="黑体"/>
          <w:color w:val="000000"/>
          <w:spacing w:val="80"/>
          <w:w w:val="150"/>
          <w:shd w:val="clear" w:color="auto" w:fill="D9D9D9"/>
        </w:rPr>
        <w:t xml:space="preserve">                                     </w:t>
      </w:r>
      <w:r>
        <w:rPr>
          <w:rFonts w:ascii="黑体" w:eastAsia="黑体"/>
          <w:color w:val="000000"/>
          <w:spacing w:val="-2"/>
          <w:shd w:val="clear" w:color="auto" w:fill="D9D9D9"/>
        </w:rPr>
        <w:t>不承担给付保险金的责任，并不退还保险费。</w:t>
      </w:r>
    </w:p>
    <w:p>
      <w:pPr>
        <w:pStyle w:val="4"/>
        <w:spacing w:before="156" w:line="278" w:lineRule="auto"/>
        <w:ind w:left="3038" w:right="791"/>
        <w:jc w:val="both"/>
        <w:rPr>
          <w:rFonts w:ascii="黑体" w:eastAsia="黑体"/>
        </w:rPr>
      </w:pPr>
      <w:r>
        <w:rPr>
          <w:rFonts w:ascii="黑体" w:eastAsia="黑体"/>
          <w:color w:val="000000"/>
          <w:spacing w:val="-2"/>
          <w:shd w:val="clear" w:color="auto" w:fill="D9D9D9"/>
        </w:rPr>
        <w:t>如果您因重大过失未履行如实告知义务，对保险事故的发生有严重影响的，</w:t>
      </w:r>
      <w:r>
        <w:rPr>
          <w:rFonts w:ascii="黑体" w:eastAsia="黑体"/>
          <w:color w:val="000000"/>
          <w:spacing w:val="40"/>
          <w:shd w:val="clear" w:color="auto" w:fill="D9D9D9"/>
        </w:rPr>
        <w:t xml:space="preserve"> </w:t>
      </w:r>
      <w:r>
        <w:rPr>
          <w:rFonts w:ascii="黑体" w:eastAsia="黑体"/>
          <w:color w:val="000000"/>
          <w:spacing w:val="-2"/>
          <w:shd w:val="clear" w:color="auto" w:fill="D9D9D9"/>
        </w:rPr>
        <w:t>对于本合同解除前发生的保险事故，我们不承担给付保险金的责任，但应当退还保险费。</w:t>
      </w:r>
    </w:p>
    <w:p>
      <w:pPr>
        <w:pStyle w:val="4"/>
        <w:spacing w:before="156" w:line="278" w:lineRule="auto"/>
        <w:ind w:left="3038" w:right="793"/>
      </w:pPr>
      <w:r>
        <w:rPr>
          <w:spacing w:val="-2"/>
        </w:rPr>
        <w:t>我们在合同订立时已经知道您未如实告知的情况的，我们不得解除合同；发生保险事故的，我们承担给付保险金的责任。</w:t>
      </w:r>
    </w:p>
    <w:p>
      <w:pPr>
        <w:pStyle w:val="4"/>
        <w:spacing w:before="9"/>
        <w:rPr>
          <w:sz w:val="22"/>
        </w:rPr>
      </w:pPr>
    </w:p>
    <w:p>
      <w:pPr>
        <w:spacing w:after="0"/>
        <w:rPr>
          <w:sz w:val="22"/>
        </w:rPr>
        <w:sectPr>
          <w:pgSz w:w="11910" w:h="16840"/>
          <w:pgMar w:top="800" w:right="340" w:bottom="640" w:left="800" w:header="0" w:footer="457" w:gutter="0"/>
          <w:cols w:space="720" w:num="1"/>
        </w:sectPr>
      </w:pPr>
    </w:p>
    <w:p>
      <w:pPr>
        <w:pStyle w:val="3"/>
        <w:numPr>
          <w:ilvl w:val="1"/>
          <w:numId w:val="21"/>
        </w:numPr>
        <w:tabs>
          <w:tab w:val="left" w:pos="1177"/>
          <w:tab w:val="left" w:pos="1179"/>
        </w:tabs>
        <w:spacing w:before="72" w:after="0" w:line="278" w:lineRule="auto"/>
        <w:ind w:left="1178" w:right="38" w:hanging="959"/>
        <w:jc w:val="left"/>
      </w:pPr>
      <w:r>
        <w:rPr>
          <w:spacing w:val="-2"/>
        </w:rPr>
        <w:t>合同解除权的限</w:t>
      </w:r>
      <w:r>
        <w:rPr>
          <w:spacing w:val="-10"/>
        </w:rPr>
        <w:t>制</w:t>
      </w:r>
    </w:p>
    <w:p>
      <w:pPr>
        <w:pStyle w:val="4"/>
        <w:spacing w:before="72"/>
        <w:ind w:left="220"/>
      </w:pPr>
      <w:r>
        <w:br w:type="column"/>
      </w:r>
      <w:r>
        <w:rPr>
          <w:spacing w:val="-1"/>
        </w:rPr>
        <w:t xml:space="preserve">前条规定的合同解除权，自我们知道有解除事由之日起，超过 </w:t>
      </w:r>
      <w:r>
        <w:t>30</w:t>
      </w:r>
      <w:r>
        <w:rPr>
          <w:spacing w:val="-7"/>
        </w:rPr>
        <w:t xml:space="preserve"> 日不行使</w:t>
      </w:r>
    </w:p>
    <w:p>
      <w:pPr>
        <w:pStyle w:val="4"/>
        <w:spacing w:before="43" w:line="278" w:lineRule="auto"/>
        <w:ind w:left="220" w:right="795"/>
      </w:pPr>
      <w:r>
        <w:rPr>
          <w:spacing w:val="-5"/>
        </w:rPr>
        <w:t xml:space="preserve">而消灭。自本合同成立之日起超过 </w:t>
      </w:r>
      <w:r>
        <w:rPr>
          <w:spacing w:val="-2"/>
        </w:rPr>
        <w:t>2</w:t>
      </w:r>
      <w:r>
        <w:rPr>
          <w:spacing w:val="-8"/>
        </w:rPr>
        <w:t xml:space="preserve"> 年的，我们不得解除合同；发生保险事</w:t>
      </w:r>
      <w:r>
        <w:rPr>
          <w:spacing w:val="-2"/>
        </w:rPr>
        <w:t>故的，我们承担给付保险金的责任。</w:t>
      </w:r>
    </w:p>
    <w:p>
      <w:pPr>
        <w:spacing w:after="0" w:line="278" w:lineRule="auto"/>
        <w:sectPr>
          <w:type w:val="continuous"/>
          <w:pgSz w:w="11910" w:h="16840"/>
          <w:pgMar w:top="240" w:right="340" w:bottom="640" w:left="800" w:header="0" w:footer="457" w:gutter="0"/>
          <w:cols w:equalWidth="0" w:num="2">
            <w:col w:w="2697" w:space="121"/>
            <w:col w:w="7952"/>
          </w:cols>
        </w:sectPr>
      </w:pPr>
    </w:p>
    <w:p>
      <w:pPr>
        <w:pStyle w:val="4"/>
        <w:spacing w:before="7"/>
      </w:pPr>
    </w:p>
    <w:p>
      <w:pPr>
        <w:tabs>
          <w:tab w:val="left" w:pos="1177"/>
        </w:tabs>
        <w:spacing w:before="38"/>
        <w:ind w:left="220" w:right="0" w:firstLine="0"/>
        <w:jc w:val="left"/>
        <w:rPr>
          <w:b/>
          <w:sz w:val="24"/>
        </w:rPr>
      </w:pPr>
      <w:r>
        <w:drawing>
          <wp:anchor distT="0" distB="0" distL="0" distR="0" simplePos="0" relativeHeight="251659264" behindDoc="0" locked="0" layoutInCell="1" allowOverlap="1">
            <wp:simplePos x="0" y="0"/>
            <wp:positionH relativeFrom="page">
              <wp:posOffset>578485</wp:posOffset>
            </wp:positionH>
            <wp:positionV relativeFrom="paragraph">
              <wp:posOffset>403860</wp:posOffset>
            </wp:positionV>
            <wp:extent cx="6325870" cy="12065"/>
            <wp:effectExtent l="0" t="0" r="0" b="0"/>
            <wp:wrapTopAndBottom/>
            <wp:docPr id="23"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4.png"/>
                    <pic:cNvPicPr>
                      <a:picLocks noChangeAspect="1"/>
                    </pic:cNvPicPr>
                  </pic:nvPicPr>
                  <pic:blipFill>
                    <a:blip r:embed="rId10" cstate="print"/>
                    <a:stretch>
                      <a:fillRect/>
                    </a:stretch>
                  </pic:blipFill>
                  <pic:spPr>
                    <a:xfrm>
                      <a:off x="0" y="0"/>
                      <a:ext cx="6325808" cy="12191"/>
                    </a:xfrm>
                    <a:prstGeom prst="rect">
                      <a:avLst/>
                    </a:prstGeom>
                  </pic:spPr>
                </pic:pic>
              </a:graphicData>
            </a:graphic>
          </wp:anchor>
        </w:drawing>
      </w:r>
      <w:r>
        <w:rPr>
          <w:spacing w:val="-310"/>
          <w:position w:val="-5"/>
          <w:sz w:val="45"/>
        </w:rPr>
        <w:t>●</w:t>
      </w:r>
      <w:r>
        <w:rPr>
          <w:rFonts w:ascii="Times New Roman" w:hAnsi="Times New Roman" w:eastAsia="Times New Roman"/>
          <w:color w:val="FFFFFF"/>
          <w:spacing w:val="-5"/>
          <w:sz w:val="30"/>
        </w:rPr>
        <w:t>9</w:t>
      </w:r>
      <w:r>
        <w:rPr>
          <w:rFonts w:ascii="Times New Roman" w:hAnsi="Times New Roman" w:eastAsia="Times New Roman"/>
          <w:color w:val="FFFFFF"/>
          <w:sz w:val="30"/>
        </w:rPr>
        <w:tab/>
      </w:r>
      <w:r>
        <w:rPr>
          <w:b/>
          <w:w w:val="95"/>
          <w:position w:val="2"/>
          <w:sz w:val="24"/>
        </w:rPr>
        <w:t>其他需要关</w:t>
      </w:r>
      <w:r>
        <w:rPr>
          <w:b/>
          <w:spacing w:val="-3"/>
          <w:w w:val="95"/>
          <w:position w:val="2"/>
          <w:sz w:val="24"/>
        </w:rPr>
        <w:t>注的事项</w:t>
      </w:r>
    </w:p>
    <w:p>
      <w:pPr>
        <w:pStyle w:val="9"/>
        <w:numPr>
          <w:ilvl w:val="1"/>
          <w:numId w:val="22"/>
        </w:numPr>
        <w:tabs>
          <w:tab w:val="left" w:pos="1179"/>
        </w:tabs>
        <w:spacing w:before="335" w:after="0" w:line="278" w:lineRule="auto"/>
        <w:ind w:left="3038" w:right="794" w:hanging="2818"/>
        <w:jc w:val="both"/>
        <w:rPr>
          <w:sz w:val="21"/>
        </w:rPr>
      </w:pPr>
      <w:r>
        <w:rPr>
          <w:b/>
          <w:sz w:val="21"/>
        </w:rPr>
        <w:t>年龄错误</w:t>
      </w:r>
      <w:r>
        <w:rPr>
          <w:b/>
          <w:spacing w:val="877"/>
          <w:sz w:val="21"/>
        </w:rPr>
        <w:t xml:space="preserve"> </w:t>
      </w:r>
      <w:r>
        <w:rPr>
          <w:sz w:val="21"/>
        </w:rPr>
        <w:t>您在申请投保时，应将与有效身份证件相符的被保险人的出生日期在投保单</w:t>
      </w:r>
      <w:r>
        <w:rPr>
          <w:spacing w:val="-2"/>
          <w:sz w:val="21"/>
        </w:rPr>
        <w:t>上填明，如果发生错误按照下列方式办理：</w:t>
      </w:r>
    </w:p>
    <w:p>
      <w:pPr>
        <w:pStyle w:val="9"/>
        <w:numPr>
          <w:ilvl w:val="2"/>
          <w:numId w:val="22"/>
        </w:numPr>
        <w:tabs>
          <w:tab w:val="left" w:pos="3568"/>
        </w:tabs>
        <w:spacing w:before="0" w:after="0" w:line="278" w:lineRule="auto"/>
        <w:ind w:left="3561" w:right="796" w:hanging="524"/>
        <w:jc w:val="left"/>
        <w:rPr>
          <w:sz w:val="21"/>
        </w:rPr>
      </w:pPr>
      <w:r>
        <w:rPr>
          <w:rFonts w:ascii="黑体" w:hAnsi="黑体" w:eastAsia="黑体"/>
          <w:color w:val="000000"/>
          <w:spacing w:val="-2"/>
          <w:sz w:val="21"/>
          <w:shd w:val="clear" w:color="auto" w:fill="D9D9D9"/>
        </w:rPr>
        <w:t>您申报的被保险人年龄不真实，并且其真实年龄不符合本合同约定投</w:t>
      </w:r>
      <w:r>
        <w:rPr>
          <w:rFonts w:ascii="黑体" w:hAnsi="黑体" w:eastAsia="黑体"/>
          <w:color w:val="000000"/>
          <w:spacing w:val="12285"/>
          <w:sz w:val="21"/>
          <w:shd w:val="clear" w:color="auto" w:fill="D9D9D9"/>
        </w:rPr>
        <w:t xml:space="preserve"> </w:t>
      </w:r>
      <w:r>
        <w:rPr>
          <w:rFonts w:ascii="黑体" w:hAnsi="黑体" w:eastAsia="黑体"/>
          <w:color w:val="000000"/>
          <w:spacing w:val="-2"/>
          <w:sz w:val="21"/>
          <w:shd w:val="clear" w:color="auto" w:fill="D9D9D9"/>
        </w:rPr>
        <w:t>保年龄限制的，在保险事故发生之前我们有权解除本合同，并向您退还本合同的现金价值。</w:t>
      </w:r>
      <w:r>
        <w:rPr>
          <w:color w:val="000000"/>
          <w:spacing w:val="-2"/>
          <w:sz w:val="21"/>
        </w:rPr>
        <w:t>我们行使合同解除权适用“8.2</w:t>
      </w:r>
      <w:r>
        <w:rPr>
          <w:color w:val="000000"/>
          <w:spacing w:val="-10"/>
          <w:sz w:val="21"/>
        </w:rPr>
        <w:t xml:space="preserve"> 合同解除权的限</w:t>
      </w:r>
      <w:r>
        <w:rPr>
          <w:color w:val="000000"/>
          <w:spacing w:val="-2"/>
          <w:sz w:val="21"/>
        </w:rPr>
        <w:t>制”的规定。</w:t>
      </w:r>
    </w:p>
    <w:p>
      <w:pPr>
        <w:pStyle w:val="9"/>
        <w:numPr>
          <w:ilvl w:val="2"/>
          <w:numId w:val="22"/>
        </w:numPr>
        <w:tabs>
          <w:tab w:val="left" w:pos="3568"/>
        </w:tabs>
        <w:spacing w:before="0" w:after="0" w:line="278" w:lineRule="auto"/>
        <w:ind w:left="3561" w:right="688" w:hanging="524"/>
        <w:jc w:val="left"/>
        <w:rPr>
          <w:rFonts w:ascii="黑体" w:eastAsia="黑体"/>
          <w:sz w:val="21"/>
        </w:rPr>
      </w:pPr>
      <w:r>
        <w:rPr>
          <w:rFonts w:ascii="黑体" w:eastAsia="黑体"/>
          <w:color w:val="000000"/>
          <w:spacing w:val="-2"/>
          <w:sz w:val="21"/>
          <w:shd w:val="clear" w:color="auto" w:fill="D9D9D9"/>
        </w:rPr>
        <w:t>您申报的被保险人年龄不真实，致使您实交保险费少于应交保险费的，</w:t>
      </w:r>
      <w:r>
        <w:rPr>
          <w:rFonts w:ascii="黑体" w:eastAsia="黑体"/>
          <w:color w:val="000000"/>
          <w:spacing w:val="12495"/>
          <w:sz w:val="21"/>
          <w:shd w:val="clear" w:color="auto" w:fill="D9D9D9"/>
        </w:rPr>
        <w:t xml:space="preserve"> </w:t>
      </w:r>
      <w:r>
        <w:rPr>
          <w:rFonts w:ascii="黑体" w:eastAsia="黑体"/>
          <w:color w:val="000000"/>
          <w:spacing w:val="-2"/>
          <w:sz w:val="21"/>
          <w:shd w:val="clear" w:color="auto" w:fill="D9D9D9"/>
        </w:rPr>
        <w:t>我们有权更正并要求您补交保险费。如果已经发生保险事故，我们在给付保险金时按实交保险费和应交保险费的比例给付。</w:t>
      </w:r>
    </w:p>
    <w:p>
      <w:pPr>
        <w:pStyle w:val="9"/>
        <w:numPr>
          <w:ilvl w:val="2"/>
          <w:numId w:val="22"/>
        </w:numPr>
        <w:tabs>
          <w:tab w:val="left" w:pos="3568"/>
        </w:tabs>
        <w:spacing w:before="0" w:after="0" w:line="278" w:lineRule="auto"/>
        <w:ind w:left="3561" w:right="688" w:hanging="524"/>
        <w:jc w:val="left"/>
        <w:rPr>
          <w:sz w:val="21"/>
        </w:rPr>
      </w:pPr>
      <w:r>
        <w:rPr>
          <w:spacing w:val="-2"/>
          <w:sz w:val="21"/>
        </w:rPr>
        <w:t>您申报的被保险人年龄不真实，致使您实交保险费多于应交保险费的，我们会将多收的保险费退还给您。</w:t>
      </w:r>
    </w:p>
    <w:p>
      <w:pPr>
        <w:pStyle w:val="4"/>
        <w:spacing w:before="4"/>
        <w:rPr>
          <w:sz w:val="24"/>
        </w:rPr>
      </w:pPr>
    </w:p>
    <w:p>
      <w:pPr>
        <w:pStyle w:val="9"/>
        <w:numPr>
          <w:ilvl w:val="1"/>
          <w:numId w:val="22"/>
        </w:numPr>
        <w:tabs>
          <w:tab w:val="left" w:pos="1179"/>
        </w:tabs>
        <w:spacing w:before="0" w:after="0" w:line="278" w:lineRule="auto"/>
        <w:ind w:left="3038" w:right="791" w:hanging="2818"/>
        <w:jc w:val="both"/>
        <w:rPr>
          <w:sz w:val="21"/>
        </w:rPr>
      </w:pPr>
      <w:r>
        <w:rPr>
          <w:b/>
          <w:sz w:val="21"/>
        </w:rPr>
        <w:t>未还款项</w:t>
      </w:r>
      <w:r>
        <w:rPr>
          <w:b/>
          <w:spacing w:val="880"/>
          <w:sz w:val="21"/>
        </w:rPr>
        <w:t xml:space="preserve"> </w:t>
      </w:r>
      <w:r>
        <w:rPr>
          <w:sz w:val="21"/>
        </w:rPr>
        <w:t>我们在给付各项保险金、退还现金价值或返还保险费时，如果您有欠交的保</w:t>
      </w:r>
      <w:r>
        <w:rPr>
          <w:spacing w:val="-2"/>
          <w:sz w:val="21"/>
        </w:rPr>
        <w:t>险费、利息或其他未还清的款项，我们会在扣除上述各项未还款项后给付。上述各项未还款项的应付利息按本公司公布的利率计算。</w:t>
      </w:r>
    </w:p>
    <w:p>
      <w:pPr>
        <w:pStyle w:val="4"/>
        <w:spacing w:before="4"/>
        <w:rPr>
          <w:sz w:val="24"/>
        </w:rPr>
      </w:pPr>
    </w:p>
    <w:p>
      <w:pPr>
        <w:pStyle w:val="9"/>
        <w:numPr>
          <w:ilvl w:val="1"/>
          <w:numId w:val="22"/>
        </w:numPr>
        <w:tabs>
          <w:tab w:val="left" w:pos="1179"/>
        </w:tabs>
        <w:spacing w:before="0" w:after="0" w:line="278" w:lineRule="auto"/>
        <w:ind w:left="3038" w:right="791" w:hanging="2818"/>
        <w:jc w:val="both"/>
        <w:rPr>
          <w:sz w:val="21"/>
        </w:rPr>
      </w:pPr>
      <w:r>
        <w:rPr>
          <w:b/>
          <w:spacing w:val="65"/>
          <w:sz w:val="21"/>
        </w:rPr>
        <w:t xml:space="preserve">合同内容变更 </w:t>
      </w:r>
      <w:r>
        <w:rPr>
          <w:sz w:val="21"/>
        </w:rPr>
        <w:t>在本合同有效期内，经您与我们协商一致，可以变更本合同的有关内容。变</w:t>
      </w:r>
      <w:r>
        <w:rPr>
          <w:spacing w:val="-2"/>
          <w:sz w:val="21"/>
        </w:rPr>
        <w:t>更本合同时，应当由我们在保险单或者其他保险凭证上批注或者附贴批单，或者由您与我们订立书面的变更协议。</w:t>
      </w:r>
    </w:p>
    <w:p>
      <w:pPr>
        <w:pStyle w:val="4"/>
        <w:spacing w:before="4"/>
        <w:rPr>
          <w:sz w:val="24"/>
        </w:rPr>
      </w:pPr>
    </w:p>
    <w:p>
      <w:pPr>
        <w:pStyle w:val="9"/>
        <w:numPr>
          <w:ilvl w:val="1"/>
          <w:numId w:val="22"/>
        </w:numPr>
        <w:tabs>
          <w:tab w:val="left" w:pos="1177"/>
          <w:tab w:val="left" w:pos="1179"/>
          <w:tab w:val="left" w:pos="3037"/>
        </w:tabs>
        <w:spacing w:before="0" w:after="0" w:line="240" w:lineRule="auto"/>
        <w:ind w:left="1178" w:right="0" w:hanging="959"/>
        <w:jc w:val="left"/>
        <w:rPr>
          <w:sz w:val="21"/>
        </w:rPr>
      </w:pPr>
      <w:r>
        <w:rPr>
          <w:b/>
          <w:sz w:val="21"/>
        </w:rPr>
        <w:t>联系方式变</w:t>
      </w:r>
      <w:r>
        <w:rPr>
          <w:b/>
          <w:spacing w:val="-10"/>
          <w:sz w:val="21"/>
        </w:rPr>
        <w:t>更</w:t>
      </w:r>
      <w:r>
        <w:rPr>
          <w:b/>
          <w:sz w:val="21"/>
        </w:rPr>
        <w:tab/>
      </w:r>
      <w:r>
        <w:rPr>
          <w:spacing w:val="-2"/>
          <w:sz w:val="21"/>
        </w:rPr>
        <w:t>为了保障您的合法权益，您的住所、通讯地址或电话等联系方式变更时，</w:t>
      </w:r>
      <w:r>
        <w:rPr>
          <w:spacing w:val="-10"/>
          <w:sz w:val="21"/>
        </w:rPr>
        <w:t>请</w:t>
      </w:r>
    </w:p>
    <w:p>
      <w:pPr>
        <w:spacing w:after="0" w:line="240" w:lineRule="auto"/>
        <w:jc w:val="left"/>
        <w:rPr>
          <w:sz w:val="21"/>
        </w:rPr>
        <w:sectPr>
          <w:type w:val="continuous"/>
          <w:pgSz w:w="11910" w:h="16840"/>
          <w:pgMar w:top="240" w:right="340" w:bottom="640" w:left="800" w:header="0" w:footer="457" w:gutter="0"/>
          <w:cols w:space="720" w:num="1"/>
        </w:sectPr>
      </w:pPr>
    </w:p>
    <w:p>
      <w:pPr>
        <w:pStyle w:val="4"/>
        <w:spacing w:before="56" w:line="278" w:lineRule="auto"/>
        <w:ind w:left="3038" w:right="793"/>
        <w:jc w:val="both"/>
        <w:rPr>
          <w:rFonts w:ascii="黑体" w:eastAsia="黑体"/>
        </w:rPr>
      </w:pPr>
      <w:r>
        <w:rPr>
          <w:spacing w:val="-2"/>
        </w:rPr>
        <w:t>及时以书面形式或双方认可的其他形式通知我们。如果您未以书面形式或双方认可的其他形式通知我们，</w:t>
      </w:r>
      <w:r>
        <w:rPr>
          <w:rFonts w:ascii="黑体" w:eastAsia="黑体"/>
          <w:spacing w:val="-2"/>
        </w:rPr>
        <w:t>我们按照本合同载明的最后住所或通讯地址所发送的有关通知，均视为已送达给您。</w:t>
      </w:r>
    </w:p>
    <w:p>
      <w:pPr>
        <w:pStyle w:val="4"/>
        <w:spacing w:before="4"/>
        <w:rPr>
          <w:rFonts w:ascii="黑体"/>
          <w:sz w:val="24"/>
        </w:rPr>
      </w:pPr>
    </w:p>
    <w:p>
      <w:pPr>
        <w:pStyle w:val="9"/>
        <w:numPr>
          <w:ilvl w:val="1"/>
          <w:numId w:val="22"/>
        </w:numPr>
        <w:tabs>
          <w:tab w:val="left" w:pos="1177"/>
          <w:tab w:val="left" w:pos="1179"/>
          <w:tab w:val="left" w:pos="3037"/>
        </w:tabs>
        <w:spacing w:before="1" w:after="0" w:line="278" w:lineRule="auto"/>
        <w:ind w:left="3038" w:right="794" w:hanging="2818"/>
        <w:jc w:val="left"/>
        <w:rPr>
          <w:sz w:val="21"/>
        </w:rPr>
      </w:pPr>
      <w:r>
        <w:rPr>
          <w:b/>
          <w:spacing w:val="-4"/>
          <w:sz w:val="21"/>
        </w:rPr>
        <w:t>争议处理</w:t>
      </w:r>
      <w:r>
        <w:rPr>
          <w:b/>
          <w:sz w:val="21"/>
        </w:rPr>
        <w:tab/>
      </w:r>
      <w:r>
        <w:rPr>
          <w:spacing w:val="-2"/>
          <w:sz w:val="21"/>
        </w:rPr>
        <w:t>本合同履行过程中，双方发生争议时，可以从下列两种方式中选择一种争议处理方式：</w:t>
      </w:r>
    </w:p>
    <w:p>
      <w:pPr>
        <w:pStyle w:val="9"/>
        <w:numPr>
          <w:ilvl w:val="0"/>
          <w:numId w:val="23"/>
        </w:numPr>
        <w:tabs>
          <w:tab w:val="left" w:pos="3568"/>
        </w:tabs>
        <w:spacing w:before="0" w:after="0" w:line="278" w:lineRule="auto"/>
        <w:ind w:left="3561" w:right="896" w:hanging="524"/>
        <w:jc w:val="left"/>
        <w:rPr>
          <w:sz w:val="21"/>
        </w:rPr>
      </w:pPr>
      <w:r>
        <w:rPr>
          <w:spacing w:val="-2"/>
          <w:sz w:val="21"/>
        </w:rPr>
        <w:t>因履行本合同发生的争议，由当事人协商解决，协商不成的，提交双方共同选择的仲裁委员会仲裁；</w:t>
      </w:r>
    </w:p>
    <w:p>
      <w:pPr>
        <w:pStyle w:val="9"/>
        <w:numPr>
          <w:ilvl w:val="0"/>
          <w:numId w:val="23"/>
        </w:numPr>
        <w:tabs>
          <w:tab w:val="left" w:pos="3568"/>
        </w:tabs>
        <w:spacing w:before="0" w:after="0" w:line="278" w:lineRule="auto"/>
        <w:ind w:left="3561" w:right="896" w:hanging="524"/>
        <w:jc w:val="left"/>
        <w:rPr>
          <w:sz w:val="21"/>
        </w:rPr>
      </w:pPr>
      <w:r>
        <w:rPr>
          <w:spacing w:val="-2"/>
          <w:sz w:val="21"/>
        </w:rPr>
        <w:t>因履行本合同发生的争议，由当事人协商解决，协商不成的，依法向人民法院起诉。</w:t>
      </w:r>
    </w:p>
    <w:p>
      <w:pPr>
        <w:pStyle w:val="4"/>
        <w:spacing w:before="6"/>
      </w:pPr>
    </w:p>
    <w:p>
      <w:pPr>
        <w:tabs>
          <w:tab w:val="left" w:pos="1177"/>
        </w:tabs>
        <w:spacing w:before="38"/>
        <w:ind w:left="220" w:right="0" w:firstLine="0"/>
        <w:jc w:val="left"/>
        <w:rPr>
          <w:b/>
          <w:sz w:val="24"/>
        </w:rPr>
      </w:pPr>
      <w:r>
        <w:drawing>
          <wp:anchor distT="0" distB="0" distL="0" distR="0" simplePos="0" relativeHeight="251659264" behindDoc="0" locked="0" layoutInCell="1" allowOverlap="1">
            <wp:simplePos x="0" y="0"/>
            <wp:positionH relativeFrom="page">
              <wp:posOffset>578485</wp:posOffset>
            </wp:positionH>
            <wp:positionV relativeFrom="paragraph">
              <wp:posOffset>403860</wp:posOffset>
            </wp:positionV>
            <wp:extent cx="6375400" cy="12065"/>
            <wp:effectExtent l="0" t="0" r="0" b="0"/>
            <wp:wrapTopAndBottom/>
            <wp:docPr id="2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3.png"/>
                    <pic:cNvPicPr>
                      <a:picLocks noChangeAspect="1"/>
                    </pic:cNvPicPr>
                  </pic:nvPicPr>
                  <pic:blipFill>
                    <a:blip r:embed="rId9" cstate="print"/>
                    <a:stretch>
                      <a:fillRect/>
                    </a:stretch>
                  </pic:blipFill>
                  <pic:spPr>
                    <a:xfrm>
                      <a:off x="0" y="0"/>
                      <a:ext cx="6375096" cy="12287"/>
                    </a:xfrm>
                    <a:prstGeom prst="rect">
                      <a:avLst/>
                    </a:prstGeom>
                  </pic:spPr>
                </pic:pic>
              </a:graphicData>
            </a:graphic>
          </wp:anchor>
        </w:drawing>
      </w:r>
      <w:r>
        <w:rPr>
          <w:spacing w:val="-385"/>
          <w:position w:val="-5"/>
          <w:sz w:val="45"/>
        </w:rPr>
        <w:t>●</w:t>
      </w:r>
      <w:r>
        <w:rPr>
          <w:rFonts w:ascii="Times New Roman" w:hAnsi="Times New Roman" w:eastAsia="Times New Roman"/>
          <w:color w:val="FFFFFF"/>
          <w:spacing w:val="-4"/>
          <w:sz w:val="30"/>
        </w:rPr>
        <w:t>1</w:t>
      </w:r>
      <w:r>
        <w:rPr>
          <w:rFonts w:ascii="Times New Roman" w:hAnsi="Times New Roman" w:eastAsia="Times New Roman"/>
          <w:color w:val="FFFFFF"/>
          <w:spacing w:val="-5"/>
          <w:sz w:val="30"/>
        </w:rPr>
        <w:t>0</w:t>
      </w:r>
      <w:r>
        <w:rPr>
          <w:rFonts w:ascii="Times New Roman" w:hAnsi="Times New Roman" w:eastAsia="Times New Roman"/>
          <w:color w:val="FFFFFF"/>
          <w:sz w:val="30"/>
        </w:rPr>
        <w:tab/>
      </w:r>
      <w:r>
        <w:rPr>
          <w:b/>
          <w:w w:val="95"/>
          <w:position w:val="2"/>
          <w:sz w:val="24"/>
        </w:rPr>
        <w:t>释</w:t>
      </w:r>
      <w:r>
        <w:rPr>
          <w:b/>
          <w:spacing w:val="-10"/>
          <w:position w:val="2"/>
          <w:sz w:val="24"/>
        </w:rPr>
        <w:t>义</w:t>
      </w:r>
    </w:p>
    <w:p>
      <w:pPr>
        <w:pStyle w:val="4"/>
        <w:spacing w:before="7"/>
        <w:rPr>
          <w:b/>
          <w:sz w:val="20"/>
        </w:rPr>
      </w:pPr>
    </w:p>
    <w:p>
      <w:pPr>
        <w:spacing w:after="0"/>
        <w:rPr>
          <w:sz w:val="20"/>
        </w:rPr>
        <w:sectPr>
          <w:pgSz w:w="11910" w:h="16840"/>
          <w:pgMar w:top="800" w:right="340" w:bottom="640" w:left="800" w:header="0" w:footer="457" w:gutter="0"/>
          <w:cols w:space="720" w:num="1"/>
        </w:sectPr>
      </w:pPr>
    </w:p>
    <w:p>
      <w:pPr>
        <w:pStyle w:val="3"/>
        <w:numPr>
          <w:ilvl w:val="1"/>
          <w:numId w:val="24"/>
        </w:numPr>
        <w:tabs>
          <w:tab w:val="left" w:pos="1177"/>
          <w:tab w:val="left" w:pos="1179"/>
        </w:tabs>
        <w:spacing w:before="72" w:after="0" w:line="278" w:lineRule="auto"/>
        <w:ind w:left="1178" w:right="38" w:hanging="959"/>
        <w:jc w:val="left"/>
      </w:pPr>
      <w:r>
        <w:rPr>
          <w:spacing w:val="-2"/>
        </w:rPr>
        <w:t>保单年生效对应</w:t>
      </w:r>
      <w:r>
        <w:rPr>
          <w:spacing w:val="-10"/>
        </w:rPr>
        <w:t>日</w:t>
      </w:r>
    </w:p>
    <w:p>
      <w:pPr>
        <w:pStyle w:val="4"/>
        <w:spacing w:before="72" w:line="278" w:lineRule="auto"/>
        <w:ind w:left="220" w:right="793"/>
      </w:pPr>
      <w:r>
        <w:br w:type="column"/>
      </w:r>
      <w:r>
        <w:rPr>
          <w:spacing w:val="-2"/>
        </w:rPr>
        <w:t>本合同生效日在以后每年的对应日。如果当月无对应的同一日，则以该月最后一日为对应日。</w:t>
      </w:r>
    </w:p>
    <w:p>
      <w:pPr>
        <w:spacing w:after="0" w:line="278" w:lineRule="auto"/>
        <w:sectPr>
          <w:type w:val="continuous"/>
          <w:pgSz w:w="11910" w:h="16840"/>
          <w:pgMar w:top="240" w:right="340" w:bottom="640" w:left="800" w:header="0" w:footer="457" w:gutter="0"/>
          <w:cols w:equalWidth="0" w:num="2">
            <w:col w:w="2697" w:space="121"/>
            <w:col w:w="7952"/>
          </w:cols>
        </w:sectPr>
      </w:pPr>
    </w:p>
    <w:p>
      <w:pPr>
        <w:pStyle w:val="4"/>
        <w:spacing w:before="9"/>
        <w:rPr>
          <w:sz w:val="18"/>
        </w:rPr>
      </w:pPr>
    </w:p>
    <w:p>
      <w:pPr>
        <w:pStyle w:val="9"/>
        <w:numPr>
          <w:ilvl w:val="1"/>
          <w:numId w:val="24"/>
        </w:numPr>
        <w:tabs>
          <w:tab w:val="left" w:pos="1177"/>
          <w:tab w:val="left" w:pos="1179"/>
          <w:tab w:val="left" w:pos="3037"/>
        </w:tabs>
        <w:spacing w:before="72" w:after="0" w:line="278" w:lineRule="auto"/>
        <w:ind w:left="3038" w:right="793" w:hanging="2818"/>
        <w:jc w:val="left"/>
        <w:rPr>
          <w:sz w:val="21"/>
        </w:rPr>
      </w:pPr>
      <w:r>
        <w:rPr>
          <w:b/>
          <w:spacing w:val="-4"/>
          <w:sz w:val="21"/>
        </w:rPr>
        <w:t>保单年度</w:t>
      </w:r>
      <w:r>
        <w:rPr>
          <w:b/>
          <w:sz w:val="21"/>
        </w:rPr>
        <w:tab/>
      </w:r>
      <w:r>
        <w:rPr>
          <w:spacing w:val="-2"/>
          <w:sz w:val="21"/>
        </w:rPr>
        <w:t>在本合同有效期内，从本合同生效日或保单年生效对应日零时起至下一年度本合同保单年生效对应日零时止为一个保单年度。</w:t>
      </w:r>
    </w:p>
    <w:p>
      <w:pPr>
        <w:pStyle w:val="4"/>
        <w:spacing w:before="9"/>
        <w:rPr>
          <w:sz w:val="18"/>
        </w:rPr>
      </w:pPr>
    </w:p>
    <w:p>
      <w:pPr>
        <w:spacing w:after="0"/>
        <w:rPr>
          <w:sz w:val="18"/>
        </w:rPr>
        <w:sectPr>
          <w:type w:val="continuous"/>
          <w:pgSz w:w="11910" w:h="16840"/>
          <w:pgMar w:top="240" w:right="340" w:bottom="640" w:left="800" w:header="0" w:footer="457" w:gutter="0"/>
          <w:cols w:space="720" w:num="1"/>
        </w:sectPr>
      </w:pPr>
    </w:p>
    <w:p>
      <w:pPr>
        <w:pStyle w:val="3"/>
        <w:numPr>
          <w:ilvl w:val="1"/>
          <w:numId w:val="24"/>
        </w:numPr>
        <w:tabs>
          <w:tab w:val="left" w:pos="1177"/>
          <w:tab w:val="left" w:pos="1179"/>
        </w:tabs>
        <w:spacing w:before="72" w:after="0" w:line="278" w:lineRule="auto"/>
        <w:ind w:left="1178" w:right="38" w:hanging="959"/>
        <w:jc w:val="left"/>
      </w:pPr>
      <w:r>
        <w:rPr>
          <w:spacing w:val="-2"/>
        </w:rPr>
        <w:t>保险费约定支付</w:t>
      </w:r>
      <w:r>
        <w:rPr>
          <w:spacing w:val="-10"/>
        </w:rPr>
        <w:t>日</w:t>
      </w:r>
    </w:p>
    <w:p>
      <w:pPr>
        <w:pStyle w:val="4"/>
        <w:spacing w:before="72" w:line="278" w:lineRule="auto"/>
        <w:ind w:left="220" w:right="690"/>
      </w:pPr>
      <w:r>
        <w:br w:type="column"/>
      </w:r>
      <w:r>
        <w:rPr>
          <w:spacing w:val="-4"/>
        </w:rPr>
        <w:t>本合同生效日在每月、每季、每半年或每年（根据交费方式确定）的对应日。</w:t>
      </w:r>
      <w:r>
        <w:rPr>
          <w:spacing w:val="-2"/>
        </w:rPr>
        <w:t>如果当月无对应的同一日，则以该月最后一日为对应日。</w:t>
      </w:r>
    </w:p>
    <w:p>
      <w:pPr>
        <w:spacing w:after="0" w:line="278" w:lineRule="auto"/>
        <w:sectPr>
          <w:type w:val="continuous"/>
          <w:pgSz w:w="11910" w:h="16840"/>
          <w:pgMar w:top="240" w:right="340" w:bottom="640" w:left="800" w:header="0" w:footer="457" w:gutter="0"/>
          <w:cols w:equalWidth="0" w:num="2">
            <w:col w:w="2697" w:space="121"/>
            <w:col w:w="7952"/>
          </w:cols>
        </w:sectPr>
      </w:pPr>
    </w:p>
    <w:p>
      <w:pPr>
        <w:pStyle w:val="4"/>
        <w:spacing w:before="9"/>
        <w:rPr>
          <w:sz w:val="18"/>
        </w:rPr>
      </w:pPr>
    </w:p>
    <w:p>
      <w:pPr>
        <w:pStyle w:val="9"/>
        <w:numPr>
          <w:ilvl w:val="1"/>
          <w:numId w:val="24"/>
        </w:numPr>
        <w:tabs>
          <w:tab w:val="left" w:pos="1177"/>
          <w:tab w:val="left" w:pos="1179"/>
          <w:tab w:val="left" w:pos="3037"/>
        </w:tabs>
        <w:spacing w:before="72" w:after="0" w:line="278" w:lineRule="auto"/>
        <w:ind w:left="3038" w:right="793" w:hanging="2818"/>
        <w:jc w:val="left"/>
        <w:rPr>
          <w:sz w:val="21"/>
        </w:rPr>
      </w:pPr>
      <w:r>
        <w:rPr>
          <w:b/>
          <w:spacing w:val="-6"/>
          <w:sz w:val="21"/>
        </w:rPr>
        <w:t>周岁</w:t>
      </w:r>
      <w:r>
        <w:rPr>
          <w:b/>
          <w:sz w:val="21"/>
        </w:rPr>
        <w:tab/>
      </w:r>
      <w:r>
        <w:rPr>
          <w:spacing w:val="-2"/>
          <w:sz w:val="21"/>
        </w:rPr>
        <w:t>指按</w:t>
      </w:r>
      <w:r>
        <w:rPr>
          <w:b/>
          <w:spacing w:val="-2"/>
          <w:sz w:val="21"/>
        </w:rPr>
        <w:t>有效身份证件</w:t>
      </w:r>
      <w:r>
        <w:rPr>
          <w:spacing w:val="-2"/>
          <w:sz w:val="21"/>
        </w:rPr>
        <w:t>（见</w:t>
      </w:r>
      <w:r>
        <w:rPr>
          <w:spacing w:val="-55"/>
          <w:sz w:val="21"/>
        </w:rPr>
        <w:t xml:space="preserve"> </w:t>
      </w:r>
      <w:r>
        <w:rPr>
          <w:spacing w:val="-2"/>
          <w:sz w:val="21"/>
        </w:rPr>
        <w:t>10.5）中记载的出生日期计算的年龄，自出生之日起为零周岁，每经过一年增加一岁，不足一年的不计。</w:t>
      </w:r>
    </w:p>
    <w:p>
      <w:pPr>
        <w:pStyle w:val="4"/>
        <w:spacing w:before="5"/>
        <w:rPr>
          <w:sz w:val="24"/>
        </w:rPr>
      </w:pPr>
    </w:p>
    <w:p>
      <w:pPr>
        <w:pStyle w:val="9"/>
        <w:numPr>
          <w:ilvl w:val="1"/>
          <w:numId w:val="24"/>
        </w:numPr>
        <w:tabs>
          <w:tab w:val="left" w:pos="1177"/>
          <w:tab w:val="left" w:pos="1179"/>
          <w:tab w:val="left" w:pos="3037"/>
        </w:tabs>
        <w:spacing w:before="0" w:after="0" w:line="278" w:lineRule="auto"/>
        <w:ind w:left="3038" w:right="793" w:hanging="2818"/>
        <w:jc w:val="left"/>
        <w:rPr>
          <w:sz w:val="21"/>
        </w:rPr>
      </w:pPr>
      <w:r>
        <w:rPr>
          <w:b/>
          <w:spacing w:val="-2"/>
          <w:sz w:val="21"/>
        </w:rPr>
        <w:t>有效身份证件</w:t>
      </w:r>
      <w:r>
        <w:rPr>
          <w:b/>
          <w:sz w:val="21"/>
        </w:rPr>
        <w:tab/>
      </w:r>
      <w:r>
        <w:rPr>
          <w:spacing w:val="-2"/>
          <w:sz w:val="21"/>
        </w:rPr>
        <w:t>指由政府主管部门规定的证明其身份的证件，如：居民身份证、按规定可使用的有效护照、军人证件、户口簿等。</w:t>
      </w:r>
    </w:p>
    <w:p>
      <w:pPr>
        <w:pStyle w:val="4"/>
        <w:spacing w:before="4"/>
        <w:rPr>
          <w:sz w:val="24"/>
        </w:rPr>
      </w:pPr>
    </w:p>
    <w:p>
      <w:pPr>
        <w:pStyle w:val="9"/>
        <w:numPr>
          <w:ilvl w:val="1"/>
          <w:numId w:val="24"/>
        </w:numPr>
        <w:tabs>
          <w:tab w:val="left" w:pos="1177"/>
          <w:tab w:val="left" w:pos="1179"/>
          <w:tab w:val="left" w:pos="3037"/>
        </w:tabs>
        <w:spacing w:before="0" w:after="0" w:line="278" w:lineRule="auto"/>
        <w:ind w:left="3038" w:right="793" w:hanging="2818"/>
        <w:jc w:val="left"/>
        <w:rPr>
          <w:sz w:val="21"/>
        </w:rPr>
      </w:pPr>
      <w:r>
        <w:rPr>
          <w:b/>
          <w:spacing w:val="-4"/>
          <w:sz w:val="21"/>
        </w:rPr>
        <w:t>意外伤害</w:t>
      </w:r>
      <w:r>
        <w:rPr>
          <w:b/>
          <w:sz w:val="21"/>
        </w:rPr>
        <w:tab/>
      </w:r>
      <w:r>
        <w:rPr>
          <w:spacing w:val="-2"/>
          <w:sz w:val="21"/>
        </w:rPr>
        <w:t>指遭受外来的、突发的、非本意的、非疾病的客观事件直接致使身体受到的</w:t>
      </w:r>
      <w:r>
        <w:rPr>
          <w:sz w:val="21"/>
        </w:rPr>
        <w:t>伤害，</w:t>
      </w:r>
      <w:r>
        <w:rPr>
          <w:rFonts w:ascii="黑体" w:eastAsia="黑体"/>
          <w:color w:val="000000"/>
          <w:sz w:val="21"/>
          <w:shd w:val="clear" w:color="auto" w:fill="D9D9D9"/>
        </w:rPr>
        <w:t>猝死（见</w:t>
      </w:r>
      <w:r>
        <w:rPr>
          <w:rFonts w:ascii="黑体" w:eastAsia="黑体"/>
          <w:color w:val="000000"/>
          <w:spacing w:val="-42"/>
          <w:sz w:val="21"/>
          <w:shd w:val="clear" w:color="auto" w:fill="D9D9D9"/>
        </w:rPr>
        <w:t xml:space="preserve"> </w:t>
      </w:r>
      <w:r>
        <w:rPr>
          <w:rFonts w:ascii="黑体" w:eastAsia="黑体"/>
          <w:color w:val="000000"/>
          <w:sz w:val="21"/>
          <w:shd w:val="clear" w:color="auto" w:fill="D9D9D9"/>
        </w:rPr>
        <w:t>10.7）不属于意外伤害</w:t>
      </w:r>
      <w:r>
        <w:rPr>
          <w:color w:val="000000"/>
          <w:sz w:val="21"/>
        </w:rPr>
        <w:t>。</w:t>
      </w:r>
    </w:p>
    <w:p>
      <w:pPr>
        <w:pStyle w:val="4"/>
        <w:spacing w:before="4"/>
        <w:rPr>
          <w:sz w:val="24"/>
        </w:rPr>
      </w:pPr>
    </w:p>
    <w:p>
      <w:pPr>
        <w:pStyle w:val="9"/>
        <w:numPr>
          <w:ilvl w:val="1"/>
          <w:numId w:val="24"/>
        </w:numPr>
        <w:tabs>
          <w:tab w:val="left" w:pos="1177"/>
          <w:tab w:val="left" w:pos="1179"/>
          <w:tab w:val="left" w:pos="3037"/>
        </w:tabs>
        <w:spacing w:before="0" w:after="0" w:line="278" w:lineRule="auto"/>
        <w:ind w:left="3038" w:right="793" w:hanging="2818"/>
        <w:jc w:val="left"/>
        <w:rPr>
          <w:sz w:val="21"/>
        </w:rPr>
      </w:pPr>
      <w:r>
        <w:rPr>
          <w:b/>
          <w:spacing w:val="-6"/>
          <w:sz w:val="21"/>
        </w:rPr>
        <w:t>猝死</w:t>
      </w:r>
      <w:r>
        <w:rPr>
          <w:b/>
          <w:sz w:val="21"/>
        </w:rPr>
        <w:tab/>
      </w:r>
      <w:r>
        <w:rPr>
          <w:sz w:val="21"/>
        </w:rPr>
        <w:t>指貌似健康的人因潜在疾病、机能障碍或其他原因在出现症状后</w:t>
      </w:r>
      <w:r>
        <w:rPr>
          <w:spacing w:val="-20"/>
          <w:sz w:val="21"/>
        </w:rPr>
        <w:t xml:space="preserve"> </w:t>
      </w:r>
      <w:r>
        <w:rPr>
          <w:sz w:val="21"/>
        </w:rPr>
        <w:t>24</w:t>
      </w:r>
      <w:r>
        <w:rPr>
          <w:spacing w:val="-21"/>
          <w:sz w:val="21"/>
        </w:rPr>
        <w:t xml:space="preserve"> </w:t>
      </w:r>
      <w:r>
        <w:rPr>
          <w:sz w:val="21"/>
        </w:rPr>
        <w:t>小时内</w:t>
      </w:r>
      <w:r>
        <w:rPr>
          <w:spacing w:val="-2"/>
          <w:sz w:val="21"/>
        </w:rPr>
        <w:t>发生的非暴力性突然死亡。猝死的认可，如果有司法机关的法律文件、医疗机构的诊断书等，则以上述法律文件、诊断书等为准。</w:t>
      </w:r>
    </w:p>
    <w:p>
      <w:pPr>
        <w:pStyle w:val="4"/>
        <w:spacing w:before="5"/>
        <w:rPr>
          <w:sz w:val="24"/>
        </w:rPr>
      </w:pPr>
    </w:p>
    <w:p>
      <w:pPr>
        <w:pStyle w:val="9"/>
        <w:numPr>
          <w:ilvl w:val="1"/>
          <w:numId w:val="24"/>
        </w:numPr>
        <w:tabs>
          <w:tab w:val="left" w:pos="1179"/>
        </w:tabs>
        <w:spacing w:before="0" w:after="0" w:line="278" w:lineRule="auto"/>
        <w:ind w:left="3038" w:right="793" w:hanging="2818"/>
        <w:jc w:val="both"/>
        <w:rPr>
          <w:sz w:val="21"/>
        </w:rPr>
      </w:pPr>
      <w:r>
        <w:rPr>
          <w:b/>
          <w:sz w:val="21"/>
        </w:rPr>
        <w:t>重度疾病</w:t>
      </w:r>
      <w:r>
        <w:rPr>
          <w:b/>
          <w:spacing w:val="909"/>
          <w:sz w:val="21"/>
        </w:rPr>
        <w:t xml:space="preserve"> </w:t>
      </w:r>
      <w:r>
        <w:rPr>
          <w:sz w:val="21"/>
        </w:rPr>
        <w:t>本合同所称重度疾病是指由</w:t>
      </w:r>
      <w:r>
        <w:rPr>
          <w:b/>
          <w:sz w:val="21"/>
        </w:rPr>
        <w:t>医院</w:t>
      </w:r>
      <w:r>
        <w:rPr>
          <w:sz w:val="21"/>
        </w:rPr>
        <w:t>（见 10.9）</w:t>
      </w:r>
      <w:r>
        <w:rPr>
          <w:b/>
          <w:sz w:val="21"/>
        </w:rPr>
        <w:t>专科医生</w:t>
      </w:r>
      <w:r>
        <w:rPr>
          <w:sz w:val="21"/>
        </w:rPr>
        <w:t>（见 10.10）明确诊</w:t>
      </w:r>
      <w:r>
        <w:rPr>
          <w:spacing w:val="-6"/>
          <w:sz w:val="21"/>
        </w:rPr>
        <w:t>断，被保险人发生的符合本合同所附《重度疾病列表及定义》</w:t>
      </w:r>
      <w:r>
        <w:rPr>
          <w:spacing w:val="-2"/>
          <w:sz w:val="21"/>
        </w:rPr>
        <w:t xml:space="preserve">（附表一）条件的疾病、疾病状态或手术。本合同所使用的第 </w:t>
      </w:r>
      <w:r>
        <w:rPr>
          <w:sz w:val="21"/>
        </w:rPr>
        <w:t>1-28</w:t>
      </w:r>
      <w:r>
        <w:rPr>
          <w:spacing w:val="-2"/>
          <w:sz w:val="21"/>
        </w:rPr>
        <w:t xml:space="preserve"> 项重度疾病的定义同</w:t>
      </w:r>
      <w:r>
        <w:rPr>
          <w:spacing w:val="-4"/>
          <w:sz w:val="21"/>
        </w:rPr>
        <w:t>中国保险行业协会发布的《重大疾病保险的疾病定义使用规范（2020 年修订</w:t>
      </w:r>
      <w:r>
        <w:rPr>
          <w:sz w:val="21"/>
        </w:rPr>
        <w:t>版</w:t>
      </w:r>
      <w:r>
        <w:rPr>
          <w:spacing w:val="-106"/>
          <w:sz w:val="21"/>
        </w:rPr>
        <w:t>）</w:t>
      </w:r>
      <w:r>
        <w:rPr>
          <w:spacing w:val="-5"/>
          <w:sz w:val="21"/>
        </w:rPr>
        <w:t xml:space="preserve">》一致，第 </w:t>
      </w:r>
      <w:r>
        <w:rPr>
          <w:sz w:val="21"/>
        </w:rPr>
        <w:t>29-123</w:t>
      </w:r>
      <w:r>
        <w:rPr>
          <w:spacing w:val="-5"/>
          <w:sz w:val="21"/>
        </w:rPr>
        <w:t xml:space="preserve"> 项为本公司增加的疾病种类。</w:t>
      </w:r>
    </w:p>
    <w:p>
      <w:pPr>
        <w:pStyle w:val="4"/>
        <w:spacing w:before="4"/>
        <w:rPr>
          <w:sz w:val="24"/>
        </w:rPr>
      </w:pPr>
    </w:p>
    <w:p>
      <w:pPr>
        <w:pStyle w:val="9"/>
        <w:numPr>
          <w:ilvl w:val="1"/>
          <w:numId w:val="24"/>
        </w:numPr>
        <w:tabs>
          <w:tab w:val="left" w:pos="1179"/>
          <w:tab w:val="left" w:pos="3037"/>
        </w:tabs>
        <w:spacing w:before="0" w:after="0" w:line="278" w:lineRule="auto"/>
        <w:ind w:left="3038" w:right="796" w:hanging="2818"/>
        <w:jc w:val="both"/>
        <w:rPr>
          <w:sz w:val="21"/>
        </w:rPr>
      </w:pPr>
      <w:r>
        <w:rPr>
          <w:b/>
          <w:spacing w:val="-6"/>
          <w:sz w:val="21"/>
        </w:rPr>
        <w:t>医院</w:t>
      </w:r>
      <w:r>
        <w:rPr>
          <w:b/>
          <w:sz w:val="21"/>
        </w:rPr>
        <w:tab/>
      </w:r>
      <w:r>
        <w:rPr>
          <w:spacing w:val="-2"/>
          <w:w w:val="95"/>
          <w:sz w:val="21"/>
        </w:rPr>
        <w:t>指经中华人民共和国卫生部门评审确定的二级及以上的公立医院，</w:t>
      </w:r>
      <w:r>
        <w:rPr>
          <w:rFonts w:ascii="黑体" w:eastAsia="黑体"/>
          <w:color w:val="000000"/>
          <w:spacing w:val="-2"/>
          <w:w w:val="95"/>
          <w:sz w:val="21"/>
          <w:shd w:val="clear" w:color="auto" w:fill="D9D9D9"/>
        </w:rPr>
        <w:t>但不包括</w:t>
      </w:r>
      <w:r>
        <w:rPr>
          <w:rFonts w:ascii="黑体" w:eastAsia="黑体"/>
          <w:color w:val="000000"/>
          <w:spacing w:val="13359"/>
          <w:w w:val="95"/>
          <w:sz w:val="21"/>
          <w:shd w:val="clear" w:color="auto" w:fill="D9D9D9"/>
        </w:rPr>
        <w:t xml:space="preserve"> </w:t>
      </w:r>
      <w:r>
        <w:rPr>
          <w:rFonts w:ascii="黑体" w:eastAsia="黑体"/>
          <w:color w:val="000000"/>
          <w:spacing w:val="-2"/>
          <w:sz w:val="21"/>
          <w:shd w:val="clear" w:color="auto" w:fill="D9D9D9"/>
        </w:rPr>
        <w:t>精神病院及专供康复、休养、戒毒、戒酒、护理、养老等非以直接诊治病人为目的的医疗机构。</w:t>
      </w:r>
      <w:r>
        <w:rPr>
          <w:color w:val="000000"/>
          <w:spacing w:val="-2"/>
          <w:sz w:val="21"/>
        </w:rPr>
        <w:t>该医院必须具有符合国家有关医院管理规则设置标准的</w:t>
      </w:r>
      <w:r>
        <w:rPr>
          <w:color w:val="000000"/>
          <w:sz w:val="21"/>
        </w:rPr>
        <w:t>医疗设备，且全天 24 小时有合格医师及护士驻院提供医疗及护理服务。</w:t>
      </w:r>
    </w:p>
    <w:p>
      <w:pPr>
        <w:spacing w:after="0" w:line="278" w:lineRule="auto"/>
        <w:jc w:val="both"/>
        <w:rPr>
          <w:sz w:val="21"/>
        </w:rPr>
        <w:sectPr>
          <w:type w:val="continuous"/>
          <w:pgSz w:w="11910" w:h="16840"/>
          <w:pgMar w:top="240" w:right="340" w:bottom="640" w:left="800" w:header="0" w:footer="457" w:gutter="0"/>
          <w:cols w:space="720" w:num="1"/>
        </w:sectPr>
      </w:pPr>
    </w:p>
    <w:tbl>
      <w:tblPr>
        <w:tblStyle w:val="6"/>
        <w:tblW w:w="0" w:type="auto"/>
        <w:tblInd w:w="17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93"/>
        <w:gridCol w:w="1884"/>
        <w:gridCol w:w="727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02" w:hRule="atLeast"/>
        </w:trPr>
        <w:tc>
          <w:tcPr>
            <w:tcW w:w="793" w:type="dxa"/>
          </w:tcPr>
          <w:p>
            <w:pPr>
              <w:pStyle w:val="10"/>
              <w:spacing w:before="0" w:line="237" w:lineRule="exact"/>
              <w:ind w:left="50"/>
              <w:rPr>
                <w:b/>
                <w:sz w:val="21"/>
              </w:rPr>
            </w:pPr>
            <w:r>
              <w:rPr>
                <w:b/>
                <w:spacing w:val="-2"/>
                <w:sz w:val="21"/>
              </w:rPr>
              <w:t>10.10</w:t>
            </w:r>
          </w:p>
        </w:tc>
        <w:tc>
          <w:tcPr>
            <w:tcW w:w="1884" w:type="dxa"/>
          </w:tcPr>
          <w:p>
            <w:pPr>
              <w:pStyle w:val="10"/>
              <w:spacing w:before="0" w:line="237" w:lineRule="exact"/>
              <w:ind w:left="215"/>
              <w:rPr>
                <w:b/>
                <w:sz w:val="21"/>
              </w:rPr>
            </w:pPr>
            <w:r>
              <w:rPr>
                <w:b/>
                <w:spacing w:val="-3"/>
                <w:sz w:val="21"/>
              </w:rPr>
              <w:t>专科医生</w:t>
            </w:r>
          </w:p>
        </w:tc>
        <w:tc>
          <w:tcPr>
            <w:tcW w:w="7279" w:type="dxa"/>
          </w:tcPr>
          <w:p>
            <w:pPr>
              <w:pStyle w:val="10"/>
              <w:spacing w:before="0" w:line="237" w:lineRule="exact"/>
              <w:ind w:left="190"/>
              <w:rPr>
                <w:sz w:val="21"/>
              </w:rPr>
            </w:pPr>
            <w:r>
              <w:rPr>
                <w:spacing w:val="-3"/>
                <w:sz w:val="21"/>
              </w:rPr>
              <w:t>专科医生应当同时满足以下四项资格条件：</w:t>
            </w:r>
          </w:p>
          <w:p>
            <w:pPr>
              <w:pStyle w:val="10"/>
              <w:numPr>
                <w:ilvl w:val="0"/>
                <w:numId w:val="25"/>
              </w:numPr>
              <w:tabs>
                <w:tab w:val="left" w:pos="721"/>
              </w:tabs>
              <w:spacing w:before="43" w:after="0" w:line="240" w:lineRule="auto"/>
              <w:ind w:left="720" w:right="0" w:hanging="531"/>
              <w:jc w:val="left"/>
              <w:rPr>
                <w:sz w:val="21"/>
              </w:rPr>
            </w:pPr>
            <w:r>
              <w:rPr>
                <w:spacing w:val="-9"/>
                <w:sz w:val="21"/>
              </w:rPr>
              <w:t>具有有效的中华人民共和国《医师资格证书》；</w:t>
            </w:r>
          </w:p>
          <w:p>
            <w:pPr>
              <w:pStyle w:val="10"/>
              <w:numPr>
                <w:ilvl w:val="0"/>
                <w:numId w:val="25"/>
              </w:numPr>
              <w:tabs>
                <w:tab w:val="left" w:pos="719"/>
              </w:tabs>
              <w:spacing w:before="43" w:after="0" w:line="278" w:lineRule="auto"/>
              <w:ind w:left="190" w:right="155" w:firstLine="0"/>
              <w:jc w:val="left"/>
              <w:rPr>
                <w:sz w:val="21"/>
              </w:rPr>
            </w:pPr>
            <w:r>
              <w:rPr>
                <w:spacing w:val="-8"/>
                <w:sz w:val="21"/>
              </w:rPr>
              <w:t>具有有效的中华人民共和国《医师执业证书》，并按期到相关部门登记</w:t>
            </w:r>
            <w:r>
              <w:rPr>
                <w:spacing w:val="-4"/>
                <w:sz w:val="21"/>
              </w:rPr>
              <w:t>注册；</w:t>
            </w:r>
          </w:p>
          <w:p>
            <w:pPr>
              <w:pStyle w:val="10"/>
              <w:numPr>
                <w:ilvl w:val="0"/>
                <w:numId w:val="25"/>
              </w:numPr>
              <w:tabs>
                <w:tab w:val="left" w:pos="721"/>
              </w:tabs>
              <w:spacing w:before="0" w:after="0" w:line="278" w:lineRule="auto"/>
              <w:ind w:left="190" w:right="256" w:firstLine="0"/>
              <w:jc w:val="left"/>
              <w:rPr>
                <w:sz w:val="21"/>
              </w:rPr>
            </w:pPr>
            <w:r>
              <w:rPr>
                <w:spacing w:val="-2"/>
                <w:sz w:val="21"/>
              </w:rPr>
              <w:t>具有有效的中华人民共和国主治医师或主治医师以上职称的《医师职</w:t>
            </w:r>
            <w:r>
              <w:rPr>
                <w:spacing w:val="-25"/>
                <w:sz w:val="21"/>
              </w:rPr>
              <w:t>称证书》；</w:t>
            </w:r>
          </w:p>
          <w:p>
            <w:pPr>
              <w:pStyle w:val="10"/>
              <w:numPr>
                <w:ilvl w:val="0"/>
                <w:numId w:val="25"/>
              </w:numPr>
              <w:tabs>
                <w:tab w:val="left" w:pos="721"/>
              </w:tabs>
              <w:spacing w:before="0" w:after="0" w:line="278" w:lineRule="auto"/>
              <w:ind w:left="190" w:right="256" w:firstLine="0"/>
              <w:jc w:val="left"/>
              <w:rPr>
                <w:sz w:val="21"/>
              </w:rPr>
            </w:pPr>
            <w:r>
              <w:rPr>
                <w:spacing w:val="-2"/>
                <w:sz w:val="21"/>
              </w:rPr>
              <w:t>在国家《医院分级管理标准》二级或二级以上医院的相应科室从事临床工作三年以上。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36" w:hRule="atLeast"/>
        </w:trPr>
        <w:tc>
          <w:tcPr>
            <w:tcW w:w="793" w:type="dxa"/>
          </w:tcPr>
          <w:p>
            <w:pPr>
              <w:pStyle w:val="10"/>
              <w:spacing w:before="175"/>
              <w:ind w:left="50"/>
              <w:rPr>
                <w:b/>
                <w:sz w:val="21"/>
              </w:rPr>
            </w:pPr>
            <w:r>
              <w:rPr>
                <w:b/>
                <w:spacing w:val="-2"/>
                <w:sz w:val="21"/>
              </w:rPr>
              <w:t>10.11</w:t>
            </w:r>
          </w:p>
        </w:tc>
        <w:tc>
          <w:tcPr>
            <w:tcW w:w="1884" w:type="dxa"/>
          </w:tcPr>
          <w:p>
            <w:pPr>
              <w:pStyle w:val="10"/>
              <w:spacing w:before="175"/>
              <w:ind w:left="215"/>
              <w:rPr>
                <w:b/>
                <w:sz w:val="21"/>
              </w:rPr>
            </w:pPr>
            <w:r>
              <w:rPr>
                <w:b/>
                <w:spacing w:val="-3"/>
                <w:sz w:val="21"/>
              </w:rPr>
              <w:t>初次确诊</w:t>
            </w:r>
          </w:p>
        </w:tc>
        <w:tc>
          <w:tcPr>
            <w:tcW w:w="7279" w:type="dxa"/>
          </w:tcPr>
          <w:p>
            <w:pPr>
              <w:pStyle w:val="10"/>
              <w:spacing w:before="175" w:line="278" w:lineRule="auto"/>
              <w:ind w:left="190" w:right="153"/>
              <w:rPr>
                <w:sz w:val="21"/>
              </w:rPr>
            </w:pPr>
            <w:r>
              <w:rPr>
                <w:spacing w:val="-2"/>
                <w:sz w:val="21"/>
              </w:rPr>
              <w:t>指自被保险人出生之日起第一次经医院确诊患有某种疾病，</w:t>
            </w:r>
            <w:r>
              <w:rPr>
                <w:rFonts w:ascii="黑体" w:eastAsia="黑体"/>
                <w:color w:val="000000"/>
                <w:spacing w:val="-2"/>
                <w:sz w:val="21"/>
                <w:shd w:val="clear" w:color="auto" w:fill="D9D9D9"/>
              </w:rPr>
              <w:t>而不是指自本合</w:t>
            </w:r>
            <w:r>
              <w:rPr>
                <w:rFonts w:ascii="黑体" w:eastAsia="黑体"/>
                <w:color w:val="000000"/>
                <w:spacing w:val="80"/>
                <w:w w:val="150"/>
                <w:sz w:val="21"/>
                <w:shd w:val="clear" w:color="auto" w:fill="D9D9D9"/>
              </w:rPr>
              <w:t xml:space="preserve">                                     </w:t>
            </w:r>
            <w:r>
              <w:rPr>
                <w:rFonts w:ascii="黑体" w:eastAsia="黑体"/>
                <w:color w:val="000000"/>
                <w:spacing w:val="-2"/>
                <w:sz w:val="21"/>
                <w:shd w:val="clear" w:color="auto" w:fill="D9D9D9"/>
              </w:rPr>
              <w:t>同生效、复效之后第一次经医院确诊患有某种疾病</w:t>
            </w:r>
            <w:r>
              <w:rPr>
                <w:color w:val="000000"/>
                <w:spacing w:val="-2"/>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872" w:hRule="atLeast"/>
        </w:trPr>
        <w:tc>
          <w:tcPr>
            <w:tcW w:w="793" w:type="dxa"/>
          </w:tcPr>
          <w:p>
            <w:pPr>
              <w:pStyle w:val="10"/>
              <w:spacing w:before="175"/>
              <w:ind w:left="50"/>
              <w:rPr>
                <w:b/>
                <w:sz w:val="21"/>
              </w:rPr>
            </w:pPr>
            <w:r>
              <w:rPr>
                <w:b/>
                <w:spacing w:val="-2"/>
                <w:sz w:val="21"/>
              </w:rPr>
              <w:t>10.12</w:t>
            </w:r>
          </w:p>
        </w:tc>
        <w:tc>
          <w:tcPr>
            <w:tcW w:w="1884" w:type="dxa"/>
          </w:tcPr>
          <w:p>
            <w:pPr>
              <w:pStyle w:val="10"/>
              <w:spacing w:before="175"/>
              <w:ind w:left="215"/>
              <w:rPr>
                <w:b/>
                <w:sz w:val="21"/>
              </w:rPr>
            </w:pPr>
            <w:r>
              <w:rPr>
                <w:b/>
                <w:spacing w:val="-3"/>
                <w:sz w:val="21"/>
              </w:rPr>
              <w:t>轻度疾病</w:t>
            </w:r>
          </w:p>
        </w:tc>
        <w:tc>
          <w:tcPr>
            <w:tcW w:w="7279" w:type="dxa"/>
          </w:tcPr>
          <w:p>
            <w:pPr>
              <w:pStyle w:val="10"/>
              <w:spacing w:before="175" w:line="278" w:lineRule="auto"/>
              <w:ind w:left="190" w:right="47"/>
              <w:rPr>
                <w:sz w:val="21"/>
              </w:rPr>
            </w:pPr>
            <w:r>
              <w:rPr>
                <w:spacing w:val="-2"/>
                <w:sz w:val="21"/>
              </w:rPr>
              <w:t>本合同所称轻度疾病是指由医院专科医生明确诊断，被保险人发生的符合本</w:t>
            </w:r>
            <w:r>
              <w:rPr>
                <w:spacing w:val="-10"/>
                <w:sz w:val="21"/>
              </w:rPr>
              <w:t>合同所附《轻度疾病列表及定义》</w:t>
            </w:r>
            <w:r>
              <w:rPr>
                <w:spacing w:val="-2"/>
                <w:sz w:val="21"/>
              </w:rPr>
              <w:t>（附表二）条件的疾病、疾病状态或手术。</w:t>
            </w:r>
            <w:r>
              <w:rPr>
                <w:spacing w:val="-3"/>
                <w:sz w:val="21"/>
              </w:rPr>
              <w:t xml:space="preserve">本合同所使用的第 </w:t>
            </w:r>
            <w:r>
              <w:rPr>
                <w:sz w:val="21"/>
              </w:rPr>
              <w:t>1-3</w:t>
            </w:r>
            <w:r>
              <w:rPr>
                <w:spacing w:val="-5"/>
                <w:sz w:val="21"/>
              </w:rPr>
              <w:t xml:space="preserve"> 项轻度疾病的定义同中国保险行业协会发布的《重大</w:t>
            </w:r>
            <w:r>
              <w:rPr>
                <w:sz w:val="21"/>
              </w:rPr>
              <w:t>疾病保险的疾病定义使用规范（2020</w:t>
            </w:r>
            <w:r>
              <w:rPr>
                <w:spacing w:val="-10"/>
                <w:sz w:val="21"/>
              </w:rPr>
              <w:t xml:space="preserve"> 年修订版</w:t>
            </w:r>
            <w:r>
              <w:rPr>
                <w:spacing w:val="-106"/>
                <w:sz w:val="21"/>
              </w:rPr>
              <w:t>）</w:t>
            </w:r>
            <w:r>
              <w:rPr>
                <w:spacing w:val="-8"/>
                <w:sz w:val="21"/>
              </w:rPr>
              <w:t xml:space="preserve">》一致，第 </w:t>
            </w:r>
            <w:r>
              <w:rPr>
                <w:sz w:val="21"/>
              </w:rPr>
              <w:t>4-50</w:t>
            </w:r>
            <w:r>
              <w:rPr>
                <w:spacing w:val="-9"/>
                <w:sz w:val="21"/>
              </w:rPr>
              <w:t xml:space="preserve"> 项为本公司</w:t>
            </w:r>
            <w:r>
              <w:rPr>
                <w:spacing w:val="-2"/>
                <w:sz w:val="21"/>
              </w:rPr>
              <w:t>增加的疾病种类。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560" w:hRule="atLeast"/>
        </w:trPr>
        <w:tc>
          <w:tcPr>
            <w:tcW w:w="793" w:type="dxa"/>
          </w:tcPr>
          <w:p>
            <w:pPr>
              <w:pStyle w:val="10"/>
              <w:spacing w:before="174"/>
              <w:ind w:left="50"/>
              <w:rPr>
                <w:b/>
                <w:sz w:val="21"/>
              </w:rPr>
            </w:pPr>
            <w:r>
              <w:rPr>
                <w:b/>
                <w:spacing w:val="-2"/>
                <w:sz w:val="21"/>
              </w:rPr>
              <w:t>10.13</w:t>
            </w:r>
          </w:p>
        </w:tc>
        <w:tc>
          <w:tcPr>
            <w:tcW w:w="1884" w:type="dxa"/>
          </w:tcPr>
          <w:p>
            <w:pPr>
              <w:pStyle w:val="10"/>
              <w:spacing w:before="174"/>
              <w:ind w:left="215"/>
              <w:rPr>
                <w:b/>
                <w:sz w:val="21"/>
              </w:rPr>
            </w:pPr>
            <w:r>
              <w:rPr>
                <w:b/>
                <w:spacing w:val="-5"/>
                <w:sz w:val="21"/>
              </w:rPr>
              <w:t>毒品</w:t>
            </w:r>
          </w:p>
        </w:tc>
        <w:tc>
          <w:tcPr>
            <w:tcW w:w="7279" w:type="dxa"/>
          </w:tcPr>
          <w:p>
            <w:pPr>
              <w:pStyle w:val="10"/>
              <w:spacing w:before="174" w:line="278" w:lineRule="auto"/>
              <w:ind w:left="190" w:right="153"/>
              <w:rPr>
                <w:sz w:val="21"/>
              </w:rPr>
            </w:pPr>
            <w:r>
              <w:rPr>
                <w:spacing w:val="-2"/>
                <w:sz w:val="21"/>
              </w:rPr>
              <w:t>指《中华人民共和国刑法》规定的鸦片、海洛因、甲基苯丙胺（冰毒</w:t>
            </w:r>
            <w:r>
              <w:rPr>
                <w:spacing w:val="-108"/>
                <w:sz w:val="21"/>
              </w:rPr>
              <w:t>）</w:t>
            </w:r>
            <w:r>
              <w:rPr>
                <w:spacing w:val="-2"/>
                <w:sz w:val="21"/>
              </w:rPr>
              <w:t>、吗啡、大麻、可卡因以及国家规定管制的其他能够使人形成瘾癖的麻醉药品和精神药品，但不包括由医生开具并遵医嘱使用的用于治疗疾病但含有毒品成分的处方药品。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48" w:hRule="atLeast"/>
        </w:trPr>
        <w:tc>
          <w:tcPr>
            <w:tcW w:w="793" w:type="dxa"/>
          </w:tcPr>
          <w:p>
            <w:pPr>
              <w:pStyle w:val="10"/>
              <w:spacing w:before="174"/>
              <w:ind w:left="50"/>
              <w:rPr>
                <w:b/>
                <w:sz w:val="21"/>
              </w:rPr>
            </w:pPr>
            <w:r>
              <w:rPr>
                <w:b/>
                <w:spacing w:val="-2"/>
                <w:sz w:val="21"/>
              </w:rPr>
              <w:t>10.14</w:t>
            </w:r>
          </w:p>
        </w:tc>
        <w:tc>
          <w:tcPr>
            <w:tcW w:w="1884" w:type="dxa"/>
          </w:tcPr>
          <w:p>
            <w:pPr>
              <w:pStyle w:val="10"/>
              <w:spacing w:before="174"/>
              <w:ind w:left="215"/>
              <w:rPr>
                <w:b/>
                <w:sz w:val="21"/>
              </w:rPr>
            </w:pPr>
            <w:r>
              <w:rPr>
                <w:b/>
                <w:spacing w:val="-3"/>
                <w:sz w:val="21"/>
              </w:rPr>
              <w:t>酒后驾驶</w:t>
            </w:r>
          </w:p>
        </w:tc>
        <w:tc>
          <w:tcPr>
            <w:tcW w:w="7279" w:type="dxa"/>
          </w:tcPr>
          <w:p>
            <w:pPr>
              <w:pStyle w:val="10"/>
              <w:spacing w:before="174" w:line="278" w:lineRule="auto"/>
              <w:ind w:left="190" w:right="153"/>
              <w:jc w:val="both"/>
              <w:rPr>
                <w:sz w:val="21"/>
              </w:rPr>
            </w:pPr>
            <w:r>
              <w:rPr>
                <w:spacing w:val="-2"/>
                <w:sz w:val="21"/>
              </w:rPr>
              <w:t>指经检测或鉴定，发生事故时车辆驾驶人员每百毫升血液中的酒精含量达到或超过一定的标准，公安机关交通管理部门依据《中华人民共和国道路交通安全法》的规定认定为饮酒后驾驶或醉酒后驾驶。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08" w:hRule="atLeast"/>
        </w:trPr>
        <w:tc>
          <w:tcPr>
            <w:tcW w:w="793" w:type="dxa"/>
          </w:tcPr>
          <w:p>
            <w:pPr>
              <w:pStyle w:val="10"/>
              <w:spacing w:before="175"/>
              <w:ind w:left="50"/>
              <w:rPr>
                <w:b/>
                <w:sz w:val="21"/>
              </w:rPr>
            </w:pPr>
            <w:r>
              <w:rPr>
                <w:b/>
                <w:spacing w:val="-2"/>
                <w:sz w:val="21"/>
              </w:rPr>
              <w:t>10.15</w:t>
            </w:r>
          </w:p>
        </w:tc>
        <w:tc>
          <w:tcPr>
            <w:tcW w:w="1884" w:type="dxa"/>
          </w:tcPr>
          <w:p>
            <w:pPr>
              <w:pStyle w:val="10"/>
              <w:spacing w:before="175" w:line="278" w:lineRule="auto"/>
              <w:ind w:left="215" w:right="188"/>
              <w:rPr>
                <w:b/>
                <w:sz w:val="21"/>
              </w:rPr>
            </w:pPr>
            <w:r>
              <w:rPr>
                <w:b/>
                <w:spacing w:val="-2"/>
                <w:sz w:val="21"/>
              </w:rPr>
              <w:t>无合法有效驾驶</w:t>
            </w:r>
            <w:r>
              <w:rPr>
                <w:b/>
                <w:spacing w:val="-4"/>
                <w:sz w:val="21"/>
              </w:rPr>
              <w:t>证驾驶</w:t>
            </w:r>
          </w:p>
        </w:tc>
        <w:tc>
          <w:tcPr>
            <w:tcW w:w="7279" w:type="dxa"/>
          </w:tcPr>
          <w:p>
            <w:pPr>
              <w:pStyle w:val="10"/>
              <w:spacing w:before="175"/>
              <w:ind w:left="190"/>
              <w:rPr>
                <w:sz w:val="21"/>
              </w:rPr>
            </w:pPr>
            <w:r>
              <w:rPr>
                <w:spacing w:val="-4"/>
                <w:sz w:val="21"/>
              </w:rPr>
              <w:t>指下列情形之一：</w:t>
            </w:r>
          </w:p>
          <w:p>
            <w:pPr>
              <w:pStyle w:val="10"/>
              <w:numPr>
                <w:ilvl w:val="0"/>
                <w:numId w:val="26"/>
              </w:numPr>
              <w:tabs>
                <w:tab w:val="left" w:pos="721"/>
              </w:tabs>
              <w:spacing w:before="42" w:after="0" w:line="240" w:lineRule="auto"/>
              <w:ind w:left="720" w:right="0" w:hanging="531"/>
              <w:jc w:val="left"/>
              <w:rPr>
                <w:sz w:val="21"/>
              </w:rPr>
            </w:pPr>
            <w:r>
              <w:rPr>
                <w:spacing w:val="-4"/>
                <w:sz w:val="21"/>
              </w:rPr>
              <w:t>没有驾驶证驾驶；</w:t>
            </w:r>
          </w:p>
          <w:p>
            <w:pPr>
              <w:pStyle w:val="10"/>
              <w:numPr>
                <w:ilvl w:val="0"/>
                <w:numId w:val="26"/>
              </w:numPr>
              <w:tabs>
                <w:tab w:val="left" w:pos="721"/>
              </w:tabs>
              <w:spacing w:before="43" w:after="0" w:line="240" w:lineRule="auto"/>
              <w:ind w:left="720" w:right="0" w:hanging="531"/>
              <w:jc w:val="left"/>
              <w:rPr>
                <w:sz w:val="21"/>
              </w:rPr>
            </w:pPr>
            <w:r>
              <w:rPr>
                <w:spacing w:val="-3"/>
                <w:sz w:val="21"/>
              </w:rPr>
              <w:t>驾驶与驾驶证准驾车型不相符合的车辆；</w:t>
            </w:r>
          </w:p>
          <w:p>
            <w:pPr>
              <w:pStyle w:val="10"/>
              <w:numPr>
                <w:ilvl w:val="0"/>
                <w:numId w:val="26"/>
              </w:numPr>
              <w:tabs>
                <w:tab w:val="left" w:pos="721"/>
              </w:tabs>
              <w:spacing w:before="43" w:after="0" w:line="240" w:lineRule="auto"/>
              <w:ind w:left="720" w:right="0" w:hanging="531"/>
              <w:jc w:val="left"/>
              <w:rPr>
                <w:sz w:val="21"/>
              </w:rPr>
            </w:pPr>
            <w:r>
              <w:rPr>
                <w:spacing w:val="-3"/>
                <w:sz w:val="21"/>
              </w:rPr>
              <w:t>驾驶员持审验不合格的驾驶证驾驶；</w:t>
            </w:r>
          </w:p>
          <w:p>
            <w:pPr>
              <w:pStyle w:val="10"/>
              <w:numPr>
                <w:ilvl w:val="0"/>
                <w:numId w:val="26"/>
              </w:numPr>
              <w:tabs>
                <w:tab w:val="left" w:pos="721"/>
              </w:tabs>
              <w:spacing w:before="43" w:after="0" w:line="240" w:lineRule="auto"/>
              <w:ind w:left="720" w:right="0" w:hanging="531"/>
              <w:jc w:val="left"/>
              <w:rPr>
                <w:sz w:val="21"/>
              </w:rPr>
            </w:pPr>
            <w:r>
              <w:rPr>
                <w:spacing w:val="-3"/>
                <w:sz w:val="21"/>
              </w:rPr>
              <w:t>未经公安交通管理部门同意，持未审验的驾驶证驾驶；</w:t>
            </w:r>
          </w:p>
          <w:p>
            <w:pPr>
              <w:pStyle w:val="10"/>
              <w:numPr>
                <w:ilvl w:val="0"/>
                <w:numId w:val="26"/>
              </w:numPr>
              <w:tabs>
                <w:tab w:val="left" w:pos="721"/>
              </w:tabs>
              <w:spacing w:before="43" w:after="0" w:line="278" w:lineRule="auto"/>
              <w:ind w:left="717" w:right="256" w:hanging="527"/>
              <w:jc w:val="left"/>
              <w:rPr>
                <w:sz w:val="21"/>
              </w:rPr>
            </w:pPr>
            <w:r>
              <w:rPr>
                <w:spacing w:val="-2"/>
                <w:sz w:val="21"/>
              </w:rPr>
              <w:t>持学习驾驶证学习驾车时，无教练员随车指导，或不按指定时间、路线学习驾车；</w:t>
            </w:r>
          </w:p>
          <w:p>
            <w:pPr>
              <w:pStyle w:val="10"/>
              <w:numPr>
                <w:ilvl w:val="0"/>
                <w:numId w:val="26"/>
              </w:numPr>
              <w:tabs>
                <w:tab w:val="left" w:pos="721"/>
              </w:tabs>
              <w:spacing w:before="0" w:after="0" w:line="269" w:lineRule="exact"/>
              <w:ind w:left="720" w:right="0" w:hanging="531"/>
              <w:jc w:val="left"/>
              <w:rPr>
                <w:sz w:val="21"/>
              </w:rPr>
            </w:pPr>
            <w:r>
              <w:rPr>
                <w:spacing w:val="-3"/>
                <w:sz w:val="21"/>
              </w:rPr>
              <w:t>公安交通管理部门规定的其他无有效驾驶证驾驶的情况。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560" w:hRule="atLeast"/>
        </w:trPr>
        <w:tc>
          <w:tcPr>
            <w:tcW w:w="793" w:type="dxa"/>
          </w:tcPr>
          <w:p>
            <w:pPr>
              <w:pStyle w:val="10"/>
              <w:spacing w:before="175"/>
              <w:ind w:left="50"/>
              <w:rPr>
                <w:b/>
                <w:sz w:val="21"/>
              </w:rPr>
            </w:pPr>
            <w:r>
              <w:rPr>
                <w:b/>
                <w:spacing w:val="-2"/>
                <w:sz w:val="21"/>
              </w:rPr>
              <w:t>10.16</w:t>
            </w:r>
          </w:p>
        </w:tc>
        <w:tc>
          <w:tcPr>
            <w:tcW w:w="1884" w:type="dxa"/>
          </w:tcPr>
          <w:p>
            <w:pPr>
              <w:pStyle w:val="10"/>
              <w:spacing w:before="175"/>
              <w:ind w:left="215"/>
              <w:rPr>
                <w:b/>
                <w:sz w:val="21"/>
              </w:rPr>
            </w:pPr>
            <w:r>
              <w:rPr>
                <w:b/>
                <w:spacing w:val="-2"/>
                <w:sz w:val="21"/>
              </w:rPr>
              <w:t>无有效行驶证</w:t>
            </w:r>
          </w:p>
        </w:tc>
        <w:tc>
          <w:tcPr>
            <w:tcW w:w="7279" w:type="dxa"/>
          </w:tcPr>
          <w:p>
            <w:pPr>
              <w:pStyle w:val="10"/>
              <w:spacing w:before="175"/>
              <w:ind w:left="190"/>
              <w:rPr>
                <w:sz w:val="21"/>
              </w:rPr>
            </w:pPr>
            <w:r>
              <w:rPr>
                <w:spacing w:val="-4"/>
                <w:sz w:val="21"/>
              </w:rPr>
              <w:t>指下列情形之一：</w:t>
            </w:r>
          </w:p>
          <w:p>
            <w:pPr>
              <w:pStyle w:val="10"/>
              <w:numPr>
                <w:ilvl w:val="0"/>
                <w:numId w:val="27"/>
              </w:numPr>
              <w:tabs>
                <w:tab w:val="left" w:pos="721"/>
              </w:tabs>
              <w:spacing w:before="43" w:after="0" w:line="240" w:lineRule="auto"/>
              <w:ind w:left="720" w:right="0" w:hanging="531"/>
              <w:jc w:val="left"/>
              <w:rPr>
                <w:sz w:val="21"/>
              </w:rPr>
            </w:pPr>
            <w:r>
              <w:rPr>
                <w:spacing w:val="-4"/>
                <w:sz w:val="21"/>
              </w:rPr>
              <w:t>未取得行驶证；</w:t>
            </w:r>
          </w:p>
          <w:p>
            <w:pPr>
              <w:pStyle w:val="10"/>
              <w:numPr>
                <w:ilvl w:val="0"/>
                <w:numId w:val="27"/>
              </w:numPr>
              <w:tabs>
                <w:tab w:val="left" w:pos="721"/>
              </w:tabs>
              <w:spacing w:before="43" w:after="0" w:line="240" w:lineRule="auto"/>
              <w:ind w:left="720" w:right="0" w:hanging="531"/>
              <w:jc w:val="left"/>
              <w:rPr>
                <w:sz w:val="21"/>
              </w:rPr>
            </w:pPr>
            <w:r>
              <w:rPr>
                <w:spacing w:val="-3"/>
                <w:sz w:val="21"/>
              </w:rPr>
              <w:t>机动车被依法注销登记的；</w:t>
            </w:r>
          </w:p>
          <w:p>
            <w:pPr>
              <w:pStyle w:val="10"/>
              <w:numPr>
                <w:ilvl w:val="0"/>
                <w:numId w:val="27"/>
              </w:numPr>
              <w:tabs>
                <w:tab w:val="left" w:pos="721"/>
              </w:tabs>
              <w:spacing w:before="43" w:after="0" w:line="240" w:lineRule="auto"/>
              <w:ind w:left="720" w:right="0" w:hanging="531"/>
              <w:jc w:val="left"/>
              <w:rPr>
                <w:sz w:val="21"/>
              </w:rPr>
            </w:pPr>
            <w:r>
              <w:rPr>
                <w:spacing w:val="-3"/>
                <w:sz w:val="21"/>
              </w:rPr>
              <w:t>未依法按时进行或通过机动车安全技术检验。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35" w:hRule="atLeast"/>
        </w:trPr>
        <w:tc>
          <w:tcPr>
            <w:tcW w:w="793" w:type="dxa"/>
          </w:tcPr>
          <w:p>
            <w:pPr>
              <w:pStyle w:val="10"/>
              <w:spacing w:before="174"/>
              <w:ind w:left="50"/>
              <w:rPr>
                <w:b/>
                <w:sz w:val="21"/>
              </w:rPr>
            </w:pPr>
            <w:r>
              <w:rPr>
                <w:b/>
                <w:spacing w:val="-2"/>
                <w:sz w:val="21"/>
              </w:rPr>
              <w:t>10.17</w:t>
            </w:r>
          </w:p>
        </w:tc>
        <w:tc>
          <w:tcPr>
            <w:tcW w:w="1884" w:type="dxa"/>
          </w:tcPr>
          <w:p>
            <w:pPr>
              <w:pStyle w:val="10"/>
              <w:spacing w:before="174"/>
              <w:ind w:left="215"/>
              <w:rPr>
                <w:b/>
                <w:sz w:val="21"/>
              </w:rPr>
            </w:pPr>
            <w:r>
              <w:rPr>
                <w:b/>
                <w:spacing w:val="-4"/>
                <w:sz w:val="21"/>
              </w:rPr>
              <w:t>机动车</w:t>
            </w:r>
          </w:p>
        </w:tc>
        <w:tc>
          <w:tcPr>
            <w:tcW w:w="7279" w:type="dxa"/>
          </w:tcPr>
          <w:p>
            <w:pPr>
              <w:pStyle w:val="10"/>
              <w:spacing w:before="174" w:line="278" w:lineRule="auto"/>
              <w:ind w:left="190" w:right="153"/>
              <w:rPr>
                <w:sz w:val="21"/>
              </w:rPr>
            </w:pPr>
            <w:r>
              <w:rPr>
                <w:spacing w:val="-2"/>
                <w:sz w:val="21"/>
              </w:rPr>
              <w:t>指以动力装置驱动或者牵引，上道路行驶的供人员乘用或者用于运送物品以及进行工程专项作业的轮式车辆。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7" w:hRule="atLeast"/>
        </w:trPr>
        <w:tc>
          <w:tcPr>
            <w:tcW w:w="793" w:type="dxa"/>
          </w:tcPr>
          <w:p>
            <w:pPr>
              <w:pStyle w:val="10"/>
              <w:spacing w:before="174" w:line="223" w:lineRule="exact"/>
              <w:ind w:left="50"/>
              <w:rPr>
                <w:b/>
                <w:sz w:val="21"/>
              </w:rPr>
            </w:pPr>
            <w:r>
              <w:rPr>
                <w:b/>
                <w:spacing w:val="-2"/>
                <w:sz w:val="21"/>
              </w:rPr>
              <w:t>10.18</w:t>
            </w:r>
          </w:p>
        </w:tc>
        <w:tc>
          <w:tcPr>
            <w:tcW w:w="1884" w:type="dxa"/>
          </w:tcPr>
          <w:p>
            <w:pPr>
              <w:pStyle w:val="10"/>
              <w:spacing w:before="174" w:line="223" w:lineRule="exact"/>
              <w:ind w:left="215"/>
              <w:rPr>
                <w:b/>
                <w:sz w:val="21"/>
              </w:rPr>
            </w:pPr>
            <w:r>
              <w:rPr>
                <w:b/>
                <w:spacing w:val="-2"/>
                <w:sz w:val="21"/>
              </w:rPr>
              <w:t>感染艾滋病病毒</w:t>
            </w:r>
          </w:p>
        </w:tc>
        <w:tc>
          <w:tcPr>
            <w:tcW w:w="7279" w:type="dxa"/>
          </w:tcPr>
          <w:p>
            <w:pPr>
              <w:pStyle w:val="10"/>
              <w:spacing w:before="174" w:line="223" w:lineRule="exact"/>
              <w:ind w:left="190"/>
              <w:rPr>
                <w:sz w:val="21"/>
              </w:rPr>
            </w:pPr>
            <w:r>
              <w:rPr>
                <w:spacing w:val="-4"/>
                <w:sz w:val="21"/>
              </w:rPr>
              <w:t xml:space="preserve">艾滋病病毒指人类免疫缺陷病毒，英文缩写为 </w:t>
            </w:r>
            <w:r>
              <w:rPr>
                <w:spacing w:val="-2"/>
                <w:sz w:val="21"/>
              </w:rPr>
              <w:t>HIV</w:t>
            </w:r>
            <w:r>
              <w:rPr>
                <w:spacing w:val="-3"/>
                <w:sz w:val="21"/>
              </w:rPr>
              <w:t>。艾滋病指人类免疫缺陷</w:t>
            </w:r>
          </w:p>
        </w:tc>
      </w:tr>
    </w:tbl>
    <w:p>
      <w:pPr>
        <w:spacing w:after="0" w:line="223" w:lineRule="exact"/>
        <w:rPr>
          <w:sz w:val="21"/>
        </w:rPr>
        <w:sectPr>
          <w:pgSz w:w="11910" w:h="16840"/>
          <w:pgMar w:top="1200" w:right="340" w:bottom="640" w:left="800" w:header="0" w:footer="457" w:gutter="0"/>
          <w:cols w:space="720" w:num="1"/>
        </w:sectPr>
      </w:pPr>
    </w:p>
    <w:p>
      <w:pPr>
        <w:pStyle w:val="4"/>
        <w:tabs>
          <w:tab w:val="left" w:pos="3037"/>
        </w:tabs>
        <w:spacing w:before="56"/>
        <w:ind w:left="1178"/>
      </w:pPr>
      <w:r>
        <w:rPr>
          <w:b/>
        </w:rPr>
        <w:t>或患艾滋</w:t>
      </w:r>
      <w:r>
        <w:rPr>
          <w:b/>
          <w:spacing w:val="-10"/>
        </w:rPr>
        <w:t>病</w:t>
      </w:r>
      <w:r>
        <w:rPr>
          <w:b/>
        </w:rPr>
        <w:tab/>
      </w:r>
      <w:r>
        <w:rPr>
          <w:spacing w:val="-2"/>
        </w:rPr>
        <w:t>病毒引起的获得性免疫缺陷综合征，英文缩写为</w:t>
      </w:r>
      <w:r>
        <w:rPr>
          <w:spacing w:val="-38"/>
        </w:rPr>
        <w:t xml:space="preserve"> </w:t>
      </w:r>
      <w:r>
        <w:rPr>
          <w:spacing w:val="-2"/>
        </w:rPr>
        <w:t>AIDS</w:t>
      </w:r>
      <w:r>
        <w:rPr>
          <w:spacing w:val="-10"/>
        </w:rPr>
        <w:t>。</w:t>
      </w:r>
    </w:p>
    <w:p>
      <w:pPr>
        <w:pStyle w:val="4"/>
        <w:spacing w:before="43" w:line="278" w:lineRule="auto"/>
        <w:ind w:left="3038" w:right="690"/>
      </w:pPr>
      <w:r>
        <w:rPr>
          <w:spacing w:val="-2"/>
        </w:rPr>
        <w:t>在人体血液或其他样本中检测到艾滋病病毒或其抗体呈阳性，没有出现临床</w:t>
      </w:r>
      <w:r>
        <w:rPr>
          <w:spacing w:val="-12"/>
        </w:rPr>
        <w:t>症状或体征的，为感染艾滋病病毒；如果同时出现了明显临床症状或体征的，</w:t>
      </w:r>
      <w:r>
        <w:rPr>
          <w:spacing w:val="-2"/>
        </w:rPr>
        <w:t>为患艾滋病。</w:t>
      </w:r>
    </w:p>
    <w:p>
      <w:pPr>
        <w:pStyle w:val="4"/>
        <w:spacing w:before="4"/>
        <w:rPr>
          <w:sz w:val="24"/>
        </w:rPr>
      </w:pPr>
    </w:p>
    <w:p>
      <w:pPr>
        <w:pStyle w:val="9"/>
        <w:numPr>
          <w:ilvl w:val="1"/>
          <w:numId w:val="28"/>
        </w:numPr>
        <w:tabs>
          <w:tab w:val="left" w:pos="1177"/>
          <w:tab w:val="left" w:pos="1179"/>
          <w:tab w:val="left" w:pos="3037"/>
        </w:tabs>
        <w:spacing w:before="1" w:after="0" w:line="278" w:lineRule="auto"/>
        <w:ind w:left="3038" w:right="794" w:hanging="2818"/>
        <w:jc w:val="left"/>
        <w:rPr>
          <w:sz w:val="21"/>
        </w:rPr>
      </w:pPr>
      <w:r>
        <w:rPr>
          <w:b/>
          <w:spacing w:val="-2"/>
          <w:sz w:val="21"/>
        </w:rPr>
        <w:t>遗传性疾病</w:t>
      </w:r>
      <w:r>
        <w:rPr>
          <w:b/>
          <w:sz w:val="21"/>
        </w:rPr>
        <w:tab/>
      </w:r>
      <w:r>
        <w:rPr>
          <w:spacing w:val="-2"/>
          <w:sz w:val="21"/>
        </w:rPr>
        <w:t>指生殖细胞或受精卵的遗传物质（染色体和基因）发生突变或畸变所引起的疾病，通常具有由亲代传至后代的垂直传递的特征。</w:t>
      </w:r>
    </w:p>
    <w:p>
      <w:pPr>
        <w:pStyle w:val="4"/>
        <w:spacing w:before="9"/>
        <w:rPr>
          <w:sz w:val="18"/>
        </w:rPr>
      </w:pPr>
    </w:p>
    <w:p>
      <w:pPr>
        <w:spacing w:after="0"/>
        <w:rPr>
          <w:sz w:val="18"/>
        </w:rPr>
        <w:sectPr>
          <w:pgSz w:w="11910" w:h="16840"/>
          <w:pgMar w:top="800" w:right="340" w:bottom="640" w:left="800" w:header="0" w:footer="457" w:gutter="0"/>
          <w:cols w:space="720" w:num="1"/>
        </w:sectPr>
      </w:pPr>
    </w:p>
    <w:p>
      <w:pPr>
        <w:pStyle w:val="3"/>
        <w:numPr>
          <w:ilvl w:val="1"/>
          <w:numId w:val="28"/>
        </w:numPr>
        <w:tabs>
          <w:tab w:val="left" w:pos="1177"/>
          <w:tab w:val="left" w:pos="1179"/>
        </w:tabs>
        <w:spacing w:before="72" w:after="0" w:line="240" w:lineRule="auto"/>
        <w:ind w:left="1178" w:right="0" w:hanging="959"/>
        <w:jc w:val="left"/>
      </w:pPr>
      <w:r>
        <w:rPr>
          <w:spacing w:val="-9"/>
        </w:rPr>
        <w:t>先天性畸形、变形</w:t>
      </w:r>
    </w:p>
    <w:p>
      <w:pPr>
        <w:spacing w:before="43"/>
        <w:ind w:left="1178" w:right="0" w:firstLine="0"/>
        <w:jc w:val="left"/>
        <w:rPr>
          <w:b/>
          <w:sz w:val="21"/>
        </w:rPr>
      </w:pPr>
      <w:r>
        <w:rPr>
          <w:b/>
          <w:spacing w:val="-2"/>
          <w:sz w:val="21"/>
        </w:rPr>
        <w:t>或染色体异常</w:t>
      </w:r>
    </w:p>
    <w:p>
      <w:pPr>
        <w:pStyle w:val="4"/>
        <w:spacing w:before="72" w:line="278" w:lineRule="auto"/>
        <w:ind w:left="173" w:right="793"/>
        <w:jc w:val="both"/>
      </w:pPr>
      <w:r>
        <w:br w:type="column"/>
      </w:r>
      <w:r>
        <w:rPr>
          <w:spacing w:val="-2"/>
        </w:rPr>
        <w:t>指被保险人出生时就具有的畸形、变形或染色体异常。先天性畸形、变形和染色体异常依照世界卫生组织《疾病和有关健康问题的国际统计分类》第十次修订版（ICD-10）确定。</w:t>
      </w:r>
    </w:p>
    <w:p>
      <w:pPr>
        <w:spacing w:after="0" w:line="278" w:lineRule="auto"/>
        <w:jc w:val="both"/>
        <w:sectPr>
          <w:type w:val="continuous"/>
          <w:pgSz w:w="11910" w:h="16840"/>
          <w:pgMar w:top="240" w:right="340" w:bottom="640" w:left="800" w:header="0" w:footer="457" w:gutter="0"/>
          <w:cols w:equalWidth="0" w:num="2">
            <w:col w:w="2825" w:space="40"/>
            <w:col w:w="7905"/>
          </w:cols>
        </w:sectPr>
      </w:pPr>
    </w:p>
    <w:p>
      <w:pPr>
        <w:pStyle w:val="2"/>
      </w:pPr>
      <w:r>
        <w:drawing>
          <wp:anchor distT="0" distB="0" distL="0" distR="0" simplePos="0" relativeHeight="251667456" behindDoc="1" locked="0" layoutInCell="1" allowOverlap="1">
            <wp:simplePos x="0" y="0"/>
            <wp:positionH relativeFrom="page">
              <wp:posOffset>2792095</wp:posOffset>
            </wp:positionH>
            <wp:positionV relativeFrom="page">
              <wp:posOffset>4366260</wp:posOffset>
            </wp:positionV>
            <wp:extent cx="2942590" cy="174625"/>
            <wp:effectExtent l="0" t="0" r="0" b="0"/>
            <wp:wrapNone/>
            <wp:docPr id="27"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7.png"/>
                    <pic:cNvPicPr>
                      <a:picLocks noChangeAspect="1"/>
                    </pic:cNvPicPr>
                  </pic:nvPicPr>
                  <pic:blipFill>
                    <a:blip r:embed="rId13" cstate="print"/>
                    <a:stretch>
                      <a:fillRect/>
                    </a:stretch>
                  </pic:blipFill>
                  <pic:spPr>
                    <a:xfrm>
                      <a:off x="0" y="0"/>
                      <a:ext cx="2942518" cy="174878"/>
                    </a:xfrm>
                    <a:prstGeom prst="rect">
                      <a:avLst/>
                    </a:prstGeom>
                  </pic:spPr>
                </pic:pic>
              </a:graphicData>
            </a:graphic>
          </wp:anchor>
        </w:drawing>
      </w:r>
      <w:r>
        <w:rPr>
          <w:w w:val="95"/>
        </w:rPr>
        <w:t>附表一：重度疾病列表及定</w:t>
      </w:r>
      <w:r>
        <w:rPr>
          <w:spacing w:val="-10"/>
          <w:w w:val="95"/>
        </w:rPr>
        <w:t>义</w:t>
      </w:r>
    </w:p>
    <w:p>
      <w:pPr>
        <w:pStyle w:val="4"/>
        <w:spacing w:before="28"/>
        <w:ind w:left="313"/>
      </w:pPr>
      <w:r>
        <w:t>本表所使用的第 1-28</w:t>
      </w:r>
      <w:r>
        <w:rPr>
          <w:spacing w:val="-1"/>
        </w:rPr>
        <w:t xml:space="preserve"> 项重度疾病的定义同中国保险行业协会发布的《重大疾病保险的疾病定义使用规范</w:t>
      </w:r>
    </w:p>
    <w:p>
      <w:pPr>
        <w:pStyle w:val="4"/>
        <w:spacing w:before="43" w:after="59"/>
        <w:ind w:left="313"/>
      </w:pPr>
      <w:r>
        <w:rPr>
          <w:spacing w:val="-2"/>
        </w:rPr>
        <w:t>（2020</w:t>
      </w:r>
      <w:r>
        <w:rPr>
          <w:spacing w:val="-12"/>
        </w:rPr>
        <w:t xml:space="preserve"> 年修订版</w:t>
      </w:r>
      <w:r>
        <w:rPr>
          <w:spacing w:val="-2"/>
        </w:rPr>
        <w:t>）</w:t>
      </w:r>
      <w:r>
        <w:rPr>
          <w:spacing w:val="-10"/>
        </w:rPr>
        <w:t xml:space="preserve">》一致，第 </w:t>
      </w:r>
      <w:r>
        <w:rPr>
          <w:spacing w:val="-2"/>
        </w:rPr>
        <w:t>29-123</w:t>
      </w:r>
      <w:r>
        <w:rPr>
          <w:spacing w:val="-10"/>
        </w:rPr>
        <w:t xml:space="preserve"> 项为本公司增加的疾病种类。</w:t>
      </w:r>
    </w:p>
    <w:tbl>
      <w:tblPr>
        <w:tblStyle w:val="6"/>
        <w:tblW w:w="0" w:type="auto"/>
        <w:tblInd w:w="221"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1090"/>
        <w:gridCol w:w="2194"/>
        <w:gridCol w:w="6656"/>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1" w:hRule="atLeast"/>
        </w:trPr>
        <w:tc>
          <w:tcPr>
            <w:tcW w:w="1090" w:type="dxa"/>
            <w:tcBorders>
              <w:bottom w:val="single" w:color="000000" w:sz="4" w:space="0"/>
              <w:right w:val="single" w:color="000000" w:sz="4" w:space="0"/>
            </w:tcBorders>
          </w:tcPr>
          <w:p>
            <w:pPr>
              <w:pStyle w:val="10"/>
              <w:spacing w:before="22"/>
              <w:ind w:left="323" w:right="294"/>
              <w:jc w:val="center"/>
              <w:rPr>
                <w:b/>
                <w:sz w:val="21"/>
              </w:rPr>
            </w:pPr>
            <w:r>
              <w:rPr>
                <w:b/>
                <w:spacing w:val="-5"/>
                <w:sz w:val="21"/>
              </w:rPr>
              <w:t>项目</w:t>
            </w:r>
          </w:p>
        </w:tc>
        <w:tc>
          <w:tcPr>
            <w:tcW w:w="2194" w:type="dxa"/>
            <w:tcBorders>
              <w:left w:val="single" w:color="000000" w:sz="4" w:space="0"/>
              <w:bottom w:val="single" w:color="000000" w:sz="4" w:space="0"/>
              <w:right w:val="single" w:color="000000" w:sz="4" w:space="0"/>
            </w:tcBorders>
          </w:tcPr>
          <w:p>
            <w:pPr>
              <w:pStyle w:val="10"/>
              <w:spacing w:before="22"/>
              <w:ind w:left="686"/>
              <w:rPr>
                <w:b/>
                <w:sz w:val="21"/>
              </w:rPr>
            </w:pPr>
            <w:r>
              <w:rPr>
                <w:b/>
                <w:spacing w:val="-3"/>
                <w:sz w:val="21"/>
              </w:rPr>
              <w:t>疾病名称</w:t>
            </w:r>
          </w:p>
        </w:tc>
        <w:tc>
          <w:tcPr>
            <w:tcW w:w="6656" w:type="dxa"/>
            <w:tcBorders>
              <w:left w:val="single" w:color="000000" w:sz="4" w:space="0"/>
              <w:bottom w:val="single" w:color="000000" w:sz="4" w:space="0"/>
            </w:tcBorders>
          </w:tcPr>
          <w:p>
            <w:pPr>
              <w:pStyle w:val="10"/>
              <w:spacing w:before="22"/>
              <w:ind w:left="2895" w:right="2869"/>
              <w:jc w:val="center"/>
              <w:rPr>
                <w:b/>
                <w:sz w:val="21"/>
              </w:rPr>
            </w:pPr>
            <w:r>
              <w:rPr>
                <w:b/>
                <w:spacing w:val="-3"/>
                <w:sz w:val="21"/>
              </w:rPr>
              <w:t>疾病定义</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552" w:hRule="atLeast"/>
        </w:trPr>
        <w:tc>
          <w:tcPr>
            <w:tcW w:w="1090" w:type="dxa"/>
            <w:tcBorders>
              <w:top w:val="single" w:color="000000" w:sz="4" w:space="0"/>
              <w:bottom w:val="single" w:color="000000" w:sz="4" w:space="0"/>
              <w:right w:val="single" w:color="000000" w:sz="4" w:space="0"/>
            </w:tcBorders>
          </w:tcPr>
          <w:p>
            <w:pPr>
              <w:pStyle w:val="10"/>
              <w:spacing w:before="22"/>
              <w:ind w:left="29"/>
              <w:jc w:val="center"/>
              <w:rPr>
                <w:sz w:val="21"/>
              </w:rPr>
            </w:pPr>
            <w:r>
              <w:rPr>
                <w:w w:val="100"/>
                <w:sz w:val="21"/>
              </w:rPr>
              <w:t>1</w:t>
            </w:r>
          </w:p>
        </w:tc>
        <w:tc>
          <w:tcPr>
            <w:tcW w:w="2194" w:type="dxa"/>
            <w:tcBorders>
              <w:top w:val="single" w:color="000000" w:sz="4" w:space="0"/>
              <w:left w:val="single" w:color="000000" w:sz="4" w:space="0"/>
              <w:bottom w:val="single" w:color="000000" w:sz="4" w:space="0"/>
              <w:right w:val="single" w:color="000000" w:sz="4" w:space="0"/>
            </w:tcBorders>
          </w:tcPr>
          <w:p>
            <w:pPr>
              <w:pStyle w:val="10"/>
              <w:spacing w:before="22"/>
              <w:ind w:left="119"/>
              <w:rPr>
                <w:sz w:val="21"/>
              </w:rPr>
            </w:pPr>
            <w:r>
              <w:rPr>
                <w:spacing w:val="-4"/>
                <w:sz w:val="21"/>
              </w:rPr>
              <w:t>恶性肿瘤——重度</w:t>
            </w:r>
          </w:p>
        </w:tc>
        <w:tc>
          <w:tcPr>
            <w:tcW w:w="6656" w:type="dxa"/>
            <w:tcBorders>
              <w:top w:val="single" w:color="000000" w:sz="4" w:space="0"/>
              <w:left w:val="single" w:color="000000" w:sz="4" w:space="0"/>
              <w:bottom w:val="single" w:color="000000" w:sz="4" w:space="0"/>
            </w:tcBorders>
          </w:tcPr>
          <w:p>
            <w:pPr>
              <w:pStyle w:val="10"/>
              <w:spacing w:before="22" w:line="278" w:lineRule="auto"/>
              <w:ind w:right="1"/>
              <w:rPr>
                <w:sz w:val="21"/>
              </w:rPr>
            </w:pPr>
            <w:r>
              <w:rPr>
                <w:spacing w:val="-2"/>
                <w:sz w:val="21"/>
              </w:rPr>
              <w:t>指恶性细胞不受控制的进行性增长和扩散，浸润和破坏周围正常组织，可以经血管、淋巴管和体腔扩散转移到身体其他部位，病灶经组织病理学检查（涵盖骨髓病理学检查）结果明确诊断，临床诊断属于世界卫生</w:t>
            </w:r>
            <w:r>
              <w:rPr>
                <w:sz w:val="21"/>
              </w:rPr>
              <w:t>组织（WHO，World</w:t>
            </w:r>
            <w:r>
              <w:rPr>
                <w:spacing w:val="-6"/>
                <w:sz w:val="21"/>
              </w:rPr>
              <w:t xml:space="preserve"> </w:t>
            </w:r>
            <w:r>
              <w:rPr>
                <w:sz w:val="21"/>
              </w:rPr>
              <w:t>Health</w:t>
            </w:r>
            <w:r>
              <w:rPr>
                <w:spacing w:val="-8"/>
                <w:sz w:val="21"/>
              </w:rPr>
              <w:t xml:space="preserve"> </w:t>
            </w:r>
            <w:r>
              <w:rPr>
                <w:spacing w:val="8"/>
                <w:sz w:val="21"/>
              </w:rPr>
              <w:t>Or</w:t>
            </w:r>
            <w:r>
              <w:rPr>
                <w:spacing w:val="5"/>
                <w:sz w:val="21"/>
              </w:rPr>
              <w:t>g</w:t>
            </w:r>
            <w:r>
              <w:rPr>
                <w:spacing w:val="8"/>
                <w:sz w:val="21"/>
              </w:rPr>
              <w:t>ani</w:t>
            </w:r>
            <w:r>
              <w:rPr>
                <w:spacing w:val="5"/>
                <w:sz w:val="21"/>
              </w:rPr>
              <w:t>z</w:t>
            </w:r>
            <w:r>
              <w:rPr>
                <w:spacing w:val="8"/>
                <w:sz w:val="21"/>
              </w:rPr>
              <w:t>ati</w:t>
            </w:r>
            <w:r>
              <w:rPr>
                <w:spacing w:val="5"/>
                <w:sz w:val="21"/>
              </w:rPr>
              <w:t>o</w:t>
            </w:r>
            <w:r>
              <w:rPr>
                <w:spacing w:val="10"/>
                <w:sz w:val="21"/>
              </w:rPr>
              <w:t>n</w:t>
            </w:r>
            <w:r>
              <w:rPr>
                <w:spacing w:val="-98"/>
                <w:sz w:val="21"/>
              </w:rPr>
              <w:t>）</w:t>
            </w:r>
            <w:r>
              <w:rPr>
                <w:sz w:val="21"/>
              </w:rPr>
              <w:t>《疾病和有关健康问题的国</w:t>
            </w:r>
            <w:r>
              <w:rPr>
                <w:spacing w:val="-2"/>
                <w:sz w:val="21"/>
              </w:rPr>
              <w:t>际统计分类》第十次修订版（ICD-10）的恶性肿瘤类别及《国际疾病分类肿瘤学专辑》第三版（ICD-O-3）</w:t>
            </w:r>
            <w:r>
              <w:rPr>
                <w:spacing w:val="-7"/>
                <w:sz w:val="21"/>
              </w:rPr>
              <w:t xml:space="preserve">的肿瘤形态学编码属于 </w:t>
            </w:r>
            <w:r>
              <w:rPr>
                <w:spacing w:val="-2"/>
                <w:sz w:val="21"/>
              </w:rPr>
              <w:t>3、6、9（恶性肿瘤）范畴的疾病。</w:t>
            </w:r>
          </w:p>
          <w:p>
            <w:pPr>
              <w:pStyle w:val="10"/>
              <w:spacing w:before="0" w:line="268" w:lineRule="exact"/>
              <w:rPr>
                <w:rFonts w:ascii="黑体" w:hAnsi="黑体" w:eastAsia="黑体"/>
                <w:sz w:val="21"/>
              </w:rPr>
            </w:pPr>
            <w:r>
              <w:rPr>
                <w:rFonts w:ascii="黑体" w:hAnsi="黑体" w:eastAsia="黑体"/>
                <w:color w:val="000000"/>
                <w:spacing w:val="-10"/>
                <w:sz w:val="21"/>
                <w:shd w:val="clear" w:color="auto" w:fill="D9D9D9"/>
              </w:rPr>
              <w:t>下列疾病不属于“恶性肿瘤——重度”，不在保障范围内：</w:t>
            </w:r>
          </w:p>
          <w:p>
            <w:pPr>
              <w:pStyle w:val="10"/>
              <w:spacing w:before="43" w:line="278" w:lineRule="auto"/>
              <w:ind w:right="-29"/>
              <w:rPr>
                <w:rFonts w:ascii="黑体" w:eastAsia="黑体"/>
                <w:sz w:val="21"/>
              </w:rPr>
            </w:pPr>
            <w:r>
              <w:rPr>
                <w:rFonts w:ascii="黑体" w:eastAsia="黑体"/>
                <w:color w:val="000000"/>
                <w:spacing w:val="-6"/>
                <w:sz w:val="21"/>
                <w:shd w:val="clear" w:color="auto" w:fill="D9D9D9"/>
              </w:rPr>
              <w:t>（1）ICD-O-3</w:t>
            </w:r>
            <w:r>
              <w:rPr>
                <w:rFonts w:ascii="黑体" w:eastAsia="黑体"/>
                <w:color w:val="000000"/>
                <w:spacing w:val="-18"/>
                <w:sz w:val="21"/>
                <w:shd w:val="clear" w:color="auto" w:fill="D9D9D9"/>
              </w:rPr>
              <w:t xml:space="preserve"> 肿瘤形态学编码属于 </w:t>
            </w:r>
            <w:r>
              <w:rPr>
                <w:rFonts w:ascii="黑体" w:eastAsia="黑体"/>
                <w:color w:val="000000"/>
                <w:spacing w:val="-6"/>
                <w:sz w:val="21"/>
                <w:shd w:val="clear" w:color="auto" w:fill="D9D9D9"/>
              </w:rPr>
              <w:t>0（良性肿瘤</w:t>
            </w:r>
            <w:r>
              <w:rPr>
                <w:rFonts w:ascii="黑体" w:eastAsia="黑体"/>
                <w:color w:val="000000"/>
                <w:spacing w:val="-108"/>
                <w:sz w:val="21"/>
                <w:shd w:val="clear" w:color="auto" w:fill="D9D9D9"/>
              </w:rPr>
              <w:t>）</w:t>
            </w:r>
            <w:r>
              <w:rPr>
                <w:rFonts w:ascii="黑体" w:eastAsia="黑体"/>
                <w:color w:val="000000"/>
                <w:spacing w:val="-73"/>
                <w:sz w:val="21"/>
                <w:shd w:val="clear" w:color="auto" w:fill="D9D9D9"/>
              </w:rPr>
              <w:t>、</w:t>
            </w:r>
            <w:r>
              <w:rPr>
                <w:rFonts w:ascii="黑体" w:eastAsia="黑体"/>
                <w:color w:val="000000"/>
                <w:spacing w:val="-6"/>
                <w:sz w:val="21"/>
                <w:shd w:val="clear" w:color="auto" w:fill="D9D9D9"/>
              </w:rPr>
              <w:t>1（动态未定性肿瘤</w:t>
            </w:r>
            <w:r>
              <w:rPr>
                <w:rFonts w:ascii="黑体" w:eastAsia="黑体"/>
                <w:color w:val="000000"/>
                <w:spacing w:val="-106"/>
                <w:sz w:val="21"/>
                <w:shd w:val="clear" w:color="auto" w:fill="D9D9D9"/>
              </w:rPr>
              <w:t>）</w:t>
            </w:r>
            <w:r>
              <w:rPr>
                <w:rFonts w:ascii="黑体" w:eastAsia="黑体"/>
                <w:color w:val="000000"/>
                <w:spacing w:val="-6"/>
                <w:sz w:val="21"/>
                <w:shd w:val="clear" w:color="auto" w:fill="D9D9D9"/>
              </w:rPr>
              <w:t>、</w:t>
            </w:r>
            <w:r>
              <w:rPr>
                <w:rFonts w:ascii="黑体" w:eastAsia="黑体"/>
                <w:color w:val="000000"/>
                <w:spacing w:val="-6"/>
                <w:sz w:val="21"/>
              </w:rPr>
              <w:t xml:space="preserve"> </w:t>
            </w:r>
            <w:r>
              <w:rPr>
                <w:rFonts w:ascii="黑体" w:eastAsia="黑体"/>
                <w:color w:val="000000"/>
                <w:spacing w:val="-2"/>
                <w:sz w:val="21"/>
                <w:shd w:val="clear" w:color="auto" w:fill="D9D9D9"/>
              </w:rPr>
              <w:t>2（原位癌和非侵袭性癌）范畴的疾病，如：</w:t>
            </w:r>
          </w:p>
          <w:p>
            <w:pPr>
              <w:pStyle w:val="10"/>
              <w:numPr>
                <w:ilvl w:val="0"/>
                <w:numId w:val="29"/>
              </w:numPr>
              <w:tabs>
                <w:tab w:val="left" w:pos="320"/>
              </w:tabs>
              <w:spacing w:before="1" w:after="0" w:line="278" w:lineRule="auto"/>
              <w:ind w:left="107" w:right="73" w:firstLine="0"/>
              <w:jc w:val="left"/>
              <w:rPr>
                <w:rFonts w:ascii="黑体" w:eastAsia="黑体"/>
                <w:sz w:val="21"/>
              </w:rPr>
            </w:pPr>
            <w:r>
              <w:rPr>
                <w:rFonts w:ascii="黑体" w:eastAsia="黑体"/>
                <w:color w:val="000000"/>
                <w:spacing w:val="-4"/>
                <w:sz w:val="21"/>
                <w:shd w:val="clear" w:color="auto" w:fill="D9D9D9"/>
              </w:rPr>
              <w:t>原位癌，癌前病变，非浸润性癌，非侵袭性癌，肿瘤细胞未侵犯基底</w:t>
            </w:r>
            <w:r>
              <w:rPr>
                <w:rFonts w:ascii="黑体" w:eastAsia="黑体"/>
                <w:color w:val="000000"/>
                <w:spacing w:val="12390"/>
                <w:sz w:val="21"/>
                <w:shd w:val="clear" w:color="auto" w:fill="D9D9D9"/>
              </w:rPr>
              <w:t xml:space="preserve"> </w:t>
            </w:r>
            <w:r>
              <w:rPr>
                <w:rFonts w:ascii="黑体" w:eastAsia="黑体"/>
                <w:color w:val="000000"/>
                <w:spacing w:val="-2"/>
                <w:sz w:val="21"/>
                <w:shd w:val="clear" w:color="auto" w:fill="D9D9D9"/>
              </w:rPr>
              <w:t>层，上皮内瘤变，细胞不典型性增生等；</w:t>
            </w:r>
          </w:p>
          <w:p>
            <w:pPr>
              <w:pStyle w:val="10"/>
              <w:numPr>
                <w:ilvl w:val="0"/>
                <w:numId w:val="29"/>
              </w:numPr>
              <w:tabs>
                <w:tab w:val="left" w:pos="320"/>
              </w:tabs>
              <w:spacing w:before="0" w:after="0" w:line="278" w:lineRule="auto"/>
              <w:ind w:left="107" w:right="73" w:firstLine="0"/>
              <w:jc w:val="left"/>
              <w:rPr>
                <w:rFonts w:ascii="黑体" w:eastAsia="黑体"/>
                <w:sz w:val="21"/>
              </w:rPr>
            </w:pPr>
            <w:r>
              <w:rPr>
                <w:rFonts w:ascii="黑体" w:eastAsia="黑体"/>
                <w:color w:val="000000"/>
                <w:spacing w:val="-4"/>
                <w:sz w:val="21"/>
                <w:shd w:val="clear" w:color="auto" w:fill="D9D9D9"/>
              </w:rPr>
              <w:t>交界性肿瘤，交界恶性肿瘤，肿瘤低度恶性潜能，潜在低度恶性肿瘤</w:t>
            </w:r>
            <w:r>
              <w:rPr>
                <w:rFonts w:ascii="黑体" w:eastAsia="黑体"/>
                <w:color w:val="000000"/>
                <w:spacing w:val="-6"/>
                <w:sz w:val="21"/>
                <w:shd w:val="clear" w:color="auto" w:fill="D9D9D9"/>
              </w:rPr>
              <w:t>等；</w:t>
            </w:r>
          </w:p>
          <w:p>
            <w:pPr>
              <w:pStyle w:val="10"/>
              <w:numPr>
                <w:ilvl w:val="0"/>
                <w:numId w:val="30"/>
              </w:numPr>
              <w:tabs>
                <w:tab w:val="left" w:pos="637"/>
              </w:tabs>
              <w:spacing w:before="0" w:after="0" w:line="269" w:lineRule="exact"/>
              <w:ind w:left="636" w:right="0" w:hanging="530"/>
              <w:jc w:val="left"/>
              <w:rPr>
                <w:rFonts w:ascii="黑体" w:hAnsi="黑体" w:eastAsia="黑体"/>
                <w:sz w:val="19"/>
              </w:rPr>
            </w:pPr>
            <w:r>
              <w:rPr>
                <w:rFonts w:ascii="黑体" w:hAnsi="黑体" w:eastAsia="黑体"/>
                <w:color w:val="000000"/>
                <w:spacing w:val="-2"/>
                <w:sz w:val="21"/>
                <w:shd w:val="clear" w:color="auto" w:fill="D9D9D9"/>
              </w:rPr>
              <w:t>TNM</w:t>
            </w:r>
            <w:r>
              <w:rPr>
                <w:rFonts w:ascii="黑体" w:hAnsi="黑体" w:eastAsia="黑体"/>
                <w:color w:val="000000"/>
                <w:spacing w:val="-10"/>
                <w:sz w:val="21"/>
                <w:shd w:val="clear" w:color="auto" w:fill="D9D9D9"/>
              </w:rPr>
              <w:t xml:space="preserve"> 分期为Ⅰ期或更轻分期的甲状腺癌；</w:t>
            </w:r>
          </w:p>
          <w:p>
            <w:pPr>
              <w:pStyle w:val="10"/>
              <w:numPr>
                <w:ilvl w:val="0"/>
                <w:numId w:val="30"/>
              </w:numPr>
              <w:tabs>
                <w:tab w:val="left" w:pos="637"/>
              </w:tabs>
              <w:spacing w:before="42" w:after="0" w:line="240" w:lineRule="auto"/>
              <w:ind w:left="636" w:right="0" w:hanging="530"/>
              <w:jc w:val="left"/>
              <w:rPr>
                <w:rFonts w:ascii="黑体" w:eastAsia="黑体"/>
                <w:sz w:val="19"/>
              </w:rPr>
            </w:pPr>
            <w:r>
              <w:rPr>
                <w:rFonts w:ascii="黑体" w:eastAsia="黑体"/>
                <w:spacing w:val="-2"/>
                <w:position w:val="1"/>
                <w:sz w:val="21"/>
              </w:rPr>
              <w:t>TNM</w:t>
            </w:r>
            <w:r>
              <w:rPr>
                <w:rFonts w:ascii="黑体" w:eastAsia="黑体"/>
                <w:spacing w:val="-20"/>
                <w:position w:val="1"/>
                <w:sz w:val="21"/>
              </w:rPr>
              <w:t xml:space="preserve"> 分期为 </w:t>
            </w:r>
            <w:r>
              <w:rPr>
                <w:rFonts w:ascii="黑体" w:eastAsia="黑体"/>
                <w:spacing w:val="-2"/>
                <w:position w:val="1"/>
                <w:sz w:val="21"/>
              </w:rPr>
              <w:t>T</w:t>
            </w:r>
            <w:r>
              <w:rPr>
                <w:rFonts w:ascii="黑体" w:eastAsia="黑体"/>
                <w:spacing w:val="-2"/>
                <w:sz w:val="11"/>
              </w:rPr>
              <w:t>1</w:t>
            </w:r>
            <w:r>
              <w:rPr>
                <w:rFonts w:ascii="黑体" w:eastAsia="黑体"/>
                <w:spacing w:val="-2"/>
                <w:position w:val="1"/>
                <w:sz w:val="21"/>
              </w:rPr>
              <w:t>N</w:t>
            </w:r>
            <w:r>
              <w:rPr>
                <w:rFonts w:ascii="黑体" w:eastAsia="黑体"/>
                <w:spacing w:val="-2"/>
                <w:sz w:val="11"/>
              </w:rPr>
              <w:t>0</w:t>
            </w:r>
            <w:r>
              <w:rPr>
                <w:rFonts w:ascii="黑体" w:eastAsia="黑体"/>
                <w:spacing w:val="-2"/>
                <w:position w:val="1"/>
                <w:sz w:val="21"/>
              </w:rPr>
              <w:t>M</w:t>
            </w:r>
            <w:r>
              <w:rPr>
                <w:rFonts w:ascii="黑体" w:eastAsia="黑体"/>
                <w:spacing w:val="-2"/>
                <w:sz w:val="11"/>
              </w:rPr>
              <w:t>0</w:t>
            </w:r>
            <w:r>
              <w:rPr>
                <w:rFonts w:ascii="黑体" w:eastAsia="黑体"/>
                <w:spacing w:val="-24"/>
                <w:sz w:val="11"/>
              </w:rPr>
              <w:t xml:space="preserve"> </w:t>
            </w:r>
            <w:r>
              <w:rPr>
                <w:rFonts w:ascii="黑体" w:eastAsia="黑体"/>
                <w:spacing w:val="-3"/>
                <w:position w:val="1"/>
                <w:sz w:val="21"/>
              </w:rPr>
              <w:t>期或更轻分期的前列腺癌；</w:t>
            </w:r>
          </w:p>
          <w:p>
            <w:pPr>
              <w:pStyle w:val="10"/>
              <w:numPr>
                <w:ilvl w:val="0"/>
                <w:numId w:val="30"/>
              </w:numPr>
              <w:tabs>
                <w:tab w:val="left" w:pos="637"/>
              </w:tabs>
              <w:spacing w:before="43" w:after="0" w:line="240" w:lineRule="auto"/>
              <w:ind w:left="636" w:right="0" w:hanging="530"/>
              <w:jc w:val="left"/>
              <w:rPr>
                <w:rFonts w:ascii="黑体" w:eastAsia="黑体"/>
                <w:sz w:val="19"/>
              </w:rPr>
            </w:pPr>
            <w:r>
              <w:rPr>
                <w:rFonts w:ascii="黑体" w:eastAsia="黑体"/>
                <w:color w:val="000000"/>
                <w:spacing w:val="-3"/>
                <w:sz w:val="21"/>
                <w:shd w:val="clear" w:color="auto" w:fill="D9D9D9"/>
              </w:rPr>
              <w:t>黑色素瘤以外的未发生淋巴结和远处转移的皮肤恶性肿瘤；</w:t>
            </w:r>
          </w:p>
          <w:p>
            <w:pPr>
              <w:pStyle w:val="10"/>
              <w:numPr>
                <w:ilvl w:val="0"/>
                <w:numId w:val="30"/>
              </w:numPr>
              <w:tabs>
                <w:tab w:val="left" w:pos="637"/>
              </w:tabs>
              <w:spacing w:before="43" w:after="0" w:line="240" w:lineRule="auto"/>
              <w:ind w:left="636" w:right="0" w:hanging="530"/>
              <w:jc w:val="left"/>
              <w:rPr>
                <w:rFonts w:ascii="黑体" w:eastAsia="黑体"/>
                <w:sz w:val="19"/>
              </w:rPr>
            </w:pPr>
            <w:r>
              <w:rPr>
                <w:rFonts w:ascii="黑体" w:eastAsia="黑体"/>
                <w:color w:val="000000"/>
                <w:spacing w:val="-14"/>
                <w:sz w:val="21"/>
                <w:shd w:val="clear" w:color="auto" w:fill="D9D9D9"/>
              </w:rPr>
              <w:t xml:space="preserve">相当于 </w:t>
            </w:r>
            <w:r>
              <w:rPr>
                <w:rFonts w:ascii="黑体" w:eastAsia="黑体"/>
                <w:color w:val="000000"/>
                <w:spacing w:val="-2"/>
                <w:sz w:val="21"/>
                <w:shd w:val="clear" w:color="auto" w:fill="D9D9D9"/>
              </w:rPr>
              <w:t>Binet</w:t>
            </w:r>
            <w:r>
              <w:rPr>
                <w:rFonts w:ascii="黑体" w:eastAsia="黑体"/>
                <w:color w:val="000000"/>
                <w:spacing w:val="-19"/>
                <w:sz w:val="21"/>
                <w:shd w:val="clear" w:color="auto" w:fill="D9D9D9"/>
              </w:rPr>
              <w:t xml:space="preserve"> 分期方案 </w:t>
            </w:r>
            <w:r>
              <w:rPr>
                <w:rFonts w:ascii="黑体" w:eastAsia="黑体"/>
                <w:color w:val="000000"/>
                <w:spacing w:val="-2"/>
                <w:sz w:val="21"/>
                <w:shd w:val="clear" w:color="auto" w:fill="D9D9D9"/>
              </w:rPr>
              <w:t>A</w:t>
            </w:r>
            <w:r>
              <w:rPr>
                <w:rFonts w:ascii="黑体" w:eastAsia="黑体"/>
                <w:color w:val="000000"/>
                <w:spacing w:val="-10"/>
                <w:sz w:val="21"/>
                <w:shd w:val="clear" w:color="auto" w:fill="D9D9D9"/>
              </w:rPr>
              <w:t xml:space="preserve"> 期程度的慢性淋巴细胞白血病；</w:t>
            </w:r>
          </w:p>
          <w:p>
            <w:pPr>
              <w:pStyle w:val="10"/>
              <w:numPr>
                <w:ilvl w:val="0"/>
                <w:numId w:val="30"/>
              </w:numPr>
              <w:tabs>
                <w:tab w:val="left" w:pos="637"/>
              </w:tabs>
              <w:spacing w:before="43" w:after="0" w:line="240" w:lineRule="auto"/>
              <w:ind w:left="636" w:right="0" w:hanging="530"/>
              <w:jc w:val="left"/>
              <w:rPr>
                <w:rFonts w:ascii="黑体" w:hAnsi="黑体" w:eastAsia="黑体"/>
                <w:sz w:val="19"/>
              </w:rPr>
            </w:pPr>
            <w:r>
              <w:rPr>
                <w:rFonts w:ascii="黑体" w:hAnsi="黑体" w:eastAsia="黑体"/>
                <w:color w:val="000000"/>
                <w:spacing w:val="-14"/>
                <w:sz w:val="21"/>
                <w:shd w:val="clear" w:color="auto" w:fill="D9D9D9"/>
              </w:rPr>
              <w:t xml:space="preserve">相当于 </w:t>
            </w:r>
            <w:r>
              <w:rPr>
                <w:rFonts w:ascii="黑体" w:hAnsi="黑体" w:eastAsia="黑体"/>
                <w:color w:val="000000"/>
                <w:spacing w:val="-2"/>
                <w:sz w:val="21"/>
                <w:shd w:val="clear" w:color="auto" w:fill="D9D9D9"/>
              </w:rPr>
              <w:t>Ann</w:t>
            </w:r>
            <w:r>
              <w:rPr>
                <w:rFonts w:ascii="黑体" w:hAnsi="黑体" w:eastAsia="黑体"/>
                <w:color w:val="000000"/>
                <w:spacing w:val="12"/>
                <w:sz w:val="21"/>
                <w:shd w:val="clear" w:color="auto" w:fill="D9D9D9"/>
              </w:rPr>
              <w:t xml:space="preserve"> </w:t>
            </w:r>
            <w:r>
              <w:rPr>
                <w:rFonts w:ascii="黑体" w:hAnsi="黑体" w:eastAsia="黑体"/>
                <w:color w:val="000000"/>
                <w:spacing w:val="-2"/>
                <w:sz w:val="21"/>
                <w:shd w:val="clear" w:color="auto" w:fill="D9D9D9"/>
              </w:rPr>
              <w:t>Arbor</w:t>
            </w:r>
            <w:r>
              <w:rPr>
                <w:rFonts w:ascii="黑体" w:hAnsi="黑体" w:eastAsia="黑体"/>
                <w:color w:val="000000"/>
                <w:spacing w:val="-10"/>
                <w:sz w:val="21"/>
                <w:shd w:val="clear" w:color="auto" w:fill="D9D9D9"/>
              </w:rPr>
              <w:t xml:space="preserve"> 分期方案Ⅰ期程度的何杰金氏病；</w:t>
            </w:r>
          </w:p>
          <w:p>
            <w:pPr>
              <w:pStyle w:val="10"/>
              <w:numPr>
                <w:ilvl w:val="0"/>
                <w:numId w:val="30"/>
              </w:numPr>
              <w:tabs>
                <w:tab w:val="left" w:pos="637"/>
              </w:tabs>
              <w:spacing w:before="0" w:after="0" w:line="312" w:lineRule="exact"/>
              <w:ind w:left="107" w:right="76" w:firstLine="0"/>
              <w:jc w:val="left"/>
              <w:rPr>
                <w:rFonts w:ascii="黑体" w:hAnsi="黑体" w:eastAsia="黑体"/>
                <w:sz w:val="19"/>
              </w:rPr>
            </w:pPr>
            <w:r>
              <w:rPr>
                <w:rFonts w:ascii="黑体" w:hAnsi="黑体" w:eastAsia="黑体"/>
                <w:color w:val="000000"/>
                <w:spacing w:val="-2"/>
                <w:sz w:val="21"/>
                <w:shd w:val="clear" w:color="auto" w:fill="D9D9D9"/>
              </w:rPr>
              <w:t xml:space="preserve">未发生淋巴结和远处转移且 </w:t>
            </w:r>
            <w:r>
              <w:rPr>
                <w:rFonts w:ascii="黑体" w:hAnsi="黑体" w:eastAsia="黑体"/>
                <w:color w:val="000000"/>
                <w:sz w:val="21"/>
                <w:shd w:val="clear" w:color="auto" w:fill="D9D9D9"/>
              </w:rPr>
              <w:t>WHO</w:t>
            </w:r>
            <w:r>
              <w:rPr>
                <w:rFonts w:ascii="黑体" w:hAnsi="黑体" w:eastAsia="黑体"/>
                <w:color w:val="000000"/>
                <w:spacing w:val="-12"/>
                <w:sz w:val="21"/>
                <w:shd w:val="clear" w:color="auto" w:fill="D9D9D9"/>
              </w:rPr>
              <w:t xml:space="preserve"> 分级为 </w:t>
            </w:r>
            <w:r>
              <w:rPr>
                <w:rFonts w:ascii="黑体" w:hAnsi="黑体" w:eastAsia="黑体"/>
                <w:color w:val="000000"/>
                <w:sz w:val="21"/>
                <w:shd w:val="clear" w:color="auto" w:fill="D9D9D9"/>
              </w:rPr>
              <w:t>G1</w:t>
            </w:r>
            <w:r>
              <w:rPr>
                <w:rFonts w:ascii="黑体" w:hAnsi="黑体" w:eastAsia="黑体"/>
                <w:color w:val="000000"/>
                <w:spacing w:val="-8"/>
                <w:sz w:val="21"/>
                <w:shd w:val="clear" w:color="auto" w:fill="D9D9D9"/>
              </w:rPr>
              <w:t xml:space="preserve"> 级别</w:t>
            </w:r>
            <w:r>
              <w:rPr>
                <w:rFonts w:ascii="黑体" w:hAnsi="黑体" w:eastAsia="黑体"/>
                <w:color w:val="000000"/>
                <w:sz w:val="21"/>
                <w:shd w:val="clear" w:color="auto" w:fill="D9D9D9"/>
              </w:rPr>
              <w:t>（核分裂像&lt;10/50</w:t>
            </w:r>
            <w:r>
              <w:rPr>
                <w:rFonts w:ascii="黑体" w:hAnsi="黑体" w:eastAsia="黑体"/>
                <w:color w:val="000000"/>
                <w:sz w:val="21"/>
              </w:rPr>
              <w:t xml:space="preserve"> </w:t>
            </w:r>
            <w:r>
              <w:rPr>
                <w:rFonts w:ascii="黑体" w:hAnsi="黑体" w:eastAsia="黑体"/>
                <w:color w:val="000000"/>
                <w:sz w:val="21"/>
                <w:shd w:val="clear" w:color="auto" w:fill="D9D9D9"/>
              </w:rPr>
              <w:t>HPF</w:t>
            </w:r>
            <w:r>
              <w:rPr>
                <w:rFonts w:ascii="黑体" w:hAnsi="黑体" w:eastAsia="黑体"/>
                <w:color w:val="000000"/>
                <w:spacing w:val="-11"/>
                <w:sz w:val="21"/>
                <w:shd w:val="clear" w:color="auto" w:fill="D9D9D9"/>
              </w:rPr>
              <w:t xml:space="preserve"> 和 </w:t>
            </w:r>
            <w:r>
              <w:rPr>
                <w:rFonts w:ascii="黑体" w:hAnsi="黑体" w:eastAsia="黑体"/>
                <w:color w:val="000000"/>
                <w:sz w:val="21"/>
                <w:shd w:val="clear" w:color="auto" w:fill="D9D9D9"/>
              </w:rPr>
              <w:t>ki-67≤2%）或更轻分级的神经内分泌肿瘤。</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554" w:hRule="atLeast"/>
        </w:trPr>
        <w:tc>
          <w:tcPr>
            <w:tcW w:w="1090" w:type="dxa"/>
            <w:tcBorders>
              <w:top w:val="single" w:color="000000" w:sz="4" w:space="0"/>
              <w:bottom w:val="single" w:color="000000" w:sz="4" w:space="0"/>
              <w:right w:val="single" w:color="000000" w:sz="4" w:space="0"/>
            </w:tcBorders>
          </w:tcPr>
          <w:p>
            <w:pPr>
              <w:pStyle w:val="10"/>
              <w:spacing w:before="25"/>
              <w:ind w:left="29"/>
              <w:jc w:val="center"/>
              <w:rPr>
                <w:sz w:val="21"/>
              </w:rPr>
            </w:pPr>
            <w:r>
              <w:rPr>
                <w:w w:val="100"/>
                <w:sz w:val="21"/>
              </w:rPr>
              <w:t>2</w:t>
            </w:r>
          </w:p>
        </w:tc>
        <w:tc>
          <w:tcPr>
            <w:tcW w:w="2194" w:type="dxa"/>
            <w:tcBorders>
              <w:top w:val="single" w:color="000000" w:sz="4" w:space="0"/>
              <w:left w:val="single" w:color="000000" w:sz="4" w:space="0"/>
              <w:bottom w:val="single" w:color="000000" w:sz="4" w:space="0"/>
              <w:right w:val="single" w:color="000000" w:sz="4" w:space="0"/>
            </w:tcBorders>
          </w:tcPr>
          <w:p>
            <w:pPr>
              <w:pStyle w:val="10"/>
              <w:spacing w:before="25"/>
              <w:ind w:left="119"/>
              <w:rPr>
                <w:sz w:val="21"/>
              </w:rPr>
            </w:pPr>
            <w:r>
              <w:rPr>
                <w:spacing w:val="-4"/>
                <w:sz w:val="21"/>
              </w:rPr>
              <w:t>较重急性心肌梗死</w:t>
            </w:r>
          </w:p>
        </w:tc>
        <w:tc>
          <w:tcPr>
            <w:tcW w:w="6656" w:type="dxa"/>
            <w:tcBorders>
              <w:top w:val="single" w:color="000000" w:sz="4" w:space="0"/>
              <w:left w:val="single" w:color="000000" w:sz="4" w:space="0"/>
              <w:bottom w:val="single" w:color="000000" w:sz="4" w:space="0"/>
            </w:tcBorders>
          </w:tcPr>
          <w:p>
            <w:pPr>
              <w:pStyle w:val="10"/>
              <w:spacing w:before="25" w:line="278" w:lineRule="auto"/>
              <w:ind w:right="73"/>
              <w:jc w:val="both"/>
              <w:rPr>
                <w:sz w:val="21"/>
              </w:rPr>
            </w:pPr>
            <w:r>
              <w:rPr>
                <w:spacing w:val="1"/>
                <w:w w:val="100"/>
                <w:sz w:val="21"/>
              </w:rPr>
              <w:t>急性心肌梗死指由于冠状动脉闭塞或梗阻引起部分心肌严重的持久性</w:t>
            </w:r>
            <w:r>
              <w:rPr>
                <w:spacing w:val="-10"/>
                <w:w w:val="100"/>
                <w:sz w:val="21"/>
              </w:rPr>
              <w:t>缺血造成急性心肌坏死。急性心肌梗死的诊断必须依据国际国内诊断标准，符合（1）检测到肌酸激酶同工酶（CK-MB）</w:t>
            </w:r>
            <w:r>
              <w:rPr>
                <w:spacing w:val="-4"/>
                <w:w w:val="100"/>
                <w:sz w:val="21"/>
              </w:rPr>
              <w:t>或肌钙蛋白</w:t>
            </w:r>
            <w:r>
              <w:rPr>
                <w:w w:val="100"/>
                <w:sz w:val="21"/>
              </w:rPr>
              <w:t>（cTn）</w:t>
            </w:r>
            <w:r>
              <w:rPr>
                <w:spacing w:val="-13"/>
                <w:w w:val="100"/>
                <w:sz w:val="21"/>
              </w:rPr>
              <w:t>升</w:t>
            </w:r>
            <w:r>
              <w:rPr>
                <w:spacing w:val="-1"/>
                <w:w w:val="100"/>
                <w:sz w:val="21"/>
              </w:rPr>
              <w:t>高和/或降低的动态变化，至少一次达到或超过心肌梗死的临床诊断标</w:t>
            </w:r>
            <w:r>
              <w:rPr>
                <w:spacing w:val="-60"/>
                <w:w w:val="100"/>
                <w:sz w:val="21"/>
              </w:rPr>
              <w:t>准；</w:t>
            </w:r>
            <w:r>
              <w:rPr>
                <w:spacing w:val="-1"/>
                <w:w w:val="100"/>
                <w:sz w:val="21"/>
              </w:rPr>
              <w:t>（</w:t>
            </w:r>
            <w:r>
              <w:rPr>
                <w:spacing w:val="-3"/>
                <w:w w:val="100"/>
                <w:sz w:val="21"/>
              </w:rPr>
              <w:t>2</w:t>
            </w:r>
            <w:r>
              <w:rPr>
                <w:spacing w:val="-15"/>
                <w:w w:val="100"/>
                <w:sz w:val="21"/>
              </w:rPr>
              <w:t>）</w:t>
            </w:r>
            <w:r>
              <w:rPr>
                <w:spacing w:val="-7"/>
                <w:w w:val="100"/>
                <w:sz w:val="21"/>
              </w:rPr>
              <w:t>同时存在下列之一的证据，包括：缺血性胸痛症状、新发生的</w:t>
            </w:r>
            <w:r>
              <w:rPr>
                <w:spacing w:val="-9"/>
                <w:w w:val="100"/>
                <w:sz w:val="21"/>
              </w:rPr>
              <w:t>缺血性心电图改变、新生成的病理性</w:t>
            </w:r>
            <w:r>
              <w:rPr>
                <w:spacing w:val="-53"/>
                <w:sz w:val="21"/>
              </w:rPr>
              <w:t xml:space="preserve"> </w:t>
            </w:r>
            <w:r>
              <w:rPr>
                <w:w w:val="100"/>
                <w:sz w:val="21"/>
              </w:rPr>
              <w:t>Q</w:t>
            </w:r>
            <w:r>
              <w:rPr>
                <w:spacing w:val="-53"/>
                <w:sz w:val="21"/>
              </w:rPr>
              <w:t xml:space="preserve"> </w:t>
            </w:r>
            <w:r>
              <w:rPr>
                <w:spacing w:val="-8"/>
                <w:w w:val="100"/>
                <w:sz w:val="21"/>
              </w:rPr>
              <w:t>波、影像学证据显示有新出现的</w:t>
            </w:r>
            <w:r>
              <w:rPr>
                <w:spacing w:val="-9"/>
                <w:w w:val="100"/>
                <w:sz w:val="21"/>
              </w:rPr>
              <w:t>心肌活性丧失或新出现局部室壁运动异常、冠脉造影证实存在冠状动脉血栓。</w:t>
            </w:r>
          </w:p>
          <w:p>
            <w:pPr>
              <w:pStyle w:val="10"/>
              <w:spacing w:before="0" w:line="278" w:lineRule="auto"/>
              <w:ind w:right="73"/>
              <w:rPr>
                <w:sz w:val="21"/>
              </w:rPr>
            </w:pPr>
            <w:r>
              <w:rPr>
                <w:spacing w:val="-5"/>
                <w:sz w:val="21"/>
              </w:rPr>
              <w:t>较重急性心肌梗死指依照上述标准被明确诊断为急性心肌梗死，并且必</w:t>
            </w:r>
            <w:r>
              <w:rPr>
                <w:spacing w:val="-2"/>
                <w:sz w:val="21"/>
              </w:rPr>
              <w:t>须同时满足下列至少一项条件：</w:t>
            </w:r>
          </w:p>
          <w:p>
            <w:pPr>
              <w:pStyle w:val="10"/>
              <w:numPr>
                <w:ilvl w:val="0"/>
                <w:numId w:val="31"/>
              </w:numPr>
              <w:tabs>
                <w:tab w:val="left" w:pos="637"/>
              </w:tabs>
              <w:spacing w:before="0" w:after="0" w:line="278" w:lineRule="auto"/>
              <w:ind w:left="107" w:right="74" w:firstLine="0"/>
              <w:jc w:val="left"/>
              <w:rPr>
                <w:sz w:val="21"/>
              </w:rPr>
            </w:pPr>
            <w:r>
              <w:rPr>
                <w:spacing w:val="-4"/>
                <w:sz w:val="21"/>
              </w:rPr>
              <w:t>心肌损伤标志物肌钙蛋白（cTn）升高，至少一次检测结果达到该</w:t>
            </w:r>
            <w:r>
              <w:rPr>
                <w:spacing w:val="-2"/>
                <w:sz w:val="21"/>
              </w:rPr>
              <w:t xml:space="preserve">检验正常参考值上限的 </w:t>
            </w:r>
            <w:r>
              <w:rPr>
                <w:sz w:val="21"/>
              </w:rPr>
              <w:t>15</w:t>
            </w:r>
            <w:r>
              <w:rPr>
                <w:spacing w:val="-13"/>
                <w:sz w:val="21"/>
              </w:rPr>
              <w:t xml:space="preserve"> 倍</w:t>
            </w:r>
            <w:r>
              <w:rPr>
                <w:sz w:val="21"/>
              </w:rPr>
              <w:t>（含）以上；</w:t>
            </w:r>
          </w:p>
          <w:p>
            <w:pPr>
              <w:pStyle w:val="10"/>
              <w:numPr>
                <w:ilvl w:val="0"/>
                <w:numId w:val="31"/>
              </w:numPr>
              <w:tabs>
                <w:tab w:val="left" w:pos="637"/>
              </w:tabs>
              <w:spacing w:before="0" w:after="0" w:line="278" w:lineRule="auto"/>
              <w:ind w:left="107" w:right="76" w:firstLine="0"/>
              <w:jc w:val="left"/>
              <w:rPr>
                <w:sz w:val="21"/>
              </w:rPr>
            </w:pPr>
            <w:r>
              <w:rPr>
                <w:spacing w:val="-4"/>
                <w:sz w:val="21"/>
              </w:rPr>
              <w:t>肌酸激酶同工酶（CK-MB）升高，至少一次检测结果达到该检验正</w:t>
            </w:r>
            <w:r>
              <w:rPr>
                <w:spacing w:val="-3"/>
                <w:sz w:val="21"/>
              </w:rPr>
              <w:t xml:space="preserve">常参考值上限的 </w:t>
            </w:r>
            <w:r>
              <w:rPr>
                <w:sz w:val="21"/>
              </w:rPr>
              <w:t>2</w:t>
            </w:r>
            <w:r>
              <w:rPr>
                <w:spacing w:val="-11"/>
                <w:sz w:val="21"/>
              </w:rPr>
              <w:t xml:space="preserve"> 倍</w:t>
            </w:r>
            <w:r>
              <w:rPr>
                <w:sz w:val="21"/>
              </w:rPr>
              <w:t>（含）以上；</w:t>
            </w:r>
          </w:p>
          <w:p>
            <w:pPr>
              <w:pStyle w:val="10"/>
              <w:numPr>
                <w:ilvl w:val="0"/>
                <w:numId w:val="31"/>
              </w:numPr>
              <w:tabs>
                <w:tab w:val="left" w:pos="637"/>
              </w:tabs>
              <w:spacing w:before="0" w:after="0" w:line="269" w:lineRule="exact"/>
              <w:ind w:left="636" w:right="0" w:hanging="530"/>
              <w:jc w:val="left"/>
              <w:rPr>
                <w:sz w:val="21"/>
              </w:rPr>
            </w:pPr>
            <w:r>
              <w:rPr>
                <w:spacing w:val="-4"/>
                <w:sz w:val="21"/>
              </w:rPr>
              <w:t xml:space="preserve">出现左心室收缩功能下降，在确诊 </w:t>
            </w:r>
            <w:r>
              <w:rPr>
                <w:spacing w:val="-2"/>
                <w:sz w:val="21"/>
              </w:rPr>
              <w:t>6</w:t>
            </w:r>
            <w:r>
              <w:rPr>
                <w:spacing w:val="-8"/>
                <w:sz w:val="21"/>
              </w:rPr>
              <w:t xml:space="preserve"> 周以后，检测左室射血分数</w:t>
            </w:r>
          </w:p>
          <w:p>
            <w:pPr>
              <w:pStyle w:val="10"/>
              <w:spacing w:before="42"/>
              <w:rPr>
                <w:sz w:val="21"/>
              </w:rPr>
            </w:pPr>
            <w:r>
              <w:rPr>
                <w:spacing w:val="-2"/>
                <w:sz w:val="21"/>
              </w:rPr>
              <w:t>（LVEF）</w:t>
            </w:r>
            <w:r>
              <w:rPr>
                <w:spacing w:val="-16"/>
                <w:sz w:val="21"/>
              </w:rPr>
              <w:t xml:space="preserve">低于 </w:t>
            </w:r>
            <w:r>
              <w:rPr>
                <w:spacing w:val="-2"/>
                <w:sz w:val="21"/>
              </w:rPr>
              <w:t>50%（不含</w:t>
            </w:r>
            <w:r>
              <w:rPr>
                <w:spacing w:val="-113"/>
                <w:sz w:val="21"/>
              </w:rPr>
              <w:t>）</w:t>
            </w:r>
            <w:r>
              <w:rPr>
                <w:spacing w:val="-5"/>
                <w:sz w:val="21"/>
              </w:rPr>
              <w:t>；</w:t>
            </w:r>
          </w:p>
          <w:p>
            <w:pPr>
              <w:pStyle w:val="10"/>
              <w:numPr>
                <w:ilvl w:val="0"/>
                <w:numId w:val="31"/>
              </w:numPr>
              <w:tabs>
                <w:tab w:val="left" w:pos="658"/>
              </w:tabs>
              <w:spacing w:before="43" w:after="0" w:line="240" w:lineRule="auto"/>
              <w:ind w:left="657" w:right="0" w:hanging="551"/>
              <w:jc w:val="left"/>
              <w:rPr>
                <w:sz w:val="21"/>
              </w:rPr>
            </w:pPr>
            <w:r>
              <w:rPr>
                <w:spacing w:val="-1"/>
                <w:sz w:val="21"/>
              </w:rPr>
              <w:t>影像学检查证实存在新发的乳头肌功能失调或断裂引起的中度</w:t>
            </w:r>
          </w:p>
          <w:p>
            <w:pPr>
              <w:pStyle w:val="10"/>
              <w:spacing w:before="43"/>
              <w:rPr>
                <w:sz w:val="21"/>
              </w:rPr>
            </w:pPr>
            <w:r>
              <w:rPr>
                <w:spacing w:val="-2"/>
                <w:sz w:val="21"/>
              </w:rPr>
              <w:t>（含）</w:t>
            </w:r>
            <w:r>
              <w:rPr>
                <w:spacing w:val="-3"/>
                <w:sz w:val="21"/>
              </w:rPr>
              <w:t>以上的二尖瓣反流；</w:t>
            </w:r>
          </w:p>
          <w:p>
            <w:pPr>
              <w:pStyle w:val="10"/>
              <w:numPr>
                <w:ilvl w:val="0"/>
                <w:numId w:val="31"/>
              </w:numPr>
              <w:tabs>
                <w:tab w:val="left" w:pos="637"/>
              </w:tabs>
              <w:spacing w:before="43" w:after="0" w:line="240" w:lineRule="auto"/>
              <w:ind w:left="636" w:right="0" w:hanging="530"/>
              <w:jc w:val="left"/>
              <w:rPr>
                <w:sz w:val="21"/>
              </w:rPr>
            </w:pPr>
            <w:r>
              <w:rPr>
                <w:spacing w:val="-3"/>
                <w:sz w:val="21"/>
              </w:rPr>
              <w:t>影像学检查证实存在新出现的室壁瘤；</w:t>
            </w:r>
          </w:p>
          <w:p>
            <w:pPr>
              <w:pStyle w:val="10"/>
              <w:numPr>
                <w:ilvl w:val="0"/>
                <w:numId w:val="31"/>
              </w:numPr>
              <w:tabs>
                <w:tab w:val="left" w:pos="637"/>
              </w:tabs>
              <w:spacing w:before="43" w:after="0" w:line="240" w:lineRule="auto"/>
              <w:ind w:left="636" w:right="0" w:hanging="530"/>
              <w:jc w:val="left"/>
              <w:rPr>
                <w:sz w:val="21"/>
              </w:rPr>
            </w:pPr>
            <w:r>
              <w:rPr>
                <w:spacing w:val="-3"/>
                <w:sz w:val="21"/>
              </w:rPr>
              <w:t>出现室性心动过速、心室颤动或心源性休克。</w:t>
            </w:r>
          </w:p>
          <w:p>
            <w:pPr>
              <w:pStyle w:val="10"/>
              <w:spacing w:before="42"/>
              <w:rPr>
                <w:rFonts w:ascii="黑体" w:eastAsia="黑体"/>
                <w:sz w:val="21"/>
              </w:rPr>
            </w:pPr>
            <w:r>
              <w:rPr>
                <w:rFonts w:ascii="黑体" w:eastAsia="黑体"/>
                <w:color w:val="000000"/>
                <w:sz w:val="21"/>
                <w:shd w:val="clear" w:color="auto" w:fill="D9D9D9"/>
              </w:rPr>
              <w:t>其他非冠状动脉阻塞性疾病所引起的肌钙蛋白（cTn）</w:t>
            </w:r>
            <w:r>
              <w:rPr>
                <w:rFonts w:ascii="黑体" w:eastAsia="黑体"/>
                <w:color w:val="000000"/>
                <w:spacing w:val="-2"/>
                <w:sz w:val="21"/>
                <w:shd w:val="clear" w:color="auto" w:fill="D9D9D9"/>
              </w:rPr>
              <w:t>升高不在保障范</w:t>
            </w:r>
          </w:p>
        </w:tc>
      </w:tr>
    </w:tbl>
    <w:p>
      <w:pPr>
        <w:spacing w:after="0"/>
        <w:rPr>
          <w:rFonts w:ascii="黑体" w:eastAsia="黑体"/>
          <w:sz w:val="21"/>
        </w:rPr>
        <w:sectPr>
          <w:pgSz w:w="11910" w:h="16840"/>
          <w:pgMar w:top="780" w:right="340" w:bottom="1399" w:left="800" w:header="0" w:footer="457" w:gutter="0"/>
          <w:cols w:space="720" w:num="1"/>
        </w:sectPr>
      </w:pPr>
    </w:p>
    <w:tbl>
      <w:tblPr>
        <w:tblStyle w:val="6"/>
        <w:tblW w:w="0" w:type="auto"/>
        <w:tblInd w:w="22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90"/>
        <w:gridCol w:w="2194"/>
        <w:gridCol w:w="66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090" w:type="dxa"/>
            <w:tcBorders>
              <w:left w:val="single" w:color="000000" w:sz="12" w:space="0"/>
            </w:tcBorders>
          </w:tcPr>
          <w:p>
            <w:pPr>
              <w:pStyle w:val="10"/>
              <w:spacing w:before="0"/>
              <w:ind w:left="0"/>
              <w:rPr>
                <w:rFonts w:ascii="Times New Roman"/>
                <w:sz w:val="20"/>
              </w:rPr>
            </w:pPr>
          </w:p>
        </w:tc>
        <w:tc>
          <w:tcPr>
            <w:tcW w:w="2194" w:type="dxa"/>
          </w:tcPr>
          <w:p>
            <w:pPr>
              <w:pStyle w:val="10"/>
              <w:spacing w:before="0"/>
              <w:ind w:left="0"/>
              <w:rPr>
                <w:rFonts w:ascii="Times New Roman"/>
                <w:sz w:val="20"/>
              </w:rPr>
            </w:pPr>
          </w:p>
        </w:tc>
        <w:tc>
          <w:tcPr>
            <w:tcW w:w="6656" w:type="dxa"/>
            <w:tcBorders>
              <w:right w:val="single" w:color="000000" w:sz="12" w:space="0"/>
            </w:tcBorders>
          </w:tcPr>
          <w:p>
            <w:pPr>
              <w:pStyle w:val="10"/>
              <w:rPr>
                <w:rFonts w:ascii="黑体" w:eastAsia="黑体"/>
                <w:sz w:val="21"/>
              </w:rPr>
            </w:pPr>
            <w:r>
              <w:rPr>
                <w:rFonts w:ascii="黑体" w:eastAsia="黑体"/>
                <w:color w:val="000000"/>
                <w:spacing w:val="-4"/>
                <w:sz w:val="21"/>
                <w:shd w:val="clear" w:color="auto" w:fill="D9D9D9"/>
              </w:rPr>
              <w:t>围内。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5" w:hRule="atLeast"/>
        </w:trPr>
        <w:tc>
          <w:tcPr>
            <w:tcW w:w="1090" w:type="dxa"/>
            <w:tcBorders>
              <w:left w:val="single" w:color="000000" w:sz="12" w:space="0"/>
            </w:tcBorders>
          </w:tcPr>
          <w:p>
            <w:pPr>
              <w:pStyle w:val="10"/>
              <w:ind w:left="491"/>
              <w:rPr>
                <w:sz w:val="21"/>
              </w:rPr>
            </w:pPr>
            <w:r>
              <w:rPr>
                <w:w w:val="100"/>
                <w:sz w:val="21"/>
              </w:rPr>
              <w:t>3</w:t>
            </w:r>
          </w:p>
        </w:tc>
        <w:tc>
          <w:tcPr>
            <w:tcW w:w="2194" w:type="dxa"/>
          </w:tcPr>
          <w:p>
            <w:pPr>
              <w:pStyle w:val="10"/>
              <w:ind w:left="119"/>
              <w:rPr>
                <w:sz w:val="21"/>
              </w:rPr>
            </w:pPr>
            <w:r>
              <w:rPr>
                <w:spacing w:val="-4"/>
                <w:sz w:val="21"/>
              </w:rPr>
              <w:t>严重脑中风后遗症</w:t>
            </w:r>
          </w:p>
        </w:tc>
        <w:tc>
          <w:tcPr>
            <w:tcW w:w="6656" w:type="dxa"/>
            <w:tcBorders>
              <w:right w:val="single" w:color="000000" w:sz="12" w:space="0"/>
            </w:tcBorders>
          </w:tcPr>
          <w:p>
            <w:pPr>
              <w:pStyle w:val="10"/>
              <w:spacing w:line="278" w:lineRule="auto"/>
              <w:ind w:right="4"/>
              <w:rPr>
                <w:sz w:val="21"/>
              </w:rPr>
            </w:pPr>
            <w:r>
              <w:rPr>
                <w:spacing w:val="-2"/>
                <w:sz w:val="21"/>
              </w:rPr>
              <w:t>指因脑血管的突发病变引起脑血管出血、栓塞或梗塞，须由头颅断层扫</w:t>
            </w:r>
            <w:r>
              <w:rPr>
                <w:spacing w:val="-4"/>
                <w:sz w:val="21"/>
              </w:rPr>
              <w:t>描</w:t>
            </w:r>
            <w:r>
              <w:rPr>
                <w:spacing w:val="23"/>
                <w:sz w:val="21"/>
              </w:rPr>
              <w:t>（C</w:t>
            </w:r>
            <w:r>
              <w:rPr>
                <w:spacing w:val="20"/>
                <w:sz w:val="21"/>
              </w:rPr>
              <w:t>T</w:t>
            </w:r>
            <w:r>
              <w:rPr>
                <w:spacing w:val="-83"/>
                <w:sz w:val="21"/>
              </w:rPr>
              <w:t>）</w:t>
            </w:r>
            <w:r>
              <w:rPr>
                <w:spacing w:val="-4"/>
                <w:sz w:val="21"/>
              </w:rPr>
              <w:t>、核磁共振检查（MRI）等影像学检查证实，并导致神经系统永</w:t>
            </w:r>
            <w:r>
              <w:rPr>
                <w:spacing w:val="-2"/>
                <w:sz w:val="21"/>
              </w:rPr>
              <w:t xml:space="preserve">久性的功能障碍。神经系统永久性的功能障碍，指疾病确诊 </w:t>
            </w:r>
            <w:r>
              <w:rPr>
                <w:sz w:val="21"/>
              </w:rPr>
              <w:t>180</w:t>
            </w:r>
            <w:r>
              <w:rPr>
                <w:spacing w:val="-14"/>
                <w:sz w:val="21"/>
              </w:rPr>
              <w:t xml:space="preserve"> 天后，</w:t>
            </w:r>
            <w:r>
              <w:rPr>
                <w:spacing w:val="-2"/>
                <w:sz w:val="21"/>
              </w:rPr>
              <w:t>仍遗留下列至少一种障碍：</w:t>
            </w:r>
          </w:p>
          <w:p>
            <w:pPr>
              <w:pStyle w:val="10"/>
              <w:numPr>
                <w:ilvl w:val="0"/>
                <w:numId w:val="32"/>
              </w:numPr>
              <w:tabs>
                <w:tab w:val="left" w:pos="637"/>
              </w:tabs>
              <w:spacing w:before="0" w:after="0" w:line="240" w:lineRule="auto"/>
              <w:ind w:left="636" w:right="0" w:hanging="530"/>
              <w:jc w:val="left"/>
              <w:rPr>
                <w:sz w:val="21"/>
              </w:rPr>
            </w:pPr>
            <w:r>
              <w:rPr>
                <w:spacing w:val="-2"/>
                <w:sz w:val="21"/>
              </w:rPr>
              <w:t>一肢（含）</w:t>
            </w:r>
            <w:r>
              <w:rPr>
                <w:spacing w:val="-9"/>
                <w:sz w:val="21"/>
              </w:rPr>
              <w:t xml:space="preserve">以上肢体肌力 </w:t>
            </w:r>
            <w:r>
              <w:rPr>
                <w:spacing w:val="-2"/>
                <w:sz w:val="21"/>
              </w:rPr>
              <w:t>2</w:t>
            </w:r>
            <w:r>
              <w:rPr>
                <w:spacing w:val="-26"/>
                <w:sz w:val="21"/>
              </w:rPr>
              <w:t xml:space="preserve"> 级</w:t>
            </w:r>
            <w:r>
              <w:rPr>
                <w:spacing w:val="-2"/>
                <w:sz w:val="21"/>
              </w:rPr>
              <w:t>（含）</w:t>
            </w:r>
            <w:r>
              <w:rPr>
                <w:spacing w:val="-5"/>
                <w:sz w:val="21"/>
              </w:rPr>
              <w:t>以下；</w:t>
            </w:r>
          </w:p>
          <w:p>
            <w:pPr>
              <w:pStyle w:val="10"/>
              <w:numPr>
                <w:ilvl w:val="0"/>
                <w:numId w:val="32"/>
              </w:numPr>
              <w:tabs>
                <w:tab w:val="left" w:pos="637"/>
              </w:tabs>
              <w:spacing w:before="43" w:after="0" w:line="240" w:lineRule="auto"/>
              <w:ind w:left="636" w:right="0" w:hanging="530"/>
              <w:jc w:val="left"/>
              <w:rPr>
                <w:sz w:val="21"/>
              </w:rPr>
            </w:pPr>
            <w:r>
              <w:rPr>
                <w:spacing w:val="-3"/>
                <w:sz w:val="21"/>
              </w:rPr>
              <w:t>语言能力完全丧失，或严重咀嚼吞咽功能障碍；</w:t>
            </w:r>
          </w:p>
          <w:p>
            <w:pPr>
              <w:pStyle w:val="10"/>
              <w:numPr>
                <w:ilvl w:val="0"/>
                <w:numId w:val="32"/>
              </w:numPr>
              <w:tabs>
                <w:tab w:val="left" w:pos="637"/>
              </w:tabs>
              <w:spacing w:before="2" w:after="0" w:line="310" w:lineRule="atLeast"/>
              <w:ind w:left="107" w:right="74" w:firstLine="0"/>
              <w:jc w:val="left"/>
              <w:rPr>
                <w:sz w:val="21"/>
              </w:rPr>
            </w:pPr>
            <w:r>
              <w:rPr>
                <w:spacing w:val="-2"/>
                <w:sz w:val="21"/>
              </w:rPr>
              <w:t>自主生活能力完全丧失，无法独立完成六项基本日常生活活动中的三项或三项以上。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0" w:hRule="atLeast"/>
        </w:trPr>
        <w:tc>
          <w:tcPr>
            <w:tcW w:w="1090" w:type="dxa"/>
            <w:tcBorders>
              <w:left w:val="single" w:color="000000" w:sz="12" w:space="0"/>
            </w:tcBorders>
          </w:tcPr>
          <w:p>
            <w:pPr>
              <w:pStyle w:val="10"/>
              <w:ind w:left="491"/>
              <w:rPr>
                <w:sz w:val="21"/>
              </w:rPr>
            </w:pPr>
            <w:r>
              <w:rPr>
                <w:w w:val="100"/>
                <w:sz w:val="21"/>
              </w:rPr>
              <w:t>4</w:t>
            </w:r>
          </w:p>
        </w:tc>
        <w:tc>
          <w:tcPr>
            <w:tcW w:w="2194" w:type="dxa"/>
          </w:tcPr>
          <w:p>
            <w:pPr>
              <w:pStyle w:val="10"/>
              <w:spacing w:line="278" w:lineRule="auto"/>
              <w:ind w:left="119" w:right="168"/>
              <w:rPr>
                <w:sz w:val="21"/>
              </w:rPr>
            </w:pPr>
            <w:r>
              <w:rPr>
                <w:spacing w:val="-2"/>
                <w:sz w:val="21"/>
              </w:rPr>
              <w:t>重大器官移植术或造血干细胞移植术</w:t>
            </w:r>
          </w:p>
        </w:tc>
        <w:tc>
          <w:tcPr>
            <w:tcW w:w="6656" w:type="dxa"/>
            <w:tcBorders>
              <w:right w:val="single" w:color="000000" w:sz="12" w:space="0"/>
            </w:tcBorders>
          </w:tcPr>
          <w:p>
            <w:pPr>
              <w:pStyle w:val="10"/>
              <w:spacing w:line="278" w:lineRule="auto"/>
              <w:ind w:right="73"/>
              <w:rPr>
                <w:sz w:val="21"/>
              </w:rPr>
            </w:pPr>
            <w:r>
              <w:rPr>
                <w:spacing w:val="-4"/>
                <w:sz w:val="21"/>
              </w:rPr>
              <w:t>重大器官移植术，指因相应器官功能衰竭，已经实施了肾脏、肝脏、心</w:t>
            </w:r>
            <w:r>
              <w:rPr>
                <w:spacing w:val="-2"/>
                <w:sz w:val="21"/>
              </w:rPr>
              <w:t>脏、肺脏或小肠的异体移植手术。</w:t>
            </w:r>
          </w:p>
          <w:p>
            <w:pPr>
              <w:pStyle w:val="10"/>
              <w:spacing w:before="0" w:line="278" w:lineRule="auto"/>
              <w:ind w:right="73"/>
              <w:rPr>
                <w:sz w:val="21"/>
              </w:rPr>
            </w:pPr>
            <w:r>
              <w:rPr>
                <w:spacing w:val="-4"/>
                <w:sz w:val="21"/>
              </w:rPr>
              <w:t>造血干细胞移植术，指因造血功能损害或造血系统恶性肿瘤，已经实施了造血干细胞（</w:t>
            </w:r>
            <w:r>
              <w:rPr>
                <w:spacing w:val="-5"/>
                <w:sz w:val="21"/>
              </w:rPr>
              <w:t>包括骨髓造血干细胞、外周血造血干细胞和脐血造血干</w:t>
            </w:r>
          </w:p>
          <w:p>
            <w:pPr>
              <w:pStyle w:val="10"/>
              <w:spacing w:before="0" w:line="269" w:lineRule="exact"/>
              <w:rPr>
                <w:sz w:val="21"/>
              </w:rPr>
            </w:pPr>
            <w:r>
              <w:rPr>
                <w:spacing w:val="-2"/>
                <w:sz w:val="21"/>
              </w:rPr>
              <w:t>细胞）</w:t>
            </w:r>
            <w:r>
              <w:rPr>
                <w:spacing w:val="-4"/>
                <w:sz w:val="21"/>
              </w:rPr>
              <w:t>的移植手术。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1090" w:type="dxa"/>
            <w:tcBorders>
              <w:left w:val="single" w:color="000000" w:sz="12" w:space="0"/>
            </w:tcBorders>
          </w:tcPr>
          <w:p>
            <w:pPr>
              <w:pStyle w:val="10"/>
              <w:ind w:left="491"/>
              <w:rPr>
                <w:sz w:val="21"/>
              </w:rPr>
            </w:pPr>
            <w:r>
              <w:rPr>
                <w:w w:val="100"/>
                <w:sz w:val="21"/>
              </w:rPr>
              <w:t>5</w:t>
            </w:r>
          </w:p>
        </w:tc>
        <w:tc>
          <w:tcPr>
            <w:tcW w:w="2194" w:type="dxa"/>
          </w:tcPr>
          <w:p>
            <w:pPr>
              <w:pStyle w:val="10"/>
              <w:spacing w:line="278" w:lineRule="auto"/>
              <w:ind w:left="119" w:right="168"/>
              <w:rPr>
                <w:sz w:val="21"/>
              </w:rPr>
            </w:pPr>
            <w:r>
              <w:rPr>
                <w:spacing w:val="-2"/>
                <w:sz w:val="21"/>
              </w:rPr>
              <w:t>冠状动脉搭桥术（或</w:t>
            </w:r>
            <w:r>
              <w:rPr>
                <w:spacing w:val="-3"/>
                <w:sz w:val="21"/>
              </w:rPr>
              <w:t>称冠状动脉旁路移植</w:t>
            </w:r>
          </w:p>
          <w:p>
            <w:pPr>
              <w:pStyle w:val="10"/>
              <w:spacing w:before="0" w:line="269" w:lineRule="exact"/>
              <w:ind w:left="119"/>
              <w:rPr>
                <w:sz w:val="21"/>
              </w:rPr>
            </w:pPr>
            <w:r>
              <w:rPr>
                <w:sz w:val="21"/>
              </w:rPr>
              <w:t>术</w:t>
            </w:r>
            <w:r>
              <w:rPr>
                <w:spacing w:val="-10"/>
                <w:sz w:val="21"/>
              </w:rPr>
              <w:t>）</w:t>
            </w:r>
          </w:p>
        </w:tc>
        <w:tc>
          <w:tcPr>
            <w:tcW w:w="6656" w:type="dxa"/>
            <w:tcBorders>
              <w:right w:val="single" w:color="000000" w:sz="12" w:space="0"/>
            </w:tcBorders>
          </w:tcPr>
          <w:p>
            <w:pPr>
              <w:pStyle w:val="10"/>
              <w:spacing w:line="278" w:lineRule="auto"/>
              <w:ind w:right="73"/>
              <w:rPr>
                <w:sz w:val="21"/>
              </w:rPr>
            </w:pPr>
            <w:r>
              <w:rPr>
                <w:spacing w:val="-9"/>
                <w:sz w:val="21"/>
              </w:rPr>
              <w:t>指为治疗严重的冠心病，已经实施了切开心包进行的冠状动脉血管旁路</w:t>
            </w:r>
            <w:r>
              <w:rPr>
                <w:spacing w:val="-2"/>
                <w:sz w:val="21"/>
              </w:rPr>
              <w:t>移植的手术。</w:t>
            </w:r>
          </w:p>
          <w:p>
            <w:pPr>
              <w:pStyle w:val="10"/>
              <w:spacing w:before="0" w:line="269" w:lineRule="exact"/>
              <w:rPr>
                <w:rFonts w:ascii="黑体" w:eastAsia="黑体"/>
                <w:sz w:val="21"/>
              </w:rPr>
            </w:pPr>
            <w:r>
              <w:rPr>
                <w:rFonts w:ascii="黑体" w:eastAsia="黑体"/>
                <w:color w:val="000000"/>
                <w:spacing w:val="-3"/>
                <w:sz w:val="21"/>
                <w:shd w:val="clear" w:color="auto" w:fill="D9D9D9"/>
              </w:rPr>
              <w:t>所有未切开心包的冠状动脉介入治疗不在保障范围内。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7" w:hRule="atLeast"/>
        </w:trPr>
        <w:tc>
          <w:tcPr>
            <w:tcW w:w="1090" w:type="dxa"/>
            <w:tcBorders>
              <w:left w:val="single" w:color="000000" w:sz="12" w:space="0"/>
            </w:tcBorders>
          </w:tcPr>
          <w:p>
            <w:pPr>
              <w:pStyle w:val="10"/>
              <w:ind w:left="491"/>
              <w:rPr>
                <w:sz w:val="21"/>
              </w:rPr>
            </w:pPr>
            <w:r>
              <w:rPr>
                <w:w w:val="100"/>
                <w:sz w:val="21"/>
              </w:rPr>
              <w:t>6</w:t>
            </w:r>
          </w:p>
        </w:tc>
        <w:tc>
          <w:tcPr>
            <w:tcW w:w="2194" w:type="dxa"/>
          </w:tcPr>
          <w:p>
            <w:pPr>
              <w:pStyle w:val="10"/>
              <w:ind w:left="119"/>
              <w:rPr>
                <w:sz w:val="21"/>
              </w:rPr>
            </w:pPr>
            <w:r>
              <w:rPr>
                <w:spacing w:val="-4"/>
                <w:sz w:val="21"/>
              </w:rPr>
              <w:t>严重慢性肾衰竭</w:t>
            </w:r>
          </w:p>
        </w:tc>
        <w:tc>
          <w:tcPr>
            <w:tcW w:w="6656" w:type="dxa"/>
            <w:tcBorders>
              <w:right w:val="single" w:color="000000" w:sz="12" w:space="0"/>
            </w:tcBorders>
          </w:tcPr>
          <w:p>
            <w:pPr>
              <w:pStyle w:val="10"/>
              <w:spacing w:line="278" w:lineRule="auto"/>
              <w:ind w:right="73"/>
              <w:jc w:val="both"/>
              <w:rPr>
                <w:sz w:val="21"/>
              </w:rPr>
            </w:pPr>
            <w:r>
              <w:rPr>
                <w:spacing w:val="-2"/>
                <w:sz w:val="21"/>
              </w:rPr>
              <w:t xml:space="preserve">指双肾功能慢性不可逆性衰竭，依据肾脏病预后质量倡议（K/DOQI）制定的指南，分期达到慢性肾脏病 </w:t>
            </w:r>
            <w:r>
              <w:rPr>
                <w:sz w:val="21"/>
              </w:rPr>
              <w:t>5</w:t>
            </w:r>
            <w:r>
              <w:rPr>
                <w:spacing w:val="-7"/>
                <w:sz w:val="21"/>
              </w:rPr>
              <w:t xml:space="preserve"> 期，且经诊断后已经进行了至少 </w:t>
            </w:r>
            <w:r>
              <w:rPr>
                <w:sz w:val="21"/>
              </w:rPr>
              <w:t>90</w:t>
            </w:r>
            <w:r>
              <w:rPr>
                <w:spacing w:val="-10"/>
                <w:sz w:val="21"/>
              </w:rPr>
              <w:t>天的规律性透析治疗。规律性透析是指每周进行血液透析或每天进行腹</w:t>
            </w:r>
          </w:p>
          <w:p>
            <w:pPr>
              <w:pStyle w:val="10"/>
              <w:spacing w:before="0" w:line="269" w:lineRule="exact"/>
              <w:rPr>
                <w:sz w:val="21"/>
              </w:rPr>
            </w:pPr>
            <w:r>
              <w:rPr>
                <w:spacing w:val="-4"/>
                <w:sz w:val="21"/>
              </w:rPr>
              <w:t>膜透析。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5" w:hRule="atLeast"/>
        </w:trPr>
        <w:tc>
          <w:tcPr>
            <w:tcW w:w="1090" w:type="dxa"/>
            <w:tcBorders>
              <w:left w:val="single" w:color="000000" w:sz="12" w:space="0"/>
            </w:tcBorders>
          </w:tcPr>
          <w:p>
            <w:pPr>
              <w:pStyle w:val="10"/>
              <w:spacing w:before="18"/>
              <w:ind w:left="491"/>
              <w:rPr>
                <w:sz w:val="21"/>
              </w:rPr>
            </w:pPr>
            <w:r>
              <w:rPr>
                <w:w w:val="100"/>
                <w:sz w:val="21"/>
              </w:rPr>
              <w:t>7</w:t>
            </w:r>
          </w:p>
        </w:tc>
        <w:tc>
          <w:tcPr>
            <w:tcW w:w="2194" w:type="dxa"/>
          </w:tcPr>
          <w:p>
            <w:pPr>
              <w:pStyle w:val="10"/>
              <w:spacing w:before="18"/>
              <w:ind w:left="119"/>
              <w:rPr>
                <w:sz w:val="21"/>
              </w:rPr>
            </w:pPr>
            <w:r>
              <w:rPr>
                <w:spacing w:val="-4"/>
                <w:sz w:val="21"/>
              </w:rPr>
              <w:t>多个肢体缺失</w:t>
            </w:r>
          </w:p>
        </w:tc>
        <w:tc>
          <w:tcPr>
            <w:tcW w:w="6656" w:type="dxa"/>
            <w:tcBorders>
              <w:right w:val="single" w:color="000000" w:sz="12" w:space="0"/>
            </w:tcBorders>
          </w:tcPr>
          <w:p>
            <w:pPr>
              <w:pStyle w:val="10"/>
              <w:spacing w:before="18"/>
              <w:rPr>
                <w:sz w:val="21"/>
              </w:rPr>
            </w:pPr>
            <w:r>
              <w:rPr>
                <w:spacing w:val="-1"/>
                <w:sz w:val="21"/>
              </w:rPr>
              <w:t>指因疾病或意外伤害导致两个或两个以上肢体自腕关节或踝关节近端</w:t>
            </w:r>
          </w:p>
          <w:p>
            <w:pPr>
              <w:pStyle w:val="10"/>
              <w:spacing w:before="43"/>
              <w:rPr>
                <w:sz w:val="21"/>
              </w:rPr>
            </w:pPr>
            <w:r>
              <w:rPr>
                <w:spacing w:val="-2"/>
                <w:sz w:val="21"/>
              </w:rPr>
              <w:t>（靠近躯干端）</w:t>
            </w:r>
            <w:r>
              <w:rPr>
                <w:spacing w:val="-4"/>
                <w:sz w:val="21"/>
              </w:rPr>
              <w:t>以上完全性断离。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2" w:hRule="atLeast"/>
        </w:trPr>
        <w:tc>
          <w:tcPr>
            <w:tcW w:w="1090" w:type="dxa"/>
            <w:tcBorders>
              <w:left w:val="single" w:color="000000" w:sz="12" w:space="0"/>
            </w:tcBorders>
          </w:tcPr>
          <w:p>
            <w:pPr>
              <w:pStyle w:val="10"/>
              <w:ind w:left="491"/>
              <w:rPr>
                <w:sz w:val="21"/>
              </w:rPr>
            </w:pPr>
            <w:r>
              <w:rPr>
                <w:w w:val="100"/>
                <w:sz w:val="21"/>
              </w:rPr>
              <w:t>8</w:t>
            </w:r>
          </w:p>
        </w:tc>
        <w:tc>
          <w:tcPr>
            <w:tcW w:w="2194" w:type="dxa"/>
          </w:tcPr>
          <w:p>
            <w:pPr>
              <w:pStyle w:val="10"/>
              <w:spacing w:line="278" w:lineRule="auto"/>
              <w:ind w:left="119" w:right="168"/>
              <w:rPr>
                <w:sz w:val="21"/>
              </w:rPr>
            </w:pPr>
            <w:r>
              <w:rPr>
                <w:spacing w:val="-2"/>
                <w:sz w:val="21"/>
              </w:rPr>
              <w:t>急性重症肝炎或亚急性重症肝炎</w:t>
            </w:r>
          </w:p>
        </w:tc>
        <w:tc>
          <w:tcPr>
            <w:tcW w:w="6656" w:type="dxa"/>
            <w:tcBorders>
              <w:right w:val="single" w:color="000000" w:sz="12" w:space="0"/>
            </w:tcBorders>
          </w:tcPr>
          <w:p>
            <w:pPr>
              <w:pStyle w:val="10"/>
              <w:spacing w:line="278" w:lineRule="auto"/>
              <w:ind w:right="73"/>
              <w:rPr>
                <w:sz w:val="21"/>
              </w:rPr>
            </w:pPr>
            <w:r>
              <w:rPr>
                <w:spacing w:val="-4"/>
                <w:sz w:val="21"/>
              </w:rPr>
              <w:t>指因肝炎病毒感染引起肝脏组织弥漫性坏死，导致急性肝功能衰竭，且</w:t>
            </w:r>
            <w:r>
              <w:rPr>
                <w:spacing w:val="-2"/>
                <w:sz w:val="21"/>
              </w:rPr>
              <w:t>经血清学或病毒学检查证实，并须满足下列全部条件：</w:t>
            </w:r>
          </w:p>
          <w:p>
            <w:pPr>
              <w:pStyle w:val="10"/>
              <w:numPr>
                <w:ilvl w:val="0"/>
                <w:numId w:val="33"/>
              </w:numPr>
              <w:tabs>
                <w:tab w:val="left" w:pos="637"/>
              </w:tabs>
              <w:spacing w:before="0" w:after="0" w:line="240" w:lineRule="auto"/>
              <w:ind w:left="636" w:right="0" w:hanging="530"/>
              <w:jc w:val="left"/>
              <w:rPr>
                <w:sz w:val="21"/>
              </w:rPr>
            </w:pPr>
            <w:r>
              <w:rPr>
                <w:spacing w:val="-3"/>
                <w:sz w:val="21"/>
              </w:rPr>
              <w:t>重度黄疸或黄疸迅速加重；</w:t>
            </w:r>
          </w:p>
          <w:p>
            <w:pPr>
              <w:pStyle w:val="10"/>
              <w:numPr>
                <w:ilvl w:val="0"/>
                <w:numId w:val="33"/>
              </w:numPr>
              <w:tabs>
                <w:tab w:val="left" w:pos="637"/>
              </w:tabs>
              <w:spacing w:before="43" w:after="0" w:line="240" w:lineRule="auto"/>
              <w:ind w:left="636" w:right="0" w:hanging="530"/>
              <w:jc w:val="left"/>
              <w:rPr>
                <w:sz w:val="21"/>
              </w:rPr>
            </w:pPr>
            <w:r>
              <w:rPr>
                <w:spacing w:val="-4"/>
                <w:sz w:val="21"/>
              </w:rPr>
              <w:t>肝性脑病；</w:t>
            </w:r>
          </w:p>
          <w:p>
            <w:pPr>
              <w:pStyle w:val="10"/>
              <w:spacing w:before="43"/>
              <w:rPr>
                <w:sz w:val="21"/>
              </w:rPr>
            </w:pPr>
            <w:r>
              <w:rPr>
                <w:spacing w:val="-2"/>
                <w:sz w:val="21"/>
              </w:rPr>
              <w:t>（3）B</w:t>
            </w:r>
            <w:r>
              <w:rPr>
                <w:spacing w:val="-10"/>
                <w:sz w:val="21"/>
              </w:rPr>
              <w:t xml:space="preserve"> 超或其他影像学检查显示肝脏体积急速萎缩；</w:t>
            </w:r>
          </w:p>
          <w:p>
            <w:pPr>
              <w:pStyle w:val="10"/>
              <w:spacing w:before="43"/>
              <w:rPr>
                <w:sz w:val="21"/>
              </w:rPr>
            </w:pPr>
            <w:r>
              <w:rPr>
                <w:spacing w:val="-2"/>
                <w:sz w:val="21"/>
              </w:rPr>
              <w:t>（4）</w:t>
            </w:r>
            <w:r>
              <w:rPr>
                <w:spacing w:val="-3"/>
                <w:sz w:val="21"/>
              </w:rPr>
              <w:t>肝功能指标进行性恶化。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68" w:hRule="atLeast"/>
        </w:trPr>
        <w:tc>
          <w:tcPr>
            <w:tcW w:w="1090" w:type="dxa"/>
            <w:tcBorders>
              <w:left w:val="single" w:color="000000" w:sz="12" w:space="0"/>
            </w:tcBorders>
          </w:tcPr>
          <w:p>
            <w:pPr>
              <w:pStyle w:val="10"/>
              <w:ind w:left="491"/>
              <w:rPr>
                <w:sz w:val="21"/>
              </w:rPr>
            </w:pPr>
            <w:r>
              <w:rPr>
                <w:w w:val="100"/>
                <w:sz w:val="21"/>
              </w:rPr>
              <w:t>9</w:t>
            </w:r>
          </w:p>
        </w:tc>
        <w:tc>
          <w:tcPr>
            <w:tcW w:w="2194" w:type="dxa"/>
          </w:tcPr>
          <w:p>
            <w:pPr>
              <w:pStyle w:val="10"/>
              <w:ind w:left="119"/>
              <w:rPr>
                <w:sz w:val="21"/>
              </w:rPr>
            </w:pPr>
            <w:r>
              <w:rPr>
                <w:spacing w:val="-3"/>
                <w:sz w:val="21"/>
              </w:rPr>
              <w:t>严重非恶性颅内肿瘤</w:t>
            </w:r>
          </w:p>
        </w:tc>
        <w:tc>
          <w:tcPr>
            <w:tcW w:w="6656" w:type="dxa"/>
            <w:tcBorders>
              <w:right w:val="single" w:color="000000" w:sz="12" w:space="0"/>
            </w:tcBorders>
          </w:tcPr>
          <w:p>
            <w:pPr>
              <w:pStyle w:val="10"/>
              <w:spacing w:line="278" w:lineRule="auto"/>
              <w:ind w:right="1"/>
              <w:rPr>
                <w:sz w:val="21"/>
              </w:rPr>
            </w:pPr>
            <w:r>
              <w:rPr>
                <w:sz w:val="21"/>
              </w:rPr>
              <w:t>指起源于脑、脑神经、脑被膜的非恶性肿瘤，ICD-O-3</w:t>
            </w:r>
            <w:r>
              <w:rPr>
                <w:spacing w:val="-7"/>
                <w:sz w:val="21"/>
              </w:rPr>
              <w:t xml:space="preserve"> 肿瘤形态学编码</w:t>
            </w:r>
            <w:r>
              <w:rPr>
                <w:spacing w:val="-15"/>
                <w:sz w:val="21"/>
              </w:rPr>
              <w:t xml:space="preserve">属于 </w:t>
            </w:r>
            <w:r>
              <w:rPr>
                <w:sz w:val="21"/>
              </w:rPr>
              <w:t>0（良性肿瘤</w:t>
            </w:r>
            <w:r>
              <w:rPr>
                <w:spacing w:val="-106"/>
                <w:sz w:val="21"/>
              </w:rPr>
              <w:t>）</w:t>
            </w:r>
            <w:r>
              <w:rPr>
                <w:sz w:val="21"/>
              </w:rPr>
              <w:t>、1（动态未定性肿瘤）范畴，并已经引起颅内压升</w:t>
            </w:r>
            <w:r>
              <w:rPr>
                <w:spacing w:val="-2"/>
                <w:sz w:val="21"/>
              </w:rPr>
              <w:t>高或神经系统功能损害，出现视乳头水肿或视觉受损、听觉受损、面部</w:t>
            </w:r>
            <w:r>
              <w:rPr>
                <w:spacing w:val="-4"/>
                <w:sz w:val="21"/>
              </w:rPr>
              <w:t>或肢体瘫痪、癫痫等，须由头颅断层扫描</w:t>
            </w:r>
            <w:r>
              <w:rPr>
                <w:spacing w:val="22"/>
                <w:sz w:val="21"/>
              </w:rPr>
              <w:t>（</w:t>
            </w:r>
            <w:r>
              <w:rPr>
                <w:spacing w:val="23"/>
                <w:sz w:val="21"/>
              </w:rPr>
              <w:t>C</w:t>
            </w:r>
            <w:r>
              <w:rPr>
                <w:spacing w:val="20"/>
                <w:sz w:val="21"/>
              </w:rPr>
              <w:t>T</w:t>
            </w:r>
            <w:r>
              <w:rPr>
                <w:spacing w:val="-83"/>
                <w:sz w:val="21"/>
              </w:rPr>
              <w:t>）</w:t>
            </w:r>
            <w:r>
              <w:rPr>
                <w:spacing w:val="-4"/>
                <w:sz w:val="21"/>
              </w:rPr>
              <w:t>、核磁共振检查（MRI）</w:t>
            </w:r>
            <w:r>
              <w:rPr>
                <w:spacing w:val="-2"/>
                <w:sz w:val="21"/>
              </w:rPr>
              <w:t>或正电子发射断层扫描（PET）等影像学检查证实，且须满足下列至少一项条件：</w:t>
            </w:r>
          </w:p>
          <w:p>
            <w:pPr>
              <w:pStyle w:val="10"/>
              <w:numPr>
                <w:ilvl w:val="0"/>
                <w:numId w:val="34"/>
              </w:numPr>
              <w:tabs>
                <w:tab w:val="left" w:pos="637"/>
              </w:tabs>
              <w:spacing w:before="0" w:after="0" w:line="240" w:lineRule="auto"/>
              <w:ind w:left="636" w:right="0" w:hanging="530"/>
              <w:jc w:val="left"/>
              <w:rPr>
                <w:sz w:val="21"/>
              </w:rPr>
            </w:pPr>
            <w:r>
              <w:rPr>
                <w:spacing w:val="-3"/>
                <w:sz w:val="21"/>
              </w:rPr>
              <w:t>已经实施了开颅进行的颅内肿瘤完全或部分切除手术；</w:t>
            </w:r>
          </w:p>
          <w:p>
            <w:pPr>
              <w:pStyle w:val="10"/>
              <w:numPr>
                <w:ilvl w:val="0"/>
                <w:numId w:val="34"/>
              </w:numPr>
              <w:tabs>
                <w:tab w:val="left" w:pos="637"/>
              </w:tabs>
              <w:spacing w:before="43" w:after="0" w:line="278" w:lineRule="auto"/>
              <w:ind w:left="107" w:right="74" w:firstLine="0"/>
              <w:jc w:val="left"/>
              <w:rPr>
                <w:sz w:val="21"/>
              </w:rPr>
            </w:pPr>
            <w:r>
              <w:rPr>
                <w:spacing w:val="-2"/>
                <w:sz w:val="21"/>
              </w:rPr>
              <w:t>已经实施了针对颅内肿瘤的放射治疗，如γ刀、质子重离子治疗</w:t>
            </w:r>
            <w:r>
              <w:rPr>
                <w:spacing w:val="-6"/>
                <w:sz w:val="21"/>
              </w:rPr>
              <w:t>等。</w:t>
            </w:r>
          </w:p>
          <w:p>
            <w:pPr>
              <w:pStyle w:val="10"/>
              <w:spacing w:before="0" w:line="269" w:lineRule="exact"/>
              <w:rPr>
                <w:rFonts w:ascii="黑体" w:eastAsia="黑体"/>
                <w:sz w:val="21"/>
              </w:rPr>
            </w:pPr>
            <w:r>
              <w:rPr>
                <w:rFonts w:ascii="黑体" w:eastAsia="黑体"/>
                <w:color w:val="000000"/>
                <w:spacing w:val="-3"/>
                <w:sz w:val="21"/>
                <w:shd w:val="clear" w:color="auto" w:fill="D9D9D9"/>
              </w:rPr>
              <w:t>下列疾病不在保障范围内：</w:t>
            </w:r>
          </w:p>
          <w:p>
            <w:pPr>
              <w:pStyle w:val="10"/>
              <w:numPr>
                <w:ilvl w:val="0"/>
                <w:numId w:val="35"/>
              </w:numPr>
              <w:tabs>
                <w:tab w:val="left" w:pos="637"/>
              </w:tabs>
              <w:spacing w:before="43" w:after="0" w:line="240" w:lineRule="auto"/>
              <w:ind w:left="636" w:right="0" w:hanging="530"/>
              <w:jc w:val="left"/>
              <w:rPr>
                <w:rFonts w:ascii="黑体" w:eastAsia="黑体"/>
                <w:sz w:val="21"/>
              </w:rPr>
            </w:pPr>
            <w:r>
              <w:rPr>
                <w:rFonts w:ascii="黑体" w:eastAsia="黑体"/>
                <w:color w:val="000000"/>
                <w:spacing w:val="-4"/>
                <w:sz w:val="21"/>
                <w:shd w:val="clear" w:color="auto" w:fill="D9D9D9"/>
              </w:rPr>
              <w:t>脑垂体瘤；</w:t>
            </w:r>
          </w:p>
          <w:p>
            <w:pPr>
              <w:pStyle w:val="10"/>
              <w:numPr>
                <w:ilvl w:val="0"/>
                <w:numId w:val="35"/>
              </w:numPr>
              <w:tabs>
                <w:tab w:val="left" w:pos="637"/>
              </w:tabs>
              <w:spacing w:before="43" w:after="0" w:line="240" w:lineRule="auto"/>
              <w:ind w:left="636" w:right="0" w:hanging="530"/>
              <w:jc w:val="left"/>
              <w:rPr>
                <w:rFonts w:ascii="黑体" w:eastAsia="黑体"/>
                <w:sz w:val="21"/>
              </w:rPr>
            </w:pPr>
            <w:r>
              <w:rPr>
                <w:rFonts w:ascii="黑体" w:eastAsia="黑体"/>
                <w:color w:val="000000"/>
                <w:spacing w:val="-4"/>
                <w:sz w:val="21"/>
                <w:shd w:val="clear" w:color="auto" w:fill="D9D9D9"/>
              </w:rPr>
              <w:t>脑囊肿；</w:t>
            </w:r>
          </w:p>
          <w:p>
            <w:pPr>
              <w:pStyle w:val="10"/>
              <w:numPr>
                <w:ilvl w:val="0"/>
                <w:numId w:val="35"/>
              </w:numPr>
              <w:tabs>
                <w:tab w:val="left" w:pos="637"/>
              </w:tabs>
              <w:spacing w:before="2" w:after="0" w:line="310" w:lineRule="atLeast"/>
              <w:ind w:left="107" w:right="74" w:firstLine="0"/>
              <w:jc w:val="left"/>
              <w:rPr>
                <w:rFonts w:ascii="黑体" w:eastAsia="黑体"/>
                <w:sz w:val="21"/>
              </w:rPr>
            </w:pPr>
            <w:r>
              <w:rPr>
                <w:rFonts w:ascii="黑体" w:eastAsia="黑体"/>
                <w:color w:val="000000"/>
                <w:spacing w:val="-2"/>
                <w:sz w:val="21"/>
                <w:shd w:val="clear" w:color="auto" w:fill="D9D9D9"/>
              </w:rPr>
              <w:t>颅内血管性疾病（如脑动脉瘤、脑动静脉畸形、海绵状血管瘤、毛细血管扩张症等</w:t>
            </w:r>
            <w:r>
              <w:rPr>
                <w:rFonts w:ascii="黑体" w:eastAsia="黑体"/>
                <w:color w:val="000000"/>
                <w:spacing w:val="-108"/>
                <w:sz w:val="21"/>
                <w:shd w:val="clear" w:color="auto" w:fill="D9D9D9"/>
              </w:rPr>
              <w:t>）</w:t>
            </w:r>
            <w:r>
              <w:rPr>
                <w:rFonts w:ascii="黑体" w:eastAsia="黑体"/>
                <w:color w:val="000000"/>
                <w:spacing w:val="-2"/>
                <w:sz w:val="21"/>
                <w:shd w:val="clear" w:color="auto" w:fill="D9D9D9"/>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1090" w:type="dxa"/>
            <w:tcBorders>
              <w:left w:val="single" w:color="000000" w:sz="12" w:space="0"/>
            </w:tcBorders>
          </w:tcPr>
          <w:p>
            <w:pPr>
              <w:pStyle w:val="10"/>
              <w:ind w:left="439"/>
              <w:rPr>
                <w:sz w:val="21"/>
              </w:rPr>
            </w:pPr>
            <w:r>
              <w:rPr>
                <w:spacing w:val="-5"/>
                <w:sz w:val="21"/>
              </w:rPr>
              <w:t>10</w:t>
            </w:r>
          </w:p>
        </w:tc>
        <w:tc>
          <w:tcPr>
            <w:tcW w:w="2194" w:type="dxa"/>
          </w:tcPr>
          <w:p>
            <w:pPr>
              <w:pStyle w:val="10"/>
              <w:ind w:left="119"/>
              <w:rPr>
                <w:sz w:val="21"/>
              </w:rPr>
            </w:pPr>
            <w:r>
              <w:rPr>
                <w:spacing w:val="-4"/>
                <w:sz w:val="21"/>
              </w:rPr>
              <w:t>严重慢性肝衰竭</w:t>
            </w:r>
          </w:p>
        </w:tc>
        <w:tc>
          <w:tcPr>
            <w:tcW w:w="6656" w:type="dxa"/>
            <w:tcBorders>
              <w:right w:val="single" w:color="000000" w:sz="12" w:space="0"/>
            </w:tcBorders>
          </w:tcPr>
          <w:p>
            <w:pPr>
              <w:pStyle w:val="10"/>
              <w:rPr>
                <w:sz w:val="21"/>
              </w:rPr>
            </w:pPr>
            <w:r>
              <w:rPr>
                <w:spacing w:val="-3"/>
                <w:sz w:val="21"/>
              </w:rPr>
              <w:t>指因慢性肝脏疾病导致的肝衰竭，且须满足下列全部条件：</w:t>
            </w:r>
          </w:p>
          <w:p>
            <w:pPr>
              <w:pStyle w:val="10"/>
              <w:spacing w:before="43"/>
              <w:rPr>
                <w:sz w:val="21"/>
              </w:rPr>
            </w:pPr>
            <w:r>
              <w:rPr>
                <w:spacing w:val="-2"/>
                <w:sz w:val="21"/>
              </w:rPr>
              <w:t>（1）</w:t>
            </w:r>
            <w:r>
              <w:rPr>
                <w:spacing w:val="-4"/>
                <w:sz w:val="21"/>
              </w:rPr>
              <w:t>持续性黄疸；</w:t>
            </w:r>
          </w:p>
          <w:p>
            <w:pPr>
              <w:pStyle w:val="10"/>
              <w:spacing w:before="43"/>
              <w:rPr>
                <w:sz w:val="21"/>
              </w:rPr>
            </w:pPr>
            <w:r>
              <w:rPr>
                <w:spacing w:val="-2"/>
                <w:sz w:val="21"/>
              </w:rPr>
              <w:t>（2）</w:t>
            </w:r>
            <w:r>
              <w:rPr>
                <w:spacing w:val="-5"/>
                <w:sz w:val="21"/>
              </w:rPr>
              <w:t>腹水；</w:t>
            </w:r>
          </w:p>
        </w:tc>
      </w:tr>
    </w:tbl>
    <w:p>
      <w:pPr>
        <w:spacing w:after="0"/>
        <w:rPr>
          <w:sz w:val="21"/>
        </w:rPr>
        <w:sectPr>
          <w:type w:val="continuous"/>
          <w:pgSz w:w="11910" w:h="16840"/>
          <w:pgMar w:top="840" w:right="340" w:bottom="1083" w:left="800" w:header="0" w:footer="457" w:gutter="0"/>
          <w:cols w:space="720" w:num="1"/>
        </w:sectPr>
      </w:pPr>
    </w:p>
    <w:tbl>
      <w:tblPr>
        <w:tblStyle w:val="6"/>
        <w:tblW w:w="0" w:type="auto"/>
        <w:tblInd w:w="22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90"/>
        <w:gridCol w:w="2194"/>
        <w:gridCol w:w="66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6" w:hRule="atLeast"/>
        </w:trPr>
        <w:tc>
          <w:tcPr>
            <w:tcW w:w="1090" w:type="dxa"/>
            <w:tcBorders>
              <w:left w:val="single" w:color="000000" w:sz="12" w:space="0"/>
            </w:tcBorders>
          </w:tcPr>
          <w:p>
            <w:pPr>
              <w:pStyle w:val="10"/>
              <w:spacing w:before="0"/>
              <w:ind w:left="0"/>
              <w:rPr>
                <w:rFonts w:ascii="Times New Roman"/>
                <w:sz w:val="20"/>
              </w:rPr>
            </w:pPr>
          </w:p>
        </w:tc>
        <w:tc>
          <w:tcPr>
            <w:tcW w:w="2194" w:type="dxa"/>
          </w:tcPr>
          <w:p>
            <w:pPr>
              <w:pStyle w:val="10"/>
              <w:spacing w:before="0"/>
              <w:ind w:left="0"/>
              <w:rPr>
                <w:rFonts w:ascii="Times New Roman"/>
                <w:sz w:val="20"/>
              </w:rPr>
            </w:pPr>
          </w:p>
        </w:tc>
        <w:tc>
          <w:tcPr>
            <w:tcW w:w="6656" w:type="dxa"/>
            <w:tcBorders>
              <w:right w:val="single" w:color="000000" w:sz="12" w:space="0"/>
            </w:tcBorders>
          </w:tcPr>
          <w:p>
            <w:pPr>
              <w:pStyle w:val="10"/>
              <w:numPr>
                <w:ilvl w:val="0"/>
                <w:numId w:val="36"/>
              </w:numPr>
              <w:tabs>
                <w:tab w:val="left" w:pos="637"/>
              </w:tabs>
              <w:spacing w:before="16" w:after="0" w:line="240" w:lineRule="auto"/>
              <w:ind w:left="636" w:right="0" w:hanging="530"/>
              <w:jc w:val="left"/>
              <w:rPr>
                <w:sz w:val="21"/>
              </w:rPr>
            </w:pPr>
            <w:r>
              <w:rPr>
                <w:spacing w:val="-4"/>
                <w:sz w:val="21"/>
              </w:rPr>
              <w:t>肝性脑病；</w:t>
            </w:r>
          </w:p>
          <w:p>
            <w:pPr>
              <w:pStyle w:val="10"/>
              <w:numPr>
                <w:ilvl w:val="0"/>
                <w:numId w:val="36"/>
              </w:numPr>
              <w:tabs>
                <w:tab w:val="left" w:pos="637"/>
              </w:tabs>
              <w:spacing w:before="43" w:after="0" w:line="240" w:lineRule="auto"/>
              <w:ind w:left="636" w:right="0" w:hanging="530"/>
              <w:jc w:val="left"/>
              <w:rPr>
                <w:sz w:val="21"/>
              </w:rPr>
            </w:pPr>
            <w:r>
              <w:rPr>
                <w:spacing w:val="-3"/>
                <w:sz w:val="21"/>
              </w:rPr>
              <w:t>充血性脾肿大伴脾功能亢进或食管胃底静脉曲张。</w:t>
            </w:r>
          </w:p>
          <w:p>
            <w:pPr>
              <w:pStyle w:val="10"/>
              <w:spacing w:before="43"/>
              <w:rPr>
                <w:rFonts w:ascii="黑体" w:eastAsia="黑体"/>
                <w:sz w:val="21"/>
              </w:rPr>
            </w:pPr>
            <w:r>
              <w:rPr>
                <w:rFonts w:ascii="黑体" w:eastAsia="黑体"/>
                <w:color w:val="000000"/>
                <w:spacing w:val="-3"/>
                <w:sz w:val="21"/>
                <w:shd w:val="clear" w:color="auto" w:fill="D9D9D9"/>
              </w:rPr>
              <w:t>因酗酒或药物滥用导致的肝衰竭不在保障范围内。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07" w:hRule="atLeast"/>
        </w:trPr>
        <w:tc>
          <w:tcPr>
            <w:tcW w:w="1090" w:type="dxa"/>
            <w:tcBorders>
              <w:left w:val="single" w:color="000000" w:sz="12" w:space="0"/>
            </w:tcBorders>
          </w:tcPr>
          <w:p>
            <w:pPr>
              <w:pStyle w:val="10"/>
              <w:ind w:left="323" w:right="294"/>
              <w:jc w:val="center"/>
              <w:rPr>
                <w:sz w:val="21"/>
              </w:rPr>
            </w:pPr>
            <w:r>
              <w:rPr>
                <w:spacing w:val="-5"/>
                <w:sz w:val="21"/>
              </w:rPr>
              <w:t>11</w:t>
            </w:r>
          </w:p>
        </w:tc>
        <w:tc>
          <w:tcPr>
            <w:tcW w:w="2194" w:type="dxa"/>
          </w:tcPr>
          <w:p>
            <w:pPr>
              <w:pStyle w:val="10"/>
              <w:spacing w:line="278" w:lineRule="auto"/>
              <w:ind w:left="119" w:right="168"/>
              <w:rPr>
                <w:sz w:val="21"/>
              </w:rPr>
            </w:pPr>
            <w:r>
              <w:rPr>
                <w:spacing w:val="-2"/>
                <w:sz w:val="21"/>
              </w:rPr>
              <w:t>严重脑炎后遗症或严重脑膜炎后遗症</w:t>
            </w:r>
          </w:p>
        </w:tc>
        <w:tc>
          <w:tcPr>
            <w:tcW w:w="6656" w:type="dxa"/>
            <w:tcBorders>
              <w:right w:val="single" w:color="000000" w:sz="12" w:space="0"/>
            </w:tcBorders>
          </w:tcPr>
          <w:p>
            <w:pPr>
              <w:pStyle w:val="10"/>
              <w:spacing w:line="278" w:lineRule="auto"/>
              <w:ind w:right="73"/>
              <w:jc w:val="both"/>
              <w:rPr>
                <w:sz w:val="21"/>
              </w:rPr>
            </w:pPr>
            <w:r>
              <w:rPr>
                <w:spacing w:val="-5"/>
                <w:sz w:val="21"/>
              </w:rPr>
              <w:t xml:space="preserve">指因患脑炎或脑膜炎导致的神经系统永久性的功能障碍。神经系统永久性的功能障碍，指经相关专科医生确诊疾病 </w:t>
            </w:r>
            <w:r>
              <w:rPr>
                <w:spacing w:val="-4"/>
                <w:sz w:val="21"/>
              </w:rPr>
              <w:t>180</w:t>
            </w:r>
            <w:r>
              <w:rPr>
                <w:spacing w:val="-8"/>
                <w:sz w:val="21"/>
              </w:rPr>
              <w:t xml:space="preserve"> 天后，仍遗留下列至少</w:t>
            </w:r>
            <w:r>
              <w:rPr>
                <w:spacing w:val="-2"/>
                <w:sz w:val="21"/>
              </w:rPr>
              <w:t>一种障碍：</w:t>
            </w:r>
          </w:p>
          <w:p>
            <w:pPr>
              <w:pStyle w:val="10"/>
              <w:numPr>
                <w:ilvl w:val="0"/>
                <w:numId w:val="37"/>
              </w:numPr>
              <w:tabs>
                <w:tab w:val="left" w:pos="637"/>
              </w:tabs>
              <w:spacing w:before="0" w:after="0" w:line="269" w:lineRule="exact"/>
              <w:ind w:left="636" w:right="0" w:hanging="530"/>
              <w:jc w:val="both"/>
              <w:rPr>
                <w:sz w:val="21"/>
              </w:rPr>
            </w:pPr>
            <w:r>
              <w:rPr>
                <w:spacing w:val="-2"/>
                <w:sz w:val="21"/>
              </w:rPr>
              <w:t>一肢（含）</w:t>
            </w:r>
            <w:r>
              <w:rPr>
                <w:spacing w:val="-9"/>
                <w:sz w:val="21"/>
              </w:rPr>
              <w:t xml:space="preserve">以上肢体肌力 </w:t>
            </w:r>
            <w:r>
              <w:rPr>
                <w:spacing w:val="-2"/>
                <w:sz w:val="21"/>
              </w:rPr>
              <w:t>2</w:t>
            </w:r>
            <w:r>
              <w:rPr>
                <w:spacing w:val="-26"/>
                <w:sz w:val="21"/>
              </w:rPr>
              <w:t xml:space="preserve"> 级</w:t>
            </w:r>
            <w:r>
              <w:rPr>
                <w:spacing w:val="-2"/>
                <w:sz w:val="21"/>
              </w:rPr>
              <w:t>（含）</w:t>
            </w:r>
            <w:r>
              <w:rPr>
                <w:spacing w:val="-5"/>
                <w:sz w:val="21"/>
              </w:rPr>
              <w:t>以下；</w:t>
            </w:r>
          </w:p>
          <w:p>
            <w:pPr>
              <w:pStyle w:val="10"/>
              <w:numPr>
                <w:ilvl w:val="0"/>
                <w:numId w:val="37"/>
              </w:numPr>
              <w:tabs>
                <w:tab w:val="left" w:pos="637"/>
              </w:tabs>
              <w:spacing w:before="43" w:after="0" w:line="240" w:lineRule="auto"/>
              <w:ind w:left="636" w:right="0" w:hanging="530"/>
              <w:jc w:val="left"/>
              <w:rPr>
                <w:sz w:val="21"/>
              </w:rPr>
            </w:pPr>
            <w:r>
              <w:rPr>
                <w:spacing w:val="-3"/>
                <w:sz w:val="21"/>
              </w:rPr>
              <w:t>语言能力完全丧失，或严重咀嚼吞咽功能障碍；</w:t>
            </w:r>
          </w:p>
          <w:p>
            <w:pPr>
              <w:pStyle w:val="10"/>
              <w:numPr>
                <w:ilvl w:val="0"/>
                <w:numId w:val="37"/>
              </w:numPr>
              <w:tabs>
                <w:tab w:val="left" w:pos="637"/>
              </w:tabs>
              <w:spacing w:before="43" w:after="0" w:line="278" w:lineRule="auto"/>
              <w:ind w:left="107" w:right="75" w:firstLine="0"/>
              <w:jc w:val="left"/>
              <w:rPr>
                <w:sz w:val="21"/>
              </w:rPr>
            </w:pPr>
            <w:r>
              <w:rPr>
                <w:spacing w:val="-7"/>
                <w:sz w:val="21"/>
              </w:rPr>
              <w:t>由具有评估资格的专科医生根据临床痴呆评定量表</w:t>
            </w:r>
            <w:r>
              <w:rPr>
                <w:sz w:val="21"/>
              </w:rPr>
              <w:t>（CDR，Clinical Dementia Rating）</w:t>
            </w:r>
            <w:r>
              <w:rPr>
                <w:spacing w:val="-8"/>
                <w:sz w:val="21"/>
              </w:rPr>
              <w:t xml:space="preserve">评估结果为 </w:t>
            </w:r>
            <w:r>
              <w:rPr>
                <w:sz w:val="21"/>
              </w:rPr>
              <w:t>3</w:t>
            </w:r>
            <w:r>
              <w:rPr>
                <w:spacing w:val="-16"/>
                <w:sz w:val="21"/>
              </w:rPr>
              <w:t xml:space="preserve"> 分；</w:t>
            </w:r>
          </w:p>
          <w:p>
            <w:pPr>
              <w:pStyle w:val="10"/>
              <w:numPr>
                <w:ilvl w:val="0"/>
                <w:numId w:val="37"/>
              </w:numPr>
              <w:tabs>
                <w:tab w:val="left" w:pos="637"/>
              </w:tabs>
              <w:spacing w:before="0" w:after="0" w:line="269" w:lineRule="exact"/>
              <w:ind w:left="636" w:right="0" w:hanging="530"/>
              <w:jc w:val="left"/>
              <w:rPr>
                <w:sz w:val="21"/>
              </w:rPr>
            </w:pPr>
            <w:r>
              <w:rPr>
                <w:spacing w:val="-1"/>
                <w:sz w:val="21"/>
              </w:rPr>
              <w:t>自主生活能力完全丧失，无法独立完成六项基本日常生活活动中</w:t>
            </w:r>
          </w:p>
          <w:p>
            <w:pPr>
              <w:pStyle w:val="10"/>
              <w:spacing w:before="43"/>
              <w:rPr>
                <w:sz w:val="21"/>
              </w:rPr>
            </w:pPr>
            <w:r>
              <w:rPr>
                <w:spacing w:val="-3"/>
                <w:sz w:val="21"/>
              </w:rPr>
              <w:t>的三项或三项以上。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0" w:hRule="atLeast"/>
        </w:trPr>
        <w:tc>
          <w:tcPr>
            <w:tcW w:w="1090" w:type="dxa"/>
            <w:tcBorders>
              <w:left w:val="single" w:color="000000" w:sz="12" w:space="0"/>
            </w:tcBorders>
          </w:tcPr>
          <w:p>
            <w:pPr>
              <w:pStyle w:val="10"/>
              <w:ind w:left="323" w:right="294"/>
              <w:jc w:val="center"/>
              <w:rPr>
                <w:sz w:val="21"/>
              </w:rPr>
            </w:pPr>
            <w:r>
              <w:rPr>
                <w:spacing w:val="-5"/>
                <w:sz w:val="21"/>
              </w:rPr>
              <w:t>12</w:t>
            </w:r>
          </w:p>
        </w:tc>
        <w:tc>
          <w:tcPr>
            <w:tcW w:w="2194" w:type="dxa"/>
          </w:tcPr>
          <w:p>
            <w:pPr>
              <w:pStyle w:val="10"/>
              <w:ind w:left="119"/>
              <w:rPr>
                <w:sz w:val="21"/>
              </w:rPr>
            </w:pPr>
            <w:r>
              <w:rPr>
                <w:spacing w:val="-4"/>
                <w:sz w:val="21"/>
              </w:rPr>
              <w:t>深度昏迷</w:t>
            </w:r>
          </w:p>
        </w:tc>
        <w:tc>
          <w:tcPr>
            <w:tcW w:w="6656" w:type="dxa"/>
            <w:tcBorders>
              <w:right w:val="single" w:color="000000" w:sz="12" w:space="0"/>
            </w:tcBorders>
          </w:tcPr>
          <w:p>
            <w:pPr>
              <w:pStyle w:val="10"/>
              <w:spacing w:line="278" w:lineRule="auto"/>
              <w:ind w:right="1"/>
              <w:rPr>
                <w:sz w:val="21"/>
              </w:rPr>
            </w:pPr>
            <w:r>
              <w:rPr>
                <w:spacing w:val="-2"/>
                <w:sz w:val="21"/>
              </w:rPr>
              <w:t>指因疾病或意外伤害导致意识丧失，对外界刺激和体内需求均无反应，</w:t>
            </w:r>
            <w:r>
              <w:rPr>
                <w:sz w:val="21"/>
              </w:rPr>
              <w:t>昏迷程度按照格拉斯哥昏迷分级（GCS，Glasgow Coma Scale）结果为 5</w:t>
            </w:r>
            <w:r>
              <w:rPr>
                <w:spacing w:val="-13"/>
                <w:sz w:val="21"/>
              </w:rPr>
              <w:t xml:space="preserve"> 分或 </w:t>
            </w:r>
            <w:r>
              <w:rPr>
                <w:sz w:val="21"/>
              </w:rPr>
              <w:t>5</w:t>
            </w:r>
            <w:r>
              <w:rPr>
                <w:spacing w:val="-7"/>
                <w:sz w:val="21"/>
              </w:rPr>
              <w:t xml:space="preserve"> 分以下，且已经持续使用呼吸机及其它生命维持系统 </w:t>
            </w:r>
            <w:r>
              <w:rPr>
                <w:sz w:val="21"/>
              </w:rPr>
              <w:t>96</w:t>
            </w:r>
            <w:r>
              <w:rPr>
                <w:spacing w:val="-9"/>
                <w:sz w:val="21"/>
              </w:rPr>
              <w:t xml:space="preserve"> 小时</w:t>
            </w:r>
            <w:r>
              <w:rPr>
                <w:spacing w:val="-4"/>
                <w:sz w:val="21"/>
              </w:rPr>
              <w:t>以上。</w:t>
            </w:r>
          </w:p>
          <w:p>
            <w:pPr>
              <w:pStyle w:val="10"/>
              <w:spacing w:before="0"/>
              <w:rPr>
                <w:rFonts w:ascii="黑体" w:eastAsia="黑体"/>
                <w:sz w:val="21"/>
              </w:rPr>
            </w:pPr>
            <w:r>
              <w:rPr>
                <w:rFonts w:ascii="黑体" w:eastAsia="黑体"/>
                <w:color w:val="000000"/>
                <w:spacing w:val="-3"/>
                <w:sz w:val="21"/>
                <w:shd w:val="clear" w:color="auto" w:fill="D9D9D9"/>
              </w:rPr>
              <w:t>因酗酒或药物滥用导致的深度昏迷不在保障范围内。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1090" w:type="dxa"/>
            <w:tcBorders>
              <w:left w:val="single" w:color="000000" w:sz="12" w:space="0"/>
            </w:tcBorders>
          </w:tcPr>
          <w:p>
            <w:pPr>
              <w:pStyle w:val="10"/>
              <w:ind w:left="323" w:right="294"/>
              <w:jc w:val="center"/>
              <w:rPr>
                <w:sz w:val="21"/>
              </w:rPr>
            </w:pPr>
            <w:r>
              <w:rPr>
                <w:spacing w:val="-5"/>
                <w:sz w:val="21"/>
              </w:rPr>
              <w:t>13</w:t>
            </w:r>
          </w:p>
        </w:tc>
        <w:tc>
          <w:tcPr>
            <w:tcW w:w="2194" w:type="dxa"/>
          </w:tcPr>
          <w:p>
            <w:pPr>
              <w:pStyle w:val="10"/>
              <w:ind w:left="119"/>
              <w:rPr>
                <w:sz w:val="21"/>
              </w:rPr>
            </w:pPr>
            <w:r>
              <w:rPr>
                <w:spacing w:val="-4"/>
                <w:sz w:val="21"/>
              </w:rPr>
              <w:t>双耳失聪</w:t>
            </w:r>
          </w:p>
        </w:tc>
        <w:tc>
          <w:tcPr>
            <w:tcW w:w="6656" w:type="dxa"/>
            <w:tcBorders>
              <w:right w:val="single" w:color="000000" w:sz="12" w:space="0"/>
            </w:tcBorders>
          </w:tcPr>
          <w:p>
            <w:pPr>
              <w:pStyle w:val="10"/>
              <w:rPr>
                <w:sz w:val="21"/>
              </w:rPr>
            </w:pPr>
            <w:r>
              <w:rPr>
                <w:sz w:val="21"/>
              </w:rPr>
              <w:t>指因疾病或意外伤害导致双耳听力永久不可逆性丧失，在 500</w:t>
            </w:r>
            <w:r>
              <w:rPr>
                <w:spacing w:val="-3"/>
                <w:sz w:val="21"/>
              </w:rPr>
              <w:t xml:space="preserve"> 赫兹、</w:t>
            </w:r>
          </w:p>
          <w:p>
            <w:pPr>
              <w:pStyle w:val="10"/>
              <w:spacing w:before="2" w:line="310" w:lineRule="atLeast"/>
              <w:ind w:right="73"/>
              <w:rPr>
                <w:sz w:val="21"/>
              </w:rPr>
            </w:pPr>
            <w:r>
              <w:rPr>
                <w:sz w:val="21"/>
              </w:rPr>
              <w:t>1000</w:t>
            </w:r>
            <w:r>
              <w:rPr>
                <w:spacing w:val="-16"/>
                <w:sz w:val="21"/>
              </w:rPr>
              <w:t xml:space="preserve"> 赫兹和 </w:t>
            </w:r>
            <w:r>
              <w:rPr>
                <w:sz w:val="21"/>
              </w:rPr>
              <w:t>2000</w:t>
            </w:r>
            <w:r>
              <w:rPr>
                <w:spacing w:val="-8"/>
                <w:sz w:val="21"/>
              </w:rPr>
              <w:t xml:space="preserve"> 赫兹语音频率下，平均听阈大于等于 </w:t>
            </w:r>
            <w:r>
              <w:rPr>
                <w:sz w:val="21"/>
              </w:rPr>
              <w:t>91</w:t>
            </w:r>
            <w:r>
              <w:rPr>
                <w:spacing w:val="-7"/>
                <w:sz w:val="21"/>
              </w:rPr>
              <w:t xml:space="preserve"> 分贝，且经</w:t>
            </w:r>
            <w:r>
              <w:rPr>
                <w:spacing w:val="-2"/>
                <w:sz w:val="21"/>
              </w:rPr>
              <w:t>纯音听力测试、声导抗检测或听觉诱发电位检测等证实。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2" w:hRule="atLeast"/>
        </w:trPr>
        <w:tc>
          <w:tcPr>
            <w:tcW w:w="1090" w:type="dxa"/>
            <w:tcBorders>
              <w:left w:val="single" w:color="000000" w:sz="12" w:space="0"/>
            </w:tcBorders>
          </w:tcPr>
          <w:p>
            <w:pPr>
              <w:pStyle w:val="10"/>
              <w:ind w:left="323" w:right="294"/>
              <w:jc w:val="center"/>
              <w:rPr>
                <w:sz w:val="21"/>
              </w:rPr>
            </w:pPr>
            <w:r>
              <w:rPr>
                <w:spacing w:val="-5"/>
                <w:sz w:val="21"/>
              </w:rPr>
              <w:t>14</w:t>
            </w:r>
          </w:p>
        </w:tc>
        <w:tc>
          <w:tcPr>
            <w:tcW w:w="2194" w:type="dxa"/>
          </w:tcPr>
          <w:p>
            <w:pPr>
              <w:pStyle w:val="10"/>
              <w:ind w:left="119"/>
              <w:rPr>
                <w:sz w:val="21"/>
              </w:rPr>
            </w:pPr>
            <w:r>
              <w:rPr>
                <w:spacing w:val="-4"/>
                <w:sz w:val="21"/>
              </w:rPr>
              <w:t>双目失明</w:t>
            </w:r>
          </w:p>
        </w:tc>
        <w:tc>
          <w:tcPr>
            <w:tcW w:w="6656" w:type="dxa"/>
            <w:tcBorders>
              <w:right w:val="single" w:color="000000" w:sz="12" w:space="0"/>
            </w:tcBorders>
          </w:tcPr>
          <w:p>
            <w:pPr>
              <w:pStyle w:val="10"/>
              <w:spacing w:line="278" w:lineRule="auto"/>
              <w:ind w:right="73"/>
              <w:rPr>
                <w:sz w:val="21"/>
              </w:rPr>
            </w:pPr>
            <w:r>
              <w:rPr>
                <w:spacing w:val="-5"/>
                <w:sz w:val="21"/>
              </w:rPr>
              <w:t>指因疾病或意外伤害导致双眼视力永久不可逆性丧失，双眼中较好眼须</w:t>
            </w:r>
            <w:r>
              <w:rPr>
                <w:spacing w:val="-2"/>
                <w:sz w:val="21"/>
              </w:rPr>
              <w:t>满足下列至少一项条件：</w:t>
            </w:r>
          </w:p>
          <w:p>
            <w:pPr>
              <w:pStyle w:val="10"/>
              <w:numPr>
                <w:ilvl w:val="0"/>
                <w:numId w:val="38"/>
              </w:numPr>
              <w:tabs>
                <w:tab w:val="left" w:pos="637"/>
              </w:tabs>
              <w:spacing w:before="0" w:after="0" w:line="269" w:lineRule="exact"/>
              <w:ind w:left="636" w:right="0" w:hanging="530"/>
              <w:jc w:val="left"/>
              <w:rPr>
                <w:sz w:val="21"/>
              </w:rPr>
            </w:pPr>
            <w:r>
              <w:rPr>
                <w:spacing w:val="-4"/>
                <w:sz w:val="21"/>
              </w:rPr>
              <w:t>眼球缺失或摘除；</w:t>
            </w:r>
          </w:p>
          <w:p>
            <w:pPr>
              <w:pStyle w:val="10"/>
              <w:numPr>
                <w:ilvl w:val="0"/>
                <w:numId w:val="38"/>
              </w:numPr>
              <w:tabs>
                <w:tab w:val="left" w:pos="637"/>
              </w:tabs>
              <w:spacing w:before="43" w:after="0" w:line="278" w:lineRule="auto"/>
              <w:ind w:left="107" w:right="74" w:firstLine="0"/>
              <w:jc w:val="left"/>
              <w:rPr>
                <w:sz w:val="21"/>
              </w:rPr>
            </w:pPr>
            <w:r>
              <w:rPr>
                <w:spacing w:val="-8"/>
                <w:sz w:val="21"/>
              </w:rPr>
              <w:t xml:space="preserve">矫正视力低于 </w:t>
            </w:r>
            <w:r>
              <w:rPr>
                <w:spacing w:val="-2"/>
                <w:sz w:val="21"/>
              </w:rPr>
              <w:t>0.02（采用国际标准视力表，如果使用其它视力表应进行换算</w:t>
            </w:r>
            <w:r>
              <w:rPr>
                <w:spacing w:val="-106"/>
                <w:sz w:val="21"/>
              </w:rPr>
              <w:t>）</w:t>
            </w:r>
            <w:r>
              <w:rPr>
                <w:sz w:val="21"/>
              </w:rPr>
              <w:t>；</w:t>
            </w:r>
          </w:p>
          <w:p>
            <w:pPr>
              <w:pStyle w:val="10"/>
              <w:numPr>
                <w:ilvl w:val="0"/>
                <w:numId w:val="38"/>
              </w:numPr>
              <w:tabs>
                <w:tab w:val="left" w:pos="637"/>
              </w:tabs>
              <w:spacing w:before="0" w:after="0" w:line="240" w:lineRule="auto"/>
              <w:ind w:left="636" w:right="0" w:hanging="530"/>
              <w:jc w:val="left"/>
              <w:rPr>
                <w:sz w:val="21"/>
              </w:rPr>
            </w:pPr>
            <w:r>
              <w:rPr>
                <w:spacing w:val="-10"/>
                <w:sz w:val="21"/>
              </w:rPr>
              <w:t xml:space="preserve">视野半径小于 </w:t>
            </w:r>
            <w:r>
              <w:rPr>
                <w:spacing w:val="-2"/>
                <w:sz w:val="21"/>
              </w:rPr>
              <w:t>5</w:t>
            </w:r>
            <w:r>
              <w:rPr>
                <w:spacing w:val="-21"/>
                <w:sz w:val="21"/>
              </w:rPr>
              <w:t xml:space="preserve"> 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50" w:hRule="atLeast"/>
        </w:trPr>
        <w:tc>
          <w:tcPr>
            <w:tcW w:w="1090" w:type="dxa"/>
            <w:tcBorders>
              <w:left w:val="single" w:color="000000" w:sz="12" w:space="0"/>
            </w:tcBorders>
          </w:tcPr>
          <w:p>
            <w:pPr>
              <w:pStyle w:val="10"/>
              <w:spacing w:before="18"/>
              <w:ind w:left="323" w:right="294"/>
              <w:jc w:val="center"/>
              <w:rPr>
                <w:sz w:val="21"/>
              </w:rPr>
            </w:pPr>
            <w:r>
              <w:rPr>
                <w:spacing w:val="-5"/>
                <w:sz w:val="21"/>
              </w:rPr>
              <w:t>15</w:t>
            </w:r>
          </w:p>
        </w:tc>
        <w:tc>
          <w:tcPr>
            <w:tcW w:w="2194" w:type="dxa"/>
          </w:tcPr>
          <w:p>
            <w:pPr>
              <w:pStyle w:val="10"/>
              <w:spacing w:before="18"/>
              <w:ind w:left="119"/>
              <w:rPr>
                <w:sz w:val="21"/>
              </w:rPr>
            </w:pPr>
            <w:r>
              <w:rPr>
                <w:spacing w:val="-5"/>
                <w:sz w:val="21"/>
              </w:rPr>
              <w:t>瘫痪</w:t>
            </w:r>
          </w:p>
        </w:tc>
        <w:tc>
          <w:tcPr>
            <w:tcW w:w="6656" w:type="dxa"/>
            <w:tcBorders>
              <w:right w:val="single" w:color="000000" w:sz="12" w:space="0"/>
            </w:tcBorders>
          </w:tcPr>
          <w:p>
            <w:pPr>
              <w:pStyle w:val="10"/>
              <w:spacing w:before="18" w:line="278" w:lineRule="auto"/>
              <w:ind w:right="73"/>
              <w:rPr>
                <w:sz w:val="21"/>
              </w:rPr>
            </w:pPr>
            <w:r>
              <w:rPr>
                <w:spacing w:val="1"/>
                <w:w w:val="100"/>
                <w:sz w:val="21"/>
              </w:rPr>
              <w:t>指因疾病或意外伤害导致两肢或两肢以上肢体随意运动功能永久完全</w:t>
            </w:r>
            <w:r>
              <w:rPr>
                <w:spacing w:val="-9"/>
                <w:w w:val="100"/>
                <w:sz w:val="21"/>
              </w:rPr>
              <w:t>丧失。肢体随意运动功能永久完全丧失，指疾病确诊</w:t>
            </w:r>
            <w:r>
              <w:rPr>
                <w:spacing w:val="-53"/>
                <w:sz w:val="21"/>
              </w:rPr>
              <w:t xml:space="preserve"> </w:t>
            </w:r>
            <w:r>
              <w:rPr>
                <w:w w:val="100"/>
                <w:sz w:val="21"/>
              </w:rPr>
              <w:t>180</w:t>
            </w:r>
            <w:r>
              <w:rPr>
                <w:spacing w:val="-54"/>
                <w:sz w:val="21"/>
              </w:rPr>
              <w:t xml:space="preserve"> </w:t>
            </w:r>
            <w:r>
              <w:rPr>
                <w:spacing w:val="-3"/>
                <w:w w:val="100"/>
                <w:sz w:val="21"/>
              </w:rPr>
              <w:t>天后或意外伤</w:t>
            </w:r>
          </w:p>
          <w:p>
            <w:pPr>
              <w:pStyle w:val="10"/>
              <w:spacing w:before="0" w:line="269" w:lineRule="exact"/>
              <w:rPr>
                <w:sz w:val="21"/>
              </w:rPr>
            </w:pPr>
            <w:r>
              <w:rPr>
                <w:spacing w:val="-16"/>
                <w:sz w:val="21"/>
              </w:rPr>
              <w:t xml:space="preserve">害发生 </w:t>
            </w:r>
            <w:r>
              <w:rPr>
                <w:spacing w:val="-4"/>
                <w:sz w:val="21"/>
              </w:rPr>
              <w:t>180</w:t>
            </w:r>
            <w:r>
              <w:rPr>
                <w:spacing w:val="-11"/>
                <w:sz w:val="21"/>
              </w:rPr>
              <w:t xml:space="preserve"> 天后，每肢三大关节中的两大关节仍然完全僵硬，或肢体肌</w:t>
            </w:r>
          </w:p>
          <w:p>
            <w:pPr>
              <w:pStyle w:val="10"/>
              <w:spacing w:before="43"/>
              <w:rPr>
                <w:sz w:val="21"/>
              </w:rPr>
            </w:pPr>
            <w:r>
              <w:rPr>
                <w:spacing w:val="-19"/>
                <w:sz w:val="21"/>
              </w:rPr>
              <w:t xml:space="preserve">力在 </w:t>
            </w:r>
            <w:r>
              <w:rPr>
                <w:spacing w:val="-2"/>
                <w:sz w:val="21"/>
              </w:rPr>
              <w:t>2</w:t>
            </w:r>
            <w:r>
              <w:rPr>
                <w:spacing w:val="-26"/>
                <w:sz w:val="21"/>
              </w:rPr>
              <w:t xml:space="preserve"> 级</w:t>
            </w:r>
            <w:r>
              <w:rPr>
                <w:spacing w:val="-2"/>
                <w:sz w:val="21"/>
              </w:rPr>
              <w:t>（含）</w:t>
            </w:r>
            <w:r>
              <w:rPr>
                <w:spacing w:val="-5"/>
                <w:sz w:val="21"/>
              </w:rPr>
              <w:t>以下。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1090" w:type="dxa"/>
            <w:tcBorders>
              <w:left w:val="single" w:color="000000" w:sz="12" w:space="0"/>
            </w:tcBorders>
          </w:tcPr>
          <w:p>
            <w:pPr>
              <w:pStyle w:val="10"/>
              <w:ind w:left="323" w:right="294"/>
              <w:jc w:val="center"/>
              <w:rPr>
                <w:sz w:val="21"/>
              </w:rPr>
            </w:pPr>
            <w:r>
              <w:rPr>
                <w:spacing w:val="-5"/>
                <w:sz w:val="21"/>
              </w:rPr>
              <w:t>16</w:t>
            </w:r>
          </w:p>
        </w:tc>
        <w:tc>
          <w:tcPr>
            <w:tcW w:w="2194" w:type="dxa"/>
          </w:tcPr>
          <w:p>
            <w:pPr>
              <w:pStyle w:val="10"/>
              <w:ind w:left="119"/>
              <w:rPr>
                <w:sz w:val="21"/>
              </w:rPr>
            </w:pPr>
            <w:r>
              <w:rPr>
                <w:spacing w:val="-4"/>
                <w:sz w:val="21"/>
              </w:rPr>
              <w:t>心脏瓣膜手术</w:t>
            </w:r>
          </w:p>
        </w:tc>
        <w:tc>
          <w:tcPr>
            <w:tcW w:w="6656" w:type="dxa"/>
            <w:tcBorders>
              <w:right w:val="single" w:color="000000" w:sz="12" w:space="0"/>
            </w:tcBorders>
          </w:tcPr>
          <w:p>
            <w:pPr>
              <w:pStyle w:val="10"/>
              <w:spacing w:line="278" w:lineRule="auto"/>
              <w:ind w:right="73"/>
              <w:rPr>
                <w:sz w:val="21"/>
              </w:rPr>
            </w:pPr>
            <w:r>
              <w:rPr>
                <w:spacing w:val="-9"/>
                <w:sz w:val="21"/>
              </w:rPr>
              <w:t>指为治疗心脏瓣膜疾病，已经实施了切开心脏进行的心脏瓣膜置换或修</w:t>
            </w:r>
            <w:r>
              <w:rPr>
                <w:spacing w:val="-2"/>
                <w:sz w:val="21"/>
              </w:rPr>
              <w:t>复的手术。</w:t>
            </w:r>
          </w:p>
          <w:p>
            <w:pPr>
              <w:pStyle w:val="10"/>
              <w:spacing w:before="0" w:line="269" w:lineRule="exact"/>
              <w:rPr>
                <w:rFonts w:ascii="黑体" w:eastAsia="黑体"/>
                <w:sz w:val="21"/>
              </w:rPr>
            </w:pPr>
            <w:r>
              <w:rPr>
                <w:rFonts w:ascii="黑体" w:eastAsia="黑体"/>
                <w:color w:val="000000"/>
                <w:spacing w:val="-3"/>
                <w:sz w:val="21"/>
                <w:shd w:val="clear" w:color="auto" w:fill="D9D9D9"/>
              </w:rPr>
              <w:t>所有未切开心脏的心脏瓣膜介入手术不在保障范围内。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0" w:hRule="atLeast"/>
        </w:trPr>
        <w:tc>
          <w:tcPr>
            <w:tcW w:w="1090" w:type="dxa"/>
            <w:tcBorders>
              <w:left w:val="single" w:color="000000" w:sz="12" w:space="0"/>
            </w:tcBorders>
          </w:tcPr>
          <w:p>
            <w:pPr>
              <w:pStyle w:val="10"/>
              <w:ind w:left="323" w:right="294"/>
              <w:jc w:val="center"/>
              <w:rPr>
                <w:sz w:val="21"/>
              </w:rPr>
            </w:pPr>
            <w:r>
              <w:rPr>
                <w:spacing w:val="-5"/>
                <w:sz w:val="21"/>
              </w:rPr>
              <w:t>17</w:t>
            </w:r>
          </w:p>
        </w:tc>
        <w:tc>
          <w:tcPr>
            <w:tcW w:w="2194" w:type="dxa"/>
          </w:tcPr>
          <w:p>
            <w:pPr>
              <w:pStyle w:val="10"/>
              <w:ind w:left="119"/>
              <w:rPr>
                <w:sz w:val="21"/>
              </w:rPr>
            </w:pPr>
            <w:r>
              <w:rPr>
                <w:spacing w:val="-4"/>
                <w:sz w:val="21"/>
              </w:rPr>
              <w:t>严重阿尔茨海默病</w:t>
            </w:r>
          </w:p>
        </w:tc>
        <w:tc>
          <w:tcPr>
            <w:tcW w:w="6656" w:type="dxa"/>
            <w:tcBorders>
              <w:right w:val="single" w:color="000000" w:sz="12" w:space="0"/>
            </w:tcBorders>
          </w:tcPr>
          <w:p>
            <w:pPr>
              <w:pStyle w:val="10"/>
              <w:spacing w:line="278" w:lineRule="auto"/>
              <w:ind w:right="1"/>
              <w:rPr>
                <w:sz w:val="21"/>
              </w:rPr>
            </w:pPr>
            <w:r>
              <w:rPr>
                <w:spacing w:val="-2"/>
                <w:sz w:val="21"/>
              </w:rPr>
              <w:t>指因大脑进行性、不可逆性改变导致智能严重衰退或丧失，临床表现为严重的认知功能障碍、精神行为异常和社交能力减退等，其日常生活必</w:t>
            </w:r>
            <w:r>
              <w:rPr>
                <w:spacing w:val="-4"/>
                <w:sz w:val="21"/>
              </w:rPr>
              <w:t>须持续受到他人监护。须由头颅断层扫描</w:t>
            </w:r>
            <w:r>
              <w:rPr>
                <w:spacing w:val="22"/>
                <w:sz w:val="21"/>
              </w:rPr>
              <w:t>（</w:t>
            </w:r>
            <w:r>
              <w:rPr>
                <w:spacing w:val="23"/>
                <w:sz w:val="21"/>
              </w:rPr>
              <w:t>C</w:t>
            </w:r>
            <w:r>
              <w:rPr>
                <w:spacing w:val="20"/>
                <w:sz w:val="21"/>
              </w:rPr>
              <w:t>T</w:t>
            </w:r>
            <w:r>
              <w:rPr>
                <w:spacing w:val="-83"/>
                <w:sz w:val="21"/>
              </w:rPr>
              <w:t>）</w:t>
            </w:r>
            <w:r>
              <w:rPr>
                <w:spacing w:val="-4"/>
                <w:sz w:val="21"/>
              </w:rPr>
              <w:t>、核磁共振检查（MRI）</w:t>
            </w:r>
            <w:r>
              <w:rPr>
                <w:spacing w:val="-2"/>
                <w:sz w:val="21"/>
              </w:rPr>
              <w:t>或正电子发射断层扫描（PET）等影像学检查证实，并经相关专科医生确诊，且须满足下列至少一项条件：</w:t>
            </w:r>
          </w:p>
          <w:p>
            <w:pPr>
              <w:pStyle w:val="10"/>
              <w:numPr>
                <w:ilvl w:val="0"/>
                <w:numId w:val="39"/>
              </w:numPr>
              <w:tabs>
                <w:tab w:val="left" w:pos="637"/>
              </w:tabs>
              <w:spacing w:before="0" w:after="0" w:line="278" w:lineRule="auto"/>
              <w:ind w:left="107" w:right="75" w:firstLine="0"/>
              <w:jc w:val="left"/>
              <w:rPr>
                <w:sz w:val="21"/>
              </w:rPr>
            </w:pPr>
            <w:r>
              <w:rPr>
                <w:spacing w:val="-7"/>
                <w:sz w:val="21"/>
              </w:rPr>
              <w:t>由具有评估资格的专科医生根据临床痴呆评定量表</w:t>
            </w:r>
            <w:r>
              <w:rPr>
                <w:sz w:val="21"/>
              </w:rPr>
              <w:t>（CDR，Clinical Dementia Rating）</w:t>
            </w:r>
            <w:r>
              <w:rPr>
                <w:spacing w:val="-8"/>
                <w:sz w:val="21"/>
              </w:rPr>
              <w:t xml:space="preserve">评估结果为 </w:t>
            </w:r>
            <w:r>
              <w:rPr>
                <w:sz w:val="21"/>
              </w:rPr>
              <w:t>3</w:t>
            </w:r>
            <w:r>
              <w:rPr>
                <w:spacing w:val="-16"/>
                <w:sz w:val="21"/>
              </w:rPr>
              <w:t xml:space="preserve"> 分；</w:t>
            </w:r>
          </w:p>
          <w:p>
            <w:pPr>
              <w:pStyle w:val="10"/>
              <w:numPr>
                <w:ilvl w:val="0"/>
                <w:numId w:val="39"/>
              </w:numPr>
              <w:tabs>
                <w:tab w:val="left" w:pos="637"/>
              </w:tabs>
              <w:spacing w:before="0" w:after="0" w:line="278" w:lineRule="auto"/>
              <w:ind w:left="107" w:right="74" w:firstLine="0"/>
              <w:jc w:val="left"/>
              <w:rPr>
                <w:sz w:val="21"/>
              </w:rPr>
            </w:pPr>
            <w:r>
              <w:rPr>
                <w:spacing w:val="-2"/>
                <w:sz w:val="21"/>
              </w:rPr>
              <w:t>自主生活能力完全丧失，无法独立完成六项基本日常生活活动中的三项或三项以上。</w:t>
            </w:r>
          </w:p>
          <w:p>
            <w:pPr>
              <w:pStyle w:val="10"/>
              <w:spacing w:before="0" w:line="269" w:lineRule="exact"/>
              <w:rPr>
                <w:rFonts w:ascii="黑体" w:eastAsia="黑体"/>
                <w:sz w:val="21"/>
              </w:rPr>
            </w:pPr>
            <w:r>
              <w:rPr>
                <w:rFonts w:ascii="黑体" w:eastAsia="黑体"/>
                <w:color w:val="000000"/>
                <w:spacing w:val="-3"/>
                <w:sz w:val="21"/>
                <w:shd w:val="clear" w:color="auto" w:fill="D9D9D9"/>
              </w:rPr>
              <w:t>阿尔茨海默病之外的其它类型痴呆不在保障范围内。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1090" w:type="dxa"/>
            <w:tcBorders>
              <w:left w:val="single" w:color="000000" w:sz="12" w:space="0"/>
            </w:tcBorders>
          </w:tcPr>
          <w:p>
            <w:pPr>
              <w:pStyle w:val="10"/>
              <w:ind w:left="323" w:right="294"/>
              <w:jc w:val="center"/>
              <w:rPr>
                <w:sz w:val="21"/>
              </w:rPr>
            </w:pPr>
            <w:r>
              <w:rPr>
                <w:spacing w:val="-5"/>
                <w:sz w:val="21"/>
              </w:rPr>
              <w:t>18</w:t>
            </w:r>
          </w:p>
        </w:tc>
        <w:tc>
          <w:tcPr>
            <w:tcW w:w="2194" w:type="dxa"/>
          </w:tcPr>
          <w:p>
            <w:pPr>
              <w:pStyle w:val="10"/>
              <w:ind w:left="119"/>
              <w:rPr>
                <w:sz w:val="21"/>
              </w:rPr>
            </w:pPr>
            <w:r>
              <w:rPr>
                <w:spacing w:val="-4"/>
                <w:sz w:val="21"/>
              </w:rPr>
              <w:t>严重脑损伤</w:t>
            </w:r>
          </w:p>
        </w:tc>
        <w:tc>
          <w:tcPr>
            <w:tcW w:w="6656" w:type="dxa"/>
            <w:tcBorders>
              <w:right w:val="single" w:color="000000" w:sz="12" w:space="0"/>
            </w:tcBorders>
          </w:tcPr>
          <w:p>
            <w:pPr>
              <w:pStyle w:val="10"/>
              <w:spacing w:line="278" w:lineRule="auto"/>
              <w:ind w:right="73"/>
              <w:rPr>
                <w:sz w:val="21"/>
              </w:rPr>
            </w:pPr>
            <w:r>
              <w:rPr>
                <w:spacing w:val="-4"/>
                <w:sz w:val="21"/>
              </w:rPr>
              <w:t>指因头部遭受机械性外力，引起脑重要部位损伤，导致神经系统永久性</w:t>
            </w:r>
            <w:r>
              <w:rPr>
                <w:spacing w:val="-8"/>
                <w:sz w:val="21"/>
              </w:rPr>
              <w:t>的功能障碍。须由头颅断层扫描</w:t>
            </w:r>
            <w:r>
              <w:rPr>
                <w:spacing w:val="19"/>
                <w:sz w:val="21"/>
              </w:rPr>
              <w:t>（C</w:t>
            </w:r>
            <w:r>
              <w:rPr>
                <w:spacing w:val="16"/>
                <w:sz w:val="21"/>
              </w:rPr>
              <w:t>T</w:t>
            </w:r>
            <w:r>
              <w:rPr>
                <w:spacing w:val="-87"/>
                <w:sz w:val="21"/>
              </w:rPr>
              <w:t>）</w:t>
            </w:r>
            <w:r>
              <w:rPr>
                <w:spacing w:val="-8"/>
                <w:sz w:val="21"/>
              </w:rPr>
              <w:t>、核磁共振检查（MRI）</w:t>
            </w:r>
            <w:r>
              <w:rPr>
                <w:spacing w:val="-9"/>
                <w:sz w:val="21"/>
              </w:rPr>
              <w:t>或正电子</w:t>
            </w:r>
          </w:p>
          <w:p>
            <w:pPr>
              <w:pStyle w:val="10"/>
              <w:spacing w:before="0" w:line="269" w:lineRule="exact"/>
              <w:ind w:right="-44"/>
              <w:rPr>
                <w:sz w:val="21"/>
              </w:rPr>
            </w:pPr>
            <w:r>
              <w:rPr>
                <w:spacing w:val="-4"/>
                <w:sz w:val="21"/>
              </w:rPr>
              <w:t>发射断层扫描（PET）</w:t>
            </w:r>
            <w:r>
              <w:rPr>
                <w:spacing w:val="-5"/>
                <w:sz w:val="21"/>
              </w:rPr>
              <w:t>等影像学检查证实。神经系统永久性的功能障碍，</w:t>
            </w:r>
          </w:p>
        </w:tc>
      </w:tr>
    </w:tbl>
    <w:p>
      <w:pPr>
        <w:spacing w:after="0" w:line="269" w:lineRule="exact"/>
        <w:rPr>
          <w:sz w:val="21"/>
        </w:rPr>
        <w:sectPr>
          <w:type w:val="continuous"/>
          <w:pgSz w:w="11910" w:h="16840"/>
          <w:pgMar w:top="840" w:right="340" w:bottom="640" w:left="800" w:header="0" w:footer="457" w:gutter="0"/>
          <w:cols w:space="720" w:num="1"/>
        </w:sectPr>
      </w:pPr>
    </w:p>
    <w:tbl>
      <w:tblPr>
        <w:tblStyle w:val="6"/>
        <w:tblW w:w="0" w:type="auto"/>
        <w:tblInd w:w="22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90"/>
        <w:gridCol w:w="2194"/>
        <w:gridCol w:w="66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0" w:hRule="atLeast"/>
        </w:trPr>
        <w:tc>
          <w:tcPr>
            <w:tcW w:w="1090" w:type="dxa"/>
            <w:tcBorders>
              <w:left w:val="single" w:color="000000" w:sz="12" w:space="0"/>
            </w:tcBorders>
          </w:tcPr>
          <w:p>
            <w:pPr>
              <w:pStyle w:val="10"/>
              <w:spacing w:before="0"/>
              <w:ind w:left="0"/>
              <w:rPr>
                <w:rFonts w:ascii="Times New Roman"/>
                <w:sz w:val="20"/>
              </w:rPr>
            </w:pPr>
          </w:p>
        </w:tc>
        <w:tc>
          <w:tcPr>
            <w:tcW w:w="2194" w:type="dxa"/>
          </w:tcPr>
          <w:p>
            <w:pPr>
              <w:pStyle w:val="10"/>
              <w:spacing w:before="0"/>
              <w:ind w:left="0"/>
              <w:rPr>
                <w:rFonts w:ascii="Times New Roman"/>
                <w:sz w:val="20"/>
              </w:rPr>
            </w:pPr>
          </w:p>
        </w:tc>
        <w:tc>
          <w:tcPr>
            <w:tcW w:w="6656" w:type="dxa"/>
            <w:tcBorders>
              <w:right w:val="single" w:color="000000" w:sz="12" w:space="0"/>
            </w:tcBorders>
          </w:tcPr>
          <w:p>
            <w:pPr>
              <w:pStyle w:val="10"/>
              <w:rPr>
                <w:sz w:val="21"/>
              </w:rPr>
            </w:pPr>
            <w:r>
              <w:rPr>
                <w:spacing w:val="-12"/>
                <w:sz w:val="21"/>
              </w:rPr>
              <w:t xml:space="preserve">指脑损伤 </w:t>
            </w:r>
            <w:r>
              <w:rPr>
                <w:spacing w:val="-2"/>
                <w:sz w:val="21"/>
              </w:rPr>
              <w:t>180</w:t>
            </w:r>
            <w:r>
              <w:rPr>
                <w:spacing w:val="-10"/>
                <w:sz w:val="21"/>
              </w:rPr>
              <w:t xml:space="preserve"> 天后，仍遗留下列至少一种障碍：</w:t>
            </w:r>
          </w:p>
          <w:p>
            <w:pPr>
              <w:pStyle w:val="10"/>
              <w:numPr>
                <w:ilvl w:val="0"/>
                <w:numId w:val="40"/>
              </w:numPr>
              <w:tabs>
                <w:tab w:val="left" w:pos="637"/>
              </w:tabs>
              <w:spacing w:before="43" w:after="0" w:line="240" w:lineRule="auto"/>
              <w:ind w:left="636" w:right="0" w:hanging="530"/>
              <w:jc w:val="left"/>
              <w:rPr>
                <w:sz w:val="21"/>
              </w:rPr>
            </w:pPr>
            <w:r>
              <w:rPr>
                <w:spacing w:val="-2"/>
                <w:sz w:val="21"/>
              </w:rPr>
              <w:t>一肢（含）</w:t>
            </w:r>
            <w:r>
              <w:rPr>
                <w:spacing w:val="-9"/>
                <w:sz w:val="21"/>
              </w:rPr>
              <w:t xml:space="preserve">以上肢体肌力 </w:t>
            </w:r>
            <w:r>
              <w:rPr>
                <w:spacing w:val="-2"/>
                <w:sz w:val="21"/>
              </w:rPr>
              <w:t>2</w:t>
            </w:r>
            <w:r>
              <w:rPr>
                <w:spacing w:val="-26"/>
                <w:sz w:val="21"/>
              </w:rPr>
              <w:t xml:space="preserve"> 级</w:t>
            </w:r>
            <w:r>
              <w:rPr>
                <w:spacing w:val="-2"/>
                <w:sz w:val="21"/>
              </w:rPr>
              <w:t>（含）</w:t>
            </w:r>
            <w:r>
              <w:rPr>
                <w:spacing w:val="-5"/>
                <w:sz w:val="21"/>
              </w:rPr>
              <w:t>以下；</w:t>
            </w:r>
          </w:p>
          <w:p>
            <w:pPr>
              <w:pStyle w:val="10"/>
              <w:numPr>
                <w:ilvl w:val="0"/>
                <w:numId w:val="40"/>
              </w:numPr>
              <w:tabs>
                <w:tab w:val="left" w:pos="637"/>
              </w:tabs>
              <w:spacing w:before="43" w:after="0" w:line="240" w:lineRule="auto"/>
              <w:ind w:left="636" w:right="0" w:hanging="530"/>
              <w:jc w:val="left"/>
              <w:rPr>
                <w:sz w:val="21"/>
              </w:rPr>
            </w:pPr>
            <w:r>
              <w:rPr>
                <w:spacing w:val="-3"/>
                <w:sz w:val="21"/>
              </w:rPr>
              <w:t>语言能力完全丧失，或严重咀嚼吞咽功能障碍；</w:t>
            </w:r>
          </w:p>
          <w:p>
            <w:pPr>
              <w:pStyle w:val="10"/>
              <w:numPr>
                <w:ilvl w:val="0"/>
                <w:numId w:val="40"/>
              </w:numPr>
              <w:tabs>
                <w:tab w:val="left" w:pos="637"/>
              </w:tabs>
              <w:spacing w:before="2" w:after="0" w:line="310" w:lineRule="atLeast"/>
              <w:ind w:left="107" w:right="74" w:firstLine="0"/>
              <w:jc w:val="left"/>
              <w:rPr>
                <w:sz w:val="21"/>
              </w:rPr>
            </w:pPr>
            <w:r>
              <w:rPr>
                <w:spacing w:val="-2"/>
                <w:sz w:val="21"/>
              </w:rPr>
              <w:t>自主生活能力完全丧失，无法独立完成六项基本日常生活活动中的三项或三项以上。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7" w:hRule="atLeast"/>
        </w:trPr>
        <w:tc>
          <w:tcPr>
            <w:tcW w:w="1090" w:type="dxa"/>
            <w:tcBorders>
              <w:left w:val="single" w:color="000000" w:sz="12" w:space="0"/>
            </w:tcBorders>
          </w:tcPr>
          <w:p>
            <w:pPr>
              <w:pStyle w:val="10"/>
              <w:ind w:left="323" w:right="294"/>
              <w:jc w:val="center"/>
              <w:rPr>
                <w:sz w:val="21"/>
              </w:rPr>
            </w:pPr>
            <w:r>
              <w:rPr>
                <w:spacing w:val="-5"/>
                <w:sz w:val="21"/>
              </w:rPr>
              <w:t>19</w:t>
            </w:r>
          </w:p>
        </w:tc>
        <w:tc>
          <w:tcPr>
            <w:tcW w:w="2194" w:type="dxa"/>
          </w:tcPr>
          <w:p>
            <w:pPr>
              <w:pStyle w:val="10"/>
              <w:ind w:left="119"/>
              <w:rPr>
                <w:sz w:val="21"/>
              </w:rPr>
            </w:pPr>
            <w:r>
              <w:rPr>
                <w:spacing w:val="-3"/>
                <w:sz w:val="21"/>
              </w:rPr>
              <w:t>严重原发性帕金森病</w:t>
            </w:r>
          </w:p>
        </w:tc>
        <w:tc>
          <w:tcPr>
            <w:tcW w:w="6656" w:type="dxa"/>
            <w:tcBorders>
              <w:right w:val="single" w:color="000000" w:sz="12" w:space="0"/>
            </w:tcBorders>
          </w:tcPr>
          <w:p>
            <w:pPr>
              <w:pStyle w:val="10"/>
              <w:spacing w:line="278" w:lineRule="auto"/>
              <w:ind w:right="1"/>
              <w:rPr>
                <w:sz w:val="21"/>
              </w:rPr>
            </w:pPr>
            <w:r>
              <w:rPr>
                <w:spacing w:val="-2"/>
                <w:sz w:val="21"/>
              </w:rPr>
              <w:t>是一种中枢神经系统的退行性疾病，临床表现为运动迟缓、静止性震颤或肌强直等，经相关专科医生确诊，且须满足自主生活能力完全丧失，无法独立完成六项基本日常生活活动中的三项或三项以上。</w:t>
            </w:r>
          </w:p>
          <w:p>
            <w:pPr>
              <w:pStyle w:val="10"/>
              <w:spacing w:before="0" w:line="269" w:lineRule="exact"/>
              <w:rPr>
                <w:rFonts w:ascii="黑体" w:eastAsia="黑体"/>
                <w:sz w:val="21"/>
              </w:rPr>
            </w:pPr>
            <w:r>
              <w:rPr>
                <w:rFonts w:ascii="黑体" w:eastAsia="黑体"/>
                <w:color w:val="000000"/>
                <w:spacing w:val="-3"/>
                <w:sz w:val="21"/>
                <w:shd w:val="clear" w:color="auto" w:fill="D9D9D9"/>
              </w:rPr>
              <w:t>继发性帕金森综合征、帕金森叠加综合征不在保障范围内。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090" w:type="dxa"/>
            <w:tcBorders>
              <w:left w:val="single" w:color="000000" w:sz="12" w:space="0"/>
            </w:tcBorders>
          </w:tcPr>
          <w:p>
            <w:pPr>
              <w:pStyle w:val="10"/>
              <w:ind w:left="323" w:right="294"/>
              <w:jc w:val="center"/>
              <w:rPr>
                <w:sz w:val="21"/>
              </w:rPr>
            </w:pPr>
            <w:r>
              <w:rPr>
                <w:spacing w:val="-5"/>
                <w:sz w:val="21"/>
              </w:rPr>
              <w:t>20</w:t>
            </w:r>
          </w:p>
        </w:tc>
        <w:tc>
          <w:tcPr>
            <w:tcW w:w="2194" w:type="dxa"/>
          </w:tcPr>
          <w:p>
            <w:pPr>
              <w:pStyle w:val="10"/>
              <w:ind w:left="119"/>
              <w:rPr>
                <w:sz w:val="21"/>
              </w:rPr>
            </w:pPr>
            <w:r>
              <w:rPr>
                <w:spacing w:val="-4"/>
                <w:sz w:val="21"/>
              </w:rPr>
              <w:t>严重Ⅲ度烧伤</w:t>
            </w:r>
          </w:p>
        </w:tc>
        <w:tc>
          <w:tcPr>
            <w:tcW w:w="6656" w:type="dxa"/>
            <w:tcBorders>
              <w:right w:val="single" w:color="000000" w:sz="12" w:space="0"/>
            </w:tcBorders>
          </w:tcPr>
          <w:p>
            <w:pPr>
              <w:pStyle w:val="10"/>
              <w:rPr>
                <w:sz w:val="21"/>
              </w:rPr>
            </w:pPr>
            <w:r>
              <w:rPr>
                <w:spacing w:val="3"/>
                <w:sz w:val="21"/>
              </w:rPr>
              <w:t xml:space="preserve">指烧伤程度为Ⅲ度，且Ⅲ度烧伤的面积达到全身体表面积的  </w:t>
            </w:r>
            <w:r>
              <w:rPr>
                <w:sz w:val="21"/>
              </w:rPr>
              <w:t>20</w:t>
            </w:r>
            <w:r>
              <w:rPr>
                <w:spacing w:val="-5"/>
                <w:sz w:val="21"/>
              </w:rPr>
              <w:t>％或</w:t>
            </w:r>
          </w:p>
          <w:p>
            <w:pPr>
              <w:pStyle w:val="10"/>
              <w:spacing w:before="43"/>
              <w:rPr>
                <w:sz w:val="21"/>
              </w:rPr>
            </w:pPr>
            <w:r>
              <w:rPr>
                <w:spacing w:val="-2"/>
                <w:sz w:val="21"/>
              </w:rPr>
              <w:t>20％</w:t>
            </w:r>
            <w:r>
              <w:rPr>
                <w:spacing w:val="-3"/>
                <w:sz w:val="21"/>
              </w:rPr>
              <w:t>以上。体表面积根据《中国新九分法》计算。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8" w:hRule="atLeast"/>
        </w:trPr>
        <w:tc>
          <w:tcPr>
            <w:tcW w:w="1090" w:type="dxa"/>
            <w:tcBorders>
              <w:left w:val="single" w:color="000000" w:sz="12" w:space="0"/>
            </w:tcBorders>
          </w:tcPr>
          <w:p>
            <w:pPr>
              <w:pStyle w:val="10"/>
              <w:ind w:left="323" w:right="294"/>
              <w:jc w:val="center"/>
              <w:rPr>
                <w:sz w:val="21"/>
              </w:rPr>
            </w:pPr>
            <w:r>
              <w:rPr>
                <w:spacing w:val="-5"/>
                <w:sz w:val="21"/>
              </w:rPr>
              <w:t>21</w:t>
            </w:r>
          </w:p>
        </w:tc>
        <w:tc>
          <w:tcPr>
            <w:tcW w:w="2194" w:type="dxa"/>
          </w:tcPr>
          <w:p>
            <w:pPr>
              <w:pStyle w:val="10"/>
              <w:spacing w:line="278" w:lineRule="auto"/>
              <w:ind w:left="119" w:right="168"/>
              <w:rPr>
                <w:sz w:val="21"/>
              </w:rPr>
            </w:pPr>
            <w:r>
              <w:rPr>
                <w:spacing w:val="-2"/>
                <w:sz w:val="21"/>
              </w:rPr>
              <w:t>严重特发性肺动脉高</w:t>
            </w:r>
            <w:r>
              <w:rPr>
                <w:spacing w:val="-10"/>
                <w:sz w:val="21"/>
              </w:rPr>
              <w:t>压</w:t>
            </w:r>
          </w:p>
        </w:tc>
        <w:tc>
          <w:tcPr>
            <w:tcW w:w="6656" w:type="dxa"/>
            <w:tcBorders>
              <w:right w:val="single" w:color="000000" w:sz="12" w:space="0"/>
            </w:tcBorders>
          </w:tcPr>
          <w:p>
            <w:pPr>
              <w:pStyle w:val="10"/>
              <w:spacing w:line="278" w:lineRule="auto"/>
              <w:ind w:right="1"/>
              <w:rPr>
                <w:sz w:val="21"/>
              </w:rPr>
            </w:pPr>
            <w:r>
              <w:rPr>
                <w:spacing w:val="-2"/>
                <w:sz w:val="21"/>
              </w:rPr>
              <w:t>指不明原因的肺动脉压力持续性增高，进行性发展而导致的慢性疾病，</w:t>
            </w:r>
            <w:r>
              <w:rPr>
                <w:spacing w:val="-6"/>
                <w:sz w:val="21"/>
              </w:rPr>
              <w:t>已经造成永久不可逆性的体力活动能力受限，达到美国纽约心脏病学会</w:t>
            </w:r>
          </w:p>
          <w:p>
            <w:pPr>
              <w:pStyle w:val="10"/>
              <w:spacing w:before="0"/>
              <w:rPr>
                <w:sz w:val="21"/>
              </w:rPr>
            </w:pPr>
            <w:r>
              <w:rPr>
                <w:sz w:val="21"/>
              </w:rPr>
              <w:t>（New</w:t>
            </w:r>
            <w:r>
              <w:rPr>
                <w:spacing w:val="-24"/>
                <w:sz w:val="21"/>
              </w:rPr>
              <w:t xml:space="preserve"> </w:t>
            </w:r>
            <w:r>
              <w:rPr>
                <w:sz w:val="21"/>
              </w:rPr>
              <w:t>York</w:t>
            </w:r>
            <w:r>
              <w:rPr>
                <w:spacing w:val="-11"/>
                <w:sz w:val="21"/>
              </w:rPr>
              <w:t xml:space="preserve"> </w:t>
            </w:r>
            <w:r>
              <w:rPr>
                <w:sz w:val="21"/>
              </w:rPr>
              <w:t>Heart</w:t>
            </w:r>
            <w:r>
              <w:rPr>
                <w:spacing w:val="-9"/>
                <w:sz w:val="21"/>
              </w:rPr>
              <w:t xml:space="preserve"> </w:t>
            </w:r>
            <w:r>
              <w:rPr>
                <w:sz w:val="21"/>
              </w:rPr>
              <w:t>Association，NYHA）</w:t>
            </w:r>
            <w:r>
              <w:rPr>
                <w:spacing w:val="-5"/>
                <w:sz w:val="21"/>
              </w:rPr>
              <w:t xml:space="preserve">心功能状态分级 </w:t>
            </w:r>
            <w:r>
              <w:rPr>
                <w:sz w:val="21"/>
              </w:rPr>
              <w:t>IV</w:t>
            </w:r>
            <w:r>
              <w:rPr>
                <w:spacing w:val="-10"/>
                <w:sz w:val="21"/>
              </w:rPr>
              <w:t xml:space="preserve"> 级，且静</w:t>
            </w:r>
          </w:p>
          <w:p>
            <w:pPr>
              <w:pStyle w:val="10"/>
              <w:spacing w:before="43"/>
              <w:rPr>
                <w:sz w:val="21"/>
              </w:rPr>
            </w:pPr>
            <w:r>
              <w:rPr>
                <w:spacing w:val="-5"/>
                <w:sz w:val="21"/>
              </w:rPr>
              <w:t xml:space="preserve">息状态下肺动脉平均压在 </w:t>
            </w:r>
            <w:r>
              <w:rPr>
                <w:spacing w:val="-2"/>
                <w:sz w:val="21"/>
              </w:rPr>
              <w:t>36mmHg（含）</w:t>
            </w:r>
            <w:r>
              <w:rPr>
                <w:spacing w:val="-5"/>
                <w:sz w:val="21"/>
              </w:rPr>
              <w:t>以上。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5" w:hRule="atLeast"/>
        </w:trPr>
        <w:tc>
          <w:tcPr>
            <w:tcW w:w="1090" w:type="dxa"/>
            <w:tcBorders>
              <w:left w:val="single" w:color="000000" w:sz="12" w:space="0"/>
            </w:tcBorders>
          </w:tcPr>
          <w:p>
            <w:pPr>
              <w:pStyle w:val="10"/>
              <w:ind w:left="323" w:right="294"/>
              <w:jc w:val="center"/>
              <w:rPr>
                <w:sz w:val="21"/>
              </w:rPr>
            </w:pPr>
            <w:r>
              <w:rPr>
                <w:spacing w:val="-5"/>
                <w:sz w:val="21"/>
              </w:rPr>
              <w:t>22</w:t>
            </w:r>
          </w:p>
        </w:tc>
        <w:tc>
          <w:tcPr>
            <w:tcW w:w="2194" w:type="dxa"/>
          </w:tcPr>
          <w:p>
            <w:pPr>
              <w:pStyle w:val="10"/>
              <w:ind w:left="119"/>
              <w:rPr>
                <w:sz w:val="21"/>
              </w:rPr>
            </w:pPr>
            <w:r>
              <w:rPr>
                <w:spacing w:val="-4"/>
                <w:sz w:val="21"/>
              </w:rPr>
              <w:t>严重运动神经元病</w:t>
            </w:r>
          </w:p>
        </w:tc>
        <w:tc>
          <w:tcPr>
            <w:tcW w:w="6656" w:type="dxa"/>
            <w:tcBorders>
              <w:right w:val="single" w:color="000000" w:sz="12" w:space="0"/>
            </w:tcBorders>
          </w:tcPr>
          <w:p>
            <w:pPr>
              <w:pStyle w:val="10"/>
              <w:spacing w:line="278" w:lineRule="auto"/>
              <w:ind w:right="73"/>
              <w:jc w:val="both"/>
              <w:rPr>
                <w:sz w:val="21"/>
              </w:rPr>
            </w:pPr>
            <w:r>
              <w:rPr>
                <w:spacing w:val="-6"/>
                <w:sz w:val="21"/>
              </w:rPr>
              <w:t>是一组中枢神经系统运动神经元的进行性变性疾病，包括进行性脊肌萎</w:t>
            </w:r>
            <w:r>
              <w:rPr>
                <w:spacing w:val="-2"/>
                <w:sz w:val="21"/>
              </w:rPr>
              <w:t>缩症、进行性延髓麻痹症、原发性侧索硬化症、肌萎缩性侧索硬化症,经相关专科医生确诊，且须满足下列至少一项条件：</w:t>
            </w:r>
          </w:p>
          <w:p>
            <w:pPr>
              <w:pStyle w:val="10"/>
              <w:numPr>
                <w:ilvl w:val="0"/>
                <w:numId w:val="41"/>
              </w:numPr>
              <w:tabs>
                <w:tab w:val="left" w:pos="637"/>
              </w:tabs>
              <w:spacing w:before="0" w:after="0" w:line="269" w:lineRule="exact"/>
              <w:ind w:left="636" w:right="0" w:hanging="530"/>
              <w:jc w:val="left"/>
              <w:rPr>
                <w:sz w:val="21"/>
              </w:rPr>
            </w:pPr>
            <w:r>
              <w:rPr>
                <w:spacing w:val="-3"/>
                <w:sz w:val="21"/>
              </w:rPr>
              <w:t>严重咀嚼吞咽功能障碍；</w:t>
            </w:r>
          </w:p>
          <w:p>
            <w:pPr>
              <w:pStyle w:val="10"/>
              <w:numPr>
                <w:ilvl w:val="0"/>
                <w:numId w:val="41"/>
              </w:numPr>
              <w:tabs>
                <w:tab w:val="left" w:pos="637"/>
              </w:tabs>
              <w:spacing w:before="43" w:after="0" w:line="278" w:lineRule="auto"/>
              <w:ind w:left="107" w:right="-44" w:firstLine="0"/>
              <w:jc w:val="left"/>
              <w:rPr>
                <w:sz w:val="21"/>
              </w:rPr>
            </w:pPr>
            <w:r>
              <w:rPr>
                <w:spacing w:val="-4"/>
                <w:sz w:val="21"/>
              </w:rPr>
              <w:t xml:space="preserve">呼吸肌麻痹导致严重呼吸困难，且已经持续使用呼吸机 </w:t>
            </w:r>
            <w:r>
              <w:rPr>
                <w:spacing w:val="-2"/>
                <w:sz w:val="21"/>
              </w:rPr>
              <w:t>7</w:t>
            </w:r>
            <w:r>
              <w:rPr>
                <w:spacing w:val="-29"/>
                <w:sz w:val="21"/>
              </w:rPr>
              <w:t xml:space="preserve"> 天</w:t>
            </w:r>
            <w:r>
              <w:rPr>
                <w:spacing w:val="-2"/>
                <w:sz w:val="21"/>
              </w:rPr>
              <w:t>（含）</w:t>
            </w:r>
            <w:r>
              <w:rPr>
                <w:spacing w:val="-4"/>
                <w:sz w:val="21"/>
              </w:rPr>
              <w:t>以上；</w:t>
            </w:r>
          </w:p>
          <w:p>
            <w:pPr>
              <w:pStyle w:val="10"/>
              <w:numPr>
                <w:ilvl w:val="0"/>
                <w:numId w:val="41"/>
              </w:numPr>
              <w:tabs>
                <w:tab w:val="left" w:pos="637"/>
              </w:tabs>
              <w:spacing w:before="0" w:after="0" w:line="269" w:lineRule="exact"/>
              <w:ind w:left="636" w:right="0" w:hanging="530"/>
              <w:jc w:val="left"/>
              <w:rPr>
                <w:sz w:val="21"/>
              </w:rPr>
            </w:pPr>
            <w:r>
              <w:rPr>
                <w:spacing w:val="-1"/>
                <w:sz w:val="21"/>
              </w:rPr>
              <w:t>自主生活能力完全丧失，无法独立完成六项基本日常生活活动中</w:t>
            </w:r>
          </w:p>
          <w:p>
            <w:pPr>
              <w:pStyle w:val="10"/>
              <w:spacing w:before="43"/>
              <w:rPr>
                <w:sz w:val="21"/>
              </w:rPr>
            </w:pPr>
            <w:r>
              <w:rPr>
                <w:spacing w:val="-3"/>
                <w:sz w:val="21"/>
              </w:rPr>
              <w:t>的三项或三项以上。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8" w:hRule="atLeast"/>
        </w:trPr>
        <w:tc>
          <w:tcPr>
            <w:tcW w:w="1090" w:type="dxa"/>
            <w:tcBorders>
              <w:left w:val="single" w:color="000000" w:sz="12" w:space="0"/>
            </w:tcBorders>
          </w:tcPr>
          <w:p>
            <w:pPr>
              <w:pStyle w:val="10"/>
              <w:spacing w:before="18"/>
              <w:ind w:left="323" w:right="294"/>
              <w:jc w:val="center"/>
              <w:rPr>
                <w:sz w:val="21"/>
              </w:rPr>
            </w:pPr>
            <w:r>
              <w:rPr>
                <w:spacing w:val="-5"/>
                <w:sz w:val="21"/>
              </w:rPr>
              <w:t>23</w:t>
            </w:r>
          </w:p>
        </w:tc>
        <w:tc>
          <w:tcPr>
            <w:tcW w:w="2194" w:type="dxa"/>
          </w:tcPr>
          <w:p>
            <w:pPr>
              <w:pStyle w:val="10"/>
              <w:spacing w:before="18"/>
              <w:ind w:left="119"/>
              <w:rPr>
                <w:sz w:val="21"/>
              </w:rPr>
            </w:pPr>
            <w:r>
              <w:rPr>
                <w:spacing w:val="-4"/>
                <w:sz w:val="21"/>
              </w:rPr>
              <w:t>语言能力丧失</w:t>
            </w:r>
          </w:p>
        </w:tc>
        <w:tc>
          <w:tcPr>
            <w:tcW w:w="6656" w:type="dxa"/>
            <w:tcBorders>
              <w:right w:val="single" w:color="000000" w:sz="12" w:space="0"/>
            </w:tcBorders>
          </w:tcPr>
          <w:p>
            <w:pPr>
              <w:pStyle w:val="10"/>
              <w:spacing w:before="18" w:line="278" w:lineRule="auto"/>
              <w:ind w:right="73"/>
              <w:rPr>
                <w:sz w:val="21"/>
              </w:rPr>
            </w:pPr>
            <w:r>
              <w:rPr>
                <w:spacing w:val="-2"/>
                <w:sz w:val="21"/>
              </w:rPr>
              <w:t xml:space="preserve">指因疾病或意外伤害导致语言能力完全丧失，经过积极治疗至少 </w:t>
            </w:r>
            <w:r>
              <w:rPr>
                <w:sz w:val="21"/>
              </w:rPr>
              <w:t>12</w:t>
            </w:r>
            <w:r>
              <w:rPr>
                <w:spacing w:val="-19"/>
                <w:sz w:val="21"/>
              </w:rPr>
              <w:t xml:space="preserve"> 个</w:t>
            </w:r>
            <w:r>
              <w:rPr>
                <w:spacing w:val="-2"/>
                <w:sz w:val="21"/>
              </w:rPr>
              <w:t>月（声带完全切除不受此时间限制</w:t>
            </w:r>
            <w:r>
              <w:rPr>
                <w:spacing w:val="-108"/>
                <w:sz w:val="21"/>
              </w:rPr>
              <w:t>）</w:t>
            </w:r>
            <w:r>
              <w:rPr>
                <w:spacing w:val="-3"/>
                <w:sz w:val="21"/>
              </w:rPr>
              <w:t>，仍无法通过现有医疗手段恢复。</w:t>
            </w:r>
          </w:p>
          <w:p>
            <w:pPr>
              <w:pStyle w:val="10"/>
              <w:spacing w:before="0"/>
              <w:rPr>
                <w:rFonts w:ascii="黑体" w:eastAsia="黑体"/>
                <w:sz w:val="21"/>
              </w:rPr>
            </w:pPr>
            <w:r>
              <w:rPr>
                <w:rFonts w:ascii="黑体" w:eastAsia="黑体"/>
                <w:color w:val="000000"/>
                <w:spacing w:val="-3"/>
                <w:sz w:val="21"/>
                <w:shd w:val="clear" w:color="auto" w:fill="D9D9D9"/>
              </w:rPr>
              <w:t>精神心理因素所致的语言能力丧失不在保障范围内。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5" w:hRule="atLeast"/>
        </w:trPr>
        <w:tc>
          <w:tcPr>
            <w:tcW w:w="1090" w:type="dxa"/>
            <w:tcBorders>
              <w:left w:val="single" w:color="000000" w:sz="12" w:space="0"/>
            </w:tcBorders>
          </w:tcPr>
          <w:p>
            <w:pPr>
              <w:pStyle w:val="10"/>
              <w:ind w:left="323" w:right="294"/>
              <w:jc w:val="center"/>
              <w:rPr>
                <w:sz w:val="21"/>
              </w:rPr>
            </w:pPr>
            <w:r>
              <w:rPr>
                <w:spacing w:val="-5"/>
                <w:sz w:val="21"/>
              </w:rPr>
              <w:t>24</w:t>
            </w:r>
          </w:p>
        </w:tc>
        <w:tc>
          <w:tcPr>
            <w:tcW w:w="2194" w:type="dxa"/>
          </w:tcPr>
          <w:p>
            <w:pPr>
              <w:pStyle w:val="10"/>
              <w:ind w:left="119"/>
              <w:rPr>
                <w:sz w:val="21"/>
              </w:rPr>
            </w:pPr>
            <w:r>
              <w:rPr>
                <w:spacing w:val="-3"/>
                <w:sz w:val="21"/>
              </w:rPr>
              <w:t>重型再生障碍性贫血</w:t>
            </w:r>
          </w:p>
        </w:tc>
        <w:tc>
          <w:tcPr>
            <w:tcW w:w="6656" w:type="dxa"/>
            <w:tcBorders>
              <w:right w:val="single" w:color="000000" w:sz="12" w:space="0"/>
            </w:tcBorders>
          </w:tcPr>
          <w:p>
            <w:pPr>
              <w:pStyle w:val="10"/>
              <w:spacing w:line="278" w:lineRule="auto"/>
              <w:ind w:right="73"/>
              <w:rPr>
                <w:sz w:val="21"/>
              </w:rPr>
            </w:pPr>
            <w:r>
              <w:rPr>
                <w:spacing w:val="-6"/>
                <w:sz w:val="21"/>
              </w:rPr>
              <w:t>指因骨髓造血功能慢性持续性衰竭导致的贫血、中性粒细胞减少及血小</w:t>
            </w:r>
            <w:r>
              <w:rPr>
                <w:spacing w:val="-2"/>
                <w:sz w:val="21"/>
              </w:rPr>
              <w:t>板减少，且须满足下列全部条件：</w:t>
            </w:r>
          </w:p>
          <w:p>
            <w:pPr>
              <w:pStyle w:val="10"/>
              <w:numPr>
                <w:ilvl w:val="0"/>
                <w:numId w:val="42"/>
              </w:numPr>
              <w:tabs>
                <w:tab w:val="left" w:pos="637"/>
              </w:tabs>
              <w:spacing w:before="0" w:after="0" w:line="278" w:lineRule="auto"/>
              <w:ind w:left="107" w:right="73" w:firstLine="0"/>
              <w:jc w:val="left"/>
              <w:rPr>
                <w:sz w:val="21"/>
              </w:rPr>
            </w:pPr>
            <w:r>
              <w:rPr>
                <w:spacing w:val="-2"/>
                <w:sz w:val="21"/>
              </w:rPr>
              <w:t>骨髓穿刺检查或骨髓活检结果支持诊断：骨髓细胞增生程度&lt;正</w:t>
            </w:r>
            <w:r>
              <w:rPr>
                <w:spacing w:val="-8"/>
                <w:sz w:val="21"/>
              </w:rPr>
              <w:t xml:space="preserve">常的 </w:t>
            </w:r>
            <w:r>
              <w:rPr>
                <w:sz w:val="21"/>
              </w:rPr>
              <w:t>25</w:t>
            </w:r>
            <w:r>
              <w:rPr>
                <w:spacing w:val="-4"/>
                <w:sz w:val="21"/>
              </w:rPr>
              <w:t xml:space="preserve">%；如≥正常的 </w:t>
            </w:r>
            <w:r>
              <w:rPr>
                <w:sz w:val="21"/>
              </w:rPr>
              <w:t>25%但&lt;50%，则残存的造血细胞应&lt;30%；</w:t>
            </w:r>
          </w:p>
          <w:p>
            <w:pPr>
              <w:pStyle w:val="10"/>
              <w:numPr>
                <w:ilvl w:val="0"/>
                <w:numId w:val="42"/>
              </w:numPr>
              <w:tabs>
                <w:tab w:val="left" w:pos="637"/>
              </w:tabs>
              <w:spacing w:before="0" w:after="0" w:line="269" w:lineRule="exact"/>
              <w:ind w:left="636" w:right="0" w:hanging="530"/>
              <w:jc w:val="left"/>
              <w:rPr>
                <w:sz w:val="21"/>
              </w:rPr>
            </w:pPr>
            <w:r>
              <w:rPr>
                <w:spacing w:val="-3"/>
                <w:sz w:val="21"/>
              </w:rPr>
              <w:t>外周血象须具备以下三项条件中的两项：</w:t>
            </w:r>
          </w:p>
          <w:p>
            <w:pPr>
              <w:pStyle w:val="10"/>
              <w:spacing w:before="33"/>
              <w:rPr>
                <w:sz w:val="21"/>
              </w:rPr>
            </w:pPr>
            <w:r>
              <w:rPr>
                <w:spacing w:val="-2"/>
                <w:sz w:val="21"/>
              </w:rPr>
              <w:t>①中性粒细胞绝对值&lt;0.5×10</w:t>
            </w:r>
            <w:r>
              <w:rPr>
                <w:spacing w:val="-2"/>
                <w:position w:val="11"/>
                <w:sz w:val="11"/>
              </w:rPr>
              <w:t>9</w:t>
            </w:r>
            <w:r>
              <w:rPr>
                <w:spacing w:val="-2"/>
                <w:sz w:val="21"/>
              </w:rPr>
              <w:t>/L；</w:t>
            </w:r>
          </w:p>
          <w:p>
            <w:pPr>
              <w:pStyle w:val="10"/>
              <w:spacing w:before="33"/>
              <w:rPr>
                <w:sz w:val="21"/>
              </w:rPr>
            </w:pPr>
            <w:r>
              <w:rPr>
                <w:spacing w:val="-2"/>
                <w:sz w:val="21"/>
              </w:rPr>
              <w:t>②网织红细胞计数&lt;20×10</w:t>
            </w:r>
            <w:r>
              <w:rPr>
                <w:spacing w:val="-2"/>
                <w:position w:val="11"/>
                <w:sz w:val="11"/>
              </w:rPr>
              <w:t>9</w:t>
            </w:r>
            <w:r>
              <w:rPr>
                <w:spacing w:val="-2"/>
                <w:sz w:val="21"/>
              </w:rPr>
              <w:t>/L；</w:t>
            </w:r>
          </w:p>
          <w:p>
            <w:pPr>
              <w:pStyle w:val="10"/>
              <w:spacing w:before="32"/>
              <w:rPr>
                <w:sz w:val="21"/>
              </w:rPr>
            </w:pPr>
            <w:r>
              <w:rPr>
                <w:spacing w:val="-2"/>
                <w:sz w:val="21"/>
              </w:rPr>
              <w:t>③血小板绝对值&lt;20×10</w:t>
            </w:r>
            <w:r>
              <w:rPr>
                <w:spacing w:val="-2"/>
                <w:position w:val="11"/>
                <w:sz w:val="11"/>
              </w:rPr>
              <w:t>9</w:t>
            </w:r>
            <w:r>
              <w:rPr>
                <w:spacing w:val="-2"/>
                <w:sz w:val="21"/>
              </w:rPr>
              <w:t>/L</w:t>
            </w:r>
            <w:r>
              <w:rPr>
                <w:spacing w:val="-12"/>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0" w:hRule="atLeast"/>
        </w:trPr>
        <w:tc>
          <w:tcPr>
            <w:tcW w:w="1090" w:type="dxa"/>
            <w:tcBorders>
              <w:left w:val="single" w:color="000000" w:sz="12" w:space="0"/>
            </w:tcBorders>
          </w:tcPr>
          <w:p>
            <w:pPr>
              <w:pStyle w:val="10"/>
              <w:ind w:left="323" w:right="294"/>
              <w:jc w:val="center"/>
              <w:rPr>
                <w:sz w:val="21"/>
              </w:rPr>
            </w:pPr>
            <w:r>
              <w:rPr>
                <w:spacing w:val="-5"/>
                <w:sz w:val="21"/>
              </w:rPr>
              <w:t>25</w:t>
            </w:r>
          </w:p>
        </w:tc>
        <w:tc>
          <w:tcPr>
            <w:tcW w:w="2194" w:type="dxa"/>
          </w:tcPr>
          <w:p>
            <w:pPr>
              <w:pStyle w:val="10"/>
              <w:ind w:left="119"/>
              <w:rPr>
                <w:sz w:val="21"/>
              </w:rPr>
            </w:pPr>
            <w:r>
              <w:rPr>
                <w:spacing w:val="-4"/>
                <w:sz w:val="21"/>
              </w:rPr>
              <w:t>主动脉手术</w:t>
            </w:r>
          </w:p>
        </w:tc>
        <w:tc>
          <w:tcPr>
            <w:tcW w:w="6656" w:type="dxa"/>
            <w:tcBorders>
              <w:right w:val="single" w:color="000000" w:sz="12" w:space="0"/>
            </w:tcBorders>
          </w:tcPr>
          <w:p>
            <w:pPr>
              <w:pStyle w:val="10"/>
              <w:spacing w:line="278" w:lineRule="auto"/>
              <w:ind w:right="-29"/>
              <w:jc w:val="both"/>
              <w:rPr>
                <w:sz w:val="21"/>
              </w:rPr>
            </w:pPr>
            <w:r>
              <w:rPr>
                <w:spacing w:val="-2"/>
                <w:sz w:val="21"/>
              </w:rPr>
              <w:t>指为治疗主动脉疾病或主动脉创伤，已经实施了开胸（含胸腔镜下）或开腹（含腹腔镜下）进行的切除、置换、修补病损主动脉血管、主动脉创伤后修复的手术。主动脉指升主动脉、主动脉弓和降主动脉（含胸主动脉和腹主动脉</w:t>
            </w:r>
            <w:r>
              <w:rPr>
                <w:spacing w:val="-73"/>
                <w:sz w:val="21"/>
              </w:rPr>
              <w:t>）</w:t>
            </w:r>
            <w:r>
              <w:rPr>
                <w:spacing w:val="-11"/>
                <w:sz w:val="21"/>
              </w:rPr>
              <w:t>，不包括升主动脉、主动脉弓和降主动脉的分支血管。</w:t>
            </w:r>
          </w:p>
          <w:p>
            <w:pPr>
              <w:pStyle w:val="10"/>
              <w:spacing w:before="0"/>
              <w:rPr>
                <w:rFonts w:ascii="黑体" w:eastAsia="黑体"/>
                <w:sz w:val="21"/>
              </w:rPr>
            </w:pPr>
            <w:r>
              <w:rPr>
                <w:rFonts w:ascii="黑体" w:eastAsia="黑体"/>
                <w:color w:val="000000"/>
                <w:spacing w:val="-3"/>
                <w:sz w:val="21"/>
                <w:shd w:val="clear" w:color="auto" w:fill="D9D9D9"/>
              </w:rPr>
              <w:t>所有未实施开胸或开腹的动脉内介入治疗不在保障范围内。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9" w:hRule="atLeast"/>
        </w:trPr>
        <w:tc>
          <w:tcPr>
            <w:tcW w:w="1090" w:type="dxa"/>
            <w:tcBorders>
              <w:left w:val="single" w:color="000000" w:sz="12" w:space="0"/>
            </w:tcBorders>
          </w:tcPr>
          <w:p>
            <w:pPr>
              <w:pStyle w:val="10"/>
              <w:ind w:left="323" w:right="294"/>
              <w:jc w:val="center"/>
              <w:rPr>
                <w:sz w:val="21"/>
              </w:rPr>
            </w:pPr>
            <w:r>
              <w:rPr>
                <w:spacing w:val="-5"/>
                <w:sz w:val="21"/>
              </w:rPr>
              <w:t>26</w:t>
            </w:r>
          </w:p>
        </w:tc>
        <w:tc>
          <w:tcPr>
            <w:tcW w:w="2194" w:type="dxa"/>
          </w:tcPr>
          <w:p>
            <w:pPr>
              <w:pStyle w:val="10"/>
              <w:ind w:left="119"/>
              <w:rPr>
                <w:sz w:val="21"/>
              </w:rPr>
            </w:pPr>
            <w:r>
              <w:rPr>
                <w:spacing w:val="-4"/>
                <w:sz w:val="21"/>
              </w:rPr>
              <w:t>严重慢性呼吸衰竭</w:t>
            </w:r>
          </w:p>
        </w:tc>
        <w:tc>
          <w:tcPr>
            <w:tcW w:w="6656" w:type="dxa"/>
            <w:tcBorders>
              <w:right w:val="single" w:color="000000" w:sz="12" w:space="0"/>
            </w:tcBorders>
          </w:tcPr>
          <w:p>
            <w:pPr>
              <w:pStyle w:val="10"/>
              <w:spacing w:line="278" w:lineRule="auto"/>
              <w:ind w:right="83"/>
              <w:rPr>
                <w:sz w:val="21"/>
              </w:rPr>
            </w:pPr>
            <w:r>
              <w:rPr>
                <w:spacing w:val="-2"/>
                <w:sz w:val="21"/>
              </w:rPr>
              <w:t xml:space="preserve">指因慢性呼吸系统疾病导致永久不可逆性的呼吸衰竭，经过积极治疗 </w:t>
            </w:r>
            <w:r>
              <w:rPr>
                <w:sz w:val="21"/>
              </w:rPr>
              <w:t>180</w:t>
            </w:r>
            <w:r>
              <w:rPr>
                <w:spacing w:val="-7"/>
                <w:sz w:val="21"/>
              </w:rPr>
              <w:t xml:space="preserve"> 天后满足以下所有条件：</w:t>
            </w:r>
          </w:p>
          <w:p>
            <w:pPr>
              <w:pStyle w:val="10"/>
              <w:numPr>
                <w:ilvl w:val="0"/>
                <w:numId w:val="43"/>
              </w:numPr>
              <w:tabs>
                <w:tab w:val="left" w:pos="637"/>
              </w:tabs>
              <w:spacing w:before="0" w:after="0" w:line="269" w:lineRule="exact"/>
              <w:ind w:left="636" w:right="0" w:hanging="530"/>
              <w:jc w:val="left"/>
              <w:rPr>
                <w:sz w:val="21"/>
              </w:rPr>
            </w:pPr>
            <w:r>
              <w:rPr>
                <w:spacing w:val="-3"/>
                <w:sz w:val="21"/>
              </w:rPr>
              <w:t>静息时出现呼吸困难；</w:t>
            </w:r>
          </w:p>
          <w:p>
            <w:pPr>
              <w:pStyle w:val="10"/>
              <w:numPr>
                <w:ilvl w:val="0"/>
                <w:numId w:val="43"/>
              </w:numPr>
              <w:tabs>
                <w:tab w:val="left" w:pos="637"/>
              </w:tabs>
              <w:spacing w:before="42" w:after="0" w:line="240" w:lineRule="auto"/>
              <w:ind w:left="636" w:right="0" w:hanging="530"/>
              <w:jc w:val="left"/>
              <w:rPr>
                <w:sz w:val="21"/>
              </w:rPr>
            </w:pPr>
            <w:r>
              <w:rPr>
                <w:spacing w:val="-2"/>
                <w:position w:val="1"/>
                <w:sz w:val="21"/>
              </w:rPr>
              <w:t>肺功能第一秒用力呼气容积（FEV</w:t>
            </w:r>
            <w:r>
              <w:rPr>
                <w:spacing w:val="-2"/>
                <w:sz w:val="11"/>
              </w:rPr>
              <w:t>1</w:t>
            </w:r>
            <w:r>
              <w:rPr>
                <w:spacing w:val="-2"/>
                <w:position w:val="1"/>
                <w:sz w:val="21"/>
              </w:rPr>
              <w:t>）占预计值的百分比＜30%；</w:t>
            </w:r>
          </w:p>
          <w:p>
            <w:pPr>
              <w:pStyle w:val="10"/>
              <w:numPr>
                <w:ilvl w:val="0"/>
                <w:numId w:val="43"/>
              </w:numPr>
              <w:tabs>
                <w:tab w:val="left" w:pos="637"/>
              </w:tabs>
              <w:spacing w:before="43" w:after="0" w:line="240" w:lineRule="auto"/>
              <w:ind w:left="636" w:right="-29" w:hanging="530"/>
              <w:jc w:val="left"/>
              <w:rPr>
                <w:sz w:val="21"/>
              </w:rPr>
            </w:pPr>
            <w:r>
              <w:rPr>
                <w:spacing w:val="-2"/>
                <w:position w:val="1"/>
                <w:sz w:val="21"/>
              </w:rPr>
              <w:t>在静息状态、呼吸空气条件下，动脉血氧分压（PaO</w:t>
            </w:r>
            <w:r>
              <w:rPr>
                <w:spacing w:val="-2"/>
                <w:sz w:val="11"/>
              </w:rPr>
              <w:t>2</w:t>
            </w:r>
            <w:r>
              <w:rPr>
                <w:spacing w:val="-2"/>
                <w:position w:val="1"/>
                <w:sz w:val="21"/>
              </w:rPr>
              <w:t>）＜50mmHg</w:t>
            </w:r>
            <w:r>
              <w:rPr>
                <w:spacing w:val="-10"/>
                <w:position w:val="1"/>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090" w:type="dxa"/>
            <w:tcBorders>
              <w:left w:val="single" w:color="000000" w:sz="12" w:space="0"/>
            </w:tcBorders>
          </w:tcPr>
          <w:p>
            <w:pPr>
              <w:pStyle w:val="10"/>
              <w:ind w:left="323" w:right="294"/>
              <w:jc w:val="center"/>
              <w:rPr>
                <w:sz w:val="21"/>
              </w:rPr>
            </w:pPr>
            <w:r>
              <w:rPr>
                <w:spacing w:val="-5"/>
                <w:sz w:val="21"/>
              </w:rPr>
              <w:t>27</w:t>
            </w:r>
          </w:p>
        </w:tc>
        <w:tc>
          <w:tcPr>
            <w:tcW w:w="2194" w:type="dxa"/>
          </w:tcPr>
          <w:p>
            <w:pPr>
              <w:pStyle w:val="10"/>
              <w:ind w:left="119"/>
              <w:rPr>
                <w:sz w:val="21"/>
              </w:rPr>
            </w:pPr>
            <w:r>
              <w:rPr>
                <w:spacing w:val="-4"/>
                <w:sz w:val="21"/>
              </w:rPr>
              <w:t>严重克罗恩病</w:t>
            </w:r>
          </w:p>
        </w:tc>
        <w:tc>
          <w:tcPr>
            <w:tcW w:w="6656" w:type="dxa"/>
            <w:tcBorders>
              <w:right w:val="single" w:color="000000" w:sz="12" w:space="0"/>
            </w:tcBorders>
          </w:tcPr>
          <w:p>
            <w:pPr>
              <w:pStyle w:val="10"/>
              <w:rPr>
                <w:sz w:val="21"/>
              </w:rPr>
            </w:pPr>
            <w:r>
              <w:rPr>
                <w:spacing w:val="-2"/>
                <w:sz w:val="21"/>
              </w:rPr>
              <w:t>指一种慢性肉芽肿性肠炎，具有特征性的克罗恩病（Crohn</w:t>
            </w:r>
            <w:r>
              <w:rPr>
                <w:spacing w:val="-27"/>
                <w:sz w:val="21"/>
              </w:rPr>
              <w:t xml:space="preserve"> 病</w:t>
            </w:r>
            <w:r>
              <w:rPr>
                <w:spacing w:val="-2"/>
                <w:sz w:val="21"/>
              </w:rPr>
              <w:t>）</w:t>
            </w:r>
            <w:r>
              <w:rPr>
                <w:spacing w:val="-5"/>
                <w:sz w:val="21"/>
              </w:rPr>
              <w:t>病理组</w:t>
            </w:r>
          </w:p>
          <w:p>
            <w:pPr>
              <w:pStyle w:val="10"/>
              <w:spacing w:before="43"/>
              <w:rPr>
                <w:sz w:val="21"/>
              </w:rPr>
            </w:pPr>
            <w:r>
              <w:rPr>
                <w:spacing w:val="-5"/>
                <w:sz w:val="21"/>
              </w:rPr>
              <w:t>织学变化，须根据组织病理学特点诊断，且已经造成瘘管形成并伴有肠</w:t>
            </w:r>
          </w:p>
        </w:tc>
      </w:tr>
    </w:tbl>
    <w:p>
      <w:pPr>
        <w:spacing w:after="0"/>
        <w:rPr>
          <w:sz w:val="21"/>
        </w:rPr>
        <w:sectPr>
          <w:type w:val="continuous"/>
          <w:pgSz w:w="11910" w:h="16840"/>
          <w:pgMar w:top="840" w:right="340" w:bottom="1386" w:left="800" w:header="0" w:footer="457" w:gutter="0"/>
          <w:cols w:space="720" w:num="1"/>
        </w:sectPr>
      </w:pPr>
    </w:p>
    <w:tbl>
      <w:tblPr>
        <w:tblStyle w:val="6"/>
        <w:tblW w:w="0" w:type="auto"/>
        <w:tblInd w:w="22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90"/>
        <w:gridCol w:w="2194"/>
        <w:gridCol w:w="66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090" w:type="dxa"/>
            <w:tcBorders>
              <w:left w:val="single" w:color="000000" w:sz="12" w:space="0"/>
            </w:tcBorders>
          </w:tcPr>
          <w:p>
            <w:pPr>
              <w:pStyle w:val="10"/>
              <w:spacing w:before="0"/>
              <w:ind w:left="0"/>
              <w:rPr>
                <w:rFonts w:ascii="Times New Roman"/>
                <w:sz w:val="20"/>
              </w:rPr>
            </w:pPr>
          </w:p>
        </w:tc>
        <w:tc>
          <w:tcPr>
            <w:tcW w:w="2194" w:type="dxa"/>
          </w:tcPr>
          <w:p>
            <w:pPr>
              <w:pStyle w:val="10"/>
              <w:spacing w:before="0"/>
              <w:ind w:left="0"/>
              <w:rPr>
                <w:rFonts w:ascii="Times New Roman"/>
                <w:sz w:val="20"/>
              </w:rPr>
            </w:pPr>
          </w:p>
        </w:tc>
        <w:tc>
          <w:tcPr>
            <w:tcW w:w="6656" w:type="dxa"/>
            <w:tcBorders>
              <w:right w:val="single" w:color="000000" w:sz="12" w:space="0"/>
            </w:tcBorders>
          </w:tcPr>
          <w:p>
            <w:pPr>
              <w:pStyle w:val="10"/>
              <w:rPr>
                <w:sz w:val="21"/>
              </w:rPr>
            </w:pPr>
            <w:r>
              <w:rPr>
                <w:spacing w:val="-4"/>
                <w:sz w:val="21"/>
              </w:rPr>
              <w:t>梗阻或肠穿孔。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1090" w:type="dxa"/>
            <w:tcBorders>
              <w:left w:val="single" w:color="000000" w:sz="12" w:space="0"/>
            </w:tcBorders>
          </w:tcPr>
          <w:p>
            <w:pPr>
              <w:pStyle w:val="10"/>
              <w:ind w:left="323" w:right="294"/>
              <w:jc w:val="center"/>
              <w:rPr>
                <w:sz w:val="21"/>
              </w:rPr>
            </w:pPr>
            <w:r>
              <w:rPr>
                <w:spacing w:val="-5"/>
                <w:sz w:val="21"/>
              </w:rPr>
              <w:t>28</w:t>
            </w:r>
          </w:p>
        </w:tc>
        <w:tc>
          <w:tcPr>
            <w:tcW w:w="2194" w:type="dxa"/>
          </w:tcPr>
          <w:p>
            <w:pPr>
              <w:pStyle w:val="10"/>
              <w:ind w:left="119"/>
              <w:rPr>
                <w:sz w:val="21"/>
              </w:rPr>
            </w:pPr>
            <w:r>
              <w:rPr>
                <w:spacing w:val="-4"/>
                <w:sz w:val="21"/>
              </w:rPr>
              <w:t>严重溃疡性结肠炎</w:t>
            </w:r>
          </w:p>
        </w:tc>
        <w:tc>
          <w:tcPr>
            <w:tcW w:w="6656" w:type="dxa"/>
            <w:tcBorders>
              <w:right w:val="single" w:color="000000" w:sz="12" w:space="0"/>
            </w:tcBorders>
          </w:tcPr>
          <w:p>
            <w:pPr>
              <w:pStyle w:val="10"/>
              <w:rPr>
                <w:sz w:val="21"/>
              </w:rPr>
            </w:pPr>
            <w:r>
              <w:rPr>
                <w:spacing w:val="-6"/>
                <w:sz w:val="21"/>
              </w:rPr>
              <w:t>指伴有致命性电解质紊乱的急性暴发性溃疡性结肠炎，病变已经累及全</w:t>
            </w:r>
          </w:p>
          <w:p>
            <w:pPr>
              <w:pStyle w:val="10"/>
              <w:spacing w:before="2" w:line="310" w:lineRule="atLeast"/>
              <w:ind w:right="73"/>
              <w:rPr>
                <w:sz w:val="21"/>
              </w:rPr>
            </w:pPr>
            <w:r>
              <w:rPr>
                <w:spacing w:val="-4"/>
                <w:sz w:val="21"/>
              </w:rPr>
              <w:t>结肠，表现为严重的血便和系统性症状体征，须根据组织病理学特点诊</w:t>
            </w:r>
            <w:r>
              <w:rPr>
                <w:spacing w:val="-2"/>
                <w:sz w:val="21"/>
              </w:rPr>
              <w:t>断，且已经实施了结肠切除或回肠造瘘术。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5" w:hRule="atLeast"/>
        </w:trPr>
        <w:tc>
          <w:tcPr>
            <w:tcW w:w="1090" w:type="dxa"/>
            <w:tcBorders>
              <w:left w:val="single" w:color="000000" w:sz="12" w:space="0"/>
            </w:tcBorders>
          </w:tcPr>
          <w:p>
            <w:pPr>
              <w:pStyle w:val="10"/>
              <w:ind w:left="323" w:right="294"/>
              <w:jc w:val="center"/>
              <w:rPr>
                <w:sz w:val="21"/>
              </w:rPr>
            </w:pPr>
            <w:r>
              <w:rPr>
                <w:spacing w:val="-5"/>
                <w:sz w:val="21"/>
              </w:rPr>
              <w:t>29</w:t>
            </w:r>
          </w:p>
        </w:tc>
        <w:tc>
          <w:tcPr>
            <w:tcW w:w="2194" w:type="dxa"/>
          </w:tcPr>
          <w:p>
            <w:pPr>
              <w:pStyle w:val="10"/>
              <w:ind w:left="119"/>
              <w:rPr>
                <w:sz w:val="21"/>
              </w:rPr>
            </w:pPr>
            <w:r>
              <w:rPr>
                <w:spacing w:val="-4"/>
                <w:sz w:val="21"/>
              </w:rPr>
              <w:t>严重冠心病</w:t>
            </w:r>
          </w:p>
        </w:tc>
        <w:tc>
          <w:tcPr>
            <w:tcW w:w="6656" w:type="dxa"/>
            <w:tcBorders>
              <w:right w:val="single" w:color="000000" w:sz="12" w:space="0"/>
            </w:tcBorders>
          </w:tcPr>
          <w:p>
            <w:pPr>
              <w:pStyle w:val="10"/>
              <w:spacing w:line="278" w:lineRule="auto"/>
              <w:ind w:right="1"/>
              <w:rPr>
                <w:sz w:val="21"/>
              </w:rPr>
            </w:pPr>
            <w:r>
              <w:rPr>
                <w:spacing w:val="-2"/>
                <w:sz w:val="21"/>
              </w:rPr>
              <w:t>指冠状动脉粥样硬化斑块形成，导致主要冠状动脉（冠状动脉左主干、前降支、左旋支、右冠状动脉）管腔严重狭窄并由冠状动脉造影检查明确诊断。必须满足下列条件之一：</w:t>
            </w:r>
          </w:p>
          <w:p>
            <w:pPr>
              <w:pStyle w:val="10"/>
              <w:numPr>
                <w:ilvl w:val="0"/>
                <w:numId w:val="44"/>
              </w:numPr>
              <w:tabs>
                <w:tab w:val="left" w:pos="637"/>
              </w:tabs>
              <w:spacing w:before="0" w:after="0" w:line="278" w:lineRule="auto"/>
              <w:ind w:left="107" w:right="73" w:firstLine="0"/>
              <w:jc w:val="left"/>
              <w:rPr>
                <w:sz w:val="21"/>
              </w:rPr>
            </w:pPr>
            <w:r>
              <w:rPr>
                <w:sz w:val="21"/>
              </w:rPr>
              <w:t>左冠状动脉主干和右冠状动脉狭窄，一支管腔堵塞 75%（含）以</w:t>
            </w:r>
            <w:r>
              <w:rPr>
                <w:spacing w:val="-5"/>
                <w:sz w:val="21"/>
              </w:rPr>
              <w:t xml:space="preserve">上，另一支管腔堵塞 </w:t>
            </w:r>
            <w:r>
              <w:rPr>
                <w:sz w:val="21"/>
              </w:rPr>
              <w:t>60%（含）以上；</w:t>
            </w:r>
          </w:p>
          <w:p>
            <w:pPr>
              <w:pStyle w:val="10"/>
              <w:numPr>
                <w:ilvl w:val="0"/>
                <w:numId w:val="44"/>
              </w:numPr>
              <w:tabs>
                <w:tab w:val="left" w:pos="635"/>
              </w:tabs>
              <w:spacing w:before="0" w:after="0" w:line="269" w:lineRule="exact"/>
              <w:ind w:left="634" w:right="0" w:hanging="528"/>
              <w:jc w:val="left"/>
              <w:rPr>
                <w:sz w:val="21"/>
              </w:rPr>
            </w:pPr>
            <w:r>
              <w:rPr>
                <w:spacing w:val="-7"/>
                <w:sz w:val="21"/>
              </w:rPr>
              <w:t xml:space="preserve">前降支、左旋支和右冠状动脉三血管狭窄，至少一支管腔堵塞 </w:t>
            </w:r>
            <w:r>
              <w:rPr>
                <w:spacing w:val="-6"/>
                <w:sz w:val="21"/>
              </w:rPr>
              <w:t>75%</w:t>
            </w:r>
          </w:p>
          <w:p>
            <w:pPr>
              <w:pStyle w:val="10"/>
              <w:spacing w:before="42"/>
              <w:rPr>
                <w:sz w:val="21"/>
              </w:rPr>
            </w:pPr>
            <w:r>
              <w:rPr>
                <w:spacing w:val="-2"/>
                <w:sz w:val="21"/>
              </w:rPr>
              <w:t>（含）</w:t>
            </w:r>
            <w:r>
              <w:rPr>
                <w:spacing w:val="-6"/>
                <w:sz w:val="21"/>
              </w:rPr>
              <w:t xml:space="preserve">以上，另外两支堵塞 </w:t>
            </w:r>
            <w:r>
              <w:rPr>
                <w:spacing w:val="-2"/>
                <w:sz w:val="21"/>
              </w:rPr>
              <w:t>60%（含）</w:t>
            </w:r>
            <w:r>
              <w:rPr>
                <w:spacing w:val="-5"/>
                <w:sz w:val="21"/>
              </w:rPr>
              <w:t>以上。</w:t>
            </w:r>
          </w:p>
          <w:p>
            <w:pPr>
              <w:pStyle w:val="10"/>
              <w:spacing w:before="43"/>
              <w:rPr>
                <w:rFonts w:ascii="黑体" w:eastAsia="黑体"/>
                <w:sz w:val="21"/>
              </w:rPr>
            </w:pPr>
            <w:r>
              <w:rPr>
                <w:rFonts w:ascii="黑体" w:eastAsia="黑体"/>
                <w:color w:val="000000"/>
                <w:spacing w:val="-3"/>
                <w:sz w:val="21"/>
                <w:shd w:val="clear" w:color="auto" w:fill="D9D9D9"/>
              </w:rPr>
              <w:t>前降支、左旋支及右冠状动脉的分支血管狭窄不在保障范围内。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08" w:hRule="atLeast"/>
        </w:trPr>
        <w:tc>
          <w:tcPr>
            <w:tcW w:w="1090" w:type="dxa"/>
            <w:tcBorders>
              <w:left w:val="single" w:color="000000" w:sz="12" w:space="0"/>
            </w:tcBorders>
          </w:tcPr>
          <w:p>
            <w:pPr>
              <w:pStyle w:val="10"/>
              <w:ind w:left="323" w:right="294"/>
              <w:jc w:val="center"/>
              <w:rPr>
                <w:sz w:val="21"/>
              </w:rPr>
            </w:pPr>
            <w:r>
              <w:rPr>
                <w:spacing w:val="-5"/>
                <w:sz w:val="21"/>
              </w:rPr>
              <w:t>30</w:t>
            </w:r>
          </w:p>
        </w:tc>
        <w:tc>
          <w:tcPr>
            <w:tcW w:w="2194" w:type="dxa"/>
          </w:tcPr>
          <w:p>
            <w:pPr>
              <w:pStyle w:val="10"/>
              <w:ind w:left="119"/>
              <w:rPr>
                <w:sz w:val="21"/>
              </w:rPr>
            </w:pPr>
            <w:r>
              <w:rPr>
                <w:spacing w:val="-3"/>
                <w:sz w:val="21"/>
              </w:rPr>
              <w:t>严重感染性心内膜炎</w:t>
            </w:r>
          </w:p>
        </w:tc>
        <w:tc>
          <w:tcPr>
            <w:tcW w:w="6656" w:type="dxa"/>
            <w:tcBorders>
              <w:right w:val="single" w:color="000000" w:sz="12" w:space="0"/>
            </w:tcBorders>
          </w:tcPr>
          <w:p>
            <w:pPr>
              <w:pStyle w:val="10"/>
              <w:spacing w:line="278" w:lineRule="auto"/>
              <w:ind w:right="73"/>
              <w:rPr>
                <w:sz w:val="21"/>
              </w:rPr>
            </w:pPr>
            <w:r>
              <w:rPr>
                <w:spacing w:val="-5"/>
                <w:sz w:val="21"/>
              </w:rPr>
              <w:t>感染性心内膜炎是指因细菌或其他致病菌造成心脏内膜感染，瓣膜为最</w:t>
            </w:r>
            <w:r>
              <w:rPr>
                <w:spacing w:val="-2"/>
                <w:sz w:val="21"/>
              </w:rPr>
              <w:t>常受累部位，引起心脏瓣膜关闭不全。必须满足下列至少三项条件：</w:t>
            </w:r>
          </w:p>
          <w:p>
            <w:pPr>
              <w:pStyle w:val="10"/>
              <w:numPr>
                <w:ilvl w:val="0"/>
                <w:numId w:val="45"/>
              </w:numPr>
              <w:tabs>
                <w:tab w:val="left" w:pos="637"/>
              </w:tabs>
              <w:spacing w:before="0" w:after="0" w:line="240" w:lineRule="auto"/>
              <w:ind w:left="636" w:right="0" w:hanging="530"/>
              <w:jc w:val="left"/>
              <w:rPr>
                <w:sz w:val="21"/>
              </w:rPr>
            </w:pPr>
            <w:r>
              <w:rPr>
                <w:spacing w:val="-3"/>
                <w:sz w:val="21"/>
              </w:rPr>
              <w:t>急性或亚急性感染性心内膜炎临床表现；</w:t>
            </w:r>
          </w:p>
          <w:p>
            <w:pPr>
              <w:pStyle w:val="10"/>
              <w:numPr>
                <w:ilvl w:val="0"/>
                <w:numId w:val="45"/>
              </w:numPr>
              <w:tabs>
                <w:tab w:val="left" w:pos="637"/>
              </w:tabs>
              <w:spacing w:before="43" w:after="0" w:line="240" w:lineRule="auto"/>
              <w:ind w:left="636" w:right="0" w:hanging="530"/>
              <w:jc w:val="left"/>
              <w:rPr>
                <w:sz w:val="21"/>
              </w:rPr>
            </w:pPr>
            <w:r>
              <w:rPr>
                <w:spacing w:val="-3"/>
                <w:sz w:val="21"/>
              </w:rPr>
              <w:t>血培养病原体阳性；</w:t>
            </w:r>
          </w:p>
          <w:p>
            <w:pPr>
              <w:pStyle w:val="10"/>
              <w:numPr>
                <w:ilvl w:val="0"/>
                <w:numId w:val="45"/>
              </w:numPr>
              <w:tabs>
                <w:tab w:val="left" w:pos="637"/>
              </w:tabs>
              <w:spacing w:before="43" w:after="0" w:line="240" w:lineRule="auto"/>
              <w:ind w:left="636" w:right="0" w:hanging="530"/>
              <w:jc w:val="left"/>
              <w:rPr>
                <w:sz w:val="21"/>
              </w:rPr>
            </w:pPr>
            <w:r>
              <w:rPr>
                <w:spacing w:val="-3"/>
                <w:sz w:val="21"/>
              </w:rPr>
              <w:t>实际接受了心脏瓣膜置换手术；</w:t>
            </w:r>
          </w:p>
          <w:p>
            <w:pPr>
              <w:pStyle w:val="10"/>
              <w:numPr>
                <w:ilvl w:val="0"/>
                <w:numId w:val="45"/>
              </w:numPr>
              <w:tabs>
                <w:tab w:val="left" w:pos="637"/>
              </w:tabs>
              <w:spacing w:before="43" w:after="0" w:line="278" w:lineRule="auto"/>
              <w:ind w:left="107" w:right="73" w:firstLine="0"/>
              <w:jc w:val="left"/>
              <w:rPr>
                <w:sz w:val="21"/>
              </w:rPr>
            </w:pPr>
            <w:r>
              <w:rPr>
                <w:spacing w:val="-2"/>
                <w:sz w:val="21"/>
              </w:rPr>
              <w:t xml:space="preserve">心脏功能衰竭程度达到美国纽约心脏病学会心功能状态分级 </w:t>
            </w:r>
            <w:r>
              <w:rPr>
                <w:sz w:val="21"/>
              </w:rPr>
              <w:t xml:space="preserve">IV </w:t>
            </w:r>
            <w:r>
              <w:rPr>
                <w:spacing w:val="-5"/>
                <w:sz w:val="21"/>
              </w:rPr>
              <w:t xml:space="preserve">级并持续 </w:t>
            </w:r>
            <w:r>
              <w:rPr>
                <w:sz w:val="21"/>
              </w:rPr>
              <w:t>180</w:t>
            </w:r>
            <w:r>
              <w:rPr>
                <w:spacing w:val="-9"/>
                <w:sz w:val="21"/>
              </w:rPr>
              <w:t xml:space="preserve"> 天；</w:t>
            </w:r>
          </w:p>
          <w:p>
            <w:pPr>
              <w:pStyle w:val="10"/>
              <w:numPr>
                <w:ilvl w:val="0"/>
                <w:numId w:val="45"/>
              </w:numPr>
              <w:tabs>
                <w:tab w:val="left" w:pos="637"/>
              </w:tabs>
              <w:spacing w:before="0" w:after="0" w:line="269" w:lineRule="exact"/>
              <w:ind w:left="636" w:right="0" w:hanging="530"/>
              <w:jc w:val="left"/>
              <w:rPr>
                <w:sz w:val="21"/>
              </w:rPr>
            </w:pPr>
            <w:r>
              <w:rPr>
                <w:spacing w:val="-3"/>
                <w:sz w:val="21"/>
              </w:rPr>
              <w:t>并发动脉栓塞导致脑梗塞、肾梗塞或心肌梗塞。</w:t>
            </w:r>
          </w:p>
          <w:p>
            <w:pPr>
              <w:pStyle w:val="10"/>
              <w:spacing w:before="43"/>
              <w:rPr>
                <w:rFonts w:ascii="黑体" w:eastAsia="黑体"/>
                <w:sz w:val="21"/>
              </w:rPr>
            </w:pPr>
            <w:r>
              <w:rPr>
                <w:rFonts w:ascii="黑体" w:eastAsia="黑体"/>
                <w:color w:val="000000"/>
                <w:spacing w:val="-3"/>
                <w:sz w:val="21"/>
                <w:shd w:val="clear" w:color="auto" w:fill="D9D9D9"/>
              </w:rPr>
              <w:t>药物滥用者所患感染性心内膜炎不在保障范围内。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44" w:hRule="atLeast"/>
        </w:trPr>
        <w:tc>
          <w:tcPr>
            <w:tcW w:w="1090" w:type="dxa"/>
            <w:tcBorders>
              <w:left w:val="single" w:color="000000" w:sz="12" w:space="0"/>
            </w:tcBorders>
          </w:tcPr>
          <w:p>
            <w:pPr>
              <w:pStyle w:val="10"/>
              <w:ind w:left="323" w:right="294"/>
              <w:jc w:val="center"/>
              <w:rPr>
                <w:sz w:val="21"/>
              </w:rPr>
            </w:pPr>
            <w:r>
              <w:rPr>
                <w:spacing w:val="-5"/>
                <w:sz w:val="21"/>
              </w:rPr>
              <w:t>31</w:t>
            </w:r>
          </w:p>
        </w:tc>
        <w:tc>
          <w:tcPr>
            <w:tcW w:w="2194" w:type="dxa"/>
          </w:tcPr>
          <w:p>
            <w:pPr>
              <w:pStyle w:val="10"/>
              <w:ind w:left="119"/>
              <w:rPr>
                <w:sz w:val="21"/>
              </w:rPr>
            </w:pPr>
            <w:r>
              <w:rPr>
                <w:spacing w:val="-3"/>
                <w:sz w:val="21"/>
              </w:rPr>
              <w:t>严重急性主动脉夹层</w:t>
            </w:r>
          </w:p>
        </w:tc>
        <w:tc>
          <w:tcPr>
            <w:tcW w:w="6656" w:type="dxa"/>
            <w:tcBorders>
              <w:right w:val="single" w:color="000000" w:sz="12" w:space="0"/>
            </w:tcBorders>
          </w:tcPr>
          <w:p>
            <w:pPr>
              <w:pStyle w:val="10"/>
              <w:spacing w:line="278" w:lineRule="auto"/>
              <w:ind w:right="73"/>
              <w:jc w:val="both"/>
              <w:rPr>
                <w:sz w:val="21"/>
              </w:rPr>
            </w:pPr>
            <w:r>
              <w:rPr>
                <w:spacing w:val="-4"/>
                <w:sz w:val="21"/>
              </w:rPr>
              <w:t>指主动脉壁在受到某些病理因素破坏后，高速、高压的主动脉血流将其</w:t>
            </w:r>
            <w:r>
              <w:rPr>
                <w:spacing w:val="-11"/>
                <w:sz w:val="21"/>
              </w:rPr>
              <w:t>内膜撕裂，以致主动脉腔内的血流通过主动脉内膜的破裂口进入主动脉</w:t>
            </w:r>
            <w:r>
              <w:rPr>
                <w:spacing w:val="-4"/>
                <w:sz w:val="21"/>
              </w:rPr>
              <w:t>内壁而形成血肿。急性主动脉夹层血肿必须明确诊断，并且满足下列所有条件：</w:t>
            </w:r>
          </w:p>
          <w:p>
            <w:pPr>
              <w:pStyle w:val="10"/>
              <w:numPr>
                <w:ilvl w:val="0"/>
                <w:numId w:val="46"/>
              </w:numPr>
              <w:tabs>
                <w:tab w:val="left" w:pos="637"/>
              </w:tabs>
              <w:spacing w:before="0" w:after="0" w:line="240" w:lineRule="auto"/>
              <w:ind w:left="636" w:right="0" w:hanging="530"/>
              <w:jc w:val="left"/>
              <w:rPr>
                <w:sz w:val="21"/>
              </w:rPr>
            </w:pPr>
            <w:r>
              <w:rPr>
                <w:spacing w:val="-3"/>
                <w:sz w:val="21"/>
              </w:rPr>
              <w:t>有典型的临床表现；</w:t>
            </w:r>
          </w:p>
          <w:p>
            <w:pPr>
              <w:pStyle w:val="10"/>
              <w:numPr>
                <w:ilvl w:val="0"/>
                <w:numId w:val="46"/>
              </w:numPr>
              <w:tabs>
                <w:tab w:val="left" w:pos="637"/>
              </w:tabs>
              <w:spacing w:before="43" w:after="0" w:line="240" w:lineRule="auto"/>
              <w:ind w:left="636" w:right="0" w:hanging="530"/>
              <w:jc w:val="left"/>
              <w:rPr>
                <w:sz w:val="21"/>
              </w:rPr>
            </w:pPr>
            <w:r>
              <w:rPr>
                <w:spacing w:val="-3"/>
                <w:sz w:val="21"/>
              </w:rPr>
              <w:t>有影像学检查证据支持诊断；</w:t>
            </w:r>
          </w:p>
          <w:p>
            <w:pPr>
              <w:pStyle w:val="10"/>
              <w:numPr>
                <w:ilvl w:val="0"/>
                <w:numId w:val="46"/>
              </w:numPr>
              <w:tabs>
                <w:tab w:val="left" w:pos="637"/>
              </w:tabs>
              <w:spacing w:before="43" w:after="0" w:line="278" w:lineRule="auto"/>
              <w:ind w:left="107" w:right="74" w:firstLine="0"/>
              <w:jc w:val="left"/>
              <w:rPr>
                <w:sz w:val="21"/>
              </w:rPr>
            </w:pPr>
            <w:r>
              <w:rPr>
                <w:spacing w:val="-2"/>
                <w:sz w:val="21"/>
              </w:rPr>
              <w:t>被保险人在主动脉夹层急性期内（发病≤14</w:t>
            </w:r>
            <w:r>
              <w:rPr>
                <w:spacing w:val="-23"/>
                <w:sz w:val="21"/>
              </w:rPr>
              <w:t xml:space="preserve"> 天</w:t>
            </w:r>
            <w:r>
              <w:rPr>
                <w:spacing w:val="-2"/>
                <w:sz w:val="21"/>
              </w:rPr>
              <w:t>）实际接受了主动脉手术治疗，包括开胸或开腹主动脉手术及主动脉夹层腔内治疗。</w:t>
            </w:r>
          </w:p>
          <w:p>
            <w:pPr>
              <w:pStyle w:val="10"/>
              <w:spacing w:before="0" w:line="278" w:lineRule="auto"/>
              <w:ind w:right="160"/>
              <w:rPr>
                <w:rFonts w:ascii="黑体" w:hAnsi="黑体" w:eastAsia="黑体"/>
                <w:sz w:val="21"/>
              </w:rPr>
            </w:pPr>
            <w:r>
              <w:rPr>
                <w:rFonts w:ascii="黑体" w:hAnsi="黑体" w:eastAsia="黑体"/>
                <w:color w:val="000000"/>
                <w:sz w:val="21"/>
                <w:shd w:val="clear" w:color="auto" w:fill="D9D9D9"/>
              </w:rPr>
              <w:t>慢性期（发病≥14</w:t>
            </w:r>
            <w:r>
              <w:rPr>
                <w:rFonts w:ascii="黑体" w:hAnsi="黑体" w:eastAsia="黑体"/>
                <w:color w:val="000000"/>
                <w:spacing w:val="-28"/>
                <w:sz w:val="21"/>
                <w:shd w:val="clear" w:color="auto" w:fill="D9D9D9"/>
              </w:rPr>
              <w:t xml:space="preserve"> 天</w:t>
            </w:r>
            <w:r>
              <w:rPr>
                <w:rFonts w:ascii="黑体" w:hAnsi="黑体" w:eastAsia="黑体"/>
                <w:color w:val="000000"/>
                <w:sz w:val="21"/>
                <w:shd w:val="clear" w:color="auto" w:fill="D9D9D9"/>
              </w:rPr>
              <w:t>）主动脉夹层择期手术及腔内治疗不在保障范围</w:t>
            </w:r>
            <w:r>
              <w:rPr>
                <w:rFonts w:ascii="黑体" w:hAnsi="黑体" w:eastAsia="黑体"/>
                <w:color w:val="000000"/>
                <w:spacing w:val="-6"/>
                <w:sz w:val="21"/>
                <w:shd w:val="clear" w:color="auto" w:fill="D9D9D9"/>
              </w:rPr>
              <w:t>内。</w:t>
            </w:r>
          </w:p>
          <w:p>
            <w:pPr>
              <w:pStyle w:val="10"/>
              <w:spacing w:before="0" w:line="269" w:lineRule="exact"/>
              <w:rPr>
                <w:rFonts w:ascii="黑体" w:eastAsia="黑体"/>
                <w:sz w:val="21"/>
              </w:rPr>
            </w:pPr>
            <w:r>
              <w:rPr>
                <w:rFonts w:ascii="黑体" w:eastAsia="黑体"/>
                <w:color w:val="000000"/>
                <w:spacing w:val="-4"/>
                <w:sz w:val="21"/>
                <w:shd w:val="clear" w:color="auto" w:fill="D9D9D9"/>
              </w:rPr>
              <w:t>主动脉指升主动脉、主动脉弓和降主动脉(含胸主动脉和腹主动脉</w:t>
            </w:r>
            <w:r>
              <w:rPr>
                <w:rFonts w:ascii="黑体" w:eastAsia="黑体"/>
                <w:color w:val="000000"/>
                <w:spacing w:val="-72"/>
                <w:sz w:val="21"/>
                <w:shd w:val="clear" w:color="auto" w:fill="D9D9D9"/>
              </w:rPr>
              <w:t>）</w:t>
            </w:r>
            <w:r>
              <w:rPr>
                <w:rFonts w:ascii="黑体" w:eastAsia="黑体"/>
                <w:color w:val="000000"/>
                <w:spacing w:val="-41"/>
                <w:sz w:val="21"/>
                <w:shd w:val="clear" w:color="auto" w:fill="D9D9D9"/>
              </w:rPr>
              <w:t>，不</w:t>
            </w:r>
          </w:p>
          <w:p>
            <w:pPr>
              <w:pStyle w:val="10"/>
              <w:spacing w:before="42"/>
              <w:rPr>
                <w:rFonts w:ascii="黑体" w:eastAsia="黑体"/>
                <w:sz w:val="21"/>
              </w:rPr>
            </w:pPr>
            <w:r>
              <w:rPr>
                <w:rFonts w:ascii="黑体" w:eastAsia="黑体"/>
                <w:color w:val="000000"/>
                <w:spacing w:val="-3"/>
                <w:sz w:val="21"/>
                <w:shd w:val="clear" w:color="auto" w:fill="D9D9D9"/>
              </w:rPr>
              <w:t>包括升主动脉、主动脉弓和降主动脉的分支血管。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86" w:hRule="atLeast"/>
        </w:trPr>
        <w:tc>
          <w:tcPr>
            <w:tcW w:w="1090" w:type="dxa"/>
            <w:tcBorders>
              <w:left w:val="single" w:color="000000" w:sz="12" w:space="0"/>
            </w:tcBorders>
          </w:tcPr>
          <w:p>
            <w:pPr>
              <w:pStyle w:val="10"/>
              <w:spacing w:before="18"/>
              <w:ind w:left="323" w:right="294"/>
              <w:jc w:val="center"/>
              <w:rPr>
                <w:sz w:val="21"/>
              </w:rPr>
            </w:pPr>
            <w:r>
              <w:rPr>
                <w:spacing w:val="-5"/>
                <w:sz w:val="21"/>
              </w:rPr>
              <w:t>32</w:t>
            </w:r>
          </w:p>
        </w:tc>
        <w:tc>
          <w:tcPr>
            <w:tcW w:w="2194" w:type="dxa"/>
          </w:tcPr>
          <w:p>
            <w:pPr>
              <w:pStyle w:val="10"/>
              <w:spacing w:before="18"/>
              <w:ind w:left="119"/>
              <w:rPr>
                <w:sz w:val="21"/>
              </w:rPr>
            </w:pPr>
            <w:r>
              <w:rPr>
                <w:spacing w:val="-4"/>
                <w:sz w:val="21"/>
              </w:rPr>
              <w:t>严重心肌炎</w:t>
            </w:r>
          </w:p>
        </w:tc>
        <w:tc>
          <w:tcPr>
            <w:tcW w:w="6656" w:type="dxa"/>
            <w:tcBorders>
              <w:right w:val="single" w:color="000000" w:sz="12" w:space="0"/>
            </w:tcBorders>
          </w:tcPr>
          <w:p>
            <w:pPr>
              <w:pStyle w:val="10"/>
              <w:spacing w:before="18" w:line="278" w:lineRule="auto"/>
              <w:ind w:right="210"/>
              <w:rPr>
                <w:sz w:val="21"/>
              </w:rPr>
            </w:pPr>
            <w:r>
              <w:rPr>
                <w:spacing w:val="-2"/>
                <w:sz w:val="21"/>
              </w:rPr>
              <w:t>指被保人因严重心肌炎症性病变导致心功能损害造成持续的永久不可逆性的心功能衰竭。必须满足下列所有条件：</w:t>
            </w:r>
          </w:p>
          <w:p>
            <w:pPr>
              <w:pStyle w:val="10"/>
              <w:numPr>
                <w:ilvl w:val="0"/>
                <w:numId w:val="47"/>
              </w:numPr>
              <w:tabs>
                <w:tab w:val="left" w:pos="637"/>
              </w:tabs>
              <w:spacing w:before="0" w:after="0" w:line="278" w:lineRule="auto"/>
              <w:ind w:left="107" w:right="107" w:firstLine="0"/>
              <w:jc w:val="left"/>
              <w:rPr>
                <w:sz w:val="21"/>
              </w:rPr>
            </w:pPr>
            <w:r>
              <w:rPr>
                <w:spacing w:val="-2"/>
                <w:sz w:val="21"/>
              </w:rPr>
              <w:t xml:space="preserve">心功能衰竭程度达到纽约心脏病学会的心功能分级标准之心功能 </w:t>
            </w:r>
            <w:r>
              <w:rPr>
                <w:sz w:val="21"/>
              </w:rPr>
              <w:t>IV</w:t>
            </w:r>
            <w:r>
              <w:rPr>
                <w:spacing w:val="-7"/>
                <w:sz w:val="21"/>
              </w:rPr>
              <w:t xml:space="preserve"> 级，或左室射血分数低于 </w:t>
            </w:r>
            <w:r>
              <w:rPr>
                <w:sz w:val="21"/>
              </w:rPr>
              <w:t>30%；</w:t>
            </w:r>
          </w:p>
          <w:p>
            <w:pPr>
              <w:pStyle w:val="10"/>
              <w:numPr>
                <w:ilvl w:val="0"/>
                <w:numId w:val="47"/>
              </w:numPr>
              <w:tabs>
                <w:tab w:val="left" w:pos="637"/>
              </w:tabs>
              <w:spacing w:before="0" w:after="0" w:line="240" w:lineRule="auto"/>
              <w:ind w:left="636" w:right="0" w:hanging="530"/>
              <w:jc w:val="left"/>
              <w:rPr>
                <w:sz w:val="21"/>
              </w:rPr>
            </w:pPr>
            <w:r>
              <w:rPr>
                <w:spacing w:val="-11"/>
                <w:sz w:val="21"/>
              </w:rPr>
              <w:t xml:space="preserve">持续不间断 </w:t>
            </w:r>
            <w:r>
              <w:rPr>
                <w:spacing w:val="-2"/>
                <w:sz w:val="21"/>
              </w:rPr>
              <w:t>180</w:t>
            </w:r>
            <w:r>
              <w:rPr>
                <w:spacing w:val="-14"/>
                <w:sz w:val="21"/>
              </w:rPr>
              <w:t xml:space="preserve"> 天以上；</w:t>
            </w:r>
          </w:p>
          <w:p>
            <w:pPr>
              <w:pStyle w:val="10"/>
              <w:numPr>
                <w:ilvl w:val="0"/>
                <w:numId w:val="47"/>
              </w:numPr>
              <w:tabs>
                <w:tab w:val="left" w:pos="637"/>
              </w:tabs>
              <w:spacing w:before="2" w:after="0" w:line="310" w:lineRule="atLeast"/>
              <w:ind w:left="107" w:right="107" w:firstLine="0"/>
              <w:jc w:val="left"/>
              <w:rPr>
                <w:sz w:val="21"/>
              </w:rPr>
            </w:pPr>
            <w:r>
              <w:rPr>
                <w:spacing w:val="-2"/>
                <w:sz w:val="21"/>
              </w:rPr>
              <w:t>被保险人永久不可逆性的体力活动能力受限，不能从事任何体力</w:t>
            </w:r>
            <w:r>
              <w:rPr>
                <w:spacing w:val="-4"/>
                <w:sz w:val="21"/>
              </w:rPr>
              <w:t>活动。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090" w:type="dxa"/>
            <w:tcBorders>
              <w:left w:val="single" w:color="000000" w:sz="12" w:space="0"/>
            </w:tcBorders>
          </w:tcPr>
          <w:p>
            <w:pPr>
              <w:pStyle w:val="10"/>
              <w:ind w:left="323" w:right="294"/>
              <w:jc w:val="center"/>
              <w:rPr>
                <w:sz w:val="21"/>
              </w:rPr>
            </w:pPr>
            <w:r>
              <w:rPr>
                <w:spacing w:val="-5"/>
                <w:sz w:val="21"/>
              </w:rPr>
              <w:t>33</w:t>
            </w:r>
          </w:p>
        </w:tc>
        <w:tc>
          <w:tcPr>
            <w:tcW w:w="2194" w:type="dxa"/>
          </w:tcPr>
          <w:p>
            <w:pPr>
              <w:pStyle w:val="10"/>
              <w:ind w:left="119"/>
              <w:rPr>
                <w:sz w:val="21"/>
              </w:rPr>
            </w:pPr>
            <w:r>
              <w:rPr>
                <w:spacing w:val="-3"/>
                <w:sz w:val="21"/>
              </w:rPr>
              <w:t>心脏粘液瘤手术切除</w:t>
            </w:r>
          </w:p>
        </w:tc>
        <w:tc>
          <w:tcPr>
            <w:tcW w:w="6656" w:type="dxa"/>
            <w:tcBorders>
              <w:right w:val="single" w:color="000000" w:sz="12" w:space="0"/>
            </w:tcBorders>
          </w:tcPr>
          <w:p>
            <w:pPr>
              <w:pStyle w:val="10"/>
              <w:rPr>
                <w:sz w:val="21"/>
              </w:rPr>
            </w:pPr>
            <w:r>
              <w:rPr>
                <w:spacing w:val="-3"/>
                <w:sz w:val="21"/>
              </w:rPr>
              <w:t>指为了治疗心脏粘液瘤，实际实施了开胸开心心脏粘液瘤切除手术。</w:t>
            </w:r>
          </w:p>
          <w:p>
            <w:pPr>
              <w:pStyle w:val="10"/>
              <w:spacing w:before="43"/>
              <w:rPr>
                <w:rFonts w:ascii="黑体" w:eastAsia="黑体"/>
                <w:sz w:val="21"/>
              </w:rPr>
            </w:pPr>
            <w:r>
              <w:rPr>
                <w:rFonts w:ascii="黑体" w:eastAsia="黑体"/>
                <w:color w:val="000000"/>
                <w:spacing w:val="-3"/>
                <w:sz w:val="21"/>
                <w:shd w:val="clear" w:color="auto" w:fill="D9D9D9"/>
              </w:rPr>
              <w:t>经导管介入手术治疗不在保障范围内。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7" w:hRule="atLeast"/>
        </w:trPr>
        <w:tc>
          <w:tcPr>
            <w:tcW w:w="1090" w:type="dxa"/>
            <w:tcBorders>
              <w:left w:val="single" w:color="000000" w:sz="12" w:space="0"/>
            </w:tcBorders>
          </w:tcPr>
          <w:p>
            <w:pPr>
              <w:pStyle w:val="10"/>
              <w:ind w:left="323" w:right="294"/>
              <w:jc w:val="center"/>
              <w:rPr>
                <w:sz w:val="21"/>
              </w:rPr>
            </w:pPr>
            <w:r>
              <w:rPr>
                <w:spacing w:val="-5"/>
                <w:sz w:val="21"/>
              </w:rPr>
              <w:t>34</w:t>
            </w:r>
          </w:p>
        </w:tc>
        <w:tc>
          <w:tcPr>
            <w:tcW w:w="2194" w:type="dxa"/>
          </w:tcPr>
          <w:p>
            <w:pPr>
              <w:pStyle w:val="10"/>
              <w:ind w:left="119"/>
              <w:rPr>
                <w:sz w:val="21"/>
              </w:rPr>
            </w:pPr>
            <w:r>
              <w:rPr>
                <w:spacing w:val="-3"/>
                <w:sz w:val="21"/>
              </w:rPr>
              <w:t>完全性房室传导阻滞</w:t>
            </w:r>
          </w:p>
        </w:tc>
        <w:tc>
          <w:tcPr>
            <w:tcW w:w="6656" w:type="dxa"/>
            <w:tcBorders>
              <w:right w:val="single" w:color="000000" w:sz="12" w:space="0"/>
            </w:tcBorders>
          </w:tcPr>
          <w:p>
            <w:pPr>
              <w:pStyle w:val="10"/>
              <w:spacing w:line="278" w:lineRule="auto"/>
              <w:ind w:right="73"/>
              <w:jc w:val="both"/>
              <w:rPr>
                <w:sz w:val="21"/>
              </w:rPr>
            </w:pPr>
            <w:r>
              <w:rPr>
                <w:spacing w:val="-6"/>
                <w:sz w:val="21"/>
              </w:rPr>
              <w:t>指因慢性心脏疾病导致完全性房室传导阻滞。完全性房室传导阻滞是心</w:t>
            </w:r>
            <w:r>
              <w:rPr>
                <w:spacing w:val="-4"/>
                <w:sz w:val="21"/>
              </w:rPr>
              <w:t>房的激动不能正常地传导到心室，造成心室率过于缓慢，出现心力衰竭</w:t>
            </w:r>
            <w:r>
              <w:rPr>
                <w:spacing w:val="-3"/>
                <w:sz w:val="21"/>
              </w:rPr>
              <w:t>和因大脑供血不足导致的晕厥、阿-斯综合征。必须明确诊断并且满足</w:t>
            </w:r>
          </w:p>
          <w:p>
            <w:pPr>
              <w:pStyle w:val="10"/>
              <w:spacing w:before="0" w:line="269" w:lineRule="exact"/>
              <w:rPr>
                <w:sz w:val="21"/>
              </w:rPr>
            </w:pPr>
            <w:r>
              <w:rPr>
                <w:spacing w:val="-4"/>
                <w:sz w:val="21"/>
              </w:rPr>
              <w:t>下列所有条件：</w:t>
            </w:r>
          </w:p>
        </w:tc>
      </w:tr>
    </w:tbl>
    <w:p>
      <w:pPr>
        <w:spacing w:after="0" w:line="269" w:lineRule="exact"/>
        <w:rPr>
          <w:sz w:val="21"/>
        </w:rPr>
        <w:sectPr>
          <w:type w:val="continuous"/>
          <w:pgSz w:w="11910" w:h="16840"/>
          <w:pgMar w:top="840" w:right="340" w:bottom="640" w:left="800" w:header="0" w:footer="457" w:gutter="0"/>
          <w:cols w:space="720" w:num="1"/>
        </w:sectPr>
      </w:pPr>
    </w:p>
    <w:tbl>
      <w:tblPr>
        <w:tblStyle w:val="6"/>
        <w:tblW w:w="0" w:type="auto"/>
        <w:tblInd w:w="22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90"/>
        <w:gridCol w:w="2194"/>
        <w:gridCol w:w="66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7" w:hRule="atLeast"/>
        </w:trPr>
        <w:tc>
          <w:tcPr>
            <w:tcW w:w="1090" w:type="dxa"/>
            <w:tcBorders>
              <w:left w:val="single" w:color="000000" w:sz="12" w:space="0"/>
            </w:tcBorders>
          </w:tcPr>
          <w:p>
            <w:pPr>
              <w:pStyle w:val="10"/>
              <w:spacing w:before="0"/>
              <w:ind w:left="0"/>
              <w:rPr>
                <w:rFonts w:ascii="Times New Roman"/>
                <w:sz w:val="20"/>
              </w:rPr>
            </w:pPr>
          </w:p>
        </w:tc>
        <w:tc>
          <w:tcPr>
            <w:tcW w:w="2194" w:type="dxa"/>
          </w:tcPr>
          <w:p>
            <w:pPr>
              <w:pStyle w:val="10"/>
              <w:spacing w:before="0"/>
              <w:ind w:left="0"/>
              <w:rPr>
                <w:rFonts w:ascii="Times New Roman"/>
                <w:sz w:val="20"/>
              </w:rPr>
            </w:pPr>
          </w:p>
        </w:tc>
        <w:tc>
          <w:tcPr>
            <w:tcW w:w="6656" w:type="dxa"/>
            <w:tcBorders>
              <w:right w:val="single" w:color="000000" w:sz="12" w:space="0"/>
            </w:tcBorders>
          </w:tcPr>
          <w:p>
            <w:pPr>
              <w:pStyle w:val="10"/>
              <w:numPr>
                <w:ilvl w:val="0"/>
                <w:numId w:val="48"/>
              </w:numPr>
              <w:tabs>
                <w:tab w:val="left" w:pos="637"/>
              </w:tabs>
              <w:spacing w:before="16" w:after="0" w:line="240" w:lineRule="auto"/>
              <w:ind w:left="636" w:right="0" w:hanging="530"/>
              <w:jc w:val="left"/>
              <w:rPr>
                <w:sz w:val="21"/>
              </w:rPr>
            </w:pPr>
            <w:r>
              <w:rPr>
                <w:spacing w:val="-3"/>
                <w:sz w:val="21"/>
              </w:rPr>
              <w:t>患有慢性心脏疾病；</w:t>
            </w:r>
          </w:p>
          <w:p>
            <w:pPr>
              <w:pStyle w:val="10"/>
              <w:numPr>
                <w:ilvl w:val="0"/>
                <w:numId w:val="48"/>
              </w:numPr>
              <w:tabs>
                <w:tab w:val="left" w:pos="637"/>
              </w:tabs>
              <w:spacing w:before="43" w:after="0" w:line="240" w:lineRule="auto"/>
              <w:ind w:left="636" w:right="0" w:hanging="530"/>
              <w:jc w:val="left"/>
              <w:rPr>
                <w:sz w:val="21"/>
              </w:rPr>
            </w:pPr>
            <w:r>
              <w:rPr>
                <w:spacing w:val="-3"/>
                <w:sz w:val="21"/>
              </w:rPr>
              <w:t>曾经有晕厥、阿-斯综合征发作；</w:t>
            </w:r>
          </w:p>
          <w:p>
            <w:pPr>
              <w:pStyle w:val="10"/>
              <w:numPr>
                <w:ilvl w:val="0"/>
                <w:numId w:val="48"/>
              </w:numPr>
              <w:tabs>
                <w:tab w:val="left" w:pos="637"/>
              </w:tabs>
              <w:spacing w:before="43" w:after="0" w:line="240" w:lineRule="auto"/>
              <w:ind w:left="636" w:right="0" w:hanging="530"/>
              <w:jc w:val="left"/>
              <w:rPr>
                <w:sz w:val="21"/>
              </w:rPr>
            </w:pPr>
            <w:r>
              <w:rPr>
                <w:spacing w:val="-4"/>
                <w:sz w:val="21"/>
              </w:rPr>
              <w:t xml:space="preserve">心电图表现为持续室性逸搏心律，心室率持续低于 </w:t>
            </w:r>
            <w:r>
              <w:rPr>
                <w:spacing w:val="-2"/>
                <w:sz w:val="21"/>
              </w:rPr>
              <w:t>40</w:t>
            </w:r>
            <w:r>
              <w:rPr>
                <w:spacing w:val="-13"/>
                <w:sz w:val="21"/>
              </w:rPr>
              <w:t xml:space="preserve"> 次/分；</w:t>
            </w:r>
          </w:p>
          <w:p>
            <w:pPr>
              <w:pStyle w:val="10"/>
              <w:numPr>
                <w:ilvl w:val="0"/>
                <w:numId w:val="48"/>
              </w:numPr>
              <w:tabs>
                <w:tab w:val="left" w:pos="637"/>
              </w:tabs>
              <w:spacing w:before="43" w:after="0" w:line="240" w:lineRule="auto"/>
              <w:ind w:left="636" w:right="0" w:hanging="530"/>
              <w:jc w:val="left"/>
              <w:rPr>
                <w:sz w:val="21"/>
              </w:rPr>
            </w:pPr>
            <w:r>
              <w:rPr>
                <w:spacing w:val="-3"/>
                <w:sz w:val="21"/>
              </w:rPr>
              <w:t>已经植入永久性心脏起搏器。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5" w:hRule="atLeast"/>
        </w:trPr>
        <w:tc>
          <w:tcPr>
            <w:tcW w:w="1090" w:type="dxa"/>
            <w:tcBorders>
              <w:left w:val="single" w:color="000000" w:sz="12" w:space="0"/>
            </w:tcBorders>
          </w:tcPr>
          <w:p>
            <w:pPr>
              <w:pStyle w:val="10"/>
              <w:ind w:left="323" w:right="294"/>
              <w:jc w:val="center"/>
              <w:rPr>
                <w:sz w:val="21"/>
              </w:rPr>
            </w:pPr>
            <w:r>
              <w:rPr>
                <w:spacing w:val="-5"/>
                <w:sz w:val="21"/>
              </w:rPr>
              <w:t>35</w:t>
            </w:r>
          </w:p>
        </w:tc>
        <w:tc>
          <w:tcPr>
            <w:tcW w:w="2194" w:type="dxa"/>
          </w:tcPr>
          <w:p>
            <w:pPr>
              <w:pStyle w:val="10"/>
              <w:spacing w:line="278" w:lineRule="auto"/>
              <w:ind w:left="119" w:right="82"/>
              <w:jc w:val="both"/>
              <w:rPr>
                <w:sz w:val="21"/>
              </w:rPr>
            </w:pPr>
            <w:r>
              <w:rPr>
                <w:sz w:val="21"/>
              </w:rPr>
              <w:t>头臂动脉型多发性大动脉炎开胸旁路移植</w:t>
            </w:r>
            <w:r>
              <w:rPr>
                <w:spacing w:val="-6"/>
                <w:sz w:val="21"/>
              </w:rPr>
              <w:t>手术</w:t>
            </w:r>
          </w:p>
        </w:tc>
        <w:tc>
          <w:tcPr>
            <w:tcW w:w="6656" w:type="dxa"/>
            <w:tcBorders>
              <w:right w:val="single" w:color="000000" w:sz="12" w:space="0"/>
            </w:tcBorders>
          </w:tcPr>
          <w:p>
            <w:pPr>
              <w:pStyle w:val="10"/>
              <w:spacing w:line="278" w:lineRule="auto"/>
              <w:ind w:right="73"/>
              <w:rPr>
                <w:sz w:val="21"/>
              </w:rPr>
            </w:pPr>
            <w:r>
              <w:rPr>
                <w:spacing w:val="-8"/>
                <w:w w:val="100"/>
                <w:sz w:val="21"/>
              </w:rPr>
              <w:t>多发性大动脉炎</w:t>
            </w:r>
            <w:r>
              <w:rPr>
                <w:w w:val="100"/>
                <w:sz w:val="21"/>
              </w:rPr>
              <w:t>（</w:t>
            </w:r>
            <w:r>
              <w:rPr>
                <w:spacing w:val="-3"/>
                <w:w w:val="100"/>
                <w:sz w:val="21"/>
              </w:rPr>
              <w:t>高安氏动脉炎</w:t>
            </w:r>
            <w:r>
              <w:rPr>
                <w:spacing w:val="-36"/>
                <w:w w:val="100"/>
                <w:sz w:val="21"/>
              </w:rPr>
              <w:t>）</w:t>
            </w:r>
            <w:r>
              <w:rPr>
                <w:spacing w:val="-3"/>
                <w:w w:val="100"/>
                <w:sz w:val="21"/>
              </w:rPr>
              <w:t>是一种发生在主动脉和其主要分支的</w:t>
            </w:r>
            <w:r>
              <w:rPr>
                <w:spacing w:val="-9"/>
                <w:w w:val="100"/>
                <w:sz w:val="21"/>
              </w:rPr>
              <w:t>慢性炎症性动脉疾病，表现为受累动脉狭窄或闭塞。头臂动脉型多发性</w:t>
            </w:r>
            <w:r>
              <w:rPr>
                <w:spacing w:val="-13"/>
                <w:w w:val="100"/>
                <w:sz w:val="21"/>
              </w:rPr>
              <w:t>大动脉炎</w:t>
            </w:r>
            <w:r>
              <w:rPr>
                <w:spacing w:val="-3"/>
                <w:w w:val="100"/>
                <w:sz w:val="21"/>
              </w:rPr>
              <w:t>（主动脉综合征</w:t>
            </w:r>
            <w:r>
              <w:rPr>
                <w:spacing w:val="-25"/>
                <w:w w:val="100"/>
                <w:sz w:val="21"/>
              </w:rPr>
              <w:t>）</w:t>
            </w:r>
            <w:r>
              <w:rPr>
                <w:spacing w:val="-5"/>
                <w:w w:val="100"/>
                <w:sz w:val="21"/>
              </w:rPr>
              <w:t>可引起脑部及上肢缺血。被保险人被明确诊</w:t>
            </w:r>
            <w:r>
              <w:rPr>
                <w:spacing w:val="-4"/>
                <w:w w:val="100"/>
                <w:sz w:val="21"/>
              </w:rPr>
              <w:t>断为头臂动脉型多发性大动脉炎并且实际接受了经胸部切开进行的无名动脉</w:t>
            </w:r>
            <w:r>
              <w:rPr>
                <w:w w:val="100"/>
                <w:sz w:val="21"/>
              </w:rPr>
              <w:t>（</w:t>
            </w:r>
            <w:r>
              <w:rPr>
                <w:spacing w:val="-3"/>
                <w:w w:val="100"/>
                <w:sz w:val="21"/>
              </w:rPr>
              <w:t>头臂干</w:t>
            </w:r>
            <w:r>
              <w:rPr>
                <w:spacing w:val="-106"/>
                <w:w w:val="100"/>
                <w:sz w:val="21"/>
              </w:rPr>
              <w:t>）</w:t>
            </w:r>
            <w:r>
              <w:rPr>
                <w:spacing w:val="-3"/>
                <w:w w:val="100"/>
                <w:sz w:val="21"/>
              </w:rPr>
              <w:t>、颈总动脉、锁骨下动脉旁路移植手术。</w:t>
            </w:r>
          </w:p>
          <w:p>
            <w:pPr>
              <w:pStyle w:val="10"/>
              <w:spacing w:before="0" w:line="278" w:lineRule="auto"/>
              <w:ind w:right="73"/>
              <w:rPr>
                <w:rFonts w:ascii="黑体" w:eastAsia="黑体"/>
                <w:sz w:val="21"/>
              </w:rPr>
            </w:pPr>
            <w:r>
              <w:rPr>
                <w:rFonts w:ascii="黑体" w:eastAsia="黑体"/>
                <w:color w:val="000000"/>
                <w:spacing w:val="-4"/>
                <w:sz w:val="21"/>
                <w:shd w:val="clear" w:color="auto" w:fill="D9D9D9"/>
              </w:rPr>
              <w:t>非开胸的血管旁路移植手术、因其他病因而进行的旁路移植手术，对其</w:t>
            </w:r>
            <w:r>
              <w:rPr>
                <w:rFonts w:ascii="黑体" w:eastAsia="黑体"/>
                <w:color w:val="000000"/>
                <w:spacing w:val="80"/>
                <w:w w:val="150"/>
                <w:sz w:val="21"/>
                <w:shd w:val="clear" w:color="auto" w:fill="D9D9D9"/>
              </w:rPr>
              <w:t xml:space="preserve">                                   </w:t>
            </w:r>
            <w:r>
              <w:rPr>
                <w:rFonts w:ascii="黑体" w:eastAsia="黑体"/>
                <w:color w:val="000000"/>
                <w:spacing w:val="-9"/>
                <w:sz w:val="21"/>
                <w:shd w:val="clear" w:color="auto" w:fill="D9D9D9"/>
              </w:rPr>
              <w:t>他动脉进行的旁路移植手术，经皮经导管进行的血管内手术不在保障范</w:t>
            </w:r>
          </w:p>
          <w:p>
            <w:pPr>
              <w:pStyle w:val="10"/>
              <w:spacing w:before="0" w:line="269" w:lineRule="exact"/>
              <w:rPr>
                <w:rFonts w:ascii="黑体" w:eastAsia="黑体"/>
                <w:sz w:val="21"/>
              </w:rPr>
            </w:pPr>
            <w:r>
              <w:rPr>
                <w:rFonts w:ascii="黑体" w:eastAsia="黑体"/>
                <w:color w:val="000000"/>
                <w:spacing w:val="-4"/>
                <w:sz w:val="21"/>
                <w:shd w:val="clear" w:color="auto" w:fill="D9D9D9"/>
              </w:rPr>
              <w:t>围内。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8" w:hRule="atLeast"/>
        </w:trPr>
        <w:tc>
          <w:tcPr>
            <w:tcW w:w="1090" w:type="dxa"/>
            <w:tcBorders>
              <w:left w:val="single" w:color="000000" w:sz="12" w:space="0"/>
            </w:tcBorders>
          </w:tcPr>
          <w:p>
            <w:pPr>
              <w:pStyle w:val="10"/>
              <w:ind w:left="323" w:right="294"/>
              <w:jc w:val="center"/>
              <w:rPr>
                <w:sz w:val="21"/>
              </w:rPr>
            </w:pPr>
            <w:r>
              <w:rPr>
                <w:spacing w:val="-5"/>
                <w:sz w:val="21"/>
              </w:rPr>
              <w:t>36</w:t>
            </w:r>
          </w:p>
        </w:tc>
        <w:tc>
          <w:tcPr>
            <w:tcW w:w="2194" w:type="dxa"/>
          </w:tcPr>
          <w:p>
            <w:pPr>
              <w:pStyle w:val="10"/>
              <w:ind w:left="119"/>
              <w:rPr>
                <w:sz w:val="21"/>
              </w:rPr>
            </w:pPr>
            <w:r>
              <w:rPr>
                <w:spacing w:val="-4"/>
                <w:sz w:val="21"/>
              </w:rPr>
              <w:t>慢性肺源性心脏病</w:t>
            </w:r>
          </w:p>
        </w:tc>
        <w:tc>
          <w:tcPr>
            <w:tcW w:w="6656" w:type="dxa"/>
            <w:tcBorders>
              <w:right w:val="single" w:color="000000" w:sz="12" w:space="0"/>
            </w:tcBorders>
          </w:tcPr>
          <w:p>
            <w:pPr>
              <w:pStyle w:val="10"/>
              <w:spacing w:line="278" w:lineRule="auto"/>
              <w:ind w:right="73"/>
              <w:rPr>
                <w:sz w:val="21"/>
              </w:rPr>
            </w:pPr>
            <w:r>
              <w:rPr>
                <w:spacing w:val="-3"/>
                <w:w w:val="100"/>
                <w:sz w:val="21"/>
              </w:rPr>
              <w:t>指被保险人因慢性肺部疾病导致慢性肺源性心脏病并且引起慢性心功</w:t>
            </w:r>
            <w:r>
              <w:rPr>
                <w:spacing w:val="-7"/>
                <w:w w:val="100"/>
                <w:sz w:val="21"/>
              </w:rPr>
              <w:t>能损害造成永久不可逆性的心功能衰竭。心功能衰竭程度达到纽约心脏</w:t>
            </w:r>
            <w:r>
              <w:rPr>
                <w:spacing w:val="-5"/>
                <w:w w:val="100"/>
                <w:sz w:val="21"/>
              </w:rPr>
              <w:t>病学会的心功能分级标准之心功能</w:t>
            </w:r>
            <w:r>
              <w:rPr>
                <w:spacing w:val="-53"/>
                <w:sz w:val="21"/>
              </w:rPr>
              <w:t xml:space="preserve"> </w:t>
            </w:r>
            <w:r>
              <w:rPr>
                <w:spacing w:val="-3"/>
                <w:w w:val="100"/>
                <w:sz w:val="21"/>
              </w:rPr>
              <w:t>I</w:t>
            </w:r>
            <w:r>
              <w:rPr>
                <w:w w:val="100"/>
                <w:sz w:val="21"/>
              </w:rPr>
              <w:t>V</w:t>
            </w:r>
            <w:r>
              <w:rPr>
                <w:spacing w:val="-53"/>
                <w:sz w:val="21"/>
              </w:rPr>
              <w:t xml:space="preserve"> </w:t>
            </w:r>
            <w:r>
              <w:rPr>
                <w:spacing w:val="-3"/>
                <w:w w:val="100"/>
                <w:sz w:val="21"/>
              </w:rPr>
              <w:t>级。被保险人永久不可逆性的体</w:t>
            </w:r>
          </w:p>
          <w:p>
            <w:pPr>
              <w:pStyle w:val="10"/>
              <w:spacing w:before="0"/>
              <w:rPr>
                <w:sz w:val="21"/>
              </w:rPr>
            </w:pPr>
            <w:r>
              <w:rPr>
                <w:spacing w:val="-3"/>
                <w:sz w:val="21"/>
              </w:rPr>
              <w:t>力活动能力受限，不能从事任何体力活动。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83" w:hRule="atLeast"/>
        </w:trPr>
        <w:tc>
          <w:tcPr>
            <w:tcW w:w="1090" w:type="dxa"/>
            <w:tcBorders>
              <w:left w:val="single" w:color="000000" w:sz="12" w:space="0"/>
            </w:tcBorders>
          </w:tcPr>
          <w:p>
            <w:pPr>
              <w:pStyle w:val="10"/>
              <w:ind w:left="323" w:right="294"/>
              <w:jc w:val="center"/>
              <w:rPr>
                <w:sz w:val="21"/>
              </w:rPr>
            </w:pPr>
            <w:r>
              <w:rPr>
                <w:spacing w:val="-5"/>
                <w:sz w:val="21"/>
              </w:rPr>
              <w:t>37</w:t>
            </w:r>
          </w:p>
        </w:tc>
        <w:tc>
          <w:tcPr>
            <w:tcW w:w="2194" w:type="dxa"/>
          </w:tcPr>
          <w:p>
            <w:pPr>
              <w:pStyle w:val="10"/>
              <w:ind w:left="119"/>
              <w:rPr>
                <w:sz w:val="21"/>
              </w:rPr>
            </w:pPr>
            <w:r>
              <w:rPr>
                <w:spacing w:val="-4"/>
                <w:sz w:val="21"/>
              </w:rPr>
              <w:t>肺淋巴管肌瘤病</w:t>
            </w:r>
          </w:p>
        </w:tc>
        <w:tc>
          <w:tcPr>
            <w:tcW w:w="6656" w:type="dxa"/>
            <w:tcBorders>
              <w:right w:val="single" w:color="000000" w:sz="12" w:space="0"/>
            </w:tcBorders>
          </w:tcPr>
          <w:p>
            <w:pPr>
              <w:pStyle w:val="10"/>
              <w:spacing w:line="278" w:lineRule="auto"/>
              <w:ind w:right="73"/>
              <w:jc w:val="both"/>
              <w:rPr>
                <w:sz w:val="21"/>
              </w:rPr>
            </w:pPr>
            <w:r>
              <w:rPr>
                <w:spacing w:val="-7"/>
                <w:sz w:val="21"/>
              </w:rPr>
              <w:t>肺淋巴管肌瘤病是一种弥漫性肺部疾病，其特征性病理表现为囊性病变</w:t>
            </w:r>
            <w:r>
              <w:rPr>
                <w:spacing w:val="-5"/>
                <w:sz w:val="21"/>
              </w:rPr>
              <w:t>及不成熟的平滑肌细胞和血管周围上皮细胞异常增生形成多发结节。必</w:t>
            </w:r>
            <w:r>
              <w:rPr>
                <w:spacing w:val="-2"/>
                <w:sz w:val="21"/>
              </w:rPr>
              <w:t>须满足下列所有条件：</w:t>
            </w:r>
          </w:p>
          <w:p>
            <w:pPr>
              <w:pStyle w:val="10"/>
              <w:numPr>
                <w:ilvl w:val="0"/>
                <w:numId w:val="49"/>
              </w:numPr>
              <w:tabs>
                <w:tab w:val="left" w:pos="637"/>
              </w:tabs>
              <w:spacing w:before="0" w:after="0" w:line="269" w:lineRule="exact"/>
              <w:ind w:left="636" w:right="0" w:hanging="530"/>
              <w:jc w:val="left"/>
              <w:rPr>
                <w:sz w:val="21"/>
              </w:rPr>
            </w:pPr>
            <w:r>
              <w:rPr>
                <w:spacing w:val="-3"/>
                <w:sz w:val="21"/>
              </w:rPr>
              <w:t>经组织病理学检查明确诊断；</w:t>
            </w:r>
          </w:p>
          <w:p>
            <w:pPr>
              <w:pStyle w:val="10"/>
              <w:numPr>
                <w:ilvl w:val="0"/>
                <w:numId w:val="49"/>
              </w:numPr>
              <w:tabs>
                <w:tab w:val="left" w:pos="637"/>
              </w:tabs>
              <w:spacing w:before="43" w:after="0" w:line="240" w:lineRule="auto"/>
              <w:ind w:left="636" w:right="0" w:hanging="530"/>
              <w:jc w:val="left"/>
              <w:rPr>
                <w:sz w:val="21"/>
              </w:rPr>
            </w:pPr>
            <w:r>
              <w:rPr>
                <w:sz w:val="21"/>
              </w:rPr>
              <w:t>CT</w:t>
            </w:r>
            <w:r>
              <w:rPr>
                <w:spacing w:val="-6"/>
                <w:sz w:val="21"/>
              </w:rPr>
              <w:t xml:space="preserve"> 显示双肺弥漫性囊性改变；</w:t>
            </w:r>
          </w:p>
          <w:p>
            <w:pPr>
              <w:pStyle w:val="10"/>
              <w:numPr>
                <w:ilvl w:val="0"/>
                <w:numId w:val="49"/>
              </w:numPr>
              <w:tabs>
                <w:tab w:val="left" w:pos="637"/>
              </w:tabs>
              <w:spacing w:before="42" w:after="0" w:line="240" w:lineRule="auto"/>
              <w:ind w:left="636" w:right="0" w:hanging="530"/>
              <w:jc w:val="left"/>
              <w:rPr>
                <w:sz w:val="21"/>
              </w:rPr>
            </w:pPr>
            <w:r>
              <w:rPr>
                <w:spacing w:val="-8"/>
                <w:position w:val="1"/>
                <w:sz w:val="21"/>
              </w:rPr>
              <w:t xml:space="preserve">肺功能检查显示 </w:t>
            </w:r>
            <w:r>
              <w:rPr>
                <w:spacing w:val="-2"/>
                <w:position w:val="1"/>
                <w:sz w:val="21"/>
              </w:rPr>
              <w:t>FEV</w:t>
            </w:r>
            <w:r>
              <w:rPr>
                <w:spacing w:val="-2"/>
                <w:sz w:val="11"/>
              </w:rPr>
              <w:t>1</w:t>
            </w:r>
            <w:r>
              <w:rPr>
                <w:spacing w:val="-26"/>
                <w:sz w:val="11"/>
              </w:rPr>
              <w:t xml:space="preserve"> </w:t>
            </w:r>
            <w:r>
              <w:rPr>
                <w:spacing w:val="-25"/>
                <w:position w:val="1"/>
                <w:sz w:val="21"/>
              </w:rPr>
              <w:t xml:space="preserve">和 </w:t>
            </w:r>
            <w:r>
              <w:rPr>
                <w:spacing w:val="-2"/>
                <w:position w:val="1"/>
                <w:sz w:val="21"/>
              </w:rPr>
              <w:t>DLCO（CO</w:t>
            </w:r>
            <w:r>
              <w:rPr>
                <w:spacing w:val="-12"/>
                <w:position w:val="1"/>
                <w:sz w:val="21"/>
              </w:rPr>
              <w:t xml:space="preserve"> 弥散功能</w:t>
            </w:r>
            <w:r>
              <w:rPr>
                <w:spacing w:val="-2"/>
                <w:position w:val="1"/>
                <w:sz w:val="21"/>
              </w:rPr>
              <w:t>）</w:t>
            </w:r>
            <w:r>
              <w:rPr>
                <w:spacing w:val="-5"/>
                <w:position w:val="1"/>
                <w:sz w:val="21"/>
              </w:rPr>
              <w:t>下降；</w:t>
            </w:r>
          </w:p>
          <w:p>
            <w:pPr>
              <w:pStyle w:val="10"/>
              <w:numPr>
                <w:ilvl w:val="0"/>
                <w:numId w:val="49"/>
              </w:numPr>
              <w:tabs>
                <w:tab w:val="left" w:pos="637"/>
              </w:tabs>
              <w:spacing w:before="43" w:after="0" w:line="240" w:lineRule="auto"/>
              <w:ind w:left="636" w:right="0" w:hanging="530"/>
              <w:jc w:val="left"/>
              <w:rPr>
                <w:sz w:val="21"/>
              </w:rPr>
            </w:pPr>
            <w:r>
              <w:rPr>
                <w:spacing w:val="-2"/>
                <w:position w:val="1"/>
                <w:sz w:val="21"/>
              </w:rPr>
              <w:t>动脉血气分析显示低氧血症，动脉血氧饱和度（SaO</w:t>
            </w:r>
            <w:r>
              <w:rPr>
                <w:spacing w:val="-2"/>
                <w:sz w:val="11"/>
              </w:rPr>
              <w:t>2</w:t>
            </w:r>
            <w:r>
              <w:rPr>
                <w:spacing w:val="-2"/>
                <w:position w:val="1"/>
                <w:sz w:val="21"/>
              </w:rPr>
              <w:t>）&lt;85</w:t>
            </w:r>
            <w:r>
              <w:rPr>
                <w:spacing w:val="-6"/>
                <w:position w:val="1"/>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83" w:hRule="atLeast"/>
        </w:trPr>
        <w:tc>
          <w:tcPr>
            <w:tcW w:w="1090" w:type="dxa"/>
            <w:tcBorders>
              <w:left w:val="single" w:color="000000" w:sz="12" w:space="0"/>
            </w:tcBorders>
          </w:tcPr>
          <w:p>
            <w:pPr>
              <w:pStyle w:val="10"/>
              <w:ind w:left="323" w:right="294"/>
              <w:jc w:val="center"/>
              <w:rPr>
                <w:sz w:val="21"/>
              </w:rPr>
            </w:pPr>
            <w:r>
              <w:rPr>
                <w:spacing w:val="-5"/>
                <w:sz w:val="21"/>
              </w:rPr>
              <w:t>38</w:t>
            </w:r>
          </w:p>
        </w:tc>
        <w:tc>
          <w:tcPr>
            <w:tcW w:w="2194" w:type="dxa"/>
          </w:tcPr>
          <w:p>
            <w:pPr>
              <w:pStyle w:val="10"/>
              <w:ind w:left="119"/>
              <w:rPr>
                <w:sz w:val="21"/>
              </w:rPr>
            </w:pPr>
            <w:r>
              <w:rPr>
                <w:spacing w:val="-3"/>
                <w:sz w:val="21"/>
              </w:rPr>
              <w:t>严重肺泡蛋白沉积症</w:t>
            </w:r>
          </w:p>
        </w:tc>
        <w:tc>
          <w:tcPr>
            <w:tcW w:w="6656" w:type="dxa"/>
            <w:tcBorders>
              <w:right w:val="single" w:color="000000" w:sz="12" w:space="0"/>
            </w:tcBorders>
          </w:tcPr>
          <w:p>
            <w:pPr>
              <w:pStyle w:val="10"/>
              <w:spacing w:line="278" w:lineRule="auto"/>
              <w:ind w:right="4"/>
              <w:rPr>
                <w:sz w:val="21"/>
              </w:rPr>
            </w:pPr>
            <w:r>
              <w:rPr>
                <w:spacing w:val="-6"/>
                <w:sz w:val="21"/>
              </w:rPr>
              <w:t>肺泡蛋白质沉积症是一种弥漫性肺部疾病，其组织学特征为肺泡腔内及</w:t>
            </w:r>
            <w:r>
              <w:rPr>
                <w:spacing w:val="-2"/>
                <w:sz w:val="21"/>
              </w:rPr>
              <w:t>终末细支气管内堆积过量的磷脂蛋白样物质。必须满足下列所有条件：</w:t>
            </w:r>
          </w:p>
          <w:p>
            <w:pPr>
              <w:pStyle w:val="10"/>
              <w:numPr>
                <w:ilvl w:val="0"/>
                <w:numId w:val="50"/>
              </w:numPr>
              <w:tabs>
                <w:tab w:val="left" w:pos="637"/>
              </w:tabs>
              <w:spacing w:before="0" w:after="0" w:line="240" w:lineRule="auto"/>
              <w:ind w:left="636" w:right="0" w:hanging="530"/>
              <w:jc w:val="left"/>
              <w:rPr>
                <w:sz w:val="21"/>
              </w:rPr>
            </w:pPr>
            <w:r>
              <w:rPr>
                <w:spacing w:val="-3"/>
                <w:sz w:val="21"/>
              </w:rPr>
              <w:t>经组织病理学检查明确诊断；</w:t>
            </w:r>
          </w:p>
          <w:p>
            <w:pPr>
              <w:pStyle w:val="10"/>
              <w:numPr>
                <w:ilvl w:val="0"/>
                <w:numId w:val="50"/>
              </w:numPr>
              <w:tabs>
                <w:tab w:val="left" w:pos="637"/>
              </w:tabs>
              <w:spacing w:before="43" w:after="0" w:line="278" w:lineRule="auto"/>
              <w:ind w:left="107" w:right="107" w:firstLine="0"/>
              <w:jc w:val="left"/>
              <w:rPr>
                <w:sz w:val="21"/>
              </w:rPr>
            </w:pPr>
            <w:r>
              <w:rPr>
                <w:spacing w:val="-2"/>
                <w:sz w:val="21"/>
              </w:rPr>
              <w:t>实际接受了三次（含）以上（每年至少一次）全身麻醉下的全肺灌洗术治疗；</w:t>
            </w:r>
          </w:p>
          <w:p>
            <w:pPr>
              <w:pStyle w:val="10"/>
              <w:numPr>
                <w:ilvl w:val="0"/>
                <w:numId w:val="50"/>
              </w:numPr>
              <w:tabs>
                <w:tab w:val="left" w:pos="637"/>
              </w:tabs>
              <w:spacing w:before="0" w:after="0" w:line="269" w:lineRule="exact"/>
              <w:ind w:left="636" w:right="0" w:hanging="530"/>
              <w:jc w:val="left"/>
              <w:rPr>
                <w:sz w:val="21"/>
              </w:rPr>
            </w:pPr>
            <w:r>
              <w:rPr>
                <w:spacing w:val="-3"/>
                <w:sz w:val="21"/>
              </w:rPr>
              <w:t>慢性呼吸功能衰竭，全肺灌洗术后仍然存在中重度缺氧，动脉血</w:t>
            </w:r>
          </w:p>
          <w:p>
            <w:pPr>
              <w:pStyle w:val="10"/>
              <w:spacing w:before="43"/>
              <w:rPr>
                <w:sz w:val="21"/>
              </w:rPr>
            </w:pPr>
            <w:r>
              <w:rPr>
                <w:spacing w:val="-2"/>
                <w:position w:val="1"/>
                <w:sz w:val="21"/>
              </w:rPr>
              <w:t>氧分压（PaO</w:t>
            </w:r>
            <w:r>
              <w:rPr>
                <w:spacing w:val="-2"/>
                <w:sz w:val="11"/>
              </w:rPr>
              <w:t>2</w:t>
            </w:r>
            <w:r>
              <w:rPr>
                <w:spacing w:val="-2"/>
                <w:position w:val="1"/>
                <w:sz w:val="21"/>
              </w:rPr>
              <w:t>）&lt;60mmHg</w:t>
            </w:r>
            <w:r>
              <w:rPr>
                <w:spacing w:val="-7"/>
                <w:position w:val="1"/>
                <w:sz w:val="21"/>
              </w:rPr>
              <w:t xml:space="preserve"> 和动脉血氧饱和度</w:t>
            </w:r>
            <w:r>
              <w:rPr>
                <w:spacing w:val="-2"/>
                <w:position w:val="1"/>
                <w:sz w:val="21"/>
              </w:rPr>
              <w:t>（SaO</w:t>
            </w:r>
            <w:r>
              <w:rPr>
                <w:spacing w:val="-2"/>
                <w:sz w:val="11"/>
              </w:rPr>
              <w:t>2</w:t>
            </w:r>
            <w:r>
              <w:rPr>
                <w:spacing w:val="-2"/>
                <w:position w:val="1"/>
                <w:sz w:val="21"/>
              </w:rPr>
              <w:t>）&lt;85%</w:t>
            </w:r>
            <w:r>
              <w:rPr>
                <w:spacing w:val="-10"/>
                <w:position w:val="1"/>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8" w:hRule="atLeast"/>
        </w:trPr>
        <w:tc>
          <w:tcPr>
            <w:tcW w:w="1090" w:type="dxa"/>
            <w:tcBorders>
              <w:left w:val="single" w:color="000000" w:sz="12" w:space="0"/>
            </w:tcBorders>
          </w:tcPr>
          <w:p>
            <w:pPr>
              <w:pStyle w:val="10"/>
              <w:spacing w:before="18"/>
              <w:ind w:left="323" w:right="294"/>
              <w:jc w:val="center"/>
              <w:rPr>
                <w:sz w:val="21"/>
              </w:rPr>
            </w:pPr>
            <w:r>
              <w:rPr>
                <w:spacing w:val="-5"/>
                <w:sz w:val="21"/>
              </w:rPr>
              <w:t>39</w:t>
            </w:r>
          </w:p>
        </w:tc>
        <w:tc>
          <w:tcPr>
            <w:tcW w:w="2194" w:type="dxa"/>
          </w:tcPr>
          <w:p>
            <w:pPr>
              <w:pStyle w:val="10"/>
              <w:spacing w:before="18"/>
              <w:ind w:left="119"/>
              <w:rPr>
                <w:sz w:val="21"/>
              </w:rPr>
            </w:pPr>
            <w:r>
              <w:rPr>
                <w:spacing w:val="-4"/>
                <w:sz w:val="21"/>
              </w:rPr>
              <w:t>严重肺结节病</w:t>
            </w:r>
          </w:p>
        </w:tc>
        <w:tc>
          <w:tcPr>
            <w:tcW w:w="6656" w:type="dxa"/>
            <w:tcBorders>
              <w:right w:val="single" w:color="000000" w:sz="12" w:space="0"/>
            </w:tcBorders>
          </w:tcPr>
          <w:p>
            <w:pPr>
              <w:pStyle w:val="10"/>
              <w:spacing w:before="18" w:line="278" w:lineRule="auto"/>
              <w:ind w:right="73"/>
              <w:rPr>
                <w:sz w:val="21"/>
              </w:rPr>
            </w:pPr>
            <w:r>
              <w:rPr>
                <w:spacing w:val="-3"/>
                <w:w w:val="100"/>
                <w:sz w:val="21"/>
              </w:rPr>
              <w:t>结节病是一种原因不明的系统性肉芽肿性疾病，可以累及全身多个器</w:t>
            </w:r>
            <w:r>
              <w:rPr>
                <w:spacing w:val="-10"/>
                <w:w w:val="100"/>
                <w:sz w:val="21"/>
              </w:rPr>
              <w:t>官，以肺和淋巴结受累最为常见。严重肺结节病表现为肺的广泛纤维化</w:t>
            </w:r>
            <w:r>
              <w:rPr>
                <w:spacing w:val="-12"/>
                <w:w w:val="100"/>
                <w:sz w:val="21"/>
              </w:rPr>
              <w:t>导致慢性呼吸功能衰竭。被保险人必须被明确诊断并且满足下列所有条件：</w:t>
            </w:r>
          </w:p>
          <w:p>
            <w:pPr>
              <w:pStyle w:val="10"/>
              <w:numPr>
                <w:ilvl w:val="0"/>
                <w:numId w:val="51"/>
              </w:numPr>
              <w:tabs>
                <w:tab w:val="left" w:pos="637"/>
              </w:tabs>
              <w:spacing w:before="0" w:after="0" w:line="269" w:lineRule="exact"/>
              <w:ind w:left="636" w:right="0" w:hanging="530"/>
              <w:jc w:val="left"/>
              <w:rPr>
                <w:sz w:val="21"/>
              </w:rPr>
            </w:pPr>
            <w:r>
              <w:rPr>
                <w:spacing w:val="-8"/>
                <w:sz w:val="21"/>
              </w:rPr>
              <w:t xml:space="preserve">影像学检查结果为 </w:t>
            </w:r>
            <w:r>
              <w:rPr>
                <w:spacing w:val="-2"/>
                <w:sz w:val="21"/>
              </w:rPr>
              <w:t>IV</w:t>
            </w:r>
            <w:r>
              <w:rPr>
                <w:spacing w:val="-10"/>
                <w:sz w:val="21"/>
              </w:rPr>
              <w:t xml:space="preserve"> 期肺结节病，即广泛肺纤维化；</w:t>
            </w:r>
          </w:p>
          <w:p>
            <w:pPr>
              <w:pStyle w:val="10"/>
              <w:numPr>
                <w:ilvl w:val="0"/>
                <w:numId w:val="51"/>
              </w:numPr>
              <w:tabs>
                <w:tab w:val="left" w:pos="637"/>
              </w:tabs>
              <w:spacing w:before="43" w:after="0" w:line="240" w:lineRule="auto"/>
              <w:ind w:left="636" w:right="0" w:hanging="530"/>
              <w:jc w:val="left"/>
              <w:rPr>
                <w:sz w:val="21"/>
              </w:rPr>
            </w:pPr>
            <w:r>
              <w:rPr>
                <w:spacing w:val="-3"/>
                <w:sz w:val="21"/>
              </w:rPr>
              <w:t>存在心脏结节病或神经系统结节病；</w:t>
            </w:r>
          </w:p>
          <w:p>
            <w:pPr>
              <w:pStyle w:val="10"/>
              <w:numPr>
                <w:ilvl w:val="0"/>
                <w:numId w:val="51"/>
              </w:numPr>
              <w:tabs>
                <w:tab w:val="left" w:pos="637"/>
              </w:tabs>
              <w:spacing w:before="2" w:after="0" w:line="310" w:lineRule="atLeast"/>
              <w:ind w:left="107" w:right="73" w:firstLine="0"/>
              <w:jc w:val="left"/>
              <w:rPr>
                <w:sz w:val="21"/>
              </w:rPr>
            </w:pPr>
            <w:r>
              <w:rPr>
                <w:spacing w:val="-9"/>
                <w:position w:val="1"/>
                <w:sz w:val="21"/>
              </w:rPr>
              <w:t xml:space="preserve">肺功能进行性下降，临床持续 </w:t>
            </w:r>
            <w:r>
              <w:rPr>
                <w:position w:val="1"/>
                <w:sz w:val="21"/>
              </w:rPr>
              <w:t>180</w:t>
            </w:r>
            <w:r>
              <w:rPr>
                <w:spacing w:val="-12"/>
                <w:position w:val="1"/>
                <w:sz w:val="21"/>
              </w:rPr>
              <w:t xml:space="preserve"> 天动脉血氧分压</w:t>
            </w:r>
            <w:r>
              <w:rPr>
                <w:spacing w:val="-2"/>
                <w:position w:val="1"/>
                <w:sz w:val="21"/>
              </w:rPr>
              <w:t>（PaO</w:t>
            </w:r>
            <w:r>
              <w:rPr>
                <w:spacing w:val="-2"/>
                <w:sz w:val="11"/>
              </w:rPr>
              <w:t>2</w:t>
            </w:r>
            <w:r>
              <w:rPr>
                <w:spacing w:val="-2"/>
                <w:position w:val="1"/>
                <w:sz w:val="21"/>
              </w:rPr>
              <w:t>）&lt;60mmHg和动脉血氧饱和度（SaO</w:t>
            </w:r>
            <w:r>
              <w:rPr>
                <w:spacing w:val="-2"/>
                <w:sz w:val="11"/>
              </w:rPr>
              <w:t>2</w:t>
            </w:r>
            <w:r>
              <w:rPr>
                <w:spacing w:val="-2"/>
                <w:position w:val="1"/>
                <w:sz w:val="21"/>
              </w:rPr>
              <w:t>）&lt;85%。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7" w:hRule="atLeast"/>
        </w:trPr>
        <w:tc>
          <w:tcPr>
            <w:tcW w:w="1090" w:type="dxa"/>
            <w:tcBorders>
              <w:left w:val="single" w:color="000000" w:sz="12" w:space="0"/>
            </w:tcBorders>
          </w:tcPr>
          <w:p>
            <w:pPr>
              <w:pStyle w:val="10"/>
              <w:ind w:left="323" w:right="294"/>
              <w:jc w:val="center"/>
              <w:rPr>
                <w:sz w:val="21"/>
              </w:rPr>
            </w:pPr>
            <w:r>
              <w:rPr>
                <w:spacing w:val="-5"/>
                <w:sz w:val="21"/>
              </w:rPr>
              <w:t>40</w:t>
            </w:r>
          </w:p>
        </w:tc>
        <w:tc>
          <w:tcPr>
            <w:tcW w:w="2194" w:type="dxa"/>
          </w:tcPr>
          <w:p>
            <w:pPr>
              <w:pStyle w:val="10"/>
              <w:ind w:left="119"/>
              <w:rPr>
                <w:sz w:val="21"/>
              </w:rPr>
            </w:pPr>
            <w:r>
              <w:rPr>
                <w:spacing w:val="-4"/>
                <w:sz w:val="21"/>
              </w:rPr>
              <w:t>植物人状态</w:t>
            </w:r>
          </w:p>
        </w:tc>
        <w:tc>
          <w:tcPr>
            <w:tcW w:w="6656" w:type="dxa"/>
            <w:tcBorders>
              <w:right w:val="single" w:color="000000" w:sz="12" w:space="0"/>
            </w:tcBorders>
          </w:tcPr>
          <w:p>
            <w:pPr>
              <w:pStyle w:val="10"/>
              <w:spacing w:line="278" w:lineRule="auto"/>
              <w:ind w:right="73"/>
              <w:jc w:val="both"/>
              <w:rPr>
                <w:sz w:val="21"/>
              </w:rPr>
            </w:pPr>
            <w:r>
              <w:rPr>
                <w:spacing w:val="-2"/>
                <w:sz w:val="21"/>
              </w:rPr>
              <w:t>植物人状态系指由于严重颅脑外伤造成大脑和/或脑干严重损害导致完</w:t>
            </w:r>
            <w:r>
              <w:rPr>
                <w:spacing w:val="-5"/>
                <w:sz w:val="21"/>
              </w:rPr>
              <w:t>全永久性的对自身和环境的意识丧失和中枢神经系统功能丧失，仅残存</w:t>
            </w:r>
            <w:r>
              <w:rPr>
                <w:spacing w:val="-10"/>
                <w:sz w:val="21"/>
              </w:rPr>
              <w:t>植物神经功能的疾病状态。诊断必须明确并且具有严重颅脑外伤和脑损</w:t>
            </w:r>
          </w:p>
          <w:p>
            <w:pPr>
              <w:pStyle w:val="10"/>
              <w:spacing w:before="0" w:line="269" w:lineRule="exact"/>
              <w:jc w:val="both"/>
              <w:rPr>
                <w:sz w:val="21"/>
              </w:rPr>
            </w:pPr>
            <w:r>
              <w:rPr>
                <w:spacing w:val="-5"/>
                <w:sz w:val="21"/>
              </w:rPr>
              <w:t xml:space="preserve">害的证据。植物人状态必须持续 </w:t>
            </w:r>
            <w:r>
              <w:rPr>
                <w:spacing w:val="-2"/>
                <w:sz w:val="21"/>
              </w:rPr>
              <w:t>30</w:t>
            </w:r>
            <w:r>
              <w:rPr>
                <w:spacing w:val="-10"/>
                <w:sz w:val="21"/>
              </w:rPr>
              <w:t xml:space="preserve"> 天以上方可申请理赔。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7" w:hRule="atLeast"/>
        </w:trPr>
        <w:tc>
          <w:tcPr>
            <w:tcW w:w="1090" w:type="dxa"/>
            <w:tcBorders>
              <w:left w:val="single" w:color="000000" w:sz="12" w:space="0"/>
            </w:tcBorders>
          </w:tcPr>
          <w:p>
            <w:pPr>
              <w:pStyle w:val="10"/>
              <w:ind w:left="323" w:right="294"/>
              <w:jc w:val="center"/>
              <w:rPr>
                <w:sz w:val="21"/>
              </w:rPr>
            </w:pPr>
            <w:r>
              <w:rPr>
                <w:spacing w:val="-5"/>
                <w:sz w:val="21"/>
              </w:rPr>
              <w:t>41</w:t>
            </w:r>
          </w:p>
        </w:tc>
        <w:tc>
          <w:tcPr>
            <w:tcW w:w="2194" w:type="dxa"/>
          </w:tcPr>
          <w:p>
            <w:pPr>
              <w:pStyle w:val="10"/>
              <w:ind w:left="119"/>
              <w:rPr>
                <w:sz w:val="21"/>
              </w:rPr>
            </w:pPr>
            <w:r>
              <w:rPr>
                <w:spacing w:val="-4"/>
                <w:sz w:val="21"/>
              </w:rPr>
              <w:t>进行性核上性麻痹</w:t>
            </w:r>
          </w:p>
        </w:tc>
        <w:tc>
          <w:tcPr>
            <w:tcW w:w="6656" w:type="dxa"/>
            <w:tcBorders>
              <w:right w:val="single" w:color="000000" w:sz="12" w:space="0"/>
            </w:tcBorders>
          </w:tcPr>
          <w:p>
            <w:pPr>
              <w:pStyle w:val="10"/>
              <w:spacing w:line="278" w:lineRule="auto"/>
              <w:ind w:right="1"/>
              <w:rPr>
                <w:sz w:val="21"/>
              </w:rPr>
            </w:pPr>
            <w:r>
              <w:rPr>
                <w:spacing w:val="-2"/>
                <w:sz w:val="21"/>
              </w:rPr>
              <w:t>进行性核上性麻痹是中枢神经系统变性疾病，临床表现为眼球运动障</w:t>
            </w:r>
            <w:r>
              <w:rPr>
                <w:spacing w:val="40"/>
                <w:sz w:val="21"/>
              </w:rPr>
              <w:t xml:space="preserve"> </w:t>
            </w:r>
            <w:r>
              <w:rPr>
                <w:spacing w:val="-2"/>
                <w:sz w:val="21"/>
              </w:rPr>
              <w:t>碍、假性球麻痹、帕金森综合征等。被保险人自主生活能力完全丧失，</w:t>
            </w:r>
            <w:r>
              <w:rPr>
                <w:spacing w:val="-5"/>
                <w:sz w:val="21"/>
              </w:rPr>
              <w:t>无法独立完成六项基本日常生活活动中的三项或三项以上，日常生活必</w:t>
            </w:r>
          </w:p>
          <w:p>
            <w:pPr>
              <w:pStyle w:val="10"/>
              <w:spacing w:before="0" w:line="269" w:lineRule="exact"/>
              <w:rPr>
                <w:sz w:val="21"/>
              </w:rPr>
            </w:pPr>
            <w:r>
              <w:rPr>
                <w:spacing w:val="-3"/>
                <w:sz w:val="21"/>
              </w:rPr>
              <w:t>须持续受到他人监护。</w:t>
            </w:r>
          </w:p>
        </w:tc>
      </w:tr>
    </w:tbl>
    <w:p>
      <w:pPr>
        <w:spacing w:after="0" w:line="269" w:lineRule="exact"/>
        <w:rPr>
          <w:sz w:val="21"/>
        </w:rPr>
        <w:sectPr>
          <w:type w:val="continuous"/>
          <w:pgSz w:w="11910" w:h="16840"/>
          <w:pgMar w:top="840" w:right="340" w:bottom="640" w:left="800" w:header="0" w:footer="457" w:gutter="0"/>
          <w:cols w:space="720" w:num="1"/>
        </w:sectPr>
      </w:pPr>
    </w:p>
    <w:tbl>
      <w:tblPr>
        <w:tblStyle w:val="6"/>
        <w:tblW w:w="0" w:type="auto"/>
        <w:tblInd w:w="22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90"/>
        <w:gridCol w:w="2194"/>
        <w:gridCol w:w="66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1" w:hRule="atLeast"/>
        </w:trPr>
        <w:tc>
          <w:tcPr>
            <w:tcW w:w="1090" w:type="dxa"/>
            <w:tcBorders>
              <w:left w:val="single" w:color="000000" w:sz="12" w:space="0"/>
            </w:tcBorders>
          </w:tcPr>
          <w:p>
            <w:pPr>
              <w:pStyle w:val="10"/>
              <w:ind w:left="323" w:right="294"/>
              <w:jc w:val="center"/>
              <w:rPr>
                <w:sz w:val="21"/>
              </w:rPr>
            </w:pPr>
            <w:r>
              <w:rPr>
                <w:spacing w:val="-5"/>
                <w:sz w:val="21"/>
              </w:rPr>
              <w:t>42</w:t>
            </w:r>
          </w:p>
        </w:tc>
        <w:tc>
          <w:tcPr>
            <w:tcW w:w="2194" w:type="dxa"/>
          </w:tcPr>
          <w:p>
            <w:pPr>
              <w:pStyle w:val="10"/>
              <w:ind w:left="119"/>
              <w:rPr>
                <w:sz w:val="21"/>
              </w:rPr>
            </w:pPr>
            <w:r>
              <w:rPr>
                <w:spacing w:val="-4"/>
                <w:sz w:val="21"/>
              </w:rPr>
              <w:t>严重多发性硬化症</w:t>
            </w:r>
          </w:p>
        </w:tc>
        <w:tc>
          <w:tcPr>
            <w:tcW w:w="6656" w:type="dxa"/>
            <w:tcBorders>
              <w:right w:val="single" w:color="000000" w:sz="12" w:space="0"/>
            </w:tcBorders>
          </w:tcPr>
          <w:p>
            <w:pPr>
              <w:pStyle w:val="10"/>
              <w:spacing w:line="278" w:lineRule="auto"/>
              <w:ind w:right="73"/>
              <w:jc w:val="both"/>
              <w:rPr>
                <w:sz w:val="21"/>
              </w:rPr>
            </w:pPr>
            <w:r>
              <w:rPr>
                <w:spacing w:val="-5"/>
                <w:sz w:val="21"/>
              </w:rPr>
              <w:t>多发性硬化症为中枢神经系统白质多灶性脱髓鞘病变，病变有时累及灰</w:t>
            </w:r>
            <w:r>
              <w:rPr>
                <w:spacing w:val="-4"/>
                <w:sz w:val="21"/>
              </w:rPr>
              <w:t>质。多发性硬化症必须明确诊断，并且已经造成永久不可逆的神经系统</w:t>
            </w:r>
            <w:r>
              <w:rPr>
                <w:spacing w:val="-12"/>
                <w:sz w:val="21"/>
              </w:rPr>
              <w:t xml:space="preserve">功能损害。永久不可逆的神经系统损害指被保险人持续 </w:t>
            </w:r>
            <w:r>
              <w:rPr>
                <w:spacing w:val="-2"/>
                <w:sz w:val="21"/>
              </w:rPr>
              <w:t>180</w:t>
            </w:r>
            <w:r>
              <w:rPr>
                <w:spacing w:val="-7"/>
                <w:sz w:val="21"/>
              </w:rPr>
              <w:t xml:space="preserve"> 天无法独立</w:t>
            </w:r>
            <w:r>
              <w:rPr>
                <w:spacing w:val="-2"/>
                <w:sz w:val="21"/>
              </w:rPr>
              <w:t>完成下列基本日常生活活动之一：</w:t>
            </w:r>
          </w:p>
          <w:p>
            <w:pPr>
              <w:pStyle w:val="10"/>
              <w:numPr>
                <w:ilvl w:val="0"/>
                <w:numId w:val="52"/>
              </w:numPr>
              <w:tabs>
                <w:tab w:val="left" w:pos="637"/>
              </w:tabs>
              <w:spacing w:before="0" w:after="0" w:line="240" w:lineRule="auto"/>
              <w:ind w:left="636" w:right="0" w:hanging="530"/>
              <w:jc w:val="left"/>
              <w:rPr>
                <w:sz w:val="21"/>
              </w:rPr>
            </w:pPr>
            <w:r>
              <w:rPr>
                <w:spacing w:val="-3"/>
                <w:sz w:val="21"/>
              </w:rPr>
              <w:t>移动：自己从一个房间到另一个房间；</w:t>
            </w:r>
          </w:p>
          <w:p>
            <w:pPr>
              <w:pStyle w:val="10"/>
              <w:numPr>
                <w:ilvl w:val="0"/>
                <w:numId w:val="52"/>
              </w:numPr>
              <w:tabs>
                <w:tab w:val="left" w:pos="637"/>
              </w:tabs>
              <w:spacing w:before="43" w:after="0" w:line="240" w:lineRule="auto"/>
              <w:ind w:left="636" w:right="0" w:hanging="530"/>
              <w:jc w:val="left"/>
              <w:rPr>
                <w:sz w:val="21"/>
              </w:rPr>
            </w:pPr>
            <w:r>
              <w:rPr>
                <w:spacing w:val="-3"/>
                <w:sz w:val="21"/>
              </w:rPr>
              <w:t>进食：自己从已准备好的碗或碟中取食物放入口中。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1" w:hRule="atLeast"/>
        </w:trPr>
        <w:tc>
          <w:tcPr>
            <w:tcW w:w="1090" w:type="dxa"/>
            <w:tcBorders>
              <w:left w:val="single" w:color="000000" w:sz="12" w:space="0"/>
            </w:tcBorders>
          </w:tcPr>
          <w:p>
            <w:pPr>
              <w:pStyle w:val="10"/>
              <w:ind w:left="323" w:right="294"/>
              <w:jc w:val="center"/>
              <w:rPr>
                <w:sz w:val="21"/>
              </w:rPr>
            </w:pPr>
            <w:r>
              <w:rPr>
                <w:spacing w:val="-5"/>
                <w:sz w:val="21"/>
              </w:rPr>
              <w:t>43</w:t>
            </w:r>
          </w:p>
        </w:tc>
        <w:tc>
          <w:tcPr>
            <w:tcW w:w="2194" w:type="dxa"/>
          </w:tcPr>
          <w:p>
            <w:pPr>
              <w:pStyle w:val="10"/>
              <w:spacing w:line="278" w:lineRule="auto"/>
              <w:ind w:left="119" w:right="82"/>
              <w:rPr>
                <w:sz w:val="21"/>
              </w:rPr>
            </w:pPr>
            <w:r>
              <w:rPr>
                <w:sz w:val="21"/>
              </w:rPr>
              <w:t>严重全身性重症肌无</w:t>
            </w:r>
            <w:r>
              <w:rPr>
                <w:spacing w:val="-10"/>
                <w:sz w:val="21"/>
              </w:rPr>
              <w:t>力</w:t>
            </w:r>
          </w:p>
        </w:tc>
        <w:tc>
          <w:tcPr>
            <w:tcW w:w="6656" w:type="dxa"/>
            <w:tcBorders>
              <w:right w:val="single" w:color="000000" w:sz="12" w:space="0"/>
            </w:tcBorders>
          </w:tcPr>
          <w:p>
            <w:pPr>
              <w:pStyle w:val="10"/>
              <w:spacing w:line="278" w:lineRule="auto"/>
              <w:ind w:right="73"/>
              <w:jc w:val="both"/>
              <w:rPr>
                <w:sz w:val="21"/>
              </w:rPr>
            </w:pPr>
            <w:r>
              <w:rPr>
                <w:spacing w:val="-5"/>
                <w:sz w:val="21"/>
              </w:rPr>
              <w:t>重症肌无力是一种神经肌肉接头传递障碍所致的疾病，表现为局部或全</w:t>
            </w:r>
            <w:r>
              <w:rPr>
                <w:spacing w:val="-4"/>
                <w:sz w:val="21"/>
              </w:rPr>
              <w:t>身骨骼肌（特别是眼外肌）极易疲劳。疾病可以累及呼吸肌、上肢或下</w:t>
            </w:r>
            <w:r>
              <w:rPr>
                <w:spacing w:val="-2"/>
                <w:sz w:val="21"/>
              </w:rPr>
              <w:t>肢的近端肌群或全身肌肉，必须满足下列所有条件：</w:t>
            </w:r>
          </w:p>
          <w:p>
            <w:pPr>
              <w:pStyle w:val="10"/>
              <w:numPr>
                <w:ilvl w:val="0"/>
                <w:numId w:val="53"/>
              </w:numPr>
              <w:tabs>
                <w:tab w:val="left" w:pos="637"/>
              </w:tabs>
              <w:spacing w:before="0" w:after="0" w:line="269" w:lineRule="exact"/>
              <w:ind w:left="636" w:right="0" w:hanging="530"/>
              <w:jc w:val="left"/>
              <w:rPr>
                <w:sz w:val="21"/>
              </w:rPr>
            </w:pPr>
            <w:r>
              <w:rPr>
                <w:spacing w:val="-3"/>
                <w:sz w:val="21"/>
              </w:rPr>
              <w:t>经药物治疗和胸腺切除治疗一年以上仍无法控制病情；</w:t>
            </w:r>
          </w:p>
          <w:p>
            <w:pPr>
              <w:pStyle w:val="10"/>
              <w:numPr>
                <w:ilvl w:val="0"/>
                <w:numId w:val="53"/>
              </w:numPr>
              <w:tabs>
                <w:tab w:val="left" w:pos="637"/>
              </w:tabs>
              <w:spacing w:before="2" w:after="0" w:line="310" w:lineRule="atLeast"/>
              <w:ind w:left="107" w:right="107" w:firstLine="0"/>
              <w:jc w:val="left"/>
              <w:rPr>
                <w:sz w:val="21"/>
              </w:rPr>
            </w:pPr>
            <w:r>
              <w:rPr>
                <w:spacing w:val="-2"/>
                <w:sz w:val="21"/>
              </w:rPr>
              <w:t>自主生活能力完全丧失，无法独立完成六项基本日常生活活动中的三项或三项以上。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6" w:hRule="atLeast"/>
        </w:trPr>
        <w:tc>
          <w:tcPr>
            <w:tcW w:w="1090" w:type="dxa"/>
            <w:tcBorders>
              <w:left w:val="single" w:color="000000" w:sz="12" w:space="0"/>
            </w:tcBorders>
          </w:tcPr>
          <w:p>
            <w:pPr>
              <w:pStyle w:val="10"/>
              <w:ind w:left="323" w:right="294"/>
              <w:jc w:val="center"/>
              <w:rPr>
                <w:sz w:val="21"/>
              </w:rPr>
            </w:pPr>
            <w:r>
              <w:rPr>
                <w:spacing w:val="-5"/>
                <w:sz w:val="21"/>
              </w:rPr>
              <w:t>44</w:t>
            </w:r>
          </w:p>
        </w:tc>
        <w:tc>
          <w:tcPr>
            <w:tcW w:w="2194" w:type="dxa"/>
          </w:tcPr>
          <w:p>
            <w:pPr>
              <w:pStyle w:val="10"/>
              <w:ind w:left="119"/>
              <w:rPr>
                <w:sz w:val="21"/>
              </w:rPr>
            </w:pPr>
            <w:r>
              <w:rPr>
                <w:spacing w:val="-4"/>
                <w:sz w:val="21"/>
              </w:rPr>
              <w:t>脊髓灰质炎后遗症</w:t>
            </w:r>
          </w:p>
        </w:tc>
        <w:tc>
          <w:tcPr>
            <w:tcW w:w="6656" w:type="dxa"/>
            <w:tcBorders>
              <w:right w:val="single" w:color="000000" w:sz="12" w:space="0"/>
            </w:tcBorders>
          </w:tcPr>
          <w:p>
            <w:pPr>
              <w:pStyle w:val="10"/>
              <w:spacing w:line="278" w:lineRule="auto"/>
              <w:ind w:right="73"/>
              <w:rPr>
                <w:sz w:val="21"/>
              </w:rPr>
            </w:pPr>
            <w:r>
              <w:rPr>
                <w:spacing w:val="-5"/>
                <w:sz w:val="21"/>
              </w:rPr>
              <w:t>脊髓灰质炎是由于脊髓灰质炎病毒感染所致的瘫痪性疾病，临床表现为运动功能损害或呼吸肌无力。脊髓灰质炎必须明确诊断，被保险人一肢</w:t>
            </w:r>
          </w:p>
          <w:p>
            <w:pPr>
              <w:pStyle w:val="10"/>
              <w:spacing w:before="0"/>
              <w:rPr>
                <w:sz w:val="21"/>
              </w:rPr>
            </w:pPr>
            <w:r>
              <w:rPr>
                <w:spacing w:val="-2"/>
                <w:sz w:val="21"/>
              </w:rPr>
              <w:t>或一肢以上肢体机能完全丧失持续180</w:t>
            </w:r>
            <w:r>
              <w:rPr>
                <w:spacing w:val="-4"/>
                <w:sz w:val="21"/>
              </w:rPr>
              <w:t>天以上。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83" w:hRule="atLeast"/>
        </w:trPr>
        <w:tc>
          <w:tcPr>
            <w:tcW w:w="1090" w:type="dxa"/>
            <w:tcBorders>
              <w:left w:val="single" w:color="000000" w:sz="12" w:space="0"/>
            </w:tcBorders>
          </w:tcPr>
          <w:p>
            <w:pPr>
              <w:pStyle w:val="10"/>
              <w:ind w:left="323" w:right="294"/>
              <w:jc w:val="center"/>
              <w:rPr>
                <w:sz w:val="21"/>
              </w:rPr>
            </w:pPr>
            <w:r>
              <w:rPr>
                <w:spacing w:val="-5"/>
                <w:sz w:val="21"/>
              </w:rPr>
              <w:t>45</w:t>
            </w:r>
          </w:p>
        </w:tc>
        <w:tc>
          <w:tcPr>
            <w:tcW w:w="2194" w:type="dxa"/>
          </w:tcPr>
          <w:p>
            <w:pPr>
              <w:pStyle w:val="10"/>
              <w:ind w:left="119"/>
              <w:rPr>
                <w:sz w:val="21"/>
              </w:rPr>
            </w:pPr>
            <w:r>
              <w:rPr>
                <w:spacing w:val="-3"/>
                <w:sz w:val="21"/>
              </w:rPr>
              <w:t>亚急性硬化性全脑炎</w:t>
            </w:r>
          </w:p>
        </w:tc>
        <w:tc>
          <w:tcPr>
            <w:tcW w:w="6656" w:type="dxa"/>
            <w:tcBorders>
              <w:right w:val="single" w:color="000000" w:sz="12" w:space="0"/>
            </w:tcBorders>
          </w:tcPr>
          <w:p>
            <w:pPr>
              <w:pStyle w:val="10"/>
              <w:spacing w:line="278" w:lineRule="auto"/>
              <w:ind w:right="73"/>
              <w:jc w:val="both"/>
              <w:rPr>
                <w:sz w:val="21"/>
              </w:rPr>
            </w:pPr>
            <w:r>
              <w:rPr>
                <w:spacing w:val="-5"/>
                <w:sz w:val="21"/>
              </w:rPr>
              <w:t>是麻疹或麻疹样病毒所致的一种中枢神经系统慢病毒感染。中枢神经系统呈现灰质和白质破坏为特征的慢性和急性混合存在的炎症。必须满足</w:t>
            </w:r>
            <w:r>
              <w:rPr>
                <w:spacing w:val="-2"/>
                <w:sz w:val="21"/>
              </w:rPr>
              <w:t>下列所有条件：</w:t>
            </w:r>
          </w:p>
          <w:p>
            <w:pPr>
              <w:pStyle w:val="10"/>
              <w:numPr>
                <w:ilvl w:val="0"/>
                <w:numId w:val="54"/>
              </w:numPr>
              <w:tabs>
                <w:tab w:val="left" w:pos="637"/>
              </w:tabs>
              <w:spacing w:before="0" w:after="0" w:line="278" w:lineRule="auto"/>
              <w:ind w:left="107" w:right="107" w:firstLine="0"/>
              <w:jc w:val="left"/>
              <w:rPr>
                <w:sz w:val="21"/>
              </w:rPr>
            </w:pPr>
            <w:r>
              <w:rPr>
                <w:spacing w:val="-2"/>
                <w:sz w:val="21"/>
              </w:rPr>
              <w:t>必须由三级医院诊断，临床检查证实脑电图存在周期性复合波、脑脊液</w:t>
            </w:r>
            <w:r>
              <w:rPr>
                <w:rFonts w:ascii="Cambria" w:hAnsi="Cambria" w:eastAsia="Cambria"/>
                <w:spacing w:val="-2"/>
                <w:sz w:val="21"/>
              </w:rPr>
              <w:t>Ƴ</w:t>
            </w:r>
            <w:r>
              <w:rPr>
                <w:spacing w:val="-2"/>
                <w:sz w:val="21"/>
              </w:rPr>
              <w:t>-球蛋白升高、脑脊液和血清中麻疹抗体滴定度升高；</w:t>
            </w:r>
          </w:p>
          <w:p>
            <w:pPr>
              <w:pStyle w:val="10"/>
              <w:numPr>
                <w:ilvl w:val="0"/>
                <w:numId w:val="54"/>
              </w:numPr>
              <w:tabs>
                <w:tab w:val="left" w:pos="637"/>
              </w:tabs>
              <w:spacing w:before="0" w:after="0" w:line="269" w:lineRule="exact"/>
              <w:ind w:left="636" w:right="0" w:hanging="530"/>
              <w:jc w:val="left"/>
              <w:rPr>
                <w:sz w:val="21"/>
              </w:rPr>
            </w:pPr>
            <w:r>
              <w:rPr>
                <w:spacing w:val="-3"/>
                <w:sz w:val="21"/>
              </w:rPr>
              <w:t>被保险人出现运动障碍，永久不可逆丧失自主生活能力，无法独</w:t>
            </w:r>
          </w:p>
          <w:p>
            <w:pPr>
              <w:pStyle w:val="10"/>
              <w:spacing w:before="42"/>
              <w:rPr>
                <w:sz w:val="21"/>
              </w:rPr>
            </w:pPr>
            <w:r>
              <w:rPr>
                <w:spacing w:val="-3"/>
                <w:sz w:val="21"/>
              </w:rPr>
              <w:t>立完成六项基本日常生活活动中的三项或三项以上。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6" w:hRule="atLeast"/>
        </w:trPr>
        <w:tc>
          <w:tcPr>
            <w:tcW w:w="1090" w:type="dxa"/>
            <w:tcBorders>
              <w:left w:val="single" w:color="000000" w:sz="12" w:space="0"/>
            </w:tcBorders>
          </w:tcPr>
          <w:p>
            <w:pPr>
              <w:pStyle w:val="10"/>
              <w:ind w:left="323" w:right="294"/>
              <w:jc w:val="center"/>
              <w:rPr>
                <w:sz w:val="21"/>
              </w:rPr>
            </w:pPr>
            <w:r>
              <w:rPr>
                <w:spacing w:val="-5"/>
                <w:sz w:val="21"/>
              </w:rPr>
              <w:t>46</w:t>
            </w:r>
          </w:p>
        </w:tc>
        <w:tc>
          <w:tcPr>
            <w:tcW w:w="2194" w:type="dxa"/>
          </w:tcPr>
          <w:p>
            <w:pPr>
              <w:pStyle w:val="10"/>
              <w:ind w:left="119"/>
              <w:rPr>
                <w:sz w:val="21"/>
              </w:rPr>
            </w:pPr>
            <w:r>
              <w:rPr>
                <w:spacing w:val="-4"/>
                <w:sz w:val="21"/>
              </w:rPr>
              <w:t>脊髓内肿瘤</w:t>
            </w:r>
          </w:p>
        </w:tc>
        <w:tc>
          <w:tcPr>
            <w:tcW w:w="6656" w:type="dxa"/>
            <w:tcBorders>
              <w:right w:val="single" w:color="000000" w:sz="12" w:space="0"/>
            </w:tcBorders>
          </w:tcPr>
          <w:p>
            <w:pPr>
              <w:pStyle w:val="10"/>
              <w:spacing w:line="278" w:lineRule="auto"/>
              <w:ind w:right="73"/>
              <w:rPr>
                <w:sz w:val="21"/>
              </w:rPr>
            </w:pPr>
            <w:r>
              <w:rPr>
                <w:spacing w:val="-4"/>
                <w:sz w:val="21"/>
              </w:rPr>
              <w:t>指脊髓内良性肿瘤。肿瘤造成脊髓损害导致瘫痪。必须满足下列所有条</w:t>
            </w:r>
            <w:r>
              <w:rPr>
                <w:spacing w:val="-6"/>
                <w:sz w:val="21"/>
              </w:rPr>
              <w:t>件：</w:t>
            </w:r>
          </w:p>
          <w:p>
            <w:pPr>
              <w:pStyle w:val="10"/>
              <w:numPr>
                <w:ilvl w:val="0"/>
                <w:numId w:val="55"/>
              </w:numPr>
              <w:tabs>
                <w:tab w:val="left" w:pos="637"/>
              </w:tabs>
              <w:spacing w:before="0" w:after="0" w:line="269" w:lineRule="exact"/>
              <w:ind w:left="636" w:right="0" w:hanging="530"/>
              <w:jc w:val="left"/>
              <w:rPr>
                <w:sz w:val="21"/>
              </w:rPr>
            </w:pPr>
            <w:r>
              <w:rPr>
                <w:spacing w:val="-3"/>
                <w:sz w:val="21"/>
              </w:rPr>
              <w:t>被保险人实际接受了肿瘤切除的手术治疗；</w:t>
            </w:r>
          </w:p>
          <w:p>
            <w:pPr>
              <w:pStyle w:val="10"/>
              <w:numPr>
                <w:ilvl w:val="0"/>
                <w:numId w:val="55"/>
              </w:numPr>
              <w:tabs>
                <w:tab w:val="left" w:pos="637"/>
              </w:tabs>
              <w:spacing w:before="43" w:after="0" w:line="278" w:lineRule="auto"/>
              <w:ind w:left="107" w:right="107" w:firstLine="0"/>
              <w:jc w:val="left"/>
              <w:rPr>
                <w:sz w:val="21"/>
              </w:rPr>
            </w:pPr>
            <w:r>
              <w:rPr>
                <w:spacing w:val="-19"/>
                <w:sz w:val="21"/>
              </w:rPr>
              <w:t xml:space="preserve">手术 </w:t>
            </w:r>
            <w:r>
              <w:rPr>
                <w:sz w:val="21"/>
              </w:rPr>
              <w:t>180</w:t>
            </w:r>
            <w:r>
              <w:rPr>
                <w:spacing w:val="-8"/>
                <w:sz w:val="21"/>
              </w:rPr>
              <w:t xml:space="preserve"> 天后遗留下列神经系统损害，无法独立完成下列基本日</w:t>
            </w:r>
            <w:r>
              <w:rPr>
                <w:spacing w:val="-2"/>
                <w:sz w:val="21"/>
              </w:rPr>
              <w:t>常生活活动之一：</w:t>
            </w:r>
          </w:p>
          <w:p>
            <w:pPr>
              <w:pStyle w:val="10"/>
              <w:numPr>
                <w:ilvl w:val="1"/>
                <w:numId w:val="55"/>
              </w:numPr>
              <w:tabs>
                <w:tab w:val="left" w:pos="528"/>
              </w:tabs>
              <w:spacing w:before="0" w:after="0" w:line="269" w:lineRule="exact"/>
              <w:ind w:left="527" w:right="0" w:hanging="315"/>
              <w:jc w:val="left"/>
              <w:rPr>
                <w:sz w:val="21"/>
              </w:rPr>
            </w:pPr>
            <w:r>
              <w:rPr>
                <w:spacing w:val="-3"/>
                <w:sz w:val="21"/>
              </w:rPr>
              <w:t>移动：自己从一个房间到另一个房间；</w:t>
            </w:r>
          </w:p>
          <w:p>
            <w:pPr>
              <w:pStyle w:val="10"/>
              <w:numPr>
                <w:ilvl w:val="1"/>
                <w:numId w:val="55"/>
              </w:numPr>
              <w:tabs>
                <w:tab w:val="left" w:pos="528"/>
              </w:tabs>
              <w:spacing w:before="43" w:after="0" w:line="240" w:lineRule="auto"/>
              <w:ind w:left="527" w:right="0" w:hanging="315"/>
              <w:jc w:val="left"/>
              <w:rPr>
                <w:sz w:val="21"/>
              </w:rPr>
            </w:pPr>
            <w:r>
              <w:rPr>
                <w:spacing w:val="-3"/>
                <w:sz w:val="21"/>
              </w:rPr>
              <w:t>进食：自己从已准备好的碗或碟中取食物放入口中。</w:t>
            </w:r>
          </w:p>
          <w:p>
            <w:pPr>
              <w:pStyle w:val="10"/>
              <w:spacing w:before="43"/>
              <w:rPr>
                <w:rFonts w:ascii="黑体" w:eastAsia="黑体"/>
                <w:sz w:val="21"/>
              </w:rPr>
            </w:pPr>
            <w:r>
              <w:rPr>
                <w:rFonts w:ascii="黑体" w:eastAsia="黑体"/>
                <w:color w:val="000000"/>
                <w:spacing w:val="-3"/>
                <w:sz w:val="21"/>
                <w:shd w:val="clear" w:color="auto" w:fill="D9D9D9"/>
              </w:rPr>
              <w:t>非脊髓内的其他椎管内肿瘤、脊柱肿瘤、神经纤维瘤不在保障范围内。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86" w:hRule="atLeast"/>
        </w:trPr>
        <w:tc>
          <w:tcPr>
            <w:tcW w:w="1090" w:type="dxa"/>
            <w:tcBorders>
              <w:left w:val="single" w:color="000000" w:sz="12" w:space="0"/>
            </w:tcBorders>
          </w:tcPr>
          <w:p>
            <w:pPr>
              <w:pStyle w:val="10"/>
              <w:spacing w:before="18"/>
              <w:ind w:left="323" w:right="294"/>
              <w:jc w:val="center"/>
              <w:rPr>
                <w:sz w:val="21"/>
              </w:rPr>
            </w:pPr>
            <w:r>
              <w:rPr>
                <w:spacing w:val="-5"/>
                <w:sz w:val="21"/>
              </w:rPr>
              <w:t>47</w:t>
            </w:r>
          </w:p>
        </w:tc>
        <w:tc>
          <w:tcPr>
            <w:tcW w:w="2194" w:type="dxa"/>
          </w:tcPr>
          <w:p>
            <w:pPr>
              <w:pStyle w:val="10"/>
              <w:spacing w:before="18"/>
              <w:ind w:left="119"/>
              <w:rPr>
                <w:sz w:val="21"/>
              </w:rPr>
            </w:pPr>
            <w:r>
              <w:rPr>
                <w:spacing w:val="-3"/>
                <w:sz w:val="21"/>
              </w:rPr>
              <w:t>横贯性脊髓炎后遗症</w:t>
            </w:r>
          </w:p>
        </w:tc>
        <w:tc>
          <w:tcPr>
            <w:tcW w:w="6656" w:type="dxa"/>
            <w:tcBorders>
              <w:right w:val="single" w:color="000000" w:sz="12" w:space="0"/>
            </w:tcBorders>
          </w:tcPr>
          <w:p>
            <w:pPr>
              <w:pStyle w:val="10"/>
              <w:spacing w:before="18" w:line="278" w:lineRule="auto"/>
              <w:ind w:right="73"/>
              <w:rPr>
                <w:sz w:val="21"/>
              </w:rPr>
            </w:pPr>
            <w:r>
              <w:rPr>
                <w:spacing w:val="-8"/>
                <w:sz w:val="21"/>
              </w:rPr>
              <w:t>脊髓炎是一种炎症性脊髓疾病。横贯性脊髓炎是指炎症扩展横贯整个脊</w:t>
            </w:r>
            <w:r>
              <w:rPr>
                <w:spacing w:val="-4"/>
                <w:sz w:val="21"/>
              </w:rPr>
              <w:t>髓，表现为运动障碍、感觉障碍和自主神经功能障碍。横断性脊髓炎必须明确诊断，并且已经造成永久不可逆的神经系统功能损害。永久不可</w:t>
            </w:r>
            <w:r>
              <w:rPr>
                <w:spacing w:val="-2"/>
                <w:sz w:val="21"/>
              </w:rPr>
              <w:t xml:space="preserve">逆的神经系统损害指被保险人持续 </w:t>
            </w:r>
            <w:r>
              <w:rPr>
                <w:sz w:val="21"/>
              </w:rPr>
              <w:t>180</w:t>
            </w:r>
            <w:r>
              <w:rPr>
                <w:spacing w:val="-5"/>
                <w:sz w:val="21"/>
              </w:rPr>
              <w:t xml:space="preserve"> 天无法独立完成下列基本日常</w:t>
            </w:r>
            <w:r>
              <w:rPr>
                <w:spacing w:val="-2"/>
                <w:sz w:val="21"/>
              </w:rPr>
              <w:t>生活活动之一：</w:t>
            </w:r>
          </w:p>
          <w:p>
            <w:pPr>
              <w:pStyle w:val="10"/>
              <w:numPr>
                <w:ilvl w:val="0"/>
                <w:numId w:val="56"/>
              </w:numPr>
              <w:tabs>
                <w:tab w:val="left" w:pos="637"/>
              </w:tabs>
              <w:spacing w:before="0" w:after="0" w:line="268" w:lineRule="exact"/>
              <w:ind w:left="636" w:right="0" w:hanging="530"/>
              <w:jc w:val="left"/>
              <w:rPr>
                <w:sz w:val="21"/>
              </w:rPr>
            </w:pPr>
            <w:r>
              <w:rPr>
                <w:spacing w:val="-3"/>
                <w:sz w:val="21"/>
              </w:rPr>
              <w:t>移动：自己从一个房间到另一个房间；</w:t>
            </w:r>
          </w:p>
          <w:p>
            <w:pPr>
              <w:pStyle w:val="10"/>
              <w:numPr>
                <w:ilvl w:val="0"/>
                <w:numId w:val="56"/>
              </w:numPr>
              <w:tabs>
                <w:tab w:val="left" w:pos="637"/>
              </w:tabs>
              <w:spacing w:before="44" w:after="0" w:line="240" w:lineRule="auto"/>
              <w:ind w:left="636" w:right="0" w:hanging="530"/>
              <w:jc w:val="left"/>
              <w:rPr>
                <w:sz w:val="21"/>
              </w:rPr>
            </w:pPr>
            <w:r>
              <w:rPr>
                <w:spacing w:val="-3"/>
                <w:sz w:val="21"/>
              </w:rPr>
              <w:t>进食：自己从已准备好的碗或碟中取食物放入口中。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83" w:hRule="atLeast"/>
        </w:trPr>
        <w:tc>
          <w:tcPr>
            <w:tcW w:w="1090" w:type="dxa"/>
            <w:tcBorders>
              <w:left w:val="single" w:color="000000" w:sz="12" w:space="0"/>
            </w:tcBorders>
          </w:tcPr>
          <w:p>
            <w:pPr>
              <w:pStyle w:val="10"/>
              <w:ind w:left="323" w:right="294"/>
              <w:jc w:val="center"/>
              <w:rPr>
                <w:sz w:val="21"/>
              </w:rPr>
            </w:pPr>
            <w:r>
              <w:rPr>
                <w:spacing w:val="-5"/>
                <w:sz w:val="21"/>
              </w:rPr>
              <w:t>48</w:t>
            </w:r>
          </w:p>
        </w:tc>
        <w:tc>
          <w:tcPr>
            <w:tcW w:w="2194" w:type="dxa"/>
          </w:tcPr>
          <w:p>
            <w:pPr>
              <w:pStyle w:val="10"/>
              <w:ind w:left="119"/>
              <w:rPr>
                <w:sz w:val="21"/>
              </w:rPr>
            </w:pPr>
            <w:r>
              <w:rPr>
                <w:spacing w:val="-4"/>
                <w:sz w:val="21"/>
              </w:rPr>
              <w:t>脊髓空洞症</w:t>
            </w:r>
          </w:p>
        </w:tc>
        <w:tc>
          <w:tcPr>
            <w:tcW w:w="6656" w:type="dxa"/>
            <w:tcBorders>
              <w:right w:val="single" w:color="000000" w:sz="12" w:space="0"/>
            </w:tcBorders>
          </w:tcPr>
          <w:p>
            <w:pPr>
              <w:pStyle w:val="10"/>
              <w:spacing w:line="278" w:lineRule="auto"/>
              <w:ind w:right="2"/>
              <w:rPr>
                <w:sz w:val="21"/>
              </w:rPr>
            </w:pPr>
            <w:r>
              <w:rPr>
                <w:spacing w:val="-2"/>
                <w:sz w:val="21"/>
              </w:rPr>
              <w:t>脊髓空洞症为慢性进行性的脊髓变性疾病，其特征为脊髓内空洞形成。表现为感觉异常、肌萎缩及神经营养障碍。脊髓空洞症累及延髓的称为延髓空洞症，表现为延髓麻痹。脊髓空洞症必须明确诊断并且造成永久</w:t>
            </w:r>
            <w:r>
              <w:rPr>
                <w:spacing w:val="-8"/>
                <w:sz w:val="21"/>
              </w:rPr>
              <w:t xml:space="preserve">不可逆的神经系统功能障碍，存在持续至少 </w:t>
            </w:r>
            <w:r>
              <w:rPr>
                <w:sz w:val="21"/>
              </w:rPr>
              <w:t>180</w:t>
            </w:r>
            <w:r>
              <w:rPr>
                <w:spacing w:val="-6"/>
                <w:sz w:val="21"/>
              </w:rPr>
              <w:t xml:space="preserve"> 天以上的神经系统功能</w:t>
            </w:r>
            <w:r>
              <w:rPr>
                <w:spacing w:val="-2"/>
                <w:sz w:val="21"/>
              </w:rPr>
              <w:t>缺失并满足下列条件之一：</w:t>
            </w:r>
          </w:p>
          <w:p>
            <w:pPr>
              <w:pStyle w:val="10"/>
              <w:numPr>
                <w:ilvl w:val="0"/>
                <w:numId w:val="57"/>
              </w:numPr>
              <w:tabs>
                <w:tab w:val="left" w:pos="637"/>
              </w:tabs>
              <w:spacing w:before="0" w:after="0" w:line="268" w:lineRule="exact"/>
              <w:ind w:left="636" w:right="0" w:hanging="530"/>
              <w:jc w:val="left"/>
              <w:rPr>
                <w:sz w:val="21"/>
              </w:rPr>
            </w:pPr>
            <w:r>
              <w:rPr>
                <w:spacing w:val="-3"/>
                <w:sz w:val="21"/>
              </w:rPr>
              <w:t>延髓麻痹存在显著舌肌萎缩、构音困难和吞咽困难；</w:t>
            </w:r>
          </w:p>
          <w:p>
            <w:pPr>
              <w:pStyle w:val="10"/>
              <w:numPr>
                <w:ilvl w:val="0"/>
                <w:numId w:val="57"/>
              </w:numPr>
              <w:tabs>
                <w:tab w:val="left" w:pos="637"/>
              </w:tabs>
              <w:spacing w:before="43" w:after="0" w:line="240" w:lineRule="auto"/>
              <w:ind w:left="636" w:right="0" w:hanging="530"/>
              <w:jc w:val="left"/>
              <w:rPr>
                <w:sz w:val="21"/>
              </w:rPr>
            </w:pPr>
            <w:r>
              <w:rPr>
                <w:spacing w:val="-15"/>
                <w:sz w:val="21"/>
              </w:rPr>
              <w:t xml:space="preserve">双手萎缩呈“爪形手”，肌力 </w:t>
            </w:r>
            <w:r>
              <w:rPr>
                <w:spacing w:val="-2"/>
                <w:sz w:val="21"/>
              </w:rPr>
              <w:t>2</w:t>
            </w:r>
            <w:r>
              <w:rPr>
                <w:spacing w:val="-13"/>
                <w:sz w:val="21"/>
              </w:rPr>
              <w:t xml:space="preserve"> 级或以下。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090" w:type="dxa"/>
            <w:tcBorders>
              <w:left w:val="single" w:color="000000" w:sz="12" w:space="0"/>
            </w:tcBorders>
          </w:tcPr>
          <w:p>
            <w:pPr>
              <w:pStyle w:val="10"/>
              <w:ind w:left="323" w:right="294"/>
              <w:jc w:val="center"/>
              <w:rPr>
                <w:sz w:val="21"/>
              </w:rPr>
            </w:pPr>
            <w:r>
              <w:rPr>
                <w:spacing w:val="-5"/>
                <w:sz w:val="21"/>
              </w:rPr>
              <w:t>49</w:t>
            </w:r>
          </w:p>
        </w:tc>
        <w:tc>
          <w:tcPr>
            <w:tcW w:w="2194" w:type="dxa"/>
          </w:tcPr>
          <w:p>
            <w:pPr>
              <w:pStyle w:val="10"/>
              <w:ind w:left="119"/>
              <w:rPr>
                <w:sz w:val="21"/>
              </w:rPr>
            </w:pPr>
            <w:r>
              <w:rPr>
                <w:spacing w:val="-4"/>
                <w:sz w:val="21"/>
              </w:rPr>
              <w:t>脊髓血管病后遗症</w:t>
            </w:r>
          </w:p>
        </w:tc>
        <w:tc>
          <w:tcPr>
            <w:tcW w:w="6656" w:type="dxa"/>
            <w:tcBorders>
              <w:right w:val="single" w:color="000000" w:sz="12" w:space="0"/>
            </w:tcBorders>
          </w:tcPr>
          <w:p>
            <w:pPr>
              <w:pStyle w:val="10"/>
              <w:rPr>
                <w:sz w:val="21"/>
              </w:rPr>
            </w:pPr>
            <w:r>
              <w:rPr>
                <w:spacing w:val="-7"/>
                <w:sz w:val="21"/>
              </w:rPr>
              <w:t>指脊髓血管的突发病变引起脊髓梗塞或脊髓出血，导致永久性不可逆的</w:t>
            </w:r>
          </w:p>
          <w:p>
            <w:pPr>
              <w:pStyle w:val="10"/>
              <w:spacing w:before="43"/>
              <w:rPr>
                <w:sz w:val="21"/>
              </w:rPr>
            </w:pPr>
            <w:r>
              <w:rPr>
                <w:spacing w:val="-5"/>
                <w:sz w:val="21"/>
              </w:rPr>
              <w:t>神经系统功能损害，表现为截瘫或四肢瘫。神经系统永久性的功能障碍</w:t>
            </w:r>
          </w:p>
        </w:tc>
      </w:tr>
    </w:tbl>
    <w:p>
      <w:pPr>
        <w:spacing w:after="0"/>
        <w:rPr>
          <w:sz w:val="21"/>
        </w:rPr>
        <w:sectPr>
          <w:type w:val="continuous"/>
          <w:pgSz w:w="11910" w:h="16840"/>
          <w:pgMar w:top="840" w:right="340" w:bottom="640" w:left="800" w:header="0" w:footer="457" w:gutter="0"/>
          <w:cols w:space="720" w:num="1"/>
        </w:sectPr>
      </w:pPr>
    </w:p>
    <w:tbl>
      <w:tblPr>
        <w:tblStyle w:val="6"/>
        <w:tblW w:w="0" w:type="auto"/>
        <w:tblInd w:w="22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90"/>
        <w:gridCol w:w="2194"/>
        <w:gridCol w:w="113"/>
        <w:gridCol w:w="5488"/>
        <w:gridCol w:w="105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7" w:hRule="atLeast"/>
        </w:trPr>
        <w:tc>
          <w:tcPr>
            <w:tcW w:w="1090" w:type="dxa"/>
            <w:tcBorders>
              <w:left w:val="single" w:color="000000" w:sz="12" w:space="0"/>
            </w:tcBorders>
          </w:tcPr>
          <w:p>
            <w:pPr>
              <w:pStyle w:val="10"/>
              <w:spacing w:before="0"/>
              <w:ind w:left="0"/>
              <w:rPr>
                <w:rFonts w:ascii="Times New Roman"/>
                <w:sz w:val="20"/>
              </w:rPr>
            </w:pPr>
          </w:p>
        </w:tc>
        <w:tc>
          <w:tcPr>
            <w:tcW w:w="2194" w:type="dxa"/>
          </w:tcPr>
          <w:p>
            <w:pPr>
              <w:pStyle w:val="10"/>
              <w:spacing w:before="0"/>
              <w:ind w:left="0"/>
              <w:rPr>
                <w:rFonts w:ascii="Times New Roman"/>
                <w:sz w:val="20"/>
              </w:rPr>
            </w:pPr>
          </w:p>
        </w:tc>
        <w:tc>
          <w:tcPr>
            <w:tcW w:w="6658" w:type="dxa"/>
            <w:gridSpan w:val="3"/>
            <w:tcBorders>
              <w:right w:val="single" w:color="000000" w:sz="12" w:space="0"/>
            </w:tcBorders>
          </w:tcPr>
          <w:p>
            <w:pPr>
              <w:pStyle w:val="10"/>
              <w:spacing w:line="278" w:lineRule="auto"/>
              <w:ind w:right="75"/>
              <w:rPr>
                <w:sz w:val="21"/>
              </w:rPr>
            </w:pPr>
            <w:r>
              <w:rPr>
                <w:spacing w:val="-9"/>
                <w:sz w:val="21"/>
              </w:rPr>
              <w:t xml:space="preserve">指疾病确诊 </w:t>
            </w:r>
            <w:r>
              <w:rPr>
                <w:sz w:val="21"/>
              </w:rPr>
              <w:t>180</w:t>
            </w:r>
            <w:r>
              <w:rPr>
                <w:spacing w:val="-12"/>
                <w:sz w:val="21"/>
              </w:rPr>
              <w:t xml:space="preserve"> 天后，仍然遗留后遗症无法独立完成下列基本日常生活</w:t>
            </w:r>
            <w:r>
              <w:rPr>
                <w:spacing w:val="-2"/>
                <w:sz w:val="21"/>
              </w:rPr>
              <w:t>活动之一：</w:t>
            </w:r>
          </w:p>
          <w:p>
            <w:pPr>
              <w:pStyle w:val="10"/>
              <w:numPr>
                <w:ilvl w:val="0"/>
                <w:numId w:val="58"/>
              </w:numPr>
              <w:tabs>
                <w:tab w:val="left" w:pos="637"/>
              </w:tabs>
              <w:spacing w:before="0" w:after="0" w:line="269" w:lineRule="exact"/>
              <w:ind w:left="636" w:right="0" w:hanging="530"/>
              <w:jc w:val="left"/>
              <w:rPr>
                <w:sz w:val="21"/>
              </w:rPr>
            </w:pPr>
            <w:r>
              <w:rPr>
                <w:spacing w:val="-3"/>
                <w:sz w:val="21"/>
              </w:rPr>
              <w:t>移动：自己从一个房间到另一个房间；</w:t>
            </w:r>
          </w:p>
          <w:p>
            <w:pPr>
              <w:pStyle w:val="10"/>
              <w:numPr>
                <w:ilvl w:val="0"/>
                <w:numId w:val="58"/>
              </w:numPr>
              <w:tabs>
                <w:tab w:val="left" w:pos="637"/>
              </w:tabs>
              <w:spacing w:before="43" w:after="0" w:line="240" w:lineRule="auto"/>
              <w:ind w:left="636" w:right="0" w:hanging="530"/>
              <w:jc w:val="left"/>
              <w:rPr>
                <w:sz w:val="21"/>
              </w:rPr>
            </w:pPr>
            <w:r>
              <w:rPr>
                <w:spacing w:val="-3"/>
                <w:sz w:val="21"/>
              </w:rPr>
              <w:t>进食：自己从已准备好的碗或碟中取食物放入口中。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5" w:hRule="atLeast"/>
        </w:trPr>
        <w:tc>
          <w:tcPr>
            <w:tcW w:w="1090" w:type="dxa"/>
            <w:tcBorders>
              <w:left w:val="single" w:color="000000" w:sz="12" w:space="0"/>
            </w:tcBorders>
          </w:tcPr>
          <w:p>
            <w:pPr>
              <w:pStyle w:val="10"/>
              <w:ind w:left="323" w:right="294"/>
              <w:jc w:val="center"/>
              <w:rPr>
                <w:sz w:val="21"/>
              </w:rPr>
            </w:pPr>
            <w:r>
              <w:rPr>
                <w:spacing w:val="-5"/>
                <w:sz w:val="21"/>
              </w:rPr>
              <w:t>50</w:t>
            </w:r>
          </w:p>
        </w:tc>
        <w:tc>
          <w:tcPr>
            <w:tcW w:w="2194" w:type="dxa"/>
          </w:tcPr>
          <w:p>
            <w:pPr>
              <w:pStyle w:val="10"/>
              <w:spacing w:line="278" w:lineRule="auto"/>
              <w:ind w:left="119" w:right="82"/>
              <w:rPr>
                <w:sz w:val="21"/>
              </w:rPr>
            </w:pPr>
            <w:r>
              <w:rPr>
                <w:sz w:val="21"/>
              </w:rPr>
              <w:t>重症原发性血小板减</w:t>
            </w:r>
            <w:r>
              <w:rPr>
                <w:spacing w:val="-4"/>
                <w:sz w:val="21"/>
              </w:rPr>
              <w:t>少性紫癜</w:t>
            </w:r>
          </w:p>
        </w:tc>
        <w:tc>
          <w:tcPr>
            <w:tcW w:w="6658" w:type="dxa"/>
            <w:gridSpan w:val="3"/>
            <w:tcBorders>
              <w:right w:val="single" w:color="000000" w:sz="12" w:space="0"/>
            </w:tcBorders>
          </w:tcPr>
          <w:p>
            <w:pPr>
              <w:pStyle w:val="10"/>
              <w:spacing w:line="278" w:lineRule="auto"/>
              <w:ind w:right="75"/>
              <w:jc w:val="both"/>
              <w:rPr>
                <w:sz w:val="21"/>
              </w:rPr>
            </w:pPr>
            <w:r>
              <w:rPr>
                <w:spacing w:val="-5"/>
                <w:sz w:val="21"/>
              </w:rPr>
              <w:t>原发性血小板减少性紫癜为原因不明的免疫介导的血小板减少，临床表</w:t>
            </w:r>
            <w:r>
              <w:rPr>
                <w:spacing w:val="-8"/>
                <w:sz w:val="21"/>
              </w:rPr>
              <w:t>现为皮肤粘膜出血及内脏出血。重症免疫性血小板减少性紫癜必须满足</w:t>
            </w:r>
            <w:r>
              <w:rPr>
                <w:spacing w:val="-2"/>
                <w:sz w:val="21"/>
              </w:rPr>
              <w:t>下列所有条件：</w:t>
            </w:r>
          </w:p>
          <w:p>
            <w:pPr>
              <w:pStyle w:val="10"/>
              <w:spacing w:before="0" w:line="269" w:lineRule="exact"/>
              <w:rPr>
                <w:sz w:val="21"/>
              </w:rPr>
            </w:pPr>
            <w:r>
              <w:rPr>
                <w:spacing w:val="-2"/>
                <w:sz w:val="21"/>
              </w:rPr>
              <w:t>（1）血小板计数&lt;10x10</w:t>
            </w:r>
            <w:r>
              <w:rPr>
                <w:spacing w:val="-2"/>
                <w:position w:val="11"/>
                <w:sz w:val="11"/>
              </w:rPr>
              <w:t>9</w:t>
            </w:r>
            <w:r>
              <w:rPr>
                <w:spacing w:val="-2"/>
                <w:sz w:val="21"/>
              </w:rPr>
              <w:t>/L；</w:t>
            </w:r>
          </w:p>
          <w:p>
            <w:pPr>
              <w:pStyle w:val="10"/>
              <w:numPr>
                <w:ilvl w:val="0"/>
                <w:numId w:val="59"/>
              </w:numPr>
              <w:tabs>
                <w:tab w:val="left" w:pos="637"/>
              </w:tabs>
              <w:spacing w:before="43" w:after="0" w:line="240" w:lineRule="auto"/>
              <w:ind w:left="636" w:right="0" w:hanging="530"/>
              <w:jc w:val="left"/>
              <w:rPr>
                <w:sz w:val="21"/>
              </w:rPr>
            </w:pPr>
            <w:r>
              <w:rPr>
                <w:spacing w:val="-4"/>
                <w:sz w:val="21"/>
              </w:rPr>
              <w:t>颅内出血；</w:t>
            </w:r>
          </w:p>
          <w:p>
            <w:pPr>
              <w:pStyle w:val="10"/>
              <w:numPr>
                <w:ilvl w:val="0"/>
                <w:numId w:val="59"/>
              </w:numPr>
              <w:tabs>
                <w:tab w:val="left" w:pos="637"/>
              </w:tabs>
              <w:spacing w:before="43" w:after="0" w:line="240" w:lineRule="auto"/>
              <w:ind w:left="636" w:right="0" w:hanging="530"/>
              <w:jc w:val="left"/>
              <w:rPr>
                <w:sz w:val="21"/>
              </w:rPr>
            </w:pPr>
            <w:r>
              <w:rPr>
                <w:spacing w:val="-2"/>
                <w:sz w:val="21"/>
              </w:rPr>
              <w:t>内脏出血（肺、胃肠道和/或泌尿生殖系统</w:t>
            </w:r>
            <w:r>
              <w:rPr>
                <w:spacing w:val="-111"/>
                <w:sz w:val="21"/>
              </w:rPr>
              <w:t>）</w:t>
            </w:r>
            <w:r>
              <w:rPr>
                <w:spacing w:val="-5"/>
                <w:sz w:val="21"/>
              </w:rPr>
              <w:t>；</w:t>
            </w:r>
          </w:p>
          <w:p>
            <w:pPr>
              <w:pStyle w:val="10"/>
              <w:numPr>
                <w:ilvl w:val="0"/>
                <w:numId w:val="59"/>
              </w:numPr>
              <w:tabs>
                <w:tab w:val="left" w:pos="637"/>
              </w:tabs>
              <w:spacing w:before="43" w:after="0" w:line="240" w:lineRule="auto"/>
              <w:ind w:left="636" w:right="0" w:hanging="530"/>
              <w:jc w:val="left"/>
              <w:rPr>
                <w:sz w:val="21"/>
              </w:rPr>
            </w:pPr>
            <w:r>
              <w:rPr>
                <w:spacing w:val="-8"/>
                <w:sz w:val="21"/>
              </w:rPr>
              <w:t>贫血，血红蛋白</w:t>
            </w:r>
            <w:r>
              <w:rPr>
                <w:spacing w:val="1"/>
                <w:sz w:val="21"/>
              </w:rPr>
              <w:t>&lt;9</w:t>
            </w:r>
            <w:r>
              <w:rPr>
                <w:spacing w:val="-2"/>
                <w:sz w:val="21"/>
              </w:rPr>
              <w:t>g/</w:t>
            </w:r>
            <w:r>
              <w:rPr>
                <w:spacing w:val="1"/>
                <w:sz w:val="21"/>
              </w:rPr>
              <w:t>dl（9</w:t>
            </w:r>
            <w:r>
              <w:rPr>
                <w:spacing w:val="-2"/>
                <w:sz w:val="21"/>
              </w:rPr>
              <w:t>0</w:t>
            </w:r>
            <w:r>
              <w:rPr>
                <w:spacing w:val="1"/>
                <w:sz w:val="21"/>
              </w:rPr>
              <w:t>g/</w:t>
            </w:r>
            <w:r>
              <w:rPr>
                <w:sz w:val="21"/>
              </w:rPr>
              <w:t>L</w:t>
            </w:r>
            <w:r>
              <w:rPr>
                <w:spacing w:val="-107"/>
                <w:sz w:val="21"/>
              </w:rPr>
              <w:t>）</w:t>
            </w:r>
            <w:r>
              <w:rPr>
                <w:spacing w:val="-118"/>
                <w:sz w:val="21"/>
              </w:rPr>
              <w:t>。</w:t>
            </w:r>
          </w:p>
          <w:p>
            <w:pPr>
              <w:pStyle w:val="10"/>
              <w:spacing w:before="43"/>
              <w:rPr>
                <w:rFonts w:ascii="黑体" w:eastAsia="黑体"/>
                <w:sz w:val="21"/>
              </w:rPr>
            </w:pPr>
            <w:r>
              <w:rPr>
                <w:rFonts w:ascii="黑体" w:eastAsia="黑体"/>
                <w:color w:val="000000"/>
                <w:spacing w:val="-3"/>
                <w:sz w:val="21"/>
                <w:shd w:val="clear" w:color="auto" w:fill="D9D9D9"/>
              </w:rPr>
              <w:t>继发性免疫性血小板减少性紫癜不在保障范围内。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32" w:hRule="atLeast"/>
        </w:trPr>
        <w:tc>
          <w:tcPr>
            <w:tcW w:w="1090" w:type="dxa"/>
            <w:tcBorders>
              <w:left w:val="single" w:color="000000" w:sz="12" w:space="0"/>
            </w:tcBorders>
          </w:tcPr>
          <w:p>
            <w:pPr>
              <w:pStyle w:val="10"/>
              <w:ind w:left="323" w:right="294"/>
              <w:jc w:val="center"/>
              <w:rPr>
                <w:sz w:val="21"/>
              </w:rPr>
            </w:pPr>
            <w:r>
              <w:rPr>
                <w:spacing w:val="-5"/>
                <w:sz w:val="21"/>
              </w:rPr>
              <w:t>51</w:t>
            </w:r>
          </w:p>
        </w:tc>
        <w:tc>
          <w:tcPr>
            <w:tcW w:w="2194" w:type="dxa"/>
          </w:tcPr>
          <w:p>
            <w:pPr>
              <w:pStyle w:val="10"/>
              <w:spacing w:line="278" w:lineRule="auto"/>
              <w:ind w:left="119" w:right="82"/>
              <w:rPr>
                <w:sz w:val="21"/>
              </w:rPr>
            </w:pPr>
            <w:r>
              <w:rPr>
                <w:sz w:val="21"/>
              </w:rPr>
              <w:t>严重弥漫性系统性硬</w:t>
            </w:r>
            <w:r>
              <w:rPr>
                <w:spacing w:val="-6"/>
                <w:sz w:val="21"/>
              </w:rPr>
              <w:t>皮病</w:t>
            </w:r>
          </w:p>
        </w:tc>
        <w:tc>
          <w:tcPr>
            <w:tcW w:w="6658" w:type="dxa"/>
            <w:gridSpan w:val="3"/>
            <w:tcBorders>
              <w:right w:val="single" w:color="000000" w:sz="12" w:space="0"/>
            </w:tcBorders>
          </w:tcPr>
          <w:p>
            <w:pPr>
              <w:pStyle w:val="10"/>
              <w:spacing w:line="278" w:lineRule="auto"/>
              <w:ind w:right="75"/>
              <w:jc w:val="both"/>
              <w:rPr>
                <w:sz w:val="21"/>
              </w:rPr>
            </w:pPr>
            <w:r>
              <w:rPr>
                <w:spacing w:val="-6"/>
                <w:sz w:val="21"/>
              </w:rPr>
              <w:t>一种系统性胶原血管病引起进行性的皮肤、血管和内脏器官的弥漫性纤</w:t>
            </w:r>
            <w:r>
              <w:rPr>
                <w:spacing w:val="-11"/>
                <w:sz w:val="21"/>
              </w:rPr>
              <w:t>维化。诊断必须明确并由活检和血清学证据支持并且疾病已经影响到心</w:t>
            </w:r>
            <w:r>
              <w:rPr>
                <w:spacing w:val="-2"/>
                <w:sz w:val="21"/>
              </w:rPr>
              <w:t>脏、肺或肾脏等内脏器官并且达到下列标准之一。</w:t>
            </w:r>
          </w:p>
          <w:p>
            <w:pPr>
              <w:pStyle w:val="10"/>
              <w:numPr>
                <w:ilvl w:val="0"/>
                <w:numId w:val="60"/>
              </w:numPr>
              <w:tabs>
                <w:tab w:val="left" w:pos="637"/>
              </w:tabs>
              <w:spacing w:before="0" w:after="0" w:line="240" w:lineRule="auto"/>
              <w:ind w:left="636" w:right="0" w:hanging="530"/>
              <w:jc w:val="left"/>
              <w:rPr>
                <w:sz w:val="21"/>
              </w:rPr>
            </w:pPr>
            <w:r>
              <w:rPr>
                <w:spacing w:val="-3"/>
                <w:sz w:val="21"/>
              </w:rPr>
              <w:t>肺纤维化，已经出现肺动脉高压、肺心病；</w:t>
            </w:r>
          </w:p>
          <w:p>
            <w:pPr>
              <w:pStyle w:val="10"/>
              <w:numPr>
                <w:ilvl w:val="0"/>
                <w:numId w:val="60"/>
              </w:numPr>
              <w:tabs>
                <w:tab w:val="left" w:pos="637"/>
              </w:tabs>
              <w:spacing w:before="43" w:after="0" w:line="278" w:lineRule="auto"/>
              <w:ind w:left="107" w:right="109" w:firstLine="0"/>
              <w:jc w:val="left"/>
              <w:rPr>
                <w:sz w:val="21"/>
              </w:rPr>
            </w:pPr>
            <w:r>
              <w:rPr>
                <w:spacing w:val="-2"/>
                <w:sz w:val="21"/>
              </w:rPr>
              <w:t>心脏损害，心脏功能衰竭程度达到纽约心脏病学会的心功能分级标准之心功能III级；</w:t>
            </w:r>
          </w:p>
          <w:p>
            <w:pPr>
              <w:pStyle w:val="10"/>
              <w:numPr>
                <w:ilvl w:val="0"/>
                <w:numId w:val="60"/>
              </w:numPr>
              <w:tabs>
                <w:tab w:val="left" w:pos="637"/>
              </w:tabs>
              <w:spacing w:before="0" w:after="0" w:line="269" w:lineRule="exact"/>
              <w:ind w:left="636" w:right="-29" w:hanging="530"/>
              <w:jc w:val="left"/>
              <w:rPr>
                <w:sz w:val="21"/>
              </w:rPr>
            </w:pPr>
            <w:r>
              <w:rPr>
                <w:spacing w:val="-2"/>
                <w:sz w:val="21"/>
              </w:rPr>
              <w:t>肾脏损害，已经出现肾功能衰竭，肾小球滤过率&lt;30ml/min/1.73</w:t>
            </w:r>
            <w:r>
              <w:rPr>
                <w:spacing w:val="-2"/>
                <w:position w:val="11"/>
                <w:sz w:val="11"/>
              </w:rPr>
              <w:t>2</w:t>
            </w:r>
            <w:r>
              <w:rPr>
                <w:spacing w:val="-10"/>
                <w:sz w:val="21"/>
              </w:rPr>
              <w:t>。</w:t>
            </w:r>
          </w:p>
          <w:p>
            <w:pPr>
              <w:pStyle w:val="10"/>
              <w:spacing w:before="43"/>
              <w:rPr>
                <w:rFonts w:ascii="黑体" w:eastAsia="黑体"/>
                <w:sz w:val="21"/>
              </w:rPr>
            </w:pPr>
            <w:r>
              <w:rPr>
                <w:rFonts w:ascii="黑体" w:eastAsia="黑体"/>
                <w:color w:val="000000"/>
                <w:spacing w:val="-3"/>
                <w:sz w:val="21"/>
                <w:shd w:val="clear" w:color="auto" w:fill="D9D9D9"/>
              </w:rPr>
              <w:t>下列疾病不在保障范围内：</w:t>
            </w:r>
          </w:p>
          <w:p>
            <w:pPr>
              <w:pStyle w:val="10"/>
              <w:numPr>
                <w:ilvl w:val="0"/>
                <w:numId w:val="61"/>
              </w:numPr>
              <w:tabs>
                <w:tab w:val="left" w:pos="637"/>
              </w:tabs>
              <w:spacing w:before="43" w:after="0" w:line="240" w:lineRule="auto"/>
              <w:ind w:left="636" w:right="0" w:hanging="530"/>
              <w:jc w:val="left"/>
              <w:rPr>
                <w:rFonts w:ascii="黑体" w:eastAsia="黑体"/>
                <w:sz w:val="21"/>
              </w:rPr>
            </w:pPr>
            <w:r>
              <w:rPr>
                <w:rFonts w:ascii="黑体" w:eastAsia="黑体"/>
                <w:color w:val="000000"/>
                <w:spacing w:val="-4"/>
                <w:sz w:val="21"/>
                <w:shd w:val="clear" w:color="auto" w:fill="D9D9D9"/>
              </w:rPr>
              <w:t>局限硬皮病；</w:t>
            </w:r>
          </w:p>
          <w:p>
            <w:pPr>
              <w:pStyle w:val="10"/>
              <w:numPr>
                <w:ilvl w:val="0"/>
                <w:numId w:val="61"/>
              </w:numPr>
              <w:tabs>
                <w:tab w:val="left" w:pos="637"/>
              </w:tabs>
              <w:spacing w:before="43" w:after="0" w:line="240" w:lineRule="auto"/>
              <w:ind w:left="636" w:right="0" w:hanging="530"/>
              <w:jc w:val="left"/>
              <w:rPr>
                <w:rFonts w:ascii="黑体" w:eastAsia="黑体"/>
                <w:sz w:val="21"/>
              </w:rPr>
            </w:pPr>
            <w:r>
              <w:rPr>
                <w:rFonts w:ascii="黑体" w:eastAsia="黑体"/>
                <w:color w:val="000000"/>
                <w:spacing w:val="-4"/>
                <w:sz w:val="21"/>
                <w:shd w:val="clear" w:color="auto" w:fill="D9D9D9"/>
              </w:rPr>
              <w:t>嗜酸细胞筋膜炎；</w:t>
            </w:r>
          </w:p>
          <w:p>
            <w:pPr>
              <w:pStyle w:val="10"/>
              <w:numPr>
                <w:ilvl w:val="0"/>
                <w:numId w:val="61"/>
              </w:numPr>
              <w:tabs>
                <w:tab w:val="left" w:pos="637"/>
              </w:tabs>
              <w:spacing w:before="43" w:after="0" w:line="240" w:lineRule="auto"/>
              <w:ind w:left="636" w:right="0" w:hanging="530"/>
              <w:jc w:val="left"/>
              <w:rPr>
                <w:rFonts w:ascii="黑体" w:eastAsia="黑体"/>
                <w:sz w:val="21"/>
              </w:rPr>
            </w:pPr>
            <w:r>
              <w:rPr>
                <w:rFonts w:ascii="黑体" w:eastAsia="黑体"/>
                <w:color w:val="000000"/>
                <w:spacing w:val="-2"/>
                <w:sz w:val="21"/>
                <w:shd w:val="clear" w:color="auto" w:fill="D9D9D9"/>
              </w:rPr>
              <w:t>CREST</w:t>
            </w:r>
            <w:r>
              <w:rPr>
                <w:rFonts w:ascii="黑体" w:eastAsia="黑体"/>
                <w:color w:val="000000"/>
                <w:spacing w:val="-4"/>
                <w:sz w:val="21"/>
                <w:shd w:val="clear" w:color="auto" w:fill="D9D9D9"/>
              </w:rPr>
              <w:t>综合征。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2" w:hRule="atLeast"/>
        </w:trPr>
        <w:tc>
          <w:tcPr>
            <w:tcW w:w="1090" w:type="dxa"/>
            <w:vMerge w:val="restart"/>
            <w:tcBorders>
              <w:left w:val="single" w:color="000000" w:sz="12" w:space="0"/>
            </w:tcBorders>
          </w:tcPr>
          <w:p>
            <w:pPr>
              <w:pStyle w:val="10"/>
              <w:ind w:left="323" w:right="294"/>
              <w:jc w:val="center"/>
              <w:rPr>
                <w:sz w:val="21"/>
              </w:rPr>
            </w:pPr>
            <w:r>
              <w:rPr>
                <w:spacing w:val="-5"/>
                <w:sz w:val="21"/>
              </w:rPr>
              <w:t>52</w:t>
            </w:r>
          </w:p>
        </w:tc>
        <w:tc>
          <w:tcPr>
            <w:tcW w:w="2194" w:type="dxa"/>
            <w:vMerge w:val="restart"/>
          </w:tcPr>
          <w:p>
            <w:pPr>
              <w:pStyle w:val="10"/>
              <w:ind w:left="119"/>
              <w:rPr>
                <w:sz w:val="21"/>
              </w:rPr>
            </w:pPr>
            <w:r>
              <w:rPr>
                <w:spacing w:val="-3"/>
                <w:sz w:val="21"/>
              </w:rPr>
              <w:t>严重类风湿性关节炎</w:t>
            </w:r>
          </w:p>
        </w:tc>
        <w:tc>
          <w:tcPr>
            <w:tcW w:w="6658" w:type="dxa"/>
            <w:gridSpan w:val="3"/>
            <w:tcBorders>
              <w:bottom w:val="nil"/>
              <w:right w:val="single" w:color="000000" w:sz="12" w:space="0"/>
            </w:tcBorders>
          </w:tcPr>
          <w:p>
            <w:pPr>
              <w:pStyle w:val="10"/>
              <w:spacing w:line="278" w:lineRule="auto"/>
              <w:ind w:right="75"/>
              <w:jc w:val="both"/>
              <w:rPr>
                <w:sz w:val="21"/>
              </w:rPr>
            </w:pPr>
            <w:r>
              <w:rPr>
                <w:spacing w:val="-5"/>
                <w:sz w:val="21"/>
              </w:rPr>
              <w:t>类风湿性关节炎为广泛分布的慢性进行性多关节病变，表现为关节严重</w:t>
            </w:r>
            <w:r>
              <w:rPr>
                <w:spacing w:val="-4"/>
                <w:sz w:val="21"/>
              </w:rPr>
              <w:t>变形，侵犯至少三个主要关节或关节组【如：双手（多手指）关节、双</w:t>
            </w:r>
            <w:r>
              <w:rPr>
                <w:spacing w:val="-2"/>
                <w:sz w:val="21"/>
              </w:rPr>
              <w:t>足（多足趾）</w:t>
            </w:r>
            <w:r>
              <w:rPr>
                <w:spacing w:val="-8"/>
                <w:sz w:val="21"/>
              </w:rPr>
              <w:t>关节、双腕关节、双膝关节和双髋关节】。类风湿性关节</w:t>
            </w:r>
            <w:r>
              <w:rPr>
                <w:spacing w:val="-3"/>
                <w:sz w:val="21"/>
              </w:rPr>
              <w:t xml:space="preserve">炎必须明确诊断并且已经达到类风湿性关节炎功能分类 </w:t>
            </w:r>
            <w:r>
              <w:rPr>
                <w:spacing w:val="-2"/>
                <w:sz w:val="21"/>
              </w:rPr>
              <w:t>IV</w:t>
            </w:r>
            <w:r>
              <w:rPr>
                <w:spacing w:val="-6"/>
                <w:sz w:val="21"/>
              </w:rPr>
              <w:t xml:space="preserve"> 级的永久不</w:t>
            </w:r>
            <w:r>
              <w:rPr>
                <w:spacing w:val="-2"/>
                <w:sz w:val="21"/>
              </w:rPr>
              <w:t>可逆性关节功能障碍（生活不能自理，且丧失活动能力</w:t>
            </w:r>
            <w:r>
              <w:rPr>
                <w:spacing w:val="-108"/>
                <w:sz w:val="21"/>
              </w:rPr>
              <w:t>）</w:t>
            </w:r>
            <w:r>
              <w:rPr>
                <w:spacing w:val="-2"/>
                <w:sz w:val="21"/>
              </w:rPr>
              <w:t>。</w:t>
            </w:r>
          </w:p>
          <w:p>
            <w:pPr>
              <w:pStyle w:val="10"/>
              <w:spacing w:before="0"/>
              <w:rPr>
                <w:b/>
                <w:sz w:val="21"/>
              </w:rPr>
            </w:pPr>
            <w:r>
              <w:rPr>
                <w:b/>
                <w:spacing w:val="-3"/>
                <w:sz w:val="21"/>
              </w:rPr>
              <w:t>美国风湿病学会类风湿性关节炎分级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090" w:type="dxa"/>
            <w:vMerge w:val="continue"/>
            <w:tcBorders>
              <w:top w:val="nil"/>
              <w:left w:val="single" w:color="000000" w:sz="12" w:space="0"/>
            </w:tcBorders>
          </w:tcPr>
          <w:p>
            <w:pPr>
              <w:rPr>
                <w:sz w:val="2"/>
                <w:szCs w:val="2"/>
              </w:rPr>
            </w:pPr>
          </w:p>
        </w:tc>
        <w:tc>
          <w:tcPr>
            <w:tcW w:w="2194" w:type="dxa"/>
            <w:vMerge w:val="continue"/>
            <w:tcBorders>
              <w:top w:val="nil"/>
            </w:tcBorders>
          </w:tcPr>
          <w:p>
            <w:pPr>
              <w:rPr>
                <w:sz w:val="2"/>
                <w:szCs w:val="2"/>
              </w:rPr>
            </w:pPr>
          </w:p>
        </w:tc>
        <w:tc>
          <w:tcPr>
            <w:tcW w:w="113" w:type="dxa"/>
            <w:vMerge w:val="restart"/>
            <w:tcBorders>
              <w:top w:val="nil"/>
            </w:tcBorders>
          </w:tcPr>
          <w:p>
            <w:pPr>
              <w:pStyle w:val="10"/>
              <w:spacing w:before="0"/>
              <w:ind w:left="0"/>
              <w:rPr>
                <w:rFonts w:ascii="Times New Roman"/>
                <w:sz w:val="20"/>
              </w:rPr>
            </w:pPr>
          </w:p>
        </w:tc>
        <w:tc>
          <w:tcPr>
            <w:tcW w:w="5488" w:type="dxa"/>
          </w:tcPr>
          <w:p>
            <w:pPr>
              <w:pStyle w:val="10"/>
              <w:ind w:left="119"/>
              <w:rPr>
                <w:sz w:val="21"/>
              </w:rPr>
            </w:pPr>
            <w:r>
              <w:rPr>
                <w:spacing w:val="-2"/>
                <w:sz w:val="21"/>
              </w:rPr>
              <w:t>I</w:t>
            </w:r>
            <w:r>
              <w:rPr>
                <w:spacing w:val="-9"/>
                <w:sz w:val="21"/>
              </w:rPr>
              <w:t xml:space="preserve"> 级：关节能自由活动，能完成平常的任务而无妨碍。</w:t>
            </w:r>
          </w:p>
        </w:tc>
        <w:tc>
          <w:tcPr>
            <w:tcW w:w="1057" w:type="dxa"/>
            <w:vMerge w:val="restart"/>
            <w:tcBorders>
              <w:top w:val="nil"/>
              <w:right w:val="single" w:color="000000" w:sz="12" w:space="0"/>
            </w:tcBorders>
          </w:tcPr>
          <w:p>
            <w:pPr>
              <w:pStyle w:val="10"/>
              <w:spacing w:before="0"/>
              <w:ind w:left="0"/>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1090" w:type="dxa"/>
            <w:vMerge w:val="continue"/>
            <w:tcBorders>
              <w:top w:val="nil"/>
              <w:left w:val="single" w:color="000000" w:sz="12" w:space="0"/>
            </w:tcBorders>
          </w:tcPr>
          <w:p>
            <w:pPr>
              <w:rPr>
                <w:sz w:val="2"/>
                <w:szCs w:val="2"/>
              </w:rPr>
            </w:pPr>
          </w:p>
        </w:tc>
        <w:tc>
          <w:tcPr>
            <w:tcW w:w="2194" w:type="dxa"/>
            <w:vMerge w:val="continue"/>
            <w:tcBorders>
              <w:top w:val="nil"/>
            </w:tcBorders>
          </w:tcPr>
          <w:p>
            <w:pPr>
              <w:rPr>
                <w:sz w:val="2"/>
                <w:szCs w:val="2"/>
              </w:rPr>
            </w:pPr>
          </w:p>
        </w:tc>
        <w:tc>
          <w:tcPr>
            <w:tcW w:w="113" w:type="dxa"/>
            <w:vMerge w:val="continue"/>
            <w:tcBorders>
              <w:top w:val="nil"/>
            </w:tcBorders>
          </w:tcPr>
          <w:p>
            <w:pPr>
              <w:rPr>
                <w:sz w:val="2"/>
                <w:szCs w:val="2"/>
              </w:rPr>
            </w:pPr>
          </w:p>
        </w:tc>
        <w:tc>
          <w:tcPr>
            <w:tcW w:w="5488" w:type="dxa"/>
          </w:tcPr>
          <w:p>
            <w:pPr>
              <w:pStyle w:val="10"/>
              <w:spacing w:before="18"/>
              <w:ind w:left="119"/>
              <w:rPr>
                <w:sz w:val="21"/>
              </w:rPr>
            </w:pPr>
            <w:r>
              <w:rPr>
                <w:spacing w:val="-4"/>
                <w:sz w:val="21"/>
              </w:rPr>
              <w:t>II</w:t>
            </w:r>
            <w:r>
              <w:rPr>
                <w:spacing w:val="-10"/>
                <w:sz w:val="21"/>
              </w:rPr>
              <w:t xml:space="preserve"> 级：关节活动中度限制，一个或几个关节疼痛不适，但</w:t>
            </w:r>
          </w:p>
          <w:p>
            <w:pPr>
              <w:pStyle w:val="10"/>
              <w:spacing w:before="43"/>
              <w:ind w:left="119"/>
              <w:rPr>
                <w:sz w:val="21"/>
              </w:rPr>
            </w:pPr>
            <w:r>
              <w:rPr>
                <w:spacing w:val="-4"/>
                <w:sz w:val="21"/>
              </w:rPr>
              <w:t>能料理日常生活。</w:t>
            </w:r>
          </w:p>
        </w:tc>
        <w:tc>
          <w:tcPr>
            <w:tcW w:w="1057" w:type="dxa"/>
            <w:vMerge w:val="continue"/>
            <w:tcBorders>
              <w:top w:val="nil"/>
              <w:right w:val="single" w:color="000000" w:sz="12" w:space="0"/>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090" w:type="dxa"/>
            <w:vMerge w:val="continue"/>
            <w:tcBorders>
              <w:top w:val="nil"/>
              <w:left w:val="single" w:color="000000" w:sz="12" w:space="0"/>
            </w:tcBorders>
          </w:tcPr>
          <w:p>
            <w:pPr>
              <w:rPr>
                <w:sz w:val="2"/>
                <w:szCs w:val="2"/>
              </w:rPr>
            </w:pPr>
          </w:p>
        </w:tc>
        <w:tc>
          <w:tcPr>
            <w:tcW w:w="2194" w:type="dxa"/>
            <w:vMerge w:val="continue"/>
            <w:tcBorders>
              <w:top w:val="nil"/>
            </w:tcBorders>
          </w:tcPr>
          <w:p>
            <w:pPr>
              <w:rPr>
                <w:sz w:val="2"/>
                <w:szCs w:val="2"/>
              </w:rPr>
            </w:pPr>
          </w:p>
        </w:tc>
        <w:tc>
          <w:tcPr>
            <w:tcW w:w="113" w:type="dxa"/>
            <w:vMerge w:val="continue"/>
            <w:tcBorders>
              <w:top w:val="nil"/>
            </w:tcBorders>
          </w:tcPr>
          <w:p>
            <w:pPr>
              <w:rPr>
                <w:sz w:val="2"/>
                <w:szCs w:val="2"/>
              </w:rPr>
            </w:pPr>
          </w:p>
        </w:tc>
        <w:tc>
          <w:tcPr>
            <w:tcW w:w="5488" w:type="dxa"/>
          </w:tcPr>
          <w:p>
            <w:pPr>
              <w:pStyle w:val="10"/>
              <w:ind w:left="119"/>
              <w:rPr>
                <w:sz w:val="21"/>
              </w:rPr>
            </w:pPr>
            <w:r>
              <w:rPr>
                <w:spacing w:val="-2"/>
                <w:sz w:val="21"/>
              </w:rPr>
              <w:t>III</w:t>
            </w:r>
            <w:r>
              <w:rPr>
                <w:spacing w:val="-9"/>
                <w:sz w:val="21"/>
              </w:rPr>
              <w:t xml:space="preserve"> 级：关节活动显著限制，不能胜任工作，料理生活也</w:t>
            </w:r>
          </w:p>
          <w:p>
            <w:pPr>
              <w:pStyle w:val="10"/>
              <w:spacing w:before="43"/>
              <w:ind w:left="119"/>
              <w:rPr>
                <w:sz w:val="21"/>
              </w:rPr>
            </w:pPr>
            <w:r>
              <w:rPr>
                <w:spacing w:val="-4"/>
                <w:sz w:val="21"/>
              </w:rPr>
              <w:t>有困难。</w:t>
            </w:r>
          </w:p>
        </w:tc>
        <w:tc>
          <w:tcPr>
            <w:tcW w:w="1057" w:type="dxa"/>
            <w:vMerge w:val="continue"/>
            <w:tcBorders>
              <w:top w:val="nil"/>
              <w:right w:val="single" w:color="000000" w:sz="12" w:space="0"/>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090" w:type="dxa"/>
            <w:vMerge w:val="continue"/>
            <w:tcBorders>
              <w:top w:val="nil"/>
              <w:left w:val="single" w:color="000000" w:sz="12" w:space="0"/>
            </w:tcBorders>
          </w:tcPr>
          <w:p>
            <w:pPr>
              <w:rPr>
                <w:sz w:val="2"/>
                <w:szCs w:val="2"/>
              </w:rPr>
            </w:pPr>
          </w:p>
        </w:tc>
        <w:tc>
          <w:tcPr>
            <w:tcW w:w="2194" w:type="dxa"/>
            <w:vMerge w:val="continue"/>
            <w:tcBorders>
              <w:top w:val="nil"/>
            </w:tcBorders>
          </w:tcPr>
          <w:p>
            <w:pPr>
              <w:rPr>
                <w:sz w:val="2"/>
                <w:szCs w:val="2"/>
              </w:rPr>
            </w:pPr>
          </w:p>
        </w:tc>
        <w:tc>
          <w:tcPr>
            <w:tcW w:w="113" w:type="dxa"/>
            <w:vMerge w:val="continue"/>
            <w:tcBorders>
              <w:top w:val="nil"/>
            </w:tcBorders>
          </w:tcPr>
          <w:p>
            <w:pPr>
              <w:rPr>
                <w:sz w:val="2"/>
                <w:szCs w:val="2"/>
              </w:rPr>
            </w:pPr>
          </w:p>
        </w:tc>
        <w:tc>
          <w:tcPr>
            <w:tcW w:w="5488" w:type="dxa"/>
            <w:tcBorders>
              <w:bottom w:val="single" w:color="000000" w:sz="8" w:space="0"/>
            </w:tcBorders>
          </w:tcPr>
          <w:p>
            <w:pPr>
              <w:pStyle w:val="10"/>
              <w:ind w:left="119"/>
              <w:rPr>
                <w:sz w:val="21"/>
              </w:rPr>
            </w:pPr>
            <w:r>
              <w:rPr>
                <w:spacing w:val="-4"/>
                <w:sz w:val="21"/>
              </w:rPr>
              <w:t>IV</w:t>
            </w:r>
            <w:r>
              <w:rPr>
                <w:spacing w:val="-9"/>
                <w:sz w:val="21"/>
              </w:rPr>
              <w:t xml:space="preserve"> 级：大部分或完全失去活动能力，病人长期卧床或依赖</w:t>
            </w:r>
          </w:p>
          <w:p>
            <w:pPr>
              <w:pStyle w:val="10"/>
              <w:spacing w:before="43"/>
              <w:ind w:left="119"/>
              <w:rPr>
                <w:sz w:val="21"/>
              </w:rPr>
            </w:pPr>
            <w:r>
              <w:rPr>
                <w:spacing w:val="-3"/>
                <w:sz w:val="21"/>
              </w:rPr>
              <w:t>轮椅，生活不能自理。</w:t>
            </w:r>
          </w:p>
        </w:tc>
        <w:tc>
          <w:tcPr>
            <w:tcW w:w="1057" w:type="dxa"/>
            <w:vMerge w:val="continue"/>
            <w:tcBorders>
              <w:top w:val="nil"/>
              <w:right w:val="single" w:color="000000" w:sz="12" w:space="0"/>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9" w:hRule="atLeast"/>
        </w:trPr>
        <w:tc>
          <w:tcPr>
            <w:tcW w:w="1090" w:type="dxa"/>
            <w:tcBorders>
              <w:left w:val="single" w:color="000000" w:sz="12" w:space="0"/>
            </w:tcBorders>
          </w:tcPr>
          <w:p>
            <w:pPr>
              <w:pStyle w:val="10"/>
              <w:ind w:left="323" w:right="294"/>
              <w:jc w:val="center"/>
              <w:rPr>
                <w:sz w:val="21"/>
              </w:rPr>
            </w:pPr>
            <w:r>
              <w:rPr>
                <w:spacing w:val="-5"/>
                <w:sz w:val="21"/>
              </w:rPr>
              <w:t>53</w:t>
            </w:r>
          </w:p>
        </w:tc>
        <w:tc>
          <w:tcPr>
            <w:tcW w:w="2194" w:type="dxa"/>
          </w:tcPr>
          <w:p>
            <w:pPr>
              <w:pStyle w:val="10"/>
              <w:ind w:left="119"/>
              <w:rPr>
                <w:sz w:val="21"/>
              </w:rPr>
            </w:pPr>
            <w:r>
              <w:rPr>
                <w:spacing w:val="-4"/>
                <w:sz w:val="21"/>
              </w:rPr>
              <w:t>严重强直性脊柱炎</w:t>
            </w:r>
          </w:p>
        </w:tc>
        <w:tc>
          <w:tcPr>
            <w:tcW w:w="6658" w:type="dxa"/>
            <w:gridSpan w:val="3"/>
            <w:tcBorders>
              <w:top w:val="single" w:color="000000" w:sz="8" w:space="0"/>
              <w:right w:val="single" w:color="000000" w:sz="12" w:space="0"/>
            </w:tcBorders>
          </w:tcPr>
          <w:p>
            <w:pPr>
              <w:pStyle w:val="10"/>
              <w:spacing w:line="278" w:lineRule="auto"/>
              <w:ind w:right="212"/>
              <w:rPr>
                <w:sz w:val="21"/>
              </w:rPr>
            </w:pPr>
            <w:r>
              <w:rPr>
                <w:spacing w:val="-2"/>
                <w:sz w:val="21"/>
              </w:rPr>
              <w:t>强直性脊柱炎是一种慢性全身性炎性疾病，主要侵犯脊柱导致脊柱畸形。强直性脊柱炎必须明确诊断并且满足下列所有条件：</w:t>
            </w:r>
          </w:p>
          <w:p>
            <w:pPr>
              <w:pStyle w:val="10"/>
              <w:numPr>
                <w:ilvl w:val="0"/>
                <w:numId w:val="62"/>
              </w:numPr>
              <w:tabs>
                <w:tab w:val="left" w:pos="637"/>
              </w:tabs>
              <w:spacing w:before="0" w:after="0" w:line="269" w:lineRule="exact"/>
              <w:ind w:left="636" w:right="0" w:hanging="530"/>
              <w:jc w:val="left"/>
              <w:rPr>
                <w:sz w:val="21"/>
              </w:rPr>
            </w:pPr>
            <w:r>
              <w:rPr>
                <w:spacing w:val="-4"/>
                <w:sz w:val="21"/>
              </w:rPr>
              <w:t>严重脊柱畸形；</w:t>
            </w:r>
          </w:p>
          <w:p>
            <w:pPr>
              <w:pStyle w:val="10"/>
              <w:numPr>
                <w:ilvl w:val="0"/>
                <w:numId w:val="62"/>
              </w:numPr>
              <w:tabs>
                <w:tab w:val="left" w:pos="637"/>
              </w:tabs>
              <w:spacing w:before="2" w:after="0" w:line="310" w:lineRule="atLeast"/>
              <w:ind w:left="107" w:right="109" w:firstLine="0"/>
              <w:jc w:val="left"/>
              <w:rPr>
                <w:sz w:val="21"/>
              </w:rPr>
            </w:pPr>
            <w:r>
              <w:rPr>
                <w:spacing w:val="-2"/>
                <w:sz w:val="21"/>
              </w:rPr>
              <w:t>自主生活能力完全丧失，无法独立完成六项基本日常生活活动中的三项或三项以上。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1" w:hRule="atLeast"/>
        </w:trPr>
        <w:tc>
          <w:tcPr>
            <w:tcW w:w="1090" w:type="dxa"/>
            <w:tcBorders>
              <w:left w:val="single" w:color="000000" w:sz="12" w:space="0"/>
            </w:tcBorders>
          </w:tcPr>
          <w:p>
            <w:pPr>
              <w:pStyle w:val="10"/>
              <w:ind w:left="323" w:right="294"/>
              <w:jc w:val="center"/>
              <w:rPr>
                <w:sz w:val="21"/>
              </w:rPr>
            </w:pPr>
            <w:r>
              <w:rPr>
                <w:spacing w:val="-5"/>
                <w:sz w:val="21"/>
              </w:rPr>
              <w:t>54</w:t>
            </w:r>
          </w:p>
        </w:tc>
        <w:tc>
          <w:tcPr>
            <w:tcW w:w="2194" w:type="dxa"/>
          </w:tcPr>
          <w:p>
            <w:pPr>
              <w:pStyle w:val="10"/>
              <w:spacing w:line="278" w:lineRule="auto"/>
              <w:ind w:left="119" w:right="82"/>
              <w:rPr>
                <w:sz w:val="21"/>
              </w:rPr>
            </w:pPr>
            <w:r>
              <w:rPr>
                <w:sz w:val="21"/>
              </w:rPr>
              <w:t>严重原发性硬化性胆</w:t>
            </w:r>
            <w:r>
              <w:rPr>
                <w:spacing w:val="-6"/>
                <w:sz w:val="21"/>
              </w:rPr>
              <w:t>管炎</w:t>
            </w:r>
          </w:p>
        </w:tc>
        <w:tc>
          <w:tcPr>
            <w:tcW w:w="6658" w:type="dxa"/>
            <w:gridSpan w:val="3"/>
            <w:tcBorders>
              <w:right w:val="single" w:color="000000" w:sz="12" w:space="0"/>
            </w:tcBorders>
          </w:tcPr>
          <w:p>
            <w:pPr>
              <w:pStyle w:val="10"/>
              <w:spacing w:line="278" w:lineRule="auto"/>
              <w:ind w:right="75"/>
              <w:rPr>
                <w:sz w:val="21"/>
              </w:rPr>
            </w:pPr>
            <w:r>
              <w:rPr>
                <w:spacing w:val="-9"/>
                <w:sz w:val="21"/>
              </w:rPr>
              <w:t>为一种特发型淤胆性疾病，特点为肝内及肝外胆道系统胆管壁增厚和管</w:t>
            </w:r>
            <w:r>
              <w:rPr>
                <w:spacing w:val="-2"/>
                <w:sz w:val="21"/>
              </w:rPr>
              <w:t>腔狭窄。必须满足下列所有条件：</w:t>
            </w:r>
          </w:p>
          <w:p>
            <w:pPr>
              <w:pStyle w:val="10"/>
              <w:numPr>
                <w:ilvl w:val="0"/>
                <w:numId w:val="63"/>
              </w:numPr>
              <w:tabs>
                <w:tab w:val="left" w:pos="637"/>
              </w:tabs>
              <w:spacing w:before="0" w:after="0" w:line="269" w:lineRule="exact"/>
              <w:ind w:left="636" w:right="0" w:hanging="530"/>
              <w:jc w:val="left"/>
              <w:rPr>
                <w:sz w:val="21"/>
              </w:rPr>
            </w:pPr>
            <w:r>
              <w:rPr>
                <w:spacing w:val="-2"/>
                <w:sz w:val="21"/>
              </w:rPr>
              <w:t>诊断由逆行胰胆管造影（ERCP）或经皮胆管造影（PTC）</w:t>
            </w:r>
            <w:r>
              <w:rPr>
                <w:spacing w:val="-5"/>
                <w:sz w:val="21"/>
              </w:rPr>
              <w:t>确认；</w:t>
            </w:r>
          </w:p>
          <w:p>
            <w:pPr>
              <w:pStyle w:val="10"/>
              <w:numPr>
                <w:ilvl w:val="0"/>
                <w:numId w:val="63"/>
              </w:numPr>
              <w:tabs>
                <w:tab w:val="left" w:pos="637"/>
              </w:tabs>
              <w:spacing w:before="43" w:after="0" w:line="240" w:lineRule="auto"/>
              <w:ind w:left="636" w:right="0" w:hanging="530"/>
              <w:jc w:val="left"/>
              <w:rPr>
                <w:sz w:val="21"/>
              </w:rPr>
            </w:pPr>
            <w:r>
              <w:rPr>
                <w:spacing w:val="-2"/>
                <w:sz w:val="21"/>
              </w:rPr>
              <w:t>持续性黄疸伴碱性磷酸酶（ALP）</w:t>
            </w:r>
            <w:r>
              <w:rPr>
                <w:spacing w:val="-4"/>
                <w:sz w:val="21"/>
              </w:rPr>
              <w:t>显著升高；</w:t>
            </w:r>
          </w:p>
          <w:p>
            <w:pPr>
              <w:pStyle w:val="10"/>
              <w:numPr>
                <w:ilvl w:val="0"/>
                <w:numId w:val="63"/>
              </w:numPr>
              <w:tabs>
                <w:tab w:val="left" w:pos="637"/>
              </w:tabs>
              <w:spacing w:before="43" w:after="0" w:line="240" w:lineRule="auto"/>
              <w:ind w:left="636" w:right="0" w:hanging="530"/>
              <w:jc w:val="left"/>
              <w:rPr>
                <w:sz w:val="21"/>
              </w:rPr>
            </w:pPr>
            <w:r>
              <w:rPr>
                <w:spacing w:val="-3"/>
                <w:sz w:val="21"/>
              </w:rPr>
              <w:t>出现继发性胆汁性肝硬化和门静脉高压。</w:t>
            </w:r>
          </w:p>
        </w:tc>
      </w:tr>
    </w:tbl>
    <w:p>
      <w:pPr>
        <w:spacing w:after="0" w:line="240" w:lineRule="auto"/>
        <w:jc w:val="left"/>
        <w:rPr>
          <w:sz w:val="21"/>
        </w:rPr>
        <w:sectPr>
          <w:type w:val="continuous"/>
          <w:pgSz w:w="11910" w:h="16840"/>
          <w:pgMar w:top="840" w:right="340" w:bottom="640" w:left="800" w:header="0" w:footer="457" w:gutter="0"/>
          <w:cols w:space="720" w:num="1"/>
        </w:sectPr>
      </w:pPr>
    </w:p>
    <w:tbl>
      <w:tblPr>
        <w:tblStyle w:val="6"/>
        <w:tblW w:w="0" w:type="auto"/>
        <w:tblInd w:w="22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90"/>
        <w:gridCol w:w="2194"/>
        <w:gridCol w:w="66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6" w:hRule="atLeast"/>
        </w:trPr>
        <w:tc>
          <w:tcPr>
            <w:tcW w:w="1090" w:type="dxa"/>
            <w:tcBorders>
              <w:left w:val="single" w:color="000000" w:sz="12" w:space="0"/>
            </w:tcBorders>
          </w:tcPr>
          <w:p>
            <w:pPr>
              <w:pStyle w:val="10"/>
              <w:ind w:left="323" w:right="294"/>
              <w:jc w:val="center"/>
              <w:rPr>
                <w:sz w:val="21"/>
              </w:rPr>
            </w:pPr>
            <w:r>
              <w:rPr>
                <w:spacing w:val="-5"/>
                <w:sz w:val="21"/>
              </w:rPr>
              <w:t>55</w:t>
            </w:r>
          </w:p>
        </w:tc>
        <w:tc>
          <w:tcPr>
            <w:tcW w:w="2194" w:type="dxa"/>
          </w:tcPr>
          <w:p>
            <w:pPr>
              <w:pStyle w:val="10"/>
              <w:spacing w:line="278" w:lineRule="auto"/>
              <w:ind w:left="119" w:right="82"/>
              <w:rPr>
                <w:sz w:val="21"/>
              </w:rPr>
            </w:pPr>
            <w:r>
              <w:rPr>
                <w:sz w:val="21"/>
              </w:rPr>
              <w:t>严重慢性复发性胰腺</w:t>
            </w:r>
            <w:r>
              <w:rPr>
                <w:spacing w:val="-10"/>
                <w:sz w:val="21"/>
              </w:rPr>
              <w:t>炎</w:t>
            </w:r>
          </w:p>
        </w:tc>
        <w:tc>
          <w:tcPr>
            <w:tcW w:w="6656" w:type="dxa"/>
            <w:tcBorders>
              <w:right w:val="single" w:color="000000" w:sz="12" w:space="0"/>
            </w:tcBorders>
          </w:tcPr>
          <w:p>
            <w:pPr>
              <w:pStyle w:val="10"/>
              <w:spacing w:line="278" w:lineRule="auto"/>
              <w:ind w:right="73"/>
              <w:jc w:val="both"/>
              <w:rPr>
                <w:sz w:val="21"/>
              </w:rPr>
            </w:pPr>
            <w:r>
              <w:rPr>
                <w:spacing w:val="-4"/>
                <w:sz w:val="21"/>
              </w:rPr>
              <w:t>指慢性反复发作的胰腺炎症导致胰腺的广泛纤维化、坏死、弥漫性钙化及假性囊肿形成，造成胰腺功能障碍出现严重糖尿病和营养不良。必须</w:t>
            </w:r>
            <w:r>
              <w:rPr>
                <w:spacing w:val="-2"/>
                <w:sz w:val="21"/>
              </w:rPr>
              <w:t>满足下列所有条件：</w:t>
            </w:r>
          </w:p>
          <w:p>
            <w:pPr>
              <w:pStyle w:val="10"/>
              <w:numPr>
                <w:ilvl w:val="0"/>
                <w:numId w:val="64"/>
              </w:numPr>
              <w:tabs>
                <w:tab w:val="left" w:pos="637"/>
              </w:tabs>
              <w:spacing w:before="0" w:after="0" w:line="240" w:lineRule="auto"/>
              <w:ind w:left="636" w:right="0" w:hanging="530"/>
              <w:jc w:val="left"/>
              <w:rPr>
                <w:sz w:val="21"/>
              </w:rPr>
            </w:pPr>
            <w:r>
              <w:rPr>
                <w:spacing w:val="-3"/>
                <w:sz w:val="21"/>
              </w:rPr>
              <w:t>医疗记录证实存在慢性胰腺炎反复急性发作病史；</w:t>
            </w:r>
          </w:p>
          <w:p>
            <w:pPr>
              <w:pStyle w:val="10"/>
              <w:numPr>
                <w:ilvl w:val="0"/>
                <w:numId w:val="64"/>
              </w:numPr>
              <w:tabs>
                <w:tab w:val="left" w:pos="637"/>
              </w:tabs>
              <w:spacing w:before="43" w:after="0" w:line="278" w:lineRule="auto"/>
              <w:ind w:left="107" w:right="54" w:firstLine="0"/>
              <w:jc w:val="left"/>
              <w:rPr>
                <w:sz w:val="21"/>
              </w:rPr>
            </w:pPr>
            <w:r>
              <w:rPr>
                <w:sz w:val="21"/>
              </w:rPr>
              <w:t>CT</w:t>
            </w:r>
            <w:r>
              <w:rPr>
                <w:spacing w:val="-8"/>
                <w:sz w:val="21"/>
              </w:rPr>
              <w:t xml:space="preserve"> 显示胰腺广泛钙化或逆行胰胆管造影</w:t>
            </w:r>
            <w:r>
              <w:rPr>
                <w:sz w:val="21"/>
              </w:rPr>
              <w:t>（ERCP）显示胰管扭曲、</w:t>
            </w:r>
            <w:r>
              <w:rPr>
                <w:spacing w:val="-2"/>
                <w:sz w:val="21"/>
              </w:rPr>
              <w:t>扩张和狭窄；</w:t>
            </w:r>
          </w:p>
          <w:p>
            <w:pPr>
              <w:pStyle w:val="10"/>
              <w:numPr>
                <w:ilvl w:val="0"/>
                <w:numId w:val="64"/>
              </w:numPr>
              <w:tabs>
                <w:tab w:val="left" w:pos="637"/>
              </w:tabs>
              <w:spacing w:before="0" w:after="0" w:line="269" w:lineRule="exact"/>
              <w:ind w:left="636" w:right="0" w:hanging="530"/>
              <w:jc w:val="left"/>
              <w:rPr>
                <w:sz w:val="21"/>
              </w:rPr>
            </w:pPr>
            <w:r>
              <w:rPr>
                <w:spacing w:val="-5"/>
                <w:sz w:val="21"/>
              </w:rPr>
              <w:t xml:space="preserve">持续接受胰岛素替代治疗和酶替代治疗 </w:t>
            </w:r>
            <w:r>
              <w:rPr>
                <w:spacing w:val="-2"/>
                <w:sz w:val="21"/>
              </w:rPr>
              <w:t>180</w:t>
            </w:r>
            <w:r>
              <w:rPr>
                <w:spacing w:val="-14"/>
                <w:sz w:val="21"/>
              </w:rPr>
              <w:t xml:space="preserve"> 天以上。</w:t>
            </w:r>
          </w:p>
          <w:p>
            <w:pPr>
              <w:pStyle w:val="10"/>
              <w:spacing w:before="43"/>
              <w:rPr>
                <w:rFonts w:ascii="黑体" w:eastAsia="黑体"/>
                <w:sz w:val="21"/>
              </w:rPr>
            </w:pPr>
            <w:r>
              <w:rPr>
                <w:rFonts w:ascii="黑体" w:eastAsia="黑体"/>
                <w:color w:val="000000"/>
                <w:spacing w:val="-3"/>
                <w:sz w:val="21"/>
                <w:shd w:val="clear" w:color="auto" w:fill="D9D9D9"/>
              </w:rPr>
              <w:t>酒精导致的慢性复发性胰腺炎不在保障范围内。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32" w:hRule="atLeast"/>
        </w:trPr>
        <w:tc>
          <w:tcPr>
            <w:tcW w:w="1090" w:type="dxa"/>
            <w:tcBorders>
              <w:left w:val="single" w:color="000000" w:sz="12" w:space="0"/>
            </w:tcBorders>
          </w:tcPr>
          <w:p>
            <w:pPr>
              <w:pStyle w:val="10"/>
              <w:ind w:left="323" w:right="294"/>
              <w:jc w:val="center"/>
              <w:rPr>
                <w:sz w:val="21"/>
              </w:rPr>
            </w:pPr>
            <w:r>
              <w:rPr>
                <w:spacing w:val="-5"/>
                <w:sz w:val="21"/>
              </w:rPr>
              <w:t>56</w:t>
            </w:r>
          </w:p>
        </w:tc>
        <w:tc>
          <w:tcPr>
            <w:tcW w:w="2194" w:type="dxa"/>
          </w:tcPr>
          <w:p>
            <w:pPr>
              <w:pStyle w:val="10"/>
              <w:ind w:left="119"/>
              <w:rPr>
                <w:sz w:val="21"/>
              </w:rPr>
            </w:pPr>
            <w:r>
              <w:rPr>
                <w:spacing w:val="-4"/>
                <w:sz w:val="21"/>
              </w:rPr>
              <w:t>失去一肢及一眼</w:t>
            </w:r>
          </w:p>
        </w:tc>
        <w:tc>
          <w:tcPr>
            <w:tcW w:w="6656" w:type="dxa"/>
            <w:tcBorders>
              <w:right w:val="single" w:color="000000" w:sz="12" w:space="0"/>
            </w:tcBorders>
          </w:tcPr>
          <w:p>
            <w:pPr>
              <w:pStyle w:val="10"/>
              <w:spacing w:line="278" w:lineRule="auto"/>
              <w:ind w:right="73"/>
              <w:rPr>
                <w:sz w:val="21"/>
              </w:rPr>
            </w:pPr>
            <w:r>
              <w:rPr>
                <w:spacing w:val="-5"/>
                <w:sz w:val="21"/>
              </w:rPr>
              <w:t>被保险人因同一次意外伤害事件导致一肢体丧失和一眼视力丧失。必须</w:t>
            </w:r>
            <w:r>
              <w:rPr>
                <w:spacing w:val="-2"/>
                <w:sz w:val="21"/>
              </w:rPr>
              <w:t>满足下列所有条件：</w:t>
            </w:r>
          </w:p>
          <w:p>
            <w:pPr>
              <w:pStyle w:val="10"/>
              <w:numPr>
                <w:ilvl w:val="0"/>
                <w:numId w:val="65"/>
              </w:numPr>
              <w:tabs>
                <w:tab w:val="left" w:pos="637"/>
              </w:tabs>
              <w:spacing w:before="0" w:after="0" w:line="278" w:lineRule="auto"/>
              <w:ind w:left="107" w:right="107" w:firstLine="0"/>
              <w:jc w:val="left"/>
              <w:rPr>
                <w:sz w:val="21"/>
              </w:rPr>
            </w:pPr>
            <w:r>
              <w:rPr>
                <w:spacing w:val="-2"/>
                <w:sz w:val="21"/>
              </w:rPr>
              <w:t>一肢体丧失指任何一肢体自腕关节或踝关节近端（靠近躯干端）以上完全性断离。</w:t>
            </w:r>
          </w:p>
          <w:p>
            <w:pPr>
              <w:pStyle w:val="10"/>
              <w:numPr>
                <w:ilvl w:val="0"/>
                <w:numId w:val="65"/>
              </w:numPr>
              <w:tabs>
                <w:tab w:val="left" w:pos="637"/>
              </w:tabs>
              <w:spacing w:before="0" w:after="0" w:line="278" w:lineRule="auto"/>
              <w:ind w:left="107" w:right="107" w:firstLine="0"/>
              <w:jc w:val="left"/>
              <w:rPr>
                <w:sz w:val="21"/>
              </w:rPr>
            </w:pPr>
            <w:r>
              <w:rPr>
                <w:spacing w:val="-2"/>
                <w:sz w:val="21"/>
              </w:rPr>
              <w:t>一眼视力丧失指一只眼视力永久不可逆性丧失，患眼须满足下列至少一项条件：</w:t>
            </w:r>
          </w:p>
          <w:p>
            <w:pPr>
              <w:pStyle w:val="10"/>
              <w:numPr>
                <w:ilvl w:val="0"/>
                <w:numId w:val="66"/>
              </w:numPr>
              <w:tabs>
                <w:tab w:val="left" w:pos="320"/>
              </w:tabs>
              <w:spacing w:before="0" w:after="0" w:line="240" w:lineRule="auto"/>
              <w:ind w:left="319" w:right="0" w:hanging="213"/>
              <w:jc w:val="left"/>
              <w:rPr>
                <w:sz w:val="21"/>
              </w:rPr>
            </w:pPr>
            <w:r>
              <w:rPr>
                <w:spacing w:val="-4"/>
                <w:sz w:val="21"/>
              </w:rPr>
              <w:t>眼球摘除；</w:t>
            </w:r>
          </w:p>
          <w:p>
            <w:pPr>
              <w:pStyle w:val="10"/>
              <w:numPr>
                <w:ilvl w:val="0"/>
                <w:numId w:val="66"/>
              </w:numPr>
              <w:tabs>
                <w:tab w:val="left" w:pos="320"/>
              </w:tabs>
              <w:spacing w:before="43" w:after="0" w:line="278" w:lineRule="auto"/>
              <w:ind w:left="107" w:right="160" w:firstLine="0"/>
              <w:jc w:val="left"/>
              <w:rPr>
                <w:sz w:val="21"/>
              </w:rPr>
            </w:pPr>
            <w:r>
              <w:rPr>
                <w:spacing w:val="-8"/>
                <w:sz w:val="21"/>
              </w:rPr>
              <w:t xml:space="preserve">矫正视力低于 </w:t>
            </w:r>
            <w:r>
              <w:rPr>
                <w:sz w:val="21"/>
              </w:rPr>
              <w:t>0.02（采用国际标准视力表，如果使用其它视力表应</w:t>
            </w:r>
            <w:r>
              <w:rPr>
                <w:spacing w:val="-2"/>
                <w:sz w:val="21"/>
              </w:rPr>
              <w:t>进行换算</w:t>
            </w:r>
            <w:r>
              <w:rPr>
                <w:spacing w:val="-108"/>
                <w:sz w:val="21"/>
              </w:rPr>
              <w:t>）</w:t>
            </w:r>
            <w:r>
              <w:rPr>
                <w:spacing w:val="-2"/>
                <w:sz w:val="21"/>
              </w:rPr>
              <w:t>。</w:t>
            </w:r>
          </w:p>
          <w:p>
            <w:pPr>
              <w:pStyle w:val="10"/>
              <w:spacing w:before="0" w:line="269" w:lineRule="exact"/>
              <w:rPr>
                <w:rFonts w:ascii="黑体" w:eastAsia="黑体"/>
                <w:sz w:val="21"/>
              </w:rPr>
            </w:pPr>
            <w:r>
              <w:rPr>
                <w:rFonts w:ascii="黑体" w:eastAsia="黑体"/>
                <w:color w:val="000000"/>
                <w:spacing w:val="-5"/>
                <w:sz w:val="21"/>
                <w:shd w:val="clear" w:color="auto" w:fill="D9D9D9"/>
              </w:rPr>
              <w:t>除眼球摘除以外，被保险人申请理赔时年龄必须在三周岁以上，并且提</w:t>
            </w:r>
          </w:p>
          <w:p>
            <w:pPr>
              <w:pStyle w:val="10"/>
              <w:spacing w:before="43"/>
              <w:rPr>
                <w:rFonts w:ascii="黑体" w:eastAsia="黑体"/>
                <w:sz w:val="21"/>
              </w:rPr>
            </w:pPr>
            <w:r>
              <w:rPr>
                <w:rFonts w:ascii="黑体" w:eastAsia="黑体"/>
                <w:color w:val="000000"/>
                <w:spacing w:val="-3"/>
                <w:sz w:val="21"/>
                <w:shd w:val="clear" w:color="auto" w:fill="D9D9D9"/>
              </w:rPr>
              <w:t>供理赔当时的视力丧失诊断及检查证据。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1090" w:type="dxa"/>
            <w:tcBorders>
              <w:left w:val="single" w:color="000000" w:sz="12" w:space="0"/>
            </w:tcBorders>
          </w:tcPr>
          <w:p>
            <w:pPr>
              <w:pStyle w:val="10"/>
              <w:ind w:left="323" w:right="294"/>
              <w:jc w:val="center"/>
              <w:rPr>
                <w:sz w:val="21"/>
              </w:rPr>
            </w:pPr>
            <w:r>
              <w:rPr>
                <w:spacing w:val="-5"/>
                <w:sz w:val="21"/>
              </w:rPr>
              <w:t>57</w:t>
            </w:r>
          </w:p>
        </w:tc>
        <w:tc>
          <w:tcPr>
            <w:tcW w:w="2194" w:type="dxa"/>
          </w:tcPr>
          <w:p>
            <w:pPr>
              <w:pStyle w:val="10"/>
              <w:spacing w:line="278" w:lineRule="auto"/>
              <w:ind w:left="119" w:right="83"/>
              <w:rPr>
                <w:sz w:val="21"/>
              </w:rPr>
            </w:pPr>
            <w:r>
              <w:rPr>
                <w:sz w:val="21"/>
              </w:rPr>
              <w:t>丝虫感染所致严重象</w:t>
            </w:r>
            <w:r>
              <w:rPr>
                <w:spacing w:val="-6"/>
                <w:sz w:val="21"/>
              </w:rPr>
              <w:t>皮病</w:t>
            </w:r>
          </w:p>
        </w:tc>
        <w:tc>
          <w:tcPr>
            <w:tcW w:w="6656" w:type="dxa"/>
            <w:tcBorders>
              <w:right w:val="single" w:color="000000" w:sz="12" w:space="0"/>
            </w:tcBorders>
          </w:tcPr>
          <w:p>
            <w:pPr>
              <w:pStyle w:val="10"/>
              <w:spacing w:line="278" w:lineRule="auto"/>
              <w:ind w:right="-29"/>
              <w:rPr>
                <w:sz w:val="21"/>
              </w:rPr>
            </w:pPr>
            <w:r>
              <w:rPr>
                <w:spacing w:val="-6"/>
                <w:sz w:val="21"/>
              </w:rPr>
              <w:t>指因丝虫感染导致淋巴循环阻塞出现严重淋巴水肿，达到国际淋巴学会</w:t>
            </w:r>
            <w:r>
              <w:rPr>
                <w:spacing w:val="-2"/>
                <w:sz w:val="21"/>
              </w:rPr>
              <w:t>淋巴肿分期第III</w:t>
            </w:r>
            <w:r>
              <w:rPr>
                <w:spacing w:val="-17"/>
                <w:sz w:val="21"/>
              </w:rPr>
              <w:t>期，临床表现为肢体象皮肿，患肢较健肢增粗</w:t>
            </w:r>
            <w:r>
              <w:rPr>
                <w:spacing w:val="-2"/>
                <w:sz w:val="21"/>
              </w:rPr>
              <w:t>30%以上，</w:t>
            </w:r>
          </w:p>
          <w:p>
            <w:pPr>
              <w:pStyle w:val="10"/>
              <w:spacing w:before="0" w:line="269" w:lineRule="exact"/>
              <w:rPr>
                <w:sz w:val="21"/>
              </w:rPr>
            </w:pPr>
            <w:r>
              <w:rPr>
                <w:spacing w:val="-3"/>
                <w:sz w:val="21"/>
              </w:rPr>
              <w:t>日常生活不能自理。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84" w:hRule="atLeast"/>
        </w:trPr>
        <w:tc>
          <w:tcPr>
            <w:tcW w:w="1090" w:type="dxa"/>
            <w:tcBorders>
              <w:left w:val="single" w:color="000000" w:sz="12" w:space="0"/>
            </w:tcBorders>
          </w:tcPr>
          <w:p>
            <w:pPr>
              <w:pStyle w:val="10"/>
              <w:ind w:left="323" w:right="294"/>
              <w:jc w:val="center"/>
              <w:rPr>
                <w:sz w:val="21"/>
              </w:rPr>
            </w:pPr>
            <w:r>
              <w:rPr>
                <w:spacing w:val="-5"/>
                <w:sz w:val="21"/>
              </w:rPr>
              <w:t>58</w:t>
            </w:r>
          </w:p>
        </w:tc>
        <w:tc>
          <w:tcPr>
            <w:tcW w:w="2194" w:type="dxa"/>
          </w:tcPr>
          <w:p>
            <w:pPr>
              <w:pStyle w:val="10"/>
              <w:ind w:left="119"/>
              <w:rPr>
                <w:sz w:val="21"/>
              </w:rPr>
            </w:pPr>
            <w:r>
              <w:rPr>
                <w:spacing w:val="-4"/>
                <w:sz w:val="21"/>
              </w:rPr>
              <w:t>埃博拉病毒感染</w:t>
            </w:r>
          </w:p>
        </w:tc>
        <w:tc>
          <w:tcPr>
            <w:tcW w:w="6656" w:type="dxa"/>
            <w:tcBorders>
              <w:right w:val="single" w:color="000000" w:sz="12" w:space="0"/>
            </w:tcBorders>
          </w:tcPr>
          <w:p>
            <w:pPr>
              <w:pStyle w:val="10"/>
              <w:spacing w:line="278" w:lineRule="auto"/>
              <w:ind w:right="73"/>
              <w:jc w:val="both"/>
              <w:rPr>
                <w:sz w:val="21"/>
              </w:rPr>
            </w:pPr>
            <w:r>
              <w:rPr>
                <w:spacing w:val="-6"/>
                <w:sz w:val="21"/>
              </w:rPr>
              <w:t>指埃博拉病毒感染导致的急性出血性传染病。埃博拉病毒病必须经国家</w:t>
            </w:r>
            <w:r>
              <w:rPr>
                <w:spacing w:val="-7"/>
                <w:sz w:val="21"/>
              </w:rPr>
              <w:t>认可的有合法资质的传染病专家确诊，并且上报国家疾病控制中心接受</w:t>
            </w:r>
            <w:r>
              <w:rPr>
                <w:spacing w:val="-2"/>
                <w:sz w:val="21"/>
              </w:rPr>
              <w:t>了隔离和治疗。必须满足下列所有条件：</w:t>
            </w:r>
          </w:p>
          <w:p>
            <w:pPr>
              <w:pStyle w:val="10"/>
              <w:numPr>
                <w:ilvl w:val="0"/>
                <w:numId w:val="67"/>
              </w:numPr>
              <w:tabs>
                <w:tab w:val="left" w:pos="637"/>
              </w:tabs>
              <w:spacing w:before="0" w:after="0" w:line="240" w:lineRule="auto"/>
              <w:ind w:left="636" w:right="0" w:hanging="530"/>
              <w:jc w:val="left"/>
              <w:rPr>
                <w:sz w:val="21"/>
              </w:rPr>
            </w:pPr>
            <w:r>
              <w:rPr>
                <w:spacing w:val="-3"/>
                <w:sz w:val="21"/>
              </w:rPr>
              <w:t>实验室检查证据证实存在埃博拉病毒感染；</w:t>
            </w:r>
          </w:p>
          <w:p>
            <w:pPr>
              <w:pStyle w:val="10"/>
              <w:numPr>
                <w:ilvl w:val="0"/>
                <w:numId w:val="67"/>
              </w:numPr>
              <w:tabs>
                <w:tab w:val="left" w:pos="637"/>
              </w:tabs>
              <w:spacing w:before="43" w:after="0" w:line="240" w:lineRule="auto"/>
              <w:ind w:left="636" w:right="0" w:hanging="530"/>
              <w:jc w:val="left"/>
              <w:rPr>
                <w:sz w:val="21"/>
              </w:rPr>
            </w:pPr>
            <w:r>
              <w:rPr>
                <w:spacing w:val="-2"/>
                <w:sz w:val="21"/>
              </w:rPr>
              <w:t>存在持续30</w:t>
            </w:r>
            <w:r>
              <w:rPr>
                <w:spacing w:val="-3"/>
                <w:sz w:val="21"/>
              </w:rPr>
              <w:t>天以上广泛出血的临床表现。</w:t>
            </w:r>
          </w:p>
          <w:p>
            <w:pPr>
              <w:pStyle w:val="10"/>
              <w:spacing w:before="2" w:line="310" w:lineRule="atLeast"/>
              <w:ind w:right="210"/>
              <w:rPr>
                <w:rFonts w:ascii="黑体" w:eastAsia="黑体"/>
                <w:sz w:val="21"/>
              </w:rPr>
            </w:pPr>
            <w:r>
              <w:rPr>
                <w:rFonts w:ascii="黑体" w:eastAsia="黑体"/>
                <w:color w:val="000000"/>
                <w:spacing w:val="-2"/>
                <w:sz w:val="21"/>
                <w:shd w:val="clear" w:color="auto" w:fill="D9D9D9"/>
              </w:rPr>
              <w:t>埃博拉病毒感染疑似病例，在确诊之前已经死亡的病例不在保障范围</w:t>
            </w:r>
            <w:r>
              <w:rPr>
                <w:rFonts w:ascii="黑体" w:eastAsia="黑体"/>
                <w:color w:val="000000"/>
                <w:spacing w:val="-6"/>
                <w:sz w:val="21"/>
                <w:shd w:val="clear" w:color="auto" w:fill="D9D9D9"/>
              </w:rPr>
              <w:t>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090" w:type="dxa"/>
            <w:tcBorders>
              <w:left w:val="single" w:color="000000" w:sz="12" w:space="0"/>
            </w:tcBorders>
          </w:tcPr>
          <w:p>
            <w:pPr>
              <w:pStyle w:val="10"/>
              <w:ind w:left="323" w:right="294"/>
              <w:jc w:val="center"/>
              <w:rPr>
                <w:sz w:val="21"/>
              </w:rPr>
            </w:pPr>
            <w:r>
              <w:rPr>
                <w:spacing w:val="-5"/>
                <w:sz w:val="21"/>
              </w:rPr>
              <w:t>59</w:t>
            </w:r>
          </w:p>
        </w:tc>
        <w:tc>
          <w:tcPr>
            <w:tcW w:w="2194" w:type="dxa"/>
          </w:tcPr>
          <w:p>
            <w:pPr>
              <w:pStyle w:val="10"/>
              <w:ind w:left="119"/>
              <w:rPr>
                <w:sz w:val="21"/>
              </w:rPr>
            </w:pPr>
            <w:r>
              <w:rPr>
                <w:spacing w:val="-4"/>
                <w:sz w:val="21"/>
              </w:rPr>
              <w:t>室壁瘤切除手术</w:t>
            </w:r>
          </w:p>
        </w:tc>
        <w:tc>
          <w:tcPr>
            <w:tcW w:w="6656" w:type="dxa"/>
            <w:tcBorders>
              <w:right w:val="single" w:color="000000" w:sz="12" w:space="0"/>
            </w:tcBorders>
          </w:tcPr>
          <w:p>
            <w:pPr>
              <w:pStyle w:val="10"/>
              <w:rPr>
                <w:sz w:val="21"/>
              </w:rPr>
            </w:pPr>
            <w:r>
              <w:rPr>
                <w:spacing w:val="-10"/>
                <w:sz w:val="21"/>
              </w:rPr>
              <w:t>因心肌梗死导致室壁瘤，被保险人实际接受了开胸开心室壁瘤切除手术</w:t>
            </w:r>
          </w:p>
          <w:p>
            <w:pPr>
              <w:pStyle w:val="10"/>
              <w:spacing w:before="43"/>
              <w:rPr>
                <w:sz w:val="21"/>
              </w:rPr>
            </w:pPr>
            <w:r>
              <w:rPr>
                <w:spacing w:val="-4"/>
                <w:sz w:val="21"/>
              </w:rPr>
              <w:t>治疗。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50" w:hRule="atLeast"/>
        </w:trPr>
        <w:tc>
          <w:tcPr>
            <w:tcW w:w="1090" w:type="dxa"/>
            <w:tcBorders>
              <w:left w:val="single" w:color="000000" w:sz="12" w:space="0"/>
            </w:tcBorders>
          </w:tcPr>
          <w:p>
            <w:pPr>
              <w:pStyle w:val="10"/>
              <w:spacing w:before="18"/>
              <w:ind w:left="323" w:right="294"/>
              <w:jc w:val="center"/>
              <w:rPr>
                <w:sz w:val="21"/>
              </w:rPr>
            </w:pPr>
            <w:r>
              <w:rPr>
                <w:spacing w:val="-5"/>
                <w:sz w:val="21"/>
              </w:rPr>
              <w:t>60</w:t>
            </w:r>
          </w:p>
        </w:tc>
        <w:tc>
          <w:tcPr>
            <w:tcW w:w="2194" w:type="dxa"/>
          </w:tcPr>
          <w:p>
            <w:pPr>
              <w:pStyle w:val="10"/>
              <w:spacing w:before="18" w:line="278" w:lineRule="auto"/>
              <w:ind w:left="119" w:right="82"/>
              <w:rPr>
                <w:sz w:val="21"/>
              </w:rPr>
            </w:pPr>
            <w:r>
              <w:rPr>
                <w:sz w:val="21"/>
              </w:rPr>
              <w:t>脑动脉瘤破裂出血开</w:t>
            </w:r>
            <w:r>
              <w:rPr>
                <w:spacing w:val="-2"/>
                <w:sz w:val="21"/>
              </w:rPr>
              <w:t>颅动脉瘤夹闭手术</w:t>
            </w:r>
          </w:p>
        </w:tc>
        <w:tc>
          <w:tcPr>
            <w:tcW w:w="6656" w:type="dxa"/>
            <w:tcBorders>
              <w:right w:val="single" w:color="000000" w:sz="12" w:space="0"/>
            </w:tcBorders>
          </w:tcPr>
          <w:p>
            <w:pPr>
              <w:pStyle w:val="10"/>
              <w:spacing w:before="18" w:line="278" w:lineRule="auto"/>
              <w:ind w:right="73"/>
              <w:rPr>
                <w:sz w:val="21"/>
              </w:rPr>
            </w:pPr>
            <w:r>
              <w:rPr>
                <w:spacing w:val="-7"/>
                <w:sz w:val="21"/>
              </w:rPr>
              <w:t>指因脑动脉瘤破裂造成蛛网膜下腔出血，被保险人实际接受了在全麻下</w:t>
            </w:r>
            <w:r>
              <w:rPr>
                <w:spacing w:val="-2"/>
                <w:sz w:val="21"/>
              </w:rPr>
              <w:t>进行的开颅脑动脉瘤夹闭手术。</w:t>
            </w:r>
          </w:p>
          <w:p>
            <w:pPr>
              <w:pStyle w:val="10"/>
              <w:spacing w:before="0" w:line="269" w:lineRule="exact"/>
              <w:rPr>
                <w:rFonts w:ascii="黑体" w:eastAsia="黑体"/>
                <w:sz w:val="21"/>
              </w:rPr>
            </w:pPr>
            <w:r>
              <w:rPr>
                <w:rFonts w:ascii="黑体" w:eastAsia="黑体"/>
                <w:color w:val="000000"/>
                <w:spacing w:val="-4"/>
                <w:sz w:val="21"/>
                <w:shd w:val="clear" w:color="auto" w:fill="D9D9D9"/>
              </w:rPr>
              <w:t>脑动脉瘤（未破裂）</w:t>
            </w:r>
            <w:r>
              <w:rPr>
                <w:rFonts w:ascii="黑体" w:eastAsia="黑体"/>
                <w:color w:val="000000"/>
                <w:spacing w:val="-5"/>
                <w:sz w:val="21"/>
                <w:shd w:val="clear" w:color="auto" w:fill="D9D9D9"/>
              </w:rPr>
              <w:t>预防性手术、颅骨打孔手术、动脉瘤栓塞手术、血</w:t>
            </w:r>
          </w:p>
          <w:p>
            <w:pPr>
              <w:pStyle w:val="10"/>
              <w:spacing w:before="43"/>
              <w:rPr>
                <w:rFonts w:ascii="黑体" w:eastAsia="黑体"/>
                <w:sz w:val="21"/>
              </w:rPr>
            </w:pPr>
            <w:r>
              <w:rPr>
                <w:rFonts w:ascii="黑体" w:eastAsia="黑体"/>
                <w:color w:val="000000"/>
                <w:spacing w:val="-3"/>
                <w:sz w:val="21"/>
                <w:shd w:val="clear" w:color="auto" w:fill="D9D9D9"/>
              </w:rPr>
              <w:t>管内手术及其他颅脑手术不在保障范围内。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2" w:hRule="atLeast"/>
        </w:trPr>
        <w:tc>
          <w:tcPr>
            <w:tcW w:w="1090" w:type="dxa"/>
            <w:tcBorders>
              <w:left w:val="single" w:color="000000" w:sz="12" w:space="0"/>
            </w:tcBorders>
          </w:tcPr>
          <w:p>
            <w:pPr>
              <w:pStyle w:val="10"/>
              <w:ind w:left="323" w:right="294"/>
              <w:jc w:val="center"/>
              <w:rPr>
                <w:sz w:val="21"/>
              </w:rPr>
            </w:pPr>
            <w:r>
              <w:rPr>
                <w:spacing w:val="-5"/>
                <w:sz w:val="21"/>
              </w:rPr>
              <w:t>61</w:t>
            </w:r>
          </w:p>
        </w:tc>
        <w:tc>
          <w:tcPr>
            <w:tcW w:w="2194" w:type="dxa"/>
          </w:tcPr>
          <w:p>
            <w:pPr>
              <w:pStyle w:val="10"/>
              <w:ind w:left="119"/>
              <w:rPr>
                <w:sz w:val="21"/>
              </w:rPr>
            </w:pPr>
            <w:r>
              <w:rPr>
                <w:spacing w:val="-4"/>
                <w:sz w:val="21"/>
              </w:rPr>
              <w:t>严重大动脉炎</w:t>
            </w:r>
          </w:p>
        </w:tc>
        <w:tc>
          <w:tcPr>
            <w:tcW w:w="6656" w:type="dxa"/>
            <w:tcBorders>
              <w:right w:val="single" w:color="000000" w:sz="12" w:space="0"/>
            </w:tcBorders>
          </w:tcPr>
          <w:p>
            <w:pPr>
              <w:pStyle w:val="10"/>
              <w:spacing w:line="278" w:lineRule="auto"/>
              <w:ind w:right="73"/>
              <w:rPr>
                <w:sz w:val="21"/>
              </w:rPr>
            </w:pPr>
            <w:r>
              <w:rPr>
                <w:spacing w:val="-5"/>
                <w:sz w:val="21"/>
              </w:rPr>
              <w:t>指经本公司认可医院的心脏或血管外科专科医生确诊为大动脉炎，须满</w:t>
            </w:r>
            <w:r>
              <w:rPr>
                <w:spacing w:val="-2"/>
                <w:sz w:val="21"/>
              </w:rPr>
              <w:t>足下列全部条件：</w:t>
            </w:r>
          </w:p>
          <w:p>
            <w:pPr>
              <w:pStyle w:val="10"/>
              <w:numPr>
                <w:ilvl w:val="0"/>
                <w:numId w:val="68"/>
              </w:numPr>
              <w:tabs>
                <w:tab w:val="left" w:pos="637"/>
              </w:tabs>
              <w:spacing w:before="0" w:after="0" w:line="269" w:lineRule="exact"/>
              <w:ind w:left="636" w:right="0" w:hanging="530"/>
              <w:jc w:val="left"/>
              <w:rPr>
                <w:sz w:val="21"/>
              </w:rPr>
            </w:pPr>
            <w:r>
              <w:rPr>
                <w:spacing w:val="4"/>
                <w:sz w:val="21"/>
              </w:rPr>
              <w:t>红细胞沉降率及</w:t>
            </w:r>
            <w:r>
              <w:rPr>
                <w:sz w:val="21"/>
              </w:rPr>
              <w:t>C</w:t>
            </w:r>
            <w:r>
              <w:rPr>
                <w:spacing w:val="-9"/>
                <w:sz w:val="21"/>
              </w:rPr>
              <w:t xml:space="preserve"> 反应蛋白高于正常值；</w:t>
            </w:r>
          </w:p>
          <w:p>
            <w:pPr>
              <w:pStyle w:val="10"/>
              <w:numPr>
                <w:ilvl w:val="0"/>
                <w:numId w:val="68"/>
              </w:numPr>
              <w:tabs>
                <w:tab w:val="left" w:pos="637"/>
              </w:tabs>
              <w:spacing w:before="43" w:after="0" w:line="278" w:lineRule="auto"/>
              <w:ind w:left="107" w:right="74" w:firstLine="0"/>
              <w:jc w:val="left"/>
              <w:rPr>
                <w:sz w:val="21"/>
              </w:rPr>
            </w:pPr>
            <w:r>
              <w:rPr>
                <w:spacing w:val="-4"/>
                <w:sz w:val="21"/>
              </w:rPr>
              <w:t>超声检查、非创伤性血管成像检查（CTA</w:t>
            </w:r>
            <w:r>
              <w:rPr>
                <w:spacing w:val="-29"/>
                <w:sz w:val="21"/>
              </w:rPr>
              <w:t xml:space="preserve"> 或 </w:t>
            </w:r>
            <w:r>
              <w:rPr>
                <w:spacing w:val="-4"/>
                <w:sz w:val="21"/>
              </w:rPr>
              <w:t>MRA）或血管造影检查</w:t>
            </w:r>
            <w:r>
              <w:rPr>
                <w:spacing w:val="-2"/>
                <w:sz w:val="21"/>
              </w:rPr>
              <w:t>证实主动脉及其主要分支存在狭窄；</w:t>
            </w:r>
          </w:p>
          <w:p>
            <w:pPr>
              <w:pStyle w:val="10"/>
              <w:numPr>
                <w:ilvl w:val="0"/>
                <w:numId w:val="68"/>
              </w:numPr>
              <w:tabs>
                <w:tab w:val="left" w:pos="637"/>
              </w:tabs>
              <w:spacing w:before="0" w:after="0" w:line="269" w:lineRule="exact"/>
              <w:ind w:left="636" w:right="0" w:hanging="530"/>
              <w:jc w:val="left"/>
              <w:rPr>
                <w:sz w:val="21"/>
              </w:rPr>
            </w:pPr>
            <w:r>
              <w:rPr>
                <w:spacing w:val="-3"/>
                <w:sz w:val="21"/>
              </w:rPr>
              <w:t>实际实施了针对狭窄动脉的手术治疗。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7" w:hRule="atLeast"/>
        </w:trPr>
        <w:tc>
          <w:tcPr>
            <w:tcW w:w="1090" w:type="dxa"/>
            <w:tcBorders>
              <w:left w:val="single" w:color="000000" w:sz="12" w:space="0"/>
            </w:tcBorders>
          </w:tcPr>
          <w:p>
            <w:pPr>
              <w:pStyle w:val="10"/>
              <w:ind w:left="323" w:right="294"/>
              <w:jc w:val="center"/>
              <w:rPr>
                <w:sz w:val="21"/>
              </w:rPr>
            </w:pPr>
            <w:r>
              <w:rPr>
                <w:spacing w:val="-5"/>
                <w:sz w:val="21"/>
              </w:rPr>
              <w:t>62</w:t>
            </w:r>
          </w:p>
        </w:tc>
        <w:tc>
          <w:tcPr>
            <w:tcW w:w="2194" w:type="dxa"/>
          </w:tcPr>
          <w:p>
            <w:pPr>
              <w:pStyle w:val="10"/>
              <w:ind w:left="119"/>
              <w:rPr>
                <w:sz w:val="21"/>
              </w:rPr>
            </w:pPr>
            <w:r>
              <w:rPr>
                <w:spacing w:val="-4"/>
                <w:sz w:val="21"/>
              </w:rPr>
              <w:t>严重原发性心肌病</w:t>
            </w:r>
          </w:p>
        </w:tc>
        <w:tc>
          <w:tcPr>
            <w:tcW w:w="6656" w:type="dxa"/>
            <w:tcBorders>
              <w:right w:val="single" w:color="000000" w:sz="12" w:space="0"/>
            </w:tcBorders>
          </w:tcPr>
          <w:p>
            <w:pPr>
              <w:pStyle w:val="10"/>
              <w:spacing w:line="278" w:lineRule="auto"/>
              <w:ind w:right="73"/>
              <w:rPr>
                <w:sz w:val="21"/>
              </w:rPr>
            </w:pPr>
            <w:r>
              <w:rPr>
                <w:spacing w:val="-3"/>
                <w:w w:val="100"/>
                <w:sz w:val="21"/>
              </w:rPr>
              <w:t>指被保人因原发性心肌病导致慢性心功能损害造成永久不可逆性的心</w:t>
            </w:r>
            <w:r>
              <w:rPr>
                <w:spacing w:val="-11"/>
                <w:w w:val="100"/>
                <w:sz w:val="21"/>
              </w:rPr>
              <w:t>功能衰竭。心功能衰竭程度达到纽约心脏病学会的心功能分级标准之心功能</w:t>
            </w:r>
            <w:r>
              <w:rPr>
                <w:spacing w:val="-53"/>
                <w:sz w:val="21"/>
              </w:rPr>
              <w:t xml:space="preserve"> </w:t>
            </w:r>
            <w:r>
              <w:rPr>
                <w:spacing w:val="-3"/>
                <w:w w:val="100"/>
                <w:sz w:val="21"/>
              </w:rPr>
              <w:t>I</w:t>
            </w:r>
            <w:r>
              <w:rPr>
                <w:w w:val="100"/>
                <w:sz w:val="21"/>
              </w:rPr>
              <w:t>V</w:t>
            </w:r>
            <w:r>
              <w:rPr>
                <w:spacing w:val="-53"/>
                <w:sz w:val="21"/>
              </w:rPr>
              <w:t xml:space="preserve"> </w:t>
            </w:r>
            <w:r>
              <w:rPr>
                <w:spacing w:val="-3"/>
                <w:w w:val="100"/>
                <w:sz w:val="21"/>
              </w:rPr>
              <w:t>级。被保险人永久不可逆性的体力活动能力受限，不能从事任</w:t>
            </w:r>
          </w:p>
          <w:p>
            <w:pPr>
              <w:pStyle w:val="10"/>
              <w:spacing w:before="0" w:line="269" w:lineRule="exact"/>
              <w:rPr>
                <w:sz w:val="21"/>
              </w:rPr>
            </w:pPr>
            <w:r>
              <w:rPr>
                <w:spacing w:val="-4"/>
                <w:sz w:val="21"/>
              </w:rPr>
              <w:t>何体力活动。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090" w:type="dxa"/>
            <w:tcBorders>
              <w:left w:val="single" w:color="000000" w:sz="12" w:space="0"/>
            </w:tcBorders>
          </w:tcPr>
          <w:p>
            <w:pPr>
              <w:pStyle w:val="10"/>
              <w:ind w:left="323" w:right="294"/>
              <w:jc w:val="center"/>
              <w:rPr>
                <w:sz w:val="21"/>
              </w:rPr>
            </w:pPr>
            <w:r>
              <w:rPr>
                <w:spacing w:val="-5"/>
                <w:sz w:val="21"/>
              </w:rPr>
              <w:t>63</w:t>
            </w:r>
          </w:p>
        </w:tc>
        <w:tc>
          <w:tcPr>
            <w:tcW w:w="2194" w:type="dxa"/>
          </w:tcPr>
          <w:p>
            <w:pPr>
              <w:pStyle w:val="10"/>
              <w:ind w:left="119"/>
              <w:rPr>
                <w:sz w:val="21"/>
              </w:rPr>
            </w:pPr>
            <w:r>
              <w:rPr>
                <w:spacing w:val="-1"/>
                <w:sz w:val="21"/>
              </w:rPr>
              <w:t>严重慢性缩窄性心包</w:t>
            </w:r>
          </w:p>
        </w:tc>
        <w:tc>
          <w:tcPr>
            <w:tcW w:w="6656" w:type="dxa"/>
            <w:tcBorders>
              <w:right w:val="single" w:color="000000" w:sz="12" w:space="0"/>
            </w:tcBorders>
          </w:tcPr>
          <w:p>
            <w:pPr>
              <w:pStyle w:val="10"/>
              <w:rPr>
                <w:sz w:val="21"/>
              </w:rPr>
            </w:pPr>
            <w:r>
              <w:rPr>
                <w:spacing w:val="-5"/>
                <w:sz w:val="21"/>
              </w:rPr>
              <w:t>由于慢性心包炎症导致心包脏层和壁层广泛瘢痕粘连、增厚和钙化，心</w:t>
            </w:r>
          </w:p>
        </w:tc>
      </w:tr>
    </w:tbl>
    <w:p>
      <w:pPr>
        <w:spacing w:after="0"/>
        <w:rPr>
          <w:sz w:val="21"/>
        </w:rPr>
        <w:sectPr>
          <w:type w:val="continuous"/>
          <w:pgSz w:w="11910" w:h="16840"/>
          <w:pgMar w:top="840" w:right="340" w:bottom="640" w:left="800" w:header="0" w:footer="457" w:gutter="0"/>
          <w:cols w:space="720" w:num="1"/>
        </w:sectPr>
      </w:pPr>
    </w:p>
    <w:tbl>
      <w:tblPr>
        <w:tblStyle w:val="6"/>
        <w:tblW w:w="0" w:type="auto"/>
        <w:tblInd w:w="22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90"/>
        <w:gridCol w:w="2194"/>
        <w:gridCol w:w="66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0" w:hRule="atLeast"/>
        </w:trPr>
        <w:tc>
          <w:tcPr>
            <w:tcW w:w="1090" w:type="dxa"/>
            <w:tcBorders>
              <w:left w:val="single" w:color="000000" w:sz="12" w:space="0"/>
            </w:tcBorders>
          </w:tcPr>
          <w:p>
            <w:pPr>
              <w:pStyle w:val="10"/>
              <w:spacing w:before="0"/>
              <w:ind w:left="0"/>
              <w:rPr>
                <w:rFonts w:ascii="Times New Roman"/>
                <w:sz w:val="20"/>
              </w:rPr>
            </w:pPr>
          </w:p>
        </w:tc>
        <w:tc>
          <w:tcPr>
            <w:tcW w:w="2194" w:type="dxa"/>
          </w:tcPr>
          <w:p>
            <w:pPr>
              <w:pStyle w:val="10"/>
              <w:ind w:left="119"/>
              <w:rPr>
                <w:sz w:val="21"/>
              </w:rPr>
            </w:pPr>
            <w:r>
              <w:rPr>
                <w:spacing w:val="-4"/>
                <w:sz w:val="21"/>
              </w:rPr>
              <w:t>炎手术治疗</w:t>
            </w:r>
          </w:p>
        </w:tc>
        <w:tc>
          <w:tcPr>
            <w:tcW w:w="6656" w:type="dxa"/>
            <w:tcBorders>
              <w:right w:val="single" w:color="000000" w:sz="12" w:space="0"/>
            </w:tcBorders>
          </w:tcPr>
          <w:p>
            <w:pPr>
              <w:pStyle w:val="10"/>
              <w:spacing w:line="278" w:lineRule="auto"/>
              <w:ind w:right="4"/>
              <w:rPr>
                <w:sz w:val="21"/>
              </w:rPr>
            </w:pPr>
            <w:r>
              <w:rPr>
                <w:spacing w:val="-2"/>
                <w:sz w:val="21"/>
              </w:rPr>
              <w:t>包腔闭塞，形成一个纤维瘢痕外壳，使心脏和大血管根部受压，阻碍心脏的舒张。慢性缩窄性心包炎必须被明确诊断并且满足下列所有条件：</w:t>
            </w:r>
          </w:p>
          <w:p>
            <w:pPr>
              <w:pStyle w:val="10"/>
              <w:numPr>
                <w:ilvl w:val="0"/>
                <w:numId w:val="69"/>
              </w:numPr>
              <w:tabs>
                <w:tab w:val="left" w:pos="637"/>
              </w:tabs>
              <w:spacing w:before="0" w:after="0" w:line="278" w:lineRule="auto"/>
              <w:ind w:left="107" w:right="73" w:firstLine="0"/>
              <w:jc w:val="left"/>
              <w:rPr>
                <w:sz w:val="21"/>
              </w:rPr>
            </w:pPr>
            <w:r>
              <w:rPr>
                <w:spacing w:val="-1"/>
                <w:sz w:val="21"/>
              </w:rPr>
              <w:t xml:space="preserve">心功能衰竭达到美国纽约心脏病学会心功能分级标准之 </w:t>
            </w:r>
            <w:r>
              <w:rPr>
                <w:sz w:val="21"/>
              </w:rPr>
              <w:t>III 级或 IV</w:t>
            </w:r>
            <w:r>
              <w:rPr>
                <w:spacing w:val="-6"/>
                <w:sz w:val="21"/>
              </w:rPr>
              <w:t xml:space="preserve"> 级；</w:t>
            </w:r>
          </w:p>
          <w:p>
            <w:pPr>
              <w:pStyle w:val="10"/>
              <w:numPr>
                <w:ilvl w:val="0"/>
                <w:numId w:val="69"/>
              </w:numPr>
              <w:tabs>
                <w:tab w:val="left" w:pos="637"/>
              </w:tabs>
              <w:spacing w:before="0" w:after="0" w:line="278" w:lineRule="auto"/>
              <w:ind w:left="107" w:right="107" w:firstLine="0"/>
              <w:jc w:val="left"/>
              <w:rPr>
                <w:sz w:val="21"/>
              </w:rPr>
            </w:pPr>
            <w:r>
              <w:rPr>
                <w:spacing w:val="-2"/>
                <w:sz w:val="21"/>
              </w:rPr>
              <w:t>已经接受了经下列任何一种手术路径进行的开胸心包剥离手术和心包切除手术。</w:t>
            </w:r>
          </w:p>
          <w:p>
            <w:pPr>
              <w:pStyle w:val="10"/>
              <w:spacing w:before="0" w:line="269" w:lineRule="exact"/>
              <w:rPr>
                <w:sz w:val="21"/>
              </w:rPr>
            </w:pPr>
            <w:r>
              <w:rPr>
                <w:spacing w:val="-4"/>
                <w:sz w:val="21"/>
              </w:rPr>
              <w:t>①胸骨正中切口；</w:t>
            </w:r>
          </w:p>
          <w:p>
            <w:pPr>
              <w:pStyle w:val="10"/>
              <w:spacing w:before="43"/>
              <w:rPr>
                <w:sz w:val="21"/>
              </w:rPr>
            </w:pPr>
            <w:r>
              <w:rPr>
                <w:spacing w:val="-4"/>
                <w:sz w:val="21"/>
              </w:rPr>
              <w:t>②双侧前胸切口；</w:t>
            </w:r>
          </w:p>
          <w:p>
            <w:pPr>
              <w:pStyle w:val="10"/>
              <w:spacing w:before="43"/>
              <w:rPr>
                <w:sz w:val="21"/>
              </w:rPr>
            </w:pPr>
            <w:r>
              <w:rPr>
                <w:spacing w:val="-3"/>
                <w:sz w:val="21"/>
              </w:rPr>
              <w:t>③左前胸肋间切口。</w:t>
            </w:r>
          </w:p>
          <w:p>
            <w:pPr>
              <w:pStyle w:val="10"/>
              <w:spacing w:before="43"/>
              <w:rPr>
                <w:rFonts w:ascii="黑体" w:eastAsia="黑体"/>
                <w:sz w:val="21"/>
              </w:rPr>
            </w:pPr>
            <w:r>
              <w:rPr>
                <w:rFonts w:ascii="黑体" w:eastAsia="黑体"/>
                <w:color w:val="000000"/>
                <w:spacing w:val="-3"/>
                <w:sz w:val="21"/>
                <w:shd w:val="clear" w:color="auto" w:fill="D9D9D9"/>
              </w:rPr>
              <w:t>经胸腔镜、胸壁打孔进行的手术，心包粘连松解手术不在保障范围内。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84" w:hRule="atLeast"/>
        </w:trPr>
        <w:tc>
          <w:tcPr>
            <w:tcW w:w="1090" w:type="dxa"/>
            <w:tcBorders>
              <w:left w:val="single" w:color="000000" w:sz="12" w:space="0"/>
            </w:tcBorders>
          </w:tcPr>
          <w:p>
            <w:pPr>
              <w:pStyle w:val="10"/>
              <w:ind w:left="323" w:right="294"/>
              <w:jc w:val="center"/>
              <w:rPr>
                <w:sz w:val="21"/>
              </w:rPr>
            </w:pPr>
            <w:r>
              <w:rPr>
                <w:spacing w:val="-5"/>
                <w:sz w:val="21"/>
              </w:rPr>
              <w:t>64</w:t>
            </w:r>
          </w:p>
        </w:tc>
        <w:tc>
          <w:tcPr>
            <w:tcW w:w="2194" w:type="dxa"/>
          </w:tcPr>
          <w:p>
            <w:pPr>
              <w:pStyle w:val="10"/>
              <w:spacing w:line="278" w:lineRule="auto"/>
              <w:ind w:left="119" w:right="82"/>
              <w:rPr>
                <w:sz w:val="21"/>
              </w:rPr>
            </w:pPr>
            <w:r>
              <w:rPr>
                <w:sz w:val="21"/>
              </w:rPr>
              <w:t>非阿尔茨海默病致严</w:t>
            </w:r>
            <w:r>
              <w:rPr>
                <w:spacing w:val="-4"/>
                <w:sz w:val="21"/>
              </w:rPr>
              <w:t>重痴呆</w:t>
            </w:r>
          </w:p>
        </w:tc>
        <w:tc>
          <w:tcPr>
            <w:tcW w:w="6656" w:type="dxa"/>
            <w:tcBorders>
              <w:right w:val="single" w:color="000000" w:sz="12" w:space="0"/>
            </w:tcBorders>
          </w:tcPr>
          <w:p>
            <w:pPr>
              <w:pStyle w:val="10"/>
              <w:spacing w:line="278" w:lineRule="auto"/>
              <w:ind w:right="73"/>
              <w:rPr>
                <w:sz w:val="21"/>
              </w:rPr>
            </w:pPr>
            <w:r>
              <w:rPr>
                <w:spacing w:val="-3"/>
                <w:w w:val="100"/>
                <w:sz w:val="21"/>
              </w:rPr>
              <w:t>指因阿尔茨海默病以外的脑的器质性疾病造成脑功能衰竭导致永久不</w:t>
            </w:r>
            <w:r>
              <w:rPr>
                <w:spacing w:val="-9"/>
                <w:w w:val="100"/>
                <w:sz w:val="21"/>
              </w:rPr>
              <w:t>可逆性的严重痴呆，临床表现为明显的认知能力障碍、行为异常和社交</w:t>
            </w:r>
            <w:r>
              <w:rPr>
                <w:spacing w:val="-11"/>
                <w:w w:val="100"/>
                <w:sz w:val="21"/>
              </w:rPr>
              <w:t>能力减退。被保险人自主生活能力完全丧失，无法独立完成六项基本日</w:t>
            </w:r>
            <w:r>
              <w:rPr>
                <w:spacing w:val="-6"/>
                <w:w w:val="100"/>
                <w:sz w:val="21"/>
              </w:rPr>
              <w:t>常生活活动中的三项或三项以上，日常生活必须持续受到他人监护。</w:t>
            </w:r>
            <w:r>
              <w:rPr>
                <w:spacing w:val="-9"/>
                <w:w w:val="100"/>
                <w:sz w:val="21"/>
              </w:rPr>
              <w:t>导致痴呆的疾病必须明确诊断，并且由完整的临床、实验室和影像学检</w:t>
            </w:r>
            <w:r>
              <w:rPr>
                <w:spacing w:val="-5"/>
                <w:w w:val="100"/>
                <w:sz w:val="21"/>
              </w:rPr>
              <w:t>查结果证实。</w:t>
            </w:r>
          </w:p>
          <w:p>
            <w:pPr>
              <w:pStyle w:val="10"/>
              <w:spacing w:before="0"/>
              <w:rPr>
                <w:rFonts w:ascii="黑体" w:eastAsia="黑体"/>
                <w:sz w:val="21"/>
              </w:rPr>
            </w:pPr>
            <w:r>
              <w:rPr>
                <w:rFonts w:ascii="黑体" w:eastAsia="黑体"/>
                <w:color w:val="000000"/>
                <w:spacing w:val="-3"/>
                <w:sz w:val="21"/>
                <w:shd w:val="clear" w:color="auto" w:fill="D9D9D9"/>
              </w:rPr>
              <w:t>神经官能症，精神疾病及酒精中毒所致脑损害不在保障范围内。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1090" w:type="dxa"/>
            <w:tcBorders>
              <w:left w:val="single" w:color="000000" w:sz="12" w:space="0"/>
            </w:tcBorders>
          </w:tcPr>
          <w:p>
            <w:pPr>
              <w:pStyle w:val="10"/>
              <w:ind w:left="323" w:right="294"/>
              <w:jc w:val="center"/>
              <w:rPr>
                <w:sz w:val="21"/>
              </w:rPr>
            </w:pPr>
            <w:r>
              <w:rPr>
                <w:spacing w:val="-5"/>
                <w:sz w:val="21"/>
              </w:rPr>
              <w:t>65</w:t>
            </w:r>
          </w:p>
        </w:tc>
        <w:tc>
          <w:tcPr>
            <w:tcW w:w="2194" w:type="dxa"/>
          </w:tcPr>
          <w:p>
            <w:pPr>
              <w:pStyle w:val="10"/>
              <w:ind w:left="119"/>
              <w:rPr>
                <w:sz w:val="21"/>
              </w:rPr>
            </w:pPr>
            <w:r>
              <w:rPr>
                <w:spacing w:val="-4"/>
                <w:sz w:val="21"/>
              </w:rPr>
              <w:t>肌营养不良症</w:t>
            </w:r>
          </w:p>
        </w:tc>
        <w:tc>
          <w:tcPr>
            <w:tcW w:w="6656" w:type="dxa"/>
            <w:tcBorders>
              <w:right w:val="single" w:color="000000" w:sz="12" w:space="0"/>
            </w:tcBorders>
          </w:tcPr>
          <w:p>
            <w:pPr>
              <w:pStyle w:val="10"/>
              <w:spacing w:line="278" w:lineRule="auto"/>
              <w:ind w:right="73"/>
              <w:rPr>
                <w:sz w:val="21"/>
              </w:rPr>
            </w:pPr>
            <w:r>
              <w:rPr>
                <w:spacing w:val="-6"/>
                <w:sz w:val="21"/>
              </w:rPr>
              <w:t>肌营养不良症是一组遗传性肌肉变性病变，临床特征为与神经系统无关</w:t>
            </w:r>
            <w:r>
              <w:rPr>
                <w:spacing w:val="-5"/>
                <w:sz w:val="21"/>
              </w:rPr>
              <w:t>的肌肉无力和肌肉萎缩。被保险人自主生活能力完全丧失，无法独立完</w:t>
            </w:r>
          </w:p>
          <w:p>
            <w:pPr>
              <w:pStyle w:val="10"/>
              <w:spacing w:before="0" w:line="269" w:lineRule="exact"/>
              <w:rPr>
                <w:sz w:val="21"/>
              </w:rPr>
            </w:pPr>
            <w:r>
              <w:rPr>
                <w:spacing w:val="-3"/>
                <w:sz w:val="21"/>
              </w:rPr>
              <w:t>成六项基本日常生活活动中的三项或三项以上。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7" w:hRule="atLeast"/>
        </w:trPr>
        <w:tc>
          <w:tcPr>
            <w:tcW w:w="1090" w:type="dxa"/>
            <w:tcBorders>
              <w:left w:val="single" w:color="000000" w:sz="12" w:space="0"/>
            </w:tcBorders>
          </w:tcPr>
          <w:p>
            <w:pPr>
              <w:pStyle w:val="10"/>
              <w:ind w:left="323" w:right="294"/>
              <w:jc w:val="center"/>
              <w:rPr>
                <w:sz w:val="21"/>
              </w:rPr>
            </w:pPr>
            <w:r>
              <w:rPr>
                <w:spacing w:val="-5"/>
                <w:sz w:val="21"/>
              </w:rPr>
              <w:t>66</w:t>
            </w:r>
          </w:p>
        </w:tc>
        <w:tc>
          <w:tcPr>
            <w:tcW w:w="2194" w:type="dxa"/>
          </w:tcPr>
          <w:p>
            <w:pPr>
              <w:pStyle w:val="10"/>
              <w:ind w:left="119"/>
              <w:rPr>
                <w:sz w:val="21"/>
              </w:rPr>
            </w:pPr>
            <w:r>
              <w:rPr>
                <w:spacing w:val="-4"/>
                <w:sz w:val="21"/>
              </w:rPr>
              <w:t>克-雅氏病</w:t>
            </w:r>
          </w:p>
        </w:tc>
        <w:tc>
          <w:tcPr>
            <w:tcW w:w="6656" w:type="dxa"/>
            <w:tcBorders>
              <w:right w:val="single" w:color="000000" w:sz="12" w:space="0"/>
            </w:tcBorders>
          </w:tcPr>
          <w:p>
            <w:pPr>
              <w:pStyle w:val="10"/>
              <w:spacing w:line="278" w:lineRule="auto"/>
              <w:ind w:right="73"/>
              <w:jc w:val="both"/>
              <w:rPr>
                <w:sz w:val="21"/>
              </w:rPr>
            </w:pPr>
            <w:r>
              <w:rPr>
                <w:spacing w:val="-2"/>
                <w:sz w:val="21"/>
              </w:rPr>
              <w:t>克-雅氏病是一种传染性海绵状脑病，临床表现为快速进行性痴呆、肌</w:t>
            </w:r>
            <w:r>
              <w:rPr>
                <w:spacing w:val="-10"/>
                <w:sz w:val="21"/>
              </w:rPr>
              <w:t xml:space="preserve">阵挛和特征性脑电图变化。本病须经三级医院的专科医师根据 </w:t>
            </w:r>
            <w:r>
              <w:rPr>
                <w:spacing w:val="-2"/>
                <w:sz w:val="21"/>
              </w:rPr>
              <w:t>WHO</w:t>
            </w:r>
            <w:r>
              <w:rPr>
                <w:spacing w:val="-10"/>
                <w:sz w:val="21"/>
              </w:rPr>
              <w:t xml:space="preserve"> 诊断</w:t>
            </w:r>
            <w:r>
              <w:rPr>
                <w:spacing w:val="-5"/>
                <w:sz w:val="21"/>
              </w:rPr>
              <w:t>标准明确诊断，并且被保险人永久不可逆丧失自主生活能力，无法独立</w:t>
            </w:r>
          </w:p>
          <w:p>
            <w:pPr>
              <w:pStyle w:val="10"/>
              <w:spacing w:before="0" w:line="269" w:lineRule="exact"/>
              <w:rPr>
                <w:sz w:val="21"/>
              </w:rPr>
            </w:pPr>
            <w:r>
              <w:rPr>
                <w:spacing w:val="-3"/>
                <w:sz w:val="21"/>
              </w:rPr>
              <w:t>完成六项基本日常生活活动中的三项或三项以上。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84" w:hRule="atLeast"/>
        </w:trPr>
        <w:tc>
          <w:tcPr>
            <w:tcW w:w="1090" w:type="dxa"/>
            <w:tcBorders>
              <w:left w:val="single" w:color="000000" w:sz="12" w:space="0"/>
            </w:tcBorders>
          </w:tcPr>
          <w:p>
            <w:pPr>
              <w:pStyle w:val="10"/>
              <w:ind w:left="323" w:right="294"/>
              <w:jc w:val="center"/>
              <w:rPr>
                <w:sz w:val="21"/>
              </w:rPr>
            </w:pPr>
            <w:r>
              <w:rPr>
                <w:spacing w:val="-5"/>
                <w:sz w:val="21"/>
              </w:rPr>
              <w:t>67</w:t>
            </w:r>
          </w:p>
        </w:tc>
        <w:tc>
          <w:tcPr>
            <w:tcW w:w="2194" w:type="dxa"/>
          </w:tcPr>
          <w:p>
            <w:pPr>
              <w:pStyle w:val="10"/>
              <w:ind w:left="119"/>
              <w:rPr>
                <w:sz w:val="21"/>
              </w:rPr>
            </w:pPr>
            <w:r>
              <w:rPr>
                <w:spacing w:val="-3"/>
                <w:sz w:val="21"/>
              </w:rPr>
              <w:t>严重脊髓小脑变性症</w:t>
            </w:r>
          </w:p>
        </w:tc>
        <w:tc>
          <w:tcPr>
            <w:tcW w:w="6656" w:type="dxa"/>
            <w:tcBorders>
              <w:right w:val="single" w:color="000000" w:sz="12" w:space="0"/>
            </w:tcBorders>
          </w:tcPr>
          <w:p>
            <w:pPr>
              <w:pStyle w:val="10"/>
              <w:spacing w:line="278" w:lineRule="auto"/>
              <w:ind w:right="210"/>
              <w:rPr>
                <w:sz w:val="21"/>
              </w:rPr>
            </w:pPr>
            <w:r>
              <w:rPr>
                <w:spacing w:val="-2"/>
                <w:sz w:val="21"/>
              </w:rPr>
              <w:t>脊髓小脑变性症为一组以小脑萎缩和共济失调为主要临床特点的多与遗传有关的疾病。必须满足下列所有条件：</w:t>
            </w:r>
          </w:p>
          <w:p>
            <w:pPr>
              <w:pStyle w:val="10"/>
              <w:spacing w:before="0" w:line="278" w:lineRule="auto"/>
              <w:ind w:right="1"/>
              <w:rPr>
                <w:sz w:val="21"/>
              </w:rPr>
            </w:pPr>
            <w:r>
              <w:rPr>
                <w:spacing w:val="-2"/>
                <w:sz w:val="21"/>
              </w:rPr>
              <w:t>（1）脊髓小脑变性症必须由三级医院诊断，并有下列所有证据支持： a.影像学检查证实存在小脑萎缩；</w:t>
            </w:r>
          </w:p>
          <w:p>
            <w:pPr>
              <w:pStyle w:val="10"/>
              <w:spacing w:before="0" w:line="269" w:lineRule="exact"/>
              <w:rPr>
                <w:sz w:val="21"/>
              </w:rPr>
            </w:pPr>
            <w:r>
              <w:rPr>
                <w:spacing w:val="-2"/>
                <w:sz w:val="21"/>
              </w:rPr>
              <w:t>b.</w:t>
            </w:r>
            <w:r>
              <w:rPr>
                <w:spacing w:val="-3"/>
                <w:sz w:val="21"/>
              </w:rPr>
              <w:t>临床表现存在共济失调、语言障碍和肌张力异常；</w:t>
            </w:r>
          </w:p>
          <w:p>
            <w:pPr>
              <w:pStyle w:val="10"/>
              <w:spacing w:before="2" w:line="310" w:lineRule="atLeast"/>
              <w:ind w:right="107"/>
              <w:rPr>
                <w:sz w:val="21"/>
              </w:rPr>
            </w:pPr>
            <w:r>
              <w:rPr>
                <w:spacing w:val="-2"/>
                <w:sz w:val="21"/>
              </w:rPr>
              <w:t>（2）被保险人运动功能严重障碍，自主生活能力完全丧失，无法独立完成六项基本日常生活活动中的三项或三项以上。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8" w:hRule="atLeast"/>
        </w:trPr>
        <w:tc>
          <w:tcPr>
            <w:tcW w:w="1090" w:type="dxa"/>
            <w:tcBorders>
              <w:left w:val="single" w:color="000000" w:sz="12" w:space="0"/>
            </w:tcBorders>
          </w:tcPr>
          <w:p>
            <w:pPr>
              <w:pStyle w:val="10"/>
              <w:spacing w:before="18"/>
              <w:ind w:left="323" w:right="294"/>
              <w:jc w:val="center"/>
              <w:rPr>
                <w:sz w:val="21"/>
              </w:rPr>
            </w:pPr>
            <w:r>
              <w:rPr>
                <w:spacing w:val="-5"/>
                <w:sz w:val="21"/>
              </w:rPr>
              <w:t>68</w:t>
            </w:r>
          </w:p>
        </w:tc>
        <w:tc>
          <w:tcPr>
            <w:tcW w:w="2194" w:type="dxa"/>
          </w:tcPr>
          <w:p>
            <w:pPr>
              <w:pStyle w:val="10"/>
              <w:spacing w:before="18"/>
              <w:ind w:left="119"/>
              <w:rPr>
                <w:sz w:val="21"/>
              </w:rPr>
            </w:pPr>
            <w:r>
              <w:rPr>
                <w:spacing w:val="-4"/>
                <w:sz w:val="21"/>
              </w:rPr>
              <w:t>严重神经白塞病</w:t>
            </w:r>
          </w:p>
        </w:tc>
        <w:tc>
          <w:tcPr>
            <w:tcW w:w="6656" w:type="dxa"/>
            <w:tcBorders>
              <w:right w:val="single" w:color="000000" w:sz="12" w:space="0"/>
            </w:tcBorders>
          </w:tcPr>
          <w:p>
            <w:pPr>
              <w:pStyle w:val="10"/>
              <w:spacing w:before="18" w:line="278" w:lineRule="auto"/>
              <w:ind w:right="73"/>
              <w:rPr>
                <w:sz w:val="21"/>
              </w:rPr>
            </w:pPr>
            <w:r>
              <w:rPr>
                <w:spacing w:val="-3"/>
                <w:w w:val="100"/>
                <w:sz w:val="21"/>
              </w:rPr>
              <w:t>白塞病是一种慢性全身性血管炎症性疾病，主要表现为复发性口腔溃</w:t>
            </w:r>
            <w:r>
              <w:rPr>
                <w:spacing w:val="-10"/>
                <w:w w:val="100"/>
                <w:sz w:val="21"/>
              </w:rPr>
              <w:t>疡、生殖器溃疡、眼炎及皮肤损害，并可累及大血管、神经系统、消化</w:t>
            </w:r>
            <w:r>
              <w:rPr>
                <w:spacing w:val="-11"/>
                <w:w w:val="100"/>
                <w:sz w:val="21"/>
              </w:rPr>
              <w:t>道、肺、肾等等。累及神经系统损害的白塞病称为神经白塞病。神经白</w:t>
            </w:r>
            <w:r>
              <w:rPr>
                <w:spacing w:val="-10"/>
                <w:w w:val="100"/>
                <w:sz w:val="21"/>
              </w:rPr>
              <w:t>塞病必须明确诊断，并且已经造成永久不可逆的神经系统功能损害。永</w:t>
            </w:r>
            <w:r>
              <w:rPr>
                <w:spacing w:val="-5"/>
                <w:w w:val="100"/>
                <w:sz w:val="21"/>
              </w:rPr>
              <w:t>久不可逆的神经系统损害指被保险人持续</w:t>
            </w:r>
            <w:r>
              <w:rPr>
                <w:spacing w:val="-53"/>
                <w:sz w:val="21"/>
              </w:rPr>
              <w:t xml:space="preserve"> </w:t>
            </w:r>
            <w:r>
              <w:rPr>
                <w:w w:val="100"/>
                <w:sz w:val="21"/>
              </w:rPr>
              <w:t>180</w:t>
            </w:r>
            <w:r>
              <w:rPr>
                <w:spacing w:val="-55"/>
                <w:sz w:val="21"/>
              </w:rPr>
              <w:t xml:space="preserve"> </w:t>
            </w:r>
            <w:r>
              <w:rPr>
                <w:spacing w:val="-3"/>
                <w:w w:val="100"/>
                <w:sz w:val="21"/>
              </w:rPr>
              <w:t>天无法独立完成下列基本日常生活活动之一：</w:t>
            </w:r>
          </w:p>
          <w:p>
            <w:pPr>
              <w:pStyle w:val="10"/>
              <w:numPr>
                <w:ilvl w:val="0"/>
                <w:numId w:val="70"/>
              </w:numPr>
              <w:tabs>
                <w:tab w:val="left" w:pos="637"/>
              </w:tabs>
              <w:spacing w:before="0" w:after="0" w:line="240" w:lineRule="auto"/>
              <w:ind w:left="636" w:right="0" w:hanging="530"/>
              <w:jc w:val="left"/>
              <w:rPr>
                <w:sz w:val="21"/>
              </w:rPr>
            </w:pPr>
            <w:r>
              <w:rPr>
                <w:spacing w:val="-3"/>
                <w:sz w:val="21"/>
              </w:rPr>
              <w:t>移动：自己从一个房间到另一个房间；</w:t>
            </w:r>
          </w:p>
          <w:p>
            <w:pPr>
              <w:pStyle w:val="10"/>
              <w:numPr>
                <w:ilvl w:val="0"/>
                <w:numId w:val="70"/>
              </w:numPr>
              <w:tabs>
                <w:tab w:val="left" w:pos="637"/>
              </w:tabs>
              <w:spacing w:before="43" w:after="0" w:line="240" w:lineRule="auto"/>
              <w:ind w:left="636" w:right="0" w:hanging="530"/>
              <w:jc w:val="left"/>
              <w:rPr>
                <w:sz w:val="21"/>
              </w:rPr>
            </w:pPr>
            <w:r>
              <w:rPr>
                <w:spacing w:val="-3"/>
                <w:sz w:val="21"/>
              </w:rPr>
              <w:t>进食：自己从已准备好的碗或碟中取食物放入口中。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83" w:hRule="atLeast"/>
        </w:trPr>
        <w:tc>
          <w:tcPr>
            <w:tcW w:w="1090" w:type="dxa"/>
            <w:tcBorders>
              <w:left w:val="single" w:color="000000" w:sz="12" w:space="0"/>
            </w:tcBorders>
          </w:tcPr>
          <w:p>
            <w:pPr>
              <w:pStyle w:val="10"/>
              <w:ind w:left="323" w:right="294"/>
              <w:jc w:val="center"/>
              <w:rPr>
                <w:sz w:val="21"/>
              </w:rPr>
            </w:pPr>
            <w:r>
              <w:rPr>
                <w:spacing w:val="-5"/>
                <w:sz w:val="21"/>
              </w:rPr>
              <w:t>69</w:t>
            </w:r>
          </w:p>
        </w:tc>
        <w:tc>
          <w:tcPr>
            <w:tcW w:w="2194" w:type="dxa"/>
          </w:tcPr>
          <w:p>
            <w:pPr>
              <w:pStyle w:val="10"/>
              <w:spacing w:line="278" w:lineRule="auto"/>
              <w:ind w:left="119" w:right="82"/>
              <w:rPr>
                <w:sz w:val="21"/>
              </w:rPr>
            </w:pPr>
            <w:r>
              <w:rPr>
                <w:sz w:val="21"/>
              </w:rPr>
              <w:t>系统性红斑狼疮较重</w:t>
            </w:r>
            <w:r>
              <w:rPr>
                <w:spacing w:val="-2"/>
                <w:sz w:val="21"/>
              </w:rPr>
              <w:t>狼疮性肾炎</w:t>
            </w:r>
          </w:p>
        </w:tc>
        <w:tc>
          <w:tcPr>
            <w:tcW w:w="6656" w:type="dxa"/>
            <w:tcBorders>
              <w:right w:val="single" w:color="000000" w:sz="12" w:space="0"/>
            </w:tcBorders>
          </w:tcPr>
          <w:p>
            <w:pPr>
              <w:pStyle w:val="10"/>
              <w:spacing w:line="278" w:lineRule="auto"/>
              <w:ind w:right="73"/>
              <w:jc w:val="both"/>
              <w:rPr>
                <w:sz w:val="21"/>
              </w:rPr>
            </w:pPr>
            <w:r>
              <w:rPr>
                <w:spacing w:val="-4"/>
                <w:sz w:val="21"/>
              </w:rPr>
              <w:t>系统性红斑狼疮是由多种因素引起，累及多系统的自身免疫性疾病。其特点是生成自身抗体对抗多种自身抗原。多见于育龄妇女。系统性红斑</w:t>
            </w:r>
            <w:r>
              <w:rPr>
                <w:spacing w:val="-7"/>
                <w:sz w:val="21"/>
              </w:rPr>
              <w:t>狼疮累及肾脏时称为狼疮性肾炎，世界卫生组织狼疮性肾炎分型根据肾</w:t>
            </w:r>
            <w:r>
              <w:rPr>
                <w:spacing w:val="-2"/>
                <w:sz w:val="21"/>
              </w:rPr>
              <w:t>活检病理分为I-VI</w:t>
            </w:r>
            <w:r>
              <w:rPr>
                <w:spacing w:val="-11"/>
                <w:sz w:val="21"/>
              </w:rPr>
              <w:t>型。被保险人必须被明确诊断为狼疮性肾炎并且满足</w:t>
            </w:r>
            <w:r>
              <w:rPr>
                <w:spacing w:val="-2"/>
                <w:sz w:val="21"/>
              </w:rPr>
              <w:t>下列所有条件：</w:t>
            </w:r>
          </w:p>
          <w:p>
            <w:pPr>
              <w:pStyle w:val="10"/>
              <w:numPr>
                <w:ilvl w:val="0"/>
                <w:numId w:val="71"/>
              </w:numPr>
              <w:tabs>
                <w:tab w:val="left" w:pos="637"/>
              </w:tabs>
              <w:spacing w:before="0" w:after="0" w:line="268" w:lineRule="exact"/>
              <w:ind w:left="636" w:right="0" w:hanging="530"/>
              <w:jc w:val="left"/>
              <w:rPr>
                <w:sz w:val="21"/>
              </w:rPr>
            </w:pPr>
            <w:r>
              <w:rPr>
                <w:spacing w:val="-2"/>
                <w:sz w:val="21"/>
              </w:rPr>
              <w:t>肾小球滤过率&lt;30ml/min/1.73</w:t>
            </w:r>
            <w:r>
              <w:rPr>
                <w:spacing w:val="-2"/>
                <w:position w:val="11"/>
                <w:sz w:val="11"/>
              </w:rPr>
              <w:t>2</w:t>
            </w:r>
            <w:r>
              <w:rPr>
                <w:spacing w:val="-2"/>
                <w:sz w:val="21"/>
              </w:rPr>
              <w:t>；</w:t>
            </w:r>
          </w:p>
          <w:p>
            <w:pPr>
              <w:pStyle w:val="10"/>
              <w:numPr>
                <w:ilvl w:val="0"/>
                <w:numId w:val="71"/>
              </w:numPr>
              <w:tabs>
                <w:tab w:val="left" w:pos="637"/>
              </w:tabs>
              <w:spacing w:before="43" w:after="0" w:line="240" w:lineRule="auto"/>
              <w:ind w:left="636" w:right="0" w:hanging="530"/>
              <w:jc w:val="left"/>
              <w:rPr>
                <w:sz w:val="21"/>
              </w:rPr>
            </w:pPr>
            <w:r>
              <w:rPr>
                <w:spacing w:val="-2"/>
                <w:sz w:val="21"/>
              </w:rPr>
              <w:t>血肌酐&gt;5mg/dl或442umol/L；</w:t>
            </w:r>
          </w:p>
        </w:tc>
      </w:tr>
    </w:tbl>
    <w:p>
      <w:pPr>
        <w:spacing w:after="0" w:line="240" w:lineRule="auto"/>
        <w:jc w:val="left"/>
        <w:rPr>
          <w:sz w:val="21"/>
        </w:rPr>
        <w:sectPr>
          <w:type w:val="continuous"/>
          <w:pgSz w:w="11910" w:h="16840"/>
          <w:pgMar w:top="840" w:right="340" w:bottom="1257" w:left="800" w:header="0" w:footer="457" w:gutter="0"/>
          <w:cols w:space="720" w:num="1"/>
        </w:sectPr>
      </w:pPr>
    </w:p>
    <w:tbl>
      <w:tblPr>
        <w:tblStyle w:val="6"/>
        <w:tblW w:w="0" w:type="auto"/>
        <w:tblInd w:w="22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90"/>
        <w:gridCol w:w="2194"/>
        <w:gridCol w:w="66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090" w:type="dxa"/>
            <w:tcBorders>
              <w:left w:val="single" w:color="000000" w:sz="12" w:space="0"/>
            </w:tcBorders>
          </w:tcPr>
          <w:p>
            <w:pPr>
              <w:pStyle w:val="10"/>
              <w:spacing w:before="0"/>
              <w:ind w:left="0"/>
              <w:rPr>
                <w:rFonts w:ascii="Times New Roman"/>
                <w:sz w:val="20"/>
              </w:rPr>
            </w:pPr>
          </w:p>
        </w:tc>
        <w:tc>
          <w:tcPr>
            <w:tcW w:w="2194" w:type="dxa"/>
          </w:tcPr>
          <w:p>
            <w:pPr>
              <w:pStyle w:val="10"/>
              <w:spacing w:before="0"/>
              <w:ind w:left="0"/>
              <w:rPr>
                <w:rFonts w:ascii="Times New Roman"/>
                <w:sz w:val="20"/>
              </w:rPr>
            </w:pPr>
          </w:p>
        </w:tc>
        <w:tc>
          <w:tcPr>
            <w:tcW w:w="6656" w:type="dxa"/>
            <w:tcBorders>
              <w:right w:val="single" w:color="000000" w:sz="12" w:space="0"/>
            </w:tcBorders>
          </w:tcPr>
          <w:p>
            <w:pPr>
              <w:pStyle w:val="10"/>
              <w:rPr>
                <w:sz w:val="21"/>
              </w:rPr>
            </w:pPr>
            <w:r>
              <w:rPr>
                <w:spacing w:val="-2"/>
                <w:sz w:val="21"/>
              </w:rPr>
              <w:t>（3）持续180</w:t>
            </w:r>
            <w:r>
              <w:rPr>
                <w:spacing w:val="-4"/>
                <w:sz w:val="21"/>
              </w:rPr>
              <w:t>天以上。</w:t>
            </w:r>
          </w:p>
          <w:p>
            <w:pPr>
              <w:pStyle w:val="10"/>
              <w:spacing w:before="43"/>
              <w:rPr>
                <w:rFonts w:ascii="黑体" w:eastAsia="黑体"/>
                <w:sz w:val="21"/>
              </w:rPr>
            </w:pPr>
            <w:r>
              <w:rPr>
                <w:rFonts w:ascii="黑体" w:eastAsia="黑体"/>
                <w:color w:val="000000"/>
                <w:spacing w:val="-3"/>
                <w:sz w:val="21"/>
                <w:shd w:val="clear" w:color="auto" w:fill="D9D9D9"/>
              </w:rPr>
              <w:t>其他类型的红斑性狼疮或系统性红斑狼疮不在保障范围內。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32" w:hRule="atLeast"/>
        </w:trPr>
        <w:tc>
          <w:tcPr>
            <w:tcW w:w="1090" w:type="dxa"/>
            <w:tcBorders>
              <w:left w:val="single" w:color="000000" w:sz="12" w:space="0"/>
            </w:tcBorders>
          </w:tcPr>
          <w:p>
            <w:pPr>
              <w:pStyle w:val="10"/>
              <w:ind w:left="323" w:right="294"/>
              <w:jc w:val="center"/>
              <w:rPr>
                <w:sz w:val="21"/>
              </w:rPr>
            </w:pPr>
            <w:r>
              <w:rPr>
                <w:spacing w:val="-5"/>
                <w:sz w:val="21"/>
              </w:rPr>
              <w:t>70</w:t>
            </w:r>
          </w:p>
        </w:tc>
        <w:tc>
          <w:tcPr>
            <w:tcW w:w="2194" w:type="dxa"/>
          </w:tcPr>
          <w:p>
            <w:pPr>
              <w:pStyle w:val="10"/>
              <w:spacing w:line="278" w:lineRule="auto"/>
              <w:ind w:left="119" w:right="82"/>
              <w:rPr>
                <w:sz w:val="21"/>
              </w:rPr>
            </w:pPr>
            <w:r>
              <w:rPr>
                <w:sz w:val="21"/>
              </w:rPr>
              <w:t>特发性慢性肾上腺皮</w:t>
            </w:r>
            <w:r>
              <w:rPr>
                <w:spacing w:val="-2"/>
                <w:sz w:val="21"/>
              </w:rPr>
              <w:t>质功能不全</w:t>
            </w:r>
          </w:p>
        </w:tc>
        <w:tc>
          <w:tcPr>
            <w:tcW w:w="6656" w:type="dxa"/>
            <w:tcBorders>
              <w:right w:val="single" w:color="000000" w:sz="12" w:space="0"/>
            </w:tcBorders>
          </w:tcPr>
          <w:p>
            <w:pPr>
              <w:pStyle w:val="10"/>
              <w:spacing w:line="278" w:lineRule="auto"/>
              <w:ind w:right="73"/>
              <w:rPr>
                <w:sz w:val="21"/>
              </w:rPr>
            </w:pPr>
            <w:r>
              <w:rPr>
                <w:spacing w:val="-4"/>
                <w:sz w:val="21"/>
              </w:rPr>
              <w:t>指自身免疫性肾上腺炎（既往名称：特发性肾上腺皮质萎缩）导致肾上</w:t>
            </w:r>
            <w:r>
              <w:rPr>
                <w:spacing w:val="-2"/>
                <w:sz w:val="21"/>
              </w:rPr>
              <w:t>腺萎缩和慢性肾上腺皮质功能减退。必须满足下列所有条件：</w:t>
            </w:r>
          </w:p>
          <w:p>
            <w:pPr>
              <w:pStyle w:val="10"/>
              <w:numPr>
                <w:ilvl w:val="0"/>
                <w:numId w:val="72"/>
              </w:numPr>
              <w:tabs>
                <w:tab w:val="left" w:pos="637"/>
              </w:tabs>
              <w:spacing w:before="0" w:after="0" w:line="269" w:lineRule="exact"/>
              <w:ind w:left="636" w:right="0" w:hanging="530"/>
              <w:jc w:val="left"/>
              <w:rPr>
                <w:sz w:val="21"/>
              </w:rPr>
            </w:pPr>
            <w:r>
              <w:rPr>
                <w:spacing w:val="-3"/>
                <w:sz w:val="21"/>
              </w:rPr>
              <w:t>明确诊断，符合下列所有诊断标准：</w:t>
            </w:r>
          </w:p>
          <w:p>
            <w:pPr>
              <w:pStyle w:val="10"/>
              <w:spacing w:before="43"/>
              <w:rPr>
                <w:sz w:val="21"/>
              </w:rPr>
            </w:pPr>
            <w:r>
              <w:rPr>
                <w:sz w:val="21"/>
              </w:rPr>
              <w:t>•血浆促肾上腺皮质激素（ACTH）</w:t>
            </w:r>
            <w:r>
              <w:rPr>
                <w:spacing w:val="-8"/>
                <w:sz w:val="21"/>
              </w:rPr>
              <w:t xml:space="preserve">水平 </w:t>
            </w:r>
            <w:r>
              <w:rPr>
                <w:spacing w:val="-2"/>
                <w:sz w:val="21"/>
              </w:rPr>
              <w:t>&gt;100pg/ml；</w:t>
            </w:r>
          </w:p>
          <w:p>
            <w:pPr>
              <w:pStyle w:val="10"/>
              <w:spacing w:before="43" w:line="278" w:lineRule="auto"/>
              <w:ind w:right="76"/>
              <w:rPr>
                <w:sz w:val="21"/>
              </w:rPr>
            </w:pPr>
            <w:r>
              <w:rPr>
                <w:spacing w:val="-6"/>
                <w:sz w:val="21"/>
              </w:rPr>
              <w:t xml:space="preserve">•血浆肾素活性、血管紧张素 </w:t>
            </w:r>
            <w:r>
              <w:rPr>
                <w:spacing w:val="-2"/>
                <w:sz w:val="21"/>
              </w:rPr>
              <w:t>II</w:t>
            </w:r>
            <w:r>
              <w:rPr>
                <w:spacing w:val="-10"/>
                <w:sz w:val="21"/>
              </w:rPr>
              <w:t xml:space="preserve"> 和醛固酮测定，显示为原发性肾上腺皮</w:t>
            </w:r>
            <w:r>
              <w:rPr>
                <w:spacing w:val="-2"/>
                <w:sz w:val="21"/>
              </w:rPr>
              <w:t>质功能减退症；</w:t>
            </w:r>
          </w:p>
          <w:p>
            <w:pPr>
              <w:pStyle w:val="10"/>
              <w:spacing w:before="0" w:line="278" w:lineRule="auto"/>
              <w:ind w:right="107"/>
              <w:rPr>
                <w:sz w:val="21"/>
              </w:rPr>
            </w:pPr>
            <w:r>
              <w:rPr>
                <w:spacing w:val="-2"/>
                <w:sz w:val="21"/>
              </w:rPr>
              <w:t>•促肾上腺皮质激素（ACTH）刺激试验显示为原发性肾上腺皮质功能减</w:t>
            </w:r>
            <w:r>
              <w:rPr>
                <w:spacing w:val="-4"/>
                <w:sz w:val="21"/>
              </w:rPr>
              <w:t>退症。</w:t>
            </w:r>
          </w:p>
          <w:p>
            <w:pPr>
              <w:pStyle w:val="10"/>
              <w:numPr>
                <w:ilvl w:val="0"/>
                <w:numId w:val="72"/>
              </w:numPr>
              <w:tabs>
                <w:tab w:val="left" w:pos="637"/>
              </w:tabs>
              <w:spacing w:before="0" w:after="0" w:line="269" w:lineRule="exact"/>
              <w:ind w:left="636" w:right="0" w:hanging="530"/>
              <w:jc w:val="left"/>
              <w:rPr>
                <w:sz w:val="21"/>
              </w:rPr>
            </w:pPr>
            <w:r>
              <w:rPr>
                <w:spacing w:val="-6"/>
                <w:sz w:val="21"/>
              </w:rPr>
              <w:t xml:space="preserve">已经采用皮质类固醇替代治疗 </w:t>
            </w:r>
            <w:r>
              <w:rPr>
                <w:spacing w:val="-2"/>
                <w:sz w:val="21"/>
              </w:rPr>
              <w:t>180</w:t>
            </w:r>
            <w:r>
              <w:rPr>
                <w:spacing w:val="-14"/>
                <w:sz w:val="21"/>
              </w:rPr>
              <w:t xml:space="preserve"> 天以上。</w:t>
            </w:r>
          </w:p>
          <w:p>
            <w:pPr>
              <w:pStyle w:val="10"/>
              <w:spacing w:before="2" w:line="310" w:lineRule="atLeast"/>
              <w:ind w:right="73"/>
              <w:rPr>
                <w:rFonts w:ascii="黑体" w:eastAsia="黑体"/>
                <w:sz w:val="21"/>
              </w:rPr>
            </w:pPr>
            <w:r>
              <w:rPr>
                <w:rFonts w:ascii="黑体" w:eastAsia="黑体"/>
                <w:color w:val="000000"/>
                <w:spacing w:val="-2"/>
                <w:sz w:val="21"/>
                <w:shd w:val="clear" w:color="auto" w:fill="D9D9D9"/>
              </w:rPr>
              <w:t>肾上腺结核、HIV</w:t>
            </w:r>
            <w:r>
              <w:rPr>
                <w:rFonts w:ascii="黑体" w:eastAsia="黑体"/>
                <w:color w:val="000000"/>
                <w:spacing w:val="-9"/>
                <w:sz w:val="21"/>
                <w:shd w:val="clear" w:color="auto" w:fill="D9D9D9"/>
              </w:rPr>
              <w:t xml:space="preserve"> 感染或艾滋病、感染、肿瘤所致的肾上腺皮质功能减</w:t>
            </w:r>
            <w:r>
              <w:rPr>
                <w:rFonts w:ascii="黑体" w:eastAsia="黑体"/>
                <w:color w:val="000000"/>
                <w:spacing w:val="80"/>
                <w:w w:val="150"/>
                <w:sz w:val="21"/>
                <w:shd w:val="clear" w:color="auto" w:fill="D9D9D9"/>
              </w:rPr>
              <w:t xml:space="preserve">                                   </w:t>
            </w:r>
            <w:r>
              <w:rPr>
                <w:rFonts w:ascii="黑体" w:eastAsia="黑体"/>
                <w:color w:val="000000"/>
                <w:spacing w:val="-2"/>
                <w:sz w:val="21"/>
                <w:shd w:val="clear" w:color="auto" w:fill="D9D9D9"/>
              </w:rPr>
              <w:t>退和其他继发性肾上腺皮质功能减退不在保障范围内。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8" w:hRule="atLeast"/>
        </w:trPr>
        <w:tc>
          <w:tcPr>
            <w:tcW w:w="1090" w:type="dxa"/>
            <w:tcBorders>
              <w:left w:val="single" w:color="000000" w:sz="12" w:space="0"/>
            </w:tcBorders>
          </w:tcPr>
          <w:p>
            <w:pPr>
              <w:pStyle w:val="10"/>
              <w:ind w:left="323" w:right="294"/>
              <w:jc w:val="center"/>
              <w:rPr>
                <w:sz w:val="21"/>
              </w:rPr>
            </w:pPr>
            <w:r>
              <w:rPr>
                <w:spacing w:val="-5"/>
                <w:sz w:val="21"/>
              </w:rPr>
              <w:t>71</w:t>
            </w:r>
          </w:p>
        </w:tc>
        <w:tc>
          <w:tcPr>
            <w:tcW w:w="2194" w:type="dxa"/>
          </w:tcPr>
          <w:p>
            <w:pPr>
              <w:pStyle w:val="10"/>
              <w:ind w:left="119"/>
              <w:rPr>
                <w:sz w:val="21"/>
              </w:rPr>
            </w:pPr>
            <w:r>
              <w:rPr>
                <w:spacing w:val="-4"/>
                <w:sz w:val="21"/>
              </w:rPr>
              <w:t>嗜铬细胞瘤</w:t>
            </w:r>
          </w:p>
        </w:tc>
        <w:tc>
          <w:tcPr>
            <w:tcW w:w="6656" w:type="dxa"/>
            <w:tcBorders>
              <w:right w:val="single" w:color="000000" w:sz="12" w:space="0"/>
            </w:tcBorders>
          </w:tcPr>
          <w:p>
            <w:pPr>
              <w:pStyle w:val="10"/>
              <w:spacing w:line="278" w:lineRule="auto"/>
              <w:ind w:right="-29"/>
              <w:rPr>
                <w:sz w:val="21"/>
              </w:rPr>
            </w:pPr>
            <w:r>
              <w:rPr>
                <w:spacing w:val="-2"/>
                <w:sz w:val="21"/>
              </w:rPr>
              <w:t>指发生在肾上腺或肾上腺外嗜铬组织的以分泌过多的儿茶酚胺为表现</w:t>
            </w:r>
            <w:r>
              <w:rPr>
                <w:spacing w:val="80"/>
                <w:sz w:val="21"/>
              </w:rPr>
              <w:t xml:space="preserve"> </w:t>
            </w:r>
            <w:r>
              <w:rPr>
                <w:spacing w:val="-15"/>
                <w:sz w:val="21"/>
              </w:rPr>
              <w:t>的神经内分泌肿瘤。嗜铬细胞瘤必须明确诊断，并且满足下列所有条件：</w:t>
            </w:r>
          </w:p>
          <w:p>
            <w:pPr>
              <w:pStyle w:val="10"/>
              <w:numPr>
                <w:ilvl w:val="0"/>
                <w:numId w:val="73"/>
              </w:numPr>
              <w:tabs>
                <w:tab w:val="left" w:pos="637"/>
              </w:tabs>
              <w:spacing w:before="0" w:after="0" w:line="240" w:lineRule="auto"/>
              <w:ind w:left="636" w:right="0" w:hanging="530"/>
              <w:jc w:val="left"/>
              <w:rPr>
                <w:sz w:val="21"/>
              </w:rPr>
            </w:pPr>
            <w:r>
              <w:rPr>
                <w:spacing w:val="-3"/>
                <w:sz w:val="21"/>
              </w:rPr>
              <w:t>临床有高血压症候群表现；</w:t>
            </w:r>
          </w:p>
          <w:p>
            <w:pPr>
              <w:pStyle w:val="10"/>
              <w:numPr>
                <w:ilvl w:val="0"/>
                <w:numId w:val="73"/>
              </w:numPr>
              <w:tabs>
                <w:tab w:val="left" w:pos="637"/>
              </w:tabs>
              <w:spacing w:before="43" w:after="0" w:line="240" w:lineRule="auto"/>
              <w:ind w:left="636" w:right="0" w:hanging="530"/>
              <w:jc w:val="left"/>
              <w:rPr>
                <w:sz w:val="21"/>
              </w:rPr>
            </w:pPr>
            <w:r>
              <w:rPr>
                <w:spacing w:val="-3"/>
                <w:sz w:val="21"/>
              </w:rPr>
              <w:t>已经实施了嗜铬细胞瘤切除手术。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08" w:hRule="atLeast"/>
        </w:trPr>
        <w:tc>
          <w:tcPr>
            <w:tcW w:w="1090" w:type="dxa"/>
            <w:tcBorders>
              <w:left w:val="single" w:color="000000" w:sz="12" w:space="0"/>
            </w:tcBorders>
          </w:tcPr>
          <w:p>
            <w:pPr>
              <w:pStyle w:val="10"/>
              <w:ind w:left="323" w:right="294"/>
              <w:jc w:val="center"/>
              <w:rPr>
                <w:sz w:val="21"/>
              </w:rPr>
            </w:pPr>
            <w:r>
              <w:rPr>
                <w:spacing w:val="-5"/>
                <w:sz w:val="21"/>
              </w:rPr>
              <w:t>72</w:t>
            </w:r>
          </w:p>
        </w:tc>
        <w:tc>
          <w:tcPr>
            <w:tcW w:w="2194" w:type="dxa"/>
          </w:tcPr>
          <w:p>
            <w:pPr>
              <w:pStyle w:val="10"/>
              <w:spacing w:line="278" w:lineRule="auto"/>
              <w:ind w:left="119" w:right="82"/>
              <w:rPr>
                <w:sz w:val="21"/>
              </w:rPr>
            </w:pPr>
            <w:r>
              <w:rPr>
                <w:sz w:val="21"/>
              </w:rPr>
              <w:t>严重慢性自身免疫性</w:t>
            </w:r>
            <w:r>
              <w:rPr>
                <w:spacing w:val="-6"/>
                <w:sz w:val="21"/>
              </w:rPr>
              <w:t>肝炎</w:t>
            </w:r>
          </w:p>
        </w:tc>
        <w:tc>
          <w:tcPr>
            <w:tcW w:w="6656" w:type="dxa"/>
            <w:tcBorders>
              <w:right w:val="single" w:color="000000" w:sz="12" w:space="0"/>
            </w:tcBorders>
          </w:tcPr>
          <w:p>
            <w:pPr>
              <w:pStyle w:val="10"/>
              <w:spacing w:line="278" w:lineRule="auto"/>
              <w:ind w:right="73"/>
              <w:jc w:val="both"/>
              <w:rPr>
                <w:sz w:val="21"/>
              </w:rPr>
            </w:pPr>
            <w:r>
              <w:rPr>
                <w:spacing w:val="-5"/>
                <w:sz w:val="21"/>
              </w:rPr>
              <w:t>自身免疫性肝炎是一种原因不明的慢性肝脏的坏死性炎性疾病，机体免</w:t>
            </w:r>
            <w:r>
              <w:rPr>
                <w:spacing w:val="-4"/>
                <w:sz w:val="21"/>
              </w:rPr>
              <w:t>疫机制被破坏，产生针对肝脏自身抗原的抗体导致自身免疫反应，从而破坏肝细胞造成肝脏炎症坏死，进而发展为肝硬化。必须满足下列所有条件：</w:t>
            </w:r>
          </w:p>
          <w:p>
            <w:pPr>
              <w:pStyle w:val="10"/>
              <w:numPr>
                <w:ilvl w:val="0"/>
                <w:numId w:val="74"/>
              </w:numPr>
              <w:tabs>
                <w:tab w:val="left" w:pos="637"/>
              </w:tabs>
              <w:spacing w:before="0" w:after="0" w:line="269" w:lineRule="exact"/>
              <w:ind w:left="636" w:right="0" w:hanging="530"/>
              <w:jc w:val="left"/>
              <w:rPr>
                <w:sz w:val="21"/>
              </w:rPr>
            </w:pPr>
            <w:r>
              <w:rPr>
                <w:spacing w:val="-2"/>
                <w:sz w:val="21"/>
              </w:rPr>
              <w:t>高γ</w:t>
            </w:r>
            <w:r>
              <w:rPr>
                <w:spacing w:val="-4"/>
                <w:sz w:val="21"/>
              </w:rPr>
              <w:t>球蛋白血症；</w:t>
            </w:r>
          </w:p>
          <w:p>
            <w:pPr>
              <w:pStyle w:val="10"/>
              <w:numPr>
                <w:ilvl w:val="0"/>
                <w:numId w:val="74"/>
              </w:numPr>
              <w:tabs>
                <w:tab w:val="left" w:pos="635"/>
              </w:tabs>
              <w:spacing w:before="43" w:after="0" w:line="278" w:lineRule="auto"/>
              <w:ind w:left="107" w:right="73" w:firstLine="0"/>
              <w:jc w:val="left"/>
              <w:rPr>
                <w:sz w:val="21"/>
              </w:rPr>
            </w:pPr>
            <w:r>
              <w:rPr>
                <w:spacing w:val="-2"/>
                <w:sz w:val="21"/>
              </w:rPr>
              <w:t>血液中存在高水平的自身免疫抗体，如ANA（抗核抗体）、SMA（抗平滑肌抗体）、抗LKM1抗体或抗-SLA/LP抗体；</w:t>
            </w:r>
          </w:p>
          <w:p>
            <w:pPr>
              <w:pStyle w:val="10"/>
              <w:numPr>
                <w:ilvl w:val="0"/>
                <w:numId w:val="74"/>
              </w:numPr>
              <w:tabs>
                <w:tab w:val="left" w:pos="637"/>
              </w:tabs>
              <w:spacing w:before="0" w:after="0" w:line="269" w:lineRule="exact"/>
              <w:ind w:left="636" w:right="0" w:hanging="530"/>
              <w:jc w:val="left"/>
              <w:rPr>
                <w:sz w:val="21"/>
              </w:rPr>
            </w:pPr>
            <w:r>
              <w:rPr>
                <w:spacing w:val="-3"/>
                <w:sz w:val="21"/>
              </w:rPr>
              <w:t>肝脏活检确诊免疫性肝炎；</w:t>
            </w:r>
          </w:p>
          <w:p>
            <w:pPr>
              <w:pStyle w:val="10"/>
              <w:numPr>
                <w:ilvl w:val="0"/>
                <w:numId w:val="74"/>
              </w:numPr>
              <w:tabs>
                <w:tab w:val="left" w:pos="637"/>
              </w:tabs>
              <w:spacing w:before="43" w:after="0" w:line="240" w:lineRule="auto"/>
              <w:ind w:left="636" w:right="0" w:hanging="530"/>
              <w:jc w:val="left"/>
              <w:rPr>
                <w:sz w:val="21"/>
              </w:rPr>
            </w:pPr>
            <w:r>
              <w:rPr>
                <w:spacing w:val="-3"/>
                <w:sz w:val="21"/>
              </w:rPr>
              <w:t>临床已经出现腹水、食道静脉曲张和脾肿大等肝硬化表现。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7" w:hRule="atLeast"/>
        </w:trPr>
        <w:tc>
          <w:tcPr>
            <w:tcW w:w="1090" w:type="dxa"/>
            <w:tcBorders>
              <w:left w:val="single" w:color="000000" w:sz="12" w:space="0"/>
            </w:tcBorders>
          </w:tcPr>
          <w:p>
            <w:pPr>
              <w:pStyle w:val="10"/>
              <w:ind w:left="323" w:right="294"/>
              <w:jc w:val="center"/>
              <w:rPr>
                <w:sz w:val="21"/>
              </w:rPr>
            </w:pPr>
            <w:r>
              <w:rPr>
                <w:spacing w:val="-5"/>
                <w:sz w:val="21"/>
              </w:rPr>
              <w:t>73</w:t>
            </w:r>
          </w:p>
        </w:tc>
        <w:tc>
          <w:tcPr>
            <w:tcW w:w="2194" w:type="dxa"/>
          </w:tcPr>
          <w:p>
            <w:pPr>
              <w:pStyle w:val="10"/>
              <w:spacing w:line="278" w:lineRule="auto"/>
              <w:ind w:left="119" w:right="82"/>
              <w:rPr>
                <w:sz w:val="21"/>
              </w:rPr>
            </w:pPr>
            <w:r>
              <w:rPr>
                <w:sz w:val="21"/>
              </w:rPr>
              <w:t>重症急性出血坏死性</w:t>
            </w:r>
            <w:r>
              <w:rPr>
                <w:spacing w:val="-2"/>
                <w:sz w:val="21"/>
              </w:rPr>
              <w:t>胰腺炎开腹手术</w:t>
            </w:r>
          </w:p>
        </w:tc>
        <w:tc>
          <w:tcPr>
            <w:tcW w:w="6656" w:type="dxa"/>
            <w:tcBorders>
              <w:right w:val="single" w:color="000000" w:sz="12" w:space="0"/>
            </w:tcBorders>
          </w:tcPr>
          <w:p>
            <w:pPr>
              <w:pStyle w:val="10"/>
              <w:spacing w:line="278" w:lineRule="auto"/>
              <w:ind w:right="73"/>
              <w:rPr>
                <w:sz w:val="21"/>
              </w:rPr>
            </w:pPr>
            <w:r>
              <w:rPr>
                <w:spacing w:val="-6"/>
                <w:sz w:val="21"/>
              </w:rPr>
              <w:t>指被保险人被确诊为重症急性出血坏死性胰腺炎，并实际接受了外科剖</w:t>
            </w:r>
            <w:r>
              <w:rPr>
                <w:spacing w:val="-2"/>
                <w:sz w:val="21"/>
              </w:rPr>
              <w:t>腹直视手术治疗，进行坏死组织清除、坏死病灶切除或胰腺切除。</w:t>
            </w:r>
          </w:p>
          <w:p>
            <w:pPr>
              <w:pStyle w:val="10"/>
              <w:spacing w:before="0" w:line="269" w:lineRule="exact"/>
              <w:rPr>
                <w:rFonts w:ascii="黑体" w:eastAsia="黑体"/>
                <w:sz w:val="21"/>
              </w:rPr>
            </w:pPr>
            <w:r>
              <w:rPr>
                <w:rFonts w:ascii="黑体" w:eastAsia="黑体"/>
                <w:color w:val="000000"/>
                <w:spacing w:val="-3"/>
                <w:sz w:val="21"/>
                <w:shd w:val="clear" w:color="auto" w:fill="D9D9D9"/>
              </w:rPr>
              <w:t>腹腔镜手术治疗不在保障范围内。</w:t>
            </w:r>
          </w:p>
          <w:p>
            <w:pPr>
              <w:pStyle w:val="10"/>
              <w:spacing w:before="43"/>
              <w:rPr>
                <w:rFonts w:ascii="黑体" w:eastAsia="黑体"/>
                <w:sz w:val="21"/>
              </w:rPr>
            </w:pPr>
            <w:r>
              <w:rPr>
                <w:rFonts w:ascii="黑体" w:eastAsia="黑体"/>
                <w:color w:val="000000"/>
                <w:spacing w:val="-3"/>
                <w:sz w:val="21"/>
                <w:shd w:val="clear" w:color="auto" w:fill="D9D9D9"/>
              </w:rPr>
              <w:t>因酗酒或饮酒过量所致的急性坏死性胰腺炎不在保障范围内。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7" w:hRule="atLeast"/>
        </w:trPr>
        <w:tc>
          <w:tcPr>
            <w:tcW w:w="1090" w:type="dxa"/>
            <w:tcBorders>
              <w:left w:val="single" w:color="000000" w:sz="12" w:space="0"/>
            </w:tcBorders>
          </w:tcPr>
          <w:p>
            <w:pPr>
              <w:pStyle w:val="10"/>
              <w:spacing w:before="18"/>
              <w:ind w:left="323" w:right="294"/>
              <w:jc w:val="center"/>
              <w:rPr>
                <w:sz w:val="21"/>
              </w:rPr>
            </w:pPr>
            <w:r>
              <w:rPr>
                <w:spacing w:val="-5"/>
                <w:sz w:val="21"/>
              </w:rPr>
              <w:t>74</w:t>
            </w:r>
          </w:p>
        </w:tc>
        <w:tc>
          <w:tcPr>
            <w:tcW w:w="2194" w:type="dxa"/>
          </w:tcPr>
          <w:p>
            <w:pPr>
              <w:pStyle w:val="10"/>
              <w:spacing w:before="18"/>
              <w:ind w:left="119"/>
              <w:rPr>
                <w:sz w:val="21"/>
              </w:rPr>
            </w:pPr>
            <w:r>
              <w:rPr>
                <w:spacing w:val="-4"/>
                <w:sz w:val="21"/>
              </w:rPr>
              <w:t>胰腺移植术</w:t>
            </w:r>
          </w:p>
        </w:tc>
        <w:tc>
          <w:tcPr>
            <w:tcW w:w="6656" w:type="dxa"/>
            <w:tcBorders>
              <w:right w:val="single" w:color="000000" w:sz="12" w:space="0"/>
            </w:tcBorders>
          </w:tcPr>
          <w:p>
            <w:pPr>
              <w:pStyle w:val="10"/>
              <w:spacing w:before="18" w:line="278" w:lineRule="auto"/>
              <w:ind w:right="73"/>
              <w:rPr>
                <w:sz w:val="21"/>
              </w:rPr>
            </w:pPr>
            <w:r>
              <w:rPr>
                <w:spacing w:val="-8"/>
                <w:sz w:val="21"/>
              </w:rPr>
              <w:t>胰腺移植术指因胰腺功能衰竭，已经实际接受了在全麻下进行的胰腺异</w:t>
            </w:r>
            <w:r>
              <w:rPr>
                <w:spacing w:val="-2"/>
                <w:sz w:val="21"/>
              </w:rPr>
              <w:t>体移植手术。</w:t>
            </w:r>
          </w:p>
          <w:p>
            <w:pPr>
              <w:pStyle w:val="10"/>
              <w:spacing w:before="0" w:line="269" w:lineRule="exact"/>
              <w:rPr>
                <w:rFonts w:ascii="黑体" w:eastAsia="黑体"/>
                <w:sz w:val="21"/>
              </w:rPr>
            </w:pPr>
            <w:r>
              <w:rPr>
                <w:rFonts w:ascii="黑体" w:eastAsia="黑体"/>
                <w:color w:val="000000"/>
                <w:spacing w:val="-3"/>
                <w:sz w:val="21"/>
                <w:shd w:val="clear" w:color="auto" w:fill="D9D9D9"/>
              </w:rPr>
              <w:t>胰岛、组织、细胞移植不在保障范围内。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2" w:hRule="atLeast"/>
        </w:trPr>
        <w:tc>
          <w:tcPr>
            <w:tcW w:w="1090" w:type="dxa"/>
            <w:tcBorders>
              <w:left w:val="single" w:color="000000" w:sz="12" w:space="0"/>
            </w:tcBorders>
          </w:tcPr>
          <w:p>
            <w:pPr>
              <w:pStyle w:val="10"/>
              <w:ind w:left="323" w:right="294"/>
              <w:jc w:val="center"/>
              <w:rPr>
                <w:sz w:val="21"/>
              </w:rPr>
            </w:pPr>
            <w:r>
              <w:rPr>
                <w:spacing w:val="-5"/>
                <w:sz w:val="21"/>
              </w:rPr>
              <w:t>75</w:t>
            </w:r>
          </w:p>
        </w:tc>
        <w:tc>
          <w:tcPr>
            <w:tcW w:w="2194" w:type="dxa"/>
          </w:tcPr>
          <w:p>
            <w:pPr>
              <w:pStyle w:val="10"/>
              <w:spacing w:line="278" w:lineRule="auto"/>
              <w:ind w:left="119" w:right="82"/>
              <w:rPr>
                <w:sz w:val="21"/>
              </w:rPr>
            </w:pPr>
            <w:r>
              <w:rPr>
                <w:spacing w:val="-4"/>
                <w:sz w:val="21"/>
              </w:rPr>
              <w:t xml:space="preserve">胰岛素依赖性 </w:t>
            </w:r>
            <w:r>
              <w:rPr>
                <w:sz w:val="21"/>
              </w:rPr>
              <w:t>1</w:t>
            </w:r>
            <w:r>
              <w:rPr>
                <w:spacing w:val="-10"/>
                <w:sz w:val="21"/>
              </w:rPr>
              <w:t xml:space="preserve"> 型糖</w:t>
            </w:r>
            <w:r>
              <w:rPr>
                <w:spacing w:val="-6"/>
                <w:sz w:val="21"/>
              </w:rPr>
              <w:t>尿病</w:t>
            </w:r>
          </w:p>
        </w:tc>
        <w:tc>
          <w:tcPr>
            <w:tcW w:w="6656" w:type="dxa"/>
            <w:tcBorders>
              <w:right w:val="single" w:color="000000" w:sz="12" w:space="0"/>
            </w:tcBorders>
          </w:tcPr>
          <w:p>
            <w:pPr>
              <w:pStyle w:val="10"/>
              <w:spacing w:line="278" w:lineRule="auto"/>
              <w:ind w:right="73"/>
              <w:jc w:val="both"/>
              <w:rPr>
                <w:sz w:val="21"/>
              </w:rPr>
            </w:pPr>
            <w:r>
              <w:rPr>
                <w:spacing w:val="-5"/>
                <w:sz w:val="21"/>
              </w:rPr>
              <w:t>指由于胰岛素分泌绝对不足引起严重胰岛素缺乏导致慢性血糖升高，需</w:t>
            </w:r>
            <w:r>
              <w:rPr>
                <w:spacing w:val="-3"/>
                <w:sz w:val="21"/>
              </w:rPr>
              <w:t xml:space="preserve">要依赖外源性胰岛素进行机体的葡萄糖代谢和维持生命。被保险人的 </w:t>
            </w:r>
            <w:r>
              <w:rPr>
                <w:spacing w:val="-2"/>
                <w:sz w:val="21"/>
              </w:rPr>
              <w:t>1</w:t>
            </w:r>
            <w:r>
              <w:rPr>
                <w:w w:val="95"/>
                <w:sz w:val="21"/>
              </w:rPr>
              <w:t>型糖</w:t>
            </w:r>
            <w:r>
              <w:rPr>
                <w:spacing w:val="-9"/>
                <w:w w:val="95"/>
                <w:sz w:val="21"/>
              </w:rPr>
              <w:t>尿病必须诊断明确，而</w:t>
            </w:r>
            <w:r>
              <w:rPr>
                <w:w w:val="95"/>
                <w:sz w:val="21"/>
              </w:rPr>
              <w:t>且有血胰岛素测定及血 C 肽或尿 C 肽测定结</w:t>
            </w:r>
            <w:r>
              <w:rPr>
                <w:spacing w:val="-12"/>
                <w:sz w:val="21"/>
              </w:rPr>
              <w:t xml:space="preserve">果支持诊断，并且已经持续性地接受外源性胰岛素注射治疗连续 </w:t>
            </w:r>
            <w:r>
              <w:rPr>
                <w:spacing w:val="-2"/>
                <w:sz w:val="21"/>
              </w:rPr>
              <w:t>180</w:t>
            </w:r>
            <w:r>
              <w:rPr>
                <w:spacing w:val="-13"/>
                <w:sz w:val="21"/>
              </w:rPr>
              <w:t xml:space="preserve"> 天</w:t>
            </w:r>
            <w:r>
              <w:rPr>
                <w:spacing w:val="-4"/>
                <w:sz w:val="21"/>
              </w:rPr>
              <w:t>以上。</w:t>
            </w:r>
          </w:p>
          <w:p>
            <w:pPr>
              <w:pStyle w:val="10"/>
              <w:spacing w:before="0"/>
              <w:jc w:val="both"/>
              <w:rPr>
                <w:rFonts w:ascii="黑体" w:eastAsia="黑体"/>
                <w:sz w:val="21"/>
              </w:rPr>
            </w:pPr>
            <w:r>
              <w:rPr>
                <w:rFonts w:ascii="黑体" w:eastAsia="黑体"/>
                <w:color w:val="000000"/>
                <w:spacing w:val="-8"/>
                <w:sz w:val="21"/>
                <w:shd w:val="clear" w:color="auto" w:fill="D9D9D9"/>
              </w:rPr>
              <w:t xml:space="preserve">本疾病保障期至 </w:t>
            </w:r>
            <w:r>
              <w:rPr>
                <w:rFonts w:ascii="黑体" w:eastAsia="黑体"/>
                <w:color w:val="000000"/>
                <w:spacing w:val="-2"/>
                <w:sz w:val="21"/>
                <w:shd w:val="clear" w:color="auto" w:fill="D9D9D9"/>
              </w:rPr>
              <w:t>25</w:t>
            </w:r>
            <w:r>
              <w:rPr>
                <w:rFonts w:ascii="黑体" w:eastAsia="黑体"/>
                <w:color w:val="000000"/>
                <w:spacing w:val="-16"/>
                <w:sz w:val="21"/>
                <w:shd w:val="clear" w:color="auto" w:fill="D9D9D9"/>
              </w:rPr>
              <w:t xml:space="preserve"> 周岁。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7" w:hRule="atLeast"/>
        </w:trPr>
        <w:tc>
          <w:tcPr>
            <w:tcW w:w="1090" w:type="dxa"/>
            <w:tcBorders>
              <w:left w:val="single" w:color="000000" w:sz="12" w:space="0"/>
            </w:tcBorders>
          </w:tcPr>
          <w:p>
            <w:pPr>
              <w:pStyle w:val="10"/>
              <w:ind w:left="323" w:right="294"/>
              <w:jc w:val="center"/>
              <w:rPr>
                <w:sz w:val="21"/>
              </w:rPr>
            </w:pPr>
            <w:r>
              <w:rPr>
                <w:spacing w:val="-5"/>
                <w:sz w:val="21"/>
              </w:rPr>
              <w:t>76</w:t>
            </w:r>
          </w:p>
        </w:tc>
        <w:tc>
          <w:tcPr>
            <w:tcW w:w="2194" w:type="dxa"/>
          </w:tcPr>
          <w:p>
            <w:pPr>
              <w:pStyle w:val="10"/>
              <w:spacing w:line="278" w:lineRule="auto"/>
              <w:ind w:left="119" w:right="82"/>
              <w:rPr>
                <w:sz w:val="21"/>
              </w:rPr>
            </w:pPr>
            <w:r>
              <w:rPr>
                <w:sz w:val="21"/>
              </w:rPr>
              <w:t>意外导致的重度面部</w:t>
            </w:r>
            <w:r>
              <w:rPr>
                <w:spacing w:val="-6"/>
                <w:sz w:val="21"/>
              </w:rPr>
              <w:t>烧伤</w:t>
            </w:r>
          </w:p>
        </w:tc>
        <w:tc>
          <w:tcPr>
            <w:tcW w:w="6656" w:type="dxa"/>
            <w:tcBorders>
              <w:right w:val="single" w:color="000000" w:sz="12" w:space="0"/>
            </w:tcBorders>
          </w:tcPr>
          <w:p>
            <w:pPr>
              <w:pStyle w:val="10"/>
              <w:spacing w:line="278" w:lineRule="auto"/>
              <w:ind w:right="210"/>
              <w:rPr>
                <w:sz w:val="21"/>
              </w:rPr>
            </w:pPr>
            <w:r>
              <w:rPr>
                <w:spacing w:val="-3"/>
                <w:sz w:val="21"/>
              </w:rPr>
              <w:t xml:space="preserve">指面部Ⅲ度烧伤且烧伤面积达到面部表面积的 </w:t>
            </w:r>
            <w:r>
              <w:rPr>
                <w:sz w:val="21"/>
              </w:rPr>
              <w:t>2/3</w:t>
            </w:r>
            <w:r>
              <w:rPr>
                <w:spacing w:val="-8"/>
                <w:sz w:val="21"/>
              </w:rPr>
              <w:t xml:space="preserve"> 或全身体表面积的</w:t>
            </w:r>
            <w:r>
              <w:rPr>
                <w:sz w:val="21"/>
              </w:rPr>
              <w:t xml:space="preserve"> </w:t>
            </w:r>
            <w:r>
              <w:rPr>
                <w:spacing w:val="-4"/>
                <w:sz w:val="21"/>
              </w:rPr>
              <w:t>2%。</w:t>
            </w:r>
          </w:p>
          <w:p>
            <w:pPr>
              <w:pStyle w:val="10"/>
              <w:spacing w:before="0" w:line="269" w:lineRule="exact"/>
              <w:rPr>
                <w:sz w:val="21"/>
              </w:rPr>
            </w:pPr>
            <w:r>
              <w:rPr>
                <w:spacing w:val="-3"/>
                <w:sz w:val="21"/>
              </w:rPr>
              <w:t>体表面积根据 《中国新九分法》计算，面部总面积为全身体表面积的</w:t>
            </w:r>
          </w:p>
          <w:p>
            <w:pPr>
              <w:pStyle w:val="10"/>
              <w:spacing w:before="43"/>
              <w:rPr>
                <w:rFonts w:ascii="黑体" w:eastAsia="黑体"/>
                <w:sz w:val="21"/>
              </w:rPr>
            </w:pPr>
            <w:r>
              <w:rPr>
                <w:spacing w:val="-2"/>
                <w:sz w:val="21"/>
              </w:rPr>
              <w:t>3%。</w:t>
            </w:r>
            <w:r>
              <w:rPr>
                <w:rFonts w:ascii="黑体" w:eastAsia="黑体"/>
                <w:color w:val="000000"/>
                <w:spacing w:val="-3"/>
                <w:sz w:val="21"/>
                <w:shd w:val="clear" w:color="auto" w:fill="D9D9D9"/>
              </w:rPr>
              <w:t>面部面积不包括发部和颈部。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1090" w:type="dxa"/>
            <w:tcBorders>
              <w:left w:val="single" w:color="000000" w:sz="12" w:space="0"/>
            </w:tcBorders>
          </w:tcPr>
          <w:p>
            <w:pPr>
              <w:pStyle w:val="10"/>
              <w:ind w:left="323" w:right="294"/>
              <w:jc w:val="center"/>
              <w:rPr>
                <w:sz w:val="21"/>
              </w:rPr>
            </w:pPr>
            <w:r>
              <w:rPr>
                <w:spacing w:val="-5"/>
                <w:sz w:val="21"/>
              </w:rPr>
              <w:t>77</w:t>
            </w:r>
          </w:p>
        </w:tc>
        <w:tc>
          <w:tcPr>
            <w:tcW w:w="2194" w:type="dxa"/>
          </w:tcPr>
          <w:p>
            <w:pPr>
              <w:pStyle w:val="10"/>
              <w:spacing w:line="278" w:lineRule="auto"/>
              <w:ind w:left="119" w:right="82"/>
              <w:rPr>
                <w:sz w:val="21"/>
              </w:rPr>
            </w:pPr>
            <w:r>
              <w:rPr>
                <w:sz w:val="21"/>
              </w:rPr>
              <w:t>严重创伤弧菌感染截</w:t>
            </w:r>
            <w:r>
              <w:rPr>
                <w:spacing w:val="-10"/>
                <w:sz w:val="21"/>
              </w:rPr>
              <w:t>肢</w:t>
            </w:r>
          </w:p>
        </w:tc>
        <w:tc>
          <w:tcPr>
            <w:tcW w:w="6656" w:type="dxa"/>
            <w:tcBorders>
              <w:right w:val="single" w:color="000000" w:sz="12" w:space="0"/>
            </w:tcBorders>
          </w:tcPr>
          <w:p>
            <w:pPr>
              <w:pStyle w:val="10"/>
              <w:rPr>
                <w:sz w:val="21"/>
              </w:rPr>
            </w:pPr>
            <w:r>
              <w:rPr>
                <w:spacing w:val="-3"/>
                <w:sz w:val="21"/>
              </w:rPr>
              <w:t>因创伤弧菌感染导致败血症和肢体损害。必须满足下列所有条件：</w:t>
            </w:r>
          </w:p>
          <w:p>
            <w:pPr>
              <w:pStyle w:val="10"/>
              <w:numPr>
                <w:ilvl w:val="0"/>
                <w:numId w:val="75"/>
              </w:numPr>
              <w:tabs>
                <w:tab w:val="left" w:pos="637"/>
              </w:tabs>
              <w:spacing w:before="43" w:after="0" w:line="240" w:lineRule="auto"/>
              <w:ind w:left="636" w:right="0" w:hanging="530"/>
              <w:jc w:val="left"/>
              <w:rPr>
                <w:sz w:val="21"/>
              </w:rPr>
            </w:pPr>
            <w:r>
              <w:rPr>
                <w:spacing w:val="-3"/>
                <w:sz w:val="21"/>
              </w:rPr>
              <w:t>近期被海产品刺伤或肢体创口接触海水史；</w:t>
            </w:r>
          </w:p>
          <w:p>
            <w:pPr>
              <w:pStyle w:val="10"/>
              <w:numPr>
                <w:ilvl w:val="0"/>
                <w:numId w:val="75"/>
              </w:numPr>
              <w:tabs>
                <w:tab w:val="left" w:pos="637"/>
              </w:tabs>
              <w:spacing w:before="43" w:after="0" w:line="240" w:lineRule="auto"/>
              <w:ind w:left="636" w:right="0" w:hanging="530"/>
              <w:jc w:val="left"/>
              <w:rPr>
                <w:sz w:val="21"/>
              </w:rPr>
            </w:pPr>
            <w:r>
              <w:rPr>
                <w:spacing w:val="-3"/>
                <w:sz w:val="21"/>
              </w:rPr>
              <w:t>病原学检查证实致病菌为创伤弧菌；</w:t>
            </w:r>
          </w:p>
        </w:tc>
      </w:tr>
    </w:tbl>
    <w:p>
      <w:pPr>
        <w:spacing w:after="0" w:line="240" w:lineRule="auto"/>
        <w:jc w:val="left"/>
        <w:rPr>
          <w:sz w:val="21"/>
        </w:rPr>
        <w:sectPr>
          <w:type w:val="continuous"/>
          <w:pgSz w:w="11910" w:h="16840"/>
          <w:pgMar w:top="840" w:right="340" w:bottom="1239" w:left="800" w:header="0" w:footer="457" w:gutter="0"/>
          <w:cols w:space="720" w:num="1"/>
        </w:sectPr>
      </w:pPr>
    </w:p>
    <w:tbl>
      <w:tblPr>
        <w:tblStyle w:val="6"/>
        <w:tblW w:w="0" w:type="auto"/>
        <w:tblInd w:w="22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90"/>
        <w:gridCol w:w="2194"/>
        <w:gridCol w:w="66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090" w:type="dxa"/>
            <w:tcBorders>
              <w:left w:val="single" w:color="000000" w:sz="12" w:space="0"/>
            </w:tcBorders>
          </w:tcPr>
          <w:p>
            <w:pPr>
              <w:pStyle w:val="10"/>
              <w:spacing w:before="0"/>
              <w:ind w:left="0"/>
              <w:rPr>
                <w:rFonts w:ascii="Times New Roman"/>
                <w:sz w:val="20"/>
              </w:rPr>
            </w:pPr>
          </w:p>
        </w:tc>
        <w:tc>
          <w:tcPr>
            <w:tcW w:w="2194" w:type="dxa"/>
          </w:tcPr>
          <w:p>
            <w:pPr>
              <w:pStyle w:val="10"/>
              <w:spacing w:before="0"/>
              <w:ind w:left="0"/>
              <w:rPr>
                <w:rFonts w:ascii="Times New Roman"/>
                <w:sz w:val="20"/>
              </w:rPr>
            </w:pPr>
          </w:p>
        </w:tc>
        <w:tc>
          <w:tcPr>
            <w:tcW w:w="6656" w:type="dxa"/>
            <w:tcBorders>
              <w:right w:val="single" w:color="000000" w:sz="12" w:space="0"/>
            </w:tcBorders>
          </w:tcPr>
          <w:p>
            <w:pPr>
              <w:pStyle w:val="10"/>
              <w:numPr>
                <w:ilvl w:val="0"/>
                <w:numId w:val="76"/>
              </w:numPr>
              <w:tabs>
                <w:tab w:val="left" w:pos="637"/>
              </w:tabs>
              <w:spacing w:before="16" w:after="0" w:line="240" w:lineRule="auto"/>
              <w:ind w:left="636" w:right="0" w:hanging="530"/>
              <w:jc w:val="left"/>
              <w:rPr>
                <w:sz w:val="21"/>
              </w:rPr>
            </w:pPr>
            <w:r>
              <w:rPr>
                <w:spacing w:val="-3"/>
                <w:sz w:val="21"/>
              </w:rPr>
              <w:t>出现脓毒败血症或休克；</w:t>
            </w:r>
          </w:p>
          <w:p>
            <w:pPr>
              <w:pStyle w:val="10"/>
              <w:numPr>
                <w:ilvl w:val="0"/>
                <w:numId w:val="76"/>
              </w:numPr>
              <w:tabs>
                <w:tab w:val="left" w:pos="637"/>
              </w:tabs>
              <w:spacing w:before="43" w:after="0" w:line="240" w:lineRule="auto"/>
              <w:ind w:left="636" w:right="0" w:hanging="530"/>
              <w:jc w:val="left"/>
              <w:rPr>
                <w:sz w:val="21"/>
              </w:rPr>
            </w:pPr>
            <w:r>
              <w:rPr>
                <w:spacing w:val="-2"/>
                <w:sz w:val="21"/>
              </w:rPr>
              <w:t>受感染肢体（一肢体或多肢体）</w:t>
            </w:r>
            <w:r>
              <w:rPr>
                <w:spacing w:val="-3"/>
                <w:sz w:val="21"/>
              </w:rPr>
              <w:t>自腕关节或踝关节近端截肢。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30" w:hRule="atLeast"/>
        </w:trPr>
        <w:tc>
          <w:tcPr>
            <w:tcW w:w="1090" w:type="dxa"/>
            <w:tcBorders>
              <w:left w:val="single" w:color="000000" w:sz="12" w:space="0"/>
            </w:tcBorders>
          </w:tcPr>
          <w:p>
            <w:pPr>
              <w:pStyle w:val="10"/>
              <w:ind w:left="323" w:right="294"/>
              <w:jc w:val="center"/>
              <w:rPr>
                <w:sz w:val="21"/>
              </w:rPr>
            </w:pPr>
            <w:r>
              <w:rPr>
                <w:spacing w:val="-5"/>
                <w:sz w:val="21"/>
              </w:rPr>
              <w:t>78</w:t>
            </w:r>
          </w:p>
        </w:tc>
        <w:tc>
          <w:tcPr>
            <w:tcW w:w="2194" w:type="dxa"/>
          </w:tcPr>
          <w:p>
            <w:pPr>
              <w:pStyle w:val="10"/>
              <w:spacing w:line="278" w:lineRule="auto"/>
              <w:ind w:left="119" w:right="82"/>
              <w:rPr>
                <w:sz w:val="21"/>
              </w:rPr>
            </w:pPr>
            <w:r>
              <w:rPr>
                <w:sz w:val="21"/>
              </w:rPr>
              <w:t>职业原因致人类免疫</w:t>
            </w:r>
            <w:r>
              <w:rPr>
                <w:spacing w:val="-4"/>
                <w:sz w:val="21"/>
              </w:rPr>
              <w:t>缺陷病毒（HIV）</w:t>
            </w:r>
            <w:r>
              <w:rPr>
                <w:spacing w:val="-7"/>
                <w:sz w:val="21"/>
              </w:rPr>
              <w:t>感染</w:t>
            </w:r>
          </w:p>
        </w:tc>
        <w:tc>
          <w:tcPr>
            <w:tcW w:w="6656" w:type="dxa"/>
            <w:tcBorders>
              <w:right w:val="single" w:color="000000" w:sz="12" w:space="0"/>
            </w:tcBorders>
          </w:tcPr>
          <w:p>
            <w:pPr>
              <w:pStyle w:val="10"/>
              <w:spacing w:line="278" w:lineRule="auto"/>
              <w:ind w:right="73"/>
              <w:jc w:val="both"/>
              <w:rPr>
                <w:sz w:val="21"/>
              </w:rPr>
            </w:pPr>
            <w:r>
              <w:rPr>
                <w:spacing w:val="-6"/>
                <w:sz w:val="21"/>
              </w:rPr>
              <w:t>被保险人的职业归属于下列职业列表内的职业，在其常规职业工作过程</w:t>
            </w:r>
            <w:r>
              <w:rPr>
                <w:spacing w:val="-11"/>
                <w:sz w:val="21"/>
              </w:rPr>
              <w:t>中遭遇外伤，或者职业需要处理血液或者其他体液时感染上人类免疫缺</w:t>
            </w:r>
            <w:r>
              <w:rPr>
                <w:spacing w:val="-2"/>
                <w:sz w:val="21"/>
              </w:rPr>
              <w:t>陷病毒</w:t>
            </w:r>
            <w:r>
              <w:rPr>
                <w:spacing w:val="20"/>
                <w:sz w:val="21"/>
              </w:rPr>
              <w:t>（H</w:t>
            </w:r>
            <w:r>
              <w:rPr>
                <w:spacing w:val="17"/>
                <w:sz w:val="21"/>
              </w:rPr>
              <w:t>I</w:t>
            </w:r>
            <w:r>
              <w:rPr>
                <w:spacing w:val="19"/>
                <w:sz w:val="21"/>
              </w:rPr>
              <w:t>V</w:t>
            </w:r>
            <w:r>
              <w:rPr>
                <w:spacing w:val="-86"/>
                <w:sz w:val="21"/>
              </w:rPr>
              <w:t>）</w:t>
            </w:r>
            <w:r>
              <w:rPr>
                <w:spacing w:val="-2"/>
                <w:sz w:val="21"/>
              </w:rPr>
              <w:t>。必须满足下列所有条件：</w:t>
            </w:r>
          </w:p>
          <w:p>
            <w:pPr>
              <w:pStyle w:val="10"/>
              <w:numPr>
                <w:ilvl w:val="0"/>
                <w:numId w:val="77"/>
              </w:numPr>
              <w:tabs>
                <w:tab w:val="left" w:pos="637"/>
              </w:tabs>
              <w:spacing w:before="0" w:after="0" w:line="269" w:lineRule="exact"/>
              <w:ind w:left="636" w:right="0" w:hanging="530"/>
              <w:jc w:val="left"/>
              <w:rPr>
                <w:sz w:val="21"/>
              </w:rPr>
            </w:pPr>
            <w:r>
              <w:rPr>
                <w:spacing w:val="-3"/>
                <w:sz w:val="21"/>
              </w:rPr>
              <w:t>感染必须是在被保险人正在从事其职业工作中发生；</w:t>
            </w:r>
          </w:p>
          <w:p>
            <w:pPr>
              <w:pStyle w:val="10"/>
              <w:numPr>
                <w:ilvl w:val="0"/>
                <w:numId w:val="77"/>
              </w:numPr>
              <w:tabs>
                <w:tab w:val="left" w:pos="637"/>
              </w:tabs>
              <w:spacing w:before="43" w:after="0" w:line="240" w:lineRule="auto"/>
              <w:ind w:left="636" w:right="0" w:hanging="530"/>
              <w:jc w:val="left"/>
              <w:rPr>
                <w:sz w:val="21"/>
              </w:rPr>
            </w:pPr>
            <w:r>
              <w:rPr>
                <w:spacing w:val="-5"/>
                <w:sz w:val="21"/>
              </w:rPr>
              <w:t xml:space="preserve">血清转化必须出现在事故发生后的 </w:t>
            </w:r>
            <w:r>
              <w:rPr>
                <w:spacing w:val="-2"/>
                <w:sz w:val="21"/>
              </w:rPr>
              <w:t>6</w:t>
            </w:r>
            <w:r>
              <w:rPr>
                <w:spacing w:val="-12"/>
                <w:sz w:val="21"/>
              </w:rPr>
              <w:t xml:space="preserve"> 个月以内；</w:t>
            </w:r>
          </w:p>
          <w:p>
            <w:pPr>
              <w:pStyle w:val="10"/>
              <w:numPr>
                <w:ilvl w:val="0"/>
                <w:numId w:val="77"/>
              </w:numPr>
              <w:tabs>
                <w:tab w:val="left" w:pos="637"/>
              </w:tabs>
              <w:spacing w:before="43" w:after="0" w:line="278" w:lineRule="auto"/>
              <w:ind w:left="107" w:right="-44" w:firstLine="0"/>
              <w:jc w:val="left"/>
              <w:rPr>
                <w:sz w:val="21"/>
              </w:rPr>
            </w:pPr>
            <w:r>
              <w:rPr>
                <w:spacing w:val="-2"/>
                <w:sz w:val="21"/>
              </w:rPr>
              <w:t xml:space="preserve">必须提供被保险人在所报事故发生后的 </w:t>
            </w:r>
            <w:r>
              <w:rPr>
                <w:sz w:val="21"/>
              </w:rPr>
              <w:t>5</w:t>
            </w:r>
            <w:r>
              <w:rPr>
                <w:spacing w:val="-5"/>
                <w:sz w:val="21"/>
              </w:rPr>
              <w:t xml:space="preserve"> 天以内进行的检查报告</w:t>
            </w:r>
            <w:r>
              <w:rPr>
                <w:spacing w:val="-1"/>
                <w:sz w:val="21"/>
              </w:rPr>
              <w:t xml:space="preserve">，该报告必须显示被保险人血液 </w:t>
            </w:r>
            <w:r>
              <w:rPr>
                <w:sz w:val="21"/>
              </w:rPr>
              <w:t>HIV</w:t>
            </w:r>
            <w:r>
              <w:rPr>
                <w:spacing w:val="2"/>
                <w:sz w:val="21"/>
              </w:rPr>
              <w:t xml:space="preserve"> 病毒阴性和/或</w:t>
            </w:r>
            <w:r>
              <w:rPr>
                <w:sz w:val="21"/>
              </w:rPr>
              <w:t>HIV</w:t>
            </w:r>
            <w:r>
              <w:rPr>
                <w:spacing w:val="-4"/>
                <w:sz w:val="21"/>
              </w:rPr>
              <w:t xml:space="preserve"> 抗体阴性；</w:t>
            </w:r>
          </w:p>
          <w:p>
            <w:pPr>
              <w:pStyle w:val="10"/>
              <w:numPr>
                <w:ilvl w:val="0"/>
                <w:numId w:val="77"/>
              </w:numPr>
              <w:tabs>
                <w:tab w:val="left" w:pos="637"/>
              </w:tabs>
              <w:spacing w:before="0" w:after="0" w:line="278" w:lineRule="auto"/>
              <w:ind w:left="107" w:right="76" w:firstLine="0"/>
              <w:jc w:val="left"/>
              <w:rPr>
                <w:sz w:val="21"/>
              </w:rPr>
            </w:pPr>
            <w:r>
              <w:rPr>
                <w:spacing w:val="-3"/>
                <w:sz w:val="21"/>
              </w:rPr>
              <w:t xml:space="preserve">必须在事故发生后的 </w:t>
            </w:r>
            <w:r>
              <w:rPr>
                <w:sz w:val="21"/>
              </w:rPr>
              <w:t>12</w:t>
            </w:r>
            <w:r>
              <w:rPr>
                <w:spacing w:val="-7"/>
                <w:sz w:val="21"/>
              </w:rPr>
              <w:t xml:space="preserve"> 个月内证实被保险人体内存在 </w:t>
            </w:r>
            <w:r>
              <w:rPr>
                <w:sz w:val="21"/>
              </w:rPr>
              <w:t>HIV</w:t>
            </w:r>
            <w:r>
              <w:rPr>
                <w:spacing w:val="-10"/>
                <w:sz w:val="21"/>
              </w:rPr>
              <w:t xml:space="preserve"> 病毒</w:t>
            </w:r>
            <w:r>
              <w:rPr>
                <w:spacing w:val="-8"/>
                <w:sz w:val="21"/>
              </w:rPr>
              <w:t xml:space="preserve">或者 </w:t>
            </w:r>
            <w:r>
              <w:rPr>
                <w:sz w:val="21"/>
              </w:rPr>
              <w:t>HIV</w:t>
            </w:r>
            <w:r>
              <w:rPr>
                <w:spacing w:val="-7"/>
                <w:sz w:val="21"/>
              </w:rPr>
              <w:t xml:space="preserve"> 抗体。</w:t>
            </w:r>
          </w:p>
          <w:p>
            <w:pPr>
              <w:pStyle w:val="10"/>
              <w:spacing w:before="9"/>
              <w:ind w:left="0"/>
              <w:rPr>
                <w:sz w:val="18"/>
              </w:rPr>
            </w:pPr>
          </w:p>
          <w:p>
            <w:pPr>
              <w:pStyle w:val="10"/>
              <w:spacing w:before="0"/>
              <w:ind w:left="935"/>
              <w:rPr>
                <w:sz w:val="21"/>
              </w:rPr>
            </w:pPr>
            <w:r>
              <w:rPr>
                <w:spacing w:val="-4"/>
                <w:sz w:val="21"/>
              </w:rPr>
              <w:t>职业列表：</w:t>
            </w:r>
          </w:p>
          <w:p>
            <w:pPr>
              <w:pStyle w:val="10"/>
              <w:spacing w:before="0"/>
              <w:ind w:left="0"/>
              <w:rPr>
                <w:sz w:val="20"/>
              </w:rPr>
            </w:pPr>
          </w:p>
          <w:p>
            <w:pPr>
              <w:pStyle w:val="10"/>
              <w:spacing w:before="0"/>
              <w:ind w:left="0"/>
              <w:rPr>
                <w:sz w:val="20"/>
              </w:rPr>
            </w:pPr>
          </w:p>
          <w:p>
            <w:pPr>
              <w:pStyle w:val="10"/>
              <w:spacing w:before="0"/>
              <w:ind w:left="0"/>
              <w:rPr>
                <w:sz w:val="20"/>
              </w:rPr>
            </w:pPr>
          </w:p>
          <w:p>
            <w:pPr>
              <w:pStyle w:val="10"/>
              <w:spacing w:before="0"/>
              <w:ind w:left="0"/>
              <w:rPr>
                <w:sz w:val="20"/>
              </w:rPr>
            </w:pPr>
          </w:p>
          <w:p>
            <w:pPr>
              <w:pStyle w:val="10"/>
              <w:spacing w:before="9"/>
              <w:ind w:left="0"/>
              <w:rPr>
                <w:sz w:val="24"/>
              </w:rPr>
            </w:pPr>
          </w:p>
          <w:p>
            <w:pPr>
              <w:pStyle w:val="10"/>
              <w:spacing w:before="1" w:line="278" w:lineRule="auto"/>
              <w:ind w:right="-44" w:firstLine="360"/>
              <w:rPr>
                <w:rFonts w:ascii="黑体" w:eastAsia="黑体"/>
                <w:sz w:val="21"/>
              </w:rPr>
            </w:pPr>
            <w:r>
              <w:rPr>
                <w:rFonts w:ascii="黑体" w:eastAsia="黑体"/>
                <w:color w:val="000000"/>
                <w:spacing w:val="-10"/>
                <w:sz w:val="21"/>
                <w:shd w:val="clear" w:color="auto" w:fill="D9D9D9"/>
              </w:rPr>
              <w:t>在任何治愈艾滋病</w:t>
            </w:r>
            <w:r>
              <w:rPr>
                <w:rFonts w:ascii="黑体" w:eastAsia="黑体"/>
                <w:color w:val="000000"/>
                <w:spacing w:val="-2"/>
                <w:sz w:val="21"/>
                <w:shd w:val="clear" w:color="auto" w:fill="D9D9D9"/>
              </w:rPr>
              <w:t>（AIDS）</w:t>
            </w:r>
            <w:r>
              <w:rPr>
                <w:rFonts w:ascii="黑体" w:eastAsia="黑体"/>
                <w:color w:val="000000"/>
                <w:spacing w:val="-15"/>
                <w:sz w:val="21"/>
                <w:shd w:val="clear" w:color="auto" w:fill="D9D9D9"/>
              </w:rPr>
              <w:t xml:space="preserve">或阻止 </w:t>
            </w:r>
            <w:r>
              <w:rPr>
                <w:rFonts w:ascii="黑体" w:eastAsia="黑体"/>
                <w:color w:val="000000"/>
                <w:spacing w:val="-2"/>
                <w:sz w:val="21"/>
                <w:shd w:val="clear" w:color="auto" w:fill="D9D9D9"/>
              </w:rPr>
              <w:t>HIV</w:t>
            </w:r>
            <w:r>
              <w:rPr>
                <w:rFonts w:ascii="黑体" w:eastAsia="黑体"/>
                <w:color w:val="000000"/>
                <w:spacing w:val="-10"/>
                <w:sz w:val="21"/>
                <w:shd w:val="clear" w:color="auto" w:fill="D9D9D9"/>
              </w:rPr>
              <w:t xml:space="preserve"> 病毒作用的疗法被发现以后，</w:t>
            </w:r>
            <w:r>
              <w:rPr>
                <w:rFonts w:ascii="黑体" w:eastAsia="黑体"/>
                <w:color w:val="000000"/>
                <w:spacing w:val="80"/>
                <w:w w:val="150"/>
                <w:sz w:val="21"/>
                <w:shd w:val="clear" w:color="auto" w:fill="D9D9D9"/>
              </w:rPr>
              <w:t xml:space="preserve">                                    </w:t>
            </w:r>
            <w:r>
              <w:rPr>
                <w:rFonts w:ascii="黑体" w:eastAsia="黑体"/>
                <w:color w:val="000000"/>
                <w:spacing w:val="-5"/>
                <w:sz w:val="21"/>
                <w:shd w:val="clear" w:color="auto" w:fill="D9D9D9"/>
              </w:rPr>
              <w:t xml:space="preserve">或能防止 </w:t>
            </w:r>
            <w:r>
              <w:rPr>
                <w:rFonts w:ascii="黑体" w:eastAsia="黑体"/>
                <w:color w:val="000000"/>
                <w:sz w:val="21"/>
                <w:shd w:val="clear" w:color="auto" w:fill="D9D9D9"/>
              </w:rPr>
              <w:t>AIDS</w:t>
            </w:r>
            <w:r>
              <w:rPr>
                <w:rFonts w:ascii="黑体" w:eastAsia="黑体"/>
                <w:color w:val="000000"/>
                <w:spacing w:val="-5"/>
                <w:sz w:val="21"/>
                <w:shd w:val="clear" w:color="auto" w:fill="D9D9D9"/>
              </w:rPr>
              <w:t xml:space="preserve"> 发生的医疗方法被研究出来以后，本保障将不再予以赔</w:t>
            </w:r>
            <w:r>
              <w:rPr>
                <w:rFonts w:ascii="黑体" w:eastAsia="黑体"/>
                <w:color w:val="000000"/>
                <w:spacing w:val="-6"/>
                <w:sz w:val="21"/>
                <w:shd w:val="clear" w:color="auto" w:fill="D9D9D9"/>
              </w:rPr>
              <w:t>付。</w:t>
            </w:r>
          </w:p>
          <w:p>
            <w:pPr>
              <w:pStyle w:val="10"/>
              <w:spacing w:before="0" w:line="278" w:lineRule="auto"/>
              <w:ind w:right="73" w:firstLine="360"/>
              <w:rPr>
                <w:sz w:val="21"/>
              </w:rPr>
            </w:pPr>
            <w:r>
              <w:rPr>
                <w:rFonts w:ascii="黑体" w:eastAsia="黑体"/>
                <w:color w:val="000000"/>
                <w:spacing w:val="-2"/>
                <w:sz w:val="21"/>
                <w:shd w:val="clear" w:color="auto" w:fill="D9D9D9"/>
              </w:rPr>
              <w:t>任何因其他传播方式（包括：输血、性传播或静脉注射毒品）导致</w:t>
            </w:r>
            <w:r>
              <w:rPr>
                <w:rFonts w:ascii="黑体" w:eastAsia="黑体"/>
                <w:color w:val="000000"/>
                <w:spacing w:val="80"/>
                <w:w w:val="150"/>
                <w:sz w:val="21"/>
                <w:shd w:val="clear" w:color="auto" w:fill="D9D9D9"/>
              </w:rPr>
              <w:t xml:space="preserve">                                   </w:t>
            </w:r>
            <w:r>
              <w:rPr>
                <w:rFonts w:ascii="黑体" w:eastAsia="黑体"/>
                <w:color w:val="000000"/>
                <w:spacing w:val="-23"/>
                <w:sz w:val="21"/>
                <w:shd w:val="clear" w:color="auto" w:fill="D9D9D9"/>
              </w:rPr>
              <w:t xml:space="preserve">的 </w:t>
            </w:r>
            <w:r>
              <w:rPr>
                <w:rFonts w:ascii="黑体" w:eastAsia="黑体"/>
                <w:color w:val="000000"/>
                <w:spacing w:val="-2"/>
                <w:sz w:val="21"/>
                <w:shd w:val="clear" w:color="auto" w:fill="D9D9D9"/>
              </w:rPr>
              <w:t>HIV</w:t>
            </w:r>
            <w:r>
              <w:rPr>
                <w:rFonts w:ascii="黑体" w:eastAsia="黑体"/>
                <w:color w:val="000000"/>
                <w:spacing w:val="-15"/>
                <w:sz w:val="21"/>
                <w:shd w:val="clear" w:color="auto" w:fill="D9D9D9"/>
              </w:rPr>
              <w:t xml:space="preserve"> 感染不在保障范围内。</w:t>
            </w:r>
            <w:r>
              <w:rPr>
                <w:color w:val="000000"/>
                <w:spacing w:val="-3"/>
                <w:sz w:val="21"/>
              </w:rPr>
              <w:t>本公司必须拥有获得使用被保险人的所有</w:t>
            </w:r>
          </w:p>
          <w:p>
            <w:pPr>
              <w:pStyle w:val="10"/>
              <w:spacing w:before="0" w:line="269" w:lineRule="exact"/>
              <w:rPr>
                <w:sz w:val="21"/>
              </w:rPr>
            </w:pPr>
            <w:r>
              <w:rPr>
                <w:spacing w:val="-3"/>
                <w:sz w:val="21"/>
              </w:rPr>
              <w:t>血液样本的权利和能够对这些样本进行独立检验的权利。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8" w:hRule="atLeast"/>
        </w:trPr>
        <w:tc>
          <w:tcPr>
            <w:tcW w:w="1090" w:type="dxa"/>
            <w:tcBorders>
              <w:left w:val="single" w:color="000000" w:sz="12" w:space="0"/>
            </w:tcBorders>
          </w:tcPr>
          <w:p>
            <w:pPr>
              <w:pStyle w:val="10"/>
              <w:ind w:left="323" w:right="294"/>
              <w:jc w:val="center"/>
              <w:rPr>
                <w:sz w:val="21"/>
              </w:rPr>
            </w:pPr>
            <w:r>
              <w:rPr>
                <w:spacing w:val="-5"/>
                <w:sz w:val="21"/>
              </w:rPr>
              <w:t>79</w:t>
            </w:r>
          </w:p>
        </w:tc>
        <w:tc>
          <w:tcPr>
            <w:tcW w:w="2194" w:type="dxa"/>
          </w:tcPr>
          <w:p>
            <w:pPr>
              <w:pStyle w:val="10"/>
              <w:ind w:left="119"/>
              <w:rPr>
                <w:sz w:val="21"/>
              </w:rPr>
            </w:pPr>
            <w:r>
              <w:rPr>
                <w:spacing w:val="-3"/>
                <w:sz w:val="21"/>
              </w:rPr>
              <w:t>严重肠道疾病并发症</w:t>
            </w:r>
          </w:p>
        </w:tc>
        <w:tc>
          <w:tcPr>
            <w:tcW w:w="6656" w:type="dxa"/>
            <w:tcBorders>
              <w:right w:val="single" w:color="000000" w:sz="12" w:space="0"/>
            </w:tcBorders>
          </w:tcPr>
          <w:p>
            <w:pPr>
              <w:pStyle w:val="10"/>
              <w:rPr>
                <w:sz w:val="21"/>
              </w:rPr>
            </w:pPr>
            <w:r>
              <w:rPr>
                <w:spacing w:val="-3"/>
                <w:sz w:val="21"/>
              </w:rPr>
              <w:t>严重肠道疾病或外伤导致小肠损害并发症，必须满足下列所有条件：</w:t>
            </w:r>
          </w:p>
          <w:p>
            <w:pPr>
              <w:pStyle w:val="10"/>
              <w:numPr>
                <w:ilvl w:val="0"/>
                <w:numId w:val="78"/>
              </w:numPr>
              <w:tabs>
                <w:tab w:val="left" w:pos="637"/>
              </w:tabs>
              <w:spacing w:before="43" w:after="0" w:line="240" w:lineRule="auto"/>
              <w:ind w:left="636" w:right="0" w:hanging="530"/>
              <w:jc w:val="left"/>
              <w:rPr>
                <w:sz w:val="21"/>
              </w:rPr>
            </w:pPr>
            <w:r>
              <w:rPr>
                <w:spacing w:val="-3"/>
                <w:sz w:val="21"/>
              </w:rPr>
              <w:t>至少切除了三分之二小肠；</w:t>
            </w:r>
          </w:p>
          <w:p>
            <w:pPr>
              <w:pStyle w:val="10"/>
              <w:numPr>
                <w:ilvl w:val="0"/>
                <w:numId w:val="78"/>
              </w:numPr>
              <w:tabs>
                <w:tab w:val="left" w:pos="637"/>
              </w:tabs>
              <w:spacing w:before="43" w:after="0" w:line="240" w:lineRule="auto"/>
              <w:ind w:left="636" w:right="0" w:hanging="530"/>
              <w:jc w:val="left"/>
              <w:rPr>
                <w:sz w:val="21"/>
              </w:rPr>
            </w:pPr>
            <w:r>
              <w:rPr>
                <w:spacing w:val="-8"/>
                <w:sz w:val="21"/>
              </w:rPr>
              <w:t xml:space="preserve">完全肠外营养支持 </w:t>
            </w:r>
            <w:r>
              <w:rPr>
                <w:spacing w:val="-2"/>
                <w:sz w:val="21"/>
              </w:rPr>
              <w:t>3</w:t>
            </w:r>
            <w:r>
              <w:rPr>
                <w:spacing w:val="-12"/>
                <w:sz w:val="21"/>
              </w:rPr>
              <w:t xml:space="preserve"> 个月以上。</w:t>
            </w:r>
          </w:p>
          <w:p>
            <w:pPr>
              <w:pStyle w:val="10"/>
              <w:spacing w:before="43"/>
              <w:rPr>
                <w:rFonts w:ascii="黑体" w:eastAsia="黑体"/>
                <w:sz w:val="21"/>
              </w:rPr>
            </w:pPr>
            <w:r>
              <w:rPr>
                <w:rFonts w:ascii="黑体" w:eastAsia="黑体"/>
                <w:color w:val="000000"/>
                <w:spacing w:val="-8"/>
                <w:sz w:val="21"/>
                <w:shd w:val="clear" w:color="auto" w:fill="D9D9D9"/>
              </w:rPr>
              <w:t xml:space="preserve">本疾病保障期至 </w:t>
            </w:r>
            <w:r>
              <w:rPr>
                <w:rFonts w:ascii="黑体" w:eastAsia="黑体"/>
                <w:color w:val="000000"/>
                <w:spacing w:val="-2"/>
                <w:sz w:val="21"/>
                <w:shd w:val="clear" w:color="auto" w:fill="D9D9D9"/>
              </w:rPr>
              <w:t>25</w:t>
            </w:r>
            <w:r>
              <w:rPr>
                <w:rFonts w:ascii="黑体" w:eastAsia="黑体"/>
                <w:color w:val="000000"/>
                <w:spacing w:val="-16"/>
                <w:sz w:val="21"/>
                <w:shd w:val="clear" w:color="auto" w:fill="D9D9D9"/>
              </w:rPr>
              <w:t xml:space="preserve"> 周岁。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1" w:hRule="atLeast"/>
        </w:trPr>
        <w:tc>
          <w:tcPr>
            <w:tcW w:w="1090" w:type="dxa"/>
            <w:tcBorders>
              <w:left w:val="single" w:color="000000" w:sz="12" w:space="0"/>
            </w:tcBorders>
          </w:tcPr>
          <w:p>
            <w:pPr>
              <w:pStyle w:val="10"/>
              <w:ind w:left="323" w:right="294"/>
              <w:jc w:val="center"/>
              <w:rPr>
                <w:sz w:val="21"/>
              </w:rPr>
            </w:pPr>
            <w:r>
              <w:rPr>
                <w:spacing w:val="-5"/>
                <w:sz w:val="21"/>
              </w:rPr>
              <w:t>80</w:t>
            </w:r>
          </w:p>
        </w:tc>
        <w:tc>
          <w:tcPr>
            <w:tcW w:w="2194" w:type="dxa"/>
          </w:tcPr>
          <w:p>
            <w:pPr>
              <w:pStyle w:val="10"/>
              <w:spacing w:line="278" w:lineRule="auto"/>
              <w:ind w:left="119" w:right="82"/>
              <w:rPr>
                <w:sz w:val="21"/>
              </w:rPr>
            </w:pPr>
            <w:r>
              <w:rPr>
                <w:sz w:val="21"/>
              </w:rPr>
              <w:t>严重川崎病冠状动脉</w:t>
            </w:r>
            <w:r>
              <w:rPr>
                <w:spacing w:val="-4"/>
                <w:sz w:val="21"/>
              </w:rPr>
              <w:t>瘤手术</w:t>
            </w:r>
          </w:p>
        </w:tc>
        <w:tc>
          <w:tcPr>
            <w:tcW w:w="6656" w:type="dxa"/>
            <w:tcBorders>
              <w:right w:val="single" w:color="000000" w:sz="12" w:space="0"/>
            </w:tcBorders>
          </w:tcPr>
          <w:p>
            <w:pPr>
              <w:pStyle w:val="10"/>
              <w:spacing w:line="278" w:lineRule="auto"/>
              <w:ind w:right="73"/>
              <w:rPr>
                <w:sz w:val="21"/>
              </w:rPr>
            </w:pPr>
            <w:r>
              <w:rPr>
                <w:spacing w:val="-7"/>
                <w:sz w:val="21"/>
              </w:rPr>
              <w:t>川崎病为一种病因不明的系统性血管炎。严重川崎病必须满足以下所有</w:t>
            </w:r>
            <w:r>
              <w:rPr>
                <w:spacing w:val="-4"/>
                <w:sz w:val="21"/>
              </w:rPr>
              <w:t>条件：</w:t>
            </w:r>
          </w:p>
          <w:p>
            <w:pPr>
              <w:pStyle w:val="10"/>
              <w:numPr>
                <w:ilvl w:val="0"/>
                <w:numId w:val="79"/>
              </w:numPr>
              <w:tabs>
                <w:tab w:val="left" w:pos="637"/>
              </w:tabs>
              <w:spacing w:before="0" w:after="0" w:line="269" w:lineRule="exact"/>
              <w:ind w:left="636" w:right="0" w:hanging="530"/>
              <w:jc w:val="left"/>
              <w:rPr>
                <w:sz w:val="21"/>
              </w:rPr>
            </w:pPr>
            <w:r>
              <w:rPr>
                <w:spacing w:val="-4"/>
                <w:sz w:val="21"/>
              </w:rPr>
              <w:t>临床明确诊断；</w:t>
            </w:r>
          </w:p>
          <w:p>
            <w:pPr>
              <w:pStyle w:val="10"/>
              <w:numPr>
                <w:ilvl w:val="0"/>
                <w:numId w:val="79"/>
              </w:numPr>
              <w:tabs>
                <w:tab w:val="left" w:pos="637"/>
              </w:tabs>
              <w:spacing w:before="43" w:after="0" w:line="240" w:lineRule="auto"/>
              <w:ind w:left="636" w:right="0" w:hanging="530"/>
              <w:jc w:val="left"/>
              <w:rPr>
                <w:sz w:val="21"/>
              </w:rPr>
            </w:pPr>
            <w:r>
              <w:rPr>
                <w:spacing w:val="-3"/>
                <w:sz w:val="21"/>
              </w:rPr>
              <w:t>影像学检查证实存在大或巨大冠状动脉瘤；</w:t>
            </w:r>
          </w:p>
          <w:p>
            <w:pPr>
              <w:pStyle w:val="10"/>
              <w:numPr>
                <w:ilvl w:val="0"/>
                <w:numId w:val="79"/>
              </w:numPr>
              <w:tabs>
                <w:tab w:val="left" w:pos="637"/>
              </w:tabs>
              <w:spacing w:before="43" w:after="0" w:line="240" w:lineRule="auto"/>
              <w:ind w:left="636" w:right="0" w:hanging="530"/>
              <w:jc w:val="left"/>
              <w:rPr>
                <w:sz w:val="21"/>
              </w:rPr>
            </w:pPr>
            <w:r>
              <w:rPr>
                <w:spacing w:val="-3"/>
                <w:sz w:val="21"/>
              </w:rPr>
              <w:t>已经接受了手术治疗。</w:t>
            </w:r>
          </w:p>
          <w:p>
            <w:pPr>
              <w:pStyle w:val="10"/>
              <w:spacing w:before="43"/>
              <w:rPr>
                <w:rFonts w:ascii="黑体" w:eastAsia="黑体"/>
                <w:sz w:val="21"/>
              </w:rPr>
            </w:pPr>
            <w:r>
              <w:rPr>
                <w:rFonts w:ascii="黑体" w:eastAsia="黑体"/>
                <w:color w:val="000000"/>
                <w:spacing w:val="-8"/>
                <w:sz w:val="21"/>
                <w:shd w:val="clear" w:color="auto" w:fill="D9D9D9"/>
              </w:rPr>
              <w:t xml:space="preserve">本疾病保障期至 </w:t>
            </w:r>
            <w:r>
              <w:rPr>
                <w:rFonts w:ascii="黑体" w:eastAsia="黑体"/>
                <w:color w:val="000000"/>
                <w:spacing w:val="-2"/>
                <w:sz w:val="21"/>
                <w:shd w:val="clear" w:color="auto" w:fill="D9D9D9"/>
              </w:rPr>
              <w:t>25</w:t>
            </w:r>
            <w:r>
              <w:rPr>
                <w:rFonts w:ascii="黑体" w:eastAsia="黑体"/>
                <w:color w:val="000000"/>
                <w:spacing w:val="-16"/>
                <w:sz w:val="21"/>
                <w:shd w:val="clear" w:color="auto" w:fill="D9D9D9"/>
              </w:rPr>
              <w:t xml:space="preserve"> 周岁。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08" w:hRule="atLeast"/>
        </w:trPr>
        <w:tc>
          <w:tcPr>
            <w:tcW w:w="1090" w:type="dxa"/>
            <w:tcBorders>
              <w:left w:val="single" w:color="000000" w:sz="12" w:space="0"/>
            </w:tcBorders>
          </w:tcPr>
          <w:p>
            <w:pPr>
              <w:pStyle w:val="10"/>
              <w:ind w:left="323" w:right="294"/>
              <w:jc w:val="center"/>
              <w:rPr>
                <w:sz w:val="21"/>
              </w:rPr>
            </w:pPr>
            <w:r>
              <w:rPr>
                <w:spacing w:val="-5"/>
                <w:sz w:val="21"/>
              </w:rPr>
              <w:t>81</w:t>
            </w:r>
          </w:p>
        </w:tc>
        <w:tc>
          <w:tcPr>
            <w:tcW w:w="2194" w:type="dxa"/>
          </w:tcPr>
          <w:p>
            <w:pPr>
              <w:pStyle w:val="10"/>
              <w:ind w:left="119"/>
              <w:rPr>
                <w:sz w:val="21"/>
              </w:rPr>
            </w:pPr>
            <w:r>
              <w:rPr>
                <w:spacing w:val="-4"/>
                <w:sz w:val="21"/>
              </w:rPr>
              <w:t>溶血性尿毒综合征</w:t>
            </w:r>
          </w:p>
        </w:tc>
        <w:tc>
          <w:tcPr>
            <w:tcW w:w="6656" w:type="dxa"/>
            <w:tcBorders>
              <w:right w:val="single" w:color="000000" w:sz="12" w:space="0"/>
            </w:tcBorders>
          </w:tcPr>
          <w:p>
            <w:pPr>
              <w:pStyle w:val="10"/>
              <w:spacing w:line="278" w:lineRule="auto"/>
              <w:ind w:right="73"/>
              <w:rPr>
                <w:sz w:val="21"/>
              </w:rPr>
            </w:pPr>
            <w:r>
              <w:rPr>
                <w:spacing w:val="-4"/>
                <w:sz w:val="21"/>
              </w:rPr>
              <w:t>一种由于感染导致的急性综合征，引起红细胞溶血，肾功能衰竭及尿毒</w:t>
            </w:r>
            <w:r>
              <w:rPr>
                <w:spacing w:val="-2"/>
                <w:sz w:val="21"/>
              </w:rPr>
              <w:t>症。溶血尿毒综合征必须明确诊断，并且满足下列所有条件：</w:t>
            </w:r>
          </w:p>
          <w:p>
            <w:pPr>
              <w:pStyle w:val="10"/>
              <w:numPr>
                <w:ilvl w:val="0"/>
                <w:numId w:val="80"/>
              </w:numPr>
              <w:tabs>
                <w:tab w:val="left" w:pos="637"/>
              </w:tabs>
              <w:spacing w:before="0" w:after="0" w:line="278" w:lineRule="auto"/>
              <w:ind w:left="107" w:right="107" w:firstLine="0"/>
              <w:jc w:val="left"/>
              <w:rPr>
                <w:sz w:val="21"/>
              </w:rPr>
            </w:pPr>
            <w:r>
              <w:rPr>
                <w:spacing w:val="-2"/>
                <w:sz w:val="21"/>
              </w:rPr>
              <w:t>实验室检查确认有溶血性贫血、血尿、尿毒症、血小板减少性紫</w:t>
            </w:r>
            <w:r>
              <w:rPr>
                <w:spacing w:val="-6"/>
                <w:sz w:val="21"/>
              </w:rPr>
              <w:t>癜；</w:t>
            </w:r>
          </w:p>
          <w:p>
            <w:pPr>
              <w:pStyle w:val="10"/>
              <w:numPr>
                <w:ilvl w:val="0"/>
                <w:numId w:val="80"/>
              </w:numPr>
              <w:tabs>
                <w:tab w:val="left" w:pos="637"/>
              </w:tabs>
              <w:spacing w:before="0" w:after="0" w:line="240" w:lineRule="auto"/>
              <w:ind w:left="636" w:right="0" w:hanging="530"/>
              <w:jc w:val="left"/>
              <w:rPr>
                <w:sz w:val="21"/>
              </w:rPr>
            </w:pPr>
            <w:r>
              <w:rPr>
                <w:spacing w:val="-3"/>
                <w:sz w:val="21"/>
              </w:rPr>
              <w:t>因肾脏功能衰竭实施了肾脏透析治疗。</w:t>
            </w:r>
          </w:p>
          <w:p>
            <w:pPr>
              <w:pStyle w:val="10"/>
              <w:spacing w:before="43" w:line="278" w:lineRule="auto"/>
              <w:ind w:right="73"/>
              <w:jc w:val="both"/>
              <w:rPr>
                <w:rFonts w:ascii="黑体" w:eastAsia="黑体"/>
                <w:sz w:val="21"/>
              </w:rPr>
            </w:pPr>
            <w:r>
              <w:rPr>
                <w:rFonts w:ascii="黑体" w:eastAsia="黑体"/>
                <w:color w:val="000000"/>
                <w:spacing w:val="-4"/>
                <w:sz w:val="21"/>
                <w:shd w:val="clear" w:color="auto" w:fill="D9D9D9"/>
              </w:rPr>
              <w:t>任何非因感染导致的溶血性贫血，如：自身免疫性溶血性贫血、与红细</w:t>
            </w:r>
            <w:r>
              <w:rPr>
                <w:rFonts w:ascii="黑体" w:eastAsia="黑体"/>
                <w:color w:val="000000"/>
                <w:spacing w:val="40"/>
                <w:sz w:val="21"/>
                <w:shd w:val="clear" w:color="auto" w:fill="D9D9D9"/>
              </w:rPr>
              <w:t xml:space="preserve"> </w:t>
            </w:r>
            <w:r>
              <w:rPr>
                <w:rFonts w:ascii="黑体" w:eastAsia="黑体"/>
                <w:color w:val="000000"/>
                <w:spacing w:val="-4"/>
                <w:sz w:val="21"/>
                <w:shd w:val="clear" w:color="auto" w:fill="D9D9D9"/>
              </w:rPr>
              <w:t>胞膜缺陷有关的溶血性贫血、红细胞酶病、血红蛋白病等，不在保障范围内。</w:t>
            </w:r>
          </w:p>
          <w:p>
            <w:pPr>
              <w:pStyle w:val="10"/>
              <w:spacing w:before="0" w:line="269" w:lineRule="exact"/>
              <w:jc w:val="both"/>
              <w:rPr>
                <w:rFonts w:ascii="黑体" w:eastAsia="黑体"/>
                <w:sz w:val="21"/>
              </w:rPr>
            </w:pPr>
            <w:r>
              <w:rPr>
                <w:rFonts w:ascii="黑体" w:eastAsia="黑体"/>
                <w:color w:val="000000"/>
                <w:spacing w:val="-8"/>
                <w:sz w:val="21"/>
                <w:shd w:val="clear" w:color="auto" w:fill="D9D9D9"/>
              </w:rPr>
              <w:t xml:space="preserve">本疾病保障期至 </w:t>
            </w:r>
            <w:r>
              <w:rPr>
                <w:rFonts w:ascii="黑体" w:eastAsia="黑体"/>
                <w:color w:val="000000"/>
                <w:spacing w:val="-2"/>
                <w:sz w:val="21"/>
                <w:shd w:val="clear" w:color="auto" w:fill="D9D9D9"/>
              </w:rPr>
              <w:t>25</w:t>
            </w:r>
            <w:r>
              <w:rPr>
                <w:rFonts w:ascii="黑体" w:eastAsia="黑体"/>
                <w:color w:val="000000"/>
                <w:spacing w:val="-16"/>
                <w:sz w:val="21"/>
                <w:shd w:val="clear" w:color="auto" w:fill="D9D9D9"/>
              </w:rPr>
              <w:t xml:space="preserve"> 周岁。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9" w:hRule="atLeast"/>
        </w:trPr>
        <w:tc>
          <w:tcPr>
            <w:tcW w:w="1090" w:type="dxa"/>
            <w:tcBorders>
              <w:left w:val="single" w:color="000000" w:sz="12" w:space="0"/>
            </w:tcBorders>
          </w:tcPr>
          <w:p>
            <w:pPr>
              <w:pStyle w:val="10"/>
              <w:ind w:left="323" w:right="294"/>
              <w:jc w:val="center"/>
              <w:rPr>
                <w:sz w:val="21"/>
              </w:rPr>
            </w:pPr>
            <w:r>
              <w:rPr>
                <w:spacing w:val="-5"/>
                <w:sz w:val="21"/>
              </w:rPr>
              <w:t>82</w:t>
            </w:r>
          </w:p>
        </w:tc>
        <w:tc>
          <w:tcPr>
            <w:tcW w:w="2194" w:type="dxa"/>
          </w:tcPr>
          <w:p>
            <w:pPr>
              <w:pStyle w:val="10"/>
              <w:ind w:left="119"/>
              <w:rPr>
                <w:sz w:val="21"/>
              </w:rPr>
            </w:pPr>
            <w:r>
              <w:rPr>
                <w:spacing w:val="-2"/>
                <w:sz w:val="21"/>
              </w:rPr>
              <w:t>Brugada</w:t>
            </w:r>
            <w:r>
              <w:rPr>
                <w:spacing w:val="-15"/>
                <w:sz w:val="21"/>
              </w:rPr>
              <w:t xml:space="preserve"> 综合征</w:t>
            </w:r>
          </w:p>
        </w:tc>
        <w:tc>
          <w:tcPr>
            <w:tcW w:w="6656" w:type="dxa"/>
            <w:tcBorders>
              <w:right w:val="single" w:color="000000" w:sz="12" w:space="0"/>
            </w:tcBorders>
          </w:tcPr>
          <w:p>
            <w:pPr>
              <w:pStyle w:val="10"/>
              <w:spacing w:line="278" w:lineRule="auto"/>
              <w:ind w:right="74"/>
              <w:rPr>
                <w:sz w:val="21"/>
              </w:rPr>
            </w:pPr>
            <w:r>
              <w:rPr>
                <w:spacing w:val="-4"/>
                <w:sz w:val="21"/>
              </w:rPr>
              <w:t xml:space="preserve">被保险人被心脏专科医生明确诊断为 </w:t>
            </w:r>
            <w:r>
              <w:rPr>
                <w:sz w:val="21"/>
              </w:rPr>
              <w:t>Brugada</w:t>
            </w:r>
            <w:r>
              <w:rPr>
                <w:spacing w:val="-13"/>
                <w:sz w:val="21"/>
              </w:rPr>
              <w:t xml:space="preserve"> 综合征，并且满足下列所</w:t>
            </w:r>
            <w:r>
              <w:rPr>
                <w:spacing w:val="-4"/>
                <w:sz w:val="21"/>
              </w:rPr>
              <w:t>有条件：</w:t>
            </w:r>
          </w:p>
          <w:p>
            <w:pPr>
              <w:pStyle w:val="10"/>
              <w:numPr>
                <w:ilvl w:val="0"/>
                <w:numId w:val="81"/>
              </w:numPr>
              <w:tabs>
                <w:tab w:val="left" w:pos="637"/>
              </w:tabs>
              <w:spacing w:before="0" w:after="0" w:line="269" w:lineRule="exact"/>
              <w:ind w:left="636" w:right="0" w:hanging="530"/>
              <w:jc w:val="left"/>
              <w:rPr>
                <w:sz w:val="21"/>
              </w:rPr>
            </w:pPr>
            <w:r>
              <w:rPr>
                <w:spacing w:val="-3"/>
                <w:sz w:val="21"/>
              </w:rPr>
              <w:t>有晕厥或心脏骤停病史，并且具有完整的诊疗记录；</w:t>
            </w:r>
          </w:p>
          <w:p>
            <w:pPr>
              <w:pStyle w:val="10"/>
              <w:numPr>
                <w:ilvl w:val="0"/>
                <w:numId w:val="81"/>
              </w:numPr>
              <w:tabs>
                <w:tab w:val="left" w:pos="637"/>
              </w:tabs>
              <w:spacing w:before="43" w:after="0" w:line="240" w:lineRule="auto"/>
              <w:ind w:left="636" w:right="0" w:hanging="530"/>
              <w:jc w:val="left"/>
              <w:rPr>
                <w:sz w:val="21"/>
              </w:rPr>
            </w:pPr>
            <w:r>
              <w:rPr>
                <w:spacing w:val="5"/>
                <w:sz w:val="21"/>
              </w:rPr>
              <w:t>心电图有典型的</w:t>
            </w:r>
            <w:r>
              <w:rPr>
                <w:sz w:val="21"/>
              </w:rPr>
              <w:t>I</w:t>
            </w:r>
            <w:r>
              <w:rPr>
                <w:spacing w:val="-36"/>
                <w:sz w:val="21"/>
              </w:rPr>
              <w:t xml:space="preserve"> 型 </w:t>
            </w:r>
            <w:r>
              <w:rPr>
                <w:sz w:val="21"/>
              </w:rPr>
              <w:t>Brugada</w:t>
            </w:r>
            <w:r>
              <w:rPr>
                <w:spacing w:val="-22"/>
                <w:sz w:val="21"/>
              </w:rPr>
              <w:t xml:space="preserve"> 波；</w:t>
            </w:r>
          </w:p>
        </w:tc>
      </w:tr>
    </w:tbl>
    <w:p>
      <w:pPr>
        <w:rPr>
          <w:sz w:val="2"/>
          <w:szCs w:val="2"/>
        </w:rPr>
      </w:pPr>
      <w:r>
        <w:pict>
          <v:shape id="docshape9" o:spid="_x0000_s1033" o:spt="202" type="#_x0000_t202" style="position:absolute;left:0pt;margin-left:237.6pt;margin-top:242.75pt;height:64.9pt;width:304.5pt;mso-position-horizontal-relative:page;mso-position-vertical-relative:page;z-index:251661312;mso-width-relative:page;mso-height-relative:page;" filled="f" stroked="f" coordsize="21600,21600">
            <v:path/>
            <v:fill on="f" focussize="0,0"/>
            <v:stroke on="f" joinstyle="miter"/>
            <v:imagedata o:title=""/>
            <o:lock v:ext="edit"/>
            <v:textbox inset="0mm,0mm,0mm,0mm">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068"/>
                    <w:gridCol w:w="301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3068" w:type="dxa"/>
                      </w:tcPr>
                      <w:p>
                        <w:pPr>
                          <w:pStyle w:val="10"/>
                          <w:spacing w:before="22"/>
                          <w:ind w:left="467"/>
                          <w:rPr>
                            <w:sz w:val="21"/>
                          </w:rPr>
                        </w:pPr>
                        <w:r>
                          <w:rPr>
                            <w:spacing w:val="-2"/>
                            <w:sz w:val="21"/>
                          </w:rPr>
                          <w:t>医生（包括牙医</w:t>
                        </w:r>
                        <w:r>
                          <w:rPr>
                            <w:spacing w:val="-10"/>
                            <w:sz w:val="21"/>
                          </w:rPr>
                          <w:t>）</w:t>
                        </w:r>
                      </w:p>
                    </w:tc>
                    <w:tc>
                      <w:tcPr>
                        <w:tcW w:w="3013" w:type="dxa"/>
                      </w:tcPr>
                      <w:p>
                        <w:pPr>
                          <w:pStyle w:val="10"/>
                          <w:spacing w:before="22"/>
                          <w:ind w:left="467"/>
                          <w:rPr>
                            <w:sz w:val="21"/>
                          </w:rPr>
                        </w:pPr>
                        <w:r>
                          <w:rPr>
                            <w:spacing w:val="-5"/>
                            <w:sz w:val="21"/>
                          </w:rPr>
                          <w:t>护士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3068" w:type="dxa"/>
                      </w:tcPr>
                      <w:p>
                        <w:pPr>
                          <w:pStyle w:val="10"/>
                          <w:spacing w:before="22"/>
                          <w:ind w:left="467"/>
                          <w:rPr>
                            <w:sz w:val="21"/>
                          </w:rPr>
                        </w:pPr>
                        <w:r>
                          <w:rPr>
                            <w:spacing w:val="-3"/>
                            <w:sz w:val="21"/>
                          </w:rPr>
                          <w:t>医院化验室工作人员</w:t>
                        </w:r>
                      </w:p>
                    </w:tc>
                    <w:tc>
                      <w:tcPr>
                        <w:tcW w:w="3013" w:type="dxa"/>
                      </w:tcPr>
                      <w:p>
                        <w:pPr>
                          <w:pStyle w:val="10"/>
                          <w:spacing w:before="22"/>
                          <w:ind w:left="467"/>
                          <w:rPr>
                            <w:sz w:val="21"/>
                          </w:rPr>
                        </w:pPr>
                        <w:r>
                          <w:rPr>
                            <w:spacing w:val="-4"/>
                            <w:sz w:val="21"/>
                          </w:rPr>
                          <w:t>医院护工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3068" w:type="dxa"/>
                      </w:tcPr>
                      <w:p>
                        <w:pPr>
                          <w:pStyle w:val="10"/>
                          <w:spacing w:before="22"/>
                          <w:ind w:left="467"/>
                          <w:rPr>
                            <w:sz w:val="21"/>
                          </w:rPr>
                        </w:pPr>
                        <w:r>
                          <w:rPr>
                            <w:spacing w:val="-4"/>
                            <w:sz w:val="21"/>
                          </w:rPr>
                          <w:t>救护车工作人员</w:t>
                        </w:r>
                      </w:p>
                    </w:tc>
                    <w:tc>
                      <w:tcPr>
                        <w:tcW w:w="3013" w:type="dxa"/>
                      </w:tcPr>
                      <w:p>
                        <w:pPr>
                          <w:pStyle w:val="10"/>
                          <w:spacing w:before="22"/>
                          <w:ind w:left="467"/>
                          <w:rPr>
                            <w:sz w:val="21"/>
                          </w:rPr>
                        </w:pPr>
                        <w:r>
                          <w:rPr>
                            <w:spacing w:val="-4"/>
                            <w:sz w:val="21"/>
                          </w:rPr>
                          <w:t>助产士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3068" w:type="dxa"/>
                      </w:tcPr>
                      <w:p>
                        <w:pPr>
                          <w:pStyle w:val="10"/>
                          <w:spacing w:before="25"/>
                          <w:ind w:left="467"/>
                          <w:rPr>
                            <w:sz w:val="21"/>
                          </w:rPr>
                        </w:pPr>
                        <w:r>
                          <w:rPr>
                            <w:spacing w:val="-2"/>
                            <w:sz w:val="21"/>
                          </w:rPr>
                          <w:t>警察（包括狱警</w:t>
                        </w:r>
                        <w:r>
                          <w:rPr>
                            <w:spacing w:val="-10"/>
                            <w:sz w:val="21"/>
                          </w:rPr>
                          <w:t>）</w:t>
                        </w:r>
                      </w:p>
                    </w:tc>
                    <w:tc>
                      <w:tcPr>
                        <w:tcW w:w="3013" w:type="dxa"/>
                      </w:tcPr>
                      <w:p>
                        <w:pPr>
                          <w:pStyle w:val="10"/>
                          <w:spacing w:before="25"/>
                          <w:ind w:left="467"/>
                          <w:rPr>
                            <w:sz w:val="21"/>
                          </w:rPr>
                        </w:pPr>
                        <w:r>
                          <w:rPr>
                            <w:spacing w:val="-4"/>
                            <w:sz w:val="21"/>
                          </w:rPr>
                          <w:t>消防人员</w:t>
                        </w:r>
                      </w:p>
                    </w:tc>
                  </w:tr>
                </w:tbl>
                <w:p>
                  <w:pPr>
                    <w:pStyle w:val="4"/>
                  </w:pPr>
                </w:p>
              </w:txbxContent>
            </v:textbox>
          </v:shape>
        </w:pict>
      </w:r>
    </w:p>
    <w:p>
      <w:pPr>
        <w:spacing w:after="0"/>
        <w:rPr>
          <w:sz w:val="2"/>
          <w:szCs w:val="2"/>
        </w:rPr>
        <w:sectPr>
          <w:type w:val="continuous"/>
          <w:pgSz w:w="11910" w:h="16840"/>
          <w:pgMar w:top="840" w:right="340" w:bottom="1445" w:left="800" w:header="0" w:footer="457" w:gutter="0"/>
          <w:cols w:space="720" w:num="1"/>
        </w:sectPr>
      </w:pPr>
    </w:p>
    <w:tbl>
      <w:tblPr>
        <w:tblStyle w:val="6"/>
        <w:tblW w:w="0" w:type="auto"/>
        <w:tblInd w:w="22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90"/>
        <w:gridCol w:w="2194"/>
        <w:gridCol w:w="66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090" w:type="dxa"/>
            <w:tcBorders>
              <w:left w:val="single" w:color="000000" w:sz="12" w:space="0"/>
            </w:tcBorders>
          </w:tcPr>
          <w:p>
            <w:pPr>
              <w:pStyle w:val="10"/>
              <w:spacing w:before="0"/>
              <w:ind w:left="0"/>
              <w:rPr>
                <w:rFonts w:ascii="Times New Roman"/>
                <w:sz w:val="20"/>
              </w:rPr>
            </w:pPr>
          </w:p>
        </w:tc>
        <w:tc>
          <w:tcPr>
            <w:tcW w:w="2194" w:type="dxa"/>
          </w:tcPr>
          <w:p>
            <w:pPr>
              <w:pStyle w:val="10"/>
              <w:spacing w:before="0"/>
              <w:ind w:left="0"/>
              <w:rPr>
                <w:rFonts w:ascii="Times New Roman"/>
                <w:sz w:val="20"/>
              </w:rPr>
            </w:pPr>
          </w:p>
        </w:tc>
        <w:tc>
          <w:tcPr>
            <w:tcW w:w="6656" w:type="dxa"/>
            <w:tcBorders>
              <w:right w:val="single" w:color="000000" w:sz="12" w:space="0"/>
            </w:tcBorders>
          </w:tcPr>
          <w:p>
            <w:pPr>
              <w:pStyle w:val="10"/>
              <w:rPr>
                <w:sz w:val="21"/>
              </w:rPr>
            </w:pPr>
            <w:r>
              <w:rPr>
                <w:spacing w:val="-6"/>
                <w:sz w:val="21"/>
              </w:rPr>
              <w:t>（3）安装了永久性植入式心脏复律除颤器</w:t>
            </w:r>
            <w:r>
              <w:rPr>
                <w:spacing w:val="15"/>
                <w:sz w:val="21"/>
              </w:rPr>
              <w:t>（</w:t>
            </w:r>
            <w:r>
              <w:rPr>
                <w:spacing w:val="16"/>
                <w:sz w:val="21"/>
              </w:rPr>
              <w:t>I</w:t>
            </w:r>
            <w:r>
              <w:rPr>
                <w:spacing w:val="13"/>
                <w:sz w:val="21"/>
              </w:rPr>
              <w:t>C</w:t>
            </w:r>
            <w:r>
              <w:rPr>
                <w:spacing w:val="15"/>
                <w:sz w:val="21"/>
              </w:rPr>
              <w:t>D</w:t>
            </w:r>
            <w:r>
              <w:rPr>
                <w:spacing w:val="-90"/>
                <w:sz w:val="21"/>
              </w:rPr>
              <w:t>）</w:t>
            </w:r>
            <w:r>
              <w:rPr>
                <w:spacing w:val="-116"/>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1" w:hRule="atLeast"/>
        </w:trPr>
        <w:tc>
          <w:tcPr>
            <w:tcW w:w="1090" w:type="dxa"/>
            <w:tcBorders>
              <w:left w:val="single" w:color="000000" w:sz="12" w:space="0"/>
            </w:tcBorders>
          </w:tcPr>
          <w:p>
            <w:pPr>
              <w:pStyle w:val="10"/>
              <w:ind w:left="323" w:right="294"/>
              <w:jc w:val="center"/>
              <w:rPr>
                <w:sz w:val="21"/>
              </w:rPr>
            </w:pPr>
            <w:r>
              <w:rPr>
                <w:spacing w:val="-5"/>
                <w:sz w:val="21"/>
              </w:rPr>
              <w:t>83</w:t>
            </w:r>
          </w:p>
        </w:tc>
        <w:tc>
          <w:tcPr>
            <w:tcW w:w="2194" w:type="dxa"/>
          </w:tcPr>
          <w:p>
            <w:pPr>
              <w:pStyle w:val="10"/>
              <w:spacing w:line="278" w:lineRule="auto"/>
              <w:ind w:left="119" w:right="82"/>
              <w:rPr>
                <w:sz w:val="21"/>
              </w:rPr>
            </w:pPr>
            <w:r>
              <w:rPr>
                <w:sz w:val="21"/>
              </w:rPr>
              <w:t>进行性多灶性白质脑</w:t>
            </w:r>
            <w:r>
              <w:rPr>
                <w:spacing w:val="-10"/>
                <w:sz w:val="21"/>
              </w:rPr>
              <w:t>病</w:t>
            </w:r>
          </w:p>
        </w:tc>
        <w:tc>
          <w:tcPr>
            <w:tcW w:w="6656" w:type="dxa"/>
            <w:tcBorders>
              <w:right w:val="single" w:color="000000" w:sz="12" w:space="0"/>
            </w:tcBorders>
          </w:tcPr>
          <w:p>
            <w:pPr>
              <w:pStyle w:val="10"/>
              <w:spacing w:line="278" w:lineRule="auto"/>
              <w:ind w:right="73"/>
              <w:rPr>
                <w:sz w:val="21"/>
              </w:rPr>
            </w:pPr>
            <w:r>
              <w:rPr>
                <w:spacing w:val="-4"/>
                <w:sz w:val="21"/>
              </w:rPr>
              <w:t>是一种亚急性脱髓鞘脑病，常常发生于免疫缺陷病人。必须满足下列所有条件</w:t>
            </w:r>
          </w:p>
          <w:p>
            <w:pPr>
              <w:pStyle w:val="10"/>
              <w:numPr>
                <w:ilvl w:val="0"/>
                <w:numId w:val="82"/>
              </w:numPr>
              <w:tabs>
                <w:tab w:val="left" w:pos="637"/>
              </w:tabs>
              <w:spacing w:before="0" w:after="0" w:line="240" w:lineRule="auto"/>
              <w:ind w:left="636" w:right="0" w:hanging="530"/>
              <w:jc w:val="left"/>
              <w:rPr>
                <w:sz w:val="21"/>
              </w:rPr>
            </w:pPr>
            <w:r>
              <w:rPr>
                <w:spacing w:val="-3"/>
                <w:sz w:val="21"/>
              </w:rPr>
              <w:t>根据脑组织活检确诊；</w:t>
            </w:r>
          </w:p>
          <w:p>
            <w:pPr>
              <w:pStyle w:val="10"/>
              <w:numPr>
                <w:ilvl w:val="0"/>
                <w:numId w:val="82"/>
              </w:numPr>
              <w:tabs>
                <w:tab w:val="left" w:pos="637"/>
              </w:tabs>
              <w:spacing w:before="43" w:after="0" w:line="278" w:lineRule="auto"/>
              <w:ind w:left="107" w:right="107" w:firstLine="0"/>
              <w:jc w:val="left"/>
              <w:rPr>
                <w:sz w:val="21"/>
              </w:rPr>
            </w:pPr>
            <w:r>
              <w:rPr>
                <w:spacing w:val="-2"/>
                <w:sz w:val="21"/>
              </w:rPr>
              <w:t>永久不可逆丧失自主生活能力，无法独立完成六项基本日常生活活动中的三项或三项以上。</w:t>
            </w:r>
          </w:p>
          <w:p>
            <w:pPr>
              <w:pStyle w:val="10"/>
              <w:spacing w:before="0" w:line="269" w:lineRule="exact"/>
              <w:rPr>
                <w:rFonts w:ascii="黑体" w:eastAsia="黑体"/>
                <w:sz w:val="21"/>
              </w:rPr>
            </w:pPr>
            <w:r>
              <w:rPr>
                <w:rFonts w:ascii="黑体" w:eastAsia="黑体"/>
                <w:color w:val="000000"/>
                <w:spacing w:val="-3"/>
                <w:sz w:val="21"/>
                <w:shd w:val="clear" w:color="auto" w:fill="D9D9D9"/>
              </w:rPr>
              <w:t>进行性多灶性白质脑病必须生前诊断，尸检诊断不作为理赔依据。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6" w:hRule="atLeast"/>
        </w:trPr>
        <w:tc>
          <w:tcPr>
            <w:tcW w:w="1090" w:type="dxa"/>
            <w:tcBorders>
              <w:left w:val="single" w:color="000000" w:sz="12" w:space="0"/>
            </w:tcBorders>
          </w:tcPr>
          <w:p>
            <w:pPr>
              <w:pStyle w:val="10"/>
              <w:ind w:left="323" w:right="294"/>
              <w:jc w:val="center"/>
              <w:rPr>
                <w:sz w:val="21"/>
              </w:rPr>
            </w:pPr>
            <w:r>
              <w:rPr>
                <w:spacing w:val="-5"/>
                <w:sz w:val="21"/>
              </w:rPr>
              <w:t>84</w:t>
            </w:r>
          </w:p>
        </w:tc>
        <w:tc>
          <w:tcPr>
            <w:tcW w:w="2194" w:type="dxa"/>
          </w:tcPr>
          <w:p>
            <w:pPr>
              <w:pStyle w:val="10"/>
              <w:spacing w:line="278" w:lineRule="auto"/>
              <w:ind w:left="119" w:right="82"/>
              <w:rPr>
                <w:sz w:val="21"/>
              </w:rPr>
            </w:pPr>
            <w:r>
              <w:rPr>
                <w:sz w:val="21"/>
              </w:rPr>
              <w:t>严重结核性脑膜炎后</w:t>
            </w:r>
            <w:r>
              <w:rPr>
                <w:spacing w:val="-6"/>
                <w:sz w:val="21"/>
              </w:rPr>
              <w:t>遗症</w:t>
            </w:r>
          </w:p>
        </w:tc>
        <w:tc>
          <w:tcPr>
            <w:tcW w:w="6656" w:type="dxa"/>
            <w:tcBorders>
              <w:right w:val="single" w:color="000000" w:sz="12" w:space="0"/>
            </w:tcBorders>
          </w:tcPr>
          <w:p>
            <w:pPr>
              <w:pStyle w:val="10"/>
              <w:spacing w:line="278" w:lineRule="auto"/>
              <w:ind w:right="1"/>
              <w:rPr>
                <w:sz w:val="21"/>
              </w:rPr>
            </w:pPr>
            <w:r>
              <w:rPr>
                <w:spacing w:val="-2"/>
                <w:sz w:val="21"/>
              </w:rPr>
              <w:t>指由于结核杆菌感染引起脑膜、脑实质、脊膜及脊髓的非化脓性炎症，引起显著颅内压升高和严重神经系统功能损害，表现为意识障碍、颅神经损害、瘫痪、癫痫等。被保险人必须被明确诊断为结核性脑膜炎，并且满足下列所有条件：</w:t>
            </w:r>
          </w:p>
          <w:p>
            <w:pPr>
              <w:pStyle w:val="10"/>
              <w:numPr>
                <w:ilvl w:val="0"/>
                <w:numId w:val="83"/>
              </w:numPr>
              <w:tabs>
                <w:tab w:val="left" w:pos="637"/>
              </w:tabs>
              <w:spacing w:before="0" w:after="0" w:line="278" w:lineRule="auto"/>
              <w:ind w:left="107" w:right="107" w:firstLine="0"/>
              <w:jc w:val="left"/>
              <w:rPr>
                <w:sz w:val="21"/>
              </w:rPr>
            </w:pPr>
            <w:r>
              <w:rPr>
                <w:spacing w:val="-2"/>
                <w:sz w:val="21"/>
              </w:rPr>
              <w:t>严重高颅压或脑积水，并且实际接受了外科减压性手术、脑脊液分流手术或外引流手术治疗；</w:t>
            </w:r>
          </w:p>
          <w:p>
            <w:pPr>
              <w:pStyle w:val="10"/>
              <w:numPr>
                <w:ilvl w:val="0"/>
                <w:numId w:val="83"/>
              </w:numPr>
              <w:tabs>
                <w:tab w:val="left" w:pos="637"/>
              </w:tabs>
              <w:spacing w:before="0" w:after="0" w:line="269" w:lineRule="exact"/>
              <w:ind w:left="636" w:right="-29" w:hanging="530"/>
              <w:jc w:val="left"/>
              <w:rPr>
                <w:sz w:val="21"/>
              </w:rPr>
            </w:pPr>
            <w:r>
              <w:rPr>
                <w:spacing w:val="-20"/>
                <w:sz w:val="21"/>
              </w:rPr>
              <w:t xml:space="preserve">确诊 </w:t>
            </w:r>
            <w:r>
              <w:rPr>
                <w:spacing w:val="-4"/>
                <w:sz w:val="21"/>
              </w:rPr>
              <w:t>180</w:t>
            </w:r>
            <w:r>
              <w:rPr>
                <w:spacing w:val="-13"/>
                <w:sz w:val="21"/>
              </w:rPr>
              <w:t xml:space="preserve"> 天后，仍有一肢体或多肢体瘫痪，肌力 </w:t>
            </w:r>
            <w:r>
              <w:rPr>
                <w:spacing w:val="-4"/>
                <w:sz w:val="21"/>
              </w:rPr>
              <w:t>3</w:t>
            </w:r>
            <w:r>
              <w:rPr>
                <w:spacing w:val="-25"/>
                <w:sz w:val="21"/>
              </w:rPr>
              <w:t xml:space="preserve"> 级</w:t>
            </w:r>
            <w:r>
              <w:rPr>
                <w:spacing w:val="-4"/>
                <w:sz w:val="21"/>
              </w:rPr>
              <w:t>（含）</w:t>
            </w:r>
            <w:r>
              <w:rPr>
                <w:spacing w:val="-6"/>
                <w:sz w:val="21"/>
              </w:rPr>
              <w:t>以下；</w:t>
            </w:r>
          </w:p>
          <w:p>
            <w:pPr>
              <w:pStyle w:val="10"/>
              <w:numPr>
                <w:ilvl w:val="0"/>
                <w:numId w:val="83"/>
              </w:numPr>
              <w:tabs>
                <w:tab w:val="left" w:pos="637"/>
              </w:tabs>
              <w:spacing w:before="43" w:after="0" w:line="240" w:lineRule="auto"/>
              <w:ind w:left="636" w:right="0" w:hanging="530"/>
              <w:jc w:val="left"/>
              <w:rPr>
                <w:sz w:val="21"/>
              </w:rPr>
            </w:pPr>
            <w:r>
              <w:rPr>
                <w:spacing w:val="-17"/>
                <w:sz w:val="21"/>
              </w:rPr>
              <w:t xml:space="preserve">确诊 </w:t>
            </w:r>
            <w:r>
              <w:rPr>
                <w:spacing w:val="-2"/>
                <w:sz w:val="21"/>
              </w:rPr>
              <w:t>180</w:t>
            </w:r>
            <w:r>
              <w:rPr>
                <w:spacing w:val="-10"/>
                <w:sz w:val="21"/>
              </w:rPr>
              <w:t xml:space="preserve"> 天后，仍有斜视、面神经麻痹或视力下降。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83" w:hRule="atLeast"/>
        </w:trPr>
        <w:tc>
          <w:tcPr>
            <w:tcW w:w="1090" w:type="dxa"/>
            <w:tcBorders>
              <w:left w:val="single" w:color="000000" w:sz="12" w:space="0"/>
            </w:tcBorders>
          </w:tcPr>
          <w:p>
            <w:pPr>
              <w:pStyle w:val="10"/>
              <w:ind w:left="323" w:right="294"/>
              <w:jc w:val="center"/>
              <w:rPr>
                <w:sz w:val="21"/>
              </w:rPr>
            </w:pPr>
            <w:r>
              <w:rPr>
                <w:spacing w:val="-5"/>
                <w:sz w:val="21"/>
              </w:rPr>
              <w:t>85</w:t>
            </w:r>
          </w:p>
        </w:tc>
        <w:tc>
          <w:tcPr>
            <w:tcW w:w="2194" w:type="dxa"/>
          </w:tcPr>
          <w:p>
            <w:pPr>
              <w:pStyle w:val="10"/>
              <w:ind w:left="119"/>
              <w:rPr>
                <w:sz w:val="21"/>
              </w:rPr>
            </w:pPr>
            <w:r>
              <w:rPr>
                <w:spacing w:val="-4"/>
                <w:sz w:val="21"/>
              </w:rPr>
              <w:t>肾髓质囊性病</w:t>
            </w:r>
          </w:p>
        </w:tc>
        <w:tc>
          <w:tcPr>
            <w:tcW w:w="6656" w:type="dxa"/>
            <w:tcBorders>
              <w:right w:val="single" w:color="000000" w:sz="12" w:space="0"/>
            </w:tcBorders>
          </w:tcPr>
          <w:p>
            <w:pPr>
              <w:pStyle w:val="10"/>
              <w:spacing w:line="278" w:lineRule="auto"/>
              <w:ind w:right="73"/>
              <w:rPr>
                <w:sz w:val="21"/>
              </w:rPr>
            </w:pPr>
            <w:r>
              <w:rPr>
                <w:spacing w:val="-4"/>
                <w:sz w:val="21"/>
              </w:rPr>
              <w:t>肾髓质囊性病，一种遗传性肾脏疾病，特点为肾髓质多发大小不等的囊</w:t>
            </w:r>
            <w:r>
              <w:rPr>
                <w:spacing w:val="-2"/>
                <w:sz w:val="21"/>
              </w:rPr>
              <w:t>肿并且伴有小管炎症和间质性肾炎。必须满足下列所有条件：</w:t>
            </w:r>
          </w:p>
          <w:p>
            <w:pPr>
              <w:pStyle w:val="10"/>
              <w:numPr>
                <w:ilvl w:val="0"/>
                <w:numId w:val="84"/>
              </w:numPr>
              <w:tabs>
                <w:tab w:val="left" w:pos="637"/>
              </w:tabs>
              <w:spacing w:before="0" w:after="0" w:line="269" w:lineRule="exact"/>
              <w:ind w:left="636" w:right="0" w:hanging="530"/>
              <w:jc w:val="left"/>
              <w:rPr>
                <w:sz w:val="21"/>
              </w:rPr>
            </w:pPr>
            <w:r>
              <w:rPr>
                <w:spacing w:val="-3"/>
                <w:sz w:val="21"/>
              </w:rPr>
              <w:t>经肾组织活检明确诊断；</w:t>
            </w:r>
          </w:p>
          <w:p>
            <w:pPr>
              <w:pStyle w:val="10"/>
              <w:numPr>
                <w:ilvl w:val="0"/>
                <w:numId w:val="84"/>
              </w:numPr>
              <w:tabs>
                <w:tab w:val="left" w:pos="635"/>
              </w:tabs>
              <w:spacing w:before="33" w:after="0" w:line="278" w:lineRule="auto"/>
              <w:ind w:left="107" w:right="74" w:firstLine="0"/>
              <w:jc w:val="left"/>
              <w:rPr>
                <w:sz w:val="21"/>
              </w:rPr>
            </w:pPr>
            <w:r>
              <w:rPr>
                <w:sz w:val="21"/>
              </w:rPr>
              <w:t>临床有肾脏衰竭，肾小球滤过率&lt;45ml/min/1.73</w:t>
            </w:r>
            <w:r>
              <w:rPr>
                <w:position w:val="11"/>
                <w:sz w:val="11"/>
              </w:rPr>
              <w:t>2</w:t>
            </w:r>
            <w:r>
              <w:rPr>
                <w:spacing w:val="-29"/>
                <w:position w:val="11"/>
                <w:sz w:val="11"/>
              </w:rPr>
              <w:t xml:space="preserve"> </w:t>
            </w:r>
            <w:r>
              <w:rPr>
                <w:sz w:val="21"/>
              </w:rPr>
              <w:t>和肾小管功能</w:t>
            </w:r>
            <w:r>
              <w:rPr>
                <w:spacing w:val="-2"/>
                <w:sz w:val="21"/>
              </w:rPr>
              <w:t>障碍表现；</w:t>
            </w:r>
          </w:p>
          <w:p>
            <w:pPr>
              <w:pStyle w:val="10"/>
              <w:numPr>
                <w:ilvl w:val="0"/>
                <w:numId w:val="84"/>
              </w:numPr>
              <w:tabs>
                <w:tab w:val="left" w:pos="637"/>
              </w:tabs>
              <w:spacing w:before="0" w:after="0" w:line="269" w:lineRule="exact"/>
              <w:ind w:left="636" w:right="0" w:hanging="530"/>
              <w:jc w:val="left"/>
              <w:rPr>
                <w:sz w:val="21"/>
              </w:rPr>
            </w:pPr>
            <w:r>
              <w:rPr>
                <w:spacing w:val="-3"/>
                <w:sz w:val="21"/>
              </w:rPr>
              <w:t>影像学证据显示肾髓质多发囊肿。</w:t>
            </w:r>
          </w:p>
          <w:p>
            <w:pPr>
              <w:pStyle w:val="10"/>
              <w:spacing w:before="43"/>
              <w:rPr>
                <w:rFonts w:ascii="黑体" w:eastAsia="黑体"/>
                <w:sz w:val="21"/>
              </w:rPr>
            </w:pPr>
            <w:r>
              <w:rPr>
                <w:rFonts w:ascii="黑体" w:eastAsia="黑体"/>
                <w:color w:val="000000"/>
                <w:spacing w:val="-3"/>
                <w:sz w:val="21"/>
                <w:shd w:val="clear" w:color="auto" w:fill="D9D9D9"/>
              </w:rPr>
              <w:t>其他肾脏囊性病变不在保障范围内。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0" w:hRule="atLeast"/>
        </w:trPr>
        <w:tc>
          <w:tcPr>
            <w:tcW w:w="1090" w:type="dxa"/>
            <w:tcBorders>
              <w:left w:val="single" w:color="000000" w:sz="12" w:space="0"/>
            </w:tcBorders>
          </w:tcPr>
          <w:p>
            <w:pPr>
              <w:pStyle w:val="10"/>
              <w:ind w:left="323" w:right="294"/>
              <w:jc w:val="center"/>
              <w:rPr>
                <w:sz w:val="21"/>
              </w:rPr>
            </w:pPr>
            <w:r>
              <w:rPr>
                <w:spacing w:val="-5"/>
                <w:sz w:val="21"/>
              </w:rPr>
              <w:t>86</w:t>
            </w:r>
          </w:p>
        </w:tc>
        <w:tc>
          <w:tcPr>
            <w:tcW w:w="2194" w:type="dxa"/>
          </w:tcPr>
          <w:p>
            <w:pPr>
              <w:pStyle w:val="10"/>
              <w:ind w:left="119"/>
              <w:rPr>
                <w:sz w:val="21"/>
              </w:rPr>
            </w:pPr>
            <w:r>
              <w:rPr>
                <w:spacing w:val="-4"/>
                <w:sz w:val="21"/>
              </w:rPr>
              <w:t>肝豆状核变性</w:t>
            </w:r>
          </w:p>
        </w:tc>
        <w:tc>
          <w:tcPr>
            <w:tcW w:w="6656" w:type="dxa"/>
            <w:tcBorders>
              <w:right w:val="single" w:color="000000" w:sz="12" w:space="0"/>
            </w:tcBorders>
          </w:tcPr>
          <w:p>
            <w:pPr>
              <w:pStyle w:val="10"/>
              <w:spacing w:line="278" w:lineRule="auto"/>
              <w:ind w:right="-44"/>
              <w:rPr>
                <w:sz w:val="21"/>
              </w:rPr>
            </w:pPr>
            <w:r>
              <w:rPr>
                <w:spacing w:val="-2"/>
                <w:sz w:val="21"/>
              </w:rPr>
              <w:t>肝豆状核变性是一种遗传性铜代谢障碍疾病。表现为体内的铜离子在</w:t>
            </w:r>
            <w:r>
              <w:rPr>
                <w:spacing w:val="80"/>
                <w:sz w:val="21"/>
              </w:rPr>
              <w:t xml:space="preserve"> </w:t>
            </w:r>
            <w:r>
              <w:rPr>
                <w:spacing w:val="-6"/>
                <w:sz w:val="21"/>
              </w:rPr>
              <w:t>肝、脑、肾、角膜等处沉积，引起进行性加重的肝硬化、锥体外系症状、</w:t>
            </w:r>
            <w:r>
              <w:rPr>
                <w:spacing w:val="-2"/>
                <w:sz w:val="21"/>
              </w:rPr>
              <w:t>精神症状、肾损害及角膜色素环。肝豆状核变性必须明确诊断并且满足以下条件之一：</w:t>
            </w:r>
          </w:p>
          <w:p>
            <w:pPr>
              <w:pStyle w:val="10"/>
              <w:numPr>
                <w:ilvl w:val="0"/>
                <w:numId w:val="85"/>
              </w:numPr>
              <w:tabs>
                <w:tab w:val="left" w:pos="637"/>
              </w:tabs>
              <w:spacing w:before="0" w:after="0" w:line="278" w:lineRule="auto"/>
              <w:ind w:left="107" w:right="107" w:firstLine="0"/>
              <w:jc w:val="left"/>
              <w:rPr>
                <w:sz w:val="21"/>
              </w:rPr>
            </w:pPr>
            <w:r>
              <w:rPr>
                <w:spacing w:val="-2"/>
                <w:sz w:val="21"/>
              </w:rPr>
              <w:t>严重神经系统功能损害，自主生活能力完全丧失，无法独立完成六项基本日常生活活动中的三项或三项以上；</w:t>
            </w:r>
          </w:p>
          <w:p>
            <w:pPr>
              <w:pStyle w:val="10"/>
              <w:numPr>
                <w:ilvl w:val="0"/>
                <w:numId w:val="85"/>
              </w:numPr>
              <w:tabs>
                <w:tab w:val="left" w:pos="637"/>
              </w:tabs>
              <w:spacing w:before="0" w:after="0" w:line="278" w:lineRule="auto"/>
              <w:ind w:left="107" w:right="107" w:firstLine="0"/>
              <w:jc w:val="left"/>
              <w:rPr>
                <w:sz w:val="21"/>
              </w:rPr>
            </w:pPr>
            <w:r>
              <w:rPr>
                <w:spacing w:val="-2"/>
                <w:sz w:val="21"/>
              </w:rPr>
              <w:t>失代偿性肝硬化，临床已经出现腹水、食道静脉曲张和脾肿大等</w:t>
            </w:r>
            <w:r>
              <w:rPr>
                <w:spacing w:val="-4"/>
                <w:sz w:val="21"/>
              </w:rPr>
              <w:t>表现；</w:t>
            </w:r>
          </w:p>
          <w:p>
            <w:pPr>
              <w:pStyle w:val="10"/>
              <w:numPr>
                <w:ilvl w:val="0"/>
                <w:numId w:val="85"/>
              </w:numPr>
              <w:tabs>
                <w:tab w:val="left" w:pos="637"/>
              </w:tabs>
              <w:spacing w:before="0" w:after="0" w:line="269" w:lineRule="exact"/>
              <w:ind w:left="636" w:right="0" w:hanging="530"/>
              <w:jc w:val="left"/>
              <w:rPr>
                <w:sz w:val="21"/>
              </w:rPr>
            </w:pPr>
            <w:r>
              <w:rPr>
                <w:spacing w:val="-3"/>
                <w:sz w:val="21"/>
              </w:rPr>
              <w:t>慢性肾功能衰竭，已开始肾脏透析治疗；</w:t>
            </w:r>
          </w:p>
          <w:p>
            <w:pPr>
              <w:pStyle w:val="10"/>
              <w:numPr>
                <w:ilvl w:val="0"/>
                <w:numId w:val="85"/>
              </w:numPr>
              <w:tabs>
                <w:tab w:val="left" w:pos="637"/>
              </w:tabs>
              <w:spacing w:before="43" w:after="0" w:line="240" w:lineRule="auto"/>
              <w:ind w:left="636" w:right="0" w:hanging="530"/>
              <w:jc w:val="left"/>
              <w:rPr>
                <w:sz w:val="21"/>
              </w:rPr>
            </w:pPr>
            <w:r>
              <w:rPr>
                <w:spacing w:val="-3"/>
                <w:sz w:val="21"/>
              </w:rPr>
              <w:t>接受了肝移植或肾移植手术。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50" w:hRule="atLeast"/>
        </w:trPr>
        <w:tc>
          <w:tcPr>
            <w:tcW w:w="1090" w:type="dxa"/>
            <w:tcBorders>
              <w:left w:val="single" w:color="000000" w:sz="12" w:space="0"/>
            </w:tcBorders>
          </w:tcPr>
          <w:p>
            <w:pPr>
              <w:pStyle w:val="10"/>
              <w:spacing w:before="18"/>
              <w:ind w:left="323" w:right="294"/>
              <w:jc w:val="center"/>
              <w:rPr>
                <w:sz w:val="21"/>
              </w:rPr>
            </w:pPr>
            <w:r>
              <w:rPr>
                <w:spacing w:val="-5"/>
                <w:sz w:val="21"/>
              </w:rPr>
              <w:t>87</w:t>
            </w:r>
          </w:p>
        </w:tc>
        <w:tc>
          <w:tcPr>
            <w:tcW w:w="2194" w:type="dxa"/>
          </w:tcPr>
          <w:p>
            <w:pPr>
              <w:pStyle w:val="10"/>
              <w:spacing w:before="18" w:line="278" w:lineRule="auto"/>
              <w:ind w:left="119" w:right="82"/>
              <w:rPr>
                <w:sz w:val="21"/>
              </w:rPr>
            </w:pPr>
            <w:r>
              <w:rPr>
                <w:sz w:val="21"/>
              </w:rPr>
              <w:t>肠系膜上动脉梗塞致</w:t>
            </w:r>
            <w:r>
              <w:rPr>
                <w:spacing w:val="-2"/>
                <w:sz w:val="21"/>
              </w:rPr>
              <w:t>严重肠坏死</w:t>
            </w:r>
          </w:p>
        </w:tc>
        <w:tc>
          <w:tcPr>
            <w:tcW w:w="6656" w:type="dxa"/>
            <w:tcBorders>
              <w:right w:val="single" w:color="000000" w:sz="12" w:space="0"/>
            </w:tcBorders>
          </w:tcPr>
          <w:p>
            <w:pPr>
              <w:pStyle w:val="10"/>
              <w:spacing w:before="18" w:line="278" w:lineRule="auto"/>
              <w:ind w:right="73"/>
              <w:rPr>
                <w:sz w:val="21"/>
              </w:rPr>
            </w:pPr>
            <w:r>
              <w:rPr>
                <w:spacing w:val="-5"/>
                <w:sz w:val="21"/>
              </w:rPr>
              <w:t>因肠系膜上动脉栓塞或血栓形成引起广泛小肠缺血坏死，临床表现为突</w:t>
            </w:r>
            <w:r>
              <w:rPr>
                <w:spacing w:val="-2"/>
                <w:sz w:val="21"/>
              </w:rPr>
              <w:t>发剧烈腹痛。被保险人实际接受了下列两项外科开腹手术治疗：</w:t>
            </w:r>
          </w:p>
          <w:p>
            <w:pPr>
              <w:pStyle w:val="10"/>
              <w:numPr>
                <w:ilvl w:val="0"/>
                <w:numId w:val="86"/>
              </w:numPr>
              <w:tabs>
                <w:tab w:val="left" w:pos="637"/>
              </w:tabs>
              <w:spacing w:before="0" w:after="0" w:line="269" w:lineRule="exact"/>
              <w:ind w:left="636" w:right="0" w:hanging="530"/>
              <w:jc w:val="left"/>
              <w:rPr>
                <w:sz w:val="21"/>
              </w:rPr>
            </w:pPr>
            <w:r>
              <w:rPr>
                <w:spacing w:val="-2"/>
                <w:sz w:val="21"/>
              </w:rPr>
              <w:t>肠系膜上动脉血栓摘除术（血栓内膜剥脱术）</w:t>
            </w:r>
            <w:r>
              <w:rPr>
                <w:spacing w:val="-4"/>
                <w:sz w:val="21"/>
              </w:rPr>
              <w:t>或搭桥手术；</w:t>
            </w:r>
          </w:p>
          <w:p>
            <w:pPr>
              <w:pStyle w:val="10"/>
              <w:numPr>
                <w:ilvl w:val="0"/>
                <w:numId w:val="86"/>
              </w:numPr>
              <w:tabs>
                <w:tab w:val="left" w:pos="637"/>
              </w:tabs>
              <w:spacing w:before="43" w:after="0" w:line="240" w:lineRule="auto"/>
              <w:ind w:left="636" w:right="0" w:hanging="530"/>
              <w:jc w:val="left"/>
              <w:rPr>
                <w:sz w:val="21"/>
              </w:rPr>
            </w:pPr>
            <w:r>
              <w:rPr>
                <w:spacing w:val="-4"/>
                <w:sz w:val="21"/>
              </w:rPr>
              <w:t>坏死肠管切除术。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9" w:hRule="atLeast"/>
        </w:trPr>
        <w:tc>
          <w:tcPr>
            <w:tcW w:w="1090" w:type="dxa"/>
            <w:tcBorders>
              <w:left w:val="single" w:color="000000" w:sz="12" w:space="0"/>
            </w:tcBorders>
          </w:tcPr>
          <w:p>
            <w:pPr>
              <w:pStyle w:val="10"/>
              <w:ind w:left="323" w:right="294"/>
              <w:jc w:val="center"/>
              <w:rPr>
                <w:sz w:val="21"/>
              </w:rPr>
            </w:pPr>
            <w:r>
              <w:rPr>
                <w:spacing w:val="-5"/>
                <w:sz w:val="21"/>
              </w:rPr>
              <w:t>88</w:t>
            </w:r>
          </w:p>
        </w:tc>
        <w:tc>
          <w:tcPr>
            <w:tcW w:w="2194" w:type="dxa"/>
          </w:tcPr>
          <w:p>
            <w:pPr>
              <w:pStyle w:val="10"/>
              <w:spacing w:line="278" w:lineRule="auto"/>
              <w:ind w:left="119" w:right="82"/>
              <w:rPr>
                <w:sz w:val="21"/>
              </w:rPr>
            </w:pPr>
            <w:r>
              <w:rPr>
                <w:sz w:val="21"/>
              </w:rPr>
              <w:t>输血原因致人类免疫</w:t>
            </w:r>
            <w:r>
              <w:rPr>
                <w:spacing w:val="-4"/>
                <w:sz w:val="21"/>
              </w:rPr>
              <w:t>缺陷病毒（HIV）</w:t>
            </w:r>
            <w:r>
              <w:rPr>
                <w:spacing w:val="-7"/>
                <w:sz w:val="21"/>
              </w:rPr>
              <w:t>感染</w:t>
            </w:r>
          </w:p>
        </w:tc>
        <w:tc>
          <w:tcPr>
            <w:tcW w:w="6656" w:type="dxa"/>
            <w:tcBorders>
              <w:right w:val="single" w:color="000000" w:sz="12" w:space="0"/>
            </w:tcBorders>
          </w:tcPr>
          <w:p>
            <w:pPr>
              <w:pStyle w:val="10"/>
              <w:spacing w:line="278" w:lineRule="auto"/>
              <w:ind w:right="107"/>
              <w:rPr>
                <w:sz w:val="21"/>
              </w:rPr>
            </w:pPr>
            <w:r>
              <w:rPr>
                <w:spacing w:val="-2"/>
                <w:sz w:val="21"/>
              </w:rPr>
              <w:t>被保险人因输血感染上人类免疫缺陷病毒（HIV）并且满足下列所有条</w:t>
            </w:r>
            <w:r>
              <w:rPr>
                <w:spacing w:val="-6"/>
                <w:sz w:val="21"/>
              </w:rPr>
              <w:t>件：</w:t>
            </w:r>
          </w:p>
          <w:p>
            <w:pPr>
              <w:pStyle w:val="10"/>
              <w:numPr>
                <w:ilvl w:val="0"/>
                <w:numId w:val="87"/>
              </w:numPr>
              <w:tabs>
                <w:tab w:val="left" w:pos="637"/>
              </w:tabs>
              <w:spacing w:before="0" w:after="0" w:line="269" w:lineRule="exact"/>
              <w:ind w:left="636" w:right="0" w:hanging="530"/>
              <w:jc w:val="left"/>
              <w:rPr>
                <w:sz w:val="21"/>
              </w:rPr>
            </w:pPr>
            <w:r>
              <w:rPr>
                <w:spacing w:val="-4"/>
                <w:sz w:val="21"/>
              </w:rPr>
              <w:t>在保单起始日或复效日之后，被保险人因输血而感染 HIV；</w:t>
            </w:r>
          </w:p>
          <w:p>
            <w:pPr>
              <w:pStyle w:val="10"/>
              <w:numPr>
                <w:ilvl w:val="0"/>
                <w:numId w:val="87"/>
              </w:numPr>
              <w:tabs>
                <w:tab w:val="left" w:pos="637"/>
              </w:tabs>
              <w:spacing w:before="43" w:after="0" w:line="278" w:lineRule="auto"/>
              <w:ind w:left="107" w:right="107" w:firstLine="0"/>
              <w:jc w:val="left"/>
              <w:rPr>
                <w:sz w:val="21"/>
              </w:rPr>
            </w:pPr>
            <w:r>
              <w:rPr>
                <w:spacing w:val="-2"/>
                <w:sz w:val="21"/>
              </w:rPr>
              <w:t>提供输血治疗的输血中心或医院出具该项输血感染属医疗责任事故的报告，或者法院终审裁定为医疗责任；</w:t>
            </w:r>
          </w:p>
          <w:p>
            <w:pPr>
              <w:pStyle w:val="10"/>
              <w:numPr>
                <w:ilvl w:val="0"/>
                <w:numId w:val="87"/>
              </w:numPr>
              <w:tabs>
                <w:tab w:val="left" w:pos="637"/>
              </w:tabs>
              <w:spacing w:before="0" w:after="0" w:line="269" w:lineRule="exact"/>
              <w:ind w:left="636" w:right="0" w:hanging="530"/>
              <w:jc w:val="left"/>
              <w:rPr>
                <w:sz w:val="21"/>
              </w:rPr>
            </w:pPr>
            <w:r>
              <w:rPr>
                <w:spacing w:val="-3"/>
                <w:sz w:val="21"/>
              </w:rPr>
              <w:t>受感染的被保险人不是血友病患者。</w:t>
            </w:r>
          </w:p>
          <w:p>
            <w:pPr>
              <w:pStyle w:val="10"/>
              <w:spacing w:before="2" w:line="310" w:lineRule="atLeast"/>
              <w:ind w:right="-29"/>
              <w:rPr>
                <w:sz w:val="21"/>
              </w:rPr>
            </w:pPr>
            <w:r>
              <w:rPr>
                <w:rFonts w:ascii="黑体" w:eastAsia="黑体"/>
                <w:color w:val="000000"/>
                <w:sz w:val="21"/>
                <w:shd w:val="clear" w:color="auto" w:fill="D9D9D9"/>
              </w:rPr>
              <w:t>在任何治愈艾滋病（AIDS）</w:t>
            </w:r>
            <w:r>
              <w:rPr>
                <w:rFonts w:ascii="黑体" w:eastAsia="黑体"/>
                <w:color w:val="000000"/>
                <w:spacing w:val="-13"/>
                <w:sz w:val="21"/>
                <w:shd w:val="clear" w:color="auto" w:fill="D9D9D9"/>
              </w:rPr>
              <w:t xml:space="preserve">或阻止 </w:t>
            </w:r>
            <w:r>
              <w:rPr>
                <w:rFonts w:ascii="黑体" w:eastAsia="黑体"/>
                <w:color w:val="000000"/>
                <w:sz w:val="21"/>
                <w:shd w:val="clear" w:color="auto" w:fill="D9D9D9"/>
              </w:rPr>
              <w:t>HIV</w:t>
            </w:r>
            <w:r>
              <w:rPr>
                <w:rFonts w:ascii="黑体" w:eastAsia="黑体"/>
                <w:color w:val="000000"/>
                <w:spacing w:val="-8"/>
                <w:sz w:val="21"/>
                <w:shd w:val="clear" w:color="auto" w:fill="D9D9D9"/>
              </w:rPr>
              <w:t xml:space="preserve"> 病毒作用的疗法被发现以后，或</w:t>
            </w:r>
            <w:r>
              <w:rPr>
                <w:rFonts w:ascii="黑体" w:eastAsia="黑体"/>
                <w:color w:val="000000"/>
                <w:spacing w:val="80"/>
                <w:w w:val="150"/>
                <w:sz w:val="21"/>
                <w:shd w:val="clear" w:color="auto" w:fill="D9D9D9"/>
              </w:rPr>
              <w:t xml:space="preserve">                                   </w:t>
            </w:r>
            <w:r>
              <w:rPr>
                <w:rFonts w:ascii="黑体" w:eastAsia="黑体"/>
                <w:color w:val="000000"/>
                <w:spacing w:val="-14"/>
                <w:sz w:val="21"/>
                <w:shd w:val="clear" w:color="auto" w:fill="D9D9D9"/>
              </w:rPr>
              <w:t xml:space="preserve">能防止 </w:t>
            </w:r>
            <w:r>
              <w:rPr>
                <w:rFonts w:ascii="黑体" w:eastAsia="黑体"/>
                <w:color w:val="000000"/>
                <w:sz w:val="21"/>
                <w:shd w:val="clear" w:color="auto" w:fill="D9D9D9"/>
              </w:rPr>
              <w:t>AIDS</w:t>
            </w:r>
            <w:r>
              <w:rPr>
                <w:rFonts w:ascii="黑体" w:eastAsia="黑体"/>
                <w:color w:val="000000"/>
                <w:spacing w:val="-13"/>
                <w:sz w:val="21"/>
                <w:shd w:val="clear" w:color="auto" w:fill="D9D9D9"/>
              </w:rPr>
              <w:t xml:space="preserve"> 发生的医疗方法被研究出来以后，本保障将不再予以赔付。</w:t>
            </w:r>
            <w:r>
              <w:rPr>
                <w:rFonts w:ascii="黑体" w:eastAsia="黑体"/>
                <w:color w:val="000000"/>
                <w:sz w:val="21"/>
                <w:shd w:val="clear" w:color="auto" w:fill="D9D9D9"/>
              </w:rPr>
              <w:t>任何因其他传播方式（包括：性传播或静脉注射毒品）</w:t>
            </w:r>
            <w:r>
              <w:rPr>
                <w:rFonts w:ascii="黑体" w:eastAsia="黑体"/>
                <w:color w:val="000000"/>
                <w:spacing w:val="-12"/>
                <w:sz w:val="21"/>
                <w:shd w:val="clear" w:color="auto" w:fill="D9D9D9"/>
              </w:rPr>
              <w:t xml:space="preserve">导致的 </w:t>
            </w:r>
            <w:r>
              <w:rPr>
                <w:rFonts w:ascii="黑体" w:eastAsia="黑体"/>
                <w:color w:val="000000"/>
                <w:sz w:val="21"/>
                <w:shd w:val="clear" w:color="auto" w:fill="D9D9D9"/>
              </w:rPr>
              <w:t>HIV</w:t>
            </w:r>
            <w:r>
              <w:rPr>
                <w:rFonts w:ascii="黑体" w:eastAsia="黑体"/>
                <w:color w:val="000000"/>
                <w:spacing w:val="-18"/>
                <w:sz w:val="21"/>
                <w:shd w:val="clear" w:color="auto" w:fill="D9D9D9"/>
              </w:rPr>
              <w:t xml:space="preserve"> 感染</w:t>
            </w:r>
            <w:r>
              <w:rPr>
                <w:rFonts w:ascii="黑体" w:eastAsia="黑体"/>
                <w:color w:val="000000"/>
                <w:spacing w:val="-11"/>
                <w:sz w:val="21"/>
                <w:shd w:val="clear" w:color="auto" w:fill="D9D9D9"/>
              </w:rPr>
              <w:t>不在保障范围内。</w:t>
            </w:r>
            <w:r>
              <w:rPr>
                <w:color w:val="000000"/>
                <w:spacing w:val="-2"/>
                <w:sz w:val="21"/>
              </w:rPr>
              <w:t>本公司必须拥有获得使用被保险人的所有血液样本的</w:t>
            </w:r>
          </w:p>
        </w:tc>
      </w:tr>
    </w:tbl>
    <w:p>
      <w:pPr>
        <w:spacing w:after="0" w:line="310" w:lineRule="atLeast"/>
        <w:rPr>
          <w:sz w:val="21"/>
        </w:rPr>
        <w:sectPr>
          <w:type w:val="continuous"/>
          <w:pgSz w:w="11910" w:h="16840"/>
          <w:pgMar w:top="840" w:right="340" w:bottom="1414" w:left="800" w:header="0" w:footer="457" w:gutter="0"/>
          <w:cols w:space="720" w:num="1"/>
        </w:sectPr>
      </w:pPr>
    </w:p>
    <w:tbl>
      <w:tblPr>
        <w:tblStyle w:val="6"/>
        <w:tblW w:w="0" w:type="auto"/>
        <w:tblInd w:w="22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90"/>
        <w:gridCol w:w="2194"/>
        <w:gridCol w:w="66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090" w:type="dxa"/>
            <w:tcBorders>
              <w:left w:val="single" w:color="000000" w:sz="12" w:space="0"/>
            </w:tcBorders>
          </w:tcPr>
          <w:p>
            <w:pPr>
              <w:pStyle w:val="10"/>
              <w:spacing w:before="0"/>
              <w:ind w:left="0"/>
              <w:rPr>
                <w:rFonts w:ascii="Times New Roman"/>
                <w:sz w:val="20"/>
              </w:rPr>
            </w:pPr>
          </w:p>
        </w:tc>
        <w:tc>
          <w:tcPr>
            <w:tcW w:w="2194" w:type="dxa"/>
          </w:tcPr>
          <w:p>
            <w:pPr>
              <w:pStyle w:val="10"/>
              <w:spacing w:before="0"/>
              <w:ind w:left="0"/>
              <w:rPr>
                <w:rFonts w:ascii="Times New Roman"/>
                <w:sz w:val="20"/>
              </w:rPr>
            </w:pPr>
          </w:p>
        </w:tc>
        <w:tc>
          <w:tcPr>
            <w:tcW w:w="6656" w:type="dxa"/>
            <w:tcBorders>
              <w:right w:val="single" w:color="000000" w:sz="12" w:space="0"/>
            </w:tcBorders>
          </w:tcPr>
          <w:p>
            <w:pPr>
              <w:pStyle w:val="10"/>
              <w:rPr>
                <w:sz w:val="21"/>
              </w:rPr>
            </w:pPr>
            <w:r>
              <w:rPr>
                <w:spacing w:val="-3"/>
                <w:sz w:val="21"/>
              </w:rPr>
              <w:t>权利和能够对这些样本进行独立检验的权利。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07" w:hRule="atLeast"/>
        </w:trPr>
        <w:tc>
          <w:tcPr>
            <w:tcW w:w="1090" w:type="dxa"/>
            <w:tcBorders>
              <w:left w:val="single" w:color="000000" w:sz="12" w:space="0"/>
            </w:tcBorders>
          </w:tcPr>
          <w:p>
            <w:pPr>
              <w:pStyle w:val="10"/>
              <w:ind w:left="323" w:right="294"/>
              <w:jc w:val="center"/>
              <w:rPr>
                <w:sz w:val="21"/>
              </w:rPr>
            </w:pPr>
            <w:r>
              <w:rPr>
                <w:spacing w:val="-5"/>
                <w:sz w:val="21"/>
              </w:rPr>
              <w:t>89</w:t>
            </w:r>
          </w:p>
        </w:tc>
        <w:tc>
          <w:tcPr>
            <w:tcW w:w="2194" w:type="dxa"/>
          </w:tcPr>
          <w:p>
            <w:pPr>
              <w:pStyle w:val="10"/>
              <w:spacing w:line="278" w:lineRule="auto"/>
              <w:ind w:left="119" w:right="82"/>
              <w:rPr>
                <w:sz w:val="21"/>
              </w:rPr>
            </w:pPr>
            <w:r>
              <w:rPr>
                <w:sz w:val="21"/>
              </w:rPr>
              <w:t>器官移植致人类免疫</w:t>
            </w:r>
            <w:r>
              <w:rPr>
                <w:spacing w:val="-4"/>
                <w:sz w:val="21"/>
              </w:rPr>
              <w:t>缺陷病毒（HIV）</w:t>
            </w:r>
            <w:r>
              <w:rPr>
                <w:spacing w:val="-7"/>
                <w:sz w:val="21"/>
              </w:rPr>
              <w:t>感染</w:t>
            </w:r>
          </w:p>
        </w:tc>
        <w:tc>
          <w:tcPr>
            <w:tcW w:w="6656" w:type="dxa"/>
            <w:tcBorders>
              <w:right w:val="single" w:color="000000" w:sz="12" w:space="0"/>
            </w:tcBorders>
          </w:tcPr>
          <w:p>
            <w:pPr>
              <w:pStyle w:val="10"/>
              <w:spacing w:line="278" w:lineRule="auto"/>
              <w:ind w:right="104"/>
              <w:rPr>
                <w:sz w:val="21"/>
              </w:rPr>
            </w:pPr>
            <w:r>
              <w:rPr>
                <w:spacing w:val="-2"/>
                <w:sz w:val="21"/>
              </w:rPr>
              <w:t>被保险人因接受器官移植感染上人类免疫缺陷病毒（HIV）并且满足下列所有条件：</w:t>
            </w:r>
          </w:p>
          <w:p>
            <w:pPr>
              <w:pStyle w:val="10"/>
              <w:numPr>
                <w:ilvl w:val="0"/>
                <w:numId w:val="88"/>
              </w:numPr>
              <w:tabs>
                <w:tab w:val="left" w:pos="637"/>
              </w:tabs>
              <w:spacing w:before="0" w:after="0" w:line="278" w:lineRule="auto"/>
              <w:ind w:left="107" w:right="107" w:firstLine="0"/>
              <w:jc w:val="left"/>
              <w:rPr>
                <w:sz w:val="21"/>
              </w:rPr>
            </w:pPr>
            <w:r>
              <w:rPr>
                <w:spacing w:val="-2"/>
                <w:sz w:val="21"/>
              </w:rPr>
              <w:t>在保障起始日或复效日之后，被保险人接受器官移植，并因此感</w:t>
            </w:r>
            <w:r>
              <w:rPr>
                <w:spacing w:val="-21"/>
                <w:sz w:val="21"/>
              </w:rPr>
              <w:t xml:space="preserve">染 </w:t>
            </w:r>
            <w:r>
              <w:rPr>
                <w:sz w:val="21"/>
              </w:rPr>
              <w:t>HIV；</w:t>
            </w:r>
          </w:p>
          <w:p>
            <w:pPr>
              <w:pStyle w:val="10"/>
              <w:numPr>
                <w:ilvl w:val="0"/>
                <w:numId w:val="88"/>
              </w:numPr>
              <w:tabs>
                <w:tab w:val="left" w:pos="637"/>
              </w:tabs>
              <w:spacing w:before="0" w:after="0" w:line="269" w:lineRule="exact"/>
              <w:ind w:left="636" w:right="0" w:hanging="530"/>
              <w:jc w:val="left"/>
              <w:rPr>
                <w:sz w:val="21"/>
              </w:rPr>
            </w:pPr>
            <w:r>
              <w:rPr>
                <w:spacing w:val="-3"/>
                <w:sz w:val="21"/>
              </w:rPr>
              <w:t>实施器官移植的医院为三级医院;</w:t>
            </w:r>
          </w:p>
          <w:p>
            <w:pPr>
              <w:pStyle w:val="10"/>
              <w:numPr>
                <w:ilvl w:val="0"/>
                <w:numId w:val="88"/>
              </w:numPr>
              <w:tabs>
                <w:tab w:val="left" w:pos="637"/>
              </w:tabs>
              <w:spacing w:before="43" w:after="0" w:line="278" w:lineRule="auto"/>
              <w:ind w:left="107" w:right="107" w:firstLine="0"/>
              <w:jc w:val="left"/>
              <w:rPr>
                <w:sz w:val="21"/>
              </w:rPr>
            </w:pPr>
            <w:r>
              <w:rPr>
                <w:spacing w:val="-3"/>
                <w:sz w:val="21"/>
              </w:rPr>
              <w:t xml:space="preserve">实施移植医院出具具有法律效力的证明确认移植器官来自 </w:t>
            </w:r>
            <w:r>
              <w:rPr>
                <w:sz w:val="21"/>
              </w:rPr>
              <w:t>HIV</w:t>
            </w:r>
            <w:r>
              <w:rPr>
                <w:spacing w:val="-28"/>
                <w:sz w:val="21"/>
              </w:rPr>
              <w:t xml:space="preserve"> 感</w:t>
            </w:r>
            <w:r>
              <w:rPr>
                <w:spacing w:val="-4"/>
                <w:sz w:val="21"/>
              </w:rPr>
              <w:t>染者；</w:t>
            </w:r>
          </w:p>
          <w:p>
            <w:pPr>
              <w:pStyle w:val="10"/>
              <w:spacing w:before="0" w:line="269" w:lineRule="exact"/>
              <w:rPr>
                <w:rFonts w:ascii="黑体" w:eastAsia="黑体"/>
                <w:sz w:val="21"/>
              </w:rPr>
            </w:pPr>
            <w:r>
              <w:rPr>
                <w:rFonts w:ascii="黑体" w:eastAsia="黑体"/>
                <w:spacing w:val="-4"/>
                <w:sz w:val="21"/>
              </w:rPr>
              <w:t>在任何治愈艾滋病（AIDS）</w:t>
            </w:r>
            <w:r>
              <w:rPr>
                <w:rFonts w:ascii="黑体" w:eastAsia="黑体"/>
                <w:spacing w:val="-15"/>
                <w:sz w:val="21"/>
              </w:rPr>
              <w:t xml:space="preserve">或阻止 </w:t>
            </w:r>
            <w:r>
              <w:rPr>
                <w:rFonts w:ascii="黑体" w:eastAsia="黑体"/>
                <w:spacing w:val="-4"/>
                <w:sz w:val="21"/>
              </w:rPr>
              <w:t>HIV</w:t>
            </w:r>
            <w:r>
              <w:rPr>
                <w:rFonts w:ascii="黑体" w:eastAsia="黑体"/>
                <w:spacing w:val="-11"/>
                <w:sz w:val="21"/>
              </w:rPr>
              <w:t xml:space="preserve"> 病毒作用的疗法被发现以后，或</w:t>
            </w:r>
          </w:p>
          <w:p>
            <w:pPr>
              <w:pStyle w:val="10"/>
              <w:spacing w:before="43"/>
              <w:ind w:right="-29"/>
              <w:rPr>
                <w:rFonts w:ascii="黑体" w:eastAsia="黑体"/>
                <w:sz w:val="21"/>
              </w:rPr>
            </w:pPr>
            <w:r>
              <w:rPr>
                <w:rFonts w:ascii="黑体" w:eastAsia="黑体"/>
                <w:spacing w:val="-13"/>
                <w:sz w:val="21"/>
              </w:rPr>
              <w:t xml:space="preserve">能防止 </w:t>
            </w:r>
            <w:r>
              <w:rPr>
                <w:rFonts w:ascii="黑体" w:eastAsia="黑体"/>
                <w:spacing w:val="-2"/>
                <w:sz w:val="21"/>
              </w:rPr>
              <w:t>AIDS</w:t>
            </w:r>
            <w:r>
              <w:rPr>
                <w:rFonts w:ascii="黑体" w:eastAsia="黑体"/>
                <w:spacing w:val="-14"/>
                <w:sz w:val="21"/>
              </w:rPr>
              <w:t xml:space="preserve"> 发生的医疗方法被研究出来以后，本保障将不再予以赔付。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0" w:hRule="atLeast"/>
        </w:trPr>
        <w:tc>
          <w:tcPr>
            <w:tcW w:w="1090" w:type="dxa"/>
            <w:tcBorders>
              <w:left w:val="single" w:color="000000" w:sz="12" w:space="0"/>
            </w:tcBorders>
          </w:tcPr>
          <w:p>
            <w:pPr>
              <w:pStyle w:val="10"/>
              <w:ind w:left="323" w:right="294"/>
              <w:jc w:val="center"/>
              <w:rPr>
                <w:sz w:val="21"/>
              </w:rPr>
            </w:pPr>
            <w:r>
              <w:rPr>
                <w:spacing w:val="-5"/>
                <w:sz w:val="21"/>
              </w:rPr>
              <w:t>90</w:t>
            </w:r>
          </w:p>
        </w:tc>
        <w:tc>
          <w:tcPr>
            <w:tcW w:w="2194" w:type="dxa"/>
          </w:tcPr>
          <w:p>
            <w:pPr>
              <w:pStyle w:val="10"/>
              <w:ind w:left="119"/>
              <w:rPr>
                <w:sz w:val="21"/>
              </w:rPr>
            </w:pPr>
            <w:r>
              <w:rPr>
                <w:spacing w:val="-4"/>
                <w:sz w:val="21"/>
              </w:rPr>
              <w:t>危重手足口病</w:t>
            </w:r>
          </w:p>
        </w:tc>
        <w:tc>
          <w:tcPr>
            <w:tcW w:w="6656" w:type="dxa"/>
            <w:tcBorders>
              <w:right w:val="single" w:color="000000" w:sz="12" w:space="0"/>
            </w:tcBorders>
          </w:tcPr>
          <w:p>
            <w:pPr>
              <w:pStyle w:val="10"/>
              <w:spacing w:line="278" w:lineRule="auto"/>
              <w:ind w:right="-44"/>
              <w:rPr>
                <w:sz w:val="21"/>
              </w:rPr>
            </w:pPr>
            <w:r>
              <w:rPr>
                <w:spacing w:val="-2"/>
                <w:sz w:val="21"/>
              </w:rPr>
              <w:t>由肠道病毒引起的急性传染病，主要症状表现为手、足、口腔等部位的</w:t>
            </w:r>
            <w:r>
              <w:rPr>
                <w:spacing w:val="-16"/>
                <w:sz w:val="21"/>
              </w:rPr>
              <w:t>斑丘疹、疱疹。经我们认可的医疗机构的专科医生确诊为患有手足口病，</w:t>
            </w:r>
            <w:r>
              <w:rPr>
                <w:spacing w:val="-2"/>
                <w:sz w:val="21"/>
              </w:rPr>
              <w:t xml:space="preserve">并伴有下列三项中的任意一项并发症且接受了 </w:t>
            </w:r>
            <w:r>
              <w:rPr>
                <w:sz w:val="21"/>
              </w:rPr>
              <w:t>2</w:t>
            </w:r>
            <w:r>
              <w:rPr>
                <w:spacing w:val="-5"/>
                <w:sz w:val="21"/>
              </w:rPr>
              <w:t xml:space="preserve"> 周以上的住院治疗：</w:t>
            </w:r>
            <w:r>
              <w:rPr>
                <w:sz w:val="21"/>
              </w:rPr>
              <w:t xml:space="preserve"> </w:t>
            </w:r>
            <w:r>
              <w:rPr>
                <w:spacing w:val="-2"/>
                <w:sz w:val="21"/>
              </w:rPr>
              <w:t>1.</w:t>
            </w:r>
            <w:r>
              <w:rPr>
                <w:spacing w:val="-9"/>
                <w:sz w:val="21"/>
              </w:rPr>
              <w:t>有脑膜炎或脑炎并发症，且导致意识障碍或瘫痪的临床表现及实验室</w:t>
            </w:r>
            <w:r>
              <w:rPr>
                <w:spacing w:val="-2"/>
                <w:sz w:val="21"/>
              </w:rPr>
              <w:t>检查证据；</w:t>
            </w:r>
          </w:p>
          <w:p>
            <w:pPr>
              <w:pStyle w:val="10"/>
              <w:numPr>
                <w:ilvl w:val="0"/>
                <w:numId w:val="89"/>
              </w:numPr>
              <w:tabs>
                <w:tab w:val="left" w:pos="320"/>
              </w:tabs>
              <w:spacing w:before="0" w:after="0" w:line="278" w:lineRule="auto"/>
              <w:ind w:left="107" w:right="74" w:firstLine="0"/>
              <w:jc w:val="left"/>
              <w:rPr>
                <w:sz w:val="21"/>
              </w:rPr>
            </w:pPr>
            <w:r>
              <w:rPr>
                <w:spacing w:val="-9"/>
                <w:sz w:val="21"/>
              </w:rPr>
              <w:t>有肺炎或肺水肿并发症，且导致呼吸衰竭的临床表现及实验室检查证</w:t>
            </w:r>
            <w:r>
              <w:rPr>
                <w:spacing w:val="-6"/>
                <w:sz w:val="21"/>
              </w:rPr>
              <w:t>据；</w:t>
            </w:r>
          </w:p>
          <w:p>
            <w:pPr>
              <w:pStyle w:val="10"/>
              <w:numPr>
                <w:ilvl w:val="0"/>
                <w:numId w:val="89"/>
              </w:numPr>
              <w:tabs>
                <w:tab w:val="left" w:pos="320"/>
              </w:tabs>
              <w:spacing w:before="0" w:after="0" w:line="278" w:lineRule="auto"/>
              <w:ind w:left="107" w:right="73" w:firstLine="0"/>
              <w:jc w:val="left"/>
              <w:rPr>
                <w:sz w:val="21"/>
              </w:rPr>
            </w:pPr>
            <w:r>
              <w:rPr>
                <w:spacing w:val="-11"/>
                <w:sz w:val="21"/>
              </w:rPr>
              <w:t>有心肌炎并发症，且导致心脏扩大或心力衰竭的临床表现及实验室检</w:t>
            </w:r>
            <w:r>
              <w:rPr>
                <w:spacing w:val="-4"/>
                <w:sz w:val="21"/>
              </w:rPr>
              <w:t>查证。</w:t>
            </w:r>
          </w:p>
          <w:p>
            <w:pPr>
              <w:pStyle w:val="10"/>
              <w:spacing w:before="0" w:line="269" w:lineRule="exact"/>
              <w:rPr>
                <w:rFonts w:ascii="黑体" w:eastAsia="黑体"/>
                <w:sz w:val="21"/>
              </w:rPr>
            </w:pPr>
            <w:r>
              <w:rPr>
                <w:rFonts w:ascii="黑体" w:eastAsia="黑体"/>
                <w:color w:val="000000"/>
                <w:spacing w:val="-8"/>
                <w:sz w:val="21"/>
                <w:shd w:val="clear" w:color="auto" w:fill="D9D9D9"/>
              </w:rPr>
              <w:t xml:space="preserve">本疾病保障期至 </w:t>
            </w:r>
            <w:r>
              <w:rPr>
                <w:rFonts w:ascii="黑体" w:eastAsia="黑体"/>
                <w:color w:val="000000"/>
                <w:spacing w:val="-2"/>
                <w:sz w:val="21"/>
                <w:shd w:val="clear" w:color="auto" w:fill="D9D9D9"/>
              </w:rPr>
              <w:t>25</w:t>
            </w:r>
            <w:r>
              <w:rPr>
                <w:rFonts w:ascii="黑体" w:eastAsia="黑体"/>
                <w:color w:val="000000"/>
                <w:spacing w:val="-16"/>
                <w:sz w:val="21"/>
                <w:shd w:val="clear" w:color="auto" w:fill="D9D9D9"/>
              </w:rPr>
              <w:t xml:space="preserve"> 周岁。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5" w:hRule="atLeast"/>
        </w:trPr>
        <w:tc>
          <w:tcPr>
            <w:tcW w:w="1090" w:type="dxa"/>
            <w:tcBorders>
              <w:left w:val="single" w:color="000000" w:sz="12" w:space="0"/>
            </w:tcBorders>
          </w:tcPr>
          <w:p>
            <w:pPr>
              <w:pStyle w:val="10"/>
              <w:ind w:left="323" w:right="294"/>
              <w:jc w:val="center"/>
              <w:rPr>
                <w:sz w:val="21"/>
              </w:rPr>
            </w:pPr>
            <w:r>
              <w:rPr>
                <w:spacing w:val="-5"/>
                <w:sz w:val="21"/>
              </w:rPr>
              <w:t>91</w:t>
            </w:r>
          </w:p>
        </w:tc>
        <w:tc>
          <w:tcPr>
            <w:tcW w:w="2194" w:type="dxa"/>
          </w:tcPr>
          <w:p>
            <w:pPr>
              <w:pStyle w:val="10"/>
              <w:ind w:left="119"/>
              <w:rPr>
                <w:sz w:val="21"/>
              </w:rPr>
            </w:pPr>
            <w:r>
              <w:rPr>
                <w:spacing w:val="-4"/>
                <w:sz w:val="21"/>
              </w:rPr>
              <w:t>脑型疟疾后遗症</w:t>
            </w:r>
          </w:p>
        </w:tc>
        <w:tc>
          <w:tcPr>
            <w:tcW w:w="6656" w:type="dxa"/>
            <w:tcBorders>
              <w:right w:val="single" w:color="000000" w:sz="12" w:space="0"/>
            </w:tcBorders>
          </w:tcPr>
          <w:p>
            <w:pPr>
              <w:pStyle w:val="10"/>
              <w:spacing w:line="278" w:lineRule="auto"/>
              <w:ind w:right="1"/>
              <w:rPr>
                <w:sz w:val="21"/>
              </w:rPr>
            </w:pPr>
            <w:r>
              <w:rPr>
                <w:spacing w:val="-2"/>
                <w:sz w:val="21"/>
              </w:rPr>
              <w:t xml:space="preserve">脑型疟疾是指由于疟原虫导致的中枢神经系统感染，临床表现有高热、昏迷、痫性发作、行为异常、瘫痪、失语、听力受损、视力障碍。被保险人被明确诊断为脑型疟疾，在诊断 </w:t>
            </w:r>
            <w:r>
              <w:rPr>
                <w:sz w:val="21"/>
              </w:rPr>
              <w:t>180</w:t>
            </w:r>
            <w:r>
              <w:rPr>
                <w:spacing w:val="-5"/>
                <w:sz w:val="21"/>
              </w:rPr>
              <w:t xml:space="preserve"> 天后仍然遗留神经系统后遗</w:t>
            </w:r>
            <w:r>
              <w:rPr>
                <w:sz w:val="21"/>
              </w:rPr>
              <w:t xml:space="preserve"> </w:t>
            </w:r>
            <w:r>
              <w:rPr>
                <w:spacing w:val="-2"/>
                <w:sz w:val="21"/>
              </w:rPr>
              <w:t>症。必须满足下列所有条件之一：</w:t>
            </w:r>
          </w:p>
          <w:p>
            <w:pPr>
              <w:pStyle w:val="10"/>
              <w:numPr>
                <w:ilvl w:val="0"/>
                <w:numId w:val="90"/>
              </w:numPr>
              <w:tabs>
                <w:tab w:val="left" w:pos="637"/>
              </w:tabs>
              <w:spacing w:before="0" w:after="0" w:line="269" w:lineRule="exact"/>
              <w:ind w:left="636" w:right="0" w:hanging="530"/>
              <w:jc w:val="left"/>
              <w:rPr>
                <w:sz w:val="21"/>
              </w:rPr>
            </w:pPr>
            <w:r>
              <w:rPr>
                <w:spacing w:val="-2"/>
                <w:sz w:val="21"/>
              </w:rPr>
              <w:t>一肢（含）</w:t>
            </w:r>
            <w:r>
              <w:rPr>
                <w:spacing w:val="-9"/>
                <w:sz w:val="21"/>
              </w:rPr>
              <w:t xml:space="preserve">以上肢体肌力 </w:t>
            </w:r>
            <w:r>
              <w:rPr>
                <w:spacing w:val="-2"/>
                <w:sz w:val="21"/>
              </w:rPr>
              <w:t>3</w:t>
            </w:r>
            <w:r>
              <w:rPr>
                <w:spacing w:val="-26"/>
                <w:sz w:val="21"/>
              </w:rPr>
              <w:t xml:space="preserve"> 级</w:t>
            </w:r>
            <w:r>
              <w:rPr>
                <w:spacing w:val="-2"/>
                <w:sz w:val="21"/>
              </w:rPr>
              <w:t>（含）</w:t>
            </w:r>
            <w:r>
              <w:rPr>
                <w:spacing w:val="-5"/>
                <w:sz w:val="21"/>
              </w:rPr>
              <w:t>以下；</w:t>
            </w:r>
          </w:p>
          <w:p>
            <w:pPr>
              <w:pStyle w:val="10"/>
              <w:numPr>
                <w:ilvl w:val="0"/>
                <w:numId w:val="90"/>
              </w:numPr>
              <w:tabs>
                <w:tab w:val="left" w:pos="637"/>
              </w:tabs>
              <w:spacing w:before="43" w:after="0" w:line="278" w:lineRule="auto"/>
              <w:ind w:left="107" w:right="75" w:firstLine="0"/>
              <w:jc w:val="left"/>
              <w:rPr>
                <w:sz w:val="21"/>
              </w:rPr>
            </w:pPr>
            <w:r>
              <w:rPr>
                <w:spacing w:val="-8"/>
                <w:sz w:val="21"/>
              </w:rPr>
              <w:t xml:space="preserve">听力障碍，双耳听力在 </w:t>
            </w:r>
            <w:r>
              <w:rPr>
                <w:spacing w:val="-4"/>
                <w:sz w:val="21"/>
              </w:rPr>
              <w:t>500</w:t>
            </w:r>
            <w:r>
              <w:rPr>
                <w:spacing w:val="-16"/>
                <w:sz w:val="21"/>
              </w:rPr>
              <w:t xml:space="preserve"> 赫兹、</w:t>
            </w:r>
            <w:r>
              <w:rPr>
                <w:spacing w:val="-4"/>
                <w:sz w:val="21"/>
              </w:rPr>
              <w:t>1000</w:t>
            </w:r>
            <w:r>
              <w:rPr>
                <w:spacing w:val="-15"/>
                <w:sz w:val="21"/>
              </w:rPr>
              <w:t xml:space="preserve"> 赫兹、</w:t>
            </w:r>
            <w:r>
              <w:rPr>
                <w:spacing w:val="-4"/>
                <w:sz w:val="21"/>
              </w:rPr>
              <w:t>2000</w:t>
            </w:r>
            <w:r>
              <w:rPr>
                <w:spacing w:val="-11"/>
                <w:sz w:val="21"/>
              </w:rPr>
              <w:t xml:space="preserve"> 赫兹语音频率</w:t>
            </w:r>
            <w:r>
              <w:rPr>
                <w:spacing w:val="-5"/>
                <w:sz w:val="21"/>
              </w:rPr>
              <w:t xml:space="preserve">下平均听阈大于等于 </w:t>
            </w:r>
            <w:r>
              <w:rPr>
                <w:sz w:val="21"/>
              </w:rPr>
              <w:t>70（含）分贝；</w:t>
            </w:r>
          </w:p>
          <w:p>
            <w:pPr>
              <w:pStyle w:val="10"/>
              <w:numPr>
                <w:ilvl w:val="0"/>
                <w:numId w:val="90"/>
              </w:numPr>
              <w:tabs>
                <w:tab w:val="left" w:pos="637"/>
              </w:tabs>
              <w:spacing w:before="0" w:after="0" w:line="269" w:lineRule="exact"/>
              <w:ind w:left="636" w:right="0" w:hanging="530"/>
              <w:jc w:val="left"/>
              <w:rPr>
                <w:sz w:val="21"/>
              </w:rPr>
            </w:pPr>
            <w:r>
              <w:rPr>
                <w:spacing w:val="-3"/>
                <w:sz w:val="21"/>
              </w:rPr>
              <w:t>语言能力完全丧失。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1" w:hRule="atLeast"/>
        </w:trPr>
        <w:tc>
          <w:tcPr>
            <w:tcW w:w="1090" w:type="dxa"/>
            <w:tcBorders>
              <w:left w:val="single" w:color="000000" w:sz="12" w:space="0"/>
            </w:tcBorders>
          </w:tcPr>
          <w:p>
            <w:pPr>
              <w:pStyle w:val="10"/>
              <w:ind w:left="323" w:right="294"/>
              <w:jc w:val="center"/>
              <w:rPr>
                <w:sz w:val="21"/>
              </w:rPr>
            </w:pPr>
            <w:r>
              <w:rPr>
                <w:spacing w:val="-5"/>
                <w:sz w:val="21"/>
              </w:rPr>
              <w:t>92</w:t>
            </w:r>
          </w:p>
        </w:tc>
        <w:tc>
          <w:tcPr>
            <w:tcW w:w="2194" w:type="dxa"/>
          </w:tcPr>
          <w:p>
            <w:pPr>
              <w:pStyle w:val="10"/>
              <w:ind w:left="119"/>
              <w:rPr>
                <w:sz w:val="21"/>
              </w:rPr>
            </w:pPr>
            <w:r>
              <w:rPr>
                <w:spacing w:val="-4"/>
                <w:sz w:val="21"/>
              </w:rPr>
              <w:t>成人范可尼综合征</w:t>
            </w:r>
          </w:p>
        </w:tc>
        <w:tc>
          <w:tcPr>
            <w:tcW w:w="6656" w:type="dxa"/>
            <w:tcBorders>
              <w:right w:val="single" w:color="000000" w:sz="12" w:space="0"/>
            </w:tcBorders>
          </w:tcPr>
          <w:p>
            <w:pPr>
              <w:pStyle w:val="10"/>
              <w:spacing w:line="278" w:lineRule="auto"/>
              <w:ind w:right="73"/>
              <w:jc w:val="both"/>
              <w:rPr>
                <w:sz w:val="21"/>
              </w:rPr>
            </w:pPr>
            <w:r>
              <w:rPr>
                <w:spacing w:val="-2"/>
                <w:sz w:val="21"/>
              </w:rPr>
              <w:t>范可尼综合征又称骨软化-肾性糖尿-氨基酸尿-高磷酸尿综合征，为罕</w:t>
            </w:r>
            <w:r>
              <w:rPr>
                <w:spacing w:val="-4"/>
                <w:sz w:val="21"/>
              </w:rPr>
              <w:t>见肾小管功能损害性疾病。主要临床特点为尿异常、骨软化和肾功能衰</w:t>
            </w:r>
            <w:r>
              <w:rPr>
                <w:spacing w:val="-2"/>
                <w:sz w:val="21"/>
              </w:rPr>
              <w:t>竭。必须满足下列所有条件：</w:t>
            </w:r>
          </w:p>
          <w:p>
            <w:pPr>
              <w:pStyle w:val="10"/>
              <w:numPr>
                <w:ilvl w:val="0"/>
                <w:numId w:val="91"/>
              </w:numPr>
              <w:tabs>
                <w:tab w:val="left" w:pos="637"/>
              </w:tabs>
              <w:spacing w:before="0" w:after="0" w:line="269" w:lineRule="exact"/>
              <w:ind w:left="636" w:right="0" w:hanging="530"/>
              <w:jc w:val="both"/>
              <w:rPr>
                <w:sz w:val="21"/>
              </w:rPr>
            </w:pPr>
            <w:r>
              <w:rPr>
                <w:spacing w:val="-5"/>
                <w:sz w:val="21"/>
              </w:rPr>
              <w:t xml:space="preserve">无家族史，发病和诊断时年龄大于 </w:t>
            </w:r>
            <w:r>
              <w:rPr>
                <w:spacing w:val="-2"/>
                <w:sz w:val="21"/>
              </w:rPr>
              <w:t>18</w:t>
            </w:r>
            <w:r>
              <w:rPr>
                <w:spacing w:val="-16"/>
                <w:sz w:val="21"/>
              </w:rPr>
              <w:t xml:space="preserve"> 周岁；</w:t>
            </w:r>
          </w:p>
          <w:p>
            <w:pPr>
              <w:pStyle w:val="10"/>
              <w:numPr>
                <w:ilvl w:val="0"/>
                <w:numId w:val="91"/>
              </w:numPr>
              <w:tabs>
                <w:tab w:val="left" w:pos="637"/>
              </w:tabs>
              <w:spacing w:before="43" w:after="0" w:line="240" w:lineRule="auto"/>
              <w:ind w:left="636" w:right="0" w:hanging="530"/>
              <w:jc w:val="left"/>
              <w:rPr>
                <w:sz w:val="21"/>
              </w:rPr>
            </w:pPr>
            <w:r>
              <w:rPr>
                <w:spacing w:val="-4"/>
                <w:sz w:val="21"/>
              </w:rPr>
              <w:t>肾性骨病；</w:t>
            </w:r>
          </w:p>
          <w:p>
            <w:pPr>
              <w:pStyle w:val="10"/>
              <w:numPr>
                <w:ilvl w:val="0"/>
                <w:numId w:val="91"/>
              </w:numPr>
              <w:tabs>
                <w:tab w:val="left" w:pos="637"/>
              </w:tabs>
              <w:spacing w:before="43" w:after="0" w:line="240" w:lineRule="auto"/>
              <w:ind w:left="636" w:right="0" w:hanging="530"/>
              <w:jc w:val="left"/>
              <w:rPr>
                <w:sz w:val="21"/>
              </w:rPr>
            </w:pPr>
            <w:r>
              <w:rPr>
                <w:spacing w:val="-2"/>
                <w:sz w:val="21"/>
              </w:rPr>
              <w:t>尿毒症，血肌酐&gt;5mg/dl</w:t>
            </w:r>
            <w:r>
              <w:rPr>
                <w:spacing w:val="-29"/>
                <w:sz w:val="21"/>
              </w:rPr>
              <w:t xml:space="preserve"> 或 </w:t>
            </w:r>
            <w:r>
              <w:rPr>
                <w:spacing w:val="-2"/>
                <w:sz w:val="21"/>
              </w:rPr>
              <w:t>442umol/L</w:t>
            </w:r>
            <w:r>
              <w:rPr>
                <w:spacing w:val="-10"/>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50" w:hRule="atLeast"/>
        </w:trPr>
        <w:tc>
          <w:tcPr>
            <w:tcW w:w="1090" w:type="dxa"/>
            <w:tcBorders>
              <w:left w:val="single" w:color="000000" w:sz="12" w:space="0"/>
            </w:tcBorders>
          </w:tcPr>
          <w:p>
            <w:pPr>
              <w:pStyle w:val="10"/>
              <w:spacing w:before="18"/>
              <w:ind w:left="323" w:right="294"/>
              <w:jc w:val="center"/>
              <w:rPr>
                <w:sz w:val="21"/>
              </w:rPr>
            </w:pPr>
            <w:r>
              <w:rPr>
                <w:spacing w:val="-5"/>
                <w:sz w:val="21"/>
              </w:rPr>
              <w:t>93</w:t>
            </w:r>
          </w:p>
        </w:tc>
        <w:tc>
          <w:tcPr>
            <w:tcW w:w="2194" w:type="dxa"/>
          </w:tcPr>
          <w:p>
            <w:pPr>
              <w:pStyle w:val="10"/>
              <w:spacing w:before="18"/>
              <w:ind w:left="119"/>
              <w:rPr>
                <w:sz w:val="21"/>
              </w:rPr>
            </w:pPr>
            <w:r>
              <w:rPr>
                <w:spacing w:val="-4"/>
                <w:sz w:val="21"/>
              </w:rPr>
              <w:t>皮质基底节变性</w:t>
            </w:r>
          </w:p>
        </w:tc>
        <w:tc>
          <w:tcPr>
            <w:tcW w:w="6656" w:type="dxa"/>
            <w:tcBorders>
              <w:right w:val="single" w:color="000000" w:sz="12" w:space="0"/>
            </w:tcBorders>
          </w:tcPr>
          <w:p>
            <w:pPr>
              <w:pStyle w:val="10"/>
              <w:spacing w:before="18" w:line="278" w:lineRule="auto"/>
              <w:ind w:right="73"/>
              <w:jc w:val="both"/>
              <w:rPr>
                <w:sz w:val="21"/>
              </w:rPr>
            </w:pPr>
            <w:r>
              <w:rPr>
                <w:spacing w:val="-5"/>
                <w:sz w:val="21"/>
              </w:rPr>
              <w:t>皮质基底节变形是一种进行性大脑基底节神经核团变性性疾病，神经细</w:t>
            </w:r>
            <w:r>
              <w:rPr>
                <w:spacing w:val="-4"/>
                <w:sz w:val="21"/>
              </w:rPr>
              <w:t>胞丢失的神经系统疾病。临床表现为进行性加重的帕金森综合征、认知</w:t>
            </w:r>
            <w:r>
              <w:rPr>
                <w:spacing w:val="-5"/>
                <w:sz w:val="21"/>
              </w:rPr>
              <w:t>障碍、语言障碍等。被保险人自主生活能力完全丧失，无法独立完成六</w:t>
            </w:r>
          </w:p>
          <w:p>
            <w:pPr>
              <w:pStyle w:val="10"/>
              <w:spacing w:before="1"/>
              <w:rPr>
                <w:sz w:val="21"/>
              </w:rPr>
            </w:pPr>
            <w:r>
              <w:rPr>
                <w:spacing w:val="-3"/>
                <w:sz w:val="21"/>
              </w:rPr>
              <w:t>项基本日常生活活动中的三项或三项以上。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1090" w:type="dxa"/>
            <w:tcBorders>
              <w:left w:val="single" w:color="000000" w:sz="12" w:space="0"/>
            </w:tcBorders>
          </w:tcPr>
          <w:p>
            <w:pPr>
              <w:pStyle w:val="10"/>
              <w:ind w:left="323" w:right="294"/>
              <w:jc w:val="center"/>
              <w:rPr>
                <w:sz w:val="21"/>
              </w:rPr>
            </w:pPr>
            <w:r>
              <w:rPr>
                <w:spacing w:val="-5"/>
                <w:sz w:val="21"/>
              </w:rPr>
              <w:t>94</w:t>
            </w:r>
          </w:p>
        </w:tc>
        <w:tc>
          <w:tcPr>
            <w:tcW w:w="2194" w:type="dxa"/>
          </w:tcPr>
          <w:p>
            <w:pPr>
              <w:pStyle w:val="10"/>
              <w:ind w:left="119"/>
              <w:rPr>
                <w:sz w:val="21"/>
              </w:rPr>
            </w:pPr>
            <w:r>
              <w:rPr>
                <w:spacing w:val="-4"/>
                <w:sz w:val="21"/>
              </w:rPr>
              <w:t>大面积植皮手术</w:t>
            </w:r>
          </w:p>
        </w:tc>
        <w:tc>
          <w:tcPr>
            <w:tcW w:w="6656" w:type="dxa"/>
            <w:tcBorders>
              <w:right w:val="single" w:color="000000" w:sz="12" w:space="0"/>
            </w:tcBorders>
          </w:tcPr>
          <w:p>
            <w:pPr>
              <w:pStyle w:val="10"/>
              <w:rPr>
                <w:sz w:val="21"/>
              </w:rPr>
            </w:pPr>
            <w:r>
              <w:rPr>
                <w:spacing w:val="-6"/>
                <w:sz w:val="21"/>
              </w:rPr>
              <w:t>指为修复皮肤与其下的组织缺损所进行的皮肤移植手术，要求皮肤移植</w:t>
            </w:r>
          </w:p>
          <w:p>
            <w:pPr>
              <w:pStyle w:val="10"/>
              <w:spacing w:before="2" w:line="310" w:lineRule="atLeast"/>
              <w:ind w:right="107"/>
              <w:rPr>
                <w:sz w:val="21"/>
              </w:rPr>
            </w:pPr>
            <w:r>
              <w:rPr>
                <w:spacing w:val="-5"/>
                <w:sz w:val="21"/>
              </w:rPr>
              <w:t xml:space="preserve">的面积达到全身体表面积的 </w:t>
            </w:r>
            <w:r>
              <w:rPr>
                <w:sz w:val="21"/>
              </w:rPr>
              <w:t>30</w:t>
            </w:r>
            <w:r>
              <w:rPr>
                <w:spacing w:val="-18"/>
                <w:sz w:val="21"/>
              </w:rPr>
              <w:t xml:space="preserve">%或 </w:t>
            </w:r>
            <w:r>
              <w:rPr>
                <w:sz w:val="21"/>
              </w:rPr>
              <w:t>30%以上。体表面积根据《中国新九</w:t>
            </w:r>
            <w:r>
              <w:rPr>
                <w:spacing w:val="-2"/>
                <w:sz w:val="21"/>
              </w:rPr>
              <w:t>分法》计算。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9" w:hRule="atLeast"/>
        </w:trPr>
        <w:tc>
          <w:tcPr>
            <w:tcW w:w="1090" w:type="dxa"/>
            <w:tcBorders>
              <w:left w:val="single" w:color="000000" w:sz="12" w:space="0"/>
            </w:tcBorders>
          </w:tcPr>
          <w:p>
            <w:pPr>
              <w:pStyle w:val="10"/>
              <w:ind w:left="323" w:right="294"/>
              <w:jc w:val="center"/>
              <w:rPr>
                <w:sz w:val="21"/>
              </w:rPr>
            </w:pPr>
            <w:r>
              <w:rPr>
                <w:spacing w:val="-5"/>
                <w:sz w:val="21"/>
              </w:rPr>
              <w:t>95</w:t>
            </w:r>
          </w:p>
        </w:tc>
        <w:tc>
          <w:tcPr>
            <w:tcW w:w="2194" w:type="dxa"/>
          </w:tcPr>
          <w:p>
            <w:pPr>
              <w:pStyle w:val="10"/>
              <w:spacing w:line="278" w:lineRule="auto"/>
              <w:ind w:left="119" w:right="82"/>
              <w:rPr>
                <w:sz w:val="21"/>
              </w:rPr>
            </w:pPr>
            <w:r>
              <w:rPr>
                <w:sz w:val="21"/>
              </w:rPr>
              <w:t>严重面容毁损颜面移</w:t>
            </w:r>
            <w:r>
              <w:rPr>
                <w:spacing w:val="-4"/>
                <w:sz w:val="21"/>
              </w:rPr>
              <w:t>植手术</w:t>
            </w:r>
          </w:p>
        </w:tc>
        <w:tc>
          <w:tcPr>
            <w:tcW w:w="6656" w:type="dxa"/>
            <w:tcBorders>
              <w:right w:val="single" w:color="000000" w:sz="12" w:space="0"/>
            </w:tcBorders>
          </w:tcPr>
          <w:p>
            <w:pPr>
              <w:pStyle w:val="10"/>
              <w:spacing w:line="278" w:lineRule="auto"/>
              <w:ind w:right="73"/>
              <w:rPr>
                <w:sz w:val="21"/>
              </w:rPr>
            </w:pPr>
            <w:r>
              <w:rPr>
                <w:spacing w:val="-8"/>
                <w:w w:val="100"/>
                <w:sz w:val="21"/>
              </w:rPr>
              <w:t>因意外伤害造成严重面容毁损，面部器官、肌肉、神经、血管大面积损</w:t>
            </w:r>
            <w:r>
              <w:rPr>
                <w:spacing w:val="-11"/>
                <w:w w:val="100"/>
                <w:sz w:val="21"/>
              </w:rPr>
              <w:t>伤或缺失，导致面部多器官功能严重损害。为了重建面部神经肌肉功能</w:t>
            </w:r>
            <w:r>
              <w:rPr>
                <w:spacing w:val="-6"/>
                <w:w w:val="100"/>
                <w:sz w:val="21"/>
              </w:rPr>
              <w:t>和恢复面部器官生理功能，被保险人实际接受了同种异体颜面移植手</w:t>
            </w:r>
            <w:r>
              <w:rPr>
                <w:spacing w:val="-4"/>
                <w:w w:val="100"/>
                <w:sz w:val="21"/>
              </w:rPr>
              <w:t>术，包括部分颜面移植和全颜面移植。必须满足下列所有条件：</w:t>
            </w:r>
          </w:p>
          <w:p>
            <w:pPr>
              <w:pStyle w:val="10"/>
              <w:spacing w:before="0" w:line="269" w:lineRule="exact"/>
              <w:rPr>
                <w:sz w:val="21"/>
              </w:rPr>
            </w:pPr>
            <w:r>
              <w:rPr>
                <w:spacing w:val="-2"/>
                <w:sz w:val="21"/>
              </w:rPr>
              <w:t>（1）</w:t>
            </w:r>
            <w:r>
              <w:rPr>
                <w:spacing w:val="-3"/>
                <w:sz w:val="21"/>
              </w:rPr>
              <w:t>导致需要进行颜面移植的以外事件必须发生在保单生效之后；</w:t>
            </w:r>
          </w:p>
        </w:tc>
      </w:tr>
    </w:tbl>
    <w:p>
      <w:pPr>
        <w:rPr>
          <w:sz w:val="2"/>
          <w:szCs w:val="2"/>
        </w:rPr>
      </w:pPr>
      <w:r>
        <w:drawing>
          <wp:anchor distT="0" distB="0" distL="0" distR="0" simplePos="0" relativeHeight="251668480" behindDoc="1" locked="0" layoutInCell="1" allowOverlap="1">
            <wp:simplePos x="0" y="0"/>
            <wp:positionH relativeFrom="page">
              <wp:posOffset>2792095</wp:posOffset>
            </wp:positionH>
            <wp:positionV relativeFrom="page">
              <wp:posOffset>2150110</wp:posOffset>
            </wp:positionV>
            <wp:extent cx="4053205" cy="368935"/>
            <wp:effectExtent l="0" t="0" r="0" b="0"/>
            <wp:wrapNone/>
            <wp:docPr id="29"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8.png"/>
                    <pic:cNvPicPr>
                      <a:picLocks noChangeAspect="1"/>
                    </pic:cNvPicPr>
                  </pic:nvPicPr>
                  <pic:blipFill>
                    <a:blip r:embed="rId14" cstate="print"/>
                    <a:stretch>
                      <a:fillRect/>
                    </a:stretch>
                  </pic:blipFill>
                  <pic:spPr>
                    <a:xfrm>
                      <a:off x="0" y="0"/>
                      <a:ext cx="4053447" cy="368712"/>
                    </a:xfrm>
                    <a:prstGeom prst="rect">
                      <a:avLst/>
                    </a:prstGeom>
                  </pic:spPr>
                </pic:pic>
              </a:graphicData>
            </a:graphic>
          </wp:anchor>
        </w:drawing>
      </w:r>
    </w:p>
    <w:p>
      <w:pPr>
        <w:spacing w:after="0"/>
        <w:rPr>
          <w:sz w:val="2"/>
          <w:szCs w:val="2"/>
        </w:rPr>
        <w:sectPr>
          <w:type w:val="continuous"/>
          <w:pgSz w:w="11910" w:h="16840"/>
          <w:pgMar w:top="840" w:right="340" w:bottom="640" w:left="800" w:header="0" w:footer="457" w:gutter="0"/>
          <w:cols w:space="720" w:num="1"/>
        </w:sectPr>
      </w:pPr>
    </w:p>
    <w:tbl>
      <w:tblPr>
        <w:tblStyle w:val="6"/>
        <w:tblW w:w="0" w:type="auto"/>
        <w:tblInd w:w="22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90"/>
        <w:gridCol w:w="2194"/>
        <w:gridCol w:w="66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84" w:hRule="atLeast"/>
        </w:trPr>
        <w:tc>
          <w:tcPr>
            <w:tcW w:w="1090" w:type="dxa"/>
            <w:tcBorders>
              <w:left w:val="single" w:color="000000" w:sz="12" w:space="0"/>
            </w:tcBorders>
          </w:tcPr>
          <w:p>
            <w:pPr>
              <w:pStyle w:val="10"/>
              <w:spacing w:before="0"/>
              <w:ind w:left="0"/>
              <w:rPr>
                <w:rFonts w:ascii="Times New Roman"/>
                <w:sz w:val="20"/>
              </w:rPr>
            </w:pPr>
          </w:p>
        </w:tc>
        <w:tc>
          <w:tcPr>
            <w:tcW w:w="2194" w:type="dxa"/>
          </w:tcPr>
          <w:p>
            <w:pPr>
              <w:pStyle w:val="10"/>
              <w:spacing w:before="0"/>
              <w:ind w:left="0"/>
              <w:rPr>
                <w:rFonts w:ascii="Times New Roman"/>
                <w:sz w:val="20"/>
              </w:rPr>
            </w:pPr>
          </w:p>
        </w:tc>
        <w:tc>
          <w:tcPr>
            <w:tcW w:w="6656" w:type="dxa"/>
            <w:tcBorders>
              <w:right w:val="single" w:color="000000" w:sz="12" w:space="0"/>
            </w:tcBorders>
          </w:tcPr>
          <w:p>
            <w:pPr>
              <w:pStyle w:val="10"/>
              <w:numPr>
                <w:ilvl w:val="0"/>
                <w:numId w:val="92"/>
              </w:numPr>
              <w:tabs>
                <w:tab w:val="left" w:pos="637"/>
              </w:tabs>
              <w:spacing w:before="16" w:after="0" w:line="278" w:lineRule="auto"/>
              <w:ind w:left="107" w:right="107" w:firstLine="0"/>
              <w:jc w:val="left"/>
              <w:rPr>
                <w:sz w:val="21"/>
              </w:rPr>
            </w:pPr>
            <w:r>
              <w:rPr>
                <w:spacing w:val="-2"/>
                <w:sz w:val="21"/>
              </w:rPr>
              <w:t>移植物必须是来自同种异体捐献者颜面部的完整复合组织（含血管和神经的皮肤、肌肉及器官</w:t>
            </w:r>
            <w:r>
              <w:rPr>
                <w:spacing w:val="-108"/>
                <w:sz w:val="21"/>
              </w:rPr>
              <w:t>）</w:t>
            </w:r>
            <w:r>
              <w:rPr>
                <w:sz w:val="21"/>
              </w:rPr>
              <w:t>；</w:t>
            </w:r>
          </w:p>
          <w:p>
            <w:pPr>
              <w:pStyle w:val="10"/>
              <w:numPr>
                <w:ilvl w:val="0"/>
                <w:numId w:val="92"/>
              </w:numPr>
              <w:tabs>
                <w:tab w:val="left" w:pos="637"/>
              </w:tabs>
              <w:spacing w:before="0" w:after="0" w:line="278" w:lineRule="auto"/>
              <w:ind w:left="107" w:right="107" w:firstLine="0"/>
              <w:jc w:val="left"/>
              <w:rPr>
                <w:sz w:val="21"/>
              </w:rPr>
            </w:pPr>
            <w:r>
              <w:rPr>
                <w:spacing w:val="-2"/>
                <w:sz w:val="21"/>
              </w:rPr>
              <w:t>实施颜面移植手术的医师及其所在医疗机构和必须符合《颜面同种异体器官移植技术管理规范》的资质要求。</w:t>
            </w:r>
          </w:p>
          <w:p>
            <w:pPr>
              <w:pStyle w:val="10"/>
              <w:spacing w:before="0"/>
              <w:rPr>
                <w:rFonts w:ascii="黑体" w:eastAsia="黑体"/>
                <w:sz w:val="21"/>
              </w:rPr>
            </w:pPr>
            <w:r>
              <w:rPr>
                <w:rFonts w:ascii="黑体" w:eastAsia="黑体"/>
                <w:color w:val="000000"/>
                <w:spacing w:val="-5"/>
                <w:sz w:val="21"/>
                <w:shd w:val="clear" w:color="auto" w:fill="D9D9D9"/>
              </w:rPr>
              <w:t>来自颜面部位以外的异体或自体皮瓣移植手术、单纯鼻移植手术、单纯</w:t>
            </w:r>
          </w:p>
          <w:p>
            <w:pPr>
              <w:pStyle w:val="10"/>
              <w:spacing w:before="2" w:line="310" w:lineRule="atLeast"/>
              <w:ind w:right="73"/>
              <w:rPr>
                <w:rFonts w:ascii="黑体" w:eastAsia="黑体"/>
                <w:sz w:val="21"/>
              </w:rPr>
            </w:pPr>
            <w:r>
              <w:rPr>
                <w:rFonts w:ascii="黑体" w:eastAsia="黑体"/>
                <w:color w:val="000000"/>
                <w:spacing w:val="-4"/>
                <w:sz w:val="21"/>
                <w:shd w:val="clear" w:color="auto" w:fill="D9D9D9"/>
              </w:rPr>
              <w:t>耳移植手术、单纯植皮手术、整形手术、美容手术、瘢痕松解或去除手</w:t>
            </w:r>
            <w:r>
              <w:rPr>
                <w:rFonts w:ascii="黑体" w:eastAsia="黑体"/>
                <w:color w:val="000000"/>
                <w:spacing w:val="80"/>
                <w:w w:val="150"/>
                <w:sz w:val="21"/>
                <w:shd w:val="clear" w:color="auto" w:fill="D9D9D9"/>
              </w:rPr>
              <w:t xml:space="preserve">                                   </w:t>
            </w:r>
            <w:r>
              <w:rPr>
                <w:rFonts w:ascii="黑体" w:eastAsia="黑体"/>
                <w:color w:val="000000"/>
                <w:spacing w:val="-2"/>
                <w:sz w:val="21"/>
                <w:shd w:val="clear" w:color="auto" w:fill="D9D9D9"/>
              </w:rPr>
              <w:t>术、脂肪填充手术不在保障范围内。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1090" w:type="dxa"/>
            <w:tcBorders>
              <w:left w:val="single" w:color="000000" w:sz="12" w:space="0"/>
            </w:tcBorders>
          </w:tcPr>
          <w:p>
            <w:pPr>
              <w:pStyle w:val="10"/>
              <w:ind w:left="0" w:right="407"/>
              <w:jc w:val="right"/>
              <w:rPr>
                <w:sz w:val="21"/>
              </w:rPr>
            </w:pPr>
            <w:r>
              <w:rPr>
                <w:spacing w:val="-5"/>
                <w:sz w:val="21"/>
              </w:rPr>
              <w:t>96</w:t>
            </w:r>
          </w:p>
        </w:tc>
        <w:tc>
          <w:tcPr>
            <w:tcW w:w="2194" w:type="dxa"/>
          </w:tcPr>
          <w:p>
            <w:pPr>
              <w:pStyle w:val="10"/>
              <w:spacing w:line="278" w:lineRule="auto"/>
              <w:ind w:left="119" w:right="82"/>
              <w:rPr>
                <w:sz w:val="21"/>
              </w:rPr>
            </w:pPr>
            <w:r>
              <w:rPr>
                <w:sz w:val="21"/>
              </w:rPr>
              <w:t>多处臂丛神经根性撕</w:t>
            </w:r>
            <w:r>
              <w:rPr>
                <w:spacing w:val="-10"/>
                <w:sz w:val="21"/>
              </w:rPr>
              <w:t>脱</w:t>
            </w:r>
          </w:p>
        </w:tc>
        <w:tc>
          <w:tcPr>
            <w:tcW w:w="6656" w:type="dxa"/>
            <w:tcBorders>
              <w:right w:val="single" w:color="000000" w:sz="12" w:space="0"/>
            </w:tcBorders>
          </w:tcPr>
          <w:p>
            <w:pPr>
              <w:pStyle w:val="10"/>
              <w:spacing w:line="278" w:lineRule="auto"/>
              <w:ind w:right="73"/>
              <w:rPr>
                <w:sz w:val="21"/>
              </w:rPr>
            </w:pPr>
            <w:r>
              <w:rPr>
                <w:spacing w:val="-6"/>
                <w:sz w:val="21"/>
              </w:rPr>
              <w:t>指由于疾病或意外导致至少两根臂丛神经根性撕脱，所造成的手臂感觉</w:t>
            </w:r>
            <w:r>
              <w:rPr>
                <w:spacing w:val="-5"/>
                <w:sz w:val="21"/>
              </w:rPr>
              <w:t>功能与运动功能完全永久性丧失。该病须由医院专科医生明确诊断，并</w:t>
            </w:r>
          </w:p>
          <w:p>
            <w:pPr>
              <w:pStyle w:val="10"/>
              <w:spacing w:before="0" w:line="269" w:lineRule="exact"/>
              <w:rPr>
                <w:sz w:val="21"/>
              </w:rPr>
            </w:pPr>
            <w:r>
              <w:rPr>
                <w:spacing w:val="-3"/>
                <w:sz w:val="21"/>
              </w:rPr>
              <w:t>且有电生理检查结果证实。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84" w:hRule="atLeast"/>
        </w:trPr>
        <w:tc>
          <w:tcPr>
            <w:tcW w:w="1090" w:type="dxa"/>
            <w:tcBorders>
              <w:left w:val="single" w:color="000000" w:sz="12" w:space="0"/>
            </w:tcBorders>
          </w:tcPr>
          <w:p>
            <w:pPr>
              <w:pStyle w:val="10"/>
              <w:ind w:left="0" w:right="407"/>
              <w:jc w:val="right"/>
              <w:rPr>
                <w:sz w:val="21"/>
              </w:rPr>
            </w:pPr>
            <w:r>
              <w:rPr>
                <w:spacing w:val="-5"/>
                <w:sz w:val="21"/>
              </w:rPr>
              <w:t>97</w:t>
            </w:r>
          </w:p>
        </w:tc>
        <w:tc>
          <w:tcPr>
            <w:tcW w:w="2194" w:type="dxa"/>
          </w:tcPr>
          <w:p>
            <w:pPr>
              <w:pStyle w:val="10"/>
              <w:spacing w:line="278" w:lineRule="auto"/>
              <w:ind w:left="119" w:right="82"/>
              <w:rPr>
                <w:sz w:val="21"/>
              </w:rPr>
            </w:pPr>
            <w:r>
              <w:rPr>
                <w:sz w:val="21"/>
              </w:rPr>
              <w:t>肌萎缩脊髓侧索硬化</w:t>
            </w:r>
            <w:r>
              <w:rPr>
                <w:spacing w:val="-4"/>
                <w:sz w:val="21"/>
              </w:rPr>
              <w:t>后遗症</w:t>
            </w:r>
          </w:p>
        </w:tc>
        <w:tc>
          <w:tcPr>
            <w:tcW w:w="6656" w:type="dxa"/>
            <w:tcBorders>
              <w:right w:val="single" w:color="000000" w:sz="12" w:space="0"/>
            </w:tcBorders>
          </w:tcPr>
          <w:p>
            <w:pPr>
              <w:pStyle w:val="10"/>
              <w:spacing w:line="278" w:lineRule="auto"/>
              <w:ind w:right="73"/>
              <w:jc w:val="both"/>
              <w:rPr>
                <w:sz w:val="21"/>
              </w:rPr>
            </w:pPr>
            <w:r>
              <w:rPr>
                <w:spacing w:val="-4"/>
                <w:sz w:val="21"/>
              </w:rPr>
              <w:t>以肌肉无力及萎缩为特征，并有以下情况作为证明：脊髓前角细胞功能失调、可见的肌肉颤动、痉挛、过度活跃之深层肌腱反射和外部足底反射、影响皮质脊髓束、构音障碍及吞咽困难。必须由本公司认可的医院</w:t>
            </w:r>
            <w:r>
              <w:rPr>
                <w:spacing w:val="-2"/>
                <w:sz w:val="21"/>
              </w:rPr>
              <w:t>专科医生以适当的神经肌肉检查如肌电图（EMG）证实。本疾病必须导</w:t>
            </w:r>
            <w:r>
              <w:rPr>
                <w:spacing w:val="-4"/>
                <w:sz w:val="21"/>
              </w:rPr>
              <w:t>致严重的生理功能损坏，表现为被保险人自主生活能力完全丧失，无法</w:t>
            </w:r>
            <w:r>
              <w:rPr>
                <w:spacing w:val="-6"/>
                <w:sz w:val="21"/>
              </w:rPr>
              <w:t>独立完成六项基本日常生活活动中的三项或三项以上，日常生活必须持</w:t>
            </w:r>
          </w:p>
          <w:p>
            <w:pPr>
              <w:pStyle w:val="10"/>
              <w:spacing w:before="0"/>
              <w:rPr>
                <w:sz w:val="21"/>
              </w:rPr>
            </w:pPr>
            <w:r>
              <w:rPr>
                <w:spacing w:val="-4"/>
                <w:sz w:val="21"/>
              </w:rPr>
              <w:t>续受到他人监护。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0" w:hRule="atLeast"/>
        </w:trPr>
        <w:tc>
          <w:tcPr>
            <w:tcW w:w="1090" w:type="dxa"/>
            <w:tcBorders>
              <w:left w:val="single" w:color="000000" w:sz="12" w:space="0"/>
            </w:tcBorders>
          </w:tcPr>
          <w:p>
            <w:pPr>
              <w:pStyle w:val="10"/>
              <w:ind w:left="0" w:right="407"/>
              <w:jc w:val="right"/>
              <w:rPr>
                <w:sz w:val="21"/>
              </w:rPr>
            </w:pPr>
            <w:r>
              <w:rPr>
                <w:spacing w:val="-5"/>
                <w:sz w:val="21"/>
              </w:rPr>
              <w:t>98</w:t>
            </w:r>
          </w:p>
        </w:tc>
        <w:tc>
          <w:tcPr>
            <w:tcW w:w="2194" w:type="dxa"/>
          </w:tcPr>
          <w:p>
            <w:pPr>
              <w:pStyle w:val="10"/>
              <w:spacing w:line="278" w:lineRule="auto"/>
              <w:ind w:left="119" w:right="82"/>
              <w:rPr>
                <w:sz w:val="21"/>
              </w:rPr>
            </w:pPr>
            <w:r>
              <w:rPr>
                <w:sz w:val="21"/>
              </w:rPr>
              <w:t>严重幼年特发性关节</w:t>
            </w:r>
            <w:r>
              <w:rPr>
                <w:spacing w:val="-10"/>
                <w:sz w:val="21"/>
              </w:rPr>
              <w:t>炎</w:t>
            </w:r>
          </w:p>
        </w:tc>
        <w:tc>
          <w:tcPr>
            <w:tcW w:w="6656" w:type="dxa"/>
            <w:tcBorders>
              <w:right w:val="single" w:color="000000" w:sz="12" w:space="0"/>
            </w:tcBorders>
          </w:tcPr>
          <w:p>
            <w:pPr>
              <w:pStyle w:val="10"/>
              <w:spacing w:line="278" w:lineRule="auto"/>
              <w:ind w:right="104"/>
              <w:rPr>
                <w:sz w:val="21"/>
              </w:rPr>
            </w:pPr>
            <w:r>
              <w:rPr>
                <w:sz w:val="21"/>
              </w:rPr>
              <w:t>幼年特发性关节炎（既往称幼年类风湿关节炎）</w:t>
            </w:r>
            <w:r>
              <w:rPr>
                <w:spacing w:val="-13"/>
                <w:sz w:val="21"/>
              </w:rPr>
              <w:t xml:space="preserve">是一种 </w:t>
            </w:r>
            <w:r>
              <w:rPr>
                <w:sz w:val="21"/>
              </w:rPr>
              <w:t>16</w:t>
            </w:r>
            <w:r>
              <w:rPr>
                <w:spacing w:val="-10"/>
                <w:sz w:val="21"/>
              </w:rPr>
              <w:t xml:space="preserve"> 周岁以下儿</w:t>
            </w:r>
            <w:r>
              <w:rPr>
                <w:spacing w:val="-2"/>
                <w:sz w:val="21"/>
              </w:rPr>
              <w:t>童青少年发病的以慢性关节炎为主要特征性表现伴有多关节外器官损</w:t>
            </w:r>
            <w:r>
              <w:rPr>
                <w:sz w:val="21"/>
              </w:rPr>
              <w:t>害的全身性疾病。 疾病必须明确诊断，并且满足下列条件之一：</w:t>
            </w:r>
          </w:p>
          <w:p>
            <w:pPr>
              <w:pStyle w:val="10"/>
              <w:numPr>
                <w:ilvl w:val="0"/>
                <w:numId w:val="93"/>
              </w:numPr>
              <w:tabs>
                <w:tab w:val="left" w:pos="637"/>
              </w:tabs>
              <w:spacing w:before="0" w:after="0" w:line="269" w:lineRule="exact"/>
              <w:ind w:left="636" w:right="0" w:hanging="530"/>
              <w:jc w:val="left"/>
              <w:rPr>
                <w:sz w:val="21"/>
              </w:rPr>
            </w:pPr>
            <w:r>
              <w:rPr>
                <w:spacing w:val="-3"/>
                <w:sz w:val="21"/>
              </w:rPr>
              <w:t>实际接受了膝关节或髋关节置换手术治疗。</w:t>
            </w:r>
          </w:p>
          <w:p>
            <w:pPr>
              <w:pStyle w:val="10"/>
              <w:numPr>
                <w:ilvl w:val="0"/>
                <w:numId w:val="93"/>
              </w:numPr>
              <w:tabs>
                <w:tab w:val="left" w:pos="635"/>
              </w:tabs>
              <w:spacing w:before="43" w:after="0" w:line="278" w:lineRule="auto"/>
              <w:ind w:left="107" w:right="-44" w:firstLine="0"/>
              <w:jc w:val="left"/>
              <w:rPr>
                <w:sz w:val="21"/>
              </w:rPr>
            </w:pPr>
            <w:r>
              <w:rPr>
                <w:spacing w:val="-2"/>
                <w:sz w:val="21"/>
              </w:rPr>
              <w:t>全身型幼年特发性关节炎（SJIA）合并巨噬细胞活化综合征（MAS）并且存在下列一项器官功能损害：</w:t>
            </w:r>
          </w:p>
          <w:p>
            <w:pPr>
              <w:pStyle w:val="10"/>
              <w:numPr>
                <w:ilvl w:val="0"/>
                <w:numId w:val="94"/>
              </w:numPr>
              <w:tabs>
                <w:tab w:val="left" w:pos="527"/>
                <w:tab w:val="left" w:pos="528"/>
              </w:tabs>
              <w:spacing w:before="0" w:after="0" w:line="269" w:lineRule="exact"/>
              <w:ind w:left="527" w:right="0" w:hanging="421"/>
              <w:jc w:val="left"/>
              <w:rPr>
                <w:sz w:val="21"/>
              </w:rPr>
            </w:pPr>
            <w:r>
              <w:rPr>
                <w:spacing w:val="-3"/>
                <w:sz w:val="21"/>
              </w:rPr>
              <w:t>肾功能衰竭，接受了血液透析治疗；</w:t>
            </w:r>
          </w:p>
          <w:p>
            <w:pPr>
              <w:pStyle w:val="10"/>
              <w:numPr>
                <w:ilvl w:val="0"/>
                <w:numId w:val="94"/>
              </w:numPr>
              <w:tabs>
                <w:tab w:val="left" w:pos="527"/>
                <w:tab w:val="left" w:pos="528"/>
              </w:tabs>
              <w:spacing w:before="42" w:after="0" w:line="240" w:lineRule="auto"/>
              <w:ind w:left="527" w:right="0" w:hanging="421"/>
              <w:jc w:val="left"/>
              <w:rPr>
                <w:sz w:val="21"/>
              </w:rPr>
            </w:pPr>
            <w:r>
              <w:rPr>
                <w:spacing w:val="-3"/>
                <w:sz w:val="21"/>
              </w:rPr>
              <w:t>心功能衰竭，接受了强心药物治疗；</w:t>
            </w:r>
          </w:p>
          <w:p>
            <w:pPr>
              <w:pStyle w:val="10"/>
              <w:numPr>
                <w:ilvl w:val="0"/>
                <w:numId w:val="94"/>
              </w:numPr>
              <w:tabs>
                <w:tab w:val="left" w:pos="527"/>
                <w:tab w:val="left" w:pos="528"/>
              </w:tabs>
              <w:spacing w:before="42" w:after="0" w:line="240" w:lineRule="auto"/>
              <w:ind w:left="527" w:right="0" w:hanging="421"/>
              <w:jc w:val="left"/>
              <w:rPr>
                <w:sz w:val="21"/>
              </w:rPr>
            </w:pPr>
            <w:r>
              <w:rPr>
                <w:spacing w:val="-3"/>
                <w:sz w:val="21"/>
              </w:rPr>
              <w:t>呼吸功能衰竭，接受了呼吸机治疗。</w:t>
            </w:r>
          </w:p>
          <w:p>
            <w:pPr>
              <w:pStyle w:val="10"/>
              <w:spacing w:before="43"/>
              <w:rPr>
                <w:rFonts w:ascii="黑体" w:eastAsia="黑体"/>
                <w:sz w:val="21"/>
              </w:rPr>
            </w:pPr>
            <w:r>
              <w:rPr>
                <w:rFonts w:ascii="黑体" w:eastAsia="黑体"/>
                <w:color w:val="000000"/>
                <w:spacing w:val="-8"/>
                <w:sz w:val="21"/>
                <w:shd w:val="clear" w:color="auto" w:fill="D9D9D9"/>
              </w:rPr>
              <w:t xml:space="preserve">本疾病保障期至 </w:t>
            </w:r>
            <w:r>
              <w:rPr>
                <w:rFonts w:ascii="黑体" w:eastAsia="黑体"/>
                <w:color w:val="000000"/>
                <w:spacing w:val="-2"/>
                <w:sz w:val="21"/>
                <w:shd w:val="clear" w:color="auto" w:fill="D9D9D9"/>
              </w:rPr>
              <w:t>25</w:t>
            </w:r>
            <w:r>
              <w:rPr>
                <w:rFonts w:ascii="黑体" w:eastAsia="黑体"/>
                <w:color w:val="000000"/>
                <w:spacing w:val="-16"/>
                <w:sz w:val="21"/>
                <w:shd w:val="clear" w:color="auto" w:fill="D9D9D9"/>
              </w:rPr>
              <w:t xml:space="preserve"> 周岁。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9" w:hRule="atLeast"/>
        </w:trPr>
        <w:tc>
          <w:tcPr>
            <w:tcW w:w="1090" w:type="dxa"/>
            <w:tcBorders>
              <w:left w:val="single" w:color="000000" w:sz="12" w:space="0"/>
            </w:tcBorders>
          </w:tcPr>
          <w:p>
            <w:pPr>
              <w:pStyle w:val="10"/>
              <w:ind w:left="0" w:right="407"/>
              <w:jc w:val="right"/>
              <w:rPr>
                <w:sz w:val="21"/>
              </w:rPr>
            </w:pPr>
            <w:r>
              <w:rPr>
                <w:spacing w:val="-5"/>
                <w:sz w:val="21"/>
              </w:rPr>
              <w:t>99</w:t>
            </w:r>
          </w:p>
        </w:tc>
        <w:tc>
          <w:tcPr>
            <w:tcW w:w="2194" w:type="dxa"/>
          </w:tcPr>
          <w:p>
            <w:pPr>
              <w:pStyle w:val="10"/>
              <w:spacing w:line="278" w:lineRule="auto"/>
              <w:ind w:left="119" w:right="83"/>
              <w:rPr>
                <w:sz w:val="21"/>
              </w:rPr>
            </w:pPr>
            <w:r>
              <w:rPr>
                <w:sz w:val="21"/>
              </w:rPr>
              <w:t>严重肾上腺脑白质营</w:t>
            </w:r>
            <w:r>
              <w:rPr>
                <w:spacing w:val="-4"/>
                <w:sz w:val="21"/>
              </w:rPr>
              <w:t>养不良</w:t>
            </w:r>
          </w:p>
        </w:tc>
        <w:tc>
          <w:tcPr>
            <w:tcW w:w="6656" w:type="dxa"/>
            <w:tcBorders>
              <w:right w:val="single" w:color="000000" w:sz="12" w:space="0"/>
            </w:tcBorders>
          </w:tcPr>
          <w:p>
            <w:pPr>
              <w:pStyle w:val="10"/>
              <w:spacing w:line="278" w:lineRule="auto"/>
              <w:ind w:right="73"/>
              <w:jc w:val="both"/>
              <w:rPr>
                <w:sz w:val="21"/>
              </w:rPr>
            </w:pPr>
            <w:r>
              <w:rPr>
                <w:spacing w:val="-4"/>
                <w:sz w:val="21"/>
              </w:rPr>
              <w:t>指一种最常见过氧化物酶体病，主要累及肾上腺和脑白质，主要表现为进行性的精神运动障碍，视力及听力下降和（或）肾上腺皮质功能低下等。须经专科医生明确诊断，且已经造成自主生活能力完全丧失，无法</w:t>
            </w:r>
            <w:r>
              <w:rPr>
                <w:spacing w:val="-2"/>
                <w:sz w:val="21"/>
              </w:rPr>
              <w:t xml:space="preserve">独立完成六项基本日常生活活动中的三项或三项以上，持续至少 </w:t>
            </w:r>
            <w:r>
              <w:rPr>
                <w:sz w:val="21"/>
              </w:rPr>
              <w:t>180</w:t>
            </w:r>
          </w:p>
          <w:p>
            <w:pPr>
              <w:pStyle w:val="10"/>
              <w:spacing w:before="0" w:line="269" w:lineRule="exact"/>
              <w:rPr>
                <w:sz w:val="21"/>
              </w:rPr>
            </w:pPr>
            <w:r>
              <w:rPr>
                <w:spacing w:val="-5"/>
                <w:sz w:val="21"/>
              </w:rPr>
              <w:t>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70" w:hRule="atLeast"/>
        </w:trPr>
        <w:tc>
          <w:tcPr>
            <w:tcW w:w="1090" w:type="dxa"/>
            <w:tcBorders>
              <w:left w:val="single" w:color="000000" w:sz="12" w:space="0"/>
            </w:tcBorders>
          </w:tcPr>
          <w:p>
            <w:pPr>
              <w:pStyle w:val="10"/>
              <w:spacing w:before="18"/>
              <w:ind w:left="0" w:right="352"/>
              <w:jc w:val="right"/>
              <w:rPr>
                <w:sz w:val="21"/>
              </w:rPr>
            </w:pPr>
            <w:r>
              <w:rPr>
                <w:spacing w:val="-5"/>
                <w:sz w:val="21"/>
              </w:rPr>
              <w:t>100</w:t>
            </w:r>
          </w:p>
        </w:tc>
        <w:tc>
          <w:tcPr>
            <w:tcW w:w="2194" w:type="dxa"/>
          </w:tcPr>
          <w:p>
            <w:pPr>
              <w:pStyle w:val="10"/>
              <w:spacing w:before="18" w:line="278" w:lineRule="auto"/>
              <w:ind w:left="119" w:right="82"/>
              <w:rPr>
                <w:sz w:val="21"/>
              </w:rPr>
            </w:pPr>
            <w:r>
              <w:rPr>
                <w:sz w:val="21"/>
              </w:rPr>
              <w:t>因疾病或外伤导致智</w:t>
            </w:r>
            <w:r>
              <w:rPr>
                <w:spacing w:val="-4"/>
                <w:sz w:val="21"/>
              </w:rPr>
              <w:t>力缺陷</w:t>
            </w:r>
          </w:p>
        </w:tc>
        <w:tc>
          <w:tcPr>
            <w:tcW w:w="6656" w:type="dxa"/>
            <w:tcBorders>
              <w:right w:val="single" w:color="000000" w:sz="12" w:space="0"/>
            </w:tcBorders>
          </w:tcPr>
          <w:p>
            <w:pPr>
              <w:pStyle w:val="10"/>
              <w:spacing w:before="18" w:line="278" w:lineRule="auto"/>
              <w:ind w:right="73"/>
              <w:jc w:val="both"/>
              <w:rPr>
                <w:sz w:val="21"/>
              </w:rPr>
            </w:pPr>
            <w:r>
              <w:rPr>
                <w:spacing w:val="-4"/>
                <w:sz w:val="21"/>
              </w:rPr>
              <w:t>因严重头部创伤或疾病造成被保险人智力低常（智力低于常态）或智力</w:t>
            </w:r>
            <w:r>
              <w:rPr>
                <w:spacing w:val="-8"/>
                <w:sz w:val="21"/>
              </w:rPr>
              <w:t>残疾。根据智商（IQ）智力低常分为轻度（IQ50-</w:t>
            </w:r>
            <w:r>
              <w:rPr>
                <w:spacing w:val="27"/>
                <w:sz w:val="21"/>
              </w:rPr>
              <w:t>7</w:t>
            </w:r>
            <w:r>
              <w:rPr>
                <w:spacing w:val="24"/>
                <w:sz w:val="21"/>
              </w:rPr>
              <w:t>0</w:t>
            </w:r>
            <w:r>
              <w:rPr>
                <w:spacing w:val="-81"/>
                <w:sz w:val="21"/>
              </w:rPr>
              <w:t>）</w:t>
            </w:r>
            <w:r>
              <w:rPr>
                <w:spacing w:val="-7"/>
                <w:sz w:val="21"/>
              </w:rPr>
              <w:t>；中度</w:t>
            </w:r>
            <w:r>
              <w:rPr>
                <w:spacing w:val="-8"/>
                <w:sz w:val="21"/>
              </w:rPr>
              <w:t>（IQ35-</w:t>
            </w:r>
            <w:r>
              <w:rPr>
                <w:sz w:val="21"/>
              </w:rPr>
              <w:t>5</w:t>
            </w:r>
            <w:r>
              <w:rPr>
                <w:spacing w:val="-3"/>
                <w:sz w:val="21"/>
              </w:rPr>
              <w:t>0</w:t>
            </w:r>
            <w:r>
              <w:rPr>
                <w:spacing w:val="-106"/>
                <w:sz w:val="21"/>
              </w:rPr>
              <w:t>）；</w:t>
            </w:r>
            <w:r>
              <w:rPr>
                <w:spacing w:val="-4"/>
                <w:sz w:val="21"/>
              </w:rPr>
              <w:t>重度（IQ20-35）和极重度</w:t>
            </w:r>
            <w:r>
              <w:rPr>
                <w:spacing w:val="11"/>
                <w:sz w:val="21"/>
              </w:rPr>
              <w:t>（IQ&lt;</w:t>
            </w:r>
            <w:r>
              <w:rPr>
                <w:spacing w:val="8"/>
                <w:sz w:val="21"/>
              </w:rPr>
              <w:t>2</w:t>
            </w:r>
            <w:r>
              <w:rPr>
                <w:spacing w:val="10"/>
                <w:sz w:val="21"/>
              </w:rPr>
              <w:t>0</w:t>
            </w:r>
            <w:r>
              <w:rPr>
                <w:spacing w:val="-95"/>
                <w:sz w:val="21"/>
              </w:rPr>
              <w:t>）</w:t>
            </w:r>
            <w:r>
              <w:rPr>
                <w:spacing w:val="-8"/>
                <w:sz w:val="21"/>
              </w:rPr>
              <w:t xml:space="preserve">。智商 </w:t>
            </w:r>
            <w:r>
              <w:rPr>
                <w:spacing w:val="-4"/>
                <w:sz w:val="21"/>
              </w:rPr>
              <w:t>70-85</w:t>
            </w:r>
            <w:r>
              <w:rPr>
                <w:spacing w:val="-8"/>
                <w:sz w:val="21"/>
              </w:rPr>
              <w:t xml:space="preserve"> 为智力临界低常，不</w:t>
            </w:r>
            <w:r>
              <w:rPr>
                <w:spacing w:val="-11"/>
                <w:sz w:val="21"/>
              </w:rPr>
              <w:t>在保障范围内。智商的检测必须由本公司认可的专职心理测验工作者进</w:t>
            </w:r>
            <w:r>
              <w:rPr>
                <w:spacing w:val="-4"/>
                <w:sz w:val="21"/>
              </w:rPr>
              <w:t>行，心理测验工作者必须持有由心理测量专业委员会资格认定书。根据</w:t>
            </w:r>
            <w:r>
              <w:rPr>
                <w:spacing w:val="-5"/>
                <w:sz w:val="21"/>
              </w:rPr>
              <w:t>被保险人年龄采用对应的智力量表如韦克斯勒智力量表</w:t>
            </w:r>
            <w:r>
              <w:rPr>
                <w:spacing w:val="-2"/>
                <w:sz w:val="21"/>
              </w:rPr>
              <w:t>（儿童智力量表或成人智力量表</w:t>
            </w:r>
            <w:r>
              <w:rPr>
                <w:spacing w:val="-106"/>
                <w:sz w:val="21"/>
              </w:rPr>
              <w:t>）</w:t>
            </w:r>
            <w:r>
              <w:rPr>
                <w:spacing w:val="-2"/>
                <w:sz w:val="21"/>
              </w:rPr>
              <w:t>。</w:t>
            </w:r>
          </w:p>
          <w:p>
            <w:pPr>
              <w:pStyle w:val="10"/>
              <w:spacing w:before="0"/>
              <w:rPr>
                <w:sz w:val="21"/>
              </w:rPr>
            </w:pPr>
            <w:r>
              <w:rPr>
                <w:spacing w:val="-3"/>
                <w:sz w:val="21"/>
              </w:rPr>
              <w:t>理赔时必须满足下列所有条件：</w:t>
            </w:r>
          </w:p>
          <w:p>
            <w:pPr>
              <w:pStyle w:val="10"/>
              <w:numPr>
                <w:ilvl w:val="0"/>
                <w:numId w:val="95"/>
              </w:numPr>
              <w:tabs>
                <w:tab w:val="left" w:pos="637"/>
              </w:tabs>
              <w:spacing w:before="43" w:after="0" w:line="240" w:lineRule="auto"/>
              <w:ind w:left="636" w:right="0" w:hanging="530"/>
              <w:jc w:val="left"/>
              <w:rPr>
                <w:sz w:val="21"/>
              </w:rPr>
            </w:pPr>
            <w:r>
              <w:rPr>
                <w:spacing w:val="-3"/>
                <w:sz w:val="21"/>
              </w:rPr>
              <w:t>被保险人大于或等于六周岁；</w:t>
            </w:r>
          </w:p>
          <w:p>
            <w:pPr>
              <w:pStyle w:val="10"/>
              <w:numPr>
                <w:ilvl w:val="0"/>
                <w:numId w:val="95"/>
              </w:numPr>
              <w:tabs>
                <w:tab w:val="left" w:pos="637"/>
              </w:tabs>
              <w:spacing w:before="43" w:after="0" w:line="278" w:lineRule="auto"/>
              <w:ind w:left="107" w:right="107" w:firstLine="0"/>
              <w:jc w:val="left"/>
              <w:rPr>
                <w:sz w:val="21"/>
              </w:rPr>
            </w:pPr>
            <w:r>
              <w:rPr>
                <w:spacing w:val="-2"/>
                <w:sz w:val="21"/>
              </w:rPr>
              <w:t>儿科主任医师确诊被保险人由于严重头部创伤或疾病造成智力低</w:t>
            </w:r>
            <w:r>
              <w:rPr>
                <w:spacing w:val="-6"/>
                <w:sz w:val="21"/>
              </w:rPr>
              <w:t>下；</w:t>
            </w:r>
          </w:p>
          <w:p>
            <w:pPr>
              <w:pStyle w:val="10"/>
              <w:numPr>
                <w:ilvl w:val="0"/>
                <w:numId w:val="95"/>
              </w:numPr>
              <w:tabs>
                <w:tab w:val="left" w:pos="637"/>
              </w:tabs>
              <w:spacing w:before="0" w:after="0" w:line="278" w:lineRule="auto"/>
              <w:ind w:left="107" w:right="107" w:firstLine="0"/>
              <w:jc w:val="left"/>
              <w:rPr>
                <w:sz w:val="21"/>
              </w:rPr>
            </w:pPr>
            <w:r>
              <w:rPr>
                <w:spacing w:val="-2"/>
                <w:sz w:val="21"/>
              </w:rPr>
              <w:t>专职合格心理检测工作者适时做的心理检测证实被保险人智力低</w:t>
            </w:r>
            <w:r>
              <w:rPr>
                <w:sz w:val="21"/>
              </w:rPr>
              <w:t>常，IQ</w:t>
            </w:r>
            <w:r>
              <w:rPr>
                <w:spacing w:val="-12"/>
                <w:sz w:val="21"/>
              </w:rPr>
              <w:t xml:space="preserve"> 低于 </w:t>
            </w:r>
            <w:r>
              <w:rPr>
                <w:sz w:val="21"/>
              </w:rPr>
              <w:t>70；</w:t>
            </w:r>
          </w:p>
          <w:p>
            <w:pPr>
              <w:pStyle w:val="10"/>
              <w:numPr>
                <w:ilvl w:val="0"/>
                <w:numId w:val="95"/>
              </w:numPr>
              <w:tabs>
                <w:tab w:val="left" w:pos="637"/>
              </w:tabs>
              <w:spacing w:before="0" w:after="0" w:line="269" w:lineRule="exact"/>
              <w:ind w:left="636" w:right="0" w:hanging="530"/>
              <w:jc w:val="left"/>
              <w:rPr>
                <w:sz w:val="21"/>
              </w:rPr>
            </w:pPr>
            <w:r>
              <w:rPr>
                <w:spacing w:val="-5"/>
                <w:sz w:val="21"/>
              </w:rPr>
              <w:t xml:space="preserve">被保险人的智力低常自确认日起持续 </w:t>
            </w:r>
            <w:r>
              <w:rPr>
                <w:spacing w:val="-2"/>
                <w:sz w:val="21"/>
              </w:rPr>
              <w:t>180</w:t>
            </w:r>
            <w:r>
              <w:rPr>
                <w:spacing w:val="-14"/>
                <w:sz w:val="21"/>
              </w:rPr>
              <w:t xml:space="preserve"> 天以上。</w:t>
            </w:r>
          </w:p>
        </w:tc>
      </w:tr>
    </w:tbl>
    <w:p>
      <w:pPr>
        <w:spacing w:after="0" w:line="269" w:lineRule="exact"/>
        <w:jc w:val="left"/>
        <w:rPr>
          <w:sz w:val="21"/>
        </w:rPr>
        <w:sectPr>
          <w:type w:val="continuous"/>
          <w:pgSz w:w="11910" w:h="16840"/>
          <w:pgMar w:top="840" w:right="340" w:bottom="1422" w:left="800" w:header="0" w:footer="457" w:gutter="0"/>
          <w:cols w:space="720" w:num="1"/>
        </w:sectPr>
      </w:pPr>
    </w:p>
    <w:tbl>
      <w:tblPr>
        <w:tblStyle w:val="6"/>
        <w:tblW w:w="0" w:type="auto"/>
        <w:tblInd w:w="22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90"/>
        <w:gridCol w:w="2194"/>
        <w:gridCol w:w="66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090" w:type="dxa"/>
            <w:tcBorders>
              <w:left w:val="single" w:color="000000" w:sz="12" w:space="0"/>
            </w:tcBorders>
          </w:tcPr>
          <w:p>
            <w:pPr>
              <w:pStyle w:val="10"/>
              <w:spacing w:before="0"/>
              <w:ind w:left="0"/>
              <w:rPr>
                <w:rFonts w:ascii="Times New Roman"/>
                <w:sz w:val="20"/>
              </w:rPr>
            </w:pPr>
          </w:p>
        </w:tc>
        <w:tc>
          <w:tcPr>
            <w:tcW w:w="2194" w:type="dxa"/>
          </w:tcPr>
          <w:p>
            <w:pPr>
              <w:pStyle w:val="10"/>
              <w:spacing w:before="0"/>
              <w:ind w:left="0"/>
              <w:rPr>
                <w:rFonts w:ascii="Times New Roman"/>
                <w:sz w:val="20"/>
              </w:rPr>
            </w:pPr>
          </w:p>
        </w:tc>
        <w:tc>
          <w:tcPr>
            <w:tcW w:w="6656" w:type="dxa"/>
            <w:tcBorders>
              <w:right w:val="single" w:color="000000" w:sz="12" w:space="0"/>
            </w:tcBorders>
          </w:tcPr>
          <w:p>
            <w:pPr>
              <w:pStyle w:val="10"/>
              <w:rPr>
                <w:rFonts w:ascii="黑体" w:eastAsia="黑体"/>
                <w:sz w:val="21"/>
              </w:rPr>
            </w:pPr>
            <w:r>
              <w:rPr>
                <w:rFonts w:ascii="黑体" w:eastAsia="黑体"/>
                <w:color w:val="000000"/>
                <w:spacing w:val="-8"/>
                <w:sz w:val="21"/>
                <w:shd w:val="clear" w:color="auto" w:fill="D9D9D9"/>
              </w:rPr>
              <w:t xml:space="preserve">本疾病保障期至 </w:t>
            </w:r>
            <w:r>
              <w:rPr>
                <w:rFonts w:ascii="黑体" w:eastAsia="黑体"/>
                <w:color w:val="000000"/>
                <w:spacing w:val="-2"/>
                <w:sz w:val="21"/>
                <w:shd w:val="clear" w:color="auto" w:fill="D9D9D9"/>
              </w:rPr>
              <w:t>25</w:t>
            </w:r>
            <w:r>
              <w:rPr>
                <w:rFonts w:ascii="黑体" w:eastAsia="黑体"/>
                <w:color w:val="000000"/>
                <w:spacing w:val="-16"/>
                <w:sz w:val="21"/>
                <w:shd w:val="clear" w:color="auto" w:fill="D9D9D9"/>
              </w:rPr>
              <w:t xml:space="preserve"> 周岁。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5" w:hRule="atLeast"/>
        </w:trPr>
        <w:tc>
          <w:tcPr>
            <w:tcW w:w="1090" w:type="dxa"/>
            <w:tcBorders>
              <w:left w:val="single" w:color="000000" w:sz="12" w:space="0"/>
            </w:tcBorders>
          </w:tcPr>
          <w:p>
            <w:pPr>
              <w:pStyle w:val="10"/>
              <w:ind w:left="388"/>
              <w:rPr>
                <w:sz w:val="21"/>
              </w:rPr>
            </w:pPr>
            <w:r>
              <w:rPr>
                <w:spacing w:val="-5"/>
                <w:sz w:val="21"/>
              </w:rPr>
              <w:t>101</w:t>
            </w:r>
          </w:p>
        </w:tc>
        <w:tc>
          <w:tcPr>
            <w:tcW w:w="2194" w:type="dxa"/>
          </w:tcPr>
          <w:p>
            <w:pPr>
              <w:pStyle w:val="10"/>
              <w:ind w:left="119"/>
              <w:rPr>
                <w:sz w:val="21"/>
              </w:rPr>
            </w:pPr>
            <w:r>
              <w:rPr>
                <w:spacing w:val="-4"/>
                <w:sz w:val="21"/>
              </w:rPr>
              <w:t>严重瑞氏综合征</w:t>
            </w:r>
          </w:p>
        </w:tc>
        <w:tc>
          <w:tcPr>
            <w:tcW w:w="6656" w:type="dxa"/>
            <w:tcBorders>
              <w:right w:val="single" w:color="000000" w:sz="12" w:space="0"/>
            </w:tcBorders>
          </w:tcPr>
          <w:p>
            <w:pPr>
              <w:pStyle w:val="10"/>
              <w:spacing w:line="278" w:lineRule="auto"/>
              <w:ind w:right="1"/>
              <w:rPr>
                <w:sz w:val="21"/>
              </w:rPr>
            </w:pPr>
            <w:r>
              <w:rPr>
                <w:sz w:val="21"/>
              </w:rPr>
              <w:t>瑞氏综合征（Reye</w:t>
            </w:r>
            <w:r>
              <w:rPr>
                <w:spacing w:val="-12"/>
                <w:sz w:val="21"/>
              </w:rPr>
              <w:t xml:space="preserve"> 综合征</w:t>
            </w:r>
            <w:r>
              <w:rPr>
                <w:sz w:val="21"/>
              </w:rPr>
              <w:t>）是线粒体功能障碍性疾病。导致脂肪代谢</w:t>
            </w:r>
            <w:r>
              <w:rPr>
                <w:spacing w:val="-2"/>
                <w:sz w:val="21"/>
              </w:rPr>
              <w:t>障碍，引起短链脂肪酸、血氨升高，造成脑水肿。主要临床表现为急性发热、反复呕吐、惊厥及意识障碍等等。肝脏活检是确诊的重要手段。</w:t>
            </w:r>
            <w:r>
              <w:rPr>
                <w:spacing w:val="-3"/>
                <w:sz w:val="21"/>
              </w:rPr>
              <w:t>瑞氏综合征需由三级医院的儿科专科医生确诊，并满足下列所有条件：</w:t>
            </w:r>
          </w:p>
          <w:p>
            <w:pPr>
              <w:pStyle w:val="10"/>
              <w:numPr>
                <w:ilvl w:val="0"/>
                <w:numId w:val="96"/>
              </w:numPr>
              <w:tabs>
                <w:tab w:val="left" w:pos="637"/>
              </w:tabs>
              <w:spacing w:before="0" w:after="0" w:line="240" w:lineRule="auto"/>
              <w:ind w:left="636" w:right="0" w:hanging="530"/>
              <w:jc w:val="left"/>
              <w:rPr>
                <w:sz w:val="21"/>
              </w:rPr>
            </w:pPr>
            <w:r>
              <w:rPr>
                <w:spacing w:val="-3"/>
                <w:sz w:val="21"/>
              </w:rPr>
              <w:t>有脑水肿和颅内压升高的脑脊液检查和影像学检查证据；</w:t>
            </w:r>
          </w:p>
          <w:p>
            <w:pPr>
              <w:pStyle w:val="10"/>
              <w:numPr>
                <w:ilvl w:val="0"/>
                <w:numId w:val="96"/>
              </w:numPr>
              <w:tabs>
                <w:tab w:val="left" w:pos="637"/>
              </w:tabs>
              <w:spacing w:before="43" w:after="0" w:line="240" w:lineRule="auto"/>
              <w:ind w:left="636" w:right="0" w:hanging="530"/>
              <w:jc w:val="left"/>
              <w:rPr>
                <w:sz w:val="21"/>
              </w:rPr>
            </w:pPr>
            <w:r>
              <w:rPr>
                <w:spacing w:val="-8"/>
                <w:sz w:val="21"/>
              </w:rPr>
              <w:t xml:space="preserve">血氨超过正常值的 </w:t>
            </w:r>
            <w:r>
              <w:rPr>
                <w:spacing w:val="-2"/>
                <w:sz w:val="21"/>
              </w:rPr>
              <w:t>3</w:t>
            </w:r>
            <w:r>
              <w:rPr>
                <w:spacing w:val="-21"/>
                <w:sz w:val="21"/>
              </w:rPr>
              <w:t xml:space="preserve"> 倍；</w:t>
            </w:r>
          </w:p>
          <w:p>
            <w:pPr>
              <w:pStyle w:val="10"/>
              <w:numPr>
                <w:ilvl w:val="0"/>
                <w:numId w:val="96"/>
              </w:numPr>
              <w:tabs>
                <w:tab w:val="left" w:pos="637"/>
              </w:tabs>
              <w:spacing w:before="43" w:after="0" w:line="240" w:lineRule="auto"/>
              <w:ind w:left="636" w:right="0" w:hanging="530"/>
              <w:jc w:val="left"/>
              <w:rPr>
                <w:sz w:val="21"/>
              </w:rPr>
            </w:pPr>
            <w:r>
              <w:rPr>
                <w:spacing w:val="-5"/>
                <w:sz w:val="21"/>
              </w:rPr>
              <w:t xml:space="preserve">临床出现昏迷，病程至少达到疾病分期第 </w:t>
            </w:r>
            <w:r>
              <w:rPr>
                <w:spacing w:val="-2"/>
                <w:sz w:val="21"/>
              </w:rPr>
              <w:t>3</w:t>
            </w:r>
            <w:r>
              <w:rPr>
                <w:spacing w:val="-20"/>
                <w:sz w:val="21"/>
              </w:rPr>
              <w:t xml:space="preserve"> 期。</w:t>
            </w:r>
          </w:p>
          <w:p>
            <w:pPr>
              <w:pStyle w:val="10"/>
              <w:spacing w:before="43"/>
              <w:rPr>
                <w:rFonts w:ascii="黑体" w:eastAsia="黑体"/>
                <w:sz w:val="21"/>
              </w:rPr>
            </w:pPr>
            <w:r>
              <w:rPr>
                <w:rFonts w:ascii="黑体" w:eastAsia="黑体"/>
                <w:color w:val="000000"/>
                <w:spacing w:val="-8"/>
                <w:sz w:val="21"/>
                <w:shd w:val="clear" w:color="auto" w:fill="D9D9D9"/>
              </w:rPr>
              <w:t xml:space="preserve">本疾病保障期至 </w:t>
            </w:r>
            <w:r>
              <w:rPr>
                <w:rFonts w:ascii="黑体" w:eastAsia="黑体"/>
                <w:color w:val="000000"/>
                <w:spacing w:val="-2"/>
                <w:sz w:val="21"/>
                <w:shd w:val="clear" w:color="auto" w:fill="D9D9D9"/>
              </w:rPr>
              <w:t>25</w:t>
            </w:r>
            <w:r>
              <w:rPr>
                <w:rFonts w:ascii="黑体" w:eastAsia="黑体"/>
                <w:color w:val="000000"/>
                <w:spacing w:val="-16"/>
                <w:sz w:val="21"/>
                <w:shd w:val="clear" w:color="auto" w:fill="D9D9D9"/>
              </w:rPr>
              <w:t xml:space="preserve"> 周岁。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84" w:hRule="atLeast"/>
        </w:trPr>
        <w:tc>
          <w:tcPr>
            <w:tcW w:w="1090" w:type="dxa"/>
            <w:tcBorders>
              <w:left w:val="single" w:color="000000" w:sz="12" w:space="0"/>
            </w:tcBorders>
          </w:tcPr>
          <w:p>
            <w:pPr>
              <w:pStyle w:val="10"/>
              <w:ind w:left="388"/>
              <w:rPr>
                <w:sz w:val="21"/>
              </w:rPr>
            </w:pPr>
            <w:r>
              <w:rPr>
                <w:spacing w:val="-5"/>
                <w:sz w:val="21"/>
              </w:rPr>
              <w:t>102</w:t>
            </w:r>
          </w:p>
        </w:tc>
        <w:tc>
          <w:tcPr>
            <w:tcW w:w="2194" w:type="dxa"/>
          </w:tcPr>
          <w:p>
            <w:pPr>
              <w:pStyle w:val="10"/>
              <w:ind w:left="119"/>
              <w:rPr>
                <w:sz w:val="21"/>
              </w:rPr>
            </w:pPr>
            <w:r>
              <w:rPr>
                <w:spacing w:val="-2"/>
                <w:sz w:val="21"/>
              </w:rPr>
              <w:t>亚历山大病（少儿</w:t>
            </w:r>
            <w:r>
              <w:rPr>
                <w:spacing w:val="-10"/>
                <w:sz w:val="21"/>
              </w:rPr>
              <w:t>）</w:t>
            </w:r>
          </w:p>
        </w:tc>
        <w:tc>
          <w:tcPr>
            <w:tcW w:w="6656" w:type="dxa"/>
            <w:tcBorders>
              <w:right w:val="single" w:color="000000" w:sz="12" w:space="0"/>
            </w:tcBorders>
          </w:tcPr>
          <w:p>
            <w:pPr>
              <w:pStyle w:val="10"/>
              <w:spacing w:line="278" w:lineRule="auto"/>
              <w:ind w:right="1"/>
              <w:rPr>
                <w:sz w:val="21"/>
              </w:rPr>
            </w:pPr>
            <w:r>
              <w:rPr>
                <w:sz w:val="21"/>
              </w:rPr>
              <w:t>亚历山大病（Alexander’s</w:t>
            </w:r>
            <w:r>
              <w:rPr>
                <w:spacing w:val="-42"/>
                <w:sz w:val="21"/>
              </w:rPr>
              <w:t xml:space="preserve"> </w:t>
            </w:r>
            <w:r>
              <w:rPr>
                <w:sz w:val="21"/>
              </w:rPr>
              <w:t>Disease）是一种遗传性中枢神经系统退行</w:t>
            </w:r>
            <w:r>
              <w:rPr>
                <w:spacing w:val="-2"/>
                <w:sz w:val="21"/>
              </w:rPr>
              <w:t>性病变，特点为脑白质营养不良性。临床表现为惊厥发作、智力下降、球麻痹、共济失调、痉性瘫痪。亚历山大病必须被明确诊断，并且造成永久性神经系统功能障碍。被保险人自主生活能力完全丧失，无法独立</w:t>
            </w:r>
            <w:r>
              <w:rPr>
                <w:spacing w:val="-6"/>
                <w:sz w:val="21"/>
              </w:rPr>
              <w:t>完成六项基本日常生活活动中的三项或三项以上，日常生活必须持续受</w:t>
            </w:r>
            <w:r>
              <w:rPr>
                <w:spacing w:val="-2"/>
                <w:sz w:val="21"/>
              </w:rPr>
              <w:t>到他人护理。</w:t>
            </w:r>
          </w:p>
          <w:p>
            <w:pPr>
              <w:pStyle w:val="10"/>
              <w:spacing w:before="0"/>
              <w:rPr>
                <w:rFonts w:ascii="黑体" w:eastAsia="黑体"/>
                <w:sz w:val="21"/>
              </w:rPr>
            </w:pPr>
            <w:r>
              <w:rPr>
                <w:rFonts w:ascii="黑体" w:eastAsia="黑体"/>
                <w:color w:val="000000"/>
                <w:spacing w:val="-8"/>
                <w:sz w:val="21"/>
                <w:shd w:val="clear" w:color="auto" w:fill="D9D9D9"/>
              </w:rPr>
              <w:t xml:space="preserve">本疾病保障期至 </w:t>
            </w:r>
            <w:r>
              <w:rPr>
                <w:rFonts w:ascii="黑体" w:eastAsia="黑体"/>
                <w:color w:val="000000"/>
                <w:spacing w:val="-2"/>
                <w:sz w:val="21"/>
                <w:shd w:val="clear" w:color="auto" w:fill="D9D9D9"/>
              </w:rPr>
              <w:t>25</w:t>
            </w:r>
            <w:r>
              <w:rPr>
                <w:rFonts w:ascii="黑体" w:eastAsia="黑体"/>
                <w:color w:val="000000"/>
                <w:spacing w:val="-16"/>
                <w:sz w:val="21"/>
                <w:shd w:val="clear" w:color="auto" w:fill="D9D9D9"/>
              </w:rPr>
              <w:t xml:space="preserve"> 周岁。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1" w:hRule="atLeast"/>
        </w:trPr>
        <w:tc>
          <w:tcPr>
            <w:tcW w:w="1090" w:type="dxa"/>
            <w:tcBorders>
              <w:left w:val="single" w:color="000000" w:sz="12" w:space="0"/>
            </w:tcBorders>
          </w:tcPr>
          <w:p>
            <w:pPr>
              <w:pStyle w:val="10"/>
              <w:ind w:left="388"/>
              <w:rPr>
                <w:sz w:val="21"/>
              </w:rPr>
            </w:pPr>
            <w:r>
              <w:rPr>
                <w:spacing w:val="-5"/>
                <w:sz w:val="21"/>
              </w:rPr>
              <w:t>103</w:t>
            </w:r>
          </w:p>
        </w:tc>
        <w:tc>
          <w:tcPr>
            <w:tcW w:w="2194" w:type="dxa"/>
          </w:tcPr>
          <w:p>
            <w:pPr>
              <w:pStyle w:val="10"/>
              <w:spacing w:line="278" w:lineRule="auto"/>
              <w:ind w:left="119" w:right="82"/>
              <w:rPr>
                <w:sz w:val="21"/>
              </w:rPr>
            </w:pPr>
            <w:r>
              <w:rPr>
                <w:sz w:val="21"/>
              </w:rPr>
              <w:t>青少年特发性脊柱侧</w:t>
            </w:r>
            <w:r>
              <w:rPr>
                <w:spacing w:val="-10"/>
                <w:sz w:val="21"/>
              </w:rPr>
              <w:t>弯</w:t>
            </w:r>
          </w:p>
        </w:tc>
        <w:tc>
          <w:tcPr>
            <w:tcW w:w="6656" w:type="dxa"/>
            <w:tcBorders>
              <w:right w:val="single" w:color="000000" w:sz="12" w:space="0"/>
            </w:tcBorders>
          </w:tcPr>
          <w:p>
            <w:pPr>
              <w:pStyle w:val="10"/>
              <w:spacing w:line="278" w:lineRule="auto"/>
              <w:ind w:right="1"/>
              <w:rPr>
                <w:sz w:val="21"/>
              </w:rPr>
            </w:pPr>
            <w:r>
              <w:rPr>
                <w:spacing w:val="-2"/>
                <w:sz w:val="21"/>
              </w:rPr>
              <w:t>指青少年特发性脊柱侧弯指原因不明的儿童或青少年的脊柱曲度异常，脊柱呈现为“S”型或“C”型。被保险人因严重脊柱侧弯或侧凸，实际接受了针对脊柱侧弯的外科手术治疗。</w:t>
            </w:r>
          </w:p>
          <w:p>
            <w:pPr>
              <w:pStyle w:val="10"/>
              <w:spacing w:before="0" w:line="278" w:lineRule="auto"/>
              <w:ind w:right="73"/>
              <w:rPr>
                <w:rFonts w:ascii="黑体" w:eastAsia="黑体"/>
                <w:sz w:val="21"/>
              </w:rPr>
            </w:pPr>
            <w:r>
              <w:rPr>
                <w:rFonts w:ascii="黑体" w:eastAsia="黑体"/>
                <w:color w:val="000000"/>
                <w:spacing w:val="-4"/>
                <w:sz w:val="21"/>
                <w:shd w:val="clear" w:color="auto" w:fill="D9D9D9"/>
              </w:rPr>
              <w:t>先天性脊柱侧弯或脊柱畸形、继发性脊柱侧弯或脊柱变形、支具治疗不</w:t>
            </w:r>
            <w:r>
              <w:rPr>
                <w:rFonts w:ascii="黑体" w:eastAsia="黑体"/>
                <w:color w:val="000000"/>
                <w:spacing w:val="80"/>
                <w:w w:val="150"/>
                <w:sz w:val="21"/>
                <w:shd w:val="clear" w:color="auto" w:fill="D9D9D9"/>
              </w:rPr>
              <w:t xml:space="preserve">                                   </w:t>
            </w:r>
            <w:r>
              <w:rPr>
                <w:rFonts w:ascii="黑体" w:eastAsia="黑体"/>
                <w:color w:val="000000"/>
                <w:spacing w:val="-2"/>
                <w:sz w:val="21"/>
                <w:shd w:val="clear" w:color="auto" w:fill="D9D9D9"/>
              </w:rPr>
              <w:t>在保障范围内。</w:t>
            </w:r>
          </w:p>
          <w:p>
            <w:pPr>
              <w:pStyle w:val="10"/>
              <w:spacing w:before="0" w:line="269" w:lineRule="exact"/>
              <w:rPr>
                <w:rFonts w:ascii="黑体" w:eastAsia="黑体"/>
                <w:sz w:val="21"/>
              </w:rPr>
            </w:pPr>
            <w:r>
              <w:rPr>
                <w:rFonts w:ascii="黑体" w:eastAsia="黑体"/>
                <w:color w:val="000000"/>
                <w:spacing w:val="-8"/>
                <w:sz w:val="21"/>
                <w:shd w:val="clear" w:color="auto" w:fill="D9D9D9"/>
              </w:rPr>
              <w:t xml:space="preserve">本疾病保障期至 </w:t>
            </w:r>
            <w:r>
              <w:rPr>
                <w:rFonts w:ascii="黑体" w:eastAsia="黑体"/>
                <w:color w:val="000000"/>
                <w:spacing w:val="-2"/>
                <w:sz w:val="21"/>
                <w:shd w:val="clear" w:color="auto" w:fill="D9D9D9"/>
              </w:rPr>
              <w:t>25</w:t>
            </w:r>
            <w:r>
              <w:rPr>
                <w:rFonts w:ascii="黑体" w:eastAsia="黑体"/>
                <w:color w:val="000000"/>
                <w:spacing w:val="-16"/>
                <w:sz w:val="21"/>
                <w:shd w:val="clear" w:color="auto" w:fill="D9D9D9"/>
              </w:rPr>
              <w:t xml:space="preserve"> 周岁。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43" w:hRule="atLeast"/>
        </w:trPr>
        <w:tc>
          <w:tcPr>
            <w:tcW w:w="1090" w:type="dxa"/>
            <w:tcBorders>
              <w:left w:val="single" w:color="000000" w:sz="12" w:space="0"/>
            </w:tcBorders>
          </w:tcPr>
          <w:p>
            <w:pPr>
              <w:pStyle w:val="10"/>
              <w:ind w:left="388"/>
              <w:rPr>
                <w:sz w:val="21"/>
              </w:rPr>
            </w:pPr>
            <w:r>
              <w:rPr>
                <w:spacing w:val="-5"/>
                <w:sz w:val="21"/>
              </w:rPr>
              <w:t>104</w:t>
            </w:r>
          </w:p>
        </w:tc>
        <w:tc>
          <w:tcPr>
            <w:tcW w:w="2194" w:type="dxa"/>
          </w:tcPr>
          <w:p>
            <w:pPr>
              <w:pStyle w:val="10"/>
              <w:ind w:left="119"/>
              <w:rPr>
                <w:sz w:val="21"/>
              </w:rPr>
            </w:pPr>
            <w:r>
              <w:rPr>
                <w:spacing w:val="-4"/>
                <w:sz w:val="21"/>
              </w:rPr>
              <w:t>严重癫痫</w:t>
            </w:r>
          </w:p>
        </w:tc>
        <w:tc>
          <w:tcPr>
            <w:tcW w:w="6656" w:type="dxa"/>
            <w:tcBorders>
              <w:right w:val="single" w:color="000000" w:sz="12" w:space="0"/>
            </w:tcBorders>
          </w:tcPr>
          <w:p>
            <w:pPr>
              <w:pStyle w:val="10"/>
              <w:spacing w:line="278" w:lineRule="auto"/>
              <w:ind w:right="73"/>
              <w:jc w:val="both"/>
              <w:rPr>
                <w:sz w:val="21"/>
              </w:rPr>
            </w:pPr>
            <w:r>
              <w:rPr>
                <w:spacing w:val="-6"/>
                <w:sz w:val="21"/>
              </w:rPr>
              <w:t>指以癫痫反复发作为特征的慢性脑部疾病状态，经依照癫痫临床指南正</w:t>
            </w:r>
            <w:r>
              <w:rPr>
                <w:spacing w:val="-4"/>
                <w:sz w:val="21"/>
              </w:rPr>
              <w:t>规抗癫痫药物治疗不能控制，被明确诊断为药物难治性癫痫。必须满足</w:t>
            </w:r>
            <w:r>
              <w:rPr>
                <w:spacing w:val="-2"/>
                <w:sz w:val="21"/>
              </w:rPr>
              <w:t>下列所有条件：</w:t>
            </w:r>
          </w:p>
          <w:p>
            <w:pPr>
              <w:pStyle w:val="10"/>
              <w:numPr>
                <w:ilvl w:val="0"/>
                <w:numId w:val="97"/>
              </w:numPr>
              <w:tabs>
                <w:tab w:val="left" w:pos="637"/>
              </w:tabs>
              <w:spacing w:before="0" w:after="0" w:line="278" w:lineRule="auto"/>
              <w:ind w:left="107" w:right="107" w:firstLine="0"/>
              <w:jc w:val="both"/>
              <w:rPr>
                <w:sz w:val="21"/>
              </w:rPr>
            </w:pPr>
            <w:r>
              <w:rPr>
                <w:w w:val="95"/>
                <w:sz w:val="21"/>
              </w:rPr>
              <w:t>反复癫痫发作，连续和持续服用抗癫痫药物治疗</w:t>
            </w:r>
            <w:r>
              <w:rPr>
                <w:sz w:val="21"/>
              </w:rPr>
              <w:t xml:space="preserve"> </w:t>
            </w:r>
            <w:r>
              <w:rPr>
                <w:w w:val="95"/>
                <w:sz w:val="21"/>
              </w:rPr>
              <w:t>1</w:t>
            </w:r>
            <w:r>
              <w:rPr>
                <w:sz w:val="21"/>
              </w:rPr>
              <w:t xml:space="preserve"> </w:t>
            </w:r>
            <w:r>
              <w:rPr>
                <w:w w:val="95"/>
                <w:sz w:val="21"/>
              </w:rPr>
              <w:t>年以上不能控</w:t>
            </w:r>
            <w:r>
              <w:rPr>
                <w:spacing w:val="-6"/>
                <w:sz w:val="21"/>
              </w:rPr>
              <w:t>制；</w:t>
            </w:r>
          </w:p>
          <w:p>
            <w:pPr>
              <w:pStyle w:val="10"/>
              <w:numPr>
                <w:ilvl w:val="0"/>
                <w:numId w:val="97"/>
              </w:numPr>
              <w:tabs>
                <w:tab w:val="left" w:pos="637"/>
              </w:tabs>
              <w:spacing w:before="0" w:after="0" w:line="278" w:lineRule="auto"/>
              <w:ind w:left="107" w:right="1" w:firstLine="0"/>
              <w:jc w:val="left"/>
              <w:rPr>
                <w:sz w:val="21"/>
              </w:rPr>
            </w:pPr>
            <w:r>
              <w:rPr>
                <w:spacing w:val="-2"/>
                <w:sz w:val="21"/>
              </w:rPr>
              <w:t>实际接受了癫痫外科切除性手术（致痫灶切除术或脑叶切除术</w:t>
            </w:r>
            <w:r>
              <w:rPr>
                <w:spacing w:val="-106"/>
                <w:sz w:val="21"/>
              </w:rPr>
              <w:t>）</w:t>
            </w:r>
            <w:r>
              <w:rPr>
                <w:spacing w:val="-2"/>
                <w:sz w:val="21"/>
              </w:rPr>
              <w:t>、癫痫外科姑息性手术（胼胝体切开术、软脑膜下横切术、脑皮层电凝热</w:t>
            </w:r>
            <w:r>
              <w:rPr>
                <w:spacing w:val="-15"/>
                <w:sz w:val="21"/>
              </w:rPr>
              <w:t xml:space="preserve">灼术 </w:t>
            </w:r>
            <w:r>
              <w:rPr>
                <w:spacing w:val="25"/>
                <w:sz w:val="21"/>
              </w:rPr>
              <w:t>M</w:t>
            </w:r>
            <w:r>
              <w:rPr>
                <w:spacing w:val="28"/>
                <w:sz w:val="21"/>
              </w:rPr>
              <w:t>S</w:t>
            </w:r>
            <w:r>
              <w:rPr>
                <w:spacing w:val="27"/>
                <w:sz w:val="21"/>
              </w:rPr>
              <w:t>T</w:t>
            </w:r>
            <w:r>
              <w:rPr>
                <w:spacing w:val="-80"/>
                <w:sz w:val="21"/>
              </w:rPr>
              <w:t>）</w:t>
            </w:r>
            <w:r>
              <w:rPr>
                <w:sz w:val="21"/>
              </w:rPr>
              <w:t>、脑立体定向射频毁损术或立体定向放射外科治疗。</w:t>
            </w:r>
          </w:p>
          <w:p>
            <w:pPr>
              <w:pStyle w:val="10"/>
              <w:spacing w:before="0" w:line="269" w:lineRule="exact"/>
              <w:rPr>
                <w:rFonts w:ascii="黑体" w:eastAsia="黑体"/>
                <w:sz w:val="21"/>
              </w:rPr>
            </w:pPr>
            <w:r>
              <w:rPr>
                <w:rFonts w:ascii="黑体" w:eastAsia="黑体"/>
                <w:color w:val="000000"/>
                <w:spacing w:val="-5"/>
                <w:sz w:val="21"/>
                <w:shd w:val="clear" w:color="auto" w:fill="D9D9D9"/>
              </w:rPr>
              <w:t>先天性脑畸形或脑发育异常、遗传代谢病所致癫痫、癫痫神经调控治疗</w:t>
            </w:r>
          </w:p>
          <w:p>
            <w:pPr>
              <w:pStyle w:val="10"/>
              <w:spacing w:before="43" w:line="278" w:lineRule="auto"/>
              <w:ind w:right="-44"/>
              <w:rPr>
                <w:rFonts w:ascii="黑体" w:eastAsia="黑体"/>
                <w:sz w:val="21"/>
              </w:rPr>
            </w:pPr>
            <w:r>
              <w:rPr>
                <w:rFonts w:ascii="黑体" w:eastAsia="黑体"/>
                <w:color w:val="000000"/>
                <w:sz w:val="21"/>
                <w:shd w:val="clear" w:color="auto" w:fill="D9D9D9"/>
              </w:rPr>
              <w:t>（</w:t>
            </w:r>
            <w:r>
              <w:rPr>
                <w:rFonts w:ascii="黑体" w:eastAsia="黑体"/>
                <w:color w:val="000000"/>
                <w:spacing w:val="7"/>
                <w:sz w:val="21"/>
                <w:shd w:val="clear" w:color="auto" w:fill="D9D9D9"/>
              </w:rPr>
              <w:t>迷走神经刺激术</w:t>
            </w:r>
            <w:r>
              <w:rPr>
                <w:rFonts w:ascii="黑体" w:eastAsia="黑体"/>
                <w:color w:val="000000"/>
                <w:sz w:val="21"/>
                <w:shd w:val="clear" w:color="auto" w:fill="D9D9D9"/>
              </w:rPr>
              <w:t>VNS</w:t>
            </w:r>
            <w:r>
              <w:rPr>
                <w:rFonts w:ascii="黑体" w:eastAsia="黑体"/>
                <w:color w:val="000000"/>
                <w:spacing w:val="-6"/>
                <w:sz w:val="21"/>
                <w:shd w:val="clear" w:color="auto" w:fill="D9D9D9"/>
              </w:rPr>
              <w:t xml:space="preserve">、反应性神经刺激器 </w:t>
            </w:r>
            <w:r>
              <w:rPr>
                <w:rFonts w:ascii="黑体" w:eastAsia="黑体"/>
                <w:color w:val="000000"/>
                <w:sz w:val="21"/>
                <w:shd w:val="clear" w:color="auto" w:fill="D9D9D9"/>
              </w:rPr>
              <w:t>RNS</w:t>
            </w:r>
            <w:r>
              <w:rPr>
                <w:rFonts w:ascii="黑体" w:eastAsia="黑体"/>
                <w:color w:val="000000"/>
                <w:spacing w:val="-6"/>
                <w:sz w:val="21"/>
                <w:shd w:val="clear" w:color="auto" w:fill="D9D9D9"/>
              </w:rPr>
              <w:t xml:space="preserve">、深部脑电极刺激 </w:t>
            </w:r>
            <w:r>
              <w:rPr>
                <w:rFonts w:ascii="黑体" w:eastAsia="黑体"/>
                <w:color w:val="000000"/>
                <w:sz w:val="21"/>
                <w:shd w:val="clear" w:color="auto" w:fill="D9D9D9"/>
              </w:rPr>
              <w:t>DBS）</w:t>
            </w:r>
            <w:r>
              <w:rPr>
                <w:rFonts w:ascii="黑体" w:eastAsia="黑体"/>
                <w:color w:val="000000"/>
                <w:spacing w:val="80"/>
                <w:w w:val="150"/>
                <w:sz w:val="21"/>
                <w:shd w:val="clear" w:color="auto" w:fill="D9D9D9"/>
              </w:rPr>
              <w:t xml:space="preserve">                                    </w:t>
            </w:r>
            <w:r>
              <w:rPr>
                <w:rFonts w:ascii="黑体" w:eastAsia="黑体"/>
                <w:color w:val="000000"/>
                <w:spacing w:val="-2"/>
                <w:sz w:val="21"/>
                <w:shd w:val="clear" w:color="auto" w:fill="D9D9D9"/>
              </w:rPr>
              <w:t>不在保障范围内。</w:t>
            </w:r>
          </w:p>
          <w:p>
            <w:pPr>
              <w:pStyle w:val="10"/>
              <w:spacing w:before="0" w:line="269" w:lineRule="exact"/>
              <w:rPr>
                <w:rFonts w:ascii="黑体" w:eastAsia="黑体"/>
                <w:sz w:val="21"/>
              </w:rPr>
            </w:pPr>
            <w:r>
              <w:rPr>
                <w:rFonts w:ascii="黑体" w:eastAsia="黑体"/>
                <w:color w:val="000000"/>
                <w:spacing w:val="-8"/>
                <w:sz w:val="21"/>
                <w:shd w:val="clear" w:color="auto" w:fill="D9D9D9"/>
              </w:rPr>
              <w:t xml:space="preserve">本疾病保障期至 </w:t>
            </w:r>
            <w:r>
              <w:rPr>
                <w:rFonts w:ascii="黑体" w:eastAsia="黑体"/>
                <w:color w:val="000000"/>
                <w:spacing w:val="-2"/>
                <w:sz w:val="21"/>
                <w:shd w:val="clear" w:color="auto" w:fill="D9D9D9"/>
              </w:rPr>
              <w:t>25</w:t>
            </w:r>
            <w:r>
              <w:rPr>
                <w:rFonts w:ascii="黑体" w:eastAsia="黑体"/>
                <w:color w:val="000000"/>
                <w:spacing w:val="-16"/>
                <w:sz w:val="21"/>
                <w:shd w:val="clear" w:color="auto" w:fill="D9D9D9"/>
              </w:rPr>
              <w:t xml:space="preserve"> 周岁。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4" w:hRule="atLeast"/>
        </w:trPr>
        <w:tc>
          <w:tcPr>
            <w:tcW w:w="1090" w:type="dxa"/>
            <w:tcBorders>
              <w:left w:val="single" w:color="000000" w:sz="12" w:space="0"/>
            </w:tcBorders>
          </w:tcPr>
          <w:p>
            <w:pPr>
              <w:pStyle w:val="10"/>
              <w:spacing w:before="18"/>
              <w:ind w:left="388"/>
              <w:rPr>
                <w:sz w:val="21"/>
              </w:rPr>
            </w:pPr>
            <w:r>
              <w:rPr>
                <w:spacing w:val="-5"/>
                <w:sz w:val="21"/>
              </w:rPr>
              <w:t>105</w:t>
            </w:r>
          </w:p>
        </w:tc>
        <w:tc>
          <w:tcPr>
            <w:tcW w:w="2194" w:type="dxa"/>
          </w:tcPr>
          <w:p>
            <w:pPr>
              <w:pStyle w:val="10"/>
              <w:spacing w:before="18"/>
              <w:ind w:left="119"/>
              <w:rPr>
                <w:sz w:val="21"/>
              </w:rPr>
            </w:pPr>
            <w:r>
              <w:rPr>
                <w:spacing w:val="-4"/>
                <w:sz w:val="21"/>
              </w:rPr>
              <w:t>开颅手术</w:t>
            </w:r>
          </w:p>
        </w:tc>
        <w:tc>
          <w:tcPr>
            <w:tcW w:w="6656" w:type="dxa"/>
            <w:tcBorders>
              <w:right w:val="single" w:color="000000" w:sz="12" w:space="0"/>
            </w:tcBorders>
          </w:tcPr>
          <w:p>
            <w:pPr>
              <w:pStyle w:val="10"/>
              <w:spacing w:before="18" w:line="278" w:lineRule="auto"/>
              <w:ind w:right="73"/>
              <w:jc w:val="both"/>
              <w:rPr>
                <w:sz w:val="21"/>
              </w:rPr>
            </w:pPr>
            <w:r>
              <w:rPr>
                <w:spacing w:val="-4"/>
                <w:sz w:val="21"/>
              </w:rPr>
              <w:t>指因外伤、颅内肿瘤或脑动脉瘤，被保险人实际接受了在全麻下进行的颅骨切开手术，进行了清除脑内血肿、切除肿瘤、夹闭破裂或未破裂动</w:t>
            </w:r>
            <w:r>
              <w:rPr>
                <w:spacing w:val="-2"/>
                <w:sz w:val="21"/>
              </w:rPr>
              <w:t>脉瘤的手术治疗。</w:t>
            </w:r>
          </w:p>
          <w:p>
            <w:pPr>
              <w:pStyle w:val="10"/>
              <w:spacing w:before="1" w:line="278" w:lineRule="auto"/>
              <w:ind w:right="73"/>
              <w:rPr>
                <w:rFonts w:ascii="黑体" w:eastAsia="黑体"/>
                <w:sz w:val="21"/>
              </w:rPr>
            </w:pPr>
            <w:r>
              <w:rPr>
                <w:rFonts w:ascii="黑体" w:eastAsia="黑体"/>
                <w:color w:val="000000"/>
                <w:spacing w:val="-4"/>
                <w:sz w:val="21"/>
                <w:shd w:val="clear" w:color="auto" w:fill="D9D9D9"/>
              </w:rPr>
              <w:t>颅骨打孔手术、硬膜下血肿清除术、硬膜外血肿清除术、动脉瘤栓塞手</w:t>
            </w:r>
            <w:r>
              <w:rPr>
                <w:rFonts w:ascii="黑体" w:eastAsia="黑体"/>
                <w:color w:val="000000"/>
                <w:spacing w:val="80"/>
                <w:w w:val="150"/>
                <w:sz w:val="21"/>
                <w:shd w:val="clear" w:color="auto" w:fill="D9D9D9"/>
              </w:rPr>
              <w:t xml:space="preserve">                                   </w:t>
            </w:r>
            <w:r>
              <w:rPr>
                <w:rFonts w:ascii="黑体" w:eastAsia="黑体"/>
                <w:color w:val="000000"/>
                <w:spacing w:val="-5"/>
                <w:sz w:val="21"/>
                <w:shd w:val="clear" w:color="auto" w:fill="D9D9D9"/>
              </w:rPr>
              <w:t>术、血管内手术、颅骨开窗或切除减压术、脑积水脑脊液分流手术、经</w:t>
            </w:r>
          </w:p>
          <w:p>
            <w:pPr>
              <w:pStyle w:val="10"/>
              <w:spacing w:before="0" w:line="269" w:lineRule="exact"/>
              <w:rPr>
                <w:rFonts w:ascii="黑体" w:eastAsia="黑体"/>
                <w:sz w:val="21"/>
              </w:rPr>
            </w:pPr>
            <w:r>
              <w:rPr>
                <w:rFonts w:ascii="黑体" w:eastAsia="黑体"/>
                <w:color w:val="000000"/>
                <w:spacing w:val="-3"/>
                <w:sz w:val="21"/>
                <w:shd w:val="clear" w:color="auto" w:fill="D9D9D9"/>
              </w:rPr>
              <w:t>蝶骨肿瘤切除术及其他原因的开颅手术不在保障范围内。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1" w:hRule="atLeast"/>
        </w:trPr>
        <w:tc>
          <w:tcPr>
            <w:tcW w:w="1090" w:type="dxa"/>
            <w:tcBorders>
              <w:left w:val="single" w:color="000000" w:sz="12" w:space="0"/>
            </w:tcBorders>
          </w:tcPr>
          <w:p>
            <w:pPr>
              <w:pStyle w:val="10"/>
              <w:ind w:left="388"/>
              <w:rPr>
                <w:sz w:val="21"/>
              </w:rPr>
            </w:pPr>
            <w:r>
              <w:rPr>
                <w:spacing w:val="-5"/>
                <w:sz w:val="21"/>
              </w:rPr>
              <w:t>106</w:t>
            </w:r>
          </w:p>
        </w:tc>
        <w:tc>
          <w:tcPr>
            <w:tcW w:w="2194" w:type="dxa"/>
          </w:tcPr>
          <w:p>
            <w:pPr>
              <w:pStyle w:val="10"/>
              <w:ind w:left="119"/>
              <w:rPr>
                <w:sz w:val="21"/>
              </w:rPr>
            </w:pPr>
            <w:r>
              <w:rPr>
                <w:spacing w:val="-4"/>
                <w:sz w:val="21"/>
              </w:rPr>
              <w:t>席汉氏综合征</w:t>
            </w:r>
          </w:p>
        </w:tc>
        <w:tc>
          <w:tcPr>
            <w:tcW w:w="6656" w:type="dxa"/>
            <w:tcBorders>
              <w:right w:val="single" w:color="000000" w:sz="12" w:space="0"/>
            </w:tcBorders>
          </w:tcPr>
          <w:p>
            <w:pPr>
              <w:pStyle w:val="10"/>
              <w:spacing w:line="278" w:lineRule="auto"/>
              <w:ind w:right="73"/>
              <w:jc w:val="both"/>
              <w:rPr>
                <w:sz w:val="21"/>
              </w:rPr>
            </w:pPr>
            <w:r>
              <w:rPr>
                <w:spacing w:val="-9"/>
                <w:sz w:val="21"/>
              </w:rPr>
              <w:t>指因产后大出血并发休克、全身循环衰竭导致脑垂体缺血坏死和垂体分</w:t>
            </w:r>
            <w:r>
              <w:rPr>
                <w:spacing w:val="-4"/>
                <w:sz w:val="21"/>
              </w:rPr>
              <w:t>泌激素不足，造成性腺、甲状腺、肾上腺皮质功能减退。必须满足下列</w:t>
            </w:r>
            <w:r>
              <w:rPr>
                <w:spacing w:val="-2"/>
                <w:sz w:val="21"/>
              </w:rPr>
              <w:t>所有条件：</w:t>
            </w:r>
          </w:p>
          <w:p>
            <w:pPr>
              <w:pStyle w:val="10"/>
              <w:numPr>
                <w:ilvl w:val="0"/>
                <w:numId w:val="98"/>
              </w:numPr>
              <w:tabs>
                <w:tab w:val="left" w:pos="637"/>
              </w:tabs>
              <w:spacing w:before="0" w:after="0" w:line="269" w:lineRule="exact"/>
              <w:ind w:left="636" w:right="0" w:hanging="530"/>
              <w:jc w:val="left"/>
              <w:rPr>
                <w:sz w:val="21"/>
              </w:rPr>
            </w:pPr>
            <w:r>
              <w:rPr>
                <w:spacing w:val="-3"/>
                <w:sz w:val="21"/>
              </w:rPr>
              <w:t>产后大出血休克病史；</w:t>
            </w:r>
          </w:p>
          <w:p>
            <w:pPr>
              <w:pStyle w:val="10"/>
              <w:numPr>
                <w:ilvl w:val="0"/>
                <w:numId w:val="98"/>
              </w:numPr>
              <w:tabs>
                <w:tab w:val="left" w:pos="637"/>
              </w:tabs>
              <w:spacing w:before="43" w:after="0" w:line="240" w:lineRule="auto"/>
              <w:ind w:left="636" w:right="0" w:hanging="530"/>
              <w:jc w:val="left"/>
              <w:rPr>
                <w:sz w:val="21"/>
              </w:rPr>
            </w:pPr>
            <w:r>
              <w:rPr>
                <w:spacing w:val="-5"/>
                <w:sz w:val="21"/>
              </w:rPr>
              <w:t xml:space="preserve">严重腺垂体功能破坏，破坏程度在 </w:t>
            </w:r>
            <w:r>
              <w:rPr>
                <w:spacing w:val="-2"/>
                <w:sz w:val="21"/>
              </w:rPr>
              <w:t>95</w:t>
            </w:r>
            <w:r>
              <w:rPr>
                <w:spacing w:val="-4"/>
                <w:sz w:val="21"/>
              </w:rPr>
              <w:t>%以上；</w:t>
            </w:r>
          </w:p>
          <w:p>
            <w:pPr>
              <w:pStyle w:val="10"/>
              <w:numPr>
                <w:ilvl w:val="0"/>
                <w:numId w:val="98"/>
              </w:numPr>
              <w:tabs>
                <w:tab w:val="left" w:pos="637"/>
              </w:tabs>
              <w:spacing w:before="43" w:after="0" w:line="240" w:lineRule="auto"/>
              <w:ind w:left="636" w:right="0" w:hanging="530"/>
              <w:jc w:val="left"/>
              <w:rPr>
                <w:sz w:val="21"/>
              </w:rPr>
            </w:pPr>
            <w:r>
              <w:rPr>
                <w:spacing w:val="-3"/>
                <w:sz w:val="21"/>
              </w:rPr>
              <w:t>影像学检查显示脑垂体严重萎缩或消失；</w:t>
            </w:r>
          </w:p>
        </w:tc>
      </w:tr>
    </w:tbl>
    <w:p>
      <w:pPr>
        <w:spacing w:after="0" w:line="240" w:lineRule="auto"/>
        <w:jc w:val="left"/>
        <w:rPr>
          <w:sz w:val="21"/>
        </w:rPr>
        <w:sectPr>
          <w:type w:val="continuous"/>
          <w:pgSz w:w="11910" w:h="16840"/>
          <w:pgMar w:top="840" w:right="340" w:bottom="640" w:left="800" w:header="0" w:footer="457" w:gutter="0"/>
          <w:cols w:space="720" w:num="1"/>
        </w:sectPr>
      </w:pPr>
    </w:p>
    <w:tbl>
      <w:tblPr>
        <w:tblStyle w:val="6"/>
        <w:tblW w:w="0" w:type="auto"/>
        <w:tblInd w:w="22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90"/>
        <w:gridCol w:w="2194"/>
        <w:gridCol w:w="66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84" w:hRule="atLeast"/>
        </w:trPr>
        <w:tc>
          <w:tcPr>
            <w:tcW w:w="1090" w:type="dxa"/>
            <w:tcBorders>
              <w:left w:val="single" w:color="000000" w:sz="12" w:space="0"/>
            </w:tcBorders>
          </w:tcPr>
          <w:p>
            <w:pPr>
              <w:pStyle w:val="10"/>
              <w:spacing w:before="0"/>
              <w:ind w:left="0"/>
              <w:rPr>
                <w:rFonts w:ascii="Times New Roman"/>
                <w:sz w:val="20"/>
              </w:rPr>
            </w:pPr>
          </w:p>
        </w:tc>
        <w:tc>
          <w:tcPr>
            <w:tcW w:w="2194" w:type="dxa"/>
          </w:tcPr>
          <w:p>
            <w:pPr>
              <w:pStyle w:val="10"/>
              <w:spacing w:before="0"/>
              <w:ind w:left="0"/>
              <w:rPr>
                <w:rFonts w:ascii="Times New Roman"/>
                <w:sz w:val="20"/>
              </w:rPr>
            </w:pPr>
          </w:p>
        </w:tc>
        <w:tc>
          <w:tcPr>
            <w:tcW w:w="6656" w:type="dxa"/>
            <w:tcBorders>
              <w:right w:val="single" w:color="000000" w:sz="12" w:space="0"/>
            </w:tcBorders>
          </w:tcPr>
          <w:p>
            <w:pPr>
              <w:pStyle w:val="10"/>
              <w:rPr>
                <w:sz w:val="21"/>
              </w:rPr>
            </w:pPr>
            <w:r>
              <w:rPr>
                <w:spacing w:val="-2"/>
                <w:sz w:val="21"/>
              </w:rPr>
              <w:t>（4）</w:t>
            </w:r>
            <w:r>
              <w:rPr>
                <w:spacing w:val="-4"/>
                <w:sz w:val="21"/>
              </w:rPr>
              <w:t>实验室检查显示：</w:t>
            </w:r>
          </w:p>
          <w:p>
            <w:pPr>
              <w:pStyle w:val="10"/>
              <w:numPr>
                <w:ilvl w:val="0"/>
                <w:numId w:val="99"/>
              </w:numPr>
              <w:tabs>
                <w:tab w:val="left" w:pos="528"/>
              </w:tabs>
              <w:spacing w:before="43" w:after="0" w:line="240" w:lineRule="auto"/>
              <w:ind w:left="527" w:right="0" w:hanging="421"/>
              <w:jc w:val="left"/>
              <w:rPr>
                <w:sz w:val="21"/>
              </w:rPr>
            </w:pPr>
            <w:r>
              <w:rPr>
                <w:spacing w:val="-3"/>
                <w:sz w:val="21"/>
              </w:rPr>
              <w:t>垂体前叶激素全面低下；和</w:t>
            </w:r>
          </w:p>
          <w:p>
            <w:pPr>
              <w:pStyle w:val="10"/>
              <w:numPr>
                <w:ilvl w:val="0"/>
                <w:numId w:val="99"/>
              </w:numPr>
              <w:tabs>
                <w:tab w:val="left" w:pos="528"/>
              </w:tabs>
              <w:spacing w:before="43" w:after="0" w:line="278" w:lineRule="auto"/>
              <w:ind w:left="107" w:right="74" w:firstLine="0"/>
              <w:jc w:val="left"/>
              <w:rPr>
                <w:sz w:val="21"/>
              </w:rPr>
            </w:pPr>
            <w:r>
              <w:rPr>
                <w:spacing w:val="-4"/>
                <w:sz w:val="21"/>
              </w:rPr>
              <w:t>性激素、甲状腺素、肾上腺皮质激素全面低下（包括生长激素、促</w:t>
            </w:r>
            <w:r>
              <w:rPr>
                <w:spacing w:val="-2"/>
                <w:sz w:val="21"/>
              </w:rPr>
              <w:t>甲状腺素、促肾上腺皮质激素、卵泡刺激素和黄体生成素</w:t>
            </w:r>
            <w:r>
              <w:rPr>
                <w:spacing w:val="-106"/>
                <w:sz w:val="21"/>
              </w:rPr>
              <w:t>）</w:t>
            </w:r>
            <w:r>
              <w:rPr>
                <w:sz w:val="21"/>
              </w:rPr>
              <w:t>；</w:t>
            </w:r>
          </w:p>
          <w:p>
            <w:pPr>
              <w:pStyle w:val="10"/>
              <w:spacing w:before="0" w:line="278" w:lineRule="auto"/>
              <w:ind w:right="107"/>
              <w:rPr>
                <w:sz w:val="21"/>
              </w:rPr>
            </w:pPr>
            <w:r>
              <w:rPr>
                <w:spacing w:val="-2"/>
                <w:sz w:val="21"/>
              </w:rPr>
              <w:t>（5）需要终身激素替代治疗以维持身体功能，已经持续服用各种替代激素超过一年。</w:t>
            </w:r>
          </w:p>
          <w:p>
            <w:pPr>
              <w:pStyle w:val="10"/>
              <w:spacing w:before="0" w:line="269" w:lineRule="exact"/>
              <w:rPr>
                <w:rFonts w:ascii="黑体" w:eastAsia="黑体"/>
                <w:sz w:val="21"/>
              </w:rPr>
            </w:pPr>
            <w:r>
              <w:rPr>
                <w:rFonts w:ascii="黑体" w:eastAsia="黑体"/>
                <w:color w:val="000000"/>
                <w:spacing w:val="-3"/>
                <w:sz w:val="21"/>
                <w:shd w:val="clear" w:color="auto" w:fill="D9D9D9"/>
              </w:rPr>
              <w:t>垂体功能部分低下及其他原因所致垂体功能低下不在保障范围之内。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1" w:hRule="atLeast"/>
        </w:trPr>
        <w:tc>
          <w:tcPr>
            <w:tcW w:w="1090" w:type="dxa"/>
            <w:tcBorders>
              <w:left w:val="single" w:color="000000" w:sz="12" w:space="0"/>
            </w:tcBorders>
          </w:tcPr>
          <w:p>
            <w:pPr>
              <w:pStyle w:val="10"/>
              <w:ind w:left="388"/>
              <w:rPr>
                <w:sz w:val="21"/>
              </w:rPr>
            </w:pPr>
            <w:r>
              <w:rPr>
                <w:spacing w:val="-5"/>
                <w:sz w:val="21"/>
              </w:rPr>
              <w:t>107</w:t>
            </w:r>
          </w:p>
        </w:tc>
        <w:tc>
          <w:tcPr>
            <w:tcW w:w="2194" w:type="dxa"/>
          </w:tcPr>
          <w:p>
            <w:pPr>
              <w:pStyle w:val="10"/>
              <w:spacing w:line="278" w:lineRule="auto"/>
              <w:ind w:left="119" w:right="82"/>
              <w:rPr>
                <w:sz w:val="21"/>
              </w:rPr>
            </w:pPr>
            <w:r>
              <w:rPr>
                <w:sz w:val="21"/>
              </w:rPr>
              <w:t>产科弥漫性血管内凝</w:t>
            </w:r>
            <w:r>
              <w:rPr>
                <w:spacing w:val="-10"/>
                <w:sz w:val="21"/>
              </w:rPr>
              <w:t>血</w:t>
            </w:r>
          </w:p>
        </w:tc>
        <w:tc>
          <w:tcPr>
            <w:tcW w:w="6656" w:type="dxa"/>
            <w:tcBorders>
              <w:right w:val="single" w:color="000000" w:sz="12" w:space="0"/>
            </w:tcBorders>
          </w:tcPr>
          <w:p>
            <w:pPr>
              <w:pStyle w:val="10"/>
              <w:spacing w:line="278" w:lineRule="auto"/>
              <w:ind w:right="1"/>
              <w:rPr>
                <w:sz w:val="21"/>
              </w:rPr>
            </w:pPr>
            <w:r>
              <w:rPr>
                <w:spacing w:val="-2"/>
                <w:sz w:val="21"/>
              </w:rPr>
              <w:t>指产科严重并发症（如重度子痫、胎盘早剥、产后出血、羊水栓塞）引发弥漫性血管内凝血，表现为出血、休克或微循环衰竭、微血管栓塞、微血管病性溶血。弥漫性血管内凝血应根据《中国弥漫性血管内凝血诊断积分系统》明确诊断。必须满足下列所有条件：</w:t>
            </w:r>
          </w:p>
          <w:p>
            <w:pPr>
              <w:pStyle w:val="10"/>
              <w:numPr>
                <w:ilvl w:val="0"/>
                <w:numId w:val="100"/>
              </w:numPr>
              <w:tabs>
                <w:tab w:val="left" w:pos="637"/>
              </w:tabs>
              <w:spacing w:before="0" w:after="0" w:line="269" w:lineRule="exact"/>
              <w:ind w:left="636" w:right="0" w:hanging="530"/>
              <w:jc w:val="left"/>
              <w:rPr>
                <w:sz w:val="21"/>
              </w:rPr>
            </w:pPr>
            <w:r>
              <w:rPr>
                <w:spacing w:val="-3"/>
                <w:sz w:val="21"/>
              </w:rPr>
              <w:t>接受了血浆和血小板替代治疗；</w:t>
            </w:r>
          </w:p>
          <w:p>
            <w:pPr>
              <w:pStyle w:val="10"/>
              <w:numPr>
                <w:ilvl w:val="0"/>
                <w:numId w:val="100"/>
              </w:numPr>
              <w:tabs>
                <w:tab w:val="left" w:pos="637"/>
              </w:tabs>
              <w:spacing w:before="43" w:after="0" w:line="240" w:lineRule="auto"/>
              <w:ind w:left="636" w:right="0" w:hanging="530"/>
              <w:jc w:val="left"/>
              <w:rPr>
                <w:sz w:val="21"/>
              </w:rPr>
            </w:pPr>
            <w:r>
              <w:rPr>
                <w:spacing w:val="-3"/>
                <w:sz w:val="21"/>
              </w:rPr>
              <w:t>接受了子宫切除手术。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32" w:hRule="atLeast"/>
        </w:trPr>
        <w:tc>
          <w:tcPr>
            <w:tcW w:w="1090" w:type="dxa"/>
            <w:tcBorders>
              <w:left w:val="single" w:color="000000" w:sz="12" w:space="0"/>
            </w:tcBorders>
          </w:tcPr>
          <w:p>
            <w:pPr>
              <w:pStyle w:val="10"/>
              <w:ind w:left="388"/>
              <w:rPr>
                <w:sz w:val="21"/>
              </w:rPr>
            </w:pPr>
            <w:r>
              <w:rPr>
                <w:spacing w:val="-5"/>
                <w:sz w:val="21"/>
              </w:rPr>
              <w:t>108</w:t>
            </w:r>
          </w:p>
        </w:tc>
        <w:tc>
          <w:tcPr>
            <w:tcW w:w="2194" w:type="dxa"/>
          </w:tcPr>
          <w:p>
            <w:pPr>
              <w:pStyle w:val="10"/>
              <w:spacing w:line="278" w:lineRule="auto"/>
              <w:ind w:left="119" w:right="82"/>
              <w:rPr>
                <w:sz w:val="21"/>
              </w:rPr>
            </w:pPr>
            <w:r>
              <w:rPr>
                <w:sz w:val="21"/>
              </w:rPr>
              <w:t>获得性特发性血栓性</w:t>
            </w:r>
            <w:r>
              <w:rPr>
                <w:spacing w:val="-2"/>
                <w:sz w:val="21"/>
              </w:rPr>
              <w:t>血小板减少性紫癜</w:t>
            </w:r>
          </w:p>
        </w:tc>
        <w:tc>
          <w:tcPr>
            <w:tcW w:w="6656" w:type="dxa"/>
            <w:tcBorders>
              <w:right w:val="single" w:color="000000" w:sz="12" w:space="0"/>
            </w:tcBorders>
          </w:tcPr>
          <w:p>
            <w:pPr>
              <w:pStyle w:val="10"/>
              <w:spacing w:line="278" w:lineRule="auto"/>
              <w:ind w:right="1"/>
              <w:rPr>
                <w:sz w:val="21"/>
              </w:rPr>
            </w:pPr>
            <w:r>
              <w:rPr>
                <w:spacing w:val="-5"/>
                <w:sz w:val="21"/>
              </w:rPr>
              <w:t>特发性血栓性血小板减少性紫癜为一组微血管血栓出血综合征，临床特</w:t>
            </w:r>
            <w:r>
              <w:rPr>
                <w:spacing w:val="-2"/>
                <w:sz w:val="21"/>
              </w:rPr>
              <w:t>征为微血管病性溶血性贫血、血小板减少、神经精神症状、肾脏受累。被保险人必须被明确诊断为血栓性血小板减少性紫癜并且满足下列至</w:t>
            </w:r>
            <w:r>
              <w:rPr>
                <w:spacing w:val="40"/>
                <w:sz w:val="21"/>
              </w:rPr>
              <w:t xml:space="preserve"> </w:t>
            </w:r>
            <w:r>
              <w:rPr>
                <w:spacing w:val="-2"/>
                <w:sz w:val="21"/>
              </w:rPr>
              <w:t>少三项条件：</w:t>
            </w:r>
          </w:p>
          <w:p>
            <w:pPr>
              <w:pStyle w:val="10"/>
              <w:numPr>
                <w:ilvl w:val="0"/>
                <w:numId w:val="101"/>
              </w:numPr>
              <w:tabs>
                <w:tab w:val="left" w:pos="637"/>
              </w:tabs>
              <w:spacing w:before="0" w:after="0" w:line="240" w:lineRule="auto"/>
              <w:ind w:left="636" w:right="0" w:hanging="530"/>
              <w:jc w:val="left"/>
              <w:rPr>
                <w:sz w:val="21"/>
              </w:rPr>
            </w:pPr>
            <w:r>
              <w:rPr>
                <w:spacing w:val="-3"/>
                <w:sz w:val="21"/>
              </w:rPr>
              <w:t>颅内出血或脑血栓形成；</w:t>
            </w:r>
          </w:p>
          <w:p>
            <w:pPr>
              <w:pStyle w:val="10"/>
              <w:numPr>
                <w:ilvl w:val="0"/>
                <w:numId w:val="101"/>
              </w:numPr>
              <w:tabs>
                <w:tab w:val="left" w:pos="637"/>
              </w:tabs>
              <w:spacing w:before="43" w:after="0" w:line="240" w:lineRule="auto"/>
              <w:ind w:left="636" w:right="0" w:hanging="530"/>
              <w:jc w:val="left"/>
              <w:rPr>
                <w:sz w:val="21"/>
              </w:rPr>
            </w:pPr>
            <w:r>
              <w:rPr>
                <w:spacing w:val="-3"/>
                <w:sz w:val="21"/>
              </w:rPr>
              <w:t>急性肾脏肾功能衰竭，接受了血液透析治疗；</w:t>
            </w:r>
          </w:p>
          <w:p>
            <w:pPr>
              <w:pStyle w:val="10"/>
              <w:numPr>
                <w:ilvl w:val="0"/>
                <w:numId w:val="101"/>
              </w:numPr>
              <w:tabs>
                <w:tab w:val="left" w:pos="637"/>
              </w:tabs>
              <w:spacing w:before="43" w:after="0" w:line="240" w:lineRule="auto"/>
              <w:ind w:left="636" w:right="0" w:hanging="530"/>
              <w:jc w:val="left"/>
              <w:rPr>
                <w:sz w:val="21"/>
              </w:rPr>
            </w:pPr>
            <w:r>
              <w:rPr>
                <w:spacing w:val="-3"/>
                <w:sz w:val="21"/>
              </w:rPr>
              <w:t>心脏受累肌钙蛋白升高和心电图异常；</w:t>
            </w:r>
          </w:p>
          <w:p>
            <w:pPr>
              <w:pStyle w:val="10"/>
              <w:numPr>
                <w:ilvl w:val="0"/>
                <w:numId w:val="101"/>
              </w:numPr>
              <w:tabs>
                <w:tab w:val="left" w:pos="637"/>
              </w:tabs>
              <w:spacing w:before="43" w:after="0" w:line="278" w:lineRule="auto"/>
              <w:ind w:left="107" w:right="73" w:firstLine="0"/>
              <w:jc w:val="left"/>
              <w:rPr>
                <w:sz w:val="21"/>
              </w:rPr>
            </w:pPr>
            <w:r>
              <w:rPr>
                <w:sz w:val="21"/>
              </w:rPr>
              <w:t>复发性血栓性血小板减少性紫癜（</w:t>
            </w:r>
            <w:r>
              <w:rPr>
                <w:spacing w:val="-4"/>
                <w:sz w:val="21"/>
              </w:rPr>
              <w:t xml:space="preserve">症状完全缓解 </w:t>
            </w:r>
            <w:r>
              <w:rPr>
                <w:sz w:val="21"/>
              </w:rPr>
              <w:t>30</w:t>
            </w:r>
            <w:r>
              <w:rPr>
                <w:spacing w:val="-5"/>
                <w:sz w:val="21"/>
              </w:rPr>
              <w:t xml:space="preserve"> 天后再发生</w:t>
            </w:r>
            <w:r>
              <w:rPr>
                <w:spacing w:val="-2"/>
                <w:sz w:val="21"/>
              </w:rPr>
              <w:t>临床表现</w:t>
            </w:r>
            <w:r>
              <w:rPr>
                <w:spacing w:val="-106"/>
                <w:sz w:val="21"/>
              </w:rPr>
              <w:t>）</w:t>
            </w:r>
            <w:r>
              <w:rPr>
                <w:spacing w:val="-2"/>
                <w:sz w:val="21"/>
              </w:rPr>
              <w:t>。</w:t>
            </w:r>
          </w:p>
          <w:p>
            <w:pPr>
              <w:pStyle w:val="10"/>
              <w:spacing w:before="0" w:line="269" w:lineRule="exact"/>
              <w:rPr>
                <w:rFonts w:ascii="黑体" w:eastAsia="黑体"/>
                <w:sz w:val="21"/>
              </w:rPr>
            </w:pPr>
            <w:r>
              <w:rPr>
                <w:rFonts w:ascii="黑体" w:eastAsia="黑体"/>
                <w:color w:val="000000"/>
                <w:spacing w:val="-8"/>
                <w:sz w:val="21"/>
                <w:shd w:val="clear" w:color="auto" w:fill="D9D9D9"/>
              </w:rPr>
              <w:t>遗传性血栓性血小板减少性紫癜、继发性血栓性血小板减少性紫癜不在</w:t>
            </w:r>
          </w:p>
          <w:p>
            <w:pPr>
              <w:pStyle w:val="10"/>
              <w:spacing w:before="43"/>
              <w:rPr>
                <w:rFonts w:ascii="黑体" w:eastAsia="黑体"/>
                <w:sz w:val="21"/>
              </w:rPr>
            </w:pPr>
            <w:r>
              <w:rPr>
                <w:rFonts w:ascii="黑体" w:eastAsia="黑体"/>
                <w:color w:val="000000"/>
                <w:spacing w:val="-4"/>
                <w:sz w:val="21"/>
                <w:shd w:val="clear" w:color="auto" w:fill="D9D9D9"/>
              </w:rPr>
              <w:t>保障范围内。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84" w:hRule="atLeast"/>
        </w:trPr>
        <w:tc>
          <w:tcPr>
            <w:tcW w:w="1090" w:type="dxa"/>
            <w:tcBorders>
              <w:left w:val="single" w:color="000000" w:sz="12" w:space="0"/>
            </w:tcBorders>
          </w:tcPr>
          <w:p>
            <w:pPr>
              <w:pStyle w:val="10"/>
              <w:ind w:left="388"/>
              <w:rPr>
                <w:sz w:val="21"/>
              </w:rPr>
            </w:pPr>
            <w:r>
              <w:rPr>
                <w:spacing w:val="-5"/>
                <w:sz w:val="21"/>
              </w:rPr>
              <w:t>109</w:t>
            </w:r>
          </w:p>
        </w:tc>
        <w:tc>
          <w:tcPr>
            <w:tcW w:w="2194" w:type="dxa"/>
          </w:tcPr>
          <w:p>
            <w:pPr>
              <w:pStyle w:val="10"/>
              <w:ind w:left="119"/>
              <w:rPr>
                <w:sz w:val="21"/>
              </w:rPr>
            </w:pPr>
            <w:r>
              <w:rPr>
                <w:spacing w:val="-3"/>
                <w:sz w:val="21"/>
              </w:rPr>
              <w:t>湿性老年性黄斑变性</w:t>
            </w:r>
          </w:p>
        </w:tc>
        <w:tc>
          <w:tcPr>
            <w:tcW w:w="6656" w:type="dxa"/>
            <w:tcBorders>
              <w:right w:val="single" w:color="000000" w:sz="12" w:space="0"/>
            </w:tcBorders>
          </w:tcPr>
          <w:p>
            <w:pPr>
              <w:pStyle w:val="10"/>
              <w:spacing w:line="278" w:lineRule="auto"/>
              <w:ind w:right="73"/>
              <w:jc w:val="both"/>
              <w:rPr>
                <w:sz w:val="21"/>
              </w:rPr>
            </w:pPr>
            <w:r>
              <w:rPr>
                <w:spacing w:val="-6"/>
                <w:sz w:val="21"/>
              </w:rPr>
              <w:t>是一种与年龄老化相关的渗出性黄斑部变性。黄斑部视网膜下脉络膜异</w:t>
            </w:r>
            <w:r>
              <w:rPr>
                <w:spacing w:val="-4"/>
                <w:sz w:val="21"/>
              </w:rPr>
              <w:t>常新生血管生长，造成渗出、出血、盘状瘢痕形成，引起中心视力进行</w:t>
            </w:r>
            <w:r>
              <w:rPr>
                <w:spacing w:val="-2"/>
                <w:sz w:val="21"/>
              </w:rPr>
              <w:t>性下降甚至丧失。必须满足下列所有条件：</w:t>
            </w:r>
          </w:p>
          <w:p>
            <w:pPr>
              <w:pStyle w:val="10"/>
              <w:numPr>
                <w:ilvl w:val="0"/>
                <w:numId w:val="102"/>
              </w:numPr>
              <w:tabs>
                <w:tab w:val="left" w:pos="637"/>
              </w:tabs>
              <w:spacing w:before="0" w:after="0" w:line="278" w:lineRule="auto"/>
              <w:ind w:left="107" w:right="76" w:firstLine="0"/>
              <w:jc w:val="left"/>
              <w:rPr>
                <w:sz w:val="21"/>
              </w:rPr>
            </w:pPr>
            <w:r>
              <w:rPr>
                <w:spacing w:val="-2"/>
                <w:sz w:val="21"/>
              </w:rPr>
              <w:t>湿性黄斑变性经光学相干断层成像（OCT）和眼底荧光血管造影明确诊断；</w:t>
            </w:r>
          </w:p>
          <w:p>
            <w:pPr>
              <w:pStyle w:val="10"/>
              <w:numPr>
                <w:ilvl w:val="0"/>
                <w:numId w:val="102"/>
              </w:numPr>
              <w:tabs>
                <w:tab w:val="left" w:pos="637"/>
              </w:tabs>
              <w:spacing w:before="0" w:after="0" w:line="269" w:lineRule="exact"/>
              <w:ind w:left="636" w:right="0" w:hanging="530"/>
              <w:jc w:val="left"/>
              <w:rPr>
                <w:sz w:val="21"/>
              </w:rPr>
            </w:pPr>
            <w:r>
              <w:rPr>
                <w:spacing w:val="-19"/>
                <w:sz w:val="21"/>
              </w:rPr>
              <w:t xml:space="preserve">年龄 </w:t>
            </w:r>
            <w:r>
              <w:rPr>
                <w:spacing w:val="-2"/>
                <w:sz w:val="21"/>
              </w:rPr>
              <w:t>50</w:t>
            </w:r>
            <w:r>
              <w:rPr>
                <w:spacing w:val="-12"/>
                <w:sz w:val="21"/>
              </w:rPr>
              <w:t xml:space="preserve"> 周岁以上</w:t>
            </w:r>
            <w:r>
              <w:rPr>
                <w:spacing w:val="-2"/>
                <w:sz w:val="21"/>
              </w:rPr>
              <w:t>（含</w:t>
            </w:r>
            <w:r>
              <w:rPr>
                <w:spacing w:val="-111"/>
                <w:sz w:val="21"/>
              </w:rPr>
              <w:t>）</w:t>
            </w:r>
            <w:r>
              <w:rPr>
                <w:spacing w:val="-5"/>
                <w:sz w:val="21"/>
              </w:rPr>
              <w:t>；</w:t>
            </w:r>
          </w:p>
          <w:p>
            <w:pPr>
              <w:pStyle w:val="10"/>
              <w:numPr>
                <w:ilvl w:val="0"/>
                <w:numId w:val="102"/>
              </w:numPr>
              <w:tabs>
                <w:tab w:val="left" w:pos="637"/>
              </w:tabs>
              <w:spacing w:before="43" w:after="0" w:line="240" w:lineRule="auto"/>
              <w:ind w:left="636" w:right="0" w:hanging="530"/>
              <w:jc w:val="left"/>
              <w:rPr>
                <w:sz w:val="21"/>
              </w:rPr>
            </w:pPr>
            <w:r>
              <w:rPr>
                <w:spacing w:val="-5"/>
                <w:sz w:val="21"/>
              </w:rPr>
              <w:t xml:space="preserve">双眼中较好眼矫正中心视力低于 </w:t>
            </w:r>
            <w:r>
              <w:rPr>
                <w:spacing w:val="-2"/>
                <w:sz w:val="21"/>
              </w:rPr>
              <w:t>0.1（含）</w:t>
            </w:r>
            <w:r>
              <w:rPr>
                <w:spacing w:val="-17"/>
                <w:sz w:val="21"/>
              </w:rPr>
              <w:t xml:space="preserve">持续 </w:t>
            </w:r>
            <w:r>
              <w:rPr>
                <w:spacing w:val="-2"/>
                <w:sz w:val="21"/>
              </w:rPr>
              <w:t>180</w:t>
            </w:r>
            <w:r>
              <w:rPr>
                <w:spacing w:val="-14"/>
                <w:sz w:val="21"/>
              </w:rPr>
              <w:t xml:space="preserve"> 天以上。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2" w:hRule="atLeast"/>
        </w:trPr>
        <w:tc>
          <w:tcPr>
            <w:tcW w:w="1090" w:type="dxa"/>
            <w:tcBorders>
              <w:left w:val="single" w:color="000000" w:sz="12" w:space="0"/>
            </w:tcBorders>
          </w:tcPr>
          <w:p>
            <w:pPr>
              <w:pStyle w:val="10"/>
              <w:ind w:left="388"/>
              <w:rPr>
                <w:sz w:val="21"/>
              </w:rPr>
            </w:pPr>
            <w:r>
              <w:rPr>
                <w:spacing w:val="-5"/>
                <w:sz w:val="21"/>
              </w:rPr>
              <w:t>110</w:t>
            </w:r>
          </w:p>
        </w:tc>
        <w:tc>
          <w:tcPr>
            <w:tcW w:w="2194" w:type="dxa"/>
          </w:tcPr>
          <w:p>
            <w:pPr>
              <w:pStyle w:val="10"/>
              <w:spacing w:line="278" w:lineRule="auto"/>
              <w:ind w:left="119" w:right="82"/>
              <w:rPr>
                <w:sz w:val="21"/>
              </w:rPr>
            </w:pPr>
            <w:r>
              <w:rPr>
                <w:sz w:val="21"/>
              </w:rPr>
              <w:t>重症急性坏死性筋膜</w:t>
            </w:r>
            <w:r>
              <w:rPr>
                <w:spacing w:val="-10"/>
                <w:sz w:val="21"/>
              </w:rPr>
              <w:t>炎</w:t>
            </w:r>
          </w:p>
        </w:tc>
        <w:tc>
          <w:tcPr>
            <w:tcW w:w="6656" w:type="dxa"/>
            <w:tcBorders>
              <w:right w:val="single" w:color="000000" w:sz="12" w:space="0"/>
            </w:tcBorders>
          </w:tcPr>
          <w:p>
            <w:pPr>
              <w:pStyle w:val="10"/>
              <w:spacing w:line="278" w:lineRule="auto"/>
              <w:ind w:right="73"/>
              <w:rPr>
                <w:sz w:val="21"/>
              </w:rPr>
            </w:pPr>
            <w:r>
              <w:rPr>
                <w:spacing w:val="-3"/>
                <w:w w:val="100"/>
                <w:sz w:val="21"/>
              </w:rPr>
              <w:t>坏死性筋膜炎指一种由细菌侵入皮下组织和筋膜引起的急性坏死性软</w:t>
            </w:r>
            <w:r>
              <w:rPr>
                <w:spacing w:val="-10"/>
                <w:w w:val="100"/>
                <w:sz w:val="21"/>
              </w:rPr>
              <w:t>组织感染，可伴有毒血症、败血症、中毒性休克、弥漫性血管内凝血及</w:t>
            </w:r>
            <w:r>
              <w:rPr>
                <w:spacing w:val="-5"/>
                <w:w w:val="100"/>
                <w:sz w:val="21"/>
              </w:rPr>
              <w:t>多器官衰竭。须满足下列全部条件：</w:t>
            </w:r>
          </w:p>
          <w:p>
            <w:pPr>
              <w:pStyle w:val="10"/>
              <w:numPr>
                <w:ilvl w:val="0"/>
                <w:numId w:val="103"/>
              </w:numPr>
              <w:tabs>
                <w:tab w:val="left" w:pos="637"/>
              </w:tabs>
              <w:spacing w:before="0" w:after="0" w:line="269" w:lineRule="exact"/>
              <w:ind w:left="636" w:right="0" w:hanging="530"/>
              <w:jc w:val="left"/>
              <w:rPr>
                <w:sz w:val="21"/>
              </w:rPr>
            </w:pPr>
            <w:r>
              <w:rPr>
                <w:spacing w:val="-3"/>
                <w:sz w:val="21"/>
              </w:rPr>
              <w:t>细菌培养和临床表现符合坏死性筋膜炎诊断标准；</w:t>
            </w:r>
          </w:p>
          <w:p>
            <w:pPr>
              <w:pStyle w:val="10"/>
              <w:numPr>
                <w:ilvl w:val="0"/>
                <w:numId w:val="103"/>
              </w:numPr>
              <w:tabs>
                <w:tab w:val="left" w:pos="637"/>
              </w:tabs>
              <w:spacing w:before="43" w:after="0" w:line="240" w:lineRule="auto"/>
              <w:ind w:left="636" w:right="0" w:hanging="530"/>
              <w:jc w:val="left"/>
              <w:rPr>
                <w:sz w:val="21"/>
              </w:rPr>
            </w:pPr>
            <w:r>
              <w:rPr>
                <w:spacing w:val="-3"/>
                <w:sz w:val="21"/>
              </w:rPr>
              <w:t>病情迅速恶化，有脓毒血症表现；</w:t>
            </w:r>
          </w:p>
          <w:p>
            <w:pPr>
              <w:pStyle w:val="10"/>
              <w:numPr>
                <w:ilvl w:val="0"/>
                <w:numId w:val="103"/>
              </w:numPr>
              <w:tabs>
                <w:tab w:val="left" w:pos="637"/>
              </w:tabs>
              <w:spacing w:before="43" w:after="0" w:line="240" w:lineRule="auto"/>
              <w:ind w:left="636" w:right="0" w:hanging="530"/>
              <w:jc w:val="left"/>
              <w:rPr>
                <w:sz w:val="21"/>
              </w:rPr>
            </w:pPr>
            <w:r>
              <w:rPr>
                <w:spacing w:val="-2"/>
                <w:sz w:val="21"/>
              </w:rPr>
              <w:t>受感染肢体被截肢（自腕关节或踝关节近端</w:t>
            </w:r>
            <w:r>
              <w:rPr>
                <w:spacing w:val="-108"/>
                <w:sz w:val="21"/>
              </w:rPr>
              <w:t>）</w:t>
            </w:r>
            <w:r>
              <w:rPr>
                <w:spacing w:val="-10"/>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7" w:hRule="atLeast"/>
        </w:trPr>
        <w:tc>
          <w:tcPr>
            <w:tcW w:w="1090" w:type="dxa"/>
            <w:tcBorders>
              <w:left w:val="single" w:color="000000" w:sz="12" w:space="0"/>
            </w:tcBorders>
          </w:tcPr>
          <w:p>
            <w:pPr>
              <w:pStyle w:val="10"/>
              <w:spacing w:before="18"/>
              <w:ind w:left="388"/>
              <w:rPr>
                <w:sz w:val="21"/>
              </w:rPr>
            </w:pPr>
            <w:r>
              <w:rPr>
                <w:spacing w:val="-5"/>
                <w:sz w:val="21"/>
              </w:rPr>
              <w:t>111</w:t>
            </w:r>
          </w:p>
        </w:tc>
        <w:tc>
          <w:tcPr>
            <w:tcW w:w="2194" w:type="dxa"/>
          </w:tcPr>
          <w:p>
            <w:pPr>
              <w:pStyle w:val="10"/>
              <w:spacing w:before="18"/>
              <w:ind w:left="119"/>
              <w:rPr>
                <w:sz w:val="21"/>
              </w:rPr>
            </w:pPr>
            <w:r>
              <w:rPr>
                <w:spacing w:val="-3"/>
                <w:sz w:val="21"/>
              </w:rPr>
              <w:t>溶血性链球菌性坏疽</w:t>
            </w:r>
          </w:p>
        </w:tc>
        <w:tc>
          <w:tcPr>
            <w:tcW w:w="6656" w:type="dxa"/>
            <w:tcBorders>
              <w:right w:val="single" w:color="000000" w:sz="12" w:space="0"/>
            </w:tcBorders>
          </w:tcPr>
          <w:p>
            <w:pPr>
              <w:pStyle w:val="10"/>
              <w:spacing w:before="18" w:line="278" w:lineRule="auto"/>
              <w:ind w:right="73"/>
              <w:rPr>
                <w:sz w:val="21"/>
              </w:rPr>
            </w:pPr>
            <w:r>
              <w:rPr>
                <w:spacing w:val="-4"/>
                <w:sz w:val="21"/>
              </w:rPr>
              <w:t>躯干或肢体的浅筋膜或涉及肌肉的深筋膜感染，呈暴发性进展，必须即</w:t>
            </w:r>
            <w:r>
              <w:rPr>
                <w:spacing w:val="-11"/>
                <w:sz w:val="21"/>
              </w:rPr>
              <w:t>刻手术清创。须在外科手术后进行组织培养证实溶血性链球菌坏疽并由</w:t>
            </w:r>
          </w:p>
          <w:p>
            <w:pPr>
              <w:pStyle w:val="10"/>
              <w:spacing w:before="0" w:line="269" w:lineRule="exact"/>
              <w:rPr>
                <w:sz w:val="21"/>
              </w:rPr>
            </w:pPr>
            <w:r>
              <w:rPr>
                <w:spacing w:val="-4"/>
                <w:sz w:val="21"/>
              </w:rPr>
              <w:t>专科医生确诊。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7" w:hRule="atLeast"/>
        </w:trPr>
        <w:tc>
          <w:tcPr>
            <w:tcW w:w="1090" w:type="dxa"/>
            <w:tcBorders>
              <w:left w:val="single" w:color="000000" w:sz="12" w:space="0"/>
            </w:tcBorders>
          </w:tcPr>
          <w:p>
            <w:pPr>
              <w:pStyle w:val="10"/>
              <w:ind w:left="388"/>
              <w:rPr>
                <w:sz w:val="21"/>
              </w:rPr>
            </w:pPr>
            <w:r>
              <w:rPr>
                <w:spacing w:val="-5"/>
                <w:sz w:val="21"/>
              </w:rPr>
              <w:t>112</w:t>
            </w:r>
          </w:p>
        </w:tc>
        <w:tc>
          <w:tcPr>
            <w:tcW w:w="2194" w:type="dxa"/>
          </w:tcPr>
          <w:p>
            <w:pPr>
              <w:pStyle w:val="10"/>
              <w:ind w:left="119"/>
              <w:rPr>
                <w:sz w:val="21"/>
              </w:rPr>
            </w:pPr>
            <w:r>
              <w:rPr>
                <w:spacing w:val="-4"/>
                <w:sz w:val="21"/>
              </w:rPr>
              <w:t>闭锁综合征</w:t>
            </w:r>
          </w:p>
        </w:tc>
        <w:tc>
          <w:tcPr>
            <w:tcW w:w="6656" w:type="dxa"/>
            <w:tcBorders>
              <w:right w:val="single" w:color="000000" w:sz="12" w:space="0"/>
            </w:tcBorders>
          </w:tcPr>
          <w:p>
            <w:pPr>
              <w:pStyle w:val="10"/>
              <w:spacing w:line="278" w:lineRule="auto"/>
              <w:ind w:right="1"/>
              <w:rPr>
                <w:sz w:val="21"/>
              </w:rPr>
            </w:pPr>
            <w:r>
              <w:rPr>
                <w:spacing w:val="-2"/>
                <w:sz w:val="21"/>
              </w:rPr>
              <w:t>指严重脑功能障碍，但剩余脑干功能完整。障碍的特征是自主生活能力完全丧失，无法独立完成六项基本日常生活活动中的三项或三项以上。</w:t>
            </w:r>
            <w:r>
              <w:rPr>
                <w:spacing w:val="-1"/>
                <w:sz w:val="21"/>
              </w:rPr>
              <w:t xml:space="preserve">诊断必须经我们认可的医院的神经科医生确诊后，有持续至少 </w:t>
            </w:r>
            <w:r>
              <w:rPr>
                <w:sz w:val="21"/>
              </w:rPr>
              <w:t>30</w:t>
            </w:r>
            <w:r>
              <w:rPr>
                <w:spacing w:val="-9"/>
                <w:sz w:val="21"/>
              </w:rPr>
              <w:t xml:space="preserve"> 天的</w:t>
            </w:r>
          </w:p>
          <w:p>
            <w:pPr>
              <w:pStyle w:val="10"/>
              <w:spacing w:before="0" w:line="269" w:lineRule="exact"/>
              <w:rPr>
                <w:sz w:val="21"/>
              </w:rPr>
            </w:pPr>
            <w:r>
              <w:rPr>
                <w:spacing w:val="-4"/>
                <w:sz w:val="21"/>
              </w:rPr>
              <w:t>病史记录。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090" w:type="dxa"/>
            <w:tcBorders>
              <w:left w:val="single" w:color="000000" w:sz="12" w:space="0"/>
            </w:tcBorders>
          </w:tcPr>
          <w:p>
            <w:pPr>
              <w:pStyle w:val="10"/>
              <w:ind w:left="388"/>
              <w:rPr>
                <w:sz w:val="21"/>
              </w:rPr>
            </w:pPr>
            <w:r>
              <w:rPr>
                <w:spacing w:val="-5"/>
                <w:sz w:val="21"/>
              </w:rPr>
              <w:t>113</w:t>
            </w:r>
          </w:p>
        </w:tc>
        <w:tc>
          <w:tcPr>
            <w:tcW w:w="2194" w:type="dxa"/>
          </w:tcPr>
          <w:p>
            <w:pPr>
              <w:pStyle w:val="10"/>
              <w:ind w:left="119"/>
              <w:rPr>
                <w:sz w:val="21"/>
              </w:rPr>
            </w:pPr>
            <w:r>
              <w:rPr>
                <w:spacing w:val="-1"/>
                <w:sz w:val="21"/>
              </w:rPr>
              <w:t>细菌性脑脊髓膜炎后</w:t>
            </w:r>
          </w:p>
          <w:p>
            <w:pPr>
              <w:pStyle w:val="10"/>
              <w:spacing w:before="43"/>
              <w:ind w:left="119"/>
              <w:rPr>
                <w:sz w:val="21"/>
              </w:rPr>
            </w:pPr>
            <w:r>
              <w:rPr>
                <w:spacing w:val="-5"/>
                <w:sz w:val="21"/>
              </w:rPr>
              <w:t>遗症</w:t>
            </w:r>
          </w:p>
        </w:tc>
        <w:tc>
          <w:tcPr>
            <w:tcW w:w="6656" w:type="dxa"/>
            <w:tcBorders>
              <w:right w:val="single" w:color="000000" w:sz="12" w:space="0"/>
            </w:tcBorders>
          </w:tcPr>
          <w:p>
            <w:pPr>
              <w:pStyle w:val="10"/>
              <w:rPr>
                <w:sz w:val="21"/>
              </w:rPr>
            </w:pPr>
            <w:r>
              <w:rPr>
                <w:spacing w:val="-7"/>
                <w:sz w:val="21"/>
              </w:rPr>
              <w:t>指因脑膜炎双球菌感染引起脑脊髓膜化脓性病变，且导致永久性神经损</w:t>
            </w:r>
          </w:p>
          <w:p>
            <w:pPr>
              <w:pStyle w:val="10"/>
              <w:spacing w:before="43"/>
              <w:rPr>
                <w:sz w:val="21"/>
              </w:rPr>
            </w:pPr>
            <w:r>
              <w:rPr>
                <w:spacing w:val="-5"/>
                <w:sz w:val="21"/>
              </w:rPr>
              <w:t>害，并且脑脊液检查显示脑膜炎双球菌阳性。永久性神经损害是指由细</w:t>
            </w:r>
          </w:p>
        </w:tc>
      </w:tr>
    </w:tbl>
    <w:p>
      <w:pPr>
        <w:spacing w:after="0"/>
        <w:rPr>
          <w:sz w:val="21"/>
        </w:rPr>
        <w:sectPr>
          <w:type w:val="continuous"/>
          <w:pgSz w:w="11910" w:h="16840"/>
          <w:pgMar w:top="840" w:right="340" w:bottom="1248" w:left="800" w:header="0" w:footer="457" w:gutter="0"/>
          <w:cols w:space="720" w:num="1"/>
        </w:sectPr>
      </w:pPr>
    </w:p>
    <w:tbl>
      <w:tblPr>
        <w:tblStyle w:val="6"/>
        <w:tblW w:w="0" w:type="auto"/>
        <w:tblInd w:w="22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90"/>
        <w:gridCol w:w="2194"/>
        <w:gridCol w:w="66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090" w:type="dxa"/>
            <w:tcBorders>
              <w:left w:val="single" w:color="000000" w:sz="12" w:space="0"/>
            </w:tcBorders>
          </w:tcPr>
          <w:p>
            <w:pPr>
              <w:pStyle w:val="10"/>
              <w:spacing w:before="0"/>
              <w:ind w:left="0"/>
              <w:rPr>
                <w:rFonts w:ascii="Times New Roman"/>
                <w:sz w:val="20"/>
              </w:rPr>
            </w:pPr>
          </w:p>
        </w:tc>
        <w:tc>
          <w:tcPr>
            <w:tcW w:w="2194" w:type="dxa"/>
          </w:tcPr>
          <w:p>
            <w:pPr>
              <w:pStyle w:val="10"/>
              <w:spacing w:before="0"/>
              <w:ind w:left="0"/>
              <w:rPr>
                <w:rFonts w:ascii="Times New Roman"/>
                <w:sz w:val="20"/>
              </w:rPr>
            </w:pPr>
          </w:p>
        </w:tc>
        <w:tc>
          <w:tcPr>
            <w:tcW w:w="6656" w:type="dxa"/>
            <w:tcBorders>
              <w:right w:val="single" w:color="000000" w:sz="12" w:space="0"/>
            </w:tcBorders>
          </w:tcPr>
          <w:p>
            <w:pPr>
              <w:pStyle w:val="10"/>
              <w:rPr>
                <w:sz w:val="21"/>
              </w:rPr>
            </w:pPr>
            <w:r>
              <w:rPr>
                <w:spacing w:val="-5"/>
                <w:sz w:val="21"/>
              </w:rPr>
              <w:t>菌性脑脊髓膜炎引起的耳聋、失明、动眼神经麻痹、瘫痪、脑积水的损</w:t>
            </w:r>
          </w:p>
          <w:p>
            <w:pPr>
              <w:pStyle w:val="10"/>
              <w:spacing w:before="43"/>
              <w:rPr>
                <w:sz w:val="21"/>
              </w:rPr>
            </w:pPr>
            <w:r>
              <w:rPr>
                <w:spacing w:val="-7"/>
                <w:sz w:val="21"/>
              </w:rPr>
              <w:t xml:space="preserve">害，且上述症状持续 </w:t>
            </w:r>
            <w:r>
              <w:rPr>
                <w:spacing w:val="-2"/>
                <w:sz w:val="21"/>
              </w:rPr>
              <w:t>90</w:t>
            </w:r>
            <w:r>
              <w:rPr>
                <w:spacing w:val="-10"/>
                <w:sz w:val="21"/>
              </w:rPr>
              <w:t xml:space="preserve"> 天以上仍无改善迹象。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83" w:hRule="atLeast"/>
        </w:trPr>
        <w:tc>
          <w:tcPr>
            <w:tcW w:w="1090" w:type="dxa"/>
            <w:tcBorders>
              <w:left w:val="single" w:color="000000" w:sz="12" w:space="0"/>
            </w:tcBorders>
          </w:tcPr>
          <w:p>
            <w:pPr>
              <w:pStyle w:val="10"/>
              <w:ind w:left="388"/>
              <w:rPr>
                <w:sz w:val="21"/>
              </w:rPr>
            </w:pPr>
            <w:r>
              <w:rPr>
                <w:spacing w:val="-5"/>
                <w:sz w:val="21"/>
              </w:rPr>
              <w:t>114</w:t>
            </w:r>
          </w:p>
        </w:tc>
        <w:tc>
          <w:tcPr>
            <w:tcW w:w="2194" w:type="dxa"/>
          </w:tcPr>
          <w:p>
            <w:pPr>
              <w:pStyle w:val="10"/>
              <w:ind w:left="119"/>
              <w:rPr>
                <w:sz w:val="21"/>
              </w:rPr>
            </w:pPr>
            <w:r>
              <w:rPr>
                <w:spacing w:val="-4"/>
                <w:sz w:val="21"/>
              </w:rPr>
              <w:t>艾森门格综合征</w:t>
            </w:r>
          </w:p>
        </w:tc>
        <w:tc>
          <w:tcPr>
            <w:tcW w:w="6656" w:type="dxa"/>
            <w:tcBorders>
              <w:right w:val="single" w:color="000000" w:sz="12" w:space="0"/>
            </w:tcBorders>
          </w:tcPr>
          <w:p>
            <w:pPr>
              <w:pStyle w:val="10"/>
              <w:spacing w:line="278" w:lineRule="auto"/>
              <w:ind w:right="73"/>
              <w:rPr>
                <w:sz w:val="21"/>
              </w:rPr>
            </w:pPr>
            <w:r>
              <w:rPr>
                <w:spacing w:val="-6"/>
                <w:sz w:val="21"/>
              </w:rPr>
              <w:t>因心脏病导致的严重肺动脉高压及右向左分流。诊断必须由心脏专科医</w:t>
            </w:r>
            <w:r>
              <w:rPr>
                <w:spacing w:val="-2"/>
                <w:sz w:val="21"/>
              </w:rPr>
              <w:t>生经超声心动图和心导管检查证实，并须符合以下所有标准：</w:t>
            </w:r>
          </w:p>
          <w:p>
            <w:pPr>
              <w:pStyle w:val="10"/>
              <w:numPr>
                <w:ilvl w:val="0"/>
                <w:numId w:val="104"/>
              </w:numPr>
              <w:tabs>
                <w:tab w:val="left" w:pos="637"/>
              </w:tabs>
              <w:spacing w:before="0" w:after="0" w:line="269" w:lineRule="exact"/>
              <w:ind w:left="636" w:right="0" w:hanging="530"/>
              <w:jc w:val="left"/>
              <w:rPr>
                <w:sz w:val="21"/>
              </w:rPr>
            </w:pPr>
            <w:r>
              <w:rPr>
                <w:spacing w:val="-8"/>
                <w:sz w:val="21"/>
              </w:rPr>
              <w:t xml:space="preserve">平均肺动脉压高于 </w:t>
            </w:r>
            <w:r>
              <w:rPr>
                <w:spacing w:val="-2"/>
                <w:sz w:val="21"/>
              </w:rPr>
              <w:t>40mmHg；</w:t>
            </w:r>
          </w:p>
          <w:p>
            <w:pPr>
              <w:pStyle w:val="10"/>
              <w:numPr>
                <w:ilvl w:val="0"/>
                <w:numId w:val="104"/>
              </w:numPr>
              <w:tabs>
                <w:tab w:val="left" w:pos="637"/>
              </w:tabs>
              <w:spacing w:before="43" w:after="0" w:line="240" w:lineRule="auto"/>
              <w:ind w:left="636" w:right="0" w:hanging="530"/>
              <w:jc w:val="left"/>
              <w:rPr>
                <w:sz w:val="21"/>
              </w:rPr>
            </w:pPr>
            <w:r>
              <w:rPr>
                <w:spacing w:val="-8"/>
                <w:sz w:val="21"/>
              </w:rPr>
              <w:t xml:space="preserve">肺血管阻力高于 </w:t>
            </w:r>
            <w:r>
              <w:rPr>
                <w:spacing w:val="-2"/>
                <w:sz w:val="21"/>
              </w:rPr>
              <w:t>3mm/L/min（Wood</w:t>
            </w:r>
            <w:r>
              <w:rPr>
                <w:spacing w:val="-16"/>
                <w:sz w:val="21"/>
              </w:rPr>
              <w:t xml:space="preserve"> 单位</w:t>
            </w:r>
            <w:r>
              <w:rPr>
                <w:spacing w:val="-113"/>
                <w:sz w:val="21"/>
              </w:rPr>
              <w:t>）</w:t>
            </w:r>
            <w:r>
              <w:rPr>
                <w:spacing w:val="-5"/>
                <w:sz w:val="21"/>
              </w:rPr>
              <w:t>；</w:t>
            </w:r>
          </w:p>
          <w:p>
            <w:pPr>
              <w:pStyle w:val="10"/>
              <w:numPr>
                <w:ilvl w:val="0"/>
                <w:numId w:val="104"/>
              </w:numPr>
              <w:tabs>
                <w:tab w:val="left" w:pos="637"/>
              </w:tabs>
              <w:spacing w:before="43" w:after="0" w:line="240" w:lineRule="auto"/>
              <w:ind w:left="636" w:right="0" w:hanging="530"/>
              <w:jc w:val="left"/>
              <w:rPr>
                <w:sz w:val="21"/>
              </w:rPr>
            </w:pPr>
            <w:r>
              <w:rPr>
                <w:spacing w:val="-6"/>
                <w:sz w:val="21"/>
              </w:rPr>
              <w:t xml:space="preserve">正常肺微血管楔压低于 </w:t>
            </w:r>
            <w:r>
              <w:rPr>
                <w:spacing w:val="-2"/>
                <w:sz w:val="21"/>
              </w:rPr>
              <w:t>15mmHg</w:t>
            </w:r>
            <w:r>
              <w:rPr>
                <w:spacing w:val="-10"/>
                <w:sz w:val="21"/>
              </w:rPr>
              <w:t>。</w:t>
            </w:r>
          </w:p>
          <w:p>
            <w:pPr>
              <w:pStyle w:val="10"/>
              <w:spacing w:before="2" w:line="310" w:lineRule="atLeast"/>
              <w:ind w:right="73"/>
              <w:rPr>
                <w:sz w:val="21"/>
              </w:rPr>
            </w:pPr>
            <w:r>
              <w:rPr>
                <w:spacing w:val="-4"/>
                <w:sz w:val="21"/>
              </w:rPr>
              <w:t>我们承担本项疾病责任不受本合同责任免除中“遗传性疾病，先天性畸</w:t>
            </w:r>
            <w:r>
              <w:rPr>
                <w:spacing w:val="-2"/>
                <w:sz w:val="21"/>
              </w:rPr>
              <w:t>形、变形或染色体异常”的限制。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44" w:hRule="atLeast"/>
        </w:trPr>
        <w:tc>
          <w:tcPr>
            <w:tcW w:w="1090" w:type="dxa"/>
            <w:tcBorders>
              <w:left w:val="single" w:color="000000" w:sz="12" w:space="0"/>
            </w:tcBorders>
          </w:tcPr>
          <w:p>
            <w:pPr>
              <w:pStyle w:val="10"/>
              <w:ind w:left="388"/>
              <w:rPr>
                <w:sz w:val="21"/>
              </w:rPr>
            </w:pPr>
            <w:r>
              <w:rPr>
                <w:spacing w:val="-5"/>
                <w:sz w:val="21"/>
              </w:rPr>
              <w:t>115</w:t>
            </w:r>
          </w:p>
        </w:tc>
        <w:tc>
          <w:tcPr>
            <w:tcW w:w="2194" w:type="dxa"/>
          </w:tcPr>
          <w:p>
            <w:pPr>
              <w:pStyle w:val="10"/>
              <w:spacing w:line="278" w:lineRule="auto"/>
              <w:ind w:left="119" w:right="82"/>
              <w:rPr>
                <w:sz w:val="21"/>
              </w:rPr>
            </w:pPr>
            <w:r>
              <w:rPr>
                <w:sz w:val="21"/>
              </w:rPr>
              <w:t>败血症导致的多器官</w:t>
            </w:r>
            <w:r>
              <w:rPr>
                <w:spacing w:val="-2"/>
                <w:sz w:val="21"/>
              </w:rPr>
              <w:t>功能障碍综合征</w:t>
            </w:r>
          </w:p>
        </w:tc>
        <w:tc>
          <w:tcPr>
            <w:tcW w:w="6656" w:type="dxa"/>
            <w:tcBorders>
              <w:right w:val="single" w:color="000000" w:sz="12" w:space="0"/>
            </w:tcBorders>
          </w:tcPr>
          <w:p>
            <w:pPr>
              <w:pStyle w:val="10"/>
              <w:spacing w:line="278" w:lineRule="auto"/>
              <w:ind w:right="73"/>
              <w:rPr>
                <w:sz w:val="21"/>
              </w:rPr>
            </w:pPr>
            <w:r>
              <w:rPr>
                <w:spacing w:val="-6"/>
                <w:sz w:val="21"/>
              </w:rPr>
              <w:t>指败血症导致的一个或多个器官系统生理功能障碍，须满足下列至少一</w:t>
            </w:r>
            <w:r>
              <w:rPr>
                <w:spacing w:val="-4"/>
                <w:sz w:val="21"/>
              </w:rPr>
              <w:t>项条件：</w:t>
            </w:r>
          </w:p>
          <w:p>
            <w:pPr>
              <w:pStyle w:val="10"/>
              <w:numPr>
                <w:ilvl w:val="0"/>
                <w:numId w:val="105"/>
              </w:numPr>
              <w:tabs>
                <w:tab w:val="left" w:pos="637"/>
              </w:tabs>
              <w:spacing w:before="0" w:after="0" w:line="269" w:lineRule="exact"/>
              <w:ind w:left="636" w:right="0" w:hanging="530"/>
              <w:jc w:val="left"/>
              <w:rPr>
                <w:sz w:val="21"/>
              </w:rPr>
            </w:pPr>
            <w:r>
              <w:rPr>
                <w:spacing w:val="-3"/>
                <w:sz w:val="21"/>
              </w:rPr>
              <w:t>呼吸衰竭，需要进行气管插管机械通气；</w:t>
            </w:r>
          </w:p>
          <w:p>
            <w:pPr>
              <w:pStyle w:val="10"/>
              <w:numPr>
                <w:ilvl w:val="0"/>
                <w:numId w:val="105"/>
              </w:numPr>
              <w:tabs>
                <w:tab w:val="left" w:pos="637"/>
              </w:tabs>
              <w:spacing w:before="43" w:after="0" w:line="240" w:lineRule="auto"/>
              <w:ind w:left="636" w:right="0" w:hanging="530"/>
              <w:jc w:val="left"/>
              <w:rPr>
                <w:sz w:val="21"/>
              </w:rPr>
            </w:pPr>
            <w:r>
              <w:rPr>
                <w:spacing w:val="-2"/>
                <w:sz w:val="21"/>
              </w:rPr>
              <w:t>凝血血小板计数&lt;50x10³/</w:t>
            </w:r>
            <w:r>
              <w:rPr>
                <w:spacing w:val="-5"/>
                <w:sz w:val="21"/>
              </w:rPr>
              <w:t>微升；</w:t>
            </w:r>
          </w:p>
          <w:p>
            <w:pPr>
              <w:pStyle w:val="10"/>
              <w:numPr>
                <w:ilvl w:val="0"/>
                <w:numId w:val="105"/>
              </w:numPr>
              <w:tabs>
                <w:tab w:val="left" w:pos="637"/>
              </w:tabs>
              <w:spacing w:before="43" w:after="0" w:line="240" w:lineRule="auto"/>
              <w:ind w:left="636" w:right="0" w:hanging="530"/>
              <w:jc w:val="left"/>
              <w:rPr>
                <w:sz w:val="21"/>
              </w:rPr>
            </w:pPr>
            <w:r>
              <w:rPr>
                <w:spacing w:val="-2"/>
                <w:sz w:val="21"/>
              </w:rPr>
              <w:t>肝功能不全，胆红素&gt;6mg/dl</w:t>
            </w:r>
            <w:r>
              <w:rPr>
                <w:spacing w:val="-21"/>
                <w:sz w:val="21"/>
              </w:rPr>
              <w:t xml:space="preserve"> 或</w:t>
            </w:r>
            <w:r>
              <w:rPr>
                <w:spacing w:val="-2"/>
                <w:sz w:val="21"/>
              </w:rPr>
              <w:t>&gt;102μmol/L；</w:t>
            </w:r>
          </w:p>
          <w:p>
            <w:pPr>
              <w:pStyle w:val="10"/>
              <w:numPr>
                <w:ilvl w:val="0"/>
                <w:numId w:val="105"/>
              </w:numPr>
              <w:tabs>
                <w:tab w:val="left" w:pos="637"/>
              </w:tabs>
              <w:spacing w:before="43" w:after="0" w:line="240" w:lineRule="auto"/>
              <w:ind w:left="636" w:right="0" w:hanging="530"/>
              <w:jc w:val="left"/>
              <w:rPr>
                <w:sz w:val="21"/>
              </w:rPr>
            </w:pPr>
            <w:r>
              <w:rPr>
                <w:spacing w:val="-4"/>
                <w:sz w:val="21"/>
              </w:rPr>
              <w:t>已经应用强心剂；</w:t>
            </w:r>
          </w:p>
          <w:p>
            <w:pPr>
              <w:pStyle w:val="10"/>
              <w:numPr>
                <w:ilvl w:val="0"/>
                <w:numId w:val="105"/>
              </w:numPr>
              <w:tabs>
                <w:tab w:val="left" w:pos="637"/>
              </w:tabs>
              <w:spacing w:before="43" w:after="0" w:line="240" w:lineRule="auto"/>
              <w:ind w:left="636" w:right="0" w:hanging="530"/>
              <w:jc w:val="left"/>
              <w:rPr>
                <w:sz w:val="21"/>
              </w:rPr>
            </w:pPr>
            <w:r>
              <w:rPr>
                <w:spacing w:val="-2"/>
                <w:sz w:val="21"/>
              </w:rPr>
              <w:t>昏迷格拉斯哥昏迷评分（GCS）≤9；</w:t>
            </w:r>
          </w:p>
          <w:p>
            <w:pPr>
              <w:pStyle w:val="10"/>
              <w:numPr>
                <w:ilvl w:val="0"/>
                <w:numId w:val="105"/>
              </w:numPr>
              <w:tabs>
                <w:tab w:val="left" w:pos="637"/>
              </w:tabs>
              <w:spacing w:before="43" w:after="0" w:line="240" w:lineRule="auto"/>
              <w:ind w:left="636" w:right="0" w:hanging="530"/>
              <w:jc w:val="left"/>
              <w:rPr>
                <w:sz w:val="21"/>
              </w:rPr>
            </w:pPr>
            <w:r>
              <w:rPr>
                <w:spacing w:val="-2"/>
                <w:sz w:val="21"/>
              </w:rPr>
              <w:t>肾功能衰竭，血清肌酐&gt;300μmol/L</w:t>
            </w:r>
            <w:r>
              <w:rPr>
                <w:spacing w:val="-10"/>
                <w:sz w:val="21"/>
              </w:rPr>
              <w:t xml:space="preserve"> 或 &gt;</w:t>
            </w:r>
            <w:r>
              <w:rPr>
                <w:spacing w:val="-2"/>
                <w:sz w:val="21"/>
              </w:rPr>
              <w:t>3.5mg/dl</w:t>
            </w:r>
            <w:r>
              <w:rPr>
                <w:spacing w:val="-15"/>
                <w:sz w:val="21"/>
              </w:rPr>
              <w:t xml:space="preserve"> 或尿量</w:t>
            </w:r>
          </w:p>
          <w:p>
            <w:pPr>
              <w:pStyle w:val="10"/>
              <w:spacing w:before="43"/>
              <w:rPr>
                <w:sz w:val="21"/>
              </w:rPr>
            </w:pPr>
            <w:r>
              <w:rPr>
                <w:spacing w:val="-2"/>
                <w:sz w:val="21"/>
              </w:rPr>
              <w:t>&lt;500ml/d；</w:t>
            </w:r>
          </w:p>
          <w:p>
            <w:pPr>
              <w:pStyle w:val="10"/>
              <w:numPr>
                <w:ilvl w:val="0"/>
                <w:numId w:val="105"/>
              </w:numPr>
              <w:tabs>
                <w:tab w:val="left" w:pos="637"/>
              </w:tabs>
              <w:spacing w:before="43" w:after="0" w:line="240" w:lineRule="auto"/>
              <w:ind w:left="636" w:right="0" w:hanging="530"/>
              <w:jc w:val="left"/>
              <w:rPr>
                <w:sz w:val="21"/>
              </w:rPr>
            </w:pPr>
            <w:r>
              <w:rPr>
                <w:spacing w:val="-3"/>
                <w:sz w:val="21"/>
              </w:rPr>
              <w:t>败血症有血液检查证实。</w:t>
            </w:r>
          </w:p>
          <w:p>
            <w:pPr>
              <w:pStyle w:val="10"/>
              <w:spacing w:before="2" w:line="310" w:lineRule="atLeast"/>
              <w:ind w:right="157"/>
              <w:rPr>
                <w:rFonts w:ascii="黑体" w:eastAsia="黑体"/>
                <w:sz w:val="21"/>
              </w:rPr>
            </w:pPr>
            <w:r>
              <w:rPr>
                <w:rFonts w:ascii="黑体" w:eastAsia="黑体"/>
                <w:color w:val="000000"/>
                <w:spacing w:val="-2"/>
                <w:sz w:val="21"/>
                <w:shd w:val="clear" w:color="auto" w:fill="D9D9D9"/>
              </w:rPr>
              <w:t xml:space="preserve">败血症引起的 </w:t>
            </w:r>
            <w:r>
              <w:rPr>
                <w:rFonts w:ascii="黑体" w:eastAsia="黑体"/>
                <w:color w:val="000000"/>
                <w:sz w:val="21"/>
                <w:shd w:val="clear" w:color="auto" w:fill="D9D9D9"/>
              </w:rPr>
              <w:t>MODS</w:t>
            </w:r>
            <w:r>
              <w:rPr>
                <w:rFonts w:ascii="黑体" w:eastAsia="黑体"/>
                <w:color w:val="000000"/>
                <w:spacing w:val="-8"/>
                <w:sz w:val="21"/>
                <w:shd w:val="clear" w:color="auto" w:fill="D9D9D9"/>
              </w:rPr>
              <w:t xml:space="preserve"> 的诊断应由专科医生证实。非败血症引起的 </w:t>
            </w:r>
            <w:r>
              <w:rPr>
                <w:rFonts w:ascii="黑体" w:eastAsia="黑体"/>
                <w:color w:val="000000"/>
                <w:sz w:val="21"/>
                <w:shd w:val="clear" w:color="auto" w:fill="D9D9D9"/>
              </w:rPr>
              <w:t>MODS</w:t>
            </w:r>
            <w:r>
              <w:rPr>
                <w:rFonts w:ascii="黑体" w:eastAsia="黑体"/>
                <w:color w:val="000000"/>
                <w:spacing w:val="-2"/>
                <w:sz w:val="21"/>
                <w:shd w:val="clear" w:color="auto" w:fill="D9D9D9"/>
              </w:rPr>
              <w:t>不在保障范围内。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84" w:hRule="atLeast"/>
        </w:trPr>
        <w:tc>
          <w:tcPr>
            <w:tcW w:w="1090" w:type="dxa"/>
            <w:tcBorders>
              <w:left w:val="single" w:color="000000" w:sz="12" w:space="0"/>
            </w:tcBorders>
          </w:tcPr>
          <w:p>
            <w:pPr>
              <w:pStyle w:val="10"/>
              <w:ind w:left="388"/>
              <w:rPr>
                <w:sz w:val="21"/>
              </w:rPr>
            </w:pPr>
            <w:r>
              <w:rPr>
                <w:spacing w:val="-5"/>
                <w:sz w:val="21"/>
              </w:rPr>
              <w:t>116</w:t>
            </w:r>
          </w:p>
        </w:tc>
        <w:tc>
          <w:tcPr>
            <w:tcW w:w="2194" w:type="dxa"/>
          </w:tcPr>
          <w:p>
            <w:pPr>
              <w:pStyle w:val="10"/>
              <w:ind w:left="119"/>
              <w:rPr>
                <w:sz w:val="21"/>
              </w:rPr>
            </w:pPr>
            <w:r>
              <w:rPr>
                <w:spacing w:val="-3"/>
                <w:sz w:val="21"/>
              </w:rPr>
              <w:t>进行性风疹性全脑炎</w:t>
            </w:r>
          </w:p>
        </w:tc>
        <w:tc>
          <w:tcPr>
            <w:tcW w:w="6656" w:type="dxa"/>
            <w:tcBorders>
              <w:right w:val="single" w:color="000000" w:sz="12" w:space="0"/>
            </w:tcBorders>
          </w:tcPr>
          <w:p>
            <w:pPr>
              <w:pStyle w:val="10"/>
              <w:spacing w:line="278" w:lineRule="auto"/>
              <w:ind w:right="73"/>
              <w:rPr>
                <w:sz w:val="21"/>
              </w:rPr>
            </w:pPr>
            <w:r>
              <w:rPr>
                <w:spacing w:val="-3"/>
                <w:w w:val="100"/>
                <w:sz w:val="21"/>
              </w:rPr>
              <w:t>指由风疹病毒感染引起的慢性脑炎，且导致神经系统永久性的功能障</w:t>
            </w:r>
            <w:r>
              <w:rPr>
                <w:spacing w:val="-10"/>
                <w:w w:val="100"/>
                <w:sz w:val="21"/>
              </w:rPr>
              <w:t>碍。须由神经专科医师确诊。神经系统永久性的功能障碍，指疾病确诊</w:t>
            </w:r>
          </w:p>
          <w:p>
            <w:pPr>
              <w:pStyle w:val="10"/>
              <w:spacing w:before="0" w:line="278" w:lineRule="auto"/>
              <w:ind w:right="2238"/>
              <w:rPr>
                <w:sz w:val="21"/>
              </w:rPr>
            </w:pPr>
            <w:r>
              <w:rPr>
                <w:sz w:val="21"/>
              </w:rPr>
              <w:t>180</w:t>
            </w:r>
            <w:r>
              <w:rPr>
                <w:spacing w:val="-5"/>
                <w:sz w:val="21"/>
              </w:rPr>
              <w:t xml:space="preserve"> 天后，仍遗留下列一种或一种以上障碍：</w:t>
            </w:r>
            <w:r>
              <w:rPr>
                <w:sz w:val="21"/>
              </w:rPr>
              <w:t xml:space="preserve"> </w:t>
            </w:r>
            <w:r>
              <w:rPr>
                <w:spacing w:val="-2"/>
                <w:sz w:val="21"/>
              </w:rPr>
              <w:t>1.一肢或一肢以上肢体机能完全丧失；</w:t>
            </w:r>
          </w:p>
          <w:p>
            <w:pPr>
              <w:pStyle w:val="10"/>
              <w:numPr>
                <w:ilvl w:val="0"/>
                <w:numId w:val="106"/>
              </w:numPr>
              <w:tabs>
                <w:tab w:val="left" w:pos="320"/>
              </w:tabs>
              <w:spacing w:before="0" w:after="0" w:line="240" w:lineRule="auto"/>
              <w:ind w:left="319" w:right="0" w:hanging="213"/>
              <w:jc w:val="left"/>
              <w:rPr>
                <w:sz w:val="21"/>
              </w:rPr>
            </w:pPr>
            <w:r>
              <w:rPr>
                <w:spacing w:val="-3"/>
                <w:sz w:val="21"/>
              </w:rPr>
              <w:t>语言能力或咀嚼吞咽能力完全丧失；</w:t>
            </w:r>
          </w:p>
          <w:p>
            <w:pPr>
              <w:pStyle w:val="10"/>
              <w:numPr>
                <w:ilvl w:val="0"/>
                <w:numId w:val="106"/>
              </w:numPr>
              <w:tabs>
                <w:tab w:val="left" w:pos="320"/>
              </w:tabs>
              <w:spacing w:before="2" w:after="0" w:line="310" w:lineRule="atLeast"/>
              <w:ind w:left="107" w:right="73" w:firstLine="0"/>
              <w:jc w:val="left"/>
              <w:rPr>
                <w:sz w:val="21"/>
              </w:rPr>
            </w:pPr>
            <w:r>
              <w:rPr>
                <w:spacing w:val="-9"/>
                <w:sz w:val="21"/>
              </w:rPr>
              <w:t>自主生活能力完全丧失，无法独立完成六项基本日常生活活动中的三</w:t>
            </w:r>
            <w:r>
              <w:rPr>
                <w:spacing w:val="-2"/>
                <w:sz w:val="21"/>
              </w:rPr>
              <w:t>项或三项以上。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83" w:hRule="atLeast"/>
        </w:trPr>
        <w:tc>
          <w:tcPr>
            <w:tcW w:w="1090" w:type="dxa"/>
            <w:tcBorders>
              <w:left w:val="single" w:color="000000" w:sz="12" w:space="0"/>
            </w:tcBorders>
          </w:tcPr>
          <w:p>
            <w:pPr>
              <w:pStyle w:val="10"/>
              <w:ind w:left="388"/>
              <w:rPr>
                <w:sz w:val="21"/>
              </w:rPr>
            </w:pPr>
            <w:r>
              <w:rPr>
                <w:spacing w:val="-5"/>
                <w:sz w:val="21"/>
              </w:rPr>
              <w:t>117</w:t>
            </w:r>
          </w:p>
        </w:tc>
        <w:tc>
          <w:tcPr>
            <w:tcW w:w="2194" w:type="dxa"/>
          </w:tcPr>
          <w:p>
            <w:pPr>
              <w:pStyle w:val="10"/>
              <w:spacing w:line="278" w:lineRule="auto"/>
              <w:ind w:left="119" w:right="82"/>
              <w:rPr>
                <w:sz w:val="21"/>
              </w:rPr>
            </w:pPr>
            <w:r>
              <w:rPr>
                <w:sz w:val="21"/>
              </w:rPr>
              <w:t>严重骨髓增生异常综</w:t>
            </w:r>
            <w:r>
              <w:rPr>
                <w:spacing w:val="-6"/>
                <w:sz w:val="21"/>
              </w:rPr>
              <w:t>合征</w:t>
            </w:r>
          </w:p>
        </w:tc>
        <w:tc>
          <w:tcPr>
            <w:tcW w:w="6656" w:type="dxa"/>
            <w:tcBorders>
              <w:right w:val="single" w:color="000000" w:sz="12" w:space="0"/>
            </w:tcBorders>
          </w:tcPr>
          <w:p>
            <w:pPr>
              <w:pStyle w:val="10"/>
              <w:spacing w:line="278" w:lineRule="auto"/>
              <w:ind w:right="73"/>
              <w:rPr>
                <w:sz w:val="21"/>
              </w:rPr>
            </w:pPr>
            <w:r>
              <w:rPr>
                <w:spacing w:val="-3"/>
                <w:w w:val="100"/>
                <w:sz w:val="21"/>
              </w:rPr>
              <w:t>骨髓增生异常综合征是起源于造血干细胞的一组骨髓克隆增生异常的</w:t>
            </w:r>
            <w:r>
              <w:rPr>
                <w:spacing w:val="-10"/>
                <w:w w:val="100"/>
                <w:sz w:val="21"/>
              </w:rPr>
              <w:t>疾病，表现为无效造血、难治性血细胞减少，有转化为急性髓系白血病</w:t>
            </w:r>
            <w:r>
              <w:rPr>
                <w:spacing w:val="-12"/>
                <w:w w:val="100"/>
                <w:sz w:val="21"/>
              </w:rPr>
              <w:t>的风险。被保险人根据外周血和骨髓活检被专科医生明确诊断为骨髓增</w:t>
            </w:r>
            <w:r>
              <w:rPr>
                <w:spacing w:val="-6"/>
                <w:w w:val="100"/>
                <w:sz w:val="21"/>
              </w:rPr>
              <w:t>生异常综合征，并须满足下列全部条件：</w:t>
            </w:r>
          </w:p>
          <w:p>
            <w:pPr>
              <w:pStyle w:val="10"/>
              <w:numPr>
                <w:ilvl w:val="0"/>
                <w:numId w:val="107"/>
              </w:numPr>
              <w:tabs>
                <w:tab w:val="left" w:pos="637"/>
              </w:tabs>
              <w:spacing w:before="0" w:after="0" w:line="269" w:lineRule="exact"/>
              <w:ind w:left="636" w:right="0" w:hanging="530"/>
              <w:jc w:val="left"/>
              <w:rPr>
                <w:sz w:val="21"/>
              </w:rPr>
            </w:pPr>
            <w:r>
              <w:rPr>
                <w:spacing w:val="-2"/>
                <w:sz w:val="21"/>
              </w:rPr>
              <w:t>FAB</w:t>
            </w:r>
            <w:r>
              <w:rPr>
                <w:spacing w:val="-9"/>
                <w:sz w:val="21"/>
              </w:rPr>
              <w:t xml:space="preserve"> 分类为难治性贫血伴原始细胞增多</w:t>
            </w:r>
            <w:r>
              <w:rPr>
                <w:spacing w:val="26"/>
                <w:sz w:val="21"/>
              </w:rPr>
              <w:t>（</w:t>
            </w:r>
            <w:r>
              <w:rPr>
                <w:spacing w:val="29"/>
                <w:sz w:val="21"/>
              </w:rPr>
              <w:t>RAE</w:t>
            </w:r>
            <w:r>
              <w:rPr>
                <w:spacing w:val="26"/>
                <w:sz w:val="21"/>
              </w:rPr>
              <w:t>B</w:t>
            </w:r>
            <w:r>
              <w:rPr>
                <w:spacing w:val="-79"/>
                <w:sz w:val="21"/>
              </w:rPr>
              <w:t>）；</w:t>
            </w:r>
          </w:p>
          <w:p>
            <w:pPr>
              <w:pStyle w:val="10"/>
              <w:numPr>
                <w:ilvl w:val="0"/>
                <w:numId w:val="107"/>
              </w:numPr>
              <w:tabs>
                <w:tab w:val="left" w:pos="637"/>
              </w:tabs>
              <w:spacing w:before="2" w:after="0" w:line="310" w:lineRule="atLeast"/>
              <w:ind w:left="107" w:right="73" w:firstLine="0"/>
              <w:jc w:val="left"/>
              <w:rPr>
                <w:sz w:val="21"/>
              </w:rPr>
            </w:pPr>
            <w:r>
              <w:rPr>
                <w:spacing w:val="-6"/>
                <w:sz w:val="21"/>
              </w:rPr>
              <w:t>根据“骨髓增生异常综合征修订国际预后积分系统（IPSS-</w:t>
            </w:r>
            <w:r>
              <w:rPr>
                <w:spacing w:val="33"/>
                <w:sz w:val="21"/>
              </w:rPr>
              <w:t>R</w:t>
            </w:r>
            <w:r>
              <w:rPr>
                <w:spacing w:val="-72"/>
                <w:sz w:val="21"/>
              </w:rPr>
              <w:t>）</w:t>
            </w:r>
            <w:r>
              <w:rPr>
                <w:spacing w:val="6"/>
                <w:sz w:val="21"/>
              </w:rPr>
              <w:t>”积</w:t>
            </w:r>
            <w:r>
              <w:rPr>
                <w:spacing w:val="-2"/>
                <w:sz w:val="21"/>
              </w:rPr>
              <w:t>分&gt;3.5，属于中危及以上组。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50" w:hRule="atLeast"/>
        </w:trPr>
        <w:tc>
          <w:tcPr>
            <w:tcW w:w="1090" w:type="dxa"/>
            <w:tcBorders>
              <w:left w:val="single" w:color="000000" w:sz="12" w:space="0"/>
            </w:tcBorders>
          </w:tcPr>
          <w:p>
            <w:pPr>
              <w:pStyle w:val="10"/>
              <w:spacing w:before="18"/>
              <w:ind w:left="388"/>
              <w:rPr>
                <w:sz w:val="21"/>
              </w:rPr>
            </w:pPr>
            <w:r>
              <w:rPr>
                <w:spacing w:val="-5"/>
                <w:sz w:val="21"/>
              </w:rPr>
              <w:t>118</w:t>
            </w:r>
          </w:p>
        </w:tc>
        <w:tc>
          <w:tcPr>
            <w:tcW w:w="2194" w:type="dxa"/>
          </w:tcPr>
          <w:p>
            <w:pPr>
              <w:pStyle w:val="10"/>
              <w:spacing w:before="18"/>
              <w:ind w:left="119"/>
              <w:rPr>
                <w:sz w:val="21"/>
              </w:rPr>
            </w:pPr>
            <w:r>
              <w:rPr>
                <w:spacing w:val="-4"/>
                <w:sz w:val="21"/>
              </w:rPr>
              <w:t>骨髓纤维化</w:t>
            </w:r>
          </w:p>
        </w:tc>
        <w:tc>
          <w:tcPr>
            <w:tcW w:w="6656" w:type="dxa"/>
            <w:tcBorders>
              <w:right w:val="single" w:color="000000" w:sz="12" w:space="0"/>
            </w:tcBorders>
          </w:tcPr>
          <w:p>
            <w:pPr>
              <w:pStyle w:val="10"/>
              <w:spacing w:before="18" w:line="278" w:lineRule="auto"/>
              <w:ind w:right="73"/>
              <w:jc w:val="both"/>
              <w:rPr>
                <w:sz w:val="21"/>
              </w:rPr>
            </w:pPr>
            <w:r>
              <w:rPr>
                <w:spacing w:val="-6"/>
                <w:sz w:val="21"/>
              </w:rPr>
              <w:t>指一种因纤维组织取代正常骨髓从而导致贫血、白血球及血小板含量过</w:t>
            </w:r>
            <w:r>
              <w:rPr>
                <w:spacing w:val="-10"/>
                <w:sz w:val="21"/>
              </w:rPr>
              <w:t>低及脾脏肿大的疾病。病况必须恶化至永久性及严重程度导致被保险人</w:t>
            </w:r>
            <w:r>
              <w:rPr>
                <w:spacing w:val="-2"/>
                <w:sz w:val="21"/>
              </w:rPr>
              <w:t>需最少每月进行输血。</w:t>
            </w:r>
          </w:p>
          <w:p>
            <w:pPr>
              <w:pStyle w:val="10"/>
              <w:spacing w:before="1"/>
              <w:rPr>
                <w:rFonts w:ascii="黑体" w:eastAsia="黑体"/>
                <w:sz w:val="21"/>
              </w:rPr>
            </w:pPr>
            <w:r>
              <w:rPr>
                <w:rFonts w:ascii="黑体" w:eastAsia="黑体"/>
                <w:color w:val="000000"/>
                <w:spacing w:val="-3"/>
                <w:sz w:val="21"/>
                <w:shd w:val="clear" w:color="auto" w:fill="D9D9D9"/>
              </w:rPr>
              <w:t>此病症须经专科医生明确诊断，并需提供骨髓穿刺检查诊断报告。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090" w:type="dxa"/>
            <w:tcBorders>
              <w:left w:val="single" w:color="000000" w:sz="12" w:space="0"/>
            </w:tcBorders>
          </w:tcPr>
          <w:p>
            <w:pPr>
              <w:pStyle w:val="10"/>
              <w:ind w:left="388"/>
              <w:rPr>
                <w:sz w:val="21"/>
              </w:rPr>
            </w:pPr>
            <w:r>
              <w:rPr>
                <w:spacing w:val="-5"/>
                <w:sz w:val="21"/>
              </w:rPr>
              <w:t>119</w:t>
            </w:r>
          </w:p>
        </w:tc>
        <w:tc>
          <w:tcPr>
            <w:tcW w:w="2194" w:type="dxa"/>
          </w:tcPr>
          <w:p>
            <w:pPr>
              <w:pStyle w:val="10"/>
              <w:ind w:left="119"/>
              <w:rPr>
                <w:sz w:val="21"/>
              </w:rPr>
            </w:pPr>
            <w:r>
              <w:rPr>
                <w:spacing w:val="-4"/>
                <w:sz w:val="21"/>
              </w:rPr>
              <w:t>狂犬病</w:t>
            </w:r>
          </w:p>
        </w:tc>
        <w:tc>
          <w:tcPr>
            <w:tcW w:w="6656" w:type="dxa"/>
            <w:tcBorders>
              <w:right w:val="single" w:color="000000" w:sz="12" w:space="0"/>
            </w:tcBorders>
          </w:tcPr>
          <w:p>
            <w:pPr>
              <w:pStyle w:val="10"/>
              <w:rPr>
                <w:sz w:val="21"/>
              </w:rPr>
            </w:pPr>
            <w:r>
              <w:rPr>
                <w:spacing w:val="-5"/>
                <w:sz w:val="21"/>
              </w:rPr>
              <w:t>指狂犬病毒所致的急性传染病，人多因被病兽咬伤而感染。临床表现为</w:t>
            </w:r>
          </w:p>
          <w:p>
            <w:pPr>
              <w:pStyle w:val="10"/>
              <w:spacing w:before="43"/>
              <w:ind w:right="-29"/>
              <w:rPr>
                <w:sz w:val="21"/>
              </w:rPr>
            </w:pPr>
            <w:r>
              <w:rPr>
                <w:spacing w:val="-9"/>
                <w:sz w:val="21"/>
              </w:rPr>
              <w:t>特有的恐水、怕风、咽肌痉挛、进行性瘫痪等。须经专科医生明确诊断。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9" w:hRule="atLeast"/>
        </w:trPr>
        <w:tc>
          <w:tcPr>
            <w:tcW w:w="1090" w:type="dxa"/>
            <w:tcBorders>
              <w:left w:val="single" w:color="000000" w:sz="12" w:space="0"/>
            </w:tcBorders>
          </w:tcPr>
          <w:p>
            <w:pPr>
              <w:pStyle w:val="10"/>
              <w:ind w:left="388"/>
              <w:rPr>
                <w:sz w:val="21"/>
              </w:rPr>
            </w:pPr>
            <w:r>
              <w:rPr>
                <w:spacing w:val="-5"/>
                <w:sz w:val="21"/>
              </w:rPr>
              <w:t>120</w:t>
            </w:r>
          </w:p>
        </w:tc>
        <w:tc>
          <w:tcPr>
            <w:tcW w:w="2194" w:type="dxa"/>
          </w:tcPr>
          <w:p>
            <w:pPr>
              <w:pStyle w:val="10"/>
              <w:ind w:left="119" w:right="-29"/>
              <w:rPr>
                <w:sz w:val="21"/>
              </w:rPr>
            </w:pPr>
            <w:r>
              <w:rPr>
                <w:spacing w:val="-4"/>
                <w:sz w:val="21"/>
              </w:rPr>
              <w:t>骨生长不全症（Ⅲ型</w:t>
            </w:r>
            <w:r>
              <w:rPr>
                <w:spacing w:val="-10"/>
                <w:sz w:val="21"/>
              </w:rPr>
              <w:t>）</w:t>
            </w:r>
          </w:p>
        </w:tc>
        <w:tc>
          <w:tcPr>
            <w:tcW w:w="6656" w:type="dxa"/>
            <w:tcBorders>
              <w:right w:val="single" w:color="000000" w:sz="12" w:space="0"/>
            </w:tcBorders>
          </w:tcPr>
          <w:p>
            <w:pPr>
              <w:pStyle w:val="10"/>
              <w:spacing w:line="278" w:lineRule="auto"/>
              <w:ind w:right="210"/>
              <w:jc w:val="both"/>
              <w:rPr>
                <w:sz w:val="21"/>
              </w:rPr>
            </w:pPr>
            <w:r>
              <w:rPr>
                <w:spacing w:val="-2"/>
                <w:sz w:val="21"/>
              </w:rPr>
              <w:t>骨生长不全症是一种胶原病，特征为骨易碎，骨质疏松和易骨折。该</w:t>
            </w:r>
            <w:r>
              <w:rPr>
                <w:w w:val="95"/>
                <w:sz w:val="21"/>
              </w:rPr>
              <w:t>病有 4</w:t>
            </w:r>
            <w:r>
              <w:rPr>
                <w:spacing w:val="-2"/>
                <w:w w:val="95"/>
                <w:sz w:val="21"/>
              </w:rPr>
              <w:t xml:space="preserve"> 种类型：</w:t>
            </w:r>
            <w:r>
              <w:rPr>
                <w:w w:val="95"/>
                <w:sz w:val="21"/>
              </w:rPr>
              <w:t>I 型、II</w:t>
            </w:r>
            <w:r>
              <w:rPr>
                <w:spacing w:val="-4"/>
                <w:w w:val="95"/>
                <w:sz w:val="21"/>
              </w:rPr>
              <w:t xml:space="preserve"> </w:t>
            </w:r>
            <w:r>
              <w:rPr>
                <w:w w:val="95"/>
                <w:sz w:val="21"/>
              </w:rPr>
              <w:t>型、III 型、IV</w:t>
            </w:r>
            <w:r>
              <w:rPr>
                <w:spacing w:val="-2"/>
                <w:w w:val="95"/>
                <w:sz w:val="21"/>
              </w:rPr>
              <w:t xml:space="preserve"> 型。本保</w:t>
            </w:r>
            <w:r>
              <w:rPr>
                <w:w w:val="95"/>
                <w:sz w:val="21"/>
              </w:rPr>
              <w:t>障范围仅涉及 III</w:t>
            </w:r>
            <w:r>
              <w:rPr>
                <w:spacing w:val="-2"/>
                <w:sz w:val="21"/>
              </w:rPr>
              <w:t>型成骨不全症，其主要临床特点有：发展迟缓、多发性骨折、进行性</w:t>
            </w:r>
            <w:r>
              <w:rPr>
                <w:sz w:val="21"/>
              </w:rPr>
              <w:t>脊柱后侧凸及听力损害。III</w:t>
            </w:r>
            <w:r>
              <w:rPr>
                <w:spacing w:val="-7"/>
                <w:sz w:val="21"/>
              </w:rPr>
              <w:t xml:space="preserve"> 型成骨不全的诊断必须根据身体检查，</w:t>
            </w:r>
          </w:p>
          <w:p>
            <w:pPr>
              <w:pStyle w:val="10"/>
              <w:spacing w:before="0" w:line="269" w:lineRule="exact"/>
              <w:jc w:val="both"/>
              <w:rPr>
                <w:sz w:val="21"/>
              </w:rPr>
            </w:pPr>
            <w:r>
              <w:rPr>
                <w:spacing w:val="-2"/>
                <w:sz w:val="21"/>
              </w:rPr>
              <w:t>家族史，X</w:t>
            </w:r>
            <w:r>
              <w:rPr>
                <w:spacing w:val="-9"/>
                <w:sz w:val="21"/>
              </w:rPr>
              <w:t xml:space="preserve"> 线检查和皮肤活检报告资料确诊，并经专科医生出具诊断</w:t>
            </w:r>
          </w:p>
        </w:tc>
      </w:tr>
    </w:tbl>
    <w:p>
      <w:pPr>
        <w:spacing w:after="0" w:line="269" w:lineRule="exact"/>
        <w:jc w:val="both"/>
        <w:rPr>
          <w:sz w:val="21"/>
        </w:rPr>
        <w:sectPr>
          <w:type w:val="continuous"/>
          <w:pgSz w:w="11910" w:h="16840"/>
          <w:pgMar w:top="840" w:right="340" w:bottom="1092" w:left="800" w:header="0" w:footer="457" w:gutter="0"/>
          <w:cols w:space="720" w:num="1"/>
        </w:sectPr>
      </w:pPr>
    </w:p>
    <w:tbl>
      <w:tblPr>
        <w:tblStyle w:val="6"/>
        <w:tblW w:w="0" w:type="auto"/>
        <w:tblInd w:w="22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90"/>
        <w:gridCol w:w="2194"/>
        <w:gridCol w:w="66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6" w:hRule="atLeast"/>
        </w:trPr>
        <w:tc>
          <w:tcPr>
            <w:tcW w:w="1090" w:type="dxa"/>
            <w:tcBorders>
              <w:left w:val="single" w:color="000000" w:sz="12" w:space="0"/>
            </w:tcBorders>
          </w:tcPr>
          <w:p>
            <w:pPr>
              <w:pStyle w:val="10"/>
              <w:spacing w:before="0"/>
              <w:ind w:left="0"/>
              <w:rPr>
                <w:rFonts w:ascii="Times New Roman"/>
                <w:sz w:val="20"/>
              </w:rPr>
            </w:pPr>
          </w:p>
        </w:tc>
        <w:tc>
          <w:tcPr>
            <w:tcW w:w="2194" w:type="dxa"/>
          </w:tcPr>
          <w:p>
            <w:pPr>
              <w:pStyle w:val="10"/>
              <w:spacing w:before="0"/>
              <w:ind w:left="0"/>
              <w:rPr>
                <w:rFonts w:ascii="Times New Roman"/>
                <w:sz w:val="20"/>
              </w:rPr>
            </w:pPr>
          </w:p>
        </w:tc>
        <w:tc>
          <w:tcPr>
            <w:tcW w:w="6656" w:type="dxa"/>
            <w:tcBorders>
              <w:right w:val="single" w:color="000000" w:sz="12" w:space="0"/>
            </w:tcBorders>
          </w:tcPr>
          <w:p>
            <w:pPr>
              <w:pStyle w:val="10"/>
              <w:rPr>
                <w:sz w:val="21"/>
              </w:rPr>
            </w:pPr>
            <w:r>
              <w:rPr>
                <w:spacing w:val="-4"/>
                <w:sz w:val="21"/>
              </w:rPr>
              <w:t>证明。</w:t>
            </w:r>
          </w:p>
          <w:p>
            <w:pPr>
              <w:pStyle w:val="10"/>
              <w:spacing w:before="2" w:line="310" w:lineRule="atLeast"/>
              <w:ind w:right="73"/>
              <w:rPr>
                <w:sz w:val="21"/>
              </w:rPr>
            </w:pPr>
            <w:r>
              <w:rPr>
                <w:spacing w:val="-4"/>
                <w:sz w:val="21"/>
              </w:rPr>
              <w:t>我们承担本项疾病责任不受本合同“责任免除”中“遗传性疾病，先天</w:t>
            </w:r>
            <w:r>
              <w:rPr>
                <w:spacing w:val="-2"/>
                <w:sz w:val="21"/>
              </w:rPr>
              <w:t>性畸形、变形或染色体异常”的限制。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32" w:hRule="atLeast"/>
        </w:trPr>
        <w:tc>
          <w:tcPr>
            <w:tcW w:w="1090" w:type="dxa"/>
            <w:tcBorders>
              <w:left w:val="single" w:color="000000" w:sz="12" w:space="0"/>
            </w:tcBorders>
          </w:tcPr>
          <w:p>
            <w:pPr>
              <w:pStyle w:val="10"/>
              <w:ind w:left="388"/>
              <w:rPr>
                <w:sz w:val="21"/>
              </w:rPr>
            </w:pPr>
            <w:r>
              <w:rPr>
                <w:spacing w:val="-5"/>
                <w:sz w:val="21"/>
              </w:rPr>
              <w:t>121</w:t>
            </w:r>
          </w:p>
        </w:tc>
        <w:tc>
          <w:tcPr>
            <w:tcW w:w="2194" w:type="dxa"/>
          </w:tcPr>
          <w:p>
            <w:pPr>
              <w:pStyle w:val="10"/>
              <w:spacing w:line="278" w:lineRule="auto"/>
              <w:ind w:left="119" w:right="82"/>
              <w:rPr>
                <w:sz w:val="21"/>
              </w:rPr>
            </w:pPr>
            <w:r>
              <w:rPr>
                <w:sz w:val="21"/>
              </w:rPr>
              <w:t>原发性系统性淀粉样</w:t>
            </w:r>
            <w:r>
              <w:rPr>
                <w:spacing w:val="-6"/>
                <w:sz w:val="21"/>
              </w:rPr>
              <w:t>变性</w:t>
            </w:r>
          </w:p>
        </w:tc>
        <w:tc>
          <w:tcPr>
            <w:tcW w:w="6656" w:type="dxa"/>
            <w:tcBorders>
              <w:right w:val="single" w:color="000000" w:sz="12" w:space="0"/>
            </w:tcBorders>
          </w:tcPr>
          <w:p>
            <w:pPr>
              <w:pStyle w:val="10"/>
              <w:spacing w:line="278" w:lineRule="auto"/>
              <w:ind w:right="73"/>
              <w:jc w:val="both"/>
              <w:rPr>
                <w:sz w:val="21"/>
              </w:rPr>
            </w:pPr>
            <w:r>
              <w:rPr>
                <w:spacing w:val="-6"/>
                <w:sz w:val="21"/>
              </w:rPr>
              <w:t>淀粉样变性是一组蛋白质代谢障碍性疾病，病理表现为淀粉样蛋白沉积</w:t>
            </w:r>
            <w:r>
              <w:rPr>
                <w:spacing w:val="-2"/>
                <w:sz w:val="21"/>
              </w:rPr>
              <w:t>于组织或器官。原发性系统性淀粉样变性原因不明，通常累及肾脏和/</w:t>
            </w:r>
            <w:r>
              <w:rPr>
                <w:spacing w:val="-4"/>
                <w:sz w:val="21"/>
              </w:rPr>
              <w:t>或心脏。</w:t>
            </w:r>
          </w:p>
          <w:p>
            <w:pPr>
              <w:pStyle w:val="10"/>
              <w:spacing w:before="0" w:line="278" w:lineRule="auto"/>
              <w:ind w:right="73"/>
              <w:rPr>
                <w:sz w:val="21"/>
              </w:rPr>
            </w:pPr>
            <w:r>
              <w:rPr>
                <w:spacing w:val="-5"/>
                <w:sz w:val="21"/>
              </w:rPr>
              <w:t>被保险人经活检组织病理学检查被明确诊断为淀粉样变性，并满足下列</w:t>
            </w:r>
            <w:r>
              <w:rPr>
                <w:spacing w:val="-2"/>
                <w:sz w:val="21"/>
              </w:rPr>
              <w:t>条件之一：</w:t>
            </w:r>
          </w:p>
          <w:p>
            <w:pPr>
              <w:pStyle w:val="10"/>
              <w:numPr>
                <w:ilvl w:val="0"/>
                <w:numId w:val="108"/>
              </w:numPr>
              <w:tabs>
                <w:tab w:val="left" w:pos="637"/>
              </w:tabs>
              <w:spacing w:before="0" w:after="0" w:line="278" w:lineRule="auto"/>
              <w:ind w:left="107" w:right="107" w:firstLine="0"/>
              <w:jc w:val="both"/>
              <w:rPr>
                <w:sz w:val="21"/>
              </w:rPr>
            </w:pPr>
            <w:r>
              <w:rPr>
                <w:spacing w:val="-2"/>
                <w:sz w:val="21"/>
              </w:rPr>
              <w:t xml:space="preserve">心脏淀粉样变性，被保险人存在限制性心肌病及其所致的充血性心力衰竭，达到美国纽约心脏病学会心功能状态分级 </w:t>
            </w:r>
            <w:r>
              <w:rPr>
                <w:sz w:val="21"/>
              </w:rPr>
              <w:t>III 级，并持续 180</w:t>
            </w:r>
            <w:r>
              <w:rPr>
                <w:spacing w:val="-10"/>
                <w:sz w:val="21"/>
              </w:rPr>
              <w:t xml:space="preserve"> 天以上；</w:t>
            </w:r>
          </w:p>
          <w:p>
            <w:pPr>
              <w:pStyle w:val="10"/>
              <w:numPr>
                <w:ilvl w:val="0"/>
                <w:numId w:val="108"/>
              </w:numPr>
              <w:tabs>
                <w:tab w:val="left" w:pos="637"/>
              </w:tabs>
              <w:spacing w:before="0" w:after="0" w:line="268" w:lineRule="auto"/>
              <w:ind w:left="107" w:right="107" w:firstLine="0"/>
              <w:jc w:val="both"/>
              <w:rPr>
                <w:sz w:val="21"/>
              </w:rPr>
            </w:pPr>
            <w:r>
              <w:rPr>
                <w:spacing w:val="-2"/>
                <w:sz w:val="21"/>
              </w:rPr>
              <w:t>肾脏淀粉样变性，被保险人存在肾病综合征及其所致的严重的肾</w:t>
            </w:r>
            <w:r>
              <w:rPr>
                <w:sz w:val="21"/>
              </w:rPr>
              <w:t>脏功能衰竭，肾小球滤过率&lt;30ml/min/1.73</w:t>
            </w:r>
            <w:r>
              <w:rPr>
                <w:position w:val="11"/>
                <w:sz w:val="11"/>
              </w:rPr>
              <w:t>2</w:t>
            </w:r>
            <w:r>
              <w:rPr>
                <w:spacing w:val="-5"/>
                <w:sz w:val="21"/>
              </w:rPr>
              <w:t xml:space="preserve">，并持续 </w:t>
            </w:r>
            <w:r>
              <w:rPr>
                <w:sz w:val="21"/>
              </w:rPr>
              <w:t>180</w:t>
            </w:r>
            <w:r>
              <w:rPr>
                <w:spacing w:val="-5"/>
                <w:sz w:val="21"/>
              </w:rPr>
              <w:t xml:space="preserve"> 天以上。</w:t>
            </w:r>
          </w:p>
          <w:p>
            <w:pPr>
              <w:pStyle w:val="10"/>
              <w:spacing w:before="10"/>
              <w:rPr>
                <w:rFonts w:ascii="黑体" w:eastAsia="黑体"/>
                <w:sz w:val="21"/>
              </w:rPr>
            </w:pPr>
            <w:r>
              <w:rPr>
                <w:rFonts w:ascii="黑体" w:eastAsia="黑体"/>
                <w:color w:val="000000"/>
                <w:spacing w:val="-3"/>
                <w:sz w:val="21"/>
                <w:shd w:val="clear" w:color="auto" w:fill="D9D9D9"/>
              </w:rPr>
              <w:t>继发性淀粉样变性不在保障范围内。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83" w:hRule="atLeast"/>
        </w:trPr>
        <w:tc>
          <w:tcPr>
            <w:tcW w:w="1090" w:type="dxa"/>
            <w:tcBorders>
              <w:left w:val="single" w:color="000000" w:sz="12" w:space="0"/>
            </w:tcBorders>
          </w:tcPr>
          <w:p>
            <w:pPr>
              <w:pStyle w:val="10"/>
              <w:ind w:left="388"/>
              <w:rPr>
                <w:sz w:val="21"/>
              </w:rPr>
            </w:pPr>
            <w:r>
              <w:rPr>
                <w:spacing w:val="-5"/>
                <w:sz w:val="21"/>
              </w:rPr>
              <w:t>122</w:t>
            </w:r>
          </w:p>
        </w:tc>
        <w:tc>
          <w:tcPr>
            <w:tcW w:w="2194" w:type="dxa"/>
          </w:tcPr>
          <w:p>
            <w:pPr>
              <w:pStyle w:val="10"/>
              <w:ind w:left="119"/>
              <w:rPr>
                <w:sz w:val="21"/>
              </w:rPr>
            </w:pPr>
            <w:r>
              <w:rPr>
                <w:spacing w:val="-4"/>
                <w:sz w:val="21"/>
              </w:rPr>
              <w:t>严重气性坏疽</w:t>
            </w:r>
          </w:p>
        </w:tc>
        <w:tc>
          <w:tcPr>
            <w:tcW w:w="6656" w:type="dxa"/>
            <w:tcBorders>
              <w:right w:val="single" w:color="000000" w:sz="12" w:space="0"/>
            </w:tcBorders>
          </w:tcPr>
          <w:p>
            <w:pPr>
              <w:pStyle w:val="10"/>
              <w:spacing w:line="278" w:lineRule="auto"/>
              <w:ind w:right="73"/>
              <w:rPr>
                <w:sz w:val="21"/>
              </w:rPr>
            </w:pPr>
            <w:r>
              <w:rPr>
                <w:spacing w:val="-4"/>
                <w:sz w:val="21"/>
              </w:rPr>
              <w:t>指由梭状芽胞杆菌所致的肌坏死或肌炎。须经专科医生明确诊断，且须</w:t>
            </w:r>
            <w:r>
              <w:rPr>
                <w:spacing w:val="-2"/>
                <w:sz w:val="21"/>
              </w:rPr>
              <w:t>同时符合下列条件：</w:t>
            </w:r>
          </w:p>
          <w:p>
            <w:pPr>
              <w:pStyle w:val="10"/>
              <w:numPr>
                <w:ilvl w:val="0"/>
                <w:numId w:val="109"/>
              </w:numPr>
              <w:tabs>
                <w:tab w:val="left" w:pos="637"/>
              </w:tabs>
              <w:spacing w:before="0" w:after="0" w:line="269" w:lineRule="exact"/>
              <w:ind w:left="636" w:right="0" w:hanging="530"/>
              <w:jc w:val="left"/>
              <w:rPr>
                <w:sz w:val="21"/>
              </w:rPr>
            </w:pPr>
            <w:r>
              <w:rPr>
                <w:spacing w:val="-3"/>
                <w:sz w:val="21"/>
              </w:rPr>
              <w:t>符合气性坏疽的一般临床表现；</w:t>
            </w:r>
          </w:p>
          <w:p>
            <w:pPr>
              <w:pStyle w:val="10"/>
              <w:numPr>
                <w:ilvl w:val="0"/>
                <w:numId w:val="109"/>
              </w:numPr>
              <w:tabs>
                <w:tab w:val="left" w:pos="637"/>
              </w:tabs>
              <w:spacing w:before="43" w:after="0" w:line="240" w:lineRule="auto"/>
              <w:ind w:left="636" w:right="0" w:hanging="530"/>
              <w:jc w:val="left"/>
              <w:rPr>
                <w:sz w:val="21"/>
              </w:rPr>
            </w:pPr>
            <w:r>
              <w:rPr>
                <w:spacing w:val="-3"/>
                <w:sz w:val="21"/>
              </w:rPr>
              <w:t>细菌培养检出致病菌；</w:t>
            </w:r>
          </w:p>
          <w:p>
            <w:pPr>
              <w:pStyle w:val="10"/>
              <w:numPr>
                <w:ilvl w:val="0"/>
                <w:numId w:val="109"/>
              </w:numPr>
              <w:tabs>
                <w:tab w:val="left" w:pos="637"/>
              </w:tabs>
              <w:spacing w:before="43" w:after="0" w:line="278" w:lineRule="auto"/>
              <w:ind w:left="107" w:right="107" w:firstLine="0"/>
              <w:jc w:val="left"/>
              <w:rPr>
                <w:sz w:val="21"/>
              </w:rPr>
            </w:pPr>
            <w:r>
              <w:rPr>
                <w:spacing w:val="-2"/>
                <w:sz w:val="21"/>
              </w:rPr>
              <w:t>出现广泛性肌肉及组织坏死，并确实实施了坏死组织和筋膜以及肌肉的切除手术。</w:t>
            </w:r>
          </w:p>
          <w:p>
            <w:pPr>
              <w:pStyle w:val="10"/>
              <w:spacing w:before="0" w:line="269" w:lineRule="exact"/>
              <w:rPr>
                <w:rFonts w:ascii="黑体" w:eastAsia="黑体"/>
                <w:sz w:val="21"/>
              </w:rPr>
            </w:pPr>
            <w:r>
              <w:rPr>
                <w:rFonts w:ascii="黑体" w:eastAsia="黑体"/>
                <w:color w:val="000000"/>
                <w:spacing w:val="-3"/>
                <w:sz w:val="21"/>
                <w:shd w:val="clear" w:color="auto" w:fill="D9D9D9"/>
              </w:rPr>
              <w:t>清创术不在保障范围内。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1090" w:type="dxa"/>
            <w:tcBorders>
              <w:left w:val="single" w:color="000000" w:sz="12" w:space="0"/>
            </w:tcBorders>
          </w:tcPr>
          <w:p>
            <w:pPr>
              <w:pStyle w:val="10"/>
              <w:ind w:left="388"/>
              <w:rPr>
                <w:sz w:val="21"/>
              </w:rPr>
            </w:pPr>
            <w:r>
              <w:rPr>
                <w:spacing w:val="-5"/>
                <w:sz w:val="21"/>
              </w:rPr>
              <w:t>123</w:t>
            </w:r>
          </w:p>
        </w:tc>
        <w:tc>
          <w:tcPr>
            <w:tcW w:w="2194" w:type="dxa"/>
          </w:tcPr>
          <w:p>
            <w:pPr>
              <w:pStyle w:val="10"/>
              <w:ind w:left="119"/>
              <w:rPr>
                <w:sz w:val="21"/>
              </w:rPr>
            </w:pPr>
            <w:r>
              <w:rPr>
                <w:spacing w:val="-4"/>
                <w:sz w:val="21"/>
              </w:rPr>
              <w:t>破伤风</w:t>
            </w:r>
          </w:p>
        </w:tc>
        <w:tc>
          <w:tcPr>
            <w:tcW w:w="6656" w:type="dxa"/>
            <w:tcBorders>
              <w:right w:val="single" w:color="000000" w:sz="12" w:space="0"/>
            </w:tcBorders>
          </w:tcPr>
          <w:p>
            <w:pPr>
              <w:pStyle w:val="10"/>
              <w:spacing w:line="278" w:lineRule="auto"/>
              <w:ind w:right="1"/>
              <w:rPr>
                <w:sz w:val="21"/>
              </w:rPr>
            </w:pPr>
            <w:r>
              <w:rPr>
                <w:spacing w:val="-2"/>
                <w:sz w:val="21"/>
              </w:rPr>
              <w:t>指破伤风梭菌经由皮肤或黏膜伤口侵入人体，在缺氧环境下生长繁殖，</w:t>
            </w:r>
            <w:r>
              <w:rPr>
                <w:spacing w:val="-6"/>
                <w:sz w:val="21"/>
              </w:rPr>
              <w:t>产生毒素而引起严重持续肌痉挛的一种特异性感染。须经专科医生明确</w:t>
            </w:r>
          </w:p>
          <w:p>
            <w:pPr>
              <w:pStyle w:val="10"/>
              <w:spacing w:before="0" w:line="269" w:lineRule="exact"/>
              <w:rPr>
                <w:sz w:val="21"/>
              </w:rPr>
            </w:pPr>
            <w:r>
              <w:rPr>
                <w:spacing w:val="-4"/>
                <w:sz w:val="21"/>
              </w:rPr>
              <w:t>诊断。</w:t>
            </w:r>
          </w:p>
        </w:tc>
      </w:tr>
    </w:tbl>
    <w:p>
      <w:pPr>
        <w:spacing w:after="0" w:line="269" w:lineRule="exact"/>
        <w:rPr>
          <w:sz w:val="21"/>
        </w:rPr>
        <w:sectPr>
          <w:type w:val="continuous"/>
          <w:pgSz w:w="11910" w:h="16840"/>
          <w:pgMar w:top="840" w:right="340" w:bottom="640" w:left="800" w:header="0" w:footer="457" w:gutter="0"/>
          <w:cols w:space="720" w:num="1"/>
        </w:sectPr>
      </w:pPr>
    </w:p>
    <w:p>
      <w:pPr>
        <w:pStyle w:val="2"/>
      </w:pPr>
      <w:r>
        <w:rPr>
          <w:w w:val="95"/>
        </w:rPr>
        <w:t>附表二：轻度疾病列表及定</w:t>
      </w:r>
      <w:r>
        <w:rPr>
          <w:spacing w:val="-10"/>
          <w:w w:val="95"/>
        </w:rPr>
        <w:t>义</w:t>
      </w:r>
    </w:p>
    <w:p>
      <w:pPr>
        <w:pStyle w:val="4"/>
        <w:spacing w:before="28"/>
        <w:ind w:left="313"/>
      </w:pPr>
      <w:r>
        <w:rPr>
          <w:spacing w:val="6"/>
        </w:rPr>
        <w:t xml:space="preserve">本表所使用的第 </w:t>
      </w:r>
      <w:r>
        <w:t>1-3</w:t>
      </w:r>
      <w:r>
        <w:rPr>
          <w:spacing w:val="-1"/>
        </w:rPr>
        <w:t xml:space="preserve"> 项轻度疾病的定义同中国保险行业协会发布的《重大疾病保险的疾病定义使用规范</w:t>
      </w:r>
    </w:p>
    <w:p>
      <w:pPr>
        <w:pStyle w:val="4"/>
        <w:spacing w:before="43" w:after="59"/>
        <w:ind w:left="313"/>
      </w:pPr>
      <w:r>
        <w:rPr>
          <w:spacing w:val="-2"/>
        </w:rPr>
        <w:t>（2020</w:t>
      </w:r>
      <w:r>
        <w:rPr>
          <w:spacing w:val="-12"/>
        </w:rPr>
        <w:t xml:space="preserve"> 年修订版</w:t>
      </w:r>
      <w:r>
        <w:rPr>
          <w:spacing w:val="-2"/>
        </w:rPr>
        <w:t>）</w:t>
      </w:r>
      <w:r>
        <w:rPr>
          <w:spacing w:val="-10"/>
        </w:rPr>
        <w:t xml:space="preserve">》一致，第 </w:t>
      </w:r>
      <w:r>
        <w:rPr>
          <w:spacing w:val="-2"/>
        </w:rPr>
        <w:t>4-50</w:t>
      </w:r>
      <w:r>
        <w:rPr>
          <w:spacing w:val="-10"/>
        </w:rPr>
        <w:t xml:space="preserve"> 项为本公司增加的疾病种类。</w:t>
      </w:r>
    </w:p>
    <w:tbl>
      <w:tblPr>
        <w:tblStyle w:val="6"/>
        <w:tblW w:w="0" w:type="auto"/>
        <w:tblInd w:w="221"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1080"/>
        <w:gridCol w:w="2196"/>
        <w:gridCol w:w="6663"/>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1" w:hRule="atLeast"/>
        </w:trPr>
        <w:tc>
          <w:tcPr>
            <w:tcW w:w="1080" w:type="dxa"/>
            <w:tcBorders>
              <w:bottom w:val="single" w:color="000000" w:sz="4" w:space="0"/>
              <w:right w:val="single" w:color="000000" w:sz="4" w:space="0"/>
            </w:tcBorders>
          </w:tcPr>
          <w:p>
            <w:pPr>
              <w:pStyle w:val="10"/>
              <w:spacing w:before="22"/>
              <w:ind w:left="318" w:right="290"/>
              <w:jc w:val="center"/>
              <w:rPr>
                <w:b/>
                <w:sz w:val="21"/>
              </w:rPr>
            </w:pPr>
            <w:r>
              <w:rPr>
                <w:b/>
                <w:spacing w:val="-5"/>
                <w:sz w:val="21"/>
              </w:rPr>
              <w:t>项目</w:t>
            </w:r>
          </w:p>
        </w:tc>
        <w:tc>
          <w:tcPr>
            <w:tcW w:w="2196" w:type="dxa"/>
            <w:tcBorders>
              <w:left w:val="single" w:color="000000" w:sz="4" w:space="0"/>
              <w:bottom w:val="single" w:color="000000" w:sz="4" w:space="0"/>
              <w:right w:val="single" w:color="000000" w:sz="4" w:space="0"/>
            </w:tcBorders>
          </w:tcPr>
          <w:p>
            <w:pPr>
              <w:pStyle w:val="10"/>
              <w:spacing w:before="22"/>
              <w:ind w:left="686"/>
              <w:rPr>
                <w:b/>
                <w:sz w:val="21"/>
              </w:rPr>
            </w:pPr>
            <w:r>
              <w:rPr>
                <w:b/>
                <w:spacing w:val="-3"/>
                <w:sz w:val="21"/>
              </w:rPr>
              <w:t>疾病名称</w:t>
            </w:r>
          </w:p>
        </w:tc>
        <w:tc>
          <w:tcPr>
            <w:tcW w:w="6663" w:type="dxa"/>
            <w:tcBorders>
              <w:left w:val="single" w:color="000000" w:sz="4" w:space="0"/>
              <w:bottom w:val="single" w:color="000000" w:sz="4" w:space="0"/>
            </w:tcBorders>
          </w:tcPr>
          <w:p>
            <w:pPr>
              <w:pStyle w:val="10"/>
              <w:spacing w:before="22"/>
              <w:ind w:left="169" w:right="138"/>
              <w:jc w:val="center"/>
              <w:rPr>
                <w:b/>
                <w:sz w:val="21"/>
              </w:rPr>
            </w:pPr>
            <w:r>
              <w:rPr>
                <w:b/>
                <w:spacing w:val="-3"/>
                <w:sz w:val="21"/>
              </w:rPr>
              <w:t>疾病定义</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864" w:hRule="atLeast"/>
        </w:trPr>
        <w:tc>
          <w:tcPr>
            <w:tcW w:w="1080" w:type="dxa"/>
            <w:tcBorders>
              <w:top w:val="single" w:color="000000" w:sz="4" w:space="0"/>
              <w:bottom w:val="single" w:color="000000" w:sz="4" w:space="0"/>
              <w:right w:val="single" w:color="000000" w:sz="4" w:space="0"/>
            </w:tcBorders>
          </w:tcPr>
          <w:p>
            <w:pPr>
              <w:pStyle w:val="10"/>
              <w:spacing w:before="34"/>
              <w:ind w:left="29"/>
              <w:jc w:val="center"/>
              <w:rPr>
                <w:rFonts w:ascii="Times New Roman"/>
                <w:sz w:val="21"/>
              </w:rPr>
            </w:pPr>
            <w:r>
              <w:rPr>
                <w:rFonts w:ascii="Times New Roman"/>
                <w:w w:val="100"/>
                <w:sz w:val="21"/>
              </w:rPr>
              <w:t>1</w:t>
            </w:r>
          </w:p>
        </w:tc>
        <w:tc>
          <w:tcPr>
            <w:tcW w:w="2196" w:type="dxa"/>
            <w:tcBorders>
              <w:top w:val="single" w:color="000000" w:sz="4" w:space="0"/>
              <w:left w:val="single" w:color="000000" w:sz="4" w:space="0"/>
              <w:bottom w:val="single" w:color="000000" w:sz="4" w:space="0"/>
              <w:right w:val="single" w:color="000000" w:sz="4" w:space="0"/>
            </w:tcBorders>
          </w:tcPr>
          <w:p>
            <w:pPr>
              <w:pStyle w:val="10"/>
              <w:spacing w:before="22"/>
              <w:ind w:left="117"/>
              <w:rPr>
                <w:sz w:val="21"/>
              </w:rPr>
            </w:pPr>
            <w:r>
              <w:rPr>
                <w:spacing w:val="-4"/>
                <w:sz w:val="21"/>
              </w:rPr>
              <w:t>恶性肿瘤——轻度</w:t>
            </w:r>
          </w:p>
        </w:tc>
        <w:tc>
          <w:tcPr>
            <w:tcW w:w="6663" w:type="dxa"/>
            <w:tcBorders>
              <w:top w:val="single" w:color="000000" w:sz="4" w:space="0"/>
              <w:left w:val="single" w:color="000000" w:sz="4" w:space="0"/>
              <w:bottom w:val="single" w:color="000000" w:sz="4" w:space="0"/>
            </w:tcBorders>
          </w:tcPr>
          <w:p>
            <w:pPr>
              <w:pStyle w:val="10"/>
              <w:spacing w:before="22" w:line="278" w:lineRule="auto"/>
              <w:ind w:left="108" w:right="5"/>
              <w:rPr>
                <w:sz w:val="21"/>
              </w:rPr>
            </w:pPr>
            <w:r>
              <w:rPr>
                <w:spacing w:val="-2"/>
                <w:sz w:val="21"/>
              </w:rPr>
              <w:t>指恶性细胞不受控制的进行性增长和扩散，浸润和破坏周围正常组织，可以经血管、淋巴管和体腔扩散转移到身体其他部位，病灶经组织病理学检查（涵盖骨髓病理学检查）结果明确诊断，临床诊断属于世界卫生组织（WHO， World</w:t>
            </w:r>
            <w:r>
              <w:rPr>
                <w:spacing w:val="-26"/>
                <w:sz w:val="21"/>
              </w:rPr>
              <w:t xml:space="preserve"> </w:t>
            </w:r>
            <w:r>
              <w:rPr>
                <w:spacing w:val="-2"/>
                <w:sz w:val="21"/>
              </w:rPr>
              <w:t>Health</w:t>
            </w:r>
            <w:r>
              <w:rPr>
                <w:spacing w:val="-24"/>
                <w:sz w:val="21"/>
              </w:rPr>
              <w:t xml:space="preserve"> </w:t>
            </w:r>
            <w:r>
              <w:rPr>
                <w:spacing w:val="7"/>
                <w:sz w:val="21"/>
              </w:rPr>
              <w:t>O</w:t>
            </w:r>
            <w:r>
              <w:rPr>
                <w:spacing w:val="4"/>
                <w:sz w:val="21"/>
              </w:rPr>
              <w:t>r</w:t>
            </w:r>
            <w:r>
              <w:rPr>
                <w:spacing w:val="7"/>
                <w:sz w:val="21"/>
              </w:rPr>
              <w:t>gan</w:t>
            </w:r>
            <w:r>
              <w:rPr>
                <w:spacing w:val="4"/>
                <w:sz w:val="21"/>
              </w:rPr>
              <w:t>i</w:t>
            </w:r>
            <w:r>
              <w:rPr>
                <w:spacing w:val="7"/>
                <w:sz w:val="21"/>
              </w:rPr>
              <w:t>zat</w:t>
            </w:r>
            <w:r>
              <w:rPr>
                <w:spacing w:val="4"/>
                <w:sz w:val="21"/>
              </w:rPr>
              <w:t>i</w:t>
            </w:r>
            <w:r>
              <w:rPr>
                <w:spacing w:val="7"/>
                <w:sz w:val="21"/>
              </w:rPr>
              <w:t>o</w:t>
            </w:r>
            <w:r>
              <w:rPr>
                <w:spacing w:val="6"/>
                <w:sz w:val="21"/>
              </w:rPr>
              <w:t>n</w:t>
            </w:r>
            <w:r>
              <w:rPr>
                <w:spacing w:val="-101"/>
                <w:sz w:val="21"/>
              </w:rPr>
              <w:t>）</w:t>
            </w:r>
            <w:r>
              <w:rPr>
                <w:spacing w:val="-2"/>
                <w:sz w:val="21"/>
              </w:rPr>
              <w:t>《疾病和有关健康问题的国际统计分类》第十次修订版（ICD-10）的恶性肿瘤类别及《国际疾病分类肿瘤学专辑》第三版（ICD-O-3）</w:t>
            </w:r>
            <w:r>
              <w:rPr>
                <w:spacing w:val="-7"/>
                <w:sz w:val="21"/>
              </w:rPr>
              <w:t xml:space="preserve">的肿瘤形态学编码属于 </w:t>
            </w:r>
            <w:r>
              <w:rPr>
                <w:spacing w:val="-2"/>
                <w:sz w:val="21"/>
              </w:rPr>
              <w:t>3、6、9（恶性肿瘤）范畴，但不在“恶性肿瘤——重度”保障范围的疾病。且特指下列六项之一：</w:t>
            </w:r>
          </w:p>
          <w:p>
            <w:pPr>
              <w:pStyle w:val="10"/>
              <w:numPr>
                <w:ilvl w:val="0"/>
                <w:numId w:val="110"/>
              </w:numPr>
              <w:tabs>
                <w:tab w:val="left" w:pos="638"/>
              </w:tabs>
              <w:spacing w:before="0" w:after="0" w:line="268" w:lineRule="exact"/>
              <w:ind w:left="637" w:right="0" w:hanging="530"/>
              <w:jc w:val="left"/>
              <w:rPr>
                <w:sz w:val="21"/>
              </w:rPr>
            </w:pPr>
            <w:r>
              <w:rPr>
                <w:spacing w:val="-2"/>
                <w:sz w:val="21"/>
              </w:rPr>
              <w:t>TNM</w:t>
            </w:r>
            <w:r>
              <w:rPr>
                <w:spacing w:val="-10"/>
                <w:sz w:val="21"/>
              </w:rPr>
              <w:t xml:space="preserve"> 分期为Ⅰ期的甲状腺癌；</w:t>
            </w:r>
          </w:p>
          <w:p>
            <w:pPr>
              <w:pStyle w:val="10"/>
              <w:numPr>
                <w:ilvl w:val="0"/>
                <w:numId w:val="110"/>
              </w:numPr>
              <w:tabs>
                <w:tab w:val="left" w:pos="638"/>
              </w:tabs>
              <w:spacing w:before="43" w:after="0" w:line="240" w:lineRule="auto"/>
              <w:ind w:left="637" w:right="0" w:hanging="530"/>
              <w:jc w:val="left"/>
              <w:rPr>
                <w:sz w:val="21"/>
              </w:rPr>
            </w:pPr>
            <w:r>
              <w:rPr>
                <w:spacing w:val="-2"/>
                <w:position w:val="1"/>
                <w:sz w:val="21"/>
              </w:rPr>
              <w:t>TNM</w:t>
            </w:r>
            <w:r>
              <w:rPr>
                <w:spacing w:val="-22"/>
                <w:position w:val="1"/>
                <w:sz w:val="21"/>
              </w:rPr>
              <w:t xml:space="preserve"> 分期为 </w:t>
            </w:r>
            <w:r>
              <w:rPr>
                <w:spacing w:val="-2"/>
                <w:position w:val="1"/>
                <w:sz w:val="21"/>
              </w:rPr>
              <w:t>T</w:t>
            </w:r>
            <w:r>
              <w:rPr>
                <w:spacing w:val="-2"/>
                <w:sz w:val="11"/>
              </w:rPr>
              <w:t>1</w:t>
            </w:r>
            <w:r>
              <w:rPr>
                <w:spacing w:val="-2"/>
                <w:position w:val="1"/>
                <w:sz w:val="21"/>
              </w:rPr>
              <w:t>N</w:t>
            </w:r>
            <w:r>
              <w:rPr>
                <w:spacing w:val="-2"/>
                <w:sz w:val="11"/>
              </w:rPr>
              <w:t>0</w:t>
            </w:r>
            <w:r>
              <w:rPr>
                <w:spacing w:val="-2"/>
                <w:position w:val="1"/>
                <w:sz w:val="21"/>
              </w:rPr>
              <w:t>M</w:t>
            </w:r>
            <w:r>
              <w:rPr>
                <w:spacing w:val="-2"/>
                <w:sz w:val="11"/>
              </w:rPr>
              <w:t>0</w:t>
            </w:r>
            <w:r>
              <w:rPr>
                <w:spacing w:val="-25"/>
                <w:sz w:val="11"/>
              </w:rPr>
              <w:t xml:space="preserve"> </w:t>
            </w:r>
            <w:r>
              <w:rPr>
                <w:spacing w:val="-4"/>
                <w:position w:val="1"/>
                <w:sz w:val="21"/>
              </w:rPr>
              <w:t>期的前列腺癌；</w:t>
            </w:r>
          </w:p>
          <w:p>
            <w:pPr>
              <w:pStyle w:val="10"/>
              <w:numPr>
                <w:ilvl w:val="0"/>
                <w:numId w:val="110"/>
              </w:numPr>
              <w:tabs>
                <w:tab w:val="left" w:pos="638"/>
              </w:tabs>
              <w:spacing w:before="44" w:after="0" w:line="240" w:lineRule="auto"/>
              <w:ind w:left="637" w:right="0" w:hanging="530"/>
              <w:jc w:val="left"/>
              <w:rPr>
                <w:sz w:val="21"/>
              </w:rPr>
            </w:pPr>
            <w:r>
              <w:rPr>
                <w:spacing w:val="-3"/>
                <w:sz w:val="21"/>
              </w:rPr>
              <w:t>黑色素瘤以外的未发生淋巴结和远处转移的皮肤恶性肿瘤；</w:t>
            </w:r>
          </w:p>
          <w:p>
            <w:pPr>
              <w:pStyle w:val="10"/>
              <w:numPr>
                <w:ilvl w:val="0"/>
                <w:numId w:val="110"/>
              </w:numPr>
              <w:tabs>
                <w:tab w:val="left" w:pos="638"/>
              </w:tabs>
              <w:spacing w:before="43" w:after="0" w:line="240" w:lineRule="auto"/>
              <w:ind w:left="637" w:right="0" w:hanging="530"/>
              <w:jc w:val="left"/>
              <w:rPr>
                <w:sz w:val="21"/>
              </w:rPr>
            </w:pPr>
            <w:r>
              <w:rPr>
                <w:spacing w:val="-14"/>
                <w:sz w:val="21"/>
              </w:rPr>
              <w:t xml:space="preserve">相当于 </w:t>
            </w:r>
            <w:r>
              <w:rPr>
                <w:spacing w:val="-2"/>
                <w:sz w:val="21"/>
              </w:rPr>
              <w:t>Binet</w:t>
            </w:r>
            <w:r>
              <w:rPr>
                <w:spacing w:val="-19"/>
                <w:sz w:val="21"/>
              </w:rPr>
              <w:t xml:space="preserve"> 分期方案 </w:t>
            </w:r>
            <w:r>
              <w:rPr>
                <w:spacing w:val="-2"/>
                <w:sz w:val="21"/>
              </w:rPr>
              <w:t>A</w:t>
            </w:r>
            <w:r>
              <w:rPr>
                <w:spacing w:val="-10"/>
                <w:sz w:val="21"/>
              </w:rPr>
              <w:t xml:space="preserve"> 期程度的慢性淋巴细胞白血病；</w:t>
            </w:r>
          </w:p>
          <w:p>
            <w:pPr>
              <w:pStyle w:val="10"/>
              <w:numPr>
                <w:ilvl w:val="0"/>
                <w:numId w:val="110"/>
              </w:numPr>
              <w:tabs>
                <w:tab w:val="left" w:pos="638"/>
              </w:tabs>
              <w:spacing w:before="43" w:after="0" w:line="240" w:lineRule="auto"/>
              <w:ind w:left="637" w:right="0" w:hanging="530"/>
              <w:jc w:val="left"/>
              <w:rPr>
                <w:sz w:val="21"/>
              </w:rPr>
            </w:pPr>
            <w:r>
              <w:rPr>
                <w:spacing w:val="-14"/>
                <w:sz w:val="21"/>
              </w:rPr>
              <w:t xml:space="preserve">相当于 </w:t>
            </w:r>
            <w:r>
              <w:rPr>
                <w:spacing w:val="-2"/>
                <w:sz w:val="21"/>
              </w:rPr>
              <w:t>Ann</w:t>
            </w:r>
            <w:r>
              <w:rPr>
                <w:spacing w:val="12"/>
                <w:sz w:val="21"/>
              </w:rPr>
              <w:t xml:space="preserve"> </w:t>
            </w:r>
            <w:r>
              <w:rPr>
                <w:spacing w:val="-2"/>
                <w:sz w:val="21"/>
              </w:rPr>
              <w:t>Arbor</w:t>
            </w:r>
            <w:r>
              <w:rPr>
                <w:spacing w:val="-10"/>
                <w:sz w:val="21"/>
              </w:rPr>
              <w:t xml:space="preserve"> 分期方案Ⅰ期程度的何杰金氏病；</w:t>
            </w:r>
          </w:p>
          <w:p>
            <w:pPr>
              <w:pStyle w:val="10"/>
              <w:numPr>
                <w:ilvl w:val="0"/>
                <w:numId w:val="110"/>
              </w:numPr>
              <w:tabs>
                <w:tab w:val="left" w:pos="635"/>
              </w:tabs>
              <w:spacing w:before="43" w:after="0" w:line="278" w:lineRule="auto"/>
              <w:ind w:left="108" w:right="72" w:firstLine="0"/>
              <w:jc w:val="left"/>
              <w:rPr>
                <w:sz w:val="21"/>
              </w:rPr>
            </w:pPr>
            <w:r>
              <w:rPr>
                <w:spacing w:val="-2"/>
                <w:sz w:val="21"/>
              </w:rPr>
              <w:t xml:space="preserve">未发生淋巴结和远处转移且 </w:t>
            </w:r>
            <w:r>
              <w:rPr>
                <w:sz w:val="21"/>
              </w:rPr>
              <w:t>WHO</w:t>
            </w:r>
            <w:r>
              <w:rPr>
                <w:spacing w:val="-11"/>
                <w:sz w:val="21"/>
              </w:rPr>
              <w:t xml:space="preserve"> 分级为 </w:t>
            </w:r>
            <w:r>
              <w:rPr>
                <w:sz w:val="21"/>
              </w:rPr>
              <w:t>G1</w:t>
            </w:r>
            <w:r>
              <w:rPr>
                <w:spacing w:val="-8"/>
                <w:sz w:val="21"/>
              </w:rPr>
              <w:t xml:space="preserve"> 级别</w:t>
            </w:r>
            <w:r>
              <w:rPr>
                <w:sz w:val="21"/>
              </w:rPr>
              <w:t>（核分裂像&lt;10/50 HPF</w:t>
            </w:r>
            <w:r>
              <w:rPr>
                <w:spacing w:val="-11"/>
                <w:sz w:val="21"/>
              </w:rPr>
              <w:t xml:space="preserve"> 和 </w:t>
            </w:r>
            <w:r>
              <w:rPr>
                <w:sz w:val="21"/>
              </w:rPr>
              <w:t>ki-67≤2%）的神经内分泌肿瘤。</w:t>
            </w:r>
          </w:p>
          <w:p>
            <w:pPr>
              <w:pStyle w:val="10"/>
              <w:spacing w:before="0" w:line="269" w:lineRule="exact"/>
              <w:ind w:left="108"/>
              <w:rPr>
                <w:rFonts w:ascii="黑体" w:hAnsi="黑体" w:eastAsia="黑体"/>
                <w:sz w:val="21"/>
              </w:rPr>
            </w:pPr>
            <w:r>
              <w:rPr>
                <w:rFonts w:ascii="黑体" w:hAnsi="黑体" w:eastAsia="黑体"/>
                <w:color w:val="000000"/>
                <w:spacing w:val="-10"/>
                <w:sz w:val="21"/>
                <w:shd w:val="clear" w:color="auto" w:fill="D9D9D9"/>
              </w:rPr>
              <w:t>下列疾病不属于“恶性肿瘤——轻度”，不在保障范围内：</w:t>
            </w:r>
          </w:p>
          <w:p>
            <w:pPr>
              <w:pStyle w:val="10"/>
              <w:spacing w:before="43"/>
              <w:ind w:left="108"/>
              <w:rPr>
                <w:rFonts w:ascii="黑体" w:eastAsia="黑体"/>
                <w:sz w:val="21"/>
              </w:rPr>
            </w:pPr>
            <w:r>
              <w:rPr>
                <w:rFonts w:ascii="黑体" w:eastAsia="黑体"/>
                <w:color w:val="000000"/>
                <w:spacing w:val="-2"/>
                <w:sz w:val="21"/>
                <w:shd w:val="clear" w:color="auto" w:fill="D9D9D9"/>
              </w:rPr>
              <w:t>ICD-O-3</w:t>
            </w:r>
            <w:r>
              <w:rPr>
                <w:rFonts w:ascii="黑体" w:eastAsia="黑体"/>
                <w:color w:val="000000"/>
                <w:spacing w:val="-8"/>
                <w:sz w:val="21"/>
                <w:shd w:val="clear" w:color="auto" w:fill="D9D9D9"/>
              </w:rPr>
              <w:t xml:space="preserve"> 肿瘤形态学编码属于 </w:t>
            </w:r>
            <w:r>
              <w:rPr>
                <w:rFonts w:ascii="黑体" w:eastAsia="黑体"/>
                <w:color w:val="000000"/>
                <w:spacing w:val="-2"/>
                <w:sz w:val="21"/>
                <w:shd w:val="clear" w:color="auto" w:fill="D9D9D9"/>
              </w:rPr>
              <w:t>0（良性肿瘤</w:t>
            </w:r>
            <w:r>
              <w:rPr>
                <w:rFonts w:ascii="黑体" w:eastAsia="黑体"/>
                <w:color w:val="000000"/>
                <w:spacing w:val="-106"/>
                <w:sz w:val="21"/>
                <w:shd w:val="clear" w:color="auto" w:fill="D9D9D9"/>
              </w:rPr>
              <w:t>）</w:t>
            </w:r>
            <w:r>
              <w:rPr>
                <w:rFonts w:ascii="黑体" w:eastAsia="黑体"/>
                <w:color w:val="000000"/>
                <w:spacing w:val="-2"/>
                <w:sz w:val="21"/>
                <w:shd w:val="clear" w:color="auto" w:fill="D9D9D9"/>
              </w:rPr>
              <w:t>、1（动态未定性肿瘤</w:t>
            </w:r>
            <w:r>
              <w:rPr>
                <w:rFonts w:ascii="黑体" w:eastAsia="黑体"/>
                <w:color w:val="000000"/>
                <w:spacing w:val="-106"/>
                <w:sz w:val="21"/>
                <w:shd w:val="clear" w:color="auto" w:fill="D9D9D9"/>
              </w:rPr>
              <w:t>）</w:t>
            </w:r>
            <w:r>
              <w:rPr>
                <w:rFonts w:ascii="黑体" w:eastAsia="黑体"/>
                <w:color w:val="000000"/>
                <w:spacing w:val="-2"/>
                <w:sz w:val="21"/>
                <w:shd w:val="clear" w:color="auto" w:fill="D9D9D9"/>
              </w:rPr>
              <w:t>、</w:t>
            </w:r>
            <w:r>
              <w:rPr>
                <w:rFonts w:ascii="黑体" w:eastAsia="黑体"/>
                <w:color w:val="000000"/>
                <w:spacing w:val="-10"/>
                <w:sz w:val="21"/>
                <w:shd w:val="clear" w:color="auto" w:fill="D9D9D9"/>
              </w:rPr>
              <w:t>2</w:t>
            </w:r>
          </w:p>
          <w:p>
            <w:pPr>
              <w:pStyle w:val="10"/>
              <w:spacing w:before="42"/>
              <w:ind w:left="108"/>
              <w:rPr>
                <w:rFonts w:ascii="黑体" w:eastAsia="黑体"/>
                <w:sz w:val="21"/>
              </w:rPr>
            </w:pPr>
            <w:r>
              <w:rPr>
                <w:rFonts w:ascii="黑体" w:eastAsia="黑体"/>
                <w:color w:val="000000"/>
                <w:spacing w:val="-2"/>
                <w:sz w:val="21"/>
                <w:shd w:val="clear" w:color="auto" w:fill="D9D9D9"/>
              </w:rPr>
              <w:t>（原位癌和非侵袭性癌）</w:t>
            </w:r>
            <w:r>
              <w:rPr>
                <w:rFonts w:ascii="黑体" w:eastAsia="黑体"/>
                <w:color w:val="000000"/>
                <w:spacing w:val="-4"/>
                <w:sz w:val="21"/>
                <w:shd w:val="clear" w:color="auto" w:fill="D9D9D9"/>
              </w:rPr>
              <w:t>范畴的疾病，如：</w:t>
            </w:r>
          </w:p>
          <w:p>
            <w:pPr>
              <w:pStyle w:val="10"/>
              <w:numPr>
                <w:ilvl w:val="0"/>
                <w:numId w:val="111"/>
              </w:numPr>
              <w:tabs>
                <w:tab w:val="left" w:pos="321"/>
              </w:tabs>
              <w:spacing w:before="43" w:after="0" w:line="278" w:lineRule="auto"/>
              <w:ind w:left="108" w:right="73" w:firstLine="0"/>
              <w:jc w:val="left"/>
              <w:rPr>
                <w:rFonts w:ascii="黑体" w:eastAsia="黑体"/>
                <w:sz w:val="21"/>
              </w:rPr>
            </w:pPr>
            <w:r>
              <w:rPr>
                <w:rFonts w:ascii="黑体" w:eastAsia="黑体"/>
                <w:color w:val="000000"/>
                <w:spacing w:val="-4"/>
                <w:sz w:val="21"/>
                <w:shd w:val="clear" w:color="auto" w:fill="D9D9D9"/>
              </w:rPr>
              <w:t>原位癌，癌前病变，非浸润性癌，非侵袭性癌，肿瘤细胞未侵犯基底</w:t>
            </w:r>
            <w:r>
              <w:rPr>
                <w:rFonts w:ascii="黑体" w:eastAsia="黑体"/>
                <w:color w:val="000000"/>
                <w:spacing w:val="12495"/>
                <w:sz w:val="21"/>
                <w:shd w:val="clear" w:color="auto" w:fill="D9D9D9"/>
              </w:rPr>
              <w:t xml:space="preserve"> </w:t>
            </w:r>
            <w:r>
              <w:rPr>
                <w:rFonts w:ascii="黑体" w:eastAsia="黑体"/>
                <w:color w:val="000000"/>
                <w:spacing w:val="-2"/>
                <w:sz w:val="21"/>
                <w:shd w:val="clear" w:color="auto" w:fill="D9D9D9"/>
              </w:rPr>
              <w:t>层，上皮内瘤变，细胞不典型性增生等；</w:t>
            </w:r>
          </w:p>
          <w:p>
            <w:pPr>
              <w:pStyle w:val="10"/>
              <w:numPr>
                <w:ilvl w:val="0"/>
                <w:numId w:val="111"/>
              </w:numPr>
              <w:tabs>
                <w:tab w:val="left" w:pos="321"/>
              </w:tabs>
              <w:spacing w:before="1" w:after="0" w:line="240" w:lineRule="auto"/>
              <w:ind w:left="320" w:right="0" w:hanging="213"/>
              <w:jc w:val="left"/>
              <w:rPr>
                <w:rFonts w:ascii="黑体" w:eastAsia="黑体"/>
                <w:sz w:val="21"/>
              </w:rPr>
            </w:pPr>
            <w:r>
              <w:rPr>
                <w:rFonts w:ascii="黑体" w:eastAsia="黑体"/>
                <w:color w:val="000000"/>
                <w:spacing w:val="-5"/>
                <w:sz w:val="21"/>
                <w:shd w:val="clear" w:color="auto" w:fill="D9D9D9"/>
              </w:rPr>
              <w:t>交界性肿瘤，交界恶性肿瘤，肿瘤低度恶性潜能，潜在低度恶性肿瘤</w:t>
            </w:r>
          </w:p>
          <w:p>
            <w:pPr>
              <w:pStyle w:val="10"/>
              <w:spacing w:before="43"/>
              <w:ind w:left="108"/>
              <w:rPr>
                <w:rFonts w:ascii="黑体" w:eastAsia="黑体"/>
                <w:sz w:val="21"/>
              </w:rPr>
            </w:pPr>
            <w:r>
              <w:rPr>
                <w:rFonts w:ascii="黑体" w:eastAsia="黑体"/>
                <w:color w:val="000000"/>
                <w:spacing w:val="-5"/>
                <w:sz w:val="21"/>
                <w:shd w:val="clear" w:color="auto" w:fill="D9D9D9"/>
              </w:rPr>
              <w:t>等。</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746" w:hRule="atLeast"/>
        </w:trPr>
        <w:tc>
          <w:tcPr>
            <w:tcW w:w="1080" w:type="dxa"/>
            <w:tcBorders>
              <w:top w:val="single" w:color="000000" w:sz="4" w:space="0"/>
              <w:bottom w:val="single" w:color="000000" w:sz="4" w:space="0"/>
              <w:right w:val="single" w:color="000000" w:sz="4" w:space="0"/>
            </w:tcBorders>
          </w:tcPr>
          <w:p>
            <w:pPr>
              <w:pStyle w:val="10"/>
              <w:spacing w:before="36"/>
              <w:ind w:left="29"/>
              <w:jc w:val="center"/>
              <w:rPr>
                <w:rFonts w:ascii="Times New Roman"/>
                <w:sz w:val="21"/>
              </w:rPr>
            </w:pPr>
            <w:r>
              <w:rPr>
                <w:rFonts w:ascii="Times New Roman"/>
                <w:w w:val="100"/>
                <w:sz w:val="21"/>
              </w:rPr>
              <w:t>2</w:t>
            </w:r>
          </w:p>
        </w:tc>
        <w:tc>
          <w:tcPr>
            <w:tcW w:w="2196" w:type="dxa"/>
            <w:tcBorders>
              <w:top w:val="single" w:color="000000" w:sz="4" w:space="0"/>
              <w:left w:val="single" w:color="000000" w:sz="4" w:space="0"/>
              <w:bottom w:val="single" w:color="000000" w:sz="4" w:space="0"/>
              <w:right w:val="single" w:color="000000" w:sz="4" w:space="0"/>
            </w:tcBorders>
          </w:tcPr>
          <w:p>
            <w:pPr>
              <w:pStyle w:val="10"/>
              <w:spacing w:before="25"/>
              <w:ind w:left="117"/>
              <w:rPr>
                <w:sz w:val="21"/>
              </w:rPr>
            </w:pPr>
            <w:r>
              <w:rPr>
                <w:spacing w:val="-4"/>
                <w:sz w:val="21"/>
              </w:rPr>
              <w:t>较轻急性心肌梗死</w:t>
            </w:r>
          </w:p>
        </w:tc>
        <w:tc>
          <w:tcPr>
            <w:tcW w:w="6663" w:type="dxa"/>
            <w:tcBorders>
              <w:top w:val="single" w:color="000000" w:sz="4" w:space="0"/>
              <w:left w:val="single" w:color="000000" w:sz="4" w:space="0"/>
              <w:bottom w:val="single" w:color="000000" w:sz="4" w:space="0"/>
            </w:tcBorders>
          </w:tcPr>
          <w:p>
            <w:pPr>
              <w:pStyle w:val="10"/>
              <w:spacing w:before="25" w:line="278" w:lineRule="auto"/>
              <w:ind w:left="108" w:right="70"/>
              <w:jc w:val="both"/>
              <w:rPr>
                <w:sz w:val="21"/>
              </w:rPr>
            </w:pPr>
            <w:r>
              <w:rPr>
                <w:spacing w:val="1"/>
                <w:w w:val="100"/>
                <w:sz w:val="21"/>
              </w:rPr>
              <w:t>急性心肌梗死指由于冠状动脉闭塞或梗阻引起部分心肌严重的持久性</w:t>
            </w:r>
            <w:r>
              <w:rPr>
                <w:spacing w:val="-9"/>
                <w:w w:val="100"/>
                <w:sz w:val="21"/>
              </w:rPr>
              <w:t>缺血造成急性心肌坏死。急性心肌梗死的诊断必须依据国际国内诊断标</w:t>
            </w:r>
            <w:r>
              <w:rPr>
                <w:spacing w:val="-7"/>
                <w:w w:val="100"/>
                <w:sz w:val="21"/>
              </w:rPr>
              <w:t>准，符合</w:t>
            </w:r>
            <w:r>
              <w:rPr>
                <w:w w:val="100"/>
                <w:sz w:val="21"/>
              </w:rPr>
              <w:t>（1）检测到肌酸激酶同工酶（CK-</w:t>
            </w:r>
            <w:r>
              <w:rPr>
                <w:spacing w:val="-3"/>
                <w:w w:val="100"/>
                <w:sz w:val="21"/>
              </w:rPr>
              <w:t>M</w:t>
            </w:r>
            <w:r>
              <w:rPr>
                <w:w w:val="100"/>
                <w:sz w:val="21"/>
              </w:rPr>
              <w:t>B）或肌钙蛋白</w:t>
            </w:r>
            <w:r>
              <w:rPr>
                <w:spacing w:val="3"/>
                <w:w w:val="100"/>
                <w:sz w:val="21"/>
              </w:rPr>
              <w:t>（</w:t>
            </w:r>
            <w:r>
              <w:rPr>
                <w:w w:val="100"/>
                <w:sz w:val="21"/>
              </w:rPr>
              <w:t>c</w:t>
            </w:r>
            <w:r>
              <w:rPr>
                <w:spacing w:val="-3"/>
                <w:w w:val="100"/>
                <w:sz w:val="21"/>
              </w:rPr>
              <w:t>T</w:t>
            </w:r>
            <w:r>
              <w:rPr>
                <w:spacing w:val="-1"/>
                <w:w w:val="100"/>
                <w:sz w:val="21"/>
              </w:rPr>
              <w:t>n</w:t>
            </w:r>
            <w:r>
              <w:rPr>
                <w:spacing w:val="2"/>
                <w:w w:val="100"/>
                <w:sz w:val="21"/>
              </w:rPr>
              <w:t>）</w:t>
            </w:r>
            <w:r>
              <w:rPr>
                <w:spacing w:val="-11"/>
                <w:w w:val="100"/>
                <w:sz w:val="21"/>
              </w:rPr>
              <w:t>升</w:t>
            </w:r>
            <w:r>
              <w:rPr>
                <w:spacing w:val="-1"/>
                <w:w w:val="100"/>
                <w:sz w:val="21"/>
              </w:rPr>
              <w:t>高和/或降低的动态变化，至少一次达到或超过心肌梗死的临床诊断标</w:t>
            </w:r>
            <w:r>
              <w:rPr>
                <w:spacing w:val="-60"/>
                <w:w w:val="100"/>
                <w:sz w:val="21"/>
              </w:rPr>
              <w:t>准；</w:t>
            </w:r>
            <w:r>
              <w:rPr>
                <w:spacing w:val="-1"/>
                <w:w w:val="100"/>
                <w:sz w:val="21"/>
              </w:rPr>
              <w:t>（</w:t>
            </w:r>
            <w:r>
              <w:rPr>
                <w:spacing w:val="-3"/>
                <w:w w:val="100"/>
                <w:sz w:val="21"/>
              </w:rPr>
              <w:t>2</w:t>
            </w:r>
            <w:r>
              <w:rPr>
                <w:spacing w:val="-13"/>
                <w:w w:val="100"/>
                <w:sz w:val="21"/>
              </w:rPr>
              <w:t>）</w:t>
            </w:r>
            <w:r>
              <w:rPr>
                <w:spacing w:val="-6"/>
                <w:w w:val="100"/>
                <w:sz w:val="21"/>
              </w:rPr>
              <w:t>同时存在下列之一的证据，包括：缺血性胸痛症状、新发生的</w:t>
            </w:r>
            <w:r>
              <w:rPr>
                <w:spacing w:val="-8"/>
                <w:w w:val="100"/>
                <w:sz w:val="21"/>
              </w:rPr>
              <w:t>缺血性心电图改变、新生成的病理性</w:t>
            </w:r>
            <w:r>
              <w:rPr>
                <w:spacing w:val="-53"/>
                <w:sz w:val="21"/>
              </w:rPr>
              <w:t xml:space="preserve"> </w:t>
            </w:r>
            <w:r>
              <w:rPr>
                <w:w w:val="100"/>
                <w:sz w:val="21"/>
              </w:rPr>
              <w:t>Q</w:t>
            </w:r>
            <w:r>
              <w:rPr>
                <w:spacing w:val="-53"/>
                <w:sz w:val="21"/>
              </w:rPr>
              <w:t xml:space="preserve"> </w:t>
            </w:r>
            <w:r>
              <w:rPr>
                <w:spacing w:val="-8"/>
                <w:w w:val="100"/>
                <w:sz w:val="21"/>
              </w:rPr>
              <w:t>波、影像学证据显示有新出现的</w:t>
            </w:r>
            <w:r>
              <w:rPr>
                <w:spacing w:val="-9"/>
                <w:w w:val="100"/>
                <w:sz w:val="21"/>
              </w:rPr>
              <w:t>心肌活性丧失或新出现局部室壁运动异常、冠脉造影证实存在冠状动脉血栓。</w:t>
            </w:r>
          </w:p>
          <w:p>
            <w:pPr>
              <w:pStyle w:val="10"/>
              <w:spacing w:before="0" w:line="278" w:lineRule="auto"/>
              <w:ind w:left="108" w:right="70"/>
              <w:rPr>
                <w:sz w:val="21"/>
              </w:rPr>
            </w:pPr>
            <w:r>
              <w:rPr>
                <w:spacing w:val="-5"/>
                <w:sz w:val="21"/>
              </w:rPr>
              <w:t>较轻急性心肌梗死指依照上述标准被明确诊断为急性心肌梗死，但未达</w:t>
            </w:r>
            <w:r>
              <w:rPr>
                <w:spacing w:val="-2"/>
                <w:sz w:val="21"/>
              </w:rPr>
              <w:t>到“较重急性心肌梗死”的给付标准。</w:t>
            </w:r>
          </w:p>
          <w:p>
            <w:pPr>
              <w:pStyle w:val="10"/>
              <w:spacing w:before="0"/>
              <w:ind w:left="108"/>
              <w:rPr>
                <w:rFonts w:ascii="黑体" w:eastAsia="黑体"/>
                <w:sz w:val="21"/>
              </w:rPr>
            </w:pPr>
            <w:r>
              <w:rPr>
                <w:rFonts w:ascii="黑体" w:eastAsia="黑体"/>
                <w:color w:val="000000"/>
                <w:sz w:val="21"/>
                <w:shd w:val="clear" w:color="auto" w:fill="D9D9D9"/>
              </w:rPr>
              <w:t>其他非冠状动脉阻塞性疾病引起的肌钙蛋白（cTn）</w:t>
            </w:r>
            <w:r>
              <w:rPr>
                <w:rFonts w:ascii="黑体" w:eastAsia="黑体"/>
                <w:color w:val="000000"/>
                <w:spacing w:val="-2"/>
                <w:sz w:val="21"/>
                <w:shd w:val="clear" w:color="auto" w:fill="D9D9D9"/>
              </w:rPr>
              <w:t>升高不在保障范围</w:t>
            </w:r>
          </w:p>
          <w:p>
            <w:pPr>
              <w:pStyle w:val="10"/>
              <w:spacing w:before="42"/>
              <w:ind w:left="108"/>
              <w:rPr>
                <w:rFonts w:ascii="黑体" w:eastAsia="黑体"/>
                <w:sz w:val="21"/>
              </w:rPr>
            </w:pPr>
            <w:r>
              <w:rPr>
                <w:rFonts w:ascii="黑体" w:eastAsia="黑体"/>
                <w:color w:val="000000"/>
                <w:spacing w:val="-5"/>
                <w:sz w:val="21"/>
                <w:shd w:val="clear" w:color="auto" w:fill="D9D9D9"/>
              </w:rPr>
              <w:t>内。</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183" w:hRule="atLeast"/>
        </w:trPr>
        <w:tc>
          <w:tcPr>
            <w:tcW w:w="1080" w:type="dxa"/>
            <w:tcBorders>
              <w:top w:val="single" w:color="000000" w:sz="4" w:space="0"/>
              <w:bottom w:val="single" w:color="000000" w:sz="4" w:space="0"/>
              <w:right w:val="single" w:color="000000" w:sz="4" w:space="0"/>
            </w:tcBorders>
          </w:tcPr>
          <w:p>
            <w:pPr>
              <w:pStyle w:val="10"/>
              <w:spacing w:before="34"/>
              <w:ind w:left="29"/>
              <w:jc w:val="center"/>
              <w:rPr>
                <w:rFonts w:ascii="Times New Roman"/>
                <w:sz w:val="21"/>
              </w:rPr>
            </w:pPr>
            <w:r>
              <w:rPr>
                <w:rFonts w:ascii="Times New Roman"/>
                <w:w w:val="100"/>
                <w:sz w:val="21"/>
              </w:rPr>
              <w:t>3</w:t>
            </w:r>
          </w:p>
        </w:tc>
        <w:tc>
          <w:tcPr>
            <w:tcW w:w="2196" w:type="dxa"/>
            <w:tcBorders>
              <w:top w:val="single" w:color="000000" w:sz="4" w:space="0"/>
              <w:left w:val="single" w:color="000000" w:sz="4" w:space="0"/>
              <w:bottom w:val="single" w:color="000000" w:sz="4" w:space="0"/>
              <w:right w:val="single" w:color="000000" w:sz="4" w:space="0"/>
            </w:tcBorders>
          </w:tcPr>
          <w:p>
            <w:pPr>
              <w:pStyle w:val="10"/>
              <w:spacing w:before="22"/>
              <w:ind w:left="117"/>
              <w:rPr>
                <w:sz w:val="21"/>
              </w:rPr>
            </w:pPr>
            <w:r>
              <w:rPr>
                <w:spacing w:val="-4"/>
                <w:sz w:val="21"/>
              </w:rPr>
              <w:t>轻度脑中风后遗症</w:t>
            </w:r>
          </w:p>
        </w:tc>
        <w:tc>
          <w:tcPr>
            <w:tcW w:w="6663" w:type="dxa"/>
            <w:tcBorders>
              <w:top w:val="single" w:color="000000" w:sz="4" w:space="0"/>
              <w:left w:val="single" w:color="000000" w:sz="4" w:space="0"/>
              <w:bottom w:val="single" w:color="000000" w:sz="4" w:space="0"/>
            </w:tcBorders>
          </w:tcPr>
          <w:p>
            <w:pPr>
              <w:pStyle w:val="10"/>
              <w:spacing w:before="22" w:line="278" w:lineRule="auto"/>
              <w:ind w:left="108" w:right="72"/>
              <w:jc w:val="both"/>
              <w:rPr>
                <w:sz w:val="21"/>
              </w:rPr>
            </w:pPr>
            <w:r>
              <w:rPr>
                <w:spacing w:val="-2"/>
                <w:sz w:val="21"/>
              </w:rPr>
              <w:t>指因脑血管的突发病变引起脑血管出血、栓塞或梗塞，须由头颅断层扫</w:t>
            </w:r>
            <w:r>
              <w:rPr>
                <w:spacing w:val="-6"/>
                <w:sz w:val="21"/>
              </w:rPr>
              <w:t>描</w:t>
            </w:r>
            <w:r>
              <w:rPr>
                <w:spacing w:val="18"/>
                <w:sz w:val="21"/>
              </w:rPr>
              <w:t>（</w:t>
            </w:r>
            <w:r>
              <w:rPr>
                <w:spacing w:val="21"/>
                <w:sz w:val="21"/>
              </w:rPr>
              <w:t>CT</w:t>
            </w:r>
            <w:r>
              <w:rPr>
                <w:spacing w:val="-87"/>
                <w:sz w:val="21"/>
              </w:rPr>
              <w:t>）</w:t>
            </w:r>
            <w:r>
              <w:rPr>
                <w:spacing w:val="-6"/>
                <w:sz w:val="21"/>
              </w:rPr>
              <w:t>、核磁共振检查（MRI）等影像学检查证实，并导致神经系统永</w:t>
            </w:r>
            <w:r>
              <w:rPr>
                <w:spacing w:val="-2"/>
                <w:sz w:val="21"/>
              </w:rPr>
              <w:t>久性的功能障碍，但未达到“严重脑中风后遗症”的给付标准，在疾病</w:t>
            </w:r>
            <w:r>
              <w:rPr>
                <w:spacing w:val="-8"/>
                <w:sz w:val="21"/>
              </w:rPr>
              <w:t xml:space="preserve">确诊 </w:t>
            </w:r>
            <w:r>
              <w:rPr>
                <w:sz w:val="21"/>
              </w:rPr>
              <w:t>180</w:t>
            </w:r>
            <w:r>
              <w:rPr>
                <w:spacing w:val="-5"/>
                <w:sz w:val="21"/>
              </w:rPr>
              <w:t xml:space="preserve"> 天后，仍遗留下列至少一种障碍：</w:t>
            </w:r>
          </w:p>
          <w:p>
            <w:pPr>
              <w:pStyle w:val="10"/>
              <w:numPr>
                <w:ilvl w:val="0"/>
                <w:numId w:val="112"/>
              </w:numPr>
              <w:tabs>
                <w:tab w:val="left" w:pos="638"/>
              </w:tabs>
              <w:spacing w:before="0" w:after="0" w:line="269" w:lineRule="exact"/>
              <w:ind w:left="637" w:right="0" w:hanging="530"/>
              <w:jc w:val="left"/>
              <w:rPr>
                <w:sz w:val="21"/>
              </w:rPr>
            </w:pPr>
            <w:r>
              <w:rPr>
                <w:spacing w:val="-2"/>
                <w:sz w:val="21"/>
              </w:rPr>
              <w:t>一肢（含）</w:t>
            </w:r>
            <w:r>
              <w:rPr>
                <w:spacing w:val="-9"/>
                <w:sz w:val="21"/>
              </w:rPr>
              <w:t xml:space="preserve">以上肢体肌力为 </w:t>
            </w:r>
            <w:r>
              <w:rPr>
                <w:spacing w:val="-2"/>
                <w:sz w:val="21"/>
              </w:rPr>
              <w:t>3</w:t>
            </w:r>
            <w:r>
              <w:rPr>
                <w:spacing w:val="-21"/>
                <w:sz w:val="21"/>
              </w:rPr>
              <w:t xml:space="preserve"> 级；</w:t>
            </w:r>
          </w:p>
          <w:p>
            <w:pPr>
              <w:pStyle w:val="10"/>
              <w:numPr>
                <w:ilvl w:val="0"/>
                <w:numId w:val="112"/>
              </w:numPr>
              <w:tabs>
                <w:tab w:val="left" w:pos="639"/>
              </w:tabs>
              <w:spacing w:before="2" w:after="0" w:line="310" w:lineRule="atLeast"/>
              <w:ind w:left="108" w:right="74" w:firstLine="0"/>
              <w:jc w:val="left"/>
              <w:rPr>
                <w:sz w:val="21"/>
              </w:rPr>
            </w:pPr>
            <w:r>
              <w:rPr>
                <w:spacing w:val="-2"/>
                <w:sz w:val="21"/>
              </w:rPr>
              <w:t>自主生活能力部分丧失，无法独立完成六项基本日常生活活动中</w:t>
            </w:r>
            <w:r>
              <w:rPr>
                <w:spacing w:val="-4"/>
                <w:sz w:val="21"/>
              </w:rPr>
              <w:t>的两项。</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1" w:hRule="atLeast"/>
        </w:trPr>
        <w:tc>
          <w:tcPr>
            <w:tcW w:w="1080" w:type="dxa"/>
            <w:tcBorders>
              <w:top w:val="single" w:color="000000" w:sz="4" w:space="0"/>
              <w:bottom w:val="single" w:color="000000" w:sz="4" w:space="0"/>
              <w:right w:val="single" w:color="000000" w:sz="4" w:space="0"/>
            </w:tcBorders>
          </w:tcPr>
          <w:p>
            <w:pPr>
              <w:pStyle w:val="10"/>
              <w:spacing w:before="22"/>
              <w:ind w:left="29"/>
              <w:jc w:val="center"/>
              <w:rPr>
                <w:sz w:val="21"/>
              </w:rPr>
            </w:pPr>
            <w:r>
              <w:rPr>
                <w:w w:val="100"/>
                <w:sz w:val="21"/>
              </w:rPr>
              <w:t>4</w:t>
            </w:r>
          </w:p>
        </w:tc>
        <w:tc>
          <w:tcPr>
            <w:tcW w:w="2196" w:type="dxa"/>
            <w:tcBorders>
              <w:top w:val="single" w:color="000000" w:sz="4" w:space="0"/>
              <w:left w:val="single" w:color="000000" w:sz="4" w:space="0"/>
              <w:bottom w:val="single" w:color="000000" w:sz="4" w:space="0"/>
              <w:right w:val="single" w:color="000000" w:sz="4" w:space="0"/>
            </w:tcBorders>
          </w:tcPr>
          <w:p>
            <w:pPr>
              <w:pStyle w:val="10"/>
              <w:spacing w:before="22"/>
              <w:ind w:left="117"/>
              <w:rPr>
                <w:sz w:val="21"/>
              </w:rPr>
            </w:pPr>
            <w:r>
              <w:rPr>
                <w:spacing w:val="-4"/>
                <w:sz w:val="21"/>
              </w:rPr>
              <w:t>冠状动脉介入手术</w:t>
            </w:r>
          </w:p>
        </w:tc>
        <w:tc>
          <w:tcPr>
            <w:tcW w:w="6663" w:type="dxa"/>
            <w:tcBorders>
              <w:top w:val="single" w:color="000000" w:sz="4" w:space="0"/>
              <w:left w:val="single" w:color="000000" w:sz="4" w:space="0"/>
              <w:bottom w:val="single" w:color="000000" w:sz="4" w:space="0"/>
            </w:tcBorders>
          </w:tcPr>
          <w:p>
            <w:pPr>
              <w:pStyle w:val="10"/>
              <w:spacing w:before="22"/>
              <w:ind w:left="171" w:right="138"/>
              <w:jc w:val="center"/>
              <w:rPr>
                <w:sz w:val="21"/>
              </w:rPr>
            </w:pPr>
            <w:r>
              <w:rPr>
                <w:spacing w:val="-7"/>
                <w:sz w:val="21"/>
              </w:rPr>
              <w:t>为了治疗明显的冠状动脉狭窄性疾病，首次实际实施了冠状动脉球囊扩</w:t>
            </w:r>
          </w:p>
        </w:tc>
      </w:tr>
    </w:tbl>
    <w:p>
      <w:pPr>
        <w:spacing w:after="0"/>
        <w:jc w:val="center"/>
        <w:rPr>
          <w:sz w:val="21"/>
        </w:rPr>
        <w:sectPr>
          <w:pgSz w:w="11910" w:h="16840"/>
          <w:pgMar w:top="780" w:right="340" w:bottom="640" w:left="800" w:header="0" w:footer="457" w:gutter="0"/>
          <w:cols w:space="720" w:num="1"/>
        </w:sectPr>
      </w:pPr>
    </w:p>
    <w:tbl>
      <w:tblPr>
        <w:tblStyle w:val="6"/>
        <w:tblW w:w="0" w:type="auto"/>
        <w:tblInd w:w="22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80"/>
        <w:gridCol w:w="2196"/>
        <w:gridCol w:w="666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0" w:hRule="atLeast"/>
        </w:trPr>
        <w:tc>
          <w:tcPr>
            <w:tcW w:w="1080" w:type="dxa"/>
            <w:tcBorders>
              <w:left w:val="single" w:color="000000" w:sz="12" w:space="0"/>
            </w:tcBorders>
          </w:tcPr>
          <w:p>
            <w:pPr>
              <w:pStyle w:val="10"/>
              <w:spacing w:before="0"/>
              <w:ind w:left="0"/>
              <w:rPr>
                <w:rFonts w:ascii="Times New Roman"/>
                <w:sz w:val="20"/>
              </w:rPr>
            </w:pPr>
          </w:p>
        </w:tc>
        <w:tc>
          <w:tcPr>
            <w:tcW w:w="2196" w:type="dxa"/>
          </w:tcPr>
          <w:p>
            <w:pPr>
              <w:pStyle w:val="10"/>
              <w:spacing w:before="0"/>
              <w:ind w:left="0"/>
              <w:rPr>
                <w:rFonts w:ascii="Times New Roman"/>
                <w:sz w:val="20"/>
              </w:rPr>
            </w:pPr>
          </w:p>
        </w:tc>
        <w:tc>
          <w:tcPr>
            <w:tcW w:w="6663" w:type="dxa"/>
            <w:tcBorders>
              <w:right w:val="single" w:color="000000" w:sz="12" w:space="0"/>
            </w:tcBorders>
          </w:tcPr>
          <w:p>
            <w:pPr>
              <w:pStyle w:val="10"/>
              <w:spacing w:line="278" w:lineRule="auto"/>
              <w:ind w:left="108" w:right="72"/>
              <w:rPr>
                <w:sz w:val="21"/>
              </w:rPr>
            </w:pPr>
            <w:r>
              <w:rPr>
                <w:spacing w:val="-2"/>
                <w:sz w:val="21"/>
              </w:rPr>
              <w:t>张成形术、冠状动脉支架植入术、冠状动脉粥肿斑块切除术或激光冠状动脉成形术。</w:t>
            </w:r>
          </w:p>
          <w:p>
            <w:pPr>
              <w:pStyle w:val="10"/>
              <w:spacing w:before="0" w:line="269" w:lineRule="exact"/>
              <w:ind w:left="108" w:right="-44"/>
              <w:rPr>
                <w:rFonts w:ascii="黑体" w:hAnsi="黑体" w:eastAsia="黑体"/>
                <w:sz w:val="21"/>
              </w:rPr>
            </w:pPr>
            <w:r>
              <w:rPr>
                <w:rFonts w:ascii="黑体" w:hAnsi="黑体" w:eastAsia="黑体"/>
                <w:spacing w:val="-12"/>
                <w:sz w:val="21"/>
              </w:rPr>
              <w:t>我们仅对“较轻急性心肌梗死”</w:t>
            </w:r>
            <w:r>
              <w:rPr>
                <w:rFonts w:ascii="黑体" w:hAnsi="黑体" w:eastAsia="黑体"/>
                <w:spacing w:val="-16"/>
                <w:sz w:val="21"/>
              </w:rPr>
              <w:t>、“冠状动脉介入手术”和“激光心肌血</w:t>
            </w:r>
          </w:p>
          <w:p>
            <w:pPr>
              <w:pStyle w:val="10"/>
              <w:spacing w:before="2" w:line="310" w:lineRule="atLeast"/>
              <w:ind w:left="108" w:right="-44"/>
              <w:rPr>
                <w:rFonts w:ascii="黑体" w:hAnsi="黑体" w:eastAsia="黑体"/>
                <w:sz w:val="21"/>
              </w:rPr>
            </w:pPr>
            <w:r>
              <w:rPr>
                <w:rFonts w:ascii="黑体" w:hAnsi="黑体" w:eastAsia="黑体"/>
                <w:spacing w:val="-18"/>
                <w:sz w:val="21"/>
              </w:rPr>
              <w:t>运重建术”、“ 微创冠状动脉搭桥术”四项中的其中一项承担保险责任，</w:t>
            </w:r>
            <w:r>
              <w:rPr>
                <w:rFonts w:ascii="黑体" w:hAnsi="黑体" w:eastAsia="黑体"/>
                <w:spacing w:val="-2"/>
                <w:sz w:val="21"/>
              </w:rPr>
              <w:t>给付其中一项保险金后，对其他三项疾病保险责任同时终止。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1" w:hRule="atLeast"/>
        </w:trPr>
        <w:tc>
          <w:tcPr>
            <w:tcW w:w="1080" w:type="dxa"/>
            <w:tcBorders>
              <w:left w:val="single" w:color="000000" w:sz="12" w:space="0"/>
            </w:tcBorders>
          </w:tcPr>
          <w:p>
            <w:pPr>
              <w:pStyle w:val="10"/>
              <w:ind w:left="29"/>
              <w:jc w:val="center"/>
              <w:rPr>
                <w:sz w:val="21"/>
              </w:rPr>
            </w:pPr>
            <w:r>
              <w:rPr>
                <w:w w:val="100"/>
                <w:sz w:val="21"/>
              </w:rPr>
              <w:t>5</w:t>
            </w:r>
          </w:p>
        </w:tc>
        <w:tc>
          <w:tcPr>
            <w:tcW w:w="2196" w:type="dxa"/>
          </w:tcPr>
          <w:p>
            <w:pPr>
              <w:pStyle w:val="10"/>
              <w:ind w:left="117"/>
              <w:rPr>
                <w:sz w:val="21"/>
              </w:rPr>
            </w:pPr>
            <w:r>
              <w:rPr>
                <w:spacing w:val="-3"/>
                <w:sz w:val="21"/>
              </w:rPr>
              <w:t>激光心肌血运重建术</w:t>
            </w:r>
          </w:p>
        </w:tc>
        <w:tc>
          <w:tcPr>
            <w:tcW w:w="6663" w:type="dxa"/>
            <w:tcBorders>
              <w:right w:val="single" w:color="000000" w:sz="12" w:space="0"/>
            </w:tcBorders>
          </w:tcPr>
          <w:p>
            <w:pPr>
              <w:pStyle w:val="10"/>
              <w:spacing w:line="278" w:lineRule="auto"/>
              <w:ind w:left="108" w:right="70"/>
              <w:jc w:val="both"/>
              <w:rPr>
                <w:sz w:val="21"/>
              </w:rPr>
            </w:pPr>
            <w:r>
              <w:rPr>
                <w:spacing w:val="-5"/>
                <w:sz w:val="21"/>
              </w:rPr>
              <w:t>被保险人因严重的心肌缺血在接受冠状动脉搭桥手术同时，对不能以搭桥改善心肌缺血的区域进行激光打孔心肌血运重建手术治疗，或单独接</w:t>
            </w:r>
            <w:r>
              <w:rPr>
                <w:spacing w:val="-2"/>
                <w:sz w:val="21"/>
              </w:rPr>
              <w:t>受了开胸激光心肌血运重建术治疗。</w:t>
            </w:r>
          </w:p>
          <w:p>
            <w:pPr>
              <w:pStyle w:val="10"/>
              <w:spacing w:before="0" w:line="269" w:lineRule="exact"/>
              <w:ind w:left="108" w:right="-44"/>
              <w:rPr>
                <w:rFonts w:ascii="黑体" w:hAnsi="黑体" w:eastAsia="黑体"/>
                <w:sz w:val="21"/>
              </w:rPr>
            </w:pPr>
            <w:r>
              <w:rPr>
                <w:rFonts w:ascii="黑体" w:hAnsi="黑体" w:eastAsia="黑体"/>
                <w:spacing w:val="-12"/>
                <w:sz w:val="21"/>
              </w:rPr>
              <w:t>我们仅对“较轻急性心肌梗死”</w:t>
            </w:r>
            <w:r>
              <w:rPr>
                <w:rFonts w:ascii="黑体" w:hAnsi="黑体" w:eastAsia="黑体"/>
                <w:spacing w:val="-16"/>
                <w:sz w:val="21"/>
              </w:rPr>
              <w:t>、“冠状动脉介入手术”和“激光心肌血</w:t>
            </w:r>
          </w:p>
          <w:p>
            <w:pPr>
              <w:pStyle w:val="10"/>
              <w:spacing w:before="2" w:line="310" w:lineRule="atLeast"/>
              <w:ind w:left="108" w:right="-44"/>
              <w:rPr>
                <w:rFonts w:ascii="黑体" w:hAnsi="黑体" w:eastAsia="黑体"/>
                <w:sz w:val="21"/>
              </w:rPr>
            </w:pPr>
            <w:r>
              <w:rPr>
                <w:rFonts w:ascii="黑体" w:hAnsi="黑体" w:eastAsia="黑体"/>
                <w:spacing w:val="-18"/>
                <w:sz w:val="21"/>
              </w:rPr>
              <w:t>运重建术”、“ 微创冠状动脉搭桥术”四项中的其中一项承担保险责任，</w:t>
            </w:r>
            <w:r>
              <w:rPr>
                <w:rFonts w:ascii="黑体" w:hAnsi="黑体" w:eastAsia="黑体"/>
                <w:spacing w:val="-2"/>
                <w:sz w:val="21"/>
              </w:rPr>
              <w:t>给付其中一项保险金后，对其他三项疾病保险责任同时终止。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84" w:hRule="atLeast"/>
        </w:trPr>
        <w:tc>
          <w:tcPr>
            <w:tcW w:w="1080" w:type="dxa"/>
            <w:tcBorders>
              <w:left w:val="single" w:color="000000" w:sz="12" w:space="0"/>
            </w:tcBorders>
          </w:tcPr>
          <w:p>
            <w:pPr>
              <w:pStyle w:val="10"/>
              <w:ind w:left="29"/>
              <w:jc w:val="center"/>
              <w:rPr>
                <w:sz w:val="21"/>
              </w:rPr>
            </w:pPr>
            <w:r>
              <w:rPr>
                <w:w w:val="100"/>
                <w:sz w:val="21"/>
              </w:rPr>
              <w:t>6</w:t>
            </w:r>
          </w:p>
        </w:tc>
        <w:tc>
          <w:tcPr>
            <w:tcW w:w="2196" w:type="dxa"/>
          </w:tcPr>
          <w:p>
            <w:pPr>
              <w:pStyle w:val="10"/>
              <w:ind w:left="117"/>
              <w:rPr>
                <w:sz w:val="21"/>
              </w:rPr>
            </w:pPr>
            <w:r>
              <w:rPr>
                <w:spacing w:val="-3"/>
                <w:sz w:val="21"/>
              </w:rPr>
              <w:t>微创冠状动脉搭桥术</w:t>
            </w:r>
          </w:p>
        </w:tc>
        <w:tc>
          <w:tcPr>
            <w:tcW w:w="6663" w:type="dxa"/>
            <w:tcBorders>
              <w:right w:val="single" w:color="000000" w:sz="12" w:space="0"/>
            </w:tcBorders>
          </w:tcPr>
          <w:p>
            <w:pPr>
              <w:pStyle w:val="10"/>
              <w:spacing w:line="278" w:lineRule="auto"/>
              <w:ind w:left="108" w:right="70"/>
              <w:jc w:val="both"/>
              <w:rPr>
                <w:sz w:val="21"/>
              </w:rPr>
            </w:pPr>
            <w:r>
              <w:rPr>
                <w:spacing w:val="-5"/>
                <w:sz w:val="21"/>
              </w:rPr>
              <w:t>指为矫正冠状动脉狭窄或闭塞实际实施了通过微创开胸术</w:t>
            </w:r>
            <w:r>
              <w:rPr>
                <w:spacing w:val="-2"/>
                <w:sz w:val="21"/>
              </w:rPr>
              <w:t>（肋骨间小切口）进行的冠状动脉搭桥手术，且须由冠状动脉血管造影检查确诊冠状动脉狭窄或堵塞。微创进行的冠状动脉搭桥手术亦可称“锁孔”式冠状动脉手术。</w:t>
            </w:r>
          </w:p>
          <w:p>
            <w:pPr>
              <w:pStyle w:val="10"/>
              <w:spacing w:before="0" w:line="278" w:lineRule="auto"/>
              <w:ind w:left="108" w:right="-44"/>
              <w:rPr>
                <w:rFonts w:ascii="黑体" w:hAnsi="黑体" w:eastAsia="黑体"/>
                <w:sz w:val="21"/>
              </w:rPr>
            </w:pPr>
            <w:r>
              <w:rPr>
                <w:rFonts w:ascii="黑体" w:hAnsi="黑体" w:eastAsia="黑体"/>
                <w:spacing w:val="-10"/>
                <w:sz w:val="21"/>
              </w:rPr>
              <w:t>我们仅对“较轻急性心肌梗死”</w:t>
            </w:r>
            <w:r>
              <w:rPr>
                <w:rFonts w:ascii="黑体" w:hAnsi="黑体" w:eastAsia="黑体"/>
                <w:spacing w:val="-14"/>
                <w:sz w:val="21"/>
              </w:rPr>
              <w:t>、“冠状动脉介入手术”和“激光心肌血</w:t>
            </w:r>
            <w:r>
              <w:rPr>
                <w:rFonts w:ascii="黑体" w:hAnsi="黑体" w:eastAsia="黑体"/>
                <w:spacing w:val="-18"/>
                <w:sz w:val="21"/>
              </w:rPr>
              <w:t>运重建术”、“ 微创冠状动脉搭桥术”四项中的其中一项承担保险责任，</w:t>
            </w:r>
          </w:p>
          <w:p>
            <w:pPr>
              <w:pStyle w:val="10"/>
              <w:spacing w:before="0" w:line="269" w:lineRule="exact"/>
              <w:ind w:left="108"/>
              <w:rPr>
                <w:rFonts w:ascii="黑体" w:eastAsia="黑体"/>
                <w:sz w:val="21"/>
              </w:rPr>
            </w:pPr>
            <w:r>
              <w:rPr>
                <w:rFonts w:ascii="黑体" w:eastAsia="黑体"/>
                <w:spacing w:val="-3"/>
                <w:sz w:val="21"/>
              </w:rPr>
              <w:t>给付其中一项保险金后，对其他三项疾病保险责任同时终止。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1" w:hRule="atLeast"/>
        </w:trPr>
        <w:tc>
          <w:tcPr>
            <w:tcW w:w="1080" w:type="dxa"/>
            <w:tcBorders>
              <w:left w:val="single" w:color="000000" w:sz="12" w:space="0"/>
            </w:tcBorders>
          </w:tcPr>
          <w:p>
            <w:pPr>
              <w:pStyle w:val="10"/>
              <w:ind w:left="29"/>
              <w:jc w:val="center"/>
              <w:rPr>
                <w:sz w:val="21"/>
              </w:rPr>
            </w:pPr>
            <w:r>
              <w:rPr>
                <w:w w:val="100"/>
                <w:sz w:val="21"/>
              </w:rPr>
              <w:t>7</w:t>
            </w:r>
          </w:p>
        </w:tc>
        <w:tc>
          <w:tcPr>
            <w:tcW w:w="2196" w:type="dxa"/>
          </w:tcPr>
          <w:p>
            <w:pPr>
              <w:pStyle w:val="10"/>
              <w:ind w:left="117"/>
              <w:rPr>
                <w:sz w:val="21"/>
              </w:rPr>
            </w:pPr>
            <w:r>
              <w:rPr>
                <w:spacing w:val="-4"/>
                <w:sz w:val="21"/>
              </w:rPr>
              <w:t>主动脉内手术</w:t>
            </w:r>
          </w:p>
        </w:tc>
        <w:tc>
          <w:tcPr>
            <w:tcW w:w="6663" w:type="dxa"/>
            <w:tcBorders>
              <w:right w:val="single" w:color="000000" w:sz="12" w:space="0"/>
            </w:tcBorders>
          </w:tcPr>
          <w:p>
            <w:pPr>
              <w:pStyle w:val="10"/>
              <w:ind w:left="108"/>
              <w:rPr>
                <w:sz w:val="21"/>
              </w:rPr>
            </w:pPr>
            <w:r>
              <w:rPr>
                <w:spacing w:val="-3"/>
                <w:sz w:val="21"/>
              </w:rPr>
              <w:t>为了治疗主动脉疾病实际实施了经皮经导管进行的主动脉内手术。</w:t>
            </w:r>
          </w:p>
          <w:p>
            <w:pPr>
              <w:pStyle w:val="10"/>
              <w:spacing w:before="43" w:line="278" w:lineRule="auto"/>
              <w:ind w:left="108" w:right="77"/>
              <w:rPr>
                <w:sz w:val="21"/>
              </w:rPr>
            </w:pPr>
            <w:r>
              <w:rPr>
                <w:spacing w:val="1"/>
                <w:w w:val="100"/>
                <w:sz w:val="21"/>
              </w:rPr>
              <w:t>主动脉指胸主动脉和腹主动脉，不包括胸主动脉和腹主动脉的分支血管。</w:t>
            </w:r>
          </w:p>
          <w:p>
            <w:pPr>
              <w:pStyle w:val="10"/>
              <w:spacing w:before="0" w:line="278" w:lineRule="auto"/>
              <w:ind w:left="108" w:right="72"/>
              <w:rPr>
                <w:rFonts w:ascii="黑体" w:hAnsi="黑体" w:eastAsia="黑体"/>
                <w:sz w:val="21"/>
              </w:rPr>
            </w:pPr>
            <w:r>
              <w:rPr>
                <w:rFonts w:ascii="黑体" w:hAnsi="黑体" w:eastAsia="黑体"/>
                <w:color w:val="000000"/>
                <w:spacing w:val="-15"/>
                <w:sz w:val="21"/>
                <w:shd w:val="clear" w:color="auto" w:fill="D9D9D9"/>
              </w:rPr>
              <w:t>我们仅对“主动脉内手术”、“ 急性主动脉夹层血肿”两项中的其中一</w:t>
            </w:r>
            <w:r>
              <w:rPr>
                <w:rFonts w:ascii="黑体" w:hAnsi="黑体" w:eastAsia="黑体"/>
                <w:color w:val="000000"/>
                <w:spacing w:val="80"/>
                <w:w w:val="150"/>
                <w:sz w:val="21"/>
                <w:shd w:val="clear" w:color="auto" w:fill="D9D9D9"/>
              </w:rPr>
              <w:t xml:space="preserve">                                   </w:t>
            </w:r>
            <w:r>
              <w:rPr>
                <w:rFonts w:ascii="黑体" w:hAnsi="黑体" w:eastAsia="黑体"/>
                <w:color w:val="000000"/>
                <w:spacing w:val="-5"/>
                <w:sz w:val="21"/>
                <w:shd w:val="clear" w:color="auto" w:fill="D9D9D9"/>
              </w:rPr>
              <w:t>项承担保险责任，给付其中一项保险金后，对其他一项疾病保险责任同</w:t>
            </w:r>
          </w:p>
          <w:p>
            <w:pPr>
              <w:pStyle w:val="10"/>
              <w:spacing w:before="0" w:line="269" w:lineRule="exact"/>
              <w:ind w:left="108"/>
              <w:rPr>
                <w:rFonts w:ascii="黑体" w:eastAsia="黑体"/>
                <w:sz w:val="21"/>
              </w:rPr>
            </w:pPr>
            <w:r>
              <w:rPr>
                <w:rFonts w:ascii="黑体" w:eastAsia="黑体"/>
                <w:color w:val="000000"/>
                <w:spacing w:val="-4"/>
                <w:sz w:val="21"/>
                <w:shd w:val="clear" w:color="auto" w:fill="D9D9D9"/>
              </w:rPr>
              <w:t>时终止。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0" w:hRule="atLeast"/>
        </w:trPr>
        <w:tc>
          <w:tcPr>
            <w:tcW w:w="1080" w:type="dxa"/>
            <w:tcBorders>
              <w:left w:val="single" w:color="000000" w:sz="12" w:space="0"/>
            </w:tcBorders>
          </w:tcPr>
          <w:p>
            <w:pPr>
              <w:pStyle w:val="10"/>
              <w:ind w:left="29"/>
              <w:jc w:val="center"/>
              <w:rPr>
                <w:sz w:val="21"/>
              </w:rPr>
            </w:pPr>
            <w:r>
              <w:rPr>
                <w:w w:val="100"/>
                <w:sz w:val="21"/>
              </w:rPr>
              <w:t>8</w:t>
            </w:r>
          </w:p>
        </w:tc>
        <w:tc>
          <w:tcPr>
            <w:tcW w:w="2196" w:type="dxa"/>
          </w:tcPr>
          <w:p>
            <w:pPr>
              <w:pStyle w:val="10"/>
              <w:ind w:left="117"/>
              <w:rPr>
                <w:sz w:val="21"/>
              </w:rPr>
            </w:pPr>
            <w:r>
              <w:rPr>
                <w:spacing w:val="-3"/>
                <w:sz w:val="21"/>
              </w:rPr>
              <w:t>急性主动脉夹层血肿</w:t>
            </w:r>
          </w:p>
        </w:tc>
        <w:tc>
          <w:tcPr>
            <w:tcW w:w="6663" w:type="dxa"/>
            <w:tcBorders>
              <w:right w:val="single" w:color="000000" w:sz="12" w:space="0"/>
            </w:tcBorders>
          </w:tcPr>
          <w:p>
            <w:pPr>
              <w:pStyle w:val="10"/>
              <w:spacing w:line="278" w:lineRule="auto"/>
              <w:ind w:left="108" w:right="72"/>
              <w:jc w:val="both"/>
              <w:rPr>
                <w:sz w:val="21"/>
              </w:rPr>
            </w:pPr>
            <w:r>
              <w:rPr>
                <w:spacing w:val="-2"/>
                <w:sz w:val="21"/>
              </w:rPr>
              <w:t>指主动脉壁在受到某些病理因素破坏后，高速、高压的主动脉血流将其</w:t>
            </w:r>
            <w:r>
              <w:rPr>
                <w:spacing w:val="-11"/>
                <w:sz w:val="21"/>
              </w:rPr>
              <w:t>内膜撕裂，以致主动脉腔内的血流通过主动脉内膜的破裂口进入主动脉</w:t>
            </w:r>
            <w:r>
              <w:rPr>
                <w:spacing w:val="-2"/>
                <w:sz w:val="21"/>
              </w:rPr>
              <w:t>内壁而形成血肿。主动脉夹层血肿必须明确诊断，并且满足下列所有条</w:t>
            </w:r>
            <w:r>
              <w:rPr>
                <w:spacing w:val="-6"/>
                <w:sz w:val="21"/>
              </w:rPr>
              <w:t>件：</w:t>
            </w:r>
          </w:p>
          <w:p>
            <w:pPr>
              <w:pStyle w:val="10"/>
              <w:numPr>
                <w:ilvl w:val="0"/>
                <w:numId w:val="113"/>
              </w:numPr>
              <w:tabs>
                <w:tab w:val="left" w:pos="638"/>
              </w:tabs>
              <w:spacing w:before="0" w:after="0" w:line="240" w:lineRule="auto"/>
              <w:ind w:left="637" w:right="0" w:hanging="530"/>
              <w:jc w:val="left"/>
              <w:rPr>
                <w:sz w:val="21"/>
              </w:rPr>
            </w:pPr>
            <w:r>
              <w:rPr>
                <w:spacing w:val="-3"/>
                <w:sz w:val="21"/>
              </w:rPr>
              <w:t>有典型的临床表现；</w:t>
            </w:r>
          </w:p>
          <w:p>
            <w:pPr>
              <w:pStyle w:val="10"/>
              <w:numPr>
                <w:ilvl w:val="0"/>
                <w:numId w:val="113"/>
              </w:numPr>
              <w:tabs>
                <w:tab w:val="left" w:pos="638"/>
              </w:tabs>
              <w:spacing w:before="43" w:after="0" w:line="240" w:lineRule="auto"/>
              <w:ind w:left="637" w:right="0" w:hanging="530"/>
              <w:jc w:val="left"/>
              <w:rPr>
                <w:sz w:val="21"/>
              </w:rPr>
            </w:pPr>
            <w:r>
              <w:rPr>
                <w:spacing w:val="-3"/>
                <w:sz w:val="21"/>
              </w:rPr>
              <w:t>有影像学检查证据支持诊断；</w:t>
            </w:r>
          </w:p>
          <w:p>
            <w:pPr>
              <w:pStyle w:val="10"/>
              <w:numPr>
                <w:ilvl w:val="0"/>
                <w:numId w:val="113"/>
              </w:numPr>
              <w:tabs>
                <w:tab w:val="left" w:pos="638"/>
              </w:tabs>
              <w:spacing w:before="43" w:after="0" w:line="278" w:lineRule="auto"/>
              <w:ind w:left="108" w:right="-44" w:firstLine="0"/>
              <w:jc w:val="left"/>
              <w:rPr>
                <w:sz w:val="21"/>
              </w:rPr>
            </w:pPr>
            <w:r>
              <w:rPr>
                <w:sz w:val="21"/>
              </w:rPr>
              <w:t>被保险人住院保守治疗，未在主动脉夹层急性期内（发病≤14</w:t>
            </w:r>
            <w:r>
              <w:rPr>
                <w:spacing w:val="-21"/>
                <w:sz w:val="21"/>
              </w:rPr>
              <w:t xml:space="preserve"> 天</w:t>
            </w:r>
            <w:r>
              <w:rPr>
                <w:spacing w:val="-2"/>
                <w:sz w:val="21"/>
              </w:rPr>
              <w:t>）接受主动脉手术治疗。</w:t>
            </w:r>
          </w:p>
          <w:p>
            <w:pPr>
              <w:pStyle w:val="10"/>
              <w:spacing w:before="0" w:line="278" w:lineRule="auto"/>
              <w:ind w:left="108" w:right="77"/>
              <w:rPr>
                <w:rFonts w:ascii="黑体" w:eastAsia="黑体"/>
                <w:sz w:val="21"/>
              </w:rPr>
            </w:pPr>
            <w:r>
              <w:rPr>
                <w:rFonts w:ascii="黑体" w:eastAsia="黑体"/>
                <w:color w:val="000000"/>
                <w:spacing w:val="1"/>
                <w:w w:val="100"/>
                <w:sz w:val="21"/>
                <w:shd w:val="clear" w:color="auto" w:fill="D9D9D9"/>
              </w:rPr>
              <w:t>非急性主动脉夹层、影像学检查偶然发现的主动脉夹层不在保障范围内。</w:t>
            </w:r>
          </w:p>
          <w:p>
            <w:pPr>
              <w:pStyle w:val="10"/>
              <w:spacing w:before="0" w:line="278" w:lineRule="auto"/>
              <w:ind w:left="108" w:right="74"/>
              <w:rPr>
                <w:rFonts w:ascii="黑体" w:eastAsia="黑体"/>
                <w:sz w:val="21"/>
              </w:rPr>
            </w:pPr>
            <w:r>
              <w:rPr>
                <w:rFonts w:ascii="黑体" w:eastAsia="黑体"/>
                <w:color w:val="000000"/>
                <w:spacing w:val="-2"/>
                <w:sz w:val="21"/>
                <w:shd w:val="clear" w:color="auto" w:fill="D9D9D9"/>
              </w:rPr>
              <w:t>主动脉指升主动脉、主动脉弓和降主动脉（含胸主动脉和腹主动脉</w:t>
            </w:r>
            <w:r>
              <w:rPr>
                <w:rFonts w:ascii="黑体" w:eastAsia="黑体"/>
                <w:color w:val="000000"/>
                <w:spacing w:val="-115"/>
                <w:sz w:val="21"/>
                <w:shd w:val="clear" w:color="auto" w:fill="D9D9D9"/>
              </w:rPr>
              <w:t>）</w:t>
            </w:r>
            <w:r>
              <w:rPr>
                <w:rFonts w:ascii="黑体" w:eastAsia="黑体"/>
                <w:color w:val="000000"/>
                <w:spacing w:val="-9"/>
                <w:sz w:val="21"/>
                <w:shd w:val="clear" w:color="auto" w:fill="D9D9D9"/>
              </w:rPr>
              <w:t>，</w:t>
            </w:r>
            <w:r>
              <w:rPr>
                <w:rFonts w:ascii="黑体" w:eastAsia="黑体"/>
                <w:color w:val="000000"/>
                <w:spacing w:val="80"/>
                <w:w w:val="150"/>
                <w:sz w:val="21"/>
                <w:shd w:val="clear" w:color="auto" w:fill="D9D9D9"/>
              </w:rPr>
              <w:t xml:space="preserve">                                   </w:t>
            </w:r>
            <w:r>
              <w:rPr>
                <w:rFonts w:ascii="黑体" w:eastAsia="黑体"/>
                <w:color w:val="000000"/>
                <w:spacing w:val="-2"/>
                <w:sz w:val="21"/>
                <w:shd w:val="clear" w:color="auto" w:fill="D9D9D9"/>
              </w:rPr>
              <w:t>不包括升主动脉、主动脉弓和降主动脉的分支血管。</w:t>
            </w:r>
          </w:p>
          <w:p>
            <w:pPr>
              <w:pStyle w:val="10"/>
              <w:spacing w:before="0"/>
              <w:ind w:left="108"/>
              <w:rPr>
                <w:rFonts w:ascii="黑体" w:hAnsi="黑体" w:eastAsia="黑体"/>
                <w:sz w:val="21"/>
              </w:rPr>
            </w:pPr>
            <w:r>
              <w:rPr>
                <w:rFonts w:ascii="黑体" w:hAnsi="黑体" w:eastAsia="黑体"/>
                <w:color w:val="000000"/>
                <w:spacing w:val="-15"/>
                <w:sz w:val="21"/>
                <w:shd w:val="clear" w:color="auto" w:fill="D9D9D9"/>
              </w:rPr>
              <w:t>我们仅对“主动脉内手术”、“ 急性主动脉夹层血肿”两项中的其中一</w:t>
            </w:r>
          </w:p>
          <w:p>
            <w:pPr>
              <w:pStyle w:val="10"/>
              <w:spacing w:before="2" w:line="310" w:lineRule="atLeast"/>
              <w:ind w:left="108" w:right="72"/>
              <w:rPr>
                <w:rFonts w:ascii="黑体" w:eastAsia="黑体"/>
                <w:sz w:val="21"/>
              </w:rPr>
            </w:pPr>
            <w:r>
              <w:rPr>
                <w:rFonts w:ascii="黑体" w:eastAsia="黑体"/>
                <w:color w:val="000000"/>
                <w:spacing w:val="-2"/>
                <w:sz w:val="21"/>
                <w:shd w:val="clear" w:color="auto" w:fill="D9D9D9"/>
              </w:rPr>
              <w:t>项承担保险责任，给付其中一项保险金后，对其他一项疾病保险责任同</w:t>
            </w:r>
            <w:r>
              <w:rPr>
                <w:rFonts w:ascii="黑体" w:eastAsia="黑体"/>
                <w:color w:val="000000"/>
                <w:spacing w:val="-4"/>
                <w:sz w:val="21"/>
                <w:shd w:val="clear" w:color="auto" w:fill="D9D9D9"/>
              </w:rPr>
              <w:t>时终止。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2" w:hRule="atLeast"/>
        </w:trPr>
        <w:tc>
          <w:tcPr>
            <w:tcW w:w="1080" w:type="dxa"/>
            <w:tcBorders>
              <w:left w:val="single" w:color="000000" w:sz="12" w:space="0"/>
            </w:tcBorders>
          </w:tcPr>
          <w:p>
            <w:pPr>
              <w:pStyle w:val="10"/>
              <w:spacing w:before="18"/>
              <w:ind w:left="29"/>
              <w:jc w:val="center"/>
              <w:rPr>
                <w:sz w:val="21"/>
              </w:rPr>
            </w:pPr>
            <w:r>
              <w:rPr>
                <w:w w:val="100"/>
                <w:sz w:val="21"/>
              </w:rPr>
              <w:t>9</w:t>
            </w:r>
          </w:p>
        </w:tc>
        <w:tc>
          <w:tcPr>
            <w:tcW w:w="2196" w:type="dxa"/>
          </w:tcPr>
          <w:p>
            <w:pPr>
              <w:pStyle w:val="10"/>
              <w:spacing w:before="18" w:line="278" w:lineRule="auto"/>
              <w:ind w:left="117" w:right="85"/>
              <w:rPr>
                <w:sz w:val="21"/>
              </w:rPr>
            </w:pPr>
            <w:r>
              <w:rPr>
                <w:sz w:val="21"/>
              </w:rPr>
              <w:t>头臂动脉型大动脉炎</w:t>
            </w:r>
            <w:r>
              <w:rPr>
                <w:spacing w:val="-4"/>
                <w:sz w:val="21"/>
              </w:rPr>
              <w:t>介入手术</w:t>
            </w:r>
          </w:p>
        </w:tc>
        <w:tc>
          <w:tcPr>
            <w:tcW w:w="6663" w:type="dxa"/>
            <w:tcBorders>
              <w:right w:val="single" w:color="000000" w:sz="12" w:space="0"/>
            </w:tcBorders>
          </w:tcPr>
          <w:p>
            <w:pPr>
              <w:pStyle w:val="10"/>
              <w:spacing w:before="18" w:line="278" w:lineRule="auto"/>
              <w:ind w:left="108" w:right="70"/>
              <w:jc w:val="both"/>
              <w:rPr>
                <w:sz w:val="21"/>
              </w:rPr>
            </w:pPr>
            <w:r>
              <w:rPr>
                <w:spacing w:val="-2"/>
                <w:sz w:val="21"/>
              </w:rPr>
              <w:t>多发性大动脉炎（高安氏动脉炎）是一种发生在主动脉和其主要分支的慢性炎症性动脉疾病，表现为受累动脉狭窄或闭塞。头臂动脉型多发性大动脉炎（主动脉综合征）可引起脑部及上肢缺血。被保险人被明确诊断为头臂动脉型多发性大动脉炎并且实际接受了经导管进行的对无名</w:t>
            </w:r>
          </w:p>
          <w:p>
            <w:pPr>
              <w:pStyle w:val="10"/>
              <w:spacing w:before="0" w:line="269" w:lineRule="exact"/>
              <w:ind w:left="108"/>
              <w:rPr>
                <w:sz w:val="21"/>
              </w:rPr>
            </w:pPr>
            <w:r>
              <w:rPr>
                <w:spacing w:val="-2"/>
                <w:sz w:val="21"/>
              </w:rPr>
              <w:t>动脉（头臂干）</w:t>
            </w:r>
            <w:r>
              <w:rPr>
                <w:spacing w:val="-3"/>
                <w:sz w:val="21"/>
              </w:rPr>
              <w:t>、颈总动脉、锁骨下动脉的血管内介入手术治疗。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080" w:type="dxa"/>
            <w:tcBorders>
              <w:left w:val="single" w:color="000000" w:sz="12" w:space="0"/>
            </w:tcBorders>
          </w:tcPr>
          <w:p>
            <w:pPr>
              <w:pStyle w:val="10"/>
              <w:ind w:left="318" w:right="289"/>
              <w:jc w:val="center"/>
              <w:rPr>
                <w:sz w:val="21"/>
              </w:rPr>
            </w:pPr>
            <w:r>
              <w:rPr>
                <w:spacing w:val="-5"/>
                <w:sz w:val="21"/>
              </w:rPr>
              <w:t>10</w:t>
            </w:r>
          </w:p>
        </w:tc>
        <w:tc>
          <w:tcPr>
            <w:tcW w:w="2196" w:type="dxa"/>
          </w:tcPr>
          <w:p>
            <w:pPr>
              <w:pStyle w:val="10"/>
              <w:ind w:left="117"/>
              <w:rPr>
                <w:sz w:val="21"/>
              </w:rPr>
            </w:pPr>
            <w:r>
              <w:rPr>
                <w:spacing w:val="-4"/>
                <w:sz w:val="21"/>
              </w:rPr>
              <w:t>感染性心内膜炎</w:t>
            </w:r>
          </w:p>
        </w:tc>
        <w:tc>
          <w:tcPr>
            <w:tcW w:w="6663" w:type="dxa"/>
            <w:tcBorders>
              <w:right w:val="single" w:color="000000" w:sz="12" w:space="0"/>
            </w:tcBorders>
          </w:tcPr>
          <w:p>
            <w:pPr>
              <w:pStyle w:val="10"/>
              <w:ind w:left="108"/>
              <w:rPr>
                <w:sz w:val="21"/>
              </w:rPr>
            </w:pPr>
            <w:r>
              <w:rPr>
                <w:spacing w:val="-6"/>
                <w:sz w:val="21"/>
              </w:rPr>
              <w:t>感染性心内膜炎是指因细菌或其他致病菌感染造成心脏内膜感染，并且</w:t>
            </w:r>
          </w:p>
          <w:p>
            <w:pPr>
              <w:pStyle w:val="10"/>
              <w:spacing w:before="43"/>
              <w:ind w:left="108"/>
              <w:rPr>
                <w:sz w:val="21"/>
              </w:rPr>
            </w:pPr>
            <w:r>
              <w:rPr>
                <w:spacing w:val="-3"/>
                <w:sz w:val="21"/>
              </w:rPr>
              <w:t>累及心脏瓣膜，导致心脏瓣膜关闭不全。必须满足下列所有条件：</w:t>
            </w:r>
          </w:p>
        </w:tc>
      </w:tr>
    </w:tbl>
    <w:p>
      <w:pPr>
        <w:rPr>
          <w:sz w:val="2"/>
          <w:szCs w:val="2"/>
        </w:rPr>
      </w:pPr>
      <w:r>
        <w:drawing>
          <wp:anchor distT="0" distB="0" distL="0" distR="0" simplePos="0" relativeHeight="251668480" behindDoc="1" locked="0" layoutInCell="1" allowOverlap="1">
            <wp:simplePos x="0" y="0"/>
            <wp:positionH relativeFrom="page">
              <wp:posOffset>2787650</wp:posOffset>
            </wp:positionH>
            <wp:positionV relativeFrom="page">
              <wp:posOffset>955040</wp:posOffset>
            </wp:positionV>
            <wp:extent cx="4068445" cy="566420"/>
            <wp:effectExtent l="0" t="0" r="0" b="0"/>
            <wp:wrapNone/>
            <wp:docPr id="31"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9.png"/>
                    <pic:cNvPicPr>
                      <a:picLocks noChangeAspect="1"/>
                    </pic:cNvPicPr>
                  </pic:nvPicPr>
                  <pic:blipFill>
                    <a:blip r:embed="rId15" cstate="print"/>
                    <a:stretch>
                      <a:fillRect/>
                    </a:stretch>
                  </pic:blipFill>
                  <pic:spPr>
                    <a:xfrm>
                      <a:off x="0" y="0"/>
                      <a:ext cx="4068661" cy="566737"/>
                    </a:xfrm>
                    <a:prstGeom prst="rect">
                      <a:avLst/>
                    </a:prstGeom>
                  </pic:spPr>
                </pic:pic>
              </a:graphicData>
            </a:graphic>
          </wp:anchor>
        </w:drawing>
      </w:r>
      <w:r>
        <w:drawing>
          <wp:anchor distT="0" distB="0" distL="0" distR="0" simplePos="0" relativeHeight="251669504" behindDoc="1" locked="0" layoutInCell="1" allowOverlap="1">
            <wp:simplePos x="0" y="0"/>
            <wp:positionH relativeFrom="page">
              <wp:posOffset>2787650</wp:posOffset>
            </wp:positionH>
            <wp:positionV relativeFrom="page">
              <wp:posOffset>2150110</wp:posOffset>
            </wp:positionV>
            <wp:extent cx="4105275" cy="571500"/>
            <wp:effectExtent l="0" t="0" r="0" b="0"/>
            <wp:wrapNone/>
            <wp:docPr id="33"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0.png"/>
                    <pic:cNvPicPr>
                      <a:picLocks noChangeAspect="1"/>
                    </pic:cNvPicPr>
                  </pic:nvPicPr>
                  <pic:blipFill>
                    <a:blip r:embed="rId16" cstate="print"/>
                    <a:stretch>
                      <a:fillRect/>
                    </a:stretch>
                  </pic:blipFill>
                  <pic:spPr>
                    <a:xfrm>
                      <a:off x="0" y="0"/>
                      <a:ext cx="4105045" cy="571500"/>
                    </a:xfrm>
                    <a:prstGeom prst="rect">
                      <a:avLst/>
                    </a:prstGeom>
                  </pic:spPr>
                </pic:pic>
              </a:graphicData>
            </a:graphic>
          </wp:anchor>
        </w:drawing>
      </w:r>
      <w:r>
        <w:drawing>
          <wp:anchor distT="0" distB="0" distL="0" distR="0" simplePos="0" relativeHeight="251669504" behindDoc="1" locked="0" layoutInCell="1" allowOverlap="1">
            <wp:simplePos x="0" y="0"/>
            <wp:positionH relativeFrom="page">
              <wp:posOffset>2787650</wp:posOffset>
            </wp:positionH>
            <wp:positionV relativeFrom="page">
              <wp:posOffset>3543300</wp:posOffset>
            </wp:positionV>
            <wp:extent cx="4105275" cy="571500"/>
            <wp:effectExtent l="0" t="0" r="0" b="0"/>
            <wp:wrapNone/>
            <wp:docPr id="35"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0.png"/>
                    <pic:cNvPicPr>
                      <a:picLocks noChangeAspect="1"/>
                    </pic:cNvPicPr>
                  </pic:nvPicPr>
                  <pic:blipFill>
                    <a:blip r:embed="rId16" cstate="print"/>
                    <a:stretch>
                      <a:fillRect/>
                    </a:stretch>
                  </pic:blipFill>
                  <pic:spPr>
                    <a:xfrm>
                      <a:off x="0" y="0"/>
                      <a:ext cx="4105045" cy="571500"/>
                    </a:xfrm>
                    <a:prstGeom prst="rect">
                      <a:avLst/>
                    </a:prstGeom>
                  </pic:spPr>
                </pic:pic>
              </a:graphicData>
            </a:graphic>
          </wp:anchor>
        </w:drawing>
      </w:r>
    </w:p>
    <w:p>
      <w:pPr>
        <w:spacing w:after="0"/>
        <w:rPr>
          <w:sz w:val="2"/>
          <w:szCs w:val="2"/>
        </w:rPr>
        <w:sectPr>
          <w:type w:val="continuous"/>
          <w:pgSz w:w="11910" w:h="16840"/>
          <w:pgMar w:top="840" w:right="340" w:bottom="640" w:left="800" w:header="0" w:footer="457" w:gutter="0"/>
          <w:cols w:space="720" w:num="1"/>
        </w:sectPr>
      </w:pPr>
    </w:p>
    <w:tbl>
      <w:tblPr>
        <w:tblStyle w:val="6"/>
        <w:tblW w:w="0" w:type="auto"/>
        <w:tblInd w:w="22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80"/>
        <w:gridCol w:w="2196"/>
        <w:gridCol w:w="666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84" w:hRule="atLeast"/>
        </w:trPr>
        <w:tc>
          <w:tcPr>
            <w:tcW w:w="1080" w:type="dxa"/>
            <w:tcBorders>
              <w:left w:val="single" w:color="000000" w:sz="12" w:space="0"/>
            </w:tcBorders>
          </w:tcPr>
          <w:p>
            <w:pPr>
              <w:pStyle w:val="10"/>
              <w:spacing w:before="0"/>
              <w:ind w:left="0"/>
              <w:rPr>
                <w:rFonts w:ascii="Times New Roman"/>
                <w:sz w:val="20"/>
              </w:rPr>
            </w:pPr>
          </w:p>
        </w:tc>
        <w:tc>
          <w:tcPr>
            <w:tcW w:w="2196" w:type="dxa"/>
          </w:tcPr>
          <w:p>
            <w:pPr>
              <w:pStyle w:val="10"/>
              <w:spacing w:before="0"/>
              <w:ind w:left="0"/>
              <w:rPr>
                <w:rFonts w:ascii="Times New Roman"/>
                <w:sz w:val="20"/>
              </w:rPr>
            </w:pPr>
          </w:p>
        </w:tc>
        <w:tc>
          <w:tcPr>
            <w:tcW w:w="6663" w:type="dxa"/>
            <w:tcBorders>
              <w:right w:val="single" w:color="000000" w:sz="12" w:space="0"/>
            </w:tcBorders>
          </w:tcPr>
          <w:p>
            <w:pPr>
              <w:pStyle w:val="10"/>
              <w:numPr>
                <w:ilvl w:val="0"/>
                <w:numId w:val="114"/>
              </w:numPr>
              <w:tabs>
                <w:tab w:val="left" w:pos="638"/>
              </w:tabs>
              <w:spacing w:before="16" w:after="0" w:line="240" w:lineRule="auto"/>
              <w:ind w:left="637" w:right="0" w:hanging="530"/>
              <w:jc w:val="left"/>
              <w:rPr>
                <w:sz w:val="21"/>
              </w:rPr>
            </w:pPr>
            <w:r>
              <w:rPr>
                <w:spacing w:val="-3"/>
                <w:sz w:val="21"/>
              </w:rPr>
              <w:t>急性或亚急性感染性心内膜炎临床表现；</w:t>
            </w:r>
          </w:p>
          <w:p>
            <w:pPr>
              <w:pStyle w:val="10"/>
              <w:numPr>
                <w:ilvl w:val="0"/>
                <w:numId w:val="114"/>
              </w:numPr>
              <w:tabs>
                <w:tab w:val="left" w:pos="638"/>
              </w:tabs>
              <w:spacing w:before="43" w:after="0" w:line="240" w:lineRule="auto"/>
              <w:ind w:left="637" w:right="0" w:hanging="530"/>
              <w:jc w:val="left"/>
              <w:rPr>
                <w:sz w:val="21"/>
              </w:rPr>
            </w:pPr>
            <w:r>
              <w:rPr>
                <w:spacing w:val="-3"/>
                <w:sz w:val="21"/>
              </w:rPr>
              <w:t>血培养病原体阳性；</w:t>
            </w:r>
          </w:p>
          <w:p>
            <w:pPr>
              <w:pStyle w:val="10"/>
              <w:numPr>
                <w:ilvl w:val="0"/>
                <w:numId w:val="114"/>
              </w:numPr>
              <w:tabs>
                <w:tab w:val="left" w:pos="638"/>
              </w:tabs>
              <w:spacing w:before="43" w:after="0" w:line="240" w:lineRule="auto"/>
              <w:ind w:left="637" w:right="0" w:hanging="530"/>
              <w:jc w:val="left"/>
              <w:rPr>
                <w:sz w:val="21"/>
              </w:rPr>
            </w:pPr>
            <w:r>
              <w:rPr>
                <w:spacing w:val="-3"/>
                <w:sz w:val="21"/>
              </w:rPr>
              <w:t>实际接受了经导管瓣膜修补手术。</w:t>
            </w:r>
          </w:p>
          <w:p>
            <w:pPr>
              <w:pStyle w:val="10"/>
              <w:spacing w:before="43"/>
              <w:ind w:left="108"/>
              <w:rPr>
                <w:rFonts w:ascii="黑体" w:eastAsia="黑体"/>
                <w:sz w:val="21"/>
              </w:rPr>
            </w:pPr>
            <w:r>
              <w:rPr>
                <w:rFonts w:ascii="黑体" w:eastAsia="黑体"/>
                <w:color w:val="000000"/>
                <w:spacing w:val="-3"/>
                <w:sz w:val="21"/>
                <w:shd w:val="clear" w:color="auto" w:fill="D9D9D9"/>
              </w:rPr>
              <w:t>药物滥用者所患感染性心内膜炎不在保障范围内。</w:t>
            </w:r>
          </w:p>
          <w:p>
            <w:pPr>
              <w:pStyle w:val="10"/>
              <w:spacing w:before="2" w:line="310" w:lineRule="atLeast"/>
              <w:ind w:left="108" w:right="72"/>
              <w:jc w:val="both"/>
              <w:rPr>
                <w:rFonts w:ascii="黑体" w:hAnsi="黑体" w:eastAsia="黑体"/>
                <w:sz w:val="21"/>
              </w:rPr>
            </w:pPr>
            <w:r>
              <w:rPr>
                <w:rFonts w:ascii="黑体" w:hAnsi="黑体" w:eastAsia="黑体"/>
                <w:color w:val="000000"/>
                <w:spacing w:val="-10"/>
                <w:sz w:val="21"/>
                <w:shd w:val="clear" w:color="auto" w:fill="D9D9D9"/>
              </w:rPr>
              <w:t>我们仅对“感染性心内膜炎”</w:t>
            </w:r>
            <w:r>
              <w:rPr>
                <w:rFonts w:ascii="黑体" w:hAnsi="黑体" w:eastAsia="黑体"/>
                <w:color w:val="000000"/>
                <w:spacing w:val="-14"/>
                <w:sz w:val="21"/>
                <w:shd w:val="clear" w:color="auto" w:fill="D9D9D9"/>
              </w:rPr>
              <w:t>、“ 心脏瓣膜介入手术-瓣膜修补术”两项</w:t>
            </w:r>
            <w:r>
              <w:rPr>
                <w:rFonts w:ascii="黑体" w:hAnsi="黑体" w:eastAsia="黑体"/>
                <w:color w:val="000000"/>
                <w:spacing w:val="40"/>
                <w:sz w:val="21"/>
                <w:shd w:val="clear" w:color="auto" w:fill="D9D9D9"/>
              </w:rPr>
              <w:t xml:space="preserve"> </w:t>
            </w:r>
            <w:r>
              <w:rPr>
                <w:rFonts w:ascii="黑体" w:hAnsi="黑体" w:eastAsia="黑体"/>
                <w:color w:val="000000"/>
                <w:spacing w:val="-2"/>
                <w:sz w:val="21"/>
                <w:shd w:val="clear" w:color="auto" w:fill="D9D9D9"/>
              </w:rPr>
              <w:t>中的其中一项承担保险责任，给付其中一项保险金后，对其他一项疾病保险责任同时终止。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9" w:hRule="atLeast"/>
        </w:trPr>
        <w:tc>
          <w:tcPr>
            <w:tcW w:w="1080" w:type="dxa"/>
            <w:tcBorders>
              <w:left w:val="single" w:color="000000" w:sz="12" w:space="0"/>
            </w:tcBorders>
          </w:tcPr>
          <w:p>
            <w:pPr>
              <w:pStyle w:val="10"/>
              <w:ind w:left="318" w:right="289"/>
              <w:jc w:val="center"/>
              <w:rPr>
                <w:sz w:val="21"/>
              </w:rPr>
            </w:pPr>
            <w:r>
              <w:rPr>
                <w:spacing w:val="-5"/>
                <w:sz w:val="21"/>
              </w:rPr>
              <w:t>11</w:t>
            </w:r>
          </w:p>
        </w:tc>
        <w:tc>
          <w:tcPr>
            <w:tcW w:w="2196" w:type="dxa"/>
          </w:tcPr>
          <w:p>
            <w:pPr>
              <w:pStyle w:val="10"/>
              <w:spacing w:line="278" w:lineRule="auto"/>
              <w:ind w:left="117" w:right="83"/>
              <w:rPr>
                <w:sz w:val="21"/>
              </w:rPr>
            </w:pPr>
            <w:r>
              <w:rPr>
                <w:spacing w:val="18"/>
                <w:sz w:val="21"/>
              </w:rPr>
              <w:t>心脏瓣膜介入手术-</w:t>
            </w:r>
            <w:r>
              <w:rPr>
                <w:spacing w:val="-2"/>
                <w:sz w:val="21"/>
              </w:rPr>
              <w:t>瓣膜修补术</w:t>
            </w:r>
          </w:p>
        </w:tc>
        <w:tc>
          <w:tcPr>
            <w:tcW w:w="6663" w:type="dxa"/>
            <w:tcBorders>
              <w:right w:val="single" w:color="000000" w:sz="12" w:space="0"/>
            </w:tcBorders>
          </w:tcPr>
          <w:p>
            <w:pPr>
              <w:pStyle w:val="10"/>
              <w:spacing w:line="278" w:lineRule="auto"/>
              <w:ind w:left="108" w:right="72"/>
              <w:rPr>
                <w:sz w:val="21"/>
              </w:rPr>
            </w:pPr>
            <w:r>
              <w:rPr>
                <w:spacing w:val="-8"/>
                <w:sz w:val="21"/>
              </w:rPr>
              <w:t>为了治疗心脏瓣膜疾病，实际接受了经皮经导管介入手术进行的瓣膜修</w:t>
            </w:r>
            <w:r>
              <w:rPr>
                <w:spacing w:val="-2"/>
                <w:sz w:val="21"/>
              </w:rPr>
              <w:t>复或修补手术。</w:t>
            </w:r>
          </w:p>
          <w:p>
            <w:pPr>
              <w:pStyle w:val="10"/>
              <w:spacing w:before="0" w:line="278" w:lineRule="auto"/>
              <w:ind w:left="108" w:right="72"/>
              <w:rPr>
                <w:rFonts w:ascii="黑体" w:hAnsi="黑体" w:eastAsia="黑体"/>
                <w:sz w:val="21"/>
              </w:rPr>
            </w:pPr>
            <w:r>
              <w:rPr>
                <w:rFonts w:ascii="黑体" w:hAnsi="黑体" w:eastAsia="黑体"/>
                <w:color w:val="000000"/>
                <w:spacing w:val="-10"/>
                <w:sz w:val="21"/>
                <w:shd w:val="clear" w:color="auto" w:fill="D9D9D9"/>
              </w:rPr>
              <w:t>我们仅对“感染性心内膜炎”</w:t>
            </w:r>
            <w:r>
              <w:rPr>
                <w:rFonts w:ascii="黑体" w:hAnsi="黑体" w:eastAsia="黑体"/>
                <w:color w:val="000000"/>
                <w:spacing w:val="-14"/>
                <w:sz w:val="21"/>
                <w:shd w:val="clear" w:color="auto" w:fill="D9D9D9"/>
              </w:rPr>
              <w:t>、“ 心脏瓣膜介入手术-瓣膜修补术”两项</w:t>
            </w:r>
            <w:r>
              <w:rPr>
                <w:rFonts w:ascii="黑体" w:hAnsi="黑体" w:eastAsia="黑体"/>
                <w:color w:val="000000"/>
                <w:spacing w:val="80"/>
                <w:w w:val="150"/>
                <w:sz w:val="21"/>
                <w:shd w:val="clear" w:color="auto" w:fill="D9D9D9"/>
              </w:rPr>
              <w:t xml:space="preserve">                                   </w:t>
            </w:r>
            <w:r>
              <w:rPr>
                <w:rFonts w:ascii="黑体" w:hAnsi="黑体" w:eastAsia="黑体"/>
                <w:color w:val="000000"/>
                <w:spacing w:val="-5"/>
                <w:sz w:val="21"/>
                <w:shd w:val="clear" w:color="auto" w:fill="D9D9D9"/>
              </w:rPr>
              <w:t>中的其中一项承担保险责任，给付其中一项保险金后，对其他一项疾病</w:t>
            </w:r>
          </w:p>
          <w:p>
            <w:pPr>
              <w:pStyle w:val="10"/>
              <w:spacing w:before="0" w:line="269" w:lineRule="exact"/>
              <w:ind w:left="108"/>
              <w:rPr>
                <w:rFonts w:ascii="黑体" w:eastAsia="黑体"/>
                <w:sz w:val="21"/>
              </w:rPr>
            </w:pPr>
            <w:r>
              <w:rPr>
                <w:rFonts w:ascii="黑体" w:eastAsia="黑体"/>
                <w:color w:val="000000"/>
                <w:spacing w:val="-3"/>
                <w:sz w:val="21"/>
                <w:shd w:val="clear" w:color="auto" w:fill="D9D9D9"/>
              </w:rPr>
              <w:t>保险责任同时终止。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6" w:hRule="atLeast"/>
        </w:trPr>
        <w:tc>
          <w:tcPr>
            <w:tcW w:w="1080" w:type="dxa"/>
            <w:tcBorders>
              <w:left w:val="single" w:color="000000" w:sz="12" w:space="0"/>
            </w:tcBorders>
          </w:tcPr>
          <w:p>
            <w:pPr>
              <w:pStyle w:val="10"/>
              <w:ind w:left="318" w:right="289"/>
              <w:jc w:val="center"/>
              <w:rPr>
                <w:sz w:val="21"/>
              </w:rPr>
            </w:pPr>
            <w:r>
              <w:rPr>
                <w:spacing w:val="-5"/>
                <w:sz w:val="21"/>
              </w:rPr>
              <w:t>12</w:t>
            </w:r>
          </w:p>
        </w:tc>
        <w:tc>
          <w:tcPr>
            <w:tcW w:w="2196" w:type="dxa"/>
          </w:tcPr>
          <w:p>
            <w:pPr>
              <w:pStyle w:val="10"/>
              <w:ind w:left="117"/>
              <w:rPr>
                <w:sz w:val="21"/>
              </w:rPr>
            </w:pPr>
            <w:r>
              <w:rPr>
                <w:spacing w:val="-4"/>
                <w:sz w:val="21"/>
              </w:rPr>
              <w:t>植入心脏起搏器</w:t>
            </w:r>
          </w:p>
        </w:tc>
        <w:tc>
          <w:tcPr>
            <w:tcW w:w="6663" w:type="dxa"/>
            <w:tcBorders>
              <w:right w:val="single" w:color="000000" w:sz="12" w:space="0"/>
            </w:tcBorders>
          </w:tcPr>
          <w:p>
            <w:pPr>
              <w:pStyle w:val="10"/>
              <w:spacing w:line="278" w:lineRule="auto"/>
              <w:ind w:left="108" w:right="70"/>
              <w:rPr>
                <w:sz w:val="21"/>
              </w:rPr>
            </w:pPr>
            <w:r>
              <w:rPr>
                <w:spacing w:val="-5"/>
                <w:sz w:val="21"/>
              </w:rPr>
              <w:t>因心脏疾病导致慢性的无法通过药物治疗控制的严重心律失常，且被保</w:t>
            </w:r>
            <w:r>
              <w:rPr>
                <w:spacing w:val="-2"/>
                <w:sz w:val="21"/>
              </w:rPr>
              <w:t>险人实际植入了永久性心脏起搏器。</w:t>
            </w:r>
          </w:p>
          <w:p>
            <w:pPr>
              <w:pStyle w:val="10"/>
              <w:spacing w:before="0"/>
              <w:ind w:left="108"/>
              <w:rPr>
                <w:rFonts w:ascii="黑体" w:eastAsia="黑体"/>
                <w:sz w:val="21"/>
              </w:rPr>
            </w:pPr>
            <w:r>
              <w:rPr>
                <w:rFonts w:ascii="黑体" w:eastAsia="黑体"/>
                <w:color w:val="000000"/>
                <w:spacing w:val="-3"/>
                <w:sz w:val="21"/>
                <w:shd w:val="clear" w:color="auto" w:fill="D9D9D9"/>
              </w:rPr>
              <w:t>安装临时心脏起搏器不在本保障范围内。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7" w:hRule="atLeast"/>
        </w:trPr>
        <w:tc>
          <w:tcPr>
            <w:tcW w:w="1080" w:type="dxa"/>
            <w:tcBorders>
              <w:left w:val="single" w:color="000000" w:sz="12" w:space="0"/>
            </w:tcBorders>
          </w:tcPr>
          <w:p>
            <w:pPr>
              <w:pStyle w:val="10"/>
              <w:ind w:left="318" w:right="289"/>
              <w:jc w:val="center"/>
              <w:rPr>
                <w:sz w:val="21"/>
              </w:rPr>
            </w:pPr>
            <w:r>
              <w:rPr>
                <w:spacing w:val="-5"/>
                <w:sz w:val="21"/>
              </w:rPr>
              <w:t>13</w:t>
            </w:r>
          </w:p>
        </w:tc>
        <w:tc>
          <w:tcPr>
            <w:tcW w:w="2196" w:type="dxa"/>
          </w:tcPr>
          <w:p>
            <w:pPr>
              <w:pStyle w:val="10"/>
              <w:spacing w:line="278" w:lineRule="auto"/>
              <w:ind w:left="117" w:right="85"/>
              <w:rPr>
                <w:sz w:val="21"/>
              </w:rPr>
            </w:pPr>
            <w:r>
              <w:rPr>
                <w:sz w:val="21"/>
              </w:rPr>
              <w:t>肺泡蛋白沉积症肺灌</w:t>
            </w:r>
            <w:r>
              <w:rPr>
                <w:spacing w:val="-4"/>
                <w:sz w:val="21"/>
              </w:rPr>
              <w:t>洗治疗</w:t>
            </w:r>
          </w:p>
        </w:tc>
        <w:tc>
          <w:tcPr>
            <w:tcW w:w="6663" w:type="dxa"/>
            <w:tcBorders>
              <w:right w:val="single" w:color="000000" w:sz="12" w:space="0"/>
            </w:tcBorders>
          </w:tcPr>
          <w:p>
            <w:pPr>
              <w:pStyle w:val="10"/>
              <w:spacing w:line="278" w:lineRule="auto"/>
              <w:ind w:left="108" w:right="7"/>
              <w:rPr>
                <w:sz w:val="21"/>
              </w:rPr>
            </w:pPr>
            <w:r>
              <w:rPr>
                <w:spacing w:val="-6"/>
                <w:sz w:val="21"/>
              </w:rPr>
              <w:t>肺泡蛋白质沉积症是一种弥漫性肺部疾病，其组织学特征为肺泡腔内及</w:t>
            </w:r>
            <w:r>
              <w:rPr>
                <w:spacing w:val="-2"/>
                <w:sz w:val="21"/>
              </w:rPr>
              <w:t>终末细支气管内堆积过量的磷脂蛋白样物质。必须满足下列所有条件：</w:t>
            </w:r>
          </w:p>
          <w:p>
            <w:pPr>
              <w:pStyle w:val="10"/>
              <w:numPr>
                <w:ilvl w:val="0"/>
                <w:numId w:val="115"/>
              </w:numPr>
              <w:tabs>
                <w:tab w:val="left" w:pos="638"/>
              </w:tabs>
              <w:spacing w:before="0" w:after="0" w:line="269" w:lineRule="exact"/>
              <w:ind w:left="637" w:right="0" w:hanging="530"/>
              <w:jc w:val="left"/>
              <w:rPr>
                <w:sz w:val="21"/>
              </w:rPr>
            </w:pPr>
            <w:r>
              <w:rPr>
                <w:spacing w:val="-3"/>
                <w:sz w:val="21"/>
              </w:rPr>
              <w:t>经组织病理学检查明确诊断；</w:t>
            </w:r>
          </w:p>
          <w:p>
            <w:pPr>
              <w:pStyle w:val="10"/>
              <w:numPr>
                <w:ilvl w:val="0"/>
                <w:numId w:val="115"/>
              </w:numPr>
              <w:tabs>
                <w:tab w:val="left" w:pos="638"/>
              </w:tabs>
              <w:spacing w:before="43" w:after="0" w:line="240" w:lineRule="auto"/>
              <w:ind w:left="637" w:right="0" w:hanging="530"/>
              <w:jc w:val="left"/>
              <w:rPr>
                <w:sz w:val="21"/>
              </w:rPr>
            </w:pPr>
            <w:r>
              <w:rPr>
                <w:spacing w:val="-3"/>
                <w:sz w:val="21"/>
              </w:rPr>
              <w:t>实际接受了全身麻醉下的全肺灌洗术治疗。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1080" w:type="dxa"/>
            <w:tcBorders>
              <w:left w:val="single" w:color="000000" w:sz="12" w:space="0"/>
            </w:tcBorders>
          </w:tcPr>
          <w:p>
            <w:pPr>
              <w:pStyle w:val="10"/>
              <w:ind w:left="318" w:right="289"/>
              <w:jc w:val="center"/>
              <w:rPr>
                <w:sz w:val="21"/>
              </w:rPr>
            </w:pPr>
            <w:r>
              <w:rPr>
                <w:spacing w:val="-5"/>
                <w:sz w:val="21"/>
              </w:rPr>
              <w:t>14</w:t>
            </w:r>
          </w:p>
        </w:tc>
        <w:tc>
          <w:tcPr>
            <w:tcW w:w="2196" w:type="dxa"/>
          </w:tcPr>
          <w:p>
            <w:pPr>
              <w:pStyle w:val="10"/>
              <w:spacing w:line="278" w:lineRule="auto"/>
              <w:ind w:left="117" w:right="85"/>
              <w:rPr>
                <w:sz w:val="21"/>
              </w:rPr>
            </w:pPr>
            <w:r>
              <w:rPr>
                <w:sz w:val="21"/>
              </w:rPr>
              <w:t>慢性心包炎胸腔镜手</w:t>
            </w:r>
            <w:r>
              <w:rPr>
                <w:spacing w:val="-10"/>
                <w:sz w:val="21"/>
              </w:rPr>
              <w:t>术</w:t>
            </w:r>
          </w:p>
        </w:tc>
        <w:tc>
          <w:tcPr>
            <w:tcW w:w="6663" w:type="dxa"/>
            <w:tcBorders>
              <w:right w:val="single" w:color="000000" w:sz="12" w:space="0"/>
            </w:tcBorders>
          </w:tcPr>
          <w:p>
            <w:pPr>
              <w:pStyle w:val="10"/>
              <w:spacing w:line="278" w:lineRule="auto"/>
              <w:ind w:left="108" w:right="70"/>
              <w:rPr>
                <w:sz w:val="21"/>
              </w:rPr>
            </w:pPr>
            <w:r>
              <w:rPr>
                <w:spacing w:val="-5"/>
                <w:sz w:val="21"/>
              </w:rPr>
              <w:t>被保险人因慢性心包炎实际接受了胸腔镜下进行的心包粘连松解、心包</w:t>
            </w:r>
            <w:r>
              <w:rPr>
                <w:spacing w:val="-2"/>
                <w:sz w:val="21"/>
              </w:rPr>
              <w:t>切开、心包开窗或部分心包切除手术治疗。</w:t>
            </w:r>
          </w:p>
          <w:p>
            <w:pPr>
              <w:pStyle w:val="10"/>
              <w:spacing w:before="0" w:line="269" w:lineRule="exact"/>
              <w:ind w:left="108"/>
              <w:rPr>
                <w:rFonts w:ascii="黑体" w:eastAsia="黑体"/>
                <w:sz w:val="21"/>
              </w:rPr>
            </w:pPr>
            <w:r>
              <w:rPr>
                <w:rFonts w:ascii="黑体" w:eastAsia="黑体"/>
                <w:color w:val="000000"/>
                <w:spacing w:val="-3"/>
                <w:sz w:val="21"/>
                <w:shd w:val="clear" w:color="auto" w:fill="D9D9D9"/>
              </w:rPr>
              <w:t>单纯心包穿刺不在保障范围内。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2" w:hRule="atLeast"/>
        </w:trPr>
        <w:tc>
          <w:tcPr>
            <w:tcW w:w="1080" w:type="dxa"/>
            <w:tcBorders>
              <w:left w:val="single" w:color="000000" w:sz="12" w:space="0"/>
            </w:tcBorders>
          </w:tcPr>
          <w:p>
            <w:pPr>
              <w:pStyle w:val="10"/>
              <w:spacing w:before="18"/>
              <w:ind w:left="318" w:right="289"/>
              <w:jc w:val="center"/>
              <w:rPr>
                <w:sz w:val="21"/>
              </w:rPr>
            </w:pPr>
            <w:r>
              <w:rPr>
                <w:spacing w:val="-5"/>
                <w:sz w:val="21"/>
              </w:rPr>
              <w:t>15</w:t>
            </w:r>
          </w:p>
        </w:tc>
        <w:tc>
          <w:tcPr>
            <w:tcW w:w="2196" w:type="dxa"/>
          </w:tcPr>
          <w:p>
            <w:pPr>
              <w:pStyle w:val="10"/>
              <w:spacing w:before="18" w:line="278" w:lineRule="auto"/>
              <w:ind w:left="117" w:right="85"/>
              <w:jc w:val="both"/>
              <w:rPr>
                <w:sz w:val="21"/>
              </w:rPr>
            </w:pPr>
            <w:r>
              <w:rPr>
                <w:sz w:val="21"/>
              </w:rPr>
              <w:t>垂体肿瘤、脑囊肿、脑血管瘤手术或放射</w:t>
            </w:r>
            <w:r>
              <w:rPr>
                <w:spacing w:val="-6"/>
                <w:sz w:val="21"/>
              </w:rPr>
              <w:t>治疗</w:t>
            </w:r>
          </w:p>
        </w:tc>
        <w:tc>
          <w:tcPr>
            <w:tcW w:w="6663" w:type="dxa"/>
            <w:tcBorders>
              <w:right w:val="single" w:color="000000" w:sz="12" w:space="0"/>
            </w:tcBorders>
          </w:tcPr>
          <w:p>
            <w:pPr>
              <w:pStyle w:val="10"/>
              <w:spacing w:before="18" w:line="278" w:lineRule="auto"/>
              <w:ind w:left="108" w:right="113"/>
              <w:rPr>
                <w:sz w:val="21"/>
              </w:rPr>
            </w:pPr>
            <w:r>
              <w:rPr>
                <w:spacing w:val="-2"/>
                <w:sz w:val="21"/>
              </w:rPr>
              <w:t>指经头颅断层扫描（CT）、核磁共振（MRI）或其他影像学检查被确诊为下列病变，并实际接受了手术或放射治疗。</w:t>
            </w:r>
          </w:p>
          <w:p>
            <w:pPr>
              <w:pStyle w:val="10"/>
              <w:numPr>
                <w:ilvl w:val="0"/>
                <w:numId w:val="116"/>
              </w:numPr>
              <w:tabs>
                <w:tab w:val="left" w:pos="638"/>
              </w:tabs>
              <w:spacing w:before="0" w:after="0" w:line="240" w:lineRule="auto"/>
              <w:ind w:left="637" w:right="0" w:hanging="530"/>
              <w:jc w:val="left"/>
              <w:rPr>
                <w:sz w:val="21"/>
              </w:rPr>
            </w:pPr>
            <w:r>
              <w:rPr>
                <w:spacing w:val="-4"/>
                <w:sz w:val="21"/>
              </w:rPr>
              <w:t>脑垂体瘤；</w:t>
            </w:r>
          </w:p>
          <w:p>
            <w:pPr>
              <w:pStyle w:val="10"/>
              <w:numPr>
                <w:ilvl w:val="0"/>
                <w:numId w:val="116"/>
              </w:numPr>
              <w:tabs>
                <w:tab w:val="left" w:pos="638"/>
              </w:tabs>
              <w:spacing w:before="43" w:after="0" w:line="240" w:lineRule="auto"/>
              <w:ind w:left="637" w:right="0" w:hanging="530"/>
              <w:jc w:val="left"/>
              <w:rPr>
                <w:sz w:val="21"/>
              </w:rPr>
            </w:pPr>
            <w:r>
              <w:rPr>
                <w:spacing w:val="-4"/>
                <w:sz w:val="21"/>
              </w:rPr>
              <w:t>脑囊肿；</w:t>
            </w:r>
          </w:p>
          <w:p>
            <w:pPr>
              <w:pStyle w:val="10"/>
              <w:numPr>
                <w:ilvl w:val="0"/>
                <w:numId w:val="116"/>
              </w:numPr>
              <w:tabs>
                <w:tab w:val="left" w:pos="638"/>
              </w:tabs>
              <w:spacing w:before="43" w:after="0" w:line="240" w:lineRule="auto"/>
              <w:ind w:left="637" w:right="0" w:hanging="530"/>
              <w:jc w:val="left"/>
              <w:rPr>
                <w:sz w:val="21"/>
              </w:rPr>
            </w:pPr>
            <w:r>
              <w:rPr>
                <w:spacing w:val="-3"/>
                <w:sz w:val="21"/>
              </w:rPr>
              <w:t>脑动脉瘤、脑血管瘤。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68" w:hRule="atLeast"/>
        </w:trPr>
        <w:tc>
          <w:tcPr>
            <w:tcW w:w="1080" w:type="dxa"/>
            <w:tcBorders>
              <w:left w:val="single" w:color="000000" w:sz="12" w:space="0"/>
            </w:tcBorders>
          </w:tcPr>
          <w:p>
            <w:pPr>
              <w:pStyle w:val="10"/>
              <w:ind w:left="318" w:right="289"/>
              <w:jc w:val="center"/>
              <w:rPr>
                <w:sz w:val="21"/>
              </w:rPr>
            </w:pPr>
            <w:r>
              <w:rPr>
                <w:spacing w:val="-5"/>
                <w:sz w:val="21"/>
              </w:rPr>
              <w:t>16</w:t>
            </w:r>
          </w:p>
        </w:tc>
        <w:tc>
          <w:tcPr>
            <w:tcW w:w="2196" w:type="dxa"/>
          </w:tcPr>
          <w:p>
            <w:pPr>
              <w:pStyle w:val="10"/>
              <w:spacing w:line="278" w:lineRule="auto"/>
              <w:ind w:left="117" w:right="85"/>
              <w:rPr>
                <w:sz w:val="21"/>
              </w:rPr>
            </w:pPr>
            <w:r>
              <w:rPr>
                <w:sz w:val="21"/>
              </w:rPr>
              <w:t>无颅内压升高的良性</w:t>
            </w:r>
            <w:r>
              <w:rPr>
                <w:spacing w:val="-4"/>
                <w:sz w:val="21"/>
              </w:rPr>
              <w:t>颅内肿瘤</w:t>
            </w:r>
          </w:p>
        </w:tc>
        <w:tc>
          <w:tcPr>
            <w:tcW w:w="6663" w:type="dxa"/>
            <w:tcBorders>
              <w:right w:val="single" w:color="000000" w:sz="12" w:space="0"/>
            </w:tcBorders>
          </w:tcPr>
          <w:p>
            <w:pPr>
              <w:pStyle w:val="10"/>
              <w:spacing w:line="278" w:lineRule="auto"/>
              <w:ind w:left="108" w:right="-44"/>
              <w:rPr>
                <w:sz w:val="21"/>
              </w:rPr>
            </w:pPr>
            <w:r>
              <w:rPr>
                <w:spacing w:val="-2"/>
                <w:sz w:val="21"/>
              </w:rPr>
              <w:t>指起源于脑、脑神经、脑被膜的良性肿瘤，须经头颅断层扫描（CT）、</w:t>
            </w:r>
            <w:r>
              <w:rPr>
                <w:spacing w:val="-6"/>
                <w:sz w:val="21"/>
              </w:rPr>
              <w:t>核磁共振检查（MRI）或正电子发射断层扫描（PET）等影像学检查证实。</w:t>
            </w:r>
            <w:r>
              <w:rPr>
                <w:spacing w:val="-2"/>
                <w:sz w:val="21"/>
              </w:rPr>
              <w:t>但是肿瘤微小，未达到严重良性颅内肿瘤之“已经引起颅内压升高或神经系统功能损害”的要求。临床无颅内压升高证据，无视乳头水肿或视觉受损、听觉受损、面部或肢体瘫痪、癫痫发作等。被保险人必须接受了下列至少一项治疗：</w:t>
            </w:r>
          </w:p>
          <w:p>
            <w:pPr>
              <w:pStyle w:val="10"/>
              <w:numPr>
                <w:ilvl w:val="0"/>
                <w:numId w:val="117"/>
              </w:numPr>
              <w:tabs>
                <w:tab w:val="left" w:pos="638"/>
              </w:tabs>
              <w:spacing w:before="0" w:after="0" w:line="268" w:lineRule="exact"/>
              <w:ind w:left="637" w:right="0" w:hanging="530"/>
              <w:jc w:val="left"/>
              <w:rPr>
                <w:sz w:val="21"/>
              </w:rPr>
            </w:pPr>
            <w:r>
              <w:rPr>
                <w:spacing w:val="-3"/>
                <w:sz w:val="21"/>
              </w:rPr>
              <w:t>实际接受了开颅进行的颅内肿瘤完全或部分切除手术；</w:t>
            </w:r>
          </w:p>
          <w:p>
            <w:pPr>
              <w:pStyle w:val="10"/>
              <w:numPr>
                <w:ilvl w:val="0"/>
                <w:numId w:val="117"/>
              </w:numPr>
              <w:tabs>
                <w:tab w:val="left" w:pos="638"/>
              </w:tabs>
              <w:spacing w:before="43" w:after="0" w:line="278" w:lineRule="auto"/>
              <w:ind w:left="108" w:right="113" w:firstLine="0"/>
              <w:jc w:val="left"/>
              <w:rPr>
                <w:sz w:val="21"/>
              </w:rPr>
            </w:pPr>
            <w:r>
              <w:rPr>
                <w:spacing w:val="-2"/>
                <w:sz w:val="21"/>
              </w:rPr>
              <w:t>实际接受了针对颅内肿瘤的放射治疗，如γ刀、质子重离子治疗</w:t>
            </w:r>
            <w:r>
              <w:rPr>
                <w:spacing w:val="-6"/>
                <w:sz w:val="21"/>
              </w:rPr>
              <w:t>等。</w:t>
            </w:r>
          </w:p>
          <w:p>
            <w:pPr>
              <w:pStyle w:val="10"/>
              <w:spacing w:before="0"/>
              <w:ind w:left="108"/>
              <w:rPr>
                <w:rFonts w:ascii="黑体" w:eastAsia="黑体"/>
                <w:sz w:val="21"/>
              </w:rPr>
            </w:pPr>
            <w:r>
              <w:rPr>
                <w:rFonts w:ascii="黑体" w:eastAsia="黑体"/>
                <w:color w:val="000000"/>
                <w:spacing w:val="-3"/>
                <w:sz w:val="21"/>
                <w:shd w:val="clear" w:color="auto" w:fill="D9D9D9"/>
              </w:rPr>
              <w:t>下列疾病不在保障范围内：</w:t>
            </w:r>
          </w:p>
          <w:p>
            <w:pPr>
              <w:pStyle w:val="10"/>
              <w:numPr>
                <w:ilvl w:val="0"/>
                <w:numId w:val="118"/>
              </w:numPr>
              <w:tabs>
                <w:tab w:val="left" w:pos="638"/>
              </w:tabs>
              <w:spacing w:before="43" w:after="0" w:line="240" w:lineRule="auto"/>
              <w:ind w:left="637" w:right="0" w:hanging="530"/>
              <w:jc w:val="left"/>
              <w:rPr>
                <w:rFonts w:ascii="黑体" w:eastAsia="黑体"/>
                <w:sz w:val="21"/>
              </w:rPr>
            </w:pPr>
            <w:r>
              <w:rPr>
                <w:rFonts w:ascii="黑体" w:eastAsia="黑体"/>
                <w:color w:val="000000"/>
                <w:spacing w:val="-4"/>
                <w:sz w:val="21"/>
                <w:shd w:val="clear" w:color="auto" w:fill="D9D9D9"/>
              </w:rPr>
              <w:t>脑垂体瘤；</w:t>
            </w:r>
          </w:p>
          <w:p>
            <w:pPr>
              <w:pStyle w:val="10"/>
              <w:numPr>
                <w:ilvl w:val="0"/>
                <w:numId w:val="118"/>
              </w:numPr>
              <w:tabs>
                <w:tab w:val="left" w:pos="638"/>
              </w:tabs>
              <w:spacing w:before="43" w:after="0" w:line="240" w:lineRule="auto"/>
              <w:ind w:left="637" w:right="0" w:hanging="530"/>
              <w:jc w:val="left"/>
              <w:rPr>
                <w:rFonts w:ascii="黑体" w:eastAsia="黑体"/>
                <w:sz w:val="21"/>
              </w:rPr>
            </w:pPr>
            <w:r>
              <w:rPr>
                <w:rFonts w:ascii="黑体" w:eastAsia="黑体"/>
                <w:color w:val="000000"/>
                <w:spacing w:val="-4"/>
                <w:sz w:val="21"/>
                <w:shd w:val="clear" w:color="auto" w:fill="D9D9D9"/>
              </w:rPr>
              <w:t>脑囊肿；</w:t>
            </w:r>
          </w:p>
          <w:p>
            <w:pPr>
              <w:pStyle w:val="10"/>
              <w:numPr>
                <w:ilvl w:val="0"/>
                <w:numId w:val="118"/>
              </w:numPr>
              <w:tabs>
                <w:tab w:val="left" w:pos="639"/>
              </w:tabs>
              <w:spacing w:before="2" w:after="0" w:line="310" w:lineRule="atLeast"/>
              <w:ind w:left="108" w:right="74" w:firstLine="0"/>
              <w:jc w:val="left"/>
              <w:rPr>
                <w:rFonts w:ascii="黑体" w:eastAsia="黑体"/>
                <w:sz w:val="21"/>
              </w:rPr>
            </w:pPr>
            <w:r>
              <w:rPr>
                <w:rFonts w:ascii="黑体" w:eastAsia="黑体"/>
                <w:color w:val="000000"/>
                <w:spacing w:val="-2"/>
                <w:sz w:val="21"/>
                <w:shd w:val="clear" w:color="auto" w:fill="D9D9D9"/>
              </w:rPr>
              <w:t>颅内血管性疾病（如脑动脉瘤、脑动静脉畸形、海绵状血管瘤、</w:t>
            </w:r>
            <w:r>
              <w:rPr>
                <w:rFonts w:ascii="黑体" w:eastAsia="黑体"/>
                <w:color w:val="000000"/>
                <w:spacing w:val="12390"/>
                <w:sz w:val="21"/>
                <w:shd w:val="clear" w:color="auto" w:fill="D9D9D9"/>
              </w:rPr>
              <w:t xml:space="preserve"> </w:t>
            </w:r>
            <w:r>
              <w:rPr>
                <w:rFonts w:ascii="黑体" w:eastAsia="黑体"/>
                <w:color w:val="000000"/>
                <w:spacing w:val="-2"/>
                <w:sz w:val="21"/>
                <w:shd w:val="clear" w:color="auto" w:fill="D9D9D9"/>
              </w:rPr>
              <w:t>毛细血管扩张症等</w:t>
            </w:r>
            <w:r>
              <w:rPr>
                <w:rFonts w:ascii="黑体" w:eastAsia="黑体"/>
                <w:color w:val="000000"/>
                <w:spacing w:val="-108"/>
                <w:sz w:val="21"/>
                <w:shd w:val="clear" w:color="auto" w:fill="D9D9D9"/>
              </w:rPr>
              <w:t>）</w:t>
            </w:r>
            <w:r>
              <w:rPr>
                <w:rFonts w:ascii="黑体" w:eastAsia="黑体"/>
                <w:color w:val="000000"/>
                <w:spacing w:val="-2"/>
                <w:sz w:val="21"/>
                <w:shd w:val="clear" w:color="auto" w:fill="D9D9D9"/>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080" w:type="dxa"/>
            <w:tcBorders>
              <w:left w:val="single" w:color="000000" w:sz="12" w:space="0"/>
            </w:tcBorders>
          </w:tcPr>
          <w:p>
            <w:pPr>
              <w:pStyle w:val="10"/>
              <w:ind w:left="318" w:right="289"/>
              <w:jc w:val="center"/>
              <w:rPr>
                <w:sz w:val="21"/>
              </w:rPr>
            </w:pPr>
            <w:r>
              <w:rPr>
                <w:spacing w:val="-5"/>
                <w:sz w:val="21"/>
              </w:rPr>
              <w:t>17</w:t>
            </w:r>
          </w:p>
        </w:tc>
        <w:tc>
          <w:tcPr>
            <w:tcW w:w="2196" w:type="dxa"/>
          </w:tcPr>
          <w:p>
            <w:pPr>
              <w:pStyle w:val="10"/>
              <w:ind w:left="117"/>
              <w:rPr>
                <w:sz w:val="21"/>
              </w:rPr>
            </w:pPr>
            <w:r>
              <w:rPr>
                <w:spacing w:val="-4"/>
                <w:sz w:val="21"/>
              </w:rPr>
              <w:t>脑动脉瘤介入手术</w:t>
            </w:r>
          </w:p>
        </w:tc>
        <w:tc>
          <w:tcPr>
            <w:tcW w:w="6663" w:type="dxa"/>
            <w:tcBorders>
              <w:right w:val="single" w:color="000000" w:sz="12" w:space="0"/>
            </w:tcBorders>
          </w:tcPr>
          <w:p>
            <w:pPr>
              <w:pStyle w:val="10"/>
              <w:ind w:left="108"/>
              <w:rPr>
                <w:sz w:val="21"/>
              </w:rPr>
            </w:pPr>
            <w:r>
              <w:rPr>
                <w:spacing w:val="-8"/>
                <w:sz w:val="21"/>
              </w:rPr>
              <w:t>指被保险人被明确诊断为脑动脉瘤，并且实际接受了对脑动脉瘤进行的</w:t>
            </w:r>
          </w:p>
          <w:p>
            <w:pPr>
              <w:pStyle w:val="10"/>
              <w:spacing w:before="43"/>
              <w:ind w:left="108"/>
              <w:rPr>
                <w:sz w:val="21"/>
              </w:rPr>
            </w:pPr>
            <w:r>
              <w:rPr>
                <w:spacing w:val="-3"/>
                <w:sz w:val="21"/>
              </w:rPr>
              <w:t>介入栓塞手术治疗。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1080" w:type="dxa"/>
            <w:tcBorders>
              <w:left w:val="single" w:color="000000" w:sz="12" w:space="0"/>
            </w:tcBorders>
          </w:tcPr>
          <w:p>
            <w:pPr>
              <w:pStyle w:val="10"/>
              <w:ind w:left="318" w:right="289"/>
              <w:jc w:val="center"/>
              <w:rPr>
                <w:sz w:val="21"/>
              </w:rPr>
            </w:pPr>
            <w:r>
              <w:rPr>
                <w:spacing w:val="-5"/>
                <w:sz w:val="21"/>
              </w:rPr>
              <w:t>18</w:t>
            </w:r>
          </w:p>
        </w:tc>
        <w:tc>
          <w:tcPr>
            <w:tcW w:w="2196" w:type="dxa"/>
          </w:tcPr>
          <w:p>
            <w:pPr>
              <w:pStyle w:val="10"/>
              <w:ind w:left="117"/>
              <w:rPr>
                <w:sz w:val="21"/>
              </w:rPr>
            </w:pPr>
            <w:r>
              <w:rPr>
                <w:spacing w:val="-4"/>
                <w:sz w:val="21"/>
              </w:rPr>
              <w:t>颅内血肿清除术</w:t>
            </w:r>
          </w:p>
        </w:tc>
        <w:tc>
          <w:tcPr>
            <w:tcW w:w="6663" w:type="dxa"/>
            <w:tcBorders>
              <w:right w:val="single" w:color="000000" w:sz="12" w:space="0"/>
            </w:tcBorders>
          </w:tcPr>
          <w:p>
            <w:pPr>
              <w:pStyle w:val="10"/>
              <w:spacing w:line="278" w:lineRule="auto"/>
              <w:ind w:left="108" w:right="72"/>
              <w:rPr>
                <w:sz w:val="21"/>
              </w:rPr>
            </w:pPr>
            <w:r>
              <w:rPr>
                <w:spacing w:val="-2"/>
                <w:sz w:val="21"/>
              </w:rPr>
              <w:t>指因外伤性急性硬膜下血肿、硬膜外血肿或脑内血肿，被保险人实际接受了颅骨打孔血肿清除手术治疗。</w:t>
            </w:r>
          </w:p>
          <w:p>
            <w:pPr>
              <w:pStyle w:val="10"/>
              <w:spacing w:before="0" w:line="269" w:lineRule="exact"/>
              <w:ind w:left="108"/>
              <w:rPr>
                <w:rFonts w:ascii="黑体" w:eastAsia="黑体"/>
                <w:sz w:val="21"/>
              </w:rPr>
            </w:pPr>
            <w:r>
              <w:rPr>
                <w:rFonts w:ascii="黑体" w:eastAsia="黑体"/>
                <w:color w:val="000000"/>
                <w:spacing w:val="-9"/>
                <w:sz w:val="21"/>
                <w:shd w:val="clear" w:color="auto" w:fill="D9D9D9"/>
              </w:rPr>
              <w:t>微创颅内血肿穿刺针治疗，脑血管意外所致脑出血血肿清除术不在本保</w:t>
            </w:r>
          </w:p>
        </w:tc>
      </w:tr>
    </w:tbl>
    <w:p>
      <w:pPr>
        <w:spacing w:after="0" w:line="269" w:lineRule="exact"/>
        <w:rPr>
          <w:rFonts w:ascii="黑体" w:eastAsia="黑体"/>
          <w:sz w:val="21"/>
        </w:rPr>
        <w:sectPr>
          <w:type w:val="continuous"/>
          <w:pgSz w:w="11910" w:h="16840"/>
          <w:pgMar w:top="840" w:right="340" w:bottom="640" w:left="800" w:header="0" w:footer="457" w:gutter="0"/>
          <w:cols w:space="720" w:num="1"/>
        </w:sectPr>
      </w:pPr>
    </w:p>
    <w:tbl>
      <w:tblPr>
        <w:tblStyle w:val="6"/>
        <w:tblW w:w="0" w:type="auto"/>
        <w:tblInd w:w="22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80"/>
        <w:gridCol w:w="2196"/>
        <w:gridCol w:w="666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7" w:hRule="atLeast"/>
        </w:trPr>
        <w:tc>
          <w:tcPr>
            <w:tcW w:w="1080" w:type="dxa"/>
            <w:tcBorders>
              <w:left w:val="single" w:color="000000" w:sz="12" w:space="0"/>
            </w:tcBorders>
          </w:tcPr>
          <w:p>
            <w:pPr>
              <w:pStyle w:val="10"/>
              <w:spacing w:before="0"/>
              <w:ind w:left="0"/>
              <w:rPr>
                <w:rFonts w:ascii="Times New Roman"/>
                <w:sz w:val="20"/>
              </w:rPr>
            </w:pPr>
          </w:p>
        </w:tc>
        <w:tc>
          <w:tcPr>
            <w:tcW w:w="2196" w:type="dxa"/>
          </w:tcPr>
          <w:p>
            <w:pPr>
              <w:pStyle w:val="10"/>
              <w:spacing w:before="0"/>
              <w:ind w:left="0"/>
              <w:rPr>
                <w:rFonts w:ascii="Times New Roman"/>
                <w:sz w:val="20"/>
              </w:rPr>
            </w:pPr>
          </w:p>
        </w:tc>
        <w:tc>
          <w:tcPr>
            <w:tcW w:w="6663" w:type="dxa"/>
            <w:tcBorders>
              <w:right w:val="single" w:color="000000" w:sz="12" w:space="0"/>
            </w:tcBorders>
          </w:tcPr>
          <w:p>
            <w:pPr>
              <w:pStyle w:val="10"/>
              <w:ind w:left="108"/>
              <w:rPr>
                <w:rFonts w:ascii="黑体" w:eastAsia="黑体"/>
                <w:sz w:val="21"/>
              </w:rPr>
            </w:pPr>
            <w:r>
              <w:rPr>
                <w:rFonts w:ascii="黑体" w:eastAsia="黑体"/>
                <w:color w:val="000000"/>
                <w:spacing w:val="-4"/>
                <w:sz w:val="21"/>
                <w:shd w:val="clear" w:color="auto" w:fill="D9D9D9"/>
              </w:rPr>
              <w:t>障范围内。</w:t>
            </w:r>
          </w:p>
          <w:p>
            <w:pPr>
              <w:pStyle w:val="10"/>
              <w:spacing w:before="43" w:line="278" w:lineRule="auto"/>
              <w:ind w:left="108" w:right="72"/>
              <w:rPr>
                <w:rFonts w:ascii="黑体" w:hAnsi="黑体" w:eastAsia="黑体"/>
                <w:sz w:val="21"/>
              </w:rPr>
            </w:pPr>
            <w:r>
              <w:rPr>
                <w:rFonts w:ascii="黑体" w:hAnsi="黑体" w:eastAsia="黑体"/>
                <w:color w:val="000000"/>
                <w:spacing w:val="-14"/>
                <w:sz w:val="21"/>
                <w:shd w:val="clear" w:color="auto" w:fill="D9D9D9"/>
              </w:rPr>
              <w:t>我们仅对“颅内血肿清除术”、“ 脑外伤较轻后遗症”两项中的其中一</w:t>
            </w:r>
            <w:r>
              <w:rPr>
                <w:rFonts w:ascii="黑体" w:hAnsi="黑体" w:eastAsia="黑体"/>
                <w:color w:val="000000"/>
                <w:spacing w:val="80"/>
                <w:w w:val="150"/>
                <w:sz w:val="21"/>
                <w:shd w:val="clear" w:color="auto" w:fill="D9D9D9"/>
              </w:rPr>
              <w:t xml:space="preserve">                                   </w:t>
            </w:r>
            <w:r>
              <w:rPr>
                <w:rFonts w:ascii="黑体" w:hAnsi="黑体" w:eastAsia="黑体"/>
                <w:color w:val="000000"/>
                <w:spacing w:val="-5"/>
                <w:sz w:val="21"/>
                <w:shd w:val="clear" w:color="auto" w:fill="D9D9D9"/>
              </w:rPr>
              <w:t>项承担保险责任，给付其中一项保险金后，对其他一项疾病保险责任同</w:t>
            </w:r>
          </w:p>
          <w:p>
            <w:pPr>
              <w:pStyle w:val="10"/>
              <w:spacing w:before="0"/>
              <w:ind w:left="108"/>
              <w:rPr>
                <w:rFonts w:ascii="黑体" w:eastAsia="黑体"/>
                <w:sz w:val="21"/>
              </w:rPr>
            </w:pPr>
            <w:r>
              <w:rPr>
                <w:rFonts w:ascii="黑体" w:eastAsia="黑体"/>
                <w:color w:val="000000"/>
                <w:spacing w:val="-4"/>
                <w:sz w:val="21"/>
                <w:shd w:val="clear" w:color="auto" w:fill="D9D9D9"/>
              </w:rPr>
              <w:t>时终止。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83" w:hRule="atLeast"/>
        </w:trPr>
        <w:tc>
          <w:tcPr>
            <w:tcW w:w="1080" w:type="dxa"/>
            <w:tcBorders>
              <w:left w:val="single" w:color="000000" w:sz="12" w:space="0"/>
            </w:tcBorders>
          </w:tcPr>
          <w:p>
            <w:pPr>
              <w:pStyle w:val="10"/>
              <w:ind w:left="318" w:right="289"/>
              <w:jc w:val="center"/>
              <w:rPr>
                <w:sz w:val="21"/>
              </w:rPr>
            </w:pPr>
            <w:r>
              <w:rPr>
                <w:spacing w:val="-5"/>
                <w:sz w:val="21"/>
              </w:rPr>
              <w:t>19</w:t>
            </w:r>
          </w:p>
        </w:tc>
        <w:tc>
          <w:tcPr>
            <w:tcW w:w="2196" w:type="dxa"/>
          </w:tcPr>
          <w:p>
            <w:pPr>
              <w:pStyle w:val="10"/>
              <w:ind w:left="117"/>
              <w:rPr>
                <w:sz w:val="21"/>
              </w:rPr>
            </w:pPr>
            <w:r>
              <w:rPr>
                <w:spacing w:val="-4"/>
                <w:sz w:val="21"/>
              </w:rPr>
              <w:t>脑外伤较轻后遗症</w:t>
            </w:r>
          </w:p>
        </w:tc>
        <w:tc>
          <w:tcPr>
            <w:tcW w:w="6663" w:type="dxa"/>
            <w:tcBorders>
              <w:right w:val="single" w:color="000000" w:sz="12" w:space="0"/>
            </w:tcBorders>
          </w:tcPr>
          <w:p>
            <w:pPr>
              <w:pStyle w:val="10"/>
              <w:spacing w:line="278" w:lineRule="auto"/>
              <w:ind w:left="108" w:right="72"/>
              <w:jc w:val="both"/>
              <w:rPr>
                <w:sz w:val="21"/>
              </w:rPr>
            </w:pPr>
            <w:r>
              <w:rPr>
                <w:spacing w:val="-2"/>
                <w:sz w:val="21"/>
              </w:rPr>
              <w:t>指因头部遭受机械性外力，引起脑重要部位损伤，导致神经系统永久性的功能障碍。须由头颅断层扫描（CT）、核磁共振检查（MRI）或正电子发射断层扫描（PET）等影像学检查证实。神经系统永久性的功能障碍，指脑损伤180天后，仍遗留一肢（含）以上肢体肌力3级。</w:t>
            </w:r>
          </w:p>
          <w:p>
            <w:pPr>
              <w:pStyle w:val="10"/>
              <w:spacing w:before="0" w:line="269" w:lineRule="exact"/>
              <w:ind w:left="108"/>
              <w:rPr>
                <w:rFonts w:ascii="黑体" w:hAnsi="黑体" w:eastAsia="黑体"/>
                <w:sz w:val="21"/>
              </w:rPr>
            </w:pPr>
            <w:r>
              <w:rPr>
                <w:rFonts w:ascii="黑体" w:hAnsi="黑体" w:eastAsia="黑体"/>
                <w:color w:val="000000"/>
                <w:spacing w:val="-13"/>
                <w:sz w:val="21"/>
                <w:shd w:val="clear" w:color="auto" w:fill="D9D9D9"/>
              </w:rPr>
              <w:t>我们仅对“颅内血肿清除术”、“ 脑外伤较轻后遗症”两项中的其中一</w:t>
            </w:r>
          </w:p>
          <w:p>
            <w:pPr>
              <w:pStyle w:val="10"/>
              <w:spacing w:before="2" w:line="310" w:lineRule="atLeast"/>
              <w:ind w:left="108" w:right="72"/>
              <w:rPr>
                <w:rFonts w:ascii="黑体" w:eastAsia="黑体"/>
                <w:sz w:val="21"/>
              </w:rPr>
            </w:pPr>
            <w:r>
              <w:rPr>
                <w:rFonts w:ascii="黑体" w:eastAsia="黑体"/>
                <w:color w:val="000000"/>
                <w:spacing w:val="-2"/>
                <w:sz w:val="21"/>
                <w:shd w:val="clear" w:color="auto" w:fill="D9D9D9"/>
              </w:rPr>
              <w:t>项承担保险责任，给付其中一项保险金后，对其他一项疾病保险责任同</w:t>
            </w:r>
            <w:r>
              <w:rPr>
                <w:rFonts w:ascii="黑体" w:eastAsia="黑体"/>
                <w:color w:val="000000"/>
                <w:spacing w:val="80"/>
                <w:w w:val="150"/>
                <w:sz w:val="21"/>
                <w:shd w:val="clear" w:color="auto" w:fill="D9D9D9"/>
              </w:rPr>
              <w:t xml:space="preserve">                                   </w:t>
            </w:r>
            <w:r>
              <w:rPr>
                <w:rFonts w:ascii="黑体" w:eastAsia="黑体"/>
                <w:color w:val="000000"/>
                <w:spacing w:val="-4"/>
                <w:sz w:val="21"/>
                <w:shd w:val="clear" w:color="auto" w:fill="D9D9D9"/>
              </w:rPr>
              <w:t>时终止。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8" w:hRule="atLeast"/>
        </w:trPr>
        <w:tc>
          <w:tcPr>
            <w:tcW w:w="1080" w:type="dxa"/>
            <w:tcBorders>
              <w:left w:val="single" w:color="000000" w:sz="12" w:space="0"/>
            </w:tcBorders>
          </w:tcPr>
          <w:p>
            <w:pPr>
              <w:pStyle w:val="10"/>
              <w:ind w:left="318" w:right="289"/>
              <w:jc w:val="center"/>
              <w:rPr>
                <w:sz w:val="21"/>
              </w:rPr>
            </w:pPr>
            <w:r>
              <w:rPr>
                <w:spacing w:val="-5"/>
                <w:sz w:val="21"/>
              </w:rPr>
              <w:t>20</w:t>
            </w:r>
          </w:p>
        </w:tc>
        <w:tc>
          <w:tcPr>
            <w:tcW w:w="2196" w:type="dxa"/>
          </w:tcPr>
          <w:p>
            <w:pPr>
              <w:pStyle w:val="10"/>
              <w:spacing w:line="278" w:lineRule="auto"/>
              <w:ind w:left="117" w:right="85"/>
              <w:rPr>
                <w:sz w:val="21"/>
              </w:rPr>
            </w:pPr>
            <w:r>
              <w:rPr>
                <w:sz w:val="21"/>
              </w:rPr>
              <w:t>轻度全身性重症肌无</w:t>
            </w:r>
            <w:r>
              <w:rPr>
                <w:spacing w:val="-10"/>
                <w:sz w:val="21"/>
              </w:rPr>
              <w:t>力</w:t>
            </w:r>
          </w:p>
        </w:tc>
        <w:tc>
          <w:tcPr>
            <w:tcW w:w="6663" w:type="dxa"/>
            <w:tcBorders>
              <w:right w:val="single" w:color="000000" w:sz="12" w:space="0"/>
            </w:tcBorders>
          </w:tcPr>
          <w:p>
            <w:pPr>
              <w:pStyle w:val="10"/>
              <w:spacing w:line="278" w:lineRule="auto"/>
              <w:ind w:left="108" w:right="70"/>
              <w:jc w:val="both"/>
              <w:rPr>
                <w:sz w:val="21"/>
              </w:rPr>
            </w:pPr>
            <w:r>
              <w:rPr>
                <w:spacing w:val="-5"/>
                <w:sz w:val="21"/>
              </w:rPr>
              <w:t>重症肌无力是一种神经肌肉接头传递障碍所致的疾病，表现为局部或全</w:t>
            </w:r>
            <w:r>
              <w:rPr>
                <w:spacing w:val="-2"/>
                <w:sz w:val="21"/>
              </w:rPr>
              <w:t>身骨骼肌（特别是眼外肌）极易疲劳。疾病可以累及呼吸肌、上肢或下</w:t>
            </w:r>
            <w:r>
              <w:rPr>
                <w:spacing w:val="-9"/>
                <w:sz w:val="21"/>
              </w:rPr>
              <w:t>肢的近端肌群或全身肌肉。被保险人被明确诊断为全身性重症肌无力并</w:t>
            </w:r>
          </w:p>
          <w:p>
            <w:pPr>
              <w:pStyle w:val="10"/>
              <w:spacing w:before="0"/>
              <w:ind w:left="108"/>
              <w:rPr>
                <w:sz w:val="21"/>
              </w:rPr>
            </w:pPr>
            <w:r>
              <w:rPr>
                <w:spacing w:val="-3"/>
                <w:sz w:val="21"/>
              </w:rPr>
              <w:t>且实际接受了胸腺切除手术。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7" w:hRule="atLeast"/>
        </w:trPr>
        <w:tc>
          <w:tcPr>
            <w:tcW w:w="1080" w:type="dxa"/>
            <w:tcBorders>
              <w:left w:val="single" w:color="000000" w:sz="12" w:space="0"/>
            </w:tcBorders>
          </w:tcPr>
          <w:p>
            <w:pPr>
              <w:pStyle w:val="10"/>
              <w:ind w:left="318" w:right="289"/>
              <w:jc w:val="center"/>
              <w:rPr>
                <w:sz w:val="21"/>
              </w:rPr>
            </w:pPr>
            <w:r>
              <w:rPr>
                <w:spacing w:val="-5"/>
                <w:sz w:val="21"/>
              </w:rPr>
              <w:t>21</w:t>
            </w:r>
          </w:p>
        </w:tc>
        <w:tc>
          <w:tcPr>
            <w:tcW w:w="2196" w:type="dxa"/>
          </w:tcPr>
          <w:p>
            <w:pPr>
              <w:pStyle w:val="10"/>
              <w:ind w:left="117"/>
              <w:rPr>
                <w:sz w:val="21"/>
              </w:rPr>
            </w:pPr>
            <w:r>
              <w:rPr>
                <w:spacing w:val="-4"/>
                <w:sz w:val="21"/>
              </w:rPr>
              <w:t>轻度瘫痪</w:t>
            </w:r>
          </w:p>
        </w:tc>
        <w:tc>
          <w:tcPr>
            <w:tcW w:w="6663" w:type="dxa"/>
            <w:tcBorders>
              <w:right w:val="single" w:color="000000" w:sz="12" w:space="0"/>
            </w:tcBorders>
          </w:tcPr>
          <w:p>
            <w:pPr>
              <w:pStyle w:val="10"/>
              <w:spacing w:line="278" w:lineRule="auto"/>
              <w:ind w:left="108" w:right="72"/>
              <w:rPr>
                <w:sz w:val="21"/>
              </w:rPr>
            </w:pPr>
            <w:r>
              <w:rPr>
                <w:spacing w:val="1"/>
                <w:w w:val="100"/>
                <w:sz w:val="21"/>
              </w:rPr>
              <w:t>指因疾病或意外伤害导致两肢或两肢以上肢体随意运动功能永久完全</w:t>
            </w:r>
            <w:r>
              <w:rPr>
                <w:spacing w:val="-9"/>
                <w:w w:val="100"/>
                <w:sz w:val="21"/>
              </w:rPr>
              <w:t>丧失。肢体随意运动功能永久完全丧失，指疾病确诊</w:t>
            </w:r>
            <w:r>
              <w:rPr>
                <w:spacing w:val="-53"/>
                <w:sz w:val="21"/>
              </w:rPr>
              <w:t xml:space="preserve"> </w:t>
            </w:r>
            <w:r>
              <w:rPr>
                <w:w w:val="100"/>
                <w:sz w:val="21"/>
              </w:rPr>
              <w:t>180</w:t>
            </w:r>
            <w:r>
              <w:rPr>
                <w:spacing w:val="-54"/>
                <w:sz w:val="21"/>
              </w:rPr>
              <w:t xml:space="preserve"> </w:t>
            </w:r>
            <w:r>
              <w:rPr>
                <w:spacing w:val="-3"/>
                <w:w w:val="100"/>
                <w:sz w:val="21"/>
              </w:rPr>
              <w:t>天后或意外伤</w:t>
            </w:r>
          </w:p>
          <w:p>
            <w:pPr>
              <w:pStyle w:val="10"/>
              <w:spacing w:before="0" w:line="269" w:lineRule="exact"/>
              <w:ind w:left="108"/>
              <w:rPr>
                <w:sz w:val="21"/>
              </w:rPr>
            </w:pPr>
            <w:r>
              <w:rPr>
                <w:spacing w:val="-15"/>
                <w:sz w:val="21"/>
              </w:rPr>
              <w:t xml:space="preserve">害发生 </w:t>
            </w:r>
            <w:r>
              <w:rPr>
                <w:spacing w:val="-4"/>
                <w:sz w:val="21"/>
              </w:rPr>
              <w:t>180</w:t>
            </w:r>
            <w:r>
              <w:rPr>
                <w:spacing w:val="-11"/>
                <w:sz w:val="21"/>
              </w:rPr>
              <w:t xml:space="preserve"> 天后，每肢三大关节中的两大关节仍然完全僵硬，或不能随</w:t>
            </w:r>
          </w:p>
          <w:p>
            <w:pPr>
              <w:pStyle w:val="10"/>
              <w:spacing w:before="43"/>
              <w:ind w:left="108"/>
              <w:rPr>
                <w:sz w:val="21"/>
              </w:rPr>
            </w:pPr>
            <w:r>
              <w:rPr>
                <w:spacing w:val="-7"/>
                <w:sz w:val="21"/>
              </w:rPr>
              <w:t xml:space="preserve">意运动，或肢体肌力 </w:t>
            </w:r>
            <w:r>
              <w:rPr>
                <w:spacing w:val="-2"/>
                <w:sz w:val="21"/>
              </w:rPr>
              <w:t>3</w:t>
            </w:r>
            <w:r>
              <w:rPr>
                <w:spacing w:val="-21"/>
                <w:sz w:val="21"/>
              </w:rPr>
              <w:t xml:space="preserve"> 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08" w:hRule="atLeast"/>
        </w:trPr>
        <w:tc>
          <w:tcPr>
            <w:tcW w:w="1080" w:type="dxa"/>
            <w:tcBorders>
              <w:left w:val="single" w:color="000000" w:sz="12" w:space="0"/>
            </w:tcBorders>
          </w:tcPr>
          <w:p>
            <w:pPr>
              <w:pStyle w:val="10"/>
              <w:ind w:left="318" w:right="289"/>
              <w:jc w:val="center"/>
              <w:rPr>
                <w:sz w:val="21"/>
              </w:rPr>
            </w:pPr>
            <w:r>
              <w:rPr>
                <w:spacing w:val="-5"/>
                <w:sz w:val="21"/>
              </w:rPr>
              <w:t>22</w:t>
            </w:r>
          </w:p>
        </w:tc>
        <w:tc>
          <w:tcPr>
            <w:tcW w:w="2196" w:type="dxa"/>
          </w:tcPr>
          <w:p>
            <w:pPr>
              <w:pStyle w:val="10"/>
              <w:spacing w:line="278" w:lineRule="auto"/>
              <w:ind w:left="117" w:right="85"/>
              <w:rPr>
                <w:sz w:val="21"/>
              </w:rPr>
            </w:pPr>
            <w:r>
              <w:rPr>
                <w:sz w:val="21"/>
              </w:rPr>
              <w:t>结核性脑脊髓膜炎后</w:t>
            </w:r>
            <w:r>
              <w:rPr>
                <w:spacing w:val="-6"/>
                <w:sz w:val="21"/>
              </w:rPr>
              <w:t>遗症</w:t>
            </w:r>
          </w:p>
        </w:tc>
        <w:tc>
          <w:tcPr>
            <w:tcW w:w="6663" w:type="dxa"/>
            <w:tcBorders>
              <w:right w:val="single" w:color="000000" w:sz="12" w:space="0"/>
            </w:tcBorders>
          </w:tcPr>
          <w:p>
            <w:pPr>
              <w:pStyle w:val="10"/>
              <w:spacing w:line="278" w:lineRule="auto"/>
              <w:ind w:left="108" w:right="5"/>
              <w:jc w:val="both"/>
              <w:rPr>
                <w:sz w:val="21"/>
              </w:rPr>
            </w:pPr>
            <w:r>
              <w:rPr>
                <w:spacing w:val="-2"/>
                <w:sz w:val="21"/>
              </w:rPr>
              <w:t>指由于结核杆菌感染引起脑膜、脑实质、脊膜及脊髓的非化脓性炎症，引起显著颅内压升高和严重神经系统功能损害，表现为意识障碍、颅神经损害、瘫痪、癫痫等。被保险人必须被明确诊断为结核性脑膜炎，并且满足下列至少二项条件：</w:t>
            </w:r>
          </w:p>
          <w:p>
            <w:pPr>
              <w:pStyle w:val="10"/>
              <w:numPr>
                <w:ilvl w:val="0"/>
                <w:numId w:val="119"/>
              </w:numPr>
              <w:tabs>
                <w:tab w:val="left" w:pos="639"/>
              </w:tabs>
              <w:spacing w:before="0" w:after="0" w:line="278" w:lineRule="auto"/>
              <w:ind w:left="108" w:right="74" w:firstLine="0"/>
              <w:jc w:val="left"/>
              <w:rPr>
                <w:sz w:val="21"/>
              </w:rPr>
            </w:pPr>
            <w:r>
              <w:rPr>
                <w:spacing w:val="-2"/>
                <w:sz w:val="21"/>
              </w:rPr>
              <w:t>严重高颅压或脑积水，并且实际接受了外科减压性手术、脑脊液分流手术或外引流手术治疗；</w:t>
            </w:r>
          </w:p>
          <w:p>
            <w:pPr>
              <w:pStyle w:val="10"/>
              <w:numPr>
                <w:ilvl w:val="0"/>
                <w:numId w:val="119"/>
              </w:numPr>
              <w:tabs>
                <w:tab w:val="left" w:pos="638"/>
              </w:tabs>
              <w:spacing w:before="0" w:after="0" w:line="278" w:lineRule="auto"/>
              <w:ind w:left="108" w:right="70" w:firstLine="0"/>
              <w:jc w:val="left"/>
              <w:rPr>
                <w:sz w:val="21"/>
              </w:rPr>
            </w:pPr>
            <w:r>
              <w:rPr>
                <w:spacing w:val="-11"/>
                <w:sz w:val="21"/>
              </w:rPr>
              <w:t xml:space="preserve">在确诊 </w:t>
            </w:r>
            <w:r>
              <w:rPr>
                <w:sz w:val="21"/>
              </w:rPr>
              <w:t>180</w:t>
            </w:r>
            <w:r>
              <w:rPr>
                <w:spacing w:val="-9"/>
                <w:sz w:val="21"/>
              </w:rPr>
              <w:t xml:space="preserve"> 天后，仍有一肢体或多肢体瘫痪，肌力 </w:t>
            </w:r>
            <w:r>
              <w:rPr>
                <w:sz w:val="21"/>
              </w:rPr>
              <w:t>3</w:t>
            </w:r>
            <w:r>
              <w:rPr>
                <w:spacing w:val="-22"/>
                <w:sz w:val="21"/>
              </w:rPr>
              <w:t xml:space="preserve"> 级</w:t>
            </w:r>
            <w:r>
              <w:rPr>
                <w:sz w:val="21"/>
              </w:rPr>
              <w:t>（含）以</w:t>
            </w:r>
            <w:r>
              <w:rPr>
                <w:spacing w:val="-6"/>
                <w:sz w:val="21"/>
              </w:rPr>
              <w:t>下；</w:t>
            </w:r>
          </w:p>
          <w:p>
            <w:pPr>
              <w:pStyle w:val="10"/>
              <w:numPr>
                <w:ilvl w:val="0"/>
                <w:numId w:val="119"/>
              </w:numPr>
              <w:tabs>
                <w:tab w:val="left" w:pos="638"/>
              </w:tabs>
              <w:spacing w:before="0" w:after="0" w:line="269" w:lineRule="exact"/>
              <w:ind w:left="637" w:right="0" w:hanging="530"/>
              <w:jc w:val="left"/>
              <w:rPr>
                <w:sz w:val="21"/>
              </w:rPr>
            </w:pPr>
            <w:r>
              <w:rPr>
                <w:spacing w:val="-14"/>
                <w:sz w:val="21"/>
              </w:rPr>
              <w:t xml:space="preserve">在确诊 </w:t>
            </w:r>
            <w:r>
              <w:rPr>
                <w:spacing w:val="-2"/>
                <w:sz w:val="21"/>
              </w:rPr>
              <w:t>180</w:t>
            </w:r>
            <w:r>
              <w:rPr>
                <w:spacing w:val="-10"/>
                <w:sz w:val="21"/>
              </w:rPr>
              <w:t xml:space="preserve"> 天后，仍有斜视、面神经麻痹或视力下降。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7" w:hRule="atLeast"/>
        </w:trPr>
        <w:tc>
          <w:tcPr>
            <w:tcW w:w="1080" w:type="dxa"/>
            <w:tcBorders>
              <w:left w:val="single" w:color="000000" w:sz="12" w:space="0"/>
            </w:tcBorders>
          </w:tcPr>
          <w:p>
            <w:pPr>
              <w:pStyle w:val="10"/>
              <w:spacing w:before="18"/>
              <w:ind w:left="318" w:right="289"/>
              <w:jc w:val="center"/>
              <w:rPr>
                <w:sz w:val="21"/>
              </w:rPr>
            </w:pPr>
            <w:r>
              <w:rPr>
                <w:spacing w:val="-5"/>
                <w:sz w:val="21"/>
              </w:rPr>
              <w:t>23</w:t>
            </w:r>
          </w:p>
        </w:tc>
        <w:tc>
          <w:tcPr>
            <w:tcW w:w="2196" w:type="dxa"/>
          </w:tcPr>
          <w:p>
            <w:pPr>
              <w:pStyle w:val="10"/>
              <w:spacing w:before="18" w:line="278" w:lineRule="auto"/>
              <w:ind w:left="117" w:right="85"/>
              <w:rPr>
                <w:sz w:val="21"/>
              </w:rPr>
            </w:pPr>
            <w:r>
              <w:rPr>
                <w:sz w:val="21"/>
              </w:rPr>
              <w:t>脊髓灰质炎轻度后遗</w:t>
            </w:r>
            <w:r>
              <w:rPr>
                <w:spacing w:val="-10"/>
                <w:sz w:val="21"/>
              </w:rPr>
              <w:t>症</w:t>
            </w:r>
          </w:p>
        </w:tc>
        <w:tc>
          <w:tcPr>
            <w:tcW w:w="6663" w:type="dxa"/>
            <w:tcBorders>
              <w:right w:val="single" w:color="000000" w:sz="12" w:space="0"/>
            </w:tcBorders>
          </w:tcPr>
          <w:p>
            <w:pPr>
              <w:pStyle w:val="10"/>
              <w:spacing w:before="18" w:line="278" w:lineRule="auto"/>
              <w:ind w:left="108" w:right="70"/>
              <w:rPr>
                <w:sz w:val="21"/>
              </w:rPr>
            </w:pPr>
            <w:r>
              <w:rPr>
                <w:spacing w:val="-5"/>
                <w:sz w:val="21"/>
              </w:rPr>
              <w:t>脊髓灰质炎是由于脊髓灰质炎病毒感染所致的瘫痪性疾病，临床表现为运动功能损害或呼吸无力。脊髓灰质炎必须明确诊断，并且造成被保险</w:t>
            </w:r>
          </w:p>
          <w:p>
            <w:pPr>
              <w:pStyle w:val="10"/>
              <w:spacing w:before="0" w:line="269" w:lineRule="exact"/>
              <w:ind w:left="108"/>
              <w:rPr>
                <w:sz w:val="21"/>
              </w:rPr>
            </w:pPr>
            <w:r>
              <w:rPr>
                <w:spacing w:val="-3"/>
                <w:sz w:val="21"/>
              </w:rPr>
              <w:t>人任何肢体任何程度的永久不可逆性瘫痪。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6" w:hRule="atLeast"/>
        </w:trPr>
        <w:tc>
          <w:tcPr>
            <w:tcW w:w="1080" w:type="dxa"/>
            <w:tcBorders>
              <w:left w:val="single" w:color="000000" w:sz="12" w:space="0"/>
            </w:tcBorders>
          </w:tcPr>
          <w:p>
            <w:pPr>
              <w:pStyle w:val="10"/>
              <w:ind w:left="318" w:right="289"/>
              <w:jc w:val="center"/>
              <w:rPr>
                <w:sz w:val="21"/>
              </w:rPr>
            </w:pPr>
            <w:r>
              <w:rPr>
                <w:spacing w:val="-5"/>
                <w:sz w:val="21"/>
              </w:rPr>
              <w:t>24</w:t>
            </w:r>
          </w:p>
        </w:tc>
        <w:tc>
          <w:tcPr>
            <w:tcW w:w="2196" w:type="dxa"/>
          </w:tcPr>
          <w:p>
            <w:pPr>
              <w:pStyle w:val="10"/>
              <w:spacing w:line="278" w:lineRule="auto"/>
              <w:ind w:left="117" w:right="85"/>
              <w:rPr>
                <w:sz w:val="21"/>
              </w:rPr>
            </w:pPr>
            <w:r>
              <w:rPr>
                <w:sz w:val="21"/>
              </w:rPr>
              <w:t>急性肾衰竭血液透析</w:t>
            </w:r>
            <w:r>
              <w:rPr>
                <w:spacing w:val="-6"/>
                <w:sz w:val="21"/>
              </w:rPr>
              <w:t>治疗</w:t>
            </w:r>
          </w:p>
        </w:tc>
        <w:tc>
          <w:tcPr>
            <w:tcW w:w="6663" w:type="dxa"/>
            <w:tcBorders>
              <w:right w:val="single" w:color="000000" w:sz="12" w:space="0"/>
            </w:tcBorders>
          </w:tcPr>
          <w:p>
            <w:pPr>
              <w:pStyle w:val="10"/>
              <w:spacing w:line="278" w:lineRule="auto"/>
              <w:ind w:left="108" w:right="5"/>
              <w:rPr>
                <w:sz w:val="21"/>
              </w:rPr>
            </w:pPr>
            <w:r>
              <w:rPr>
                <w:spacing w:val="-4"/>
                <w:sz w:val="21"/>
              </w:rPr>
              <w:t>指各种病因引起急性肾损伤</w:t>
            </w:r>
            <w:r>
              <w:rPr>
                <w:spacing w:val="14"/>
                <w:sz w:val="21"/>
              </w:rPr>
              <w:t>（A</w:t>
            </w:r>
            <w:r>
              <w:rPr>
                <w:spacing w:val="11"/>
                <w:sz w:val="21"/>
              </w:rPr>
              <w:t>K</w:t>
            </w:r>
            <w:r>
              <w:rPr>
                <w:spacing w:val="13"/>
                <w:sz w:val="21"/>
              </w:rPr>
              <w:t>I</w:t>
            </w:r>
            <w:r>
              <w:rPr>
                <w:spacing w:val="-92"/>
                <w:sz w:val="21"/>
              </w:rPr>
              <w:t>）</w:t>
            </w:r>
            <w:r>
              <w:rPr>
                <w:spacing w:val="-4"/>
                <w:sz w:val="21"/>
              </w:rPr>
              <w:t>，肾功能在短期内（数小时或数周）</w:t>
            </w:r>
            <w:r>
              <w:rPr>
                <w:spacing w:val="-2"/>
                <w:sz w:val="21"/>
              </w:rPr>
              <w:t>急剧进行性下降出现急性肾衰竭（ARF）导致体内氮质产物潴留而出现</w:t>
            </w:r>
            <w:r>
              <w:rPr>
                <w:spacing w:val="-10"/>
                <w:sz w:val="21"/>
              </w:rPr>
              <w:t>的临床综合征。被保险人被明确诊断为急性肾衰竭并且满足下列所有条</w:t>
            </w:r>
            <w:r>
              <w:rPr>
                <w:spacing w:val="-6"/>
                <w:sz w:val="21"/>
              </w:rPr>
              <w:t>件：</w:t>
            </w:r>
          </w:p>
          <w:p>
            <w:pPr>
              <w:pStyle w:val="10"/>
              <w:numPr>
                <w:ilvl w:val="0"/>
                <w:numId w:val="120"/>
              </w:numPr>
              <w:tabs>
                <w:tab w:val="left" w:pos="638"/>
              </w:tabs>
              <w:spacing w:before="0" w:after="0" w:line="240" w:lineRule="auto"/>
              <w:ind w:left="637" w:right="0" w:hanging="530"/>
              <w:jc w:val="left"/>
              <w:rPr>
                <w:sz w:val="21"/>
              </w:rPr>
            </w:pPr>
            <w:r>
              <w:rPr>
                <w:spacing w:val="-11"/>
                <w:sz w:val="21"/>
              </w:rPr>
              <w:t xml:space="preserve">少尿或无尿 </w:t>
            </w:r>
            <w:r>
              <w:rPr>
                <w:spacing w:val="-2"/>
                <w:sz w:val="21"/>
              </w:rPr>
              <w:t>2</w:t>
            </w:r>
            <w:r>
              <w:rPr>
                <w:spacing w:val="-14"/>
                <w:sz w:val="21"/>
              </w:rPr>
              <w:t xml:space="preserve"> 天以上；</w:t>
            </w:r>
          </w:p>
          <w:p>
            <w:pPr>
              <w:pStyle w:val="10"/>
              <w:numPr>
                <w:ilvl w:val="0"/>
                <w:numId w:val="120"/>
              </w:numPr>
              <w:tabs>
                <w:tab w:val="left" w:pos="638"/>
              </w:tabs>
              <w:spacing w:before="43" w:after="0" w:line="240" w:lineRule="auto"/>
              <w:ind w:left="637" w:right="0" w:hanging="530"/>
              <w:jc w:val="left"/>
              <w:rPr>
                <w:sz w:val="21"/>
              </w:rPr>
            </w:pPr>
            <w:r>
              <w:rPr>
                <w:sz w:val="21"/>
              </w:rPr>
              <w:t>血肌酐（Scr）</w:t>
            </w:r>
            <w:r>
              <w:rPr>
                <w:spacing w:val="-6"/>
                <w:sz w:val="21"/>
              </w:rPr>
              <w:t xml:space="preserve"> &gt; </w:t>
            </w:r>
            <w:r>
              <w:rPr>
                <w:sz w:val="21"/>
              </w:rPr>
              <w:t>5mg/dl</w:t>
            </w:r>
            <w:r>
              <w:rPr>
                <w:spacing w:val="-28"/>
                <w:sz w:val="21"/>
              </w:rPr>
              <w:t xml:space="preserve"> 或</w:t>
            </w:r>
            <w:r>
              <w:rPr>
                <w:spacing w:val="-2"/>
                <w:sz w:val="21"/>
              </w:rPr>
              <w:t>&gt;442umol/L；</w:t>
            </w:r>
          </w:p>
          <w:p>
            <w:pPr>
              <w:pStyle w:val="10"/>
              <w:numPr>
                <w:ilvl w:val="0"/>
                <w:numId w:val="120"/>
              </w:numPr>
              <w:tabs>
                <w:tab w:val="left" w:pos="638"/>
              </w:tabs>
              <w:spacing w:before="43" w:after="0" w:line="240" w:lineRule="auto"/>
              <w:ind w:left="637" w:right="0" w:hanging="530"/>
              <w:jc w:val="left"/>
              <w:rPr>
                <w:sz w:val="21"/>
              </w:rPr>
            </w:pPr>
            <w:r>
              <w:rPr>
                <w:spacing w:val="-1"/>
                <w:sz w:val="21"/>
              </w:rPr>
              <w:t xml:space="preserve">血钾 &gt; </w:t>
            </w:r>
            <w:r>
              <w:rPr>
                <w:spacing w:val="-2"/>
                <w:sz w:val="21"/>
              </w:rPr>
              <w:t>6.5mmol/L;</w:t>
            </w:r>
          </w:p>
          <w:p>
            <w:pPr>
              <w:pStyle w:val="10"/>
              <w:numPr>
                <w:ilvl w:val="0"/>
                <w:numId w:val="120"/>
              </w:numPr>
              <w:tabs>
                <w:tab w:val="left" w:pos="638"/>
              </w:tabs>
              <w:spacing w:before="43" w:after="0" w:line="240" w:lineRule="auto"/>
              <w:ind w:left="637" w:right="0" w:hanging="530"/>
              <w:jc w:val="left"/>
              <w:rPr>
                <w:sz w:val="21"/>
              </w:rPr>
            </w:pPr>
            <w:r>
              <w:rPr>
                <w:spacing w:val="-3"/>
                <w:sz w:val="21"/>
              </w:rPr>
              <w:t>接受了血液透析治疗。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83" w:hRule="atLeast"/>
        </w:trPr>
        <w:tc>
          <w:tcPr>
            <w:tcW w:w="1080" w:type="dxa"/>
            <w:tcBorders>
              <w:left w:val="single" w:color="000000" w:sz="12" w:space="0"/>
            </w:tcBorders>
          </w:tcPr>
          <w:p>
            <w:pPr>
              <w:pStyle w:val="10"/>
              <w:ind w:left="318" w:right="289"/>
              <w:jc w:val="center"/>
              <w:rPr>
                <w:sz w:val="21"/>
              </w:rPr>
            </w:pPr>
            <w:r>
              <w:rPr>
                <w:spacing w:val="-5"/>
                <w:sz w:val="21"/>
              </w:rPr>
              <w:t>25</w:t>
            </w:r>
          </w:p>
        </w:tc>
        <w:tc>
          <w:tcPr>
            <w:tcW w:w="2196" w:type="dxa"/>
          </w:tcPr>
          <w:p>
            <w:pPr>
              <w:pStyle w:val="10"/>
              <w:spacing w:line="278" w:lineRule="auto"/>
              <w:ind w:left="117" w:right="85"/>
              <w:rPr>
                <w:sz w:val="21"/>
              </w:rPr>
            </w:pPr>
            <w:r>
              <w:rPr>
                <w:sz w:val="21"/>
              </w:rPr>
              <w:t>较轻弥漫性系统性硬</w:t>
            </w:r>
            <w:r>
              <w:rPr>
                <w:spacing w:val="-6"/>
                <w:sz w:val="21"/>
              </w:rPr>
              <w:t>皮病</w:t>
            </w:r>
          </w:p>
        </w:tc>
        <w:tc>
          <w:tcPr>
            <w:tcW w:w="6663" w:type="dxa"/>
            <w:tcBorders>
              <w:right w:val="single" w:color="000000" w:sz="12" w:space="0"/>
            </w:tcBorders>
          </w:tcPr>
          <w:p>
            <w:pPr>
              <w:pStyle w:val="10"/>
              <w:spacing w:line="278" w:lineRule="auto"/>
              <w:ind w:left="108" w:right="72"/>
              <w:jc w:val="both"/>
              <w:rPr>
                <w:sz w:val="21"/>
              </w:rPr>
            </w:pPr>
            <w:r>
              <w:rPr>
                <w:spacing w:val="-6"/>
                <w:sz w:val="21"/>
              </w:rPr>
              <w:t>一种系统性胶原血管病引起进行性的皮肤、血管和内脏器官的弥漫性纤</w:t>
            </w:r>
            <w:r>
              <w:rPr>
                <w:spacing w:val="-11"/>
                <w:sz w:val="21"/>
              </w:rPr>
              <w:t>维化。诊断必须明确并由活检和血清学证据支持并且疾病已经影响到心</w:t>
            </w:r>
            <w:r>
              <w:rPr>
                <w:spacing w:val="-2"/>
                <w:sz w:val="21"/>
              </w:rPr>
              <w:t>脏、肺或肾脏等内脏器官并且达到下列标准之一。</w:t>
            </w:r>
          </w:p>
          <w:p>
            <w:pPr>
              <w:pStyle w:val="10"/>
              <w:numPr>
                <w:ilvl w:val="0"/>
                <w:numId w:val="121"/>
              </w:numPr>
              <w:tabs>
                <w:tab w:val="left" w:pos="639"/>
              </w:tabs>
              <w:spacing w:before="0" w:after="0" w:line="278" w:lineRule="auto"/>
              <w:ind w:left="108" w:right="74" w:firstLine="0"/>
              <w:jc w:val="both"/>
              <w:rPr>
                <w:sz w:val="21"/>
              </w:rPr>
            </w:pPr>
            <w:r>
              <w:rPr>
                <w:spacing w:val="-2"/>
                <w:sz w:val="21"/>
              </w:rPr>
              <w:t>肺纤维化，已经出现肺动脉高压、且静息状态下肺动脉平均压超</w:t>
            </w:r>
            <w:r>
              <w:rPr>
                <w:spacing w:val="-21"/>
                <w:sz w:val="21"/>
              </w:rPr>
              <w:t xml:space="preserve">过 </w:t>
            </w:r>
            <w:r>
              <w:rPr>
                <w:sz w:val="21"/>
              </w:rPr>
              <w:t>30mmHg；</w:t>
            </w:r>
          </w:p>
          <w:p>
            <w:pPr>
              <w:pStyle w:val="10"/>
              <w:numPr>
                <w:ilvl w:val="0"/>
                <w:numId w:val="121"/>
              </w:numPr>
              <w:tabs>
                <w:tab w:val="left" w:pos="639"/>
              </w:tabs>
              <w:spacing w:before="0" w:after="0" w:line="269" w:lineRule="exact"/>
              <w:ind w:left="638" w:right="0" w:hanging="531"/>
              <w:jc w:val="left"/>
              <w:rPr>
                <w:sz w:val="21"/>
              </w:rPr>
            </w:pPr>
            <w:r>
              <w:rPr>
                <w:spacing w:val="-1"/>
                <w:sz w:val="21"/>
              </w:rPr>
              <w:t>心脏损害，心脏功能衰竭程度达到纽约心脏病学会的心功能分级</w:t>
            </w:r>
          </w:p>
          <w:p>
            <w:pPr>
              <w:pStyle w:val="10"/>
              <w:spacing w:before="43"/>
              <w:ind w:left="108"/>
              <w:rPr>
                <w:sz w:val="21"/>
              </w:rPr>
            </w:pPr>
            <w:r>
              <w:rPr>
                <w:spacing w:val="-10"/>
                <w:sz w:val="21"/>
              </w:rPr>
              <w:t xml:space="preserve">标准之心功能 </w:t>
            </w:r>
            <w:r>
              <w:rPr>
                <w:spacing w:val="-2"/>
                <w:sz w:val="21"/>
              </w:rPr>
              <w:t>II</w:t>
            </w:r>
            <w:r>
              <w:rPr>
                <w:spacing w:val="-21"/>
                <w:sz w:val="21"/>
              </w:rPr>
              <w:t xml:space="preserve"> 级；</w:t>
            </w:r>
          </w:p>
        </w:tc>
      </w:tr>
    </w:tbl>
    <w:p>
      <w:pPr>
        <w:spacing w:after="0"/>
        <w:rPr>
          <w:sz w:val="21"/>
        </w:rPr>
        <w:sectPr>
          <w:type w:val="continuous"/>
          <w:pgSz w:w="11910" w:h="16840"/>
          <w:pgMar w:top="840" w:right="340" w:bottom="640" w:left="800" w:header="0" w:footer="457" w:gutter="0"/>
          <w:cols w:space="720" w:num="1"/>
        </w:sectPr>
      </w:pPr>
    </w:p>
    <w:tbl>
      <w:tblPr>
        <w:tblStyle w:val="6"/>
        <w:tblW w:w="0" w:type="auto"/>
        <w:tblInd w:w="22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80"/>
        <w:gridCol w:w="2196"/>
        <w:gridCol w:w="666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0" w:hRule="atLeast"/>
        </w:trPr>
        <w:tc>
          <w:tcPr>
            <w:tcW w:w="1080" w:type="dxa"/>
            <w:tcBorders>
              <w:left w:val="single" w:color="000000" w:sz="12" w:space="0"/>
            </w:tcBorders>
          </w:tcPr>
          <w:p>
            <w:pPr>
              <w:pStyle w:val="10"/>
              <w:spacing w:before="0"/>
              <w:ind w:left="0"/>
              <w:rPr>
                <w:rFonts w:ascii="Times New Roman"/>
                <w:sz w:val="20"/>
              </w:rPr>
            </w:pPr>
          </w:p>
        </w:tc>
        <w:tc>
          <w:tcPr>
            <w:tcW w:w="2196" w:type="dxa"/>
          </w:tcPr>
          <w:p>
            <w:pPr>
              <w:pStyle w:val="10"/>
              <w:spacing w:before="0"/>
              <w:ind w:left="0"/>
              <w:rPr>
                <w:rFonts w:ascii="Times New Roman"/>
                <w:sz w:val="20"/>
              </w:rPr>
            </w:pPr>
          </w:p>
        </w:tc>
        <w:tc>
          <w:tcPr>
            <w:tcW w:w="6663" w:type="dxa"/>
            <w:tcBorders>
              <w:right w:val="single" w:color="000000" w:sz="12" w:space="0"/>
            </w:tcBorders>
          </w:tcPr>
          <w:p>
            <w:pPr>
              <w:pStyle w:val="10"/>
              <w:spacing w:before="6"/>
              <w:ind w:left="108" w:right="-44"/>
              <w:rPr>
                <w:sz w:val="21"/>
              </w:rPr>
            </w:pPr>
            <w:r>
              <w:rPr>
                <w:spacing w:val="-6"/>
                <w:sz w:val="21"/>
              </w:rPr>
              <w:t>（3）肾脏损害，已经出现肾功能衰竭，肾小球滤过率&lt;45ml/min/1.73</w:t>
            </w:r>
            <w:r>
              <w:rPr>
                <w:spacing w:val="-6"/>
                <w:position w:val="11"/>
                <w:sz w:val="11"/>
              </w:rPr>
              <w:t>2</w:t>
            </w:r>
            <w:r>
              <w:rPr>
                <w:spacing w:val="-10"/>
                <w:sz w:val="21"/>
              </w:rPr>
              <w:t>。</w:t>
            </w:r>
          </w:p>
          <w:p>
            <w:pPr>
              <w:pStyle w:val="10"/>
              <w:spacing w:before="43" w:line="278" w:lineRule="auto"/>
              <w:ind w:left="108" w:right="4893"/>
              <w:rPr>
                <w:rFonts w:ascii="黑体" w:eastAsia="黑体"/>
                <w:sz w:val="21"/>
              </w:rPr>
            </w:pPr>
            <w:r>
              <w:rPr>
                <w:rFonts w:ascii="黑体" w:eastAsia="黑体"/>
                <w:color w:val="000000"/>
                <w:spacing w:val="-2"/>
                <w:sz w:val="21"/>
                <w:shd w:val="clear" w:color="auto" w:fill="D9D9D9"/>
              </w:rPr>
              <w:t>下列疾病除外：</w:t>
            </w:r>
            <w:r>
              <w:rPr>
                <w:rFonts w:ascii="黑体" w:eastAsia="黑体"/>
                <w:color w:val="000000"/>
                <w:spacing w:val="-2"/>
                <w:sz w:val="21"/>
              </w:rPr>
              <w:t xml:space="preserve"> </w:t>
            </w:r>
            <w:r>
              <w:rPr>
                <w:rFonts w:ascii="黑体" w:eastAsia="黑体"/>
                <w:color w:val="000000"/>
                <w:spacing w:val="-2"/>
                <w:sz w:val="21"/>
                <w:shd w:val="clear" w:color="auto" w:fill="D9D9D9"/>
              </w:rPr>
              <w:t>1.</w:t>
            </w:r>
            <w:r>
              <w:rPr>
                <w:rFonts w:ascii="黑体" w:eastAsia="黑体"/>
                <w:color w:val="000000"/>
                <w:spacing w:val="-4"/>
                <w:sz w:val="21"/>
                <w:shd w:val="clear" w:color="auto" w:fill="D9D9D9"/>
              </w:rPr>
              <w:t>局限硬皮病；</w:t>
            </w:r>
          </w:p>
          <w:p>
            <w:pPr>
              <w:pStyle w:val="10"/>
              <w:numPr>
                <w:ilvl w:val="0"/>
                <w:numId w:val="122"/>
              </w:numPr>
              <w:tabs>
                <w:tab w:val="left" w:pos="321"/>
              </w:tabs>
              <w:spacing w:before="0" w:after="0" w:line="240" w:lineRule="auto"/>
              <w:ind w:left="320" w:right="0" w:hanging="213"/>
              <w:jc w:val="left"/>
              <w:rPr>
                <w:rFonts w:ascii="黑体" w:eastAsia="黑体"/>
                <w:sz w:val="21"/>
              </w:rPr>
            </w:pPr>
            <w:r>
              <w:rPr>
                <w:rFonts w:ascii="黑体" w:eastAsia="黑体"/>
                <w:color w:val="000000"/>
                <w:spacing w:val="-4"/>
                <w:sz w:val="21"/>
                <w:shd w:val="clear" w:color="auto" w:fill="D9D9D9"/>
              </w:rPr>
              <w:t>嗜酸细胞筋膜炎；</w:t>
            </w:r>
          </w:p>
          <w:p>
            <w:pPr>
              <w:pStyle w:val="10"/>
              <w:numPr>
                <w:ilvl w:val="0"/>
                <w:numId w:val="122"/>
              </w:numPr>
              <w:tabs>
                <w:tab w:val="left" w:pos="321"/>
              </w:tabs>
              <w:spacing w:before="43" w:after="0" w:line="240" w:lineRule="auto"/>
              <w:ind w:left="320" w:right="0" w:hanging="213"/>
              <w:jc w:val="left"/>
              <w:rPr>
                <w:rFonts w:ascii="黑体" w:eastAsia="黑体"/>
                <w:sz w:val="21"/>
              </w:rPr>
            </w:pPr>
            <w:r>
              <w:rPr>
                <w:rFonts w:ascii="黑体" w:eastAsia="黑体"/>
                <w:color w:val="000000"/>
                <w:spacing w:val="-2"/>
                <w:sz w:val="21"/>
                <w:shd w:val="clear" w:color="auto" w:fill="D9D9D9"/>
              </w:rPr>
              <w:t>CREST</w:t>
            </w:r>
            <w:r>
              <w:rPr>
                <w:rFonts w:ascii="黑体" w:eastAsia="黑体"/>
                <w:color w:val="000000"/>
                <w:spacing w:val="-14"/>
                <w:sz w:val="21"/>
                <w:shd w:val="clear" w:color="auto" w:fill="D9D9D9"/>
              </w:rPr>
              <w:t xml:space="preserve"> 综合征。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5" w:hRule="atLeast"/>
        </w:trPr>
        <w:tc>
          <w:tcPr>
            <w:tcW w:w="1080" w:type="dxa"/>
            <w:tcBorders>
              <w:left w:val="single" w:color="000000" w:sz="12" w:space="0"/>
            </w:tcBorders>
          </w:tcPr>
          <w:p>
            <w:pPr>
              <w:pStyle w:val="10"/>
              <w:ind w:left="318" w:right="289"/>
              <w:jc w:val="center"/>
              <w:rPr>
                <w:sz w:val="21"/>
              </w:rPr>
            </w:pPr>
            <w:r>
              <w:rPr>
                <w:spacing w:val="-5"/>
                <w:sz w:val="21"/>
              </w:rPr>
              <w:t>26</w:t>
            </w:r>
          </w:p>
        </w:tc>
        <w:tc>
          <w:tcPr>
            <w:tcW w:w="2196" w:type="dxa"/>
          </w:tcPr>
          <w:p>
            <w:pPr>
              <w:pStyle w:val="10"/>
              <w:spacing w:line="278" w:lineRule="auto"/>
              <w:ind w:left="117" w:right="84"/>
              <w:rPr>
                <w:sz w:val="21"/>
              </w:rPr>
            </w:pPr>
            <w:r>
              <w:rPr>
                <w:sz w:val="21"/>
              </w:rPr>
              <w:t>非重型再生障碍性贫</w:t>
            </w:r>
            <w:r>
              <w:rPr>
                <w:spacing w:val="-10"/>
                <w:sz w:val="21"/>
              </w:rPr>
              <w:t>血</w:t>
            </w:r>
          </w:p>
        </w:tc>
        <w:tc>
          <w:tcPr>
            <w:tcW w:w="6663" w:type="dxa"/>
            <w:tcBorders>
              <w:right w:val="single" w:color="000000" w:sz="12" w:space="0"/>
            </w:tcBorders>
          </w:tcPr>
          <w:p>
            <w:pPr>
              <w:pStyle w:val="10"/>
              <w:spacing w:line="278" w:lineRule="auto"/>
              <w:ind w:left="108" w:right="72"/>
              <w:jc w:val="both"/>
              <w:rPr>
                <w:sz w:val="21"/>
              </w:rPr>
            </w:pPr>
            <w:r>
              <w:rPr>
                <w:spacing w:val="-5"/>
                <w:sz w:val="21"/>
              </w:rPr>
              <w:t>指因骨髓造血功能慢性持续性衰竭导致的贫血、中性粒细胞减少及血小</w:t>
            </w:r>
            <w:r>
              <w:rPr>
                <w:spacing w:val="-2"/>
                <w:sz w:val="21"/>
              </w:rPr>
              <w:t>板减少。被保险人被明确诊断为再生障碍性贫血，但未达到重型再生障碍性贫血，须满足下列全部条件：</w:t>
            </w:r>
          </w:p>
          <w:p>
            <w:pPr>
              <w:pStyle w:val="10"/>
              <w:numPr>
                <w:ilvl w:val="0"/>
                <w:numId w:val="123"/>
              </w:numPr>
              <w:tabs>
                <w:tab w:val="left" w:pos="638"/>
              </w:tabs>
              <w:spacing w:before="0" w:after="0" w:line="269" w:lineRule="exact"/>
              <w:ind w:left="637" w:right="0" w:hanging="530"/>
              <w:jc w:val="left"/>
              <w:rPr>
                <w:sz w:val="21"/>
              </w:rPr>
            </w:pPr>
            <w:r>
              <w:rPr>
                <w:spacing w:val="-3"/>
                <w:sz w:val="21"/>
              </w:rPr>
              <w:t>骨髓穿刺检查或骨髓活检结果支持诊断；</w:t>
            </w:r>
          </w:p>
          <w:p>
            <w:pPr>
              <w:pStyle w:val="10"/>
              <w:numPr>
                <w:ilvl w:val="0"/>
                <w:numId w:val="123"/>
              </w:numPr>
              <w:tabs>
                <w:tab w:val="left" w:pos="638"/>
              </w:tabs>
              <w:spacing w:before="43" w:after="0" w:line="240" w:lineRule="auto"/>
              <w:ind w:left="637" w:right="0" w:hanging="530"/>
              <w:jc w:val="left"/>
              <w:rPr>
                <w:sz w:val="21"/>
              </w:rPr>
            </w:pPr>
            <w:r>
              <w:rPr>
                <w:spacing w:val="-3"/>
                <w:sz w:val="21"/>
              </w:rPr>
              <w:t>外周血象须具备以下三项条件中的两项：</w:t>
            </w:r>
          </w:p>
          <w:p>
            <w:pPr>
              <w:pStyle w:val="10"/>
              <w:spacing w:before="43"/>
              <w:ind w:left="108"/>
              <w:rPr>
                <w:sz w:val="21"/>
              </w:rPr>
            </w:pPr>
            <w:r>
              <w:rPr>
                <w:spacing w:val="-3"/>
                <w:sz w:val="21"/>
              </w:rPr>
              <w:t>① 血红蛋白</w:t>
            </w:r>
            <w:r>
              <w:rPr>
                <w:sz w:val="21"/>
              </w:rPr>
              <w:t>&lt;100</w:t>
            </w:r>
            <w:r>
              <w:rPr>
                <w:spacing w:val="-5"/>
                <w:sz w:val="21"/>
              </w:rPr>
              <w:t xml:space="preserve"> </w:t>
            </w:r>
            <w:r>
              <w:rPr>
                <w:spacing w:val="-4"/>
                <w:sz w:val="21"/>
              </w:rPr>
              <w:t>g/L；</w:t>
            </w:r>
          </w:p>
          <w:p>
            <w:pPr>
              <w:pStyle w:val="10"/>
              <w:spacing w:before="33"/>
              <w:ind w:left="108"/>
              <w:rPr>
                <w:sz w:val="21"/>
              </w:rPr>
            </w:pPr>
            <w:r>
              <w:rPr>
                <w:spacing w:val="-2"/>
                <w:sz w:val="21"/>
              </w:rPr>
              <w:t>②血小板绝对值&lt;50×10</w:t>
            </w:r>
            <w:r>
              <w:rPr>
                <w:spacing w:val="-2"/>
                <w:position w:val="11"/>
                <w:sz w:val="11"/>
              </w:rPr>
              <w:t>9</w:t>
            </w:r>
            <w:r>
              <w:rPr>
                <w:spacing w:val="-2"/>
                <w:sz w:val="21"/>
              </w:rPr>
              <w:t>/L；</w:t>
            </w:r>
          </w:p>
          <w:p>
            <w:pPr>
              <w:pStyle w:val="10"/>
              <w:spacing w:before="33"/>
              <w:ind w:left="108"/>
              <w:rPr>
                <w:sz w:val="21"/>
              </w:rPr>
            </w:pPr>
            <w:r>
              <w:rPr>
                <w:spacing w:val="-2"/>
                <w:sz w:val="21"/>
              </w:rPr>
              <w:t>③中性粒细胞绝对值&lt;1.5×10</w:t>
            </w:r>
            <w:r>
              <w:rPr>
                <w:spacing w:val="-2"/>
                <w:position w:val="11"/>
                <w:sz w:val="11"/>
              </w:rPr>
              <w:t>9</w:t>
            </w:r>
            <w:r>
              <w:rPr>
                <w:spacing w:val="-2"/>
                <w:sz w:val="21"/>
              </w:rPr>
              <w:t>/L</w:t>
            </w:r>
            <w:r>
              <w:rPr>
                <w:spacing w:val="-10"/>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1080" w:type="dxa"/>
            <w:tcBorders>
              <w:left w:val="single" w:color="000000" w:sz="12" w:space="0"/>
            </w:tcBorders>
          </w:tcPr>
          <w:p>
            <w:pPr>
              <w:pStyle w:val="10"/>
              <w:ind w:left="318" w:right="289"/>
              <w:jc w:val="center"/>
              <w:rPr>
                <w:sz w:val="21"/>
              </w:rPr>
            </w:pPr>
            <w:r>
              <w:rPr>
                <w:spacing w:val="-5"/>
                <w:sz w:val="21"/>
              </w:rPr>
              <w:t>27</w:t>
            </w:r>
          </w:p>
        </w:tc>
        <w:tc>
          <w:tcPr>
            <w:tcW w:w="2196" w:type="dxa"/>
          </w:tcPr>
          <w:p>
            <w:pPr>
              <w:pStyle w:val="10"/>
              <w:ind w:left="117"/>
              <w:rPr>
                <w:sz w:val="21"/>
              </w:rPr>
            </w:pPr>
            <w:r>
              <w:rPr>
                <w:spacing w:val="-4"/>
                <w:sz w:val="21"/>
              </w:rPr>
              <w:t>肾上腺切除手术</w:t>
            </w:r>
          </w:p>
        </w:tc>
        <w:tc>
          <w:tcPr>
            <w:tcW w:w="6663" w:type="dxa"/>
            <w:tcBorders>
              <w:right w:val="single" w:color="000000" w:sz="12" w:space="0"/>
            </w:tcBorders>
          </w:tcPr>
          <w:p>
            <w:pPr>
              <w:pStyle w:val="10"/>
              <w:ind w:left="108"/>
              <w:rPr>
                <w:sz w:val="21"/>
              </w:rPr>
            </w:pPr>
            <w:r>
              <w:rPr>
                <w:spacing w:val="-7"/>
                <w:sz w:val="21"/>
              </w:rPr>
              <w:t>指因原发性醛固酮增多症或皮质醇增多症，被保险人实际接受了肾上腺</w:t>
            </w:r>
          </w:p>
          <w:p>
            <w:pPr>
              <w:pStyle w:val="10"/>
              <w:spacing w:before="43"/>
              <w:ind w:left="108"/>
              <w:rPr>
                <w:sz w:val="21"/>
              </w:rPr>
            </w:pPr>
            <w:r>
              <w:rPr>
                <w:spacing w:val="-3"/>
                <w:sz w:val="21"/>
              </w:rPr>
              <w:t>腺瘤切除、一侧肾上腺切除或双侧肾上腺次全切除手术。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83" w:hRule="atLeast"/>
        </w:trPr>
        <w:tc>
          <w:tcPr>
            <w:tcW w:w="1080" w:type="dxa"/>
            <w:tcBorders>
              <w:left w:val="single" w:color="000000" w:sz="12" w:space="0"/>
            </w:tcBorders>
          </w:tcPr>
          <w:p>
            <w:pPr>
              <w:pStyle w:val="10"/>
              <w:ind w:left="318" w:right="289"/>
              <w:jc w:val="center"/>
              <w:rPr>
                <w:sz w:val="21"/>
              </w:rPr>
            </w:pPr>
            <w:r>
              <w:rPr>
                <w:spacing w:val="-5"/>
                <w:sz w:val="21"/>
              </w:rPr>
              <w:t>28</w:t>
            </w:r>
          </w:p>
        </w:tc>
        <w:tc>
          <w:tcPr>
            <w:tcW w:w="2196" w:type="dxa"/>
          </w:tcPr>
          <w:p>
            <w:pPr>
              <w:pStyle w:val="10"/>
              <w:ind w:left="117"/>
              <w:rPr>
                <w:sz w:val="21"/>
              </w:rPr>
            </w:pPr>
            <w:r>
              <w:rPr>
                <w:spacing w:val="-4"/>
                <w:sz w:val="21"/>
              </w:rPr>
              <w:t>肝硬化失代偿早期</w:t>
            </w:r>
          </w:p>
        </w:tc>
        <w:tc>
          <w:tcPr>
            <w:tcW w:w="6663" w:type="dxa"/>
            <w:tcBorders>
              <w:right w:val="single" w:color="000000" w:sz="12" w:space="0"/>
            </w:tcBorders>
          </w:tcPr>
          <w:p>
            <w:pPr>
              <w:pStyle w:val="10"/>
              <w:spacing w:line="278" w:lineRule="auto"/>
              <w:ind w:left="108" w:right="216"/>
              <w:rPr>
                <w:sz w:val="21"/>
              </w:rPr>
            </w:pPr>
            <w:r>
              <w:rPr>
                <w:spacing w:val="-2"/>
                <w:sz w:val="21"/>
              </w:rPr>
              <w:t>指因慢性肝脏疾病引起肝硬化导致肝功能衰竭，必须满足下列所有条</w:t>
            </w:r>
            <w:r>
              <w:rPr>
                <w:spacing w:val="-6"/>
                <w:sz w:val="21"/>
              </w:rPr>
              <w:t>件：</w:t>
            </w:r>
          </w:p>
          <w:p>
            <w:pPr>
              <w:pStyle w:val="10"/>
              <w:numPr>
                <w:ilvl w:val="0"/>
                <w:numId w:val="124"/>
              </w:numPr>
              <w:tabs>
                <w:tab w:val="left" w:pos="638"/>
              </w:tabs>
              <w:spacing w:before="0" w:after="0" w:line="269" w:lineRule="exact"/>
              <w:ind w:left="637" w:right="0" w:hanging="530"/>
              <w:jc w:val="left"/>
              <w:rPr>
                <w:sz w:val="21"/>
              </w:rPr>
            </w:pPr>
            <w:r>
              <w:rPr>
                <w:spacing w:val="-3"/>
                <w:sz w:val="21"/>
              </w:rPr>
              <w:t xml:space="preserve">持续性黄疸，胆红素 &gt; </w:t>
            </w:r>
            <w:r>
              <w:rPr>
                <w:sz w:val="21"/>
              </w:rPr>
              <w:t>2mg/dl或</w:t>
            </w:r>
            <w:r>
              <w:rPr>
                <w:spacing w:val="-2"/>
                <w:sz w:val="21"/>
              </w:rPr>
              <w:t>34.2umol/L；</w:t>
            </w:r>
          </w:p>
          <w:p>
            <w:pPr>
              <w:pStyle w:val="10"/>
              <w:numPr>
                <w:ilvl w:val="0"/>
                <w:numId w:val="124"/>
              </w:numPr>
              <w:tabs>
                <w:tab w:val="left" w:pos="638"/>
              </w:tabs>
              <w:spacing w:before="43" w:after="0" w:line="240" w:lineRule="auto"/>
              <w:ind w:left="637" w:right="0" w:hanging="530"/>
              <w:jc w:val="left"/>
              <w:rPr>
                <w:sz w:val="21"/>
              </w:rPr>
            </w:pPr>
            <w:r>
              <w:rPr>
                <w:spacing w:val="-2"/>
                <w:sz w:val="21"/>
              </w:rPr>
              <w:t>白蛋白 &lt;30g/L；</w:t>
            </w:r>
          </w:p>
          <w:p>
            <w:pPr>
              <w:pStyle w:val="10"/>
              <w:numPr>
                <w:ilvl w:val="0"/>
                <w:numId w:val="124"/>
              </w:numPr>
              <w:tabs>
                <w:tab w:val="left" w:pos="638"/>
              </w:tabs>
              <w:spacing w:before="43" w:after="0" w:line="240" w:lineRule="auto"/>
              <w:ind w:left="637" w:right="0" w:hanging="530"/>
              <w:jc w:val="left"/>
              <w:rPr>
                <w:sz w:val="21"/>
              </w:rPr>
            </w:pPr>
            <w:r>
              <w:rPr>
                <w:spacing w:val="-2"/>
                <w:sz w:val="21"/>
              </w:rPr>
              <w:t>凝血酶原时间延长 &gt;</w:t>
            </w:r>
            <w:r>
              <w:rPr>
                <w:sz w:val="21"/>
              </w:rPr>
              <w:t>4</w:t>
            </w:r>
            <w:r>
              <w:rPr>
                <w:spacing w:val="-5"/>
                <w:sz w:val="21"/>
              </w:rPr>
              <w:t>秒；</w:t>
            </w:r>
          </w:p>
          <w:p>
            <w:pPr>
              <w:pStyle w:val="10"/>
              <w:numPr>
                <w:ilvl w:val="0"/>
                <w:numId w:val="124"/>
              </w:numPr>
              <w:tabs>
                <w:tab w:val="left" w:pos="638"/>
              </w:tabs>
              <w:spacing w:before="43" w:after="0" w:line="240" w:lineRule="auto"/>
              <w:ind w:left="637" w:right="0" w:hanging="530"/>
              <w:jc w:val="left"/>
              <w:rPr>
                <w:sz w:val="21"/>
              </w:rPr>
            </w:pPr>
            <w:r>
              <w:rPr>
                <w:spacing w:val="-2"/>
                <w:sz w:val="21"/>
              </w:rPr>
              <w:t>持续180</w:t>
            </w:r>
            <w:r>
              <w:rPr>
                <w:spacing w:val="-6"/>
                <w:sz w:val="21"/>
              </w:rPr>
              <w:t>天。</w:t>
            </w:r>
          </w:p>
          <w:p>
            <w:pPr>
              <w:pStyle w:val="10"/>
              <w:spacing w:before="43"/>
              <w:ind w:left="108"/>
              <w:rPr>
                <w:rFonts w:ascii="黑体" w:eastAsia="黑体"/>
                <w:sz w:val="21"/>
              </w:rPr>
            </w:pPr>
            <w:r>
              <w:rPr>
                <w:rFonts w:ascii="黑体" w:eastAsia="黑体"/>
                <w:color w:val="000000"/>
                <w:spacing w:val="-3"/>
                <w:sz w:val="21"/>
                <w:shd w:val="clear" w:color="auto" w:fill="D9D9D9"/>
              </w:rPr>
              <w:t>因酗酒或药物滥用导致的肝功能衰竭不在保障范围内。</w:t>
            </w:r>
            <w:r>
              <w:rPr>
                <w:rFonts w:ascii="黑体" w:eastAsia="黑体"/>
                <w:color w:val="000000"/>
                <w:spacing w:val="40"/>
                <w:sz w:val="21"/>
                <w:shd w:val="clear" w:color="auto" w:fill="D9D9D9"/>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8" w:hRule="atLeast"/>
        </w:trPr>
        <w:tc>
          <w:tcPr>
            <w:tcW w:w="1080" w:type="dxa"/>
            <w:tcBorders>
              <w:left w:val="single" w:color="000000" w:sz="12" w:space="0"/>
            </w:tcBorders>
          </w:tcPr>
          <w:p>
            <w:pPr>
              <w:pStyle w:val="10"/>
              <w:ind w:left="318" w:right="289"/>
              <w:jc w:val="center"/>
              <w:rPr>
                <w:sz w:val="21"/>
              </w:rPr>
            </w:pPr>
            <w:r>
              <w:rPr>
                <w:spacing w:val="-5"/>
                <w:sz w:val="21"/>
              </w:rPr>
              <w:t>29</w:t>
            </w:r>
          </w:p>
        </w:tc>
        <w:tc>
          <w:tcPr>
            <w:tcW w:w="2196" w:type="dxa"/>
          </w:tcPr>
          <w:p>
            <w:pPr>
              <w:pStyle w:val="10"/>
              <w:spacing w:line="278" w:lineRule="auto"/>
              <w:ind w:left="117" w:right="85"/>
              <w:rPr>
                <w:sz w:val="21"/>
              </w:rPr>
            </w:pPr>
            <w:r>
              <w:rPr>
                <w:sz w:val="21"/>
              </w:rPr>
              <w:t>急性肝功能衰竭人工</w:t>
            </w:r>
            <w:r>
              <w:rPr>
                <w:spacing w:val="-4"/>
                <w:sz w:val="21"/>
              </w:rPr>
              <w:t>肝治疗</w:t>
            </w:r>
          </w:p>
        </w:tc>
        <w:tc>
          <w:tcPr>
            <w:tcW w:w="6663" w:type="dxa"/>
            <w:tcBorders>
              <w:right w:val="single" w:color="000000" w:sz="12" w:space="0"/>
            </w:tcBorders>
          </w:tcPr>
          <w:p>
            <w:pPr>
              <w:pStyle w:val="10"/>
              <w:spacing w:line="278" w:lineRule="auto"/>
              <w:ind w:left="108" w:right="5"/>
              <w:rPr>
                <w:sz w:val="21"/>
              </w:rPr>
            </w:pPr>
            <w:r>
              <w:rPr>
                <w:spacing w:val="-2"/>
                <w:sz w:val="21"/>
              </w:rPr>
              <w:t>指被保险人首次因急性肝功能衰竭实际接受了人工肝支持系统（ALSS）</w:t>
            </w:r>
            <w:r>
              <w:rPr>
                <w:spacing w:val="-4"/>
                <w:sz w:val="21"/>
              </w:rPr>
              <w:t>治疗。</w:t>
            </w:r>
          </w:p>
          <w:p>
            <w:pPr>
              <w:pStyle w:val="10"/>
              <w:spacing w:before="0" w:line="269" w:lineRule="exact"/>
              <w:ind w:left="108"/>
              <w:rPr>
                <w:rFonts w:ascii="黑体" w:eastAsia="黑体"/>
                <w:sz w:val="21"/>
              </w:rPr>
            </w:pPr>
            <w:r>
              <w:rPr>
                <w:rFonts w:ascii="黑体" w:eastAsia="黑体"/>
                <w:color w:val="000000"/>
                <w:spacing w:val="-1"/>
                <w:sz w:val="21"/>
                <w:shd w:val="clear" w:color="auto" w:fill="D9D9D9"/>
              </w:rPr>
              <w:t>因慢性肝脏疾病、酗酒或药物滥用引起的急性肝脏衰竭不在保障范围</w:t>
            </w:r>
          </w:p>
          <w:p>
            <w:pPr>
              <w:pStyle w:val="10"/>
              <w:spacing w:before="43"/>
              <w:ind w:left="108"/>
              <w:rPr>
                <w:rFonts w:ascii="黑体" w:eastAsia="黑体"/>
                <w:sz w:val="21"/>
              </w:rPr>
            </w:pPr>
            <w:r>
              <w:rPr>
                <w:rFonts w:ascii="黑体" w:eastAsia="黑体"/>
                <w:color w:val="000000"/>
                <w:spacing w:val="-5"/>
                <w:sz w:val="21"/>
                <w:shd w:val="clear" w:color="auto" w:fill="D9D9D9"/>
              </w:rPr>
              <w:t>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7" w:hRule="atLeast"/>
        </w:trPr>
        <w:tc>
          <w:tcPr>
            <w:tcW w:w="1080" w:type="dxa"/>
            <w:tcBorders>
              <w:left w:val="single" w:color="000000" w:sz="12" w:space="0"/>
            </w:tcBorders>
          </w:tcPr>
          <w:p>
            <w:pPr>
              <w:pStyle w:val="10"/>
              <w:spacing w:before="18"/>
              <w:ind w:left="318" w:right="289"/>
              <w:jc w:val="center"/>
              <w:rPr>
                <w:sz w:val="21"/>
              </w:rPr>
            </w:pPr>
            <w:r>
              <w:rPr>
                <w:spacing w:val="-5"/>
                <w:sz w:val="21"/>
              </w:rPr>
              <w:t>30</w:t>
            </w:r>
          </w:p>
        </w:tc>
        <w:tc>
          <w:tcPr>
            <w:tcW w:w="2196" w:type="dxa"/>
          </w:tcPr>
          <w:p>
            <w:pPr>
              <w:pStyle w:val="10"/>
              <w:spacing w:before="18"/>
              <w:ind w:left="117"/>
              <w:rPr>
                <w:sz w:val="21"/>
              </w:rPr>
            </w:pPr>
            <w:r>
              <w:rPr>
                <w:spacing w:val="-4"/>
                <w:sz w:val="21"/>
              </w:rPr>
              <w:t>胆道重建手术</w:t>
            </w:r>
          </w:p>
        </w:tc>
        <w:tc>
          <w:tcPr>
            <w:tcW w:w="6663" w:type="dxa"/>
            <w:tcBorders>
              <w:right w:val="single" w:color="000000" w:sz="12" w:space="0"/>
            </w:tcBorders>
          </w:tcPr>
          <w:p>
            <w:pPr>
              <w:pStyle w:val="10"/>
              <w:spacing w:before="18"/>
              <w:ind w:left="108"/>
              <w:rPr>
                <w:sz w:val="21"/>
              </w:rPr>
            </w:pPr>
            <w:r>
              <w:rPr>
                <w:spacing w:val="-3"/>
                <w:sz w:val="21"/>
              </w:rPr>
              <w:t>指被保险人因疾病或创伤造成胆总管阻塞，实际接受了胆总管与小肠</w:t>
            </w:r>
          </w:p>
          <w:p>
            <w:pPr>
              <w:pStyle w:val="10"/>
              <w:spacing w:before="43"/>
              <w:ind w:left="108"/>
              <w:rPr>
                <w:sz w:val="21"/>
              </w:rPr>
            </w:pPr>
            <w:r>
              <w:rPr>
                <w:spacing w:val="-2"/>
                <w:sz w:val="21"/>
              </w:rPr>
              <w:t>（空肠或十二指肠）</w:t>
            </w:r>
            <w:r>
              <w:rPr>
                <w:spacing w:val="-4"/>
                <w:sz w:val="21"/>
              </w:rPr>
              <w:t>吻合的手术。</w:t>
            </w:r>
          </w:p>
          <w:p>
            <w:pPr>
              <w:pStyle w:val="10"/>
              <w:spacing w:before="43"/>
              <w:ind w:left="108"/>
              <w:rPr>
                <w:rFonts w:ascii="黑体" w:eastAsia="黑体"/>
                <w:sz w:val="21"/>
              </w:rPr>
            </w:pPr>
            <w:r>
              <w:rPr>
                <w:rFonts w:ascii="黑体" w:eastAsia="黑体"/>
                <w:color w:val="000000"/>
                <w:spacing w:val="-3"/>
                <w:sz w:val="21"/>
                <w:shd w:val="clear" w:color="auto" w:fill="D9D9D9"/>
              </w:rPr>
              <w:t>先天性胆道闭锁除外。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1080" w:type="dxa"/>
            <w:tcBorders>
              <w:left w:val="single" w:color="000000" w:sz="12" w:space="0"/>
            </w:tcBorders>
          </w:tcPr>
          <w:p>
            <w:pPr>
              <w:pStyle w:val="10"/>
              <w:ind w:left="318" w:right="289"/>
              <w:jc w:val="center"/>
              <w:rPr>
                <w:sz w:val="21"/>
              </w:rPr>
            </w:pPr>
            <w:r>
              <w:rPr>
                <w:spacing w:val="-5"/>
                <w:sz w:val="21"/>
              </w:rPr>
              <w:t>31</w:t>
            </w:r>
          </w:p>
        </w:tc>
        <w:tc>
          <w:tcPr>
            <w:tcW w:w="2196" w:type="dxa"/>
          </w:tcPr>
          <w:p>
            <w:pPr>
              <w:pStyle w:val="10"/>
              <w:spacing w:line="278" w:lineRule="auto"/>
              <w:ind w:left="117" w:right="85"/>
              <w:rPr>
                <w:sz w:val="21"/>
              </w:rPr>
            </w:pPr>
            <w:r>
              <w:rPr>
                <w:sz w:val="21"/>
              </w:rPr>
              <w:t>急性坏死性胰腺炎腹</w:t>
            </w:r>
            <w:r>
              <w:rPr>
                <w:spacing w:val="-4"/>
                <w:sz w:val="21"/>
              </w:rPr>
              <w:t>腔镜手术</w:t>
            </w:r>
          </w:p>
        </w:tc>
        <w:tc>
          <w:tcPr>
            <w:tcW w:w="6663" w:type="dxa"/>
            <w:tcBorders>
              <w:right w:val="single" w:color="000000" w:sz="12" w:space="0"/>
            </w:tcBorders>
          </w:tcPr>
          <w:p>
            <w:pPr>
              <w:pStyle w:val="10"/>
              <w:spacing w:line="278" w:lineRule="auto"/>
              <w:ind w:left="108" w:right="216"/>
              <w:rPr>
                <w:sz w:val="21"/>
              </w:rPr>
            </w:pPr>
            <w:r>
              <w:rPr>
                <w:spacing w:val="-2"/>
                <w:sz w:val="21"/>
              </w:rPr>
              <w:t>指被保险人被确诊为急性坏死性胰腺炎，并实际接受了腹腔镜手术治疗，以进行坏死组织清除、坏死病灶切除或胰腺切除。</w:t>
            </w:r>
          </w:p>
          <w:p>
            <w:pPr>
              <w:pStyle w:val="10"/>
              <w:spacing w:before="0" w:line="269" w:lineRule="exact"/>
              <w:ind w:left="108"/>
              <w:rPr>
                <w:rFonts w:ascii="黑体" w:eastAsia="黑体"/>
                <w:sz w:val="21"/>
              </w:rPr>
            </w:pPr>
            <w:r>
              <w:rPr>
                <w:rFonts w:ascii="黑体" w:eastAsia="黑体"/>
                <w:color w:val="000000"/>
                <w:spacing w:val="-3"/>
                <w:sz w:val="21"/>
                <w:shd w:val="clear" w:color="auto" w:fill="D9D9D9"/>
              </w:rPr>
              <w:t>因酗酒或饮酒过量所致的急性坏死性胰腺炎不在保单保障范围内。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2" w:hRule="atLeast"/>
        </w:trPr>
        <w:tc>
          <w:tcPr>
            <w:tcW w:w="1080" w:type="dxa"/>
            <w:tcBorders>
              <w:left w:val="single" w:color="000000" w:sz="12" w:space="0"/>
            </w:tcBorders>
          </w:tcPr>
          <w:p>
            <w:pPr>
              <w:pStyle w:val="10"/>
              <w:ind w:left="318" w:right="289"/>
              <w:jc w:val="center"/>
              <w:rPr>
                <w:sz w:val="21"/>
              </w:rPr>
            </w:pPr>
            <w:r>
              <w:rPr>
                <w:spacing w:val="-5"/>
                <w:sz w:val="21"/>
              </w:rPr>
              <w:t>32</w:t>
            </w:r>
          </w:p>
        </w:tc>
        <w:tc>
          <w:tcPr>
            <w:tcW w:w="2196" w:type="dxa"/>
          </w:tcPr>
          <w:p>
            <w:pPr>
              <w:pStyle w:val="10"/>
              <w:ind w:left="117"/>
              <w:rPr>
                <w:sz w:val="21"/>
              </w:rPr>
            </w:pPr>
            <w:r>
              <w:rPr>
                <w:spacing w:val="-4"/>
                <w:sz w:val="21"/>
              </w:rPr>
              <w:t>较轻溃疡性结肠炎</w:t>
            </w:r>
          </w:p>
        </w:tc>
        <w:tc>
          <w:tcPr>
            <w:tcW w:w="6663" w:type="dxa"/>
            <w:tcBorders>
              <w:right w:val="single" w:color="000000" w:sz="12" w:space="0"/>
            </w:tcBorders>
          </w:tcPr>
          <w:p>
            <w:pPr>
              <w:pStyle w:val="10"/>
              <w:spacing w:line="278" w:lineRule="auto"/>
              <w:ind w:left="108" w:right="70"/>
              <w:rPr>
                <w:sz w:val="21"/>
              </w:rPr>
            </w:pPr>
            <w:r>
              <w:rPr>
                <w:spacing w:val="-3"/>
                <w:w w:val="100"/>
                <w:sz w:val="21"/>
              </w:rPr>
              <w:t>溃疡性结肠炎是一种原因不明的以结肠粘膜溃疡为主要表现的慢性结</w:t>
            </w:r>
            <w:r>
              <w:rPr>
                <w:spacing w:val="-8"/>
                <w:w w:val="100"/>
                <w:sz w:val="21"/>
              </w:rPr>
              <w:t>肠炎症，病变多累及直肠和乙状结肠，也可累及全结肠。被保险人被明</w:t>
            </w:r>
            <w:r>
              <w:rPr>
                <w:spacing w:val="-5"/>
                <w:w w:val="100"/>
                <w:sz w:val="21"/>
              </w:rPr>
              <w:t>确诊断为溃疡性结肠炎且必须满足下列所有条件：</w:t>
            </w:r>
          </w:p>
          <w:p>
            <w:pPr>
              <w:pStyle w:val="10"/>
              <w:numPr>
                <w:ilvl w:val="0"/>
                <w:numId w:val="125"/>
              </w:numPr>
              <w:tabs>
                <w:tab w:val="left" w:pos="638"/>
              </w:tabs>
              <w:spacing w:before="0" w:after="0" w:line="240" w:lineRule="auto"/>
              <w:ind w:left="637" w:right="-15" w:hanging="530"/>
              <w:jc w:val="left"/>
              <w:rPr>
                <w:sz w:val="21"/>
              </w:rPr>
            </w:pPr>
            <w:r>
              <w:rPr>
                <w:spacing w:val="-4"/>
                <w:sz w:val="21"/>
              </w:rPr>
              <w:t>曾有重型溃疡性结肠炎临床表现和中度贫血（</w:t>
            </w:r>
            <w:r>
              <w:rPr>
                <w:spacing w:val="-5"/>
                <w:sz w:val="21"/>
              </w:rPr>
              <w:t>血红蛋白&lt;75g/L）；</w:t>
            </w:r>
          </w:p>
          <w:p>
            <w:pPr>
              <w:pStyle w:val="10"/>
              <w:numPr>
                <w:ilvl w:val="0"/>
                <w:numId w:val="125"/>
              </w:numPr>
              <w:tabs>
                <w:tab w:val="left" w:pos="638"/>
              </w:tabs>
              <w:spacing w:before="43" w:after="0" w:line="240" w:lineRule="auto"/>
              <w:ind w:left="637" w:right="0" w:hanging="530"/>
              <w:jc w:val="left"/>
              <w:rPr>
                <w:sz w:val="21"/>
              </w:rPr>
            </w:pPr>
            <w:r>
              <w:rPr>
                <w:spacing w:val="-3"/>
                <w:sz w:val="21"/>
              </w:rPr>
              <w:t>内窥镜及活检确诊病变累及全结肠；</w:t>
            </w:r>
          </w:p>
          <w:p>
            <w:pPr>
              <w:pStyle w:val="10"/>
              <w:numPr>
                <w:ilvl w:val="0"/>
                <w:numId w:val="125"/>
              </w:numPr>
              <w:tabs>
                <w:tab w:val="left" w:pos="638"/>
              </w:tabs>
              <w:spacing w:before="43" w:after="0" w:line="240" w:lineRule="auto"/>
              <w:ind w:left="637" w:right="0" w:hanging="530"/>
              <w:jc w:val="left"/>
              <w:rPr>
                <w:sz w:val="21"/>
              </w:rPr>
            </w:pPr>
            <w:r>
              <w:rPr>
                <w:spacing w:val="-2"/>
                <w:sz w:val="21"/>
              </w:rPr>
              <w:t>持续接受类固醇激素治疗或免疫抑制剂治疗6</w:t>
            </w:r>
            <w:r>
              <w:rPr>
                <w:spacing w:val="-4"/>
                <w:sz w:val="21"/>
              </w:rPr>
              <w:t>个月以上。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83" w:hRule="atLeast"/>
        </w:trPr>
        <w:tc>
          <w:tcPr>
            <w:tcW w:w="1080" w:type="dxa"/>
            <w:tcBorders>
              <w:left w:val="single" w:color="000000" w:sz="12" w:space="0"/>
            </w:tcBorders>
          </w:tcPr>
          <w:p>
            <w:pPr>
              <w:pStyle w:val="10"/>
              <w:ind w:left="318" w:right="289"/>
              <w:jc w:val="center"/>
              <w:rPr>
                <w:sz w:val="21"/>
              </w:rPr>
            </w:pPr>
            <w:r>
              <w:rPr>
                <w:spacing w:val="-5"/>
                <w:sz w:val="21"/>
              </w:rPr>
              <w:t>33</w:t>
            </w:r>
          </w:p>
        </w:tc>
        <w:tc>
          <w:tcPr>
            <w:tcW w:w="2196" w:type="dxa"/>
          </w:tcPr>
          <w:p>
            <w:pPr>
              <w:pStyle w:val="10"/>
              <w:spacing w:line="278" w:lineRule="auto"/>
              <w:ind w:left="117" w:right="85"/>
              <w:rPr>
                <w:sz w:val="21"/>
              </w:rPr>
            </w:pPr>
            <w:r>
              <w:rPr>
                <w:sz w:val="21"/>
              </w:rPr>
              <w:t>坏死性筋膜炎组织筋</w:t>
            </w:r>
            <w:r>
              <w:rPr>
                <w:spacing w:val="-2"/>
                <w:sz w:val="21"/>
              </w:rPr>
              <w:t>膜切除手术</w:t>
            </w:r>
          </w:p>
        </w:tc>
        <w:tc>
          <w:tcPr>
            <w:tcW w:w="6663" w:type="dxa"/>
            <w:tcBorders>
              <w:right w:val="single" w:color="000000" w:sz="12" w:space="0"/>
            </w:tcBorders>
          </w:tcPr>
          <w:p>
            <w:pPr>
              <w:pStyle w:val="10"/>
              <w:spacing w:line="278" w:lineRule="auto"/>
              <w:ind w:left="108" w:right="70"/>
              <w:jc w:val="both"/>
              <w:rPr>
                <w:sz w:val="21"/>
              </w:rPr>
            </w:pPr>
            <w:r>
              <w:rPr>
                <w:spacing w:val="-5"/>
                <w:sz w:val="21"/>
              </w:rPr>
              <w:t>是一种由细菌侵入皮下组织和筋膜引起的急性坏死性软组织感染，可伴</w:t>
            </w:r>
            <w:r>
              <w:rPr>
                <w:spacing w:val="-2"/>
                <w:sz w:val="21"/>
              </w:rPr>
              <w:t>有毒血症、败血症、中毒性休克、弥漫性血管内凝血及多器官衰竭。必须满足下列所有条件：</w:t>
            </w:r>
          </w:p>
          <w:p>
            <w:pPr>
              <w:pStyle w:val="10"/>
              <w:numPr>
                <w:ilvl w:val="0"/>
                <w:numId w:val="126"/>
              </w:numPr>
              <w:tabs>
                <w:tab w:val="left" w:pos="638"/>
              </w:tabs>
              <w:spacing w:before="0" w:after="0" w:line="269" w:lineRule="exact"/>
              <w:ind w:left="637" w:right="0" w:hanging="530"/>
              <w:jc w:val="left"/>
              <w:rPr>
                <w:sz w:val="21"/>
              </w:rPr>
            </w:pPr>
            <w:r>
              <w:rPr>
                <w:spacing w:val="-3"/>
                <w:sz w:val="21"/>
              </w:rPr>
              <w:t>细菌培养和临床表现符合坏死性筋膜炎诊断标准；</w:t>
            </w:r>
          </w:p>
          <w:p>
            <w:pPr>
              <w:pStyle w:val="10"/>
              <w:numPr>
                <w:ilvl w:val="0"/>
                <w:numId w:val="126"/>
              </w:numPr>
              <w:tabs>
                <w:tab w:val="left" w:pos="638"/>
              </w:tabs>
              <w:spacing w:before="43" w:after="0" w:line="240" w:lineRule="auto"/>
              <w:ind w:left="637" w:right="0" w:hanging="530"/>
              <w:jc w:val="left"/>
              <w:rPr>
                <w:sz w:val="21"/>
              </w:rPr>
            </w:pPr>
            <w:r>
              <w:rPr>
                <w:spacing w:val="-3"/>
                <w:sz w:val="21"/>
              </w:rPr>
              <w:t>病情迅速恶化，有脓毒血症表现；</w:t>
            </w:r>
          </w:p>
          <w:p>
            <w:pPr>
              <w:pStyle w:val="10"/>
              <w:numPr>
                <w:ilvl w:val="0"/>
                <w:numId w:val="126"/>
              </w:numPr>
              <w:tabs>
                <w:tab w:val="left" w:pos="638"/>
              </w:tabs>
              <w:spacing w:before="2" w:after="0" w:line="310" w:lineRule="atLeast"/>
              <w:ind w:left="108" w:right="113" w:firstLine="0"/>
              <w:jc w:val="left"/>
              <w:rPr>
                <w:sz w:val="21"/>
              </w:rPr>
            </w:pPr>
            <w:r>
              <w:rPr>
                <w:spacing w:val="-2"/>
                <w:sz w:val="21"/>
              </w:rPr>
              <w:t>出现广泛的软组织坏死，实际接受了坏死组织、筋膜及近旁受累肌肉的广泛切除手术。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080" w:type="dxa"/>
            <w:tcBorders>
              <w:left w:val="single" w:color="000000" w:sz="12" w:space="0"/>
            </w:tcBorders>
          </w:tcPr>
          <w:p>
            <w:pPr>
              <w:pStyle w:val="10"/>
              <w:ind w:left="318" w:right="289"/>
              <w:jc w:val="center"/>
              <w:rPr>
                <w:sz w:val="21"/>
              </w:rPr>
            </w:pPr>
            <w:r>
              <w:rPr>
                <w:spacing w:val="-5"/>
                <w:sz w:val="21"/>
              </w:rPr>
              <w:t>34</w:t>
            </w:r>
          </w:p>
        </w:tc>
        <w:tc>
          <w:tcPr>
            <w:tcW w:w="2196" w:type="dxa"/>
          </w:tcPr>
          <w:p>
            <w:pPr>
              <w:pStyle w:val="10"/>
              <w:ind w:left="117"/>
              <w:rPr>
                <w:sz w:val="21"/>
              </w:rPr>
            </w:pPr>
            <w:r>
              <w:rPr>
                <w:spacing w:val="-2"/>
                <w:sz w:val="21"/>
              </w:rPr>
              <w:t>丝虫感染所致早期象</w:t>
            </w:r>
          </w:p>
        </w:tc>
        <w:tc>
          <w:tcPr>
            <w:tcW w:w="6663" w:type="dxa"/>
            <w:tcBorders>
              <w:right w:val="single" w:color="000000" w:sz="12" w:space="0"/>
            </w:tcBorders>
          </w:tcPr>
          <w:p>
            <w:pPr>
              <w:pStyle w:val="10"/>
              <w:ind w:left="108"/>
              <w:rPr>
                <w:sz w:val="21"/>
              </w:rPr>
            </w:pPr>
            <w:r>
              <w:rPr>
                <w:spacing w:val="-6"/>
                <w:sz w:val="21"/>
              </w:rPr>
              <w:t>指因丝虫感染导致淋巴阻塞出现严重淋巴水肿，达到国际淋巴学会淋巴</w:t>
            </w:r>
          </w:p>
        </w:tc>
      </w:tr>
    </w:tbl>
    <w:p>
      <w:pPr>
        <w:spacing w:after="0"/>
        <w:rPr>
          <w:sz w:val="21"/>
        </w:rPr>
        <w:sectPr>
          <w:type w:val="continuous"/>
          <w:pgSz w:w="11910" w:h="16840"/>
          <w:pgMar w:top="840" w:right="340" w:bottom="1230" w:left="800" w:header="0" w:footer="457" w:gutter="0"/>
          <w:cols w:space="720" w:num="1"/>
        </w:sectPr>
      </w:pPr>
    </w:p>
    <w:tbl>
      <w:tblPr>
        <w:tblStyle w:val="6"/>
        <w:tblW w:w="0" w:type="auto"/>
        <w:tblInd w:w="22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80"/>
        <w:gridCol w:w="2196"/>
        <w:gridCol w:w="666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080" w:type="dxa"/>
            <w:tcBorders>
              <w:left w:val="single" w:color="000000" w:sz="12" w:space="0"/>
            </w:tcBorders>
          </w:tcPr>
          <w:p>
            <w:pPr>
              <w:pStyle w:val="10"/>
              <w:spacing w:before="0"/>
              <w:ind w:left="0"/>
              <w:rPr>
                <w:rFonts w:ascii="Times New Roman"/>
                <w:sz w:val="20"/>
              </w:rPr>
            </w:pPr>
          </w:p>
        </w:tc>
        <w:tc>
          <w:tcPr>
            <w:tcW w:w="2196" w:type="dxa"/>
          </w:tcPr>
          <w:p>
            <w:pPr>
              <w:pStyle w:val="10"/>
              <w:ind w:left="117"/>
              <w:rPr>
                <w:sz w:val="21"/>
              </w:rPr>
            </w:pPr>
            <w:r>
              <w:rPr>
                <w:spacing w:val="-5"/>
                <w:sz w:val="21"/>
              </w:rPr>
              <w:t>皮病</w:t>
            </w:r>
          </w:p>
        </w:tc>
        <w:tc>
          <w:tcPr>
            <w:tcW w:w="6663" w:type="dxa"/>
            <w:tcBorders>
              <w:right w:val="single" w:color="000000" w:sz="12" w:space="0"/>
            </w:tcBorders>
          </w:tcPr>
          <w:p>
            <w:pPr>
              <w:pStyle w:val="10"/>
              <w:ind w:left="108"/>
              <w:rPr>
                <w:sz w:val="21"/>
              </w:rPr>
            </w:pPr>
            <w:r>
              <w:rPr>
                <w:spacing w:val="-4"/>
                <w:sz w:val="21"/>
              </w:rPr>
              <w:t>肿分期第II</w:t>
            </w:r>
            <w:r>
              <w:rPr>
                <w:spacing w:val="-5"/>
                <w:sz w:val="21"/>
              </w:rPr>
              <w:t>期，临床表现为肢体象皮肿，夜间卧床休息后不能消退，患</w:t>
            </w:r>
          </w:p>
          <w:p>
            <w:pPr>
              <w:pStyle w:val="10"/>
              <w:spacing w:before="43"/>
              <w:ind w:left="108"/>
              <w:rPr>
                <w:sz w:val="21"/>
              </w:rPr>
            </w:pPr>
            <w:r>
              <w:rPr>
                <w:spacing w:val="-2"/>
                <w:sz w:val="21"/>
              </w:rPr>
              <w:t>肢较健肢增粗20</w:t>
            </w:r>
            <w:r>
              <w:rPr>
                <w:spacing w:val="-4"/>
                <w:sz w:val="21"/>
              </w:rPr>
              <w:t>%以上。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9" w:hRule="atLeast"/>
        </w:trPr>
        <w:tc>
          <w:tcPr>
            <w:tcW w:w="1080" w:type="dxa"/>
            <w:tcBorders>
              <w:left w:val="single" w:color="000000" w:sz="12" w:space="0"/>
            </w:tcBorders>
          </w:tcPr>
          <w:p>
            <w:pPr>
              <w:pStyle w:val="10"/>
              <w:ind w:left="318" w:right="289"/>
              <w:jc w:val="center"/>
              <w:rPr>
                <w:sz w:val="21"/>
              </w:rPr>
            </w:pPr>
            <w:r>
              <w:rPr>
                <w:spacing w:val="-5"/>
                <w:sz w:val="21"/>
              </w:rPr>
              <w:t>35</w:t>
            </w:r>
          </w:p>
        </w:tc>
        <w:tc>
          <w:tcPr>
            <w:tcW w:w="2196" w:type="dxa"/>
          </w:tcPr>
          <w:p>
            <w:pPr>
              <w:pStyle w:val="10"/>
              <w:ind w:left="117"/>
              <w:rPr>
                <w:sz w:val="21"/>
              </w:rPr>
            </w:pPr>
            <w:r>
              <w:rPr>
                <w:spacing w:val="-4"/>
                <w:sz w:val="21"/>
              </w:rPr>
              <w:t>严重登革热</w:t>
            </w:r>
          </w:p>
        </w:tc>
        <w:tc>
          <w:tcPr>
            <w:tcW w:w="6663" w:type="dxa"/>
            <w:tcBorders>
              <w:right w:val="single" w:color="000000" w:sz="12" w:space="0"/>
            </w:tcBorders>
          </w:tcPr>
          <w:p>
            <w:pPr>
              <w:pStyle w:val="10"/>
              <w:spacing w:line="278" w:lineRule="auto"/>
              <w:ind w:left="108" w:right="72"/>
              <w:jc w:val="both"/>
              <w:rPr>
                <w:sz w:val="21"/>
              </w:rPr>
            </w:pPr>
            <w:r>
              <w:rPr>
                <w:spacing w:val="-2"/>
                <w:sz w:val="21"/>
              </w:rPr>
              <w:t>登革热是由登革热病毒引起的急性传染病，为一种自限性疾病，通常预后良好。本保险仅对严重的登革热给与保障，被保险人的登革热必须满足下列所有条件：</w:t>
            </w:r>
          </w:p>
          <w:p>
            <w:pPr>
              <w:pStyle w:val="10"/>
              <w:numPr>
                <w:ilvl w:val="0"/>
                <w:numId w:val="127"/>
              </w:numPr>
              <w:tabs>
                <w:tab w:val="left" w:pos="638"/>
              </w:tabs>
              <w:spacing w:before="0" w:after="0" w:line="269" w:lineRule="exact"/>
              <w:ind w:left="637" w:right="0" w:hanging="530"/>
              <w:jc w:val="both"/>
              <w:rPr>
                <w:sz w:val="21"/>
              </w:rPr>
            </w:pPr>
            <w:r>
              <w:rPr>
                <w:spacing w:val="-2"/>
                <w:sz w:val="21"/>
              </w:rPr>
              <w:t>根据《登革热诊疗指南（2014</w:t>
            </w:r>
            <w:r>
              <w:rPr>
                <w:spacing w:val="-23"/>
                <w:sz w:val="21"/>
              </w:rPr>
              <w:t xml:space="preserve"> 版</w:t>
            </w:r>
            <w:r>
              <w:rPr>
                <w:spacing w:val="-106"/>
                <w:sz w:val="21"/>
              </w:rPr>
              <w:t>）</w:t>
            </w:r>
            <w:r>
              <w:rPr>
                <w:spacing w:val="-4"/>
                <w:sz w:val="21"/>
              </w:rPr>
              <w:t>》明确诊断；</w:t>
            </w:r>
          </w:p>
          <w:p>
            <w:pPr>
              <w:pStyle w:val="10"/>
              <w:numPr>
                <w:ilvl w:val="0"/>
                <w:numId w:val="127"/>
              </w:numPr>
              <w:tabs>
                <w:tab w:val="left" w:pos="638"/>
              </w:tabs>
              <w:spacing w:before="43" w:after="0" w:line="278" w:lineRule="auto"/>
              <w:ind w:left="108" w:right="1793" w:firstLine="0"/>
              <w:jc w:val="left"/>
              <w:rPr>
                <w:sz w:val="21"/>
              </w:rPr>
            </w:pPr>
            <w:r>
              <w:rPr>
                <w:spacing w:val="-2"/>
                <w:sz w:val="21"/>
              </w:rPr>
              <w:t>出现下列一种或多种严重登革热的临床表现： a.血浆渗漏致休克或胸腔积液伴呼吸困难；</w:t>
            </w:r>
          </w:p>
          <w:p>
            <w:pPr>
              <w:pStyle w:val="10"/>
              <w:spacing w:before="0" w:line="278" w:lineRule="auto"/>
              <w:ind w:left="108" w:right="73"/>
              <w:rPr>
                <w:sz w:val="21"/>
              </w:rPr>
            </w:pPr>
            <w:r>
              <w:rPr>
                <w:spacing w:val="-2"/>
                <w:sz w:val="21"/>
              </w:rPr>
              <w:t>b.严重出血：消化道出血、阴道大出血、颅内出血、肉眼血尿或皮下血肿（不包括皮下出血点</w:t>
            </w:r>
            <w:r>
              <w:rPr>
                <w:spacing w:val="-108"/>
                <w:sz w:val="21"/>
              </w:rPr>
              <w:t>）</w:t>
            </w:r>
            <w:r>
              <w:rPr>
                <w:sz w:val="21"/>
              </w:rPr>
              <w:t>；</w:t>
            </w:r>
          </w:p>
          <w:p>
            <w:pPr>
              <w:pStyle w:val="10"/>
              <w:spacing w:before="0" w:line="269" w:lineRule="exact"/>
              <w:ind w:left="108"/>
              <w:rPr>
                <w:sz w:val="21"/>
              </w:rPr>
            </w:pPr>
            <w:r>
              <w:rPr>
                <w:spacing w:val="-4"/>
                <w:sz w:val="21"/>
              </w:rPr>
              <w:t>c.严重器官损害或衰竭：肝脏损伤(ALT</w:t>
            </w:r>
            <w:r>
              <w:rPr>
                <w:spacing w:val="-19"/>
                <w:sz w:val="21"/>
              </w:rPr>
              <w:t xml:space="preserve"> 或 </w:t>
            </w:r>
            <w:r>
              <w:rPr>
                <w:spacing w:val="-4"/>
                <w:sz w:val="21"/>
              </w:rPr>
              <w:t>AST&gt;1000IU/L)、ARDS（</w:t>
            </w:r>
            <w:r>
              <w:rPr>
                <w:spacing w:val="-7"/>
                <w:sz w:val="21"/>
              </w:rPr>
              <w:t>急性</w:t>
            </w:r>
          </w:p>
          <w:p>
            <w:pPr>
              <w:pStyle w:val="10"/>
              <w:spacing w:before="43"/>
              <w:ind w:left="108"/>
              <w:rPr>
                <w:sz w:val="21"/>
              </w:rPr>
            </w:pPr>
            <w:r>
              <w:rPr>
                <w:spacing w:val="-2"/>
                <w:sz w:val="21"/>
              </w:rPr>
              <w:t>呼吸窘迫综合征</w:t>
            </w:r>
            <w:r>
              <w:rPr>
                <w:spacing w:val="-106"/>
                <w:sz w:val="21"/>
              </w:rPr>
              <w:t>）</w:t>
            </w:r>
            <w:r>
              <w:rPr>
                <w:spacing w:val="-3"/>
                <w:sz w:val="21"/>
              </w:rPr>
              <w:t>、急性心功能衰竭、急性肾功能衰竭、脑病。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08" w:hRule="atLeast"/>
        </w:trPr>
        <w:tc>
          <w:tcPr>
            <w:tcW w:w="1080" w:type="dxa"/>
            <w:tcBorders>
              <w:left w:val="single" w:color="000000" w:sz="12" w:space="0"/>
            </w:tcBorders>
          </w:tcPr>
          <w:p>
            <w:pPr>
              <w:pStyle w:val="10"/>
              <w:ind w:left="318" w:right="289"/>
              <w:jc w:val="center"/>
              <w:rPr>
                <w:sz w:val="21"/>
              </w:rPr>
            </w:pPr>
            <w:r>
              <w:rPr>
                <w:spacing w:val="-5"/>
                <w:sz w:val="21"/>
              </w:rPr>
              <w:t>36</w:t>
            </w:r>
          </w:p>
        </w:tc>
        <w:tc>
          <w:tcPr>
            <w:tcW w:w="2196" w:type="dxa"/>
          </w:tcPr>
          <w:p>
            <w:pPr>
              <w:pStyle w:val="10"/>
              <w:ind w:left="117"/>
              <w:rPr>
                <w:sz w:val="21"/>
              </w:rPr>
            </w:pPr>
            <w:r>
              <w:rPr>
                <w:spacing w:val="-4"/>
                <w:sz w:val="21"/>
              </w:rPr>
              <w:t>角膜移植术</w:t>
            </w:r>
          </w:p>
        </w:tc>
        <w:tc>
          <w:tcPr>
            <w:tcW w:w="6663" w:type="dxa"/>
            <w:tcBorders>
              <w:right w:val="single" w:color="000000" w:sz="12" w:space="0"/>
            </w:tcBorders>
          </w:tcPr>
          <w:p>
            <w:pPr>
              <w:pStyle w:val="10"/>
              <w:spacing w:line="278" w:lineRule="auto"/>
              <w:ind w:left="108" w:right="70"/>
              <w:rPr>
                <w:sz w:val="21"/>
              </w:rPr>
            </w:pPr>
            <w:r>
              <w:rPr>
                <w:spacing w:val="-5"/>
                <w:sz w:val="21"/>
              </w:rPr>
              <w:t>指因角膜病变或意外伤害导致视力丧失或视力严重损害，被保险人实际</w:t>
            </w:r>
            <w:r>
              <w:rPr>
                <w:spacing w:val="-2"/>
                <w:sz w:val="21"/>
              </w:rPr>
              <w:t>接受了同种（人类）异体角膜移植手术以恢复视力。</w:t>
            </w:r>
          </w:p>
          <w:p>
            <w:pPr>
              <w:pStyle w:val="10"/>
              <w:spacing w:before="0" w:line="278" w:lineRule="auto"/>
              <w:ind w:left="108" w:right="216"/>
              <w:rPr>
                <w:sz w:val="21"/>
              </w:rPr>
            </w:pPr>
            <w:r>
              <w:rPr>
                <w:spacing w:val="-2"/>
                <w:sz w:val="21"/>
              </w:rPr>
              <w:t>角膜移植手术包括全层角膜移植术、板层角膜移植术和角膜内皮移植</w:t>
            </w:r>
            <w:r>
              <w:rPr>
                <w:spacing w:val="-6"/>
                <w:sz w:val="21"/>
              </w:rPr>
              <w:t>术。</w:t>
            </w:r>
          </w:p>
          <w:p>
            <w:pPr>
              <w:pStyle w:val="10"/>
              <w:spacing w:before="0" w:line="278" w:lineRule="auto"/>
              <w:ind w:left="108" w:right="72"/>
              <w:rPr>
                <w:rFonts w:ascii="黑体" w:eastAsia="黑体"/>
                <w:sz w:val="21"/>
              </w:rPr>
            </w:pPr>
            <w:r>
              <w:rPr>
                <w:rFonts w:ascii="黑体" w:eastAsia="黑体"/>
                <w:color w:val="000000"/>
                <w:spacing w:val="-2"/>
                <w:sz w:val="21"/>
                <w:shd w:val="clear" w:color="auto" w:fill="D9D9D9"/>
              </w:rPr>
              <w:t>单纯角膜细胞移植，自体角膜缘细胞移植，非同种来源角膜或人工角膜</w:t>
            </w:r>
            <w:r>
              <w:rPr>
                <w:rFonts w:ascii="黑体" w:eastAsia="黑体"/>
                <w:color w:val="000000"/>
                <w:spacing w:val="80"/>
                <w:w w:val="150"/>
                <w:sz w:val="21"/>
                <w:shd w:val="clear" w:color="auto" w:fill="D9D9D9"/>
              </w:rPr>
              <w:t xml:space="preserve">                                   </w:t>
            </w:r>
            <w:r>
              <w:rPr>
                <w:rFonts w:ascii="黑体" w:eastAsia="黑体"/>
                <w:color w:val="000000"/>
                <w:spacing w:val="-2"/>
                <w:sz w:val="21"/>
                <w:shd w:val="clear" w:color="auto" w:fill="D9D9D9"/>
              </w:rPr>
              <w:t>的移植不在保障范围内。</w:t>
            </w:r>
          </w:p>
          <w:p>
            <w:pPr>
              <w:pStyle w:val="10"/>
              <w:spacing w:before="0" w:line="278" w:lineRule="auto"/>
              <w:ind w:left="108" w:right="74"/>
              <w:rPr>
                <w:rFonts w:ascii="黑体" w:hAnsi="黑体" w:eastAsia="黑体"/>
                <w:sz w:val="21"/>
              </w:rPr>
            </w:pPr>
            <w:r>
              <w:rPr>
                <w:rFonts w:ascii="黑体" w:hAnsi="黑体" w:eastAsia="黑体"/>
                <w:color w:val="000000"/>
                <w:spacing w:val="-15"/>
                <w:sz w:val="21"/>
                <w:shd w:val="clear" w:color="auto" w:fill="D9D9D9"/>
              </w:rPr>
              <w:t>我们仅对“角膜移植术”、“ 单眼失明 – 三周岁开始理赔”和“视力</w:t>
            </w:r>
            <w:r>
              <w:rPr>
                <w:rFonts w:ascii="黑体" w:hAnsi="黑体" w:eastAsia="黑体"/>
                <w:color w:val="000000"/>
                <w:spacing w:val="80"/>
                <w:w w:val="150"/>
                <w:sz w:val="21"/>
                <w:shd w:val="clear" w:color="auto" w:fill="D9D9D9"/>
              </w:rPr>
              <w:t xml:space="preserve">                                   </w:t>
            </w:r>
            <w:r>
              <w:rPr>
                <w:rFonts w:ascii="黑体" w:hAnsi="黑体" w:eastAsia="黑体"/>
                <w:color w:val="000000"/>
                <w:spacing w:val="-5"/>
                <w:sz w:val="21"/>
                <w:shd w:val="clear" w:color="auto" w:fill="D9D9D9"/>
              </w:rPr>
              <w:t>严重损害–三周岁始理赔”三项中的其中一项承担保险责任，给付其中</w:t>
            </w:r>
          </w:p>
          <w:p>
            <w:pPr>
              <w:pStyle w:val="10"/>
              <w:spacing w:before="0" w:line="269" w:lineRule="exact"/>
              <w:ind w:left="108"/>
              <w:rPr>
                <w:rFonts w:ascii="黑体" w:eastAsia="黑体"/>
                <w:sz w:val="21"/>
              </w:rPr>
            </w:pPr>
            <w:r>
              <w:rPr>
                <w:rFonts w:ascii="黑体" w:eastAsia="黑体"/>
                <w:color w:val="000000"/>
                <w:spacing w:val="-3"/>
                <w:sz w:val="21"/>
                <w:shd w:val="clear" w:color="auto" w:fill="D9D9D9"/>
              </w:rPr>
              <w:t>一项保险金后，对其他两项疾病保险责任同时终止。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0" w:hRule="atLeast"/>
        </w:trPr>
        <w:tc>
          <w:tcPr>
            <w:tcW w:w="1080" w:type="dxa"/>
            <w:tcBorders>
              <w:left w:val="single" w:color="000000" w:sz="12" w:space="0"/>
            </w:tcBorders>
          </w:tcPr>
          <w:p>
            <w:pPr>
              <w:pStyle w:val="10"/>
              <w:ind w:left="318" w:right="289"/>
              <w:jc w:val="center"/>
              <w:rPr>
                <w:sz w:val="21"/>
              </w:rPr>
            </w:pPr>
            <w:r>
              <w:rPr>
                <w:spacing w:val="-5"/>
                <w:sz w:val="21"/>
              </w:rPr>
              <w:t>37</w:t>
            </w:r>
          </w:p>
        </w:tc>
        <w:tc>
          <w:tcPr>
            <w:tcW w:w="2196" w:type="dxa"/>
          </w:tcPr>
          <w:p>
            <w:pPr>
              <w:pStyle w:val="10"/>
              <w:spacing w:line="278" w:lineRule="auto"/>
              <w:ind w:left="117" w:right="74"/>
              <w:rPr>
                <w:sz w:val="21"/>
              </w:rPr>
            </w:pPr>
            <w:r>
              <w:rPr>
                <w:sz w:val="21"/>
              </w:rPr>
              <w:t>单眼失明–三周岁开</w:t>
            </w:r>
            <w:r>
              <w:rPr>
                <w:spacing w:val="-4"/>
                <w:sz w:val="21"/>
              </w:rPr>
              <w:t>始理赔</w:t>
            </w:r>
          </w:p>
        </w:tc>
        <w:tc>
          <w:tcPr>
            <w:tcW w:w="6663" w:type="dxa"/>
            <w:tcBorders>
              <w:right w:val="single" w:color="000000" w:sz="12" w:space="0"/>
            </w:tcBorders>
          </w:tcPr>
          <w:p>
            <w:pPr>
              <w:pStyle w:val="10"/>
              <w:spacing w:line="278" w:lineRule="auto"/>
              <w:ind w:left="108" w:right="70"/>
              <w:rPr>
                <w:sz w:val="21"/>
              </w:rPr>
            </w:pPr>
            <w:r>
              <w:rPr>
                <w:spacing w:val="-5"/>
                <w:sz w:val="21"/>
              </w:rPr>
              <w:t>指因疾病或意外伤害导致一眼视力永久不可逆性丧失，满足下列条件之</w:t>
            </w:r>
            <w:r>
              <w:rPr>
                <w:spacing w:val="-6"/>
                <w:sz w:val="21"/>
              </w:rPr>
              <w:t>一：</w:t>
            </w:r>
          </w:p>
          <w:p>
            <w:pPr>
              <w:pStyle w:val="10"/>
              <w:numPr>
                <w:ilvl w:val="0"/>
                <w:numId w:val="128"/>
              </w:numPr>
              <w:tabs>
                <w:tab w:val="left" w:pos="638"/>
              </w:tabs>
              <w:spacing w:before="0" w:after="0" w:line="269" w:lineRule="exact"/>
              <w:ind w:left="637" w:right="0" w:hanging="530"/>
              <w:jc w:val="left"/>
              <w:rPr>
                <w:sz w:val="21"/>
              </w:rPr>
            </w:pPr>
            <w:r>
              <w:rPr>
                <w:spacing w:val="-4"/>
                <w:sz w:val="21"/>
              </w:rPr>
              <w:t>眼球缺失或摘除；</w:t>
            </w:r>
          </w:p>
          <w:p>
            <w:pPr>
              <w:pStyle w:val="10"/>
              <w:numPr>
                <w:ilvl w:val="0"/>
                <w:numId w:val="128"/>
              </w:numPr>
              <w:tabs>
                <w:tab w:val="left" w:pos="638"/>
              </w:tabs>
              <w:spacing w:before="43" w:after="0" w:line="278" w:lineRule="auto"/>
              <w:ind w:left="108" w:right="73" w:firstLine="0"/>
              <w:jc w:val="left"/>
              <w:rPr>
                <w:sz w:val="21"/>
              </w:rPr>
            </w:pPr>
            <w:r>
              <w:rPr>
                <w:spacing w:val="-8"/>
                <w:sz w:val="21"/>
              </w:rPr>
              <w:t xml:space="preserve">矫正视力低于 </w:t>
            </w:r>
            <w:r>
              <w:rPr>
                <w:spacing w:val="-2"/>
                <w:sz w:val="21"/>
              </w:rPr>
              <w:t>0.02（采用国际标准视力表，如果使用其它视力表应进行换算</w:t>
            </w:r>
            <w:r>
              <w:rPr>
                <w:spacing w:val="-106"/>
                <w:sz w:val="21"/>
              </w:rPr>
              <w:t>）</w:t>
            </w:r>
            <w:r>
              <w:rPr>
                <w:sz w:val="21"/>
              </w:rPr>
              <w:t>；</w:t>
            </w:r>
          </w:p>
          <w:p>
            <w:pPr>
              <w:pStyle w:val="10"/>
              <w:spacing w:before="0" w:line="278" w:lineRule="auto"/>
              <w:ind w:left="108" w:right="72"/>
              <w:rPr>
                <w:rFonts w:ascii="黑体" w:eastAsia="黑体"/>
                <w:sz w:val="21"/>
              </w:rPr>
            </w:pPr>
            <w:r>
              <w:rPr>
                <w:rFonts w:ascii="黑体" w:eastAsia="黑体"/>
                <w:color w:val="000000"/>
                <w:spacing w:val="-6"/>
                <w:sz w:val="21"/>
                <w:shd w:val="clear" w:color="auto" w:fill="D9D9D9"/>
              </w:rPr>
              <w:t>被保险人申请理赔时年龄必须在三周岁以上，并且提供理赔当时的视力</w:t>
            </w:r>
            <w:r>
              <w:rPr>
                <w:rFonts w:ascii="黑体" w:eastAsia="黑体"/>
                <w:color w:val="000000"/>
                <w:spacing w:val="80"/>
                <w:w w:val="150"/>
                <w:sz w:val="21"/>
                <w:shd w:val="clear" w:color="auto" w:fill="D9D9D9"/>
              </w:rPr>
              <w:t xml:space="preserve">                                   </w:t>
            </w:r>
            <w:r>
              <w:rPr>
                <w:rFonts w:ascii="黑体" w:eastAsia="黑体"/>
                <w:color w:val="000000"/>
                <w:spacing w:val="-2"/>
                <w:sz w:val="21"/>
                <w:shd w:val="clear" w:color="auto" w:fill="D9D9D9"/>
              </w:rPr>
              <w:t>丧失诊断及检查证据。</w:t>
            </w:r>
          </w:p>
          <w:p>
            <w:pPr>
              <w:pStyle w:val="10"/>
              <w:spacing w:before="0" w:line="278" w:lineRule="auto"/>
              <w:ind w:left="108" w:right="74"/>
              <w:rPr>
                <w:rFonts w:ascii="黑体" w:hAnsi="黑体" w:eastAsia="黑体"/>
                <w:sz w:val="21"/>
              </w:rPr>
            </w:pPr>
            <w:r>
              <w:rPr>
                <w:rFonts w:ascii="黑体" w:hAnsi="黑体" w:eastAsia="黑体"/>
                <w:color w:val="000000"/>
                <w:spacing w:val="-15"/>
                <w:sz w:val="21"/>
                <w:shd w:val="clear" w:color="auto" w:fill="D9D9D9"/>
              </w:rPr>
              <w:t>我们仅对“角膜移植术”、“ 单眼失明 – 三周岁开始理赔”和“视力</w:t>
            </w:r>
            <w:r>
              <w:rPr>
                <w:rFonts w:ascii="黑体" w:hAnsi="黑体" w:eastAsia="黑体"/>
                <w:color w:val="000000"/>
                <w:spacing w:val="80"/>
                <w:w w:val="150"/>
                <w:sz w:val="21"/>
                <w:shd w:val="clear" w:color="auto" w:fill="D9D9D9"/>
              </w:rPr>
              <w:t xml:space="preserve">                                   </w:t>
            </w:r>
            <w:r>
              <w:rPr>
                <w:rFonts w:ascii="黑体" w:hAnsi="黑体" w:eastAsia="黑体"/>
                <w:color w:val="000000"/>
                <w:spacing w:val="-5"/>
                <w:sz w:val="21"/>
                <w:shd w:val="clear" w:color="auto" w:fill="D9D9D9"/>
              </w:rPr>
              <w:t>严重损害–三周岁始理赔”三项中的其中一项承担保险责任，给付其中</w:t>
            </w:r>
          </w:p>
          <w:p>
            <w:pPr>
              <w:pStyle w:val="10"/>
              <w:spacing w:before="0" w:line="269" w:lineRule="exact"/>
              <w:ind w:left="108"/>
              <w:rPr>
                <w:rFonts w:ascii="黑体" w:eastAsia="黑体"/>
                <w:sz w:val="21"/>
              </w:rPr>
            </w:pPr>
            <w:r>
              <w:rPr>
                <w:rFonts w:ascii="黑体" w:eastAsia="黑体"/>
                <w:color w:val="000000"/>
                <w:spacing w:val="-3"/>
                <w:sz w:val="21"/>
                <w:shd w:val="clear" w:color="auto" w:fill="D9D9D9"/>
              </w:rPr>
              <w:t>一项保险金后，对其他两项疾病保险责任同时终止。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0" w:hRule="atLeast"/>
        </w:trPr>
        <w:tc>
          <w:tcPr>
            <w:tcW w:w="1080" w:type="dxa"/>
            <w:tcBorders>
              <w:left w:val="single" w:color="000000" w:sz="12" w:space="0"/>
            </w:tcBorders>
          </w:tcPr>
          <w:p>
            <w:pPr>
              <w:pStyle w:val="10"/>
              <w:ind w:left="318" w:right="289"/>
              <w:jc w:val="center"/>
              <w:rPr>
                <w:sz w:val="21"/>
              </w:rPr>
            </w:pPr>
            <w:r>
              <w:rPr>
                <w:spacing w:val="-5"/>
                <w:sz w:val="21"/>
              </w:rPr>
              <w:t>38</w:t>
            </w:r>
          </w:p>
        </w:tc>
        <w:tc>
          <w:tcPr>
            <w:tcW w:w="2196" w:type="dxa"/>
          </w:tcPr>
          <w:p>
            <w:pPr>
              <w:pStyle w:val="10"/>
              <w:spacing w:line="278" w:lineRule="auto"/>
              <w:ind w:left="117" w:right="83"/>
              <w:rPr>
                <w:sz w:val="21"/>
              </w:rPr>
            </w:pPr>
            <w:r>
              <w:rPr>
                <w:sz w:val="21"/>
              </w:rPr>
              <w:t>视力严重损害–三周</w:t>
            </w:r>
            <w:r>
              <w:rPr>
                <w:spacing w:val="-4"/>
                <w:sz w:val="21"/>
              </w:rPr>
              <w:t>岁始理赔</w:t>
            </w:r>
          </w:p>
        </w:tc>
        <w:tc>
          <w:tcPr>
            <w:tcW w:w="6663" w:type="dxa"/>
            <w:tcBorders>
              <w:right w:val="single" w:color="000000" w:sz="12" w:space="0"/>
            </w:tcBorders>
          </w:tcPr>
          <w:p>
            <w:pPr>
              <w:pStyle w:val="10"/>
              <w:spacing w:line="278" w:lineRule="auto"/>
              <w:ind w:left="108" w:right="70"/>
              <w:rPr>
                <w:sz w:val="21"/>
              </w:rPr>
            </w:pPr>
            <w:r>
              <w:rPr>
                <w:spacing w:val="-5"/>
                <w:sz w:val="21"/>
              </w:rPr>
              <w:t>指因疾病或意外伤害导致双目视力永久不可逆性丧失，满足下列条件之</w:t>
            </w:r>
            <w:r>
              <w:rPr>
                <w:spacing w:val="-6"/>
                <w:sz w:val="21"/>
              </w:rPr>
              <w:t>一：</w:t>
            </w:r>
          </w:p>
          <w:p>
            <w:pPr>
              <w:pStyle w:val="10"/>
              <w:numPr>
                <w:ilvl w:val="0"/>
                <w:numId w:val="129"/>
              </w:numPr>
              <w:tabs>
                <w:tab w:val="left" w:pos="640"/>
              </w:tabs>
              <w:spacing w:before="0" w:after="0" w:line="278" w:lineRule="auto"/>
              <w:ind w:left="108" w:right="76" w:firstLine="0"/>
              <w:jc w:val="left"/>
              <w:rPr>
                <w:sz w:val="21"/>
              </w:rPr>
            </w:pPr>
            <w:r>
              <w:rPr>
                <w:sz w:val="21"/>
              </w:rPr>
              <w:t>双眼中较好眼矫正视力低于 0.1（采用国际标准视力表，如果使</w:t>
            </w:r>
            <w:r>
              <w:rPr>
                <w:spacing w:val="-2"/>
                <w:sz w:val="21"/>
              </w:rPr>
              <w:t>用其他视力表应进行换算</w:t>
            </w:r>
            <w:r>
              <w:rPr>
                <w:spacing w:val="-108"/>
                <w:sz w:val="21"/>
              </w:rPr>
              <w:t>）</w:t>
            </w:r>
            <w:r>
              <w:rPr>
                <w:sz w:val="21"/>
              </w:rPr>
              <w:t>；</w:t>
            </w:r>
          </w:p>
          <w:p>
            <w:pPr>
              <w:pStyle w:val="10"/>
              <w:numPr>
                <w:ilvl w:val="0"/>
                <w:numId w:val="129"/>
              </w:numPr>
              <w:tabs>
                <w:tab w:val="left" w:pos="638"/>
              </w:tabs>
              <w:spacing w:before="0" w:after="0" w:line="269" w:lineRule="exact"/>
              <w:ind w:left="637" w:right="0" w:hanging="530"/>
              <w:jc w:val="left"/>
              <w:rPr>
                <w:sz w:val="21"/>
              </w:rPr>
            </w:pPr>
            <w:r>
              <w:rPr>
                <w:spacing w:val="-6"/>
                <w:sz w:val="21"/>
              </w:rPr>
              <w:t xml:space="preserve">双眼中较好眼视野半径小于 </w:t>
            </w:r>
            <w:r>
              <w:rPr>
                <w:spacing w:val="-2"/>
                <w:sz w:val="21"/>
              </w:rPr>
              <w:t>20</w:t>
            </w:r>
            <w:r>
              <w:rPr>
                <w:spacing w:val="-21"/>
                <w:sz w:val="21"/>
              </w:rPr>
              <w:t xml:space="preserve"> 度。</w:t>
            </w:r>
          </w:p>
          <w:p>
            <w:pPr>
              <w:pStyle w:val="10"/>
              <w:spacing w:before="43" w:line="278" w:lineRule="auto"/>
              <w:ind w:left="108" w:right="72"/>
              <w:rPr>
                <w:rFonts w:ascii="黑体" w:eastAsia="黑体"/>
                <w:sz w:val="21"/>
              </w:rPr>
            </w:pPr>
            <w:r>
              <w:rPr>
                <w:rFonts w:ascii="黑体" w:eastAsia="黑体"/>
                <w:color w:val="000000"/>
                <w:spacing w:val="-6"/>
                <w:sz w:val="21"/>
                <w:shd w:val="clear" w:color="auto" w:fill="D9D9D9"/>
              </w:rPr>
              <w:t>被保险人申请理赔时年龄必须在三周岁以上，并且提供理赔当时的视力</w:t>
            </w:r>
            <w:r>
              <w:rPr>
                <w:rFonts w:ascii="黑体" w:eastAsia="黑体"/>
                <w:color w:val="000000"/>
                <w:spacing w:val="80"/>
                <w:w w:val="150"/>
                <w:sz w:val="21"/>
                <w:shd w:val="clear" w:color="auto" w:fill="D9D9D9"/>
              </w:rPr>
              <w:t xml:space="preserve">                                   </w:t>
            </w:r>
            <w:r>
              <w:rPr>
                <w:rFonts w:ascii="黑体" w:eastAsia="黑体"/>
                <w:color w:val="000000"/>
                <w:spacing w:val="-2"/>
                <w:sz w:val="21"/>
                <w:shd w:val="clear" w:color="auto" w:fill="D9D9D9"/>
              </w:rPr>
              <w:t>丧失诊断及检查证据。</w:t>
            </w:r>
          </w:p>
          <w:p>
            <w:pPr>
              <w:pStyle w:val="10"/>
              <w:spacing w:before="0" w:line="278" w:lineRule="auto"/>
              <w:ind w:left="108" w:right="74"/>
              <w:rPr>
                <w:rFonts w:ascii="黑体" w:hAnsi="黑体" w:eastAsia="黑体"/>
                <w:sz w:val="21"/>
              </w:rPr>
            </w:pPr>
            <w:r>
              <w:rPr>
                <w:rFonts w:ascii="黑体" w:hAnsi="黑体" w:eastAsia="黑体"/>
                <w:color w:val="000000"/>
                <w:spacing w:val="-15"/>
                <w:sz w:val="21"/>
                <w:shd w:val="clear" w:color="auto" w:fill="D9D9D9"/>
              </w:rPr>
              <w:t>我们仅对“角膜移植术”、“ 单眼失明 – 三周岁开始理赔”和“视力</w:t>
            </w:r>
            <w:r>
              <w:rPr>
                <w:rFonts w:ascii="黑体" w:hAnsi="黑体" w:eastAsia="黑体"/>
                <w:color w:val="000000"/>
                <w:spacing w:val="80"/>
                <w:w w:val="150"/>
                <w:sz w:val="21"/>
                <w:shd w:val="clear" w:color="auto" w:fill="D9D9D9"/>
              </w:rPr>
              <w:t xml:space="preserve">                                   </w:t>
            </w:r>
            <w:r>
              <w:rPr>
                <w:rFonts w:ascii="黑体" w:hAnsi="黑体" w:eastAsia="黑体"/>
                <w:color w:val="000000"/>
                <w:spacing w:val="-5"/>
                <w:sz w:val="21"/>
                <w:shd w:val="clear" w:color="auto" w:fill="D9D9D9"/>
              </w:rPr>
              <w:t>严重损害–三周岁始理赔”三项中的其中一项承担保险责任，给付其中</w:t>
            </w:r>
          </w:p>
          <w:p>
            <w:pPr>
              <w:pStyle w:val="10"/>
              <w:spacing w:before="0" w:line="269" w:lineRule="exact"/>
              <w:ind w:left="108"/>
              <w:rPr>
                <w:rFonts w:ascii="黑体" w:eastAsia="黑体"/>
                <w:sz w:val="21"/>
              </w:rPr>
            </w:pPr>
            <w:r>
              <w:rPr>
                <w:rFonts w:ascii="黑体" w:eastAsia="黑体"/>
                <w:color w:val="000000"/>
                <w:spacing w:val="-3"/>
                <w:sz w:val="21"/>
                <w:shd w:val="clear" w:color="auto" w:fill="D9D9D9"/>
              </w:rPr>
              <w:t>一项保险金后，对其他两项疾病保险责任同时终止。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1" w:hRule="atLeast"/>
        </w:trPr>
        <w:tc>
          <w:tcPr>
            <w:tcW w:w="1080" w:type="dxa"/>
            <w:tcBorders>
              <w:left w:val="single" w:color="000000" w:sz="12" w:space="0"/>
            </w:tcBorders>
          </w:tcPr>
          <w:p>
            <w:pPr>
              <w:pStyle w:val="10"/>
              <w:spacing w:before="18"/>
              <w:ind w:left="318" w:right="289"/>
              <w:jc w:val="center"/>
              <w:rPr>
                <w:sz w:val="21"/>
              </w:rPr>
            </w:pPr>
            <w:r>
              <w:rPr>
                <w:spacing w:val="-5"/>
                <w:sz w:val="21"/>
              </w:rPr>
              <w:t>39</w:t>
            </w:r>
          </w:p>
        </w:tc>
        <w:tc>
          <w:tcPr>
            <w:tcW w:w="2196" w:type="dxa"/>
          </w:tcPr>
          <w:p>
            <w:pPr>
              <w:pStyle w:val="10"/>
              <w:spacing w:before="18"/>
              <w:ind w:left="117"/>
              <w:rPr>
                <w:sz w:val="21"/>
              </w:rPr>
            </w:pPr>
            <w:r>
              <w:rPr>
                <w:spacing w:val="-4"/>
                <w:sz w:val="21"/>
              </w:rPr>
              <w:t>人工耳蜗植入术</w:t>
            </w:r>
          </w:p>
        </w:tc>
        <w:tc>
          <w:tcPr>
            <w:tcW w:w="6663" w:type="dxa"/>
            <w:tcBorders>
              <w:right w:val="single" w:color="000000" w:sz="12" w:space="0"/>
            </w:tcBorders>
          </w:tcPr>
          <w:p>
            <w:pPr>
              <w:pStyle w:val="10"/>
              <w:spacing w:before="18" w:line="278" w:lineRule="auto"/>
              <w:ind w:left="108" w:right="72"/>
              <w:rPr>
                <w:sz w:val="21"/>
              </w:rPr>
            </w:pPr>
            <w:r>
              <w:rPr>
                <w:spacing w:val="-5"/>
                <w:sz w:val="21"/>
              </w:rPr>
              <w:t>指因后天性疾病或意外伤害导致严重听力障碍，助听器及其他助听装置</w:t>
            </w:r>
            <w:r>
              <w:rPr>
                <w:spacing w:val="-2"/>
                <w:sz w:val="21"/>
              </w:rPr>
              <w:t>不能改善听力，已经实际接受了人工耳蜗植入手术。</w:t>
            </w:r>
          </w:p>
          <w:p>
            <w:pPr>
              <w:pStyle w:val="10"/>
              <w:spacing w:before="0" w:line="269" w:lineRule="exact"/>
              <w:ind w:left="108"/>
              <w:rPr>
                <w:rFonts w:ascii="黑体" w:eastAsia="黑体"/>
                <w:sz w:val="21"/>
              </w:rPr>
            </w:pPr>
            <w:r>
              <w:rPr>
                <w:rFonts w:ascii="黑体" w:eastAsia="黑体"/>
                <w:color w:val="000000"/>
                <w:spacing w:val="-3"/>
                <w:sz w:val="21"/>
                <w:shd w:val="clear" w:color="auto" w:fill="D9D9D9"/>
              </w:rPr>
              <w:t>先天性聋哑不在保障范围内。</w:t>
            </w:r>
          </w:p>
          <w:p>
            <w:pPr>
              <w:pStyle w:val="10"/>
              <w:spacing w:before="2" w:line="310" w:lineRule="atLeast"/>
              <w:ind w:left="108" w:right="72"/>
              <w:rPr>
                <w:rFonts w:ascii="黑体" w:hAnsi="黑体" w:eastAsia="黑体"/>
                <w:sz w:val="21"/>
              </w:rPr>
            </w:pPr>
            <w:r>
              <w:rPr>
                <w:rFonts w:ascii="黑体" w:hAnsi="黑体" w:eastAsia="黑体"/>
                <w:color w:val="000000"/>
                <w:spacing w:val="-15"/>
                <w:sz w:val="21"/>
                <w:shd w:val="clear" w:color="auto" w:fill="D9D9D9"/>
              </w:rPr>
              <w:t>我们对“单耳失聪”、“ 双耳听力严重损害”和“人工耳蜗植入术”三</w:t>
            </w:r>
            <w:r>
              <w:rPr>
                <w:rFonts w:ascii="黑体" w:hAnsi="黑体" w:eastAsia="黑体"/>
                <w:color w:val="000000"/>
                <w:spacing w:val="80"/>
                <w:w w:val="150"/>
                <w:sz w:val="21"/>
                <w:shd w:val="clear" w:color="auto" w:fill="D9D9D9"/>
              </w:rPr>
              <w:t xml:space="preserve">                                   </w:t>
            </w:r>
            <w:r>
              <w:rPr>
                <w:rFonts w:ascii="黑体" w:hAnsi="黑体" w:eastAsia="黑体"/>
                <w:color w:val="000000"/>
                <w:spacing w:val="-5"/>
                <w:sz w:val="21"/>
                <w:shd w:val="clear" w:color="auto" w:fill="D9D9D9"/>
              </w:rPr>
              <w:t>项中的其中一项承担保险责任，给付其中一项保险金后，对其它两项特</w:t>
            </w:r>
          </w:p>
        </w:tc>
      </w:tr>
    </w:tbl>
    <w:p>
      <w:pPr>
        <w:spacing w:after="0" w:line="310" w:lineRule="atLeast"/>
        <w:rPr>
          <w:rFonts w:ascii="黑体" w:hAnsi="黑体" w:eastAsia="黑体"/>
          <w:sz w:val="21"/>
        </w:rPr>
        <w:sectPr>
          <w:type w:val="continuous"/>
          <w:pgSz w:w="11910" w:h="16840"/>
          <w:pgMar w:top="840" w:right="340" w:bottom="1423" w:left="800" w:header="0" w:footer="457" w:gutter="0"/>
          <w:cols w:space="720" w:num="1"/>
        </w:sectPr>
      </w:pPr>
    </w:p>
    <w:tbl>
      <w:tblPr>
        <w:tblStyle w:val="6"/>
        <w:tblW w:w="0" w:type="auto"/>
        <w:tblInd w:w="22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80"/>
        <w:gridCol w:w="2196"/>
        <w:gridCol w:w="666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080" w:type="dxa"/>
            <w:tcBorders>
              <w:left w:val="single" w:color="000000" w:sz="12" w:space="0"/>
            </w:tcBorders>
          </w:tcPr>
          <w:p>
            <w:pPr>
              <w:pStyle w:val="10"/>
              <w:spacing w:before="0"/>
              <w:ind w:left="0"/>
              <w:rPr>
                <w:rFonts w:ascii="Times New Roman"/>
                <w:sz w:val="20"/>
              </w:rPr>
            </w:pPr>
          </w:p>
        </w:tc>
        <w:tc>
          <w:tcPr>
            <w:tcW w:w="2196" w:type="dxa"/>
          </w:tcPr>
          <w:p>
            <w:pPr>
              <w:pStyle w:val="10"/>
              <w:spacing w:before="0"/>
              <w:ind w:left="0"/>
              <w:rPr>
                <w:rFonts w:ascii="Times New Roman"/>
                <w:sz w:val="20"/>
              </w:rPr>
            </w:pPr>
          </w:p>
        </w:tc>
        <w:tc>
          <w:tcPr>
            <w:tcW w:w="6663" w:type="dxa"/>
            <w:tcBorders>
              <w:right w:val="single" w:color="000000" w:sz="12" w:space="0"/>
            </w:tcBorders>
          </w:tcPr>
          <w:p>
            <w:pPr>
              <w:pStyle w:val="10"/>
              <w:ind w:left="108"/>
              <w:rPr>
                <w:rFonts w:ascii="黑体" w:eastAsia="黑体"/>
                <w:sz w:val="21"/>
              </w:rPr>
            </w:pPr>
            <w:r>
              <w:rPr>
                <w:rFonts w:ascii="黑体" w:eastAsia="黑体"/>
                <w:color w:val="000000"/>
                <w:spacing w:val="-3"/>
                <w:sz w:val="21"/>
                <w:shd w:val="clear" w:color="auto" w:fill="D9D9D9"/>
              </w:rPr>
              <w:t>定疾病保险责任同时终止。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5" w:hRule="atLeast"/>
        </w:trPr>
        <w:tc>
          <w:tcPr>
            <w:tcW w:w="1080" w:type="dxa"/>
            <w:tcBorders>
              <w:left w:val="single" w:color="000000" w:sz="12" w:space="0"/>
            </w:tcBorders>
          </w:tcPr>
          <w:p>
            <w:pPr>
              <w:pStyle w:val="10"/>
              <w:ind w:left="318" w:right="289"/>
              <w:jc w:val="center"/>
              <w:rPr>
                <w:sz w:val="21"/>
              </w:rPr>
            </w:pPr>
            <w:r>
              <w:rPr>
                <w:spacing w:val="-5"/>
                <w:sz w:val="21"/>
              </w:rPr>
              <w:t>40</w:t>
            </w:r>
          </w:p>
        </w:tc>
        <w:tc>
          <w:tcPr>
            <w:tcW w:w="2196" w:type="dxa"/>
          </w:tcPr>
          <w:p>
            <w:pPr>
              <w:pStyle w:val="10"/>
              <w:spacing w:line="278" w:lineRule="auto"/>
              <w:ind w:left="117" w:right="74"/>
              <w:rPr>
                <w:sz w:val="21"/>
              </w:rPr>
            </w:pPr>
            <w:r>
              <w:rPr>
                <w:sz w:val="21"/>
              </w:rPr>
              <w:t>单耳失聪–三周岁开</w:t>
            </w:r>
            <w:r>
              <w:rPr>
                <w:spacing w:val="-4"/>
                <w:sz w:val="21"/>
              </w:rPr>
              <w:t>始理赔</w:t>
            </w:r>
          </w:p>
        </w:tc>
        <w:tc>
          <w:tcPr>
            <w:tcW w:w="6663" w:type="dxa"/>
            <w:tcBorders>
              <w:right w:val="single" w:color="000000" w:sz="12" w:space="0"/>
            </w:tcBorders>
          </w:tcPr>
          <w:p>
            <w:pPr>
              <w:pStyle w:val="10"/>
              <w:ind w:left="108"/>
              <w:rPr>
                <w:sz w:val="21"/>
              </w:rPr>
            </w:pPr>
            <w:r>
              <w:rPr>
                <w:sz w:val="21"/>
              </w:rPr>
              <w:t>指因疾病或意外伤害导致一耳听力永久不可逆性丧失，在 500</w:t>
            </w:r>
            <w:r>
              <w:rPr>
                <w:spacing w:val="-3"/>
                <w:sz w:val="21"/>
              </w:rPr>
              <w:t xml:space="preserve"> 赫兹、</w:t>
            </w:r>
          </w:p>
          <w:p>
            <w:pPr>
              <w:pStyle w:val="10"/>
              <w:spacing w:before="43" w:line="278" w:lineRule="auto"/>
              <w:ind w:left="108" w:right="72"/>
              <w:rPr>
                <w:sz w:val="21"/>
              </w:rPr>
            </w:pPr>
            <w:r>
              <w:rPr>
                <w:sz w:val="21"/>
              </w:rPr>
              <w:t>1000</w:t>
            </w:r>
            <w:r>
              <w:rPr>
                <w:spacing w:val="-15"/>
                <w:sz w:val="21"/>
              </w:rPr>
              <w:t xml:space="preserve"> 赫兹和 </w:t>
            </w:r>
            <w:r>
              <w:rPr>
                <w:sz w:val="21"/>
              </w:rPr>
              <w:t>2000</w:t>
            </w:r>
            <w:r>
              <w:rPr>
                <w:spacing w:val="-8"/>
                <w:sz w:val="21"/>
              </w:rPr>
              <w:t xml:space="preserve"> 赫兹语音频率下，平均听阈大于等于 </w:t>
            </w:r>
            <w:r>
              <w:rPr>
                <w:sz w:val="21"/>
              </w:rPr>
              <w:t>91</w:t>
            </w:r>
            <w:r>
              <w:rPr>
                <w:spacing w:val="-7"/>
                <w:sz w:val="21"/>
              </w:rPr>
              <w:t xml:space="preserve"> 分贝，且经</w:t>
            </w:r>
            <w:r>
              <w:rPr>
                <w:spacing w:val="-2"/>
                <w:sz w:val="21"/>
              </w:rPr>
              <w:t>纯音听力测试、声导抗检测或听觉诱发电位检测等证实。</w:t>
            </w:r>
          </w:p>
          <w:p>
            <w:pPr>
              <w:pStyle w:val="10"/>
              <w:spacing w:before="0" w:line="278" w:lineRule="auto"/>
              <w:ind w:left="108" w:right="72"/>
              <w:rPr>
                <w:rFonts w:ascii="黑体" w:eastAsia="黑体"/>
                <w:sz w:val="21"/>
              </w:rPr>
            </w:pPr>
            <w:r>
              <w:rPr>
                <w:rFonts w:ascii="黑体" w:eastAsia="黑体"/>
                <w:color w:val="000000"/>
                <w:spacing w:val="-6"/>
                <w:sz w:val="21"/>
                <w:shd w:val="clear" w:color="auto" w:fill="D9D9D9"/>
              </w:rPr>
              <w:t>被保险人申请理赔时年龄必须在三周岁以上，并且提供理赔当时的听力</w:t>
            </w:r>
            <w:r>
              <w:rPr>
                <w:rFonts w:ascii="黑体" w:eastAsia="黑体"/>
                <w:color w:val="000000"/>
                <w:spacing w:val="80"/>
                <w:w w:val="150"/>
                <w:sz w:val="21"/>
                <w:shd w:val="clear" w:color="auto" w:fill="D9D9D9"/>
              </w:rPr>
              <w:t xml:space="preserve">                                   </w:t>
            </w:r>
            <w:r>
              <w:rPr>
                <w:rFonts w:ascii="黑体" w:eastAsia="黑体"/>
                <w:color w:val="000000"/>
                <w:spacing w:val="-2"/>
                <w:sz w:val="21"/>
                <w:shd w:val="clear" w:color="auto" w:fill="D9D9D9"/>
              </w:rPr>
              <w:t>丧失诊断及检查证据。</w:t>
            </w:r>
          </w:p>
          <w:p>
            <w:pPr>
              <w:pStyle w:val="10"/>
              <w:spacing w:before="0" w:line="278" w:lineRule="auto"/>
              <w:ind w:left="108" w:right="72"/>
              <w:rPr>
                <w:rFonts w:ascii="黑体" w:hAnsi="黑体" w:eastAsia="黑体"/>
                <w:sz w:val="21"/>
              </w:rPr>
            </w:pPr>
            <w:r>
              <w:rPr>
                <w:rFonts w:ascii="黑体" w:hAnsi="黑体" w:eastAsia="黑体"/>
                <w:color w:val="000000"/>
                <w:spacing w:val="-15"/>
                <w:sz w:val="21"/>
                <w:shd w:val="clear" w:color="auto" w:fill="D9D9D9"/>
              </w:rPr>
              <w:t>我们对“单耳失聪”、“ 双耳听力严重损害”和“人工耳蜗植入术”三</w:t>
            </w:r>
            <w:r>
              <w:rPr>
                <w:rFonts w:ascii="黑体" w:hAnsi="黑体" w:eastAsia="黑体"/>
                <w:color w:val="000000"/>
                <w:spacing w:val="80"/>
                <w:w w:val="150"/>
                <w:sz w:val="21"/>
                <w:shd w:val="clear" w:color="auto" w:fill="D9D9D9"/>
              </w:rPr>
              <w:t xml:space="preserve">                                   </w:t>
            </w:r>
            <w:r>
              <w:rPr>
                <w:rFonts w:ascii="黑体" w:hAnsi="黑体" w:eastAsia="黑体"/>
                <w:color w:val="000000"/>
                <w:spacing w:val="-5"/>
                <w:sz w:val="21"/>
                <w:shd w:val="clear" w:color="auto" w:fill="D9D9D9"/>
              </w:rPr>
              <w:t>项中的其中一项承担保险责任，给付其中一项保险金后，对其它两项特</w:t>
            </w:r>
          </w:p>
          <w:p>
            <w:pPr>
              <w:pStyle w:val="10"/>
              <w:spacing w:before="0" w:line="269" w:lineRule="exact"/>
              <w:ind w:left="108"/>
              <w:rPr>
                <w:rFonts w:ascii="黑体" w:eastAsia="黑体"/>
                <w:sz w:val="21"/>
              </w:rPr>
            </w:pPr>
            <w:r>
              <w:rPr>
                <w:rFonts w:ascii="黑体" w:eastAsia="黑体"/>
                <w:color w:val="000000"/>
                <w:spacing w:val="-3"/>
                <w:sz w:val="21"/>
                <w:shd w:val="clear" w:color="auto" w:fill="D9D9D9"/>
              </w:rPr>
              <w:t>定疾病保险责任同时终止。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6" w:hRule="atLeast"/>
        </w:trPr>
        <w:tc>
          <w:tcPr>
            <w:tcW w:w="1080" w:type="dxa"/>
            <w:tcBorders>
              <w:left w:val="single" w:color="000000" w:sz="12" w:space="0"/>
            </w:tcBorders>
          </w:tcPr>
          <w:p>
            <w:pPr>
              <w:pStyle w:val="10"/>
              <w:ind w:left="318" w:right="289"/>
              <w:jc w:val="center"/>
              <w:rPr>
                <w:sz w:val="21"/>
              </w:rPr>
            </w:pPr>
            <w:r>
              <w:rPr>
                <w:spacing w:val="-5"/>
                <w:sz w:val="21"/>
              </w:rPr>
              <w:t>41</w:t>
            </w:r>
          </w:p>
        </w:tc>
        <w:tc>
          <w:tcPr>
            <w:tcW w:w="2196" w:type="dxa"/>
          </w:tcPr>
          <w:p>
            <w:pPr>
              <w:pStyle w:val="10"/>
              <w:spacing w:line="278" w:lineRule="auto"/>
              <w:ind w:left="117" w:right="83"/>
              <w:rPr>
                <w:sz w:val="21"/>
              </w:rPr>
            </w:pPr>
            <w:r>
              <w:rPr>
                <w:sz w:val="21"/>
              </w:rPr>
              <w:t>双耳听力严重损害–</w:t>
            </w:r>
            <w:r>
              <w:rPr>
                <w:spacing w:val="-2"/>
                <w:sz w:val="21"/>
              </w:rPr>
              <w:t>三周岁始理赔</w:t>
            </w:r>
          </w:p>
        </w:tc>
        <w:tc>
          <w:tcPr>
            <w:tcW w:w="6663" w:type="dxa"/>
            <w:tcBorders>
              <w:right w:val="single" w:color="000000" w:sz="12" w:space="0"/>
            </w:tcBorders>
          </w:tcPr>
          <w:p>
            <w:pPr>
              <w:pStyle w:val="10"/>
              <w:ind w:left="108"/>
              <w:rPr>
                <w:sz w:val="21"/>
              </w:rPr>
            </w:pPr>
            <w:r>
              <w:rPr>
                <w:sz w:val="21"/>
              </w:rPr>
              <w:t>指因疾病或意外伤害导致双耳听力永久不可逆性丧失，在 500</w:t>
            </w:r>
            <w:r>
              <w:rPr>
                <w:spacing w:val="-3"/>
                <w:sz w:val="21"/>
              </w:rPr>
              <w:t xml:space="preserve"> 赫兹、</w:t>
            </w:r>
          </w:p>
          <w:p>
            <w:pPr>
              <w:pStyle w:val="10"/>
              <w:spacing w:before="43" w:line="278" w:lineRule="auto"/>
              <w:ind w:left="108" w:right="72"/>
              <w:rPr>
                <w:sz w:val="21"/>
              </w:rPr>
            </w:pPr>
            <w:r>
              <w:rPr>
                <w:sz w:val="21"/>
              </w:rPr>
              <w:t>1000</w:t>
            </w:r>
            <w:r>
              <w:rPr>
                <w:spacing w:val="-15"/>
                <w:sz w:val="21"/>
              </w:rPr>
              <w:t xml:space="preserve"> 赫兹和 </w:t>
            </w:r>
            <w:r>
              <w:rPr>
                <w:sz w:val="21"/>
              </w:rPr>
              <w:t>2000</w:t>
            </w:r>
            <w:r>
              <w:rPr>
                <w:spacing w:val="-8"/>
                <w:sz w:val="21"/>
              </w:rPr>
              <w:t xml:space="preserve"> 赫兹语音频率下，平均听阈大于等于 </w:t>
            </w:r>
            <w:r>
              <w:rPr>
                <w:sz w:val="21"/>
              </w:rPr>
              <w:t>70</w:t>
            </w:r>
            <w:r>
              <w:rPr>
                <w:spacing w:val="-7"/>
                <w:sz w:val="21"/>
              </w:rPr>
              <w:t xml:space="preserve"> 分贝，且经</w:t>
            </w:r>
            <w:r>
              <w:rPr>
                <w:spacing w:val="-2"/>
                <w:sz w:val="21"/>
              </w:rPr>
              <w:t>纯音听力测试、声导抗检测或听觉诱发电位检测等证实。</w:t>
            </w:r>
          </w:p>
          <w:p>
            <w:pPr>
              <w:pStyle w:val="10"/>
              <w:spacing w:before="0" w:line="278" w:lineRule="auto"/>
              <w:ind w:left="108" w:right="72"/>
              <w:rPr>
                <w:rFonts w:ascii="黑体" w:eastAsia="黑体"/>
                <w:sz w:val="21"/>
              </w:rPr>
            </w:pPr>
            <w:r>
              <w:rPr>
                <w:rFonts w:ascii="黑体" w:eastAsia="黑体"/>
                <w:color w:val="000000"/>
                <w:spacing w:val="-6"/>
                <w:sz w:val="21"/>
                <w:shd w:val="clear" w:color="auto" w:fill="D9D9D9"/>
              </w:rPr>
              <w:t>被保险人申请理赔时年龄必须在三周岁以上，并且提供理赔当时的听力</w:t>
            </w:r>
            <w:r>
              <w:rPr>
                <w:rFonts w:ascii="黑体" w:eastAsia="黑体"/>
                <w:color w:val="000000"/>
                <w:spacing w:val="80"/>
                <w:w w:val="150"/>
                <w:sz w:val="21"/>
                <w:shd w:val="clear" w:color="auto" w:fill="D9D9D9"/>
              </w:rPr>
              <w:t xml:space="preserve">                                   </w:t>
            </w:r>
            <w:r>
              <w:rPr>
                <w:rFonts w:ascii="黑体" w:eastAsia="黑体"/>
                <w:color w:val="000000"/>
                <w:spacing w:val="-2"/>
                <w:sz w:val="21"/>
                <w:shd w:val="clear" w:color="auto" w:fill="D9D9D9"/>
              </w:rPr>
              <w:t>丧失诊断及检查证据。</w:t>
            </w:r>
          </w:p>
          <w:p>
            <w:pPr>
              <w:pStyle w:val="10"/>
              <w:spacing w:before="0" w:line="278" w:lineRule="auto"/>
              <w:ind w:left="108" w:right="72"/>
              <w:rPr>
                <w:rFonts w:ascii="黑体" w:hAnsi="黑体" w:eastAsia="黑体"/>
                <w:sz w:val="21"/>
              </w:rPr>
            </w:pPr>
            <w:r>
              <w:rPr>
                <w:rFonts w:ascii="黑体" w:hAnsi="黑体" w:eastAsia="黑体"/>
                <w:color w:val="000000"/>
                <w:spacing w:val="-15"/>
                <w:sz w:val="21"/>
                <w:shd w:val="clear" w:color="auto" w:fill="D9D9D9"/>
              </w:rPr>
              <w:t>我们对“单耳失聪”、“ 双耳听力严重损害”和“人工耳蜗植入术”三</w:t>
            </w:r>
            <w:r>
              <w:rPr>
                <w:rFonts w:ascii="黑体" w:hAnsi="黑体" w:eastAsia="黑体"/>
                <w:color w:val="000000"/>
                <w:spacing w:val="80"/>
                <w:w w:val="150"/>
                <w:sz w:val="21"/>
                <w:shd w:val="clear" w:color="auto" w:fill="D9D9D9"/>
              </w:rPr>
              <w:t xml:space="preserve">                                   </w:t>
            </w:r>
            <w:r>
              <w:rPr>
                <w:rFonts w:ascii="黑体" w:hAnsi="黑体" w:eastAsia="黑体"/>
                <w:color w:val="000000"/>
                <w:spacing w:val="-5"/>
                <w:sz w:val="21"/>
                <w:shd w:val="clear" w:color="auto" w:fill="D9D9D9"/>
              </w:rPr>
              <w:t>项中的其中一项承担保险责任，给付其中一项保险金后，对其它两项特</w:t>
            </w:r>
          </w:p>
          <w:p>
            <w:pPr>
              <w:pStyle w:val="10"/>
              <w:spacing w:before="0" w:line="269" w:lineRule="exact"/>
              <w:ind w:left="108"/>
              <w:rPr>
                <w:rFonts w:ascii="黑体" w:eastAsia="黑体"/>
                <w:sz w:val="21"/>
              </w:rPr>
            </w:pPr>
            <w:r>
              <w:rPr>
                <w:rFonts w:ascii="黑体" w:eastAsia="黑体"/>
                <w:color w:val="000000"/>
                <w:spacing w:val="-3"/>
                <w:sz w:val="21"/>
                <w:shd w:val="clear" w:color="auto" w:fill="D9D9D9"/>
              </w:rPr>
              <w:t>定疾病保险责任同时终止。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9" w:hRule="atLeast"/>
        </w:trPr>
        <w:tc>
          <w:tcPr>
            <w:tcW w:w="1080" w:type="dxa"/>
            <w:tcBorders>
              <w:left w:val="single" w:color="000000" w:sz="12" w:space="0"/>
            </w:tcBorders>
          </w:tcPr>
          <w:p>
            <w:pPr>
              <w:pStyle w:val="10"/>
              <w:ind w:left="318" w:right="289"/>
              <w:jc w:val="center"/>
              <w:rPr>
                <w:sz w:val="21"/>
              </w:rPr>
            </w:pPr>
            <w:r>
              <w:rPr>
                <w:spacing w:val="-5"/>
                <w:sz w:val="21"/>
              </w:rPr>
              <w:t>42</w:t>
            </w:r>
          </w:p>
        </w:tc>
        <w:tc>
          <w:tcPr>
            <w:tcW w:w="2196" w:type="dxa"/>
          </w:tcPr>
          <w:p>
            <w:pPr>
              <w:pStyle w:val="10"/>
              <w:ind w:left="117"/>
              <w:rPr>
                <w:sz w:val="21"/>
              </w:rPr>
            </w:pPr>
            <w:r>
              <w:rPr>
                <w:spacing w:val="-4"/>
                <w:sz w:val="21"/>
              </w:rPr>
              <w:t>轻度昏迷</w:t>
            </w:r>
          </w:p>
        </w:tc>
        <w:tc>
          <w:tcPr>
            <w:tcW w:w="6663" w:type="dxa"/>
            <w:tcBorders>
              <w:right w:val="single" w:color="000000" w:sz="12" w:space="0"/>
            </w:tcBorders>
          </w:tcPr>
          <w:p>
            <w:pPr>
              <w:pStyle w:val="10"/>
              <w:spacing w:line="278" w:lineRule="auto"/>
              <w:ind w:left="108" w:right="5"/>
              <w:jc w:val="both"/>
              <w:rPr>
                <w:sz w:val="21"/>
              </w:rPr>
            </w:pPr>
            <w:r>
              <w:rPr>
                <w:spacing w:val="-2"/>
                <w:sz w:val="21"/>
              </w:rPr>
              <w:t>指因疾病或意外伤害导致意识丧失，对外界刺激和体内需求均无反应，</w:t>
            </w:r>
            <w:r>
              <w:rPr>
                <w:sz w:val="21"/>
              </w:rPr>
              <w:t>昏迷程度按照格拉斯哥昏迷分级（GCS，Glasgow coma scale）结果为 5</w:t>
            </w:r>
            <w:r>
              <w:rPr>
                <w:spacing w:val="-13"/>
                <w:sz w:val="21"/>
              </w:rPr>
              <w:t xml:space="preserve"> 分或 </w:t>
            </w:r>
            <w:r>
              <w:rPr>
                <w:sz w:val="21"/>
              </w:rPr>
              <w:t>5</w:t>
            </w:r>
            <w:r>
              <w:rPr>
                <w:spacing w:val="-7"/>
                <w:sz w:val="21"/>
              </w:rPr>
              <w:t xml:space="preserve"> 分以下，且已经持续使用呼吸机及其它生命维持系统 </w:t>
            </w:r>
            <w:r>
              <w:rPr>
                <w:sz w:val="21"/>
              </w:rPr>
              <w:t>48</w:t>
            </w:r>
            <w:r>
              <w:rPr>
                <w:spacing w:val="-9"/>
                <w:sz w:val="21"/>
              </w:rPr>
              <w:t xml:space="preserve"> 小时</w:t>
            </w:r>
          </w:p>
          <w:p>
            <w:pPr>
              <w:pStyle w:val="10"/>
              <w:spacing w:before="0" w:line="269" w:lineRule="exact"/>
              <w:ind w:left="108"/>
              <w:jc w:val="both"/>
              <w:rPr>
                <w:sz w:val="21"/>
              </w:rPr>
            </w:pPr>
            <w:r>
              <w:rPr>
                <w:spacing w:val="-10"/>
                <w:sz w:val="21"/>
              </w:rPr>
              <w:t xml:space="preserve">以上但不足 </w:t>
            </w:r>
            <w:r>
              <w:rPr>
                <w:spacing w:val="-2"/>
                <w:sz w:val="21"/>
              </w:rPr>
              <w:t>96</w:t>
            </w:r>
            <w:r>
              <w:rPr>
                <w:spacing w:val="-16"/>
                <w:sz w:val="21"/>
              </w:rPr>
              <w:t xml:space="preserve"> 小时。</w:t>
            </w:r>
          </w:p>
          <w:p>
            <w:pPr>
              <w:pStyle w:val="10"/>
              <w:spacing w:before="43"/>
              <w:ind w:left="108"/>
              <w:rPr>
                <w:rFonts w:ascii="黑体" w:eastAsia="黑体"/>
                <w:sz w:val="21"/>
              </w:rPr>
            </w:pPr>
            <w:r>
              <w:rPr>
                <w:rFonts w:ascii="黑体" w:eastAsia="黑体"/>
                <w:color w:val="000000"/>
                <w:spacing w:val="-3"/>
                <w:sz w:val="21"/>
                <w:shd w:val="clear" w:color="auto" w:fill="D9D9D9"/>
              </w:rPr>
              <w:t>因酗酒或药物滥用导致的昏迷不在保障范围内。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2" w:hRule="atLeast"/>
        </w:trPr>
        <w:tc>
          <w:tcPr>
            <w:tcW w:w="1080" w:type="dxa"/>
            <w:tcBorders>
              <w:left w:val="single" w:color="000000" w:sz="12" w:space="0"/>
            </w:tcBorders>
          </w:tcPr>
          <w:p>
            <w:pPr>
              <w:pStyle w:val="10"/>
              <w:ind w:left="318" w:right="289"/>
              <w:jc w:val="center"/>
              <w:rPr>
                <w:sz w:val="21"/>
              </w:rPr>
            </w:pPr>
            <w:r>
              <w:rPr>
                <w:spacing w:val="-5"/>
                <w:sz w:val="21"/>
              </w:rPr>
              <w:t>43</w:t>
            </w:r>
          </w:p>
        </w:tc>
        <w:tc>
          <w:tcPr>
            <w:tcW w:w="2196" w:type="dxa"/>
          </w:tcPr>
          <w:p>
            <w:pPr>
              <w:pStyle w:val="10"/>
              <w:ind w:left="117"/>
              <w:rPr>
                <w:sz w:val="21"/>
              </w:rPr>
            </w:pPr>
            <w:r>
              <w:rPr>
                <w:spacing w:val="-3"/>
                <w:sz w:val="21"/>
              </w:rPr>
              <w:t>脑积水脑脊液分流术</w:t>
            </w:r>
          </w:p>
        </w:tc>
        <w:tc>
          <w:tcPr>
            <w:tcW w:w="6663" w:type="dxa"/>
            <w:tcBorders>
              <w:right w:val="single" w:color="000000" w:sz="12" w:space="0"/>
            </w:tcBorders>
          </w:tcPr>
          <w:p>
            <w:pPr>
              <w:pStyle w:val="10"/>
              <w:spacing w:line="278" w:lineRule="auto"/>
              <w:ind w:left="108" w:right="72"/>
              <w:jc w:val="both"/>
              <w:rPr>
                <w:sz w:val="21"/>
              </w:rPr>
            </w:pPr>
            <w:r>
              <w:rPr>
                <w:spacing w:val="-5"/>
                <w:sz w:val="21"/>
              </w:rPr>
              <w:t>脑积水指由于各种原因引起的脑脊液分泌过多、循环受阻或吸收障碍导</w:t>
            </w:r>
            <w:r>
              <w:rPr>
                <w:spacing w:val="-2"/>
                <w:sz w:val="21"/>
              </w:rPr>
              <w:t>致脑脊液在脑室系统和蛛网膜下腔积聚，导致脑室扩大，出现神经系统功能损害临床表现。被保险人被明确诊断为脑积水，并且实际接受了永久性脑脊液分流手术。</w:t>
            </w:r>
          </w:p>
          <w:p>
            <w:pPr>
              <w:pStyle w:val="10"/>
              <w:spacing w:before="0"/>
              <w:ind w:left="108"/>
              <w:rPr>
                <w:sz w:val="21"/>
              </w:rPr>
            </w:pPr>
            <w:r>
              <w:rPr>
                <w:spacing w:val="-1"/>
                <w:sz w:val="21"/>
              </w:rPr>
              <w:t>常用的分流手术方法有：脑室-心房分流、脑室-腹腔分流、脑室-胸导</w:t>
            </w:r>
          </w:p>
          <w:p>
            <w:pPr>
              <w:pStyle w:val="10"/>
              <w:spacing w:before="43"/>
              <w:ind w:left="108"/>
              <w:rPr>
                <w:sz w:val="21"/>
              </w:rPr>
            </w:pPr>
            <w:r>
              <w:rPr>
                <w:spacing w:val="-4"/>
                <w:sz w:val="21"/>
              </w:rPr>
              <w:t>管分流。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3" w:hRule="atLeast"/>
        </w:trPr>
        <w:tc>
          <w:tcPr>
            <w:tcW w:w="1080" w:type="dxa"/>
            <w:tcBorders>
              <w:left w:val="single" w:color="000000" w:sz="12" w:space="0"/>
            </w:tcBorders>
          </w:tcPr>
          <w:p>
            <w:pPr>
              <w:pStyle w:val="10"/>
              <w:spacing w:before="18"/>
              <w:ind w:left="318" w:right="289"/>
              <w:jc w:val="center"/>
              <w:rPr>
                <w:sz w:val="21"/>
              </w:rPr>
            </w:pPr>
            <w:r>
              <w:rPr>
                <w:spacing w:val="-5"/>
                <w:sz w:val="21"/>
              </w:rPr>
              <w:t>44</w:t>
            </w:r>
          </w:p>
        </w:tc>
        <w:tc>
          <w:tcPr>
            <w:tcW w:w="2196" w:type="dxa"/>
          </w:tcPr>
          <w:p>
            <w:pPr>
              <w:pStyle w:val="10"/>
              <w:spacing w:before="18"/>
              <w:ind w:left="117"/>
              <w:rPr>
                <w:sz w:val="21"/>
              </w:rPr>
            </w:pPr>
            <w:r>
              <w:rPr>
                <w:spacing w:val="-4"/>
                <w:sz w:val="21"/>
              </w:rPr>
              <w:t>较轻运动神经元病</w:t>
            </w:r>
          </w:p>
        </w:tc>
        <w:tc>
          <w:tcPr>
            <w:tcW w:w="6663" w:type="dxa"/>
            <w:tcBorders>
              <w:right w:val="single" w:color="000000" w:sz="12" w:space="0"/>
            </w:tcBorders>
          </w:tcPr>
          <w:p>
            <w:pPr>
              <w:pStyle w:val="10"/>
              <w:spacing w:before="18" w:line="278" w:lineRule="auto"/>
              <w:ind w:left="108" w:right="5"/>
              <w:jc w:val="both"/>
              <w:rPr>
                <w:sz w:val="21"/>
              </w:rPr>
            </w:pPr>
            <w:r>
              <w:rPr>
                <w:spacing w:val="-5"/>
                <w:sz w:val="21"/>
              </w:rPr>
              <w:t>是一组中枢神经系统运动神经元的进行性变性疾病，包括进行性脊肌萎</w:t>
            </w:r>
            <w:r>
              <w:rPr>
                <w:spacing w:val="-2"/>
                <w:sz w:val="21"/>
              </w:rPr>
              <w:t>缩症、进行性延髓麻痹症、原发性侧索硬化症、肌萎缩性侧索硬化症。经相关专科医生确诊，出现永久不可逆的神经系统功能障碍，且须满足下列至少一项条件：</w:t>
            </w:r>
          </w:p>
          <w:p>
            <w:pPr>
              <w:pStyle w:val="10"/>
              <w:numPr>
                <w:ilvl w:val="0"/>
                <w:numId w:val="130"/>
              </w:numPr>
              <w:tabs>
                <w:tab w:val="left" w:pos="638"/>
              </w:tabs>
              <w:spacing w:before="0" w:after="0" w:line="269" w:lineRule="exact"/>
              <w:ind w:left="637" w:right="0" w:hanging="530"/>
              <w:jc w:val="left"/>
              <w:rPr>
                <w:sz w:val="21"/>
              </w:rPr>
            </w:pPr>
            <w:r>
              <w:rPr>
                <w:spacing w:val="-3"/>
                <w:sz w:val="21"/>
              </w:rPr>
              <w:t>舌肌萎缩和舌肌震颤，吞咽困难、饮水呛咳、声音嘶哑；</w:t>
            </w:r>
          </w:p>
          <w:p>
            <w:pPr>
              <w:pStyle w:val="10"/>
              <w:numPr>
                <w:ilvl w:val="0"/>
                <w:numId w:val="130"/>
              </w:numPr>
              <w:tabs>
                <w:tab w:val="left" w:pos="638"/>
              </w:tabs>
              <w:spacing w:before="43" w:after="0" w:line="240" w:lineRule="auto"/>
              <w:ind w:left="637" w:right="0" w:hanging="530"/>
              <w:jc w:val="left"/>
              <w:rPr>
                <w:sz w:val="21"/>
              </w:rPr>
            </w:pPr>
            <w:r>
              <w:rPr>
                <w:spacing w:val="-2"/>
                <w:sz w:val="21"/>
              </w:rPr>
              <w:t>进行性肢体肌肉萎缩伴肌束颤动，一肢或一肢以上肢体肌力3</w:t>
            </w:r>
            <w:r>
              <w:rPr>
                <w:spacing w:val="-6"/>
                <w:sz w:val="21"/>
              </w:rPr>
              <w:t>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84" w:hRule="atLeast"/>
        </w:trPr>
        <w:tc>
          <w:tcPr>
            <w:tcW w:w="1080" w:type="dxa"/>
            <w:tcBorders>
              <w:left w:val="single" w:color="000000" w:sz="12" w:space="0"/>
            </w:tcBorders>
          </w:tcPr>
          <w:p>
            <w:pPr>
              <w:pStyle w:val="10"/>
              <w:ind w:left="318" w:right="289"/>
              <w:jc w:val="center"/>
              <w:rPr>
                <w:sz w:val="21"/>
              </w:rPr>
            </w:pPr>
            <w:r>
              <w:rPr>
                <w:spacing w:val="-5"/>
                <w:sz w:val="21"/>
              </w:rPr>
              <w:t>45</w:t>
            </w:r>
          </w:p>
        </w:tc>
        <w:tc>
          <w:tcPr>
            <w:tcW w:w="2196" w:type="dxa"/>
          </w:tcPr>
          <w:p>
            <w:pPr>
              <w:pStyle w:val="10"/>
              <w:ind w:left="117"/>
              <w:rPr>
                <w:sz w:val="21"/>
              </w:rPr>
            </w:pPr>
            <w:r>
              <w:rPr>
                <w:spacing w:val="-4"/>
                <w:sz w:val="21"/>
              </w:rPr>
              <w:t>较轻多发性硬化症</w:t>
            </w:r>
          </w:p>
        </w:tc>
        <w:tc>
          <w:tcPr>
            <w:tcW w:w="6663" w:type="dxa"/>
            <w:tcBorders>
              <w:right w:val="single" w:color="000000" w:sz="12" w:space="0"/>
            </w:tcBorders>
          </w:tcPr>
          <w:p>
            <w:pPr>
              <w:pStyle w:val="10"/>
              <w:spacing w:line="278" w:lineRule="auto"/>
              <w:ind w:left="108" w:right="77"/>
              <w:rPr>
                <w:sz w:val="21"/>
              </w:rPr>
            </w:pPr>
            <w:r>
              <w:rPr>
                <w:spacing w:val="1"/>
                <w:w w:val="100"/>
                <w:sz w:val="21"/>
              </w:rPr>
              <w:t>多发性硬化为中枢神经系统白质多灶性脱髓鞘病变，病变有时累及灰</w:t>
            </w:r>
            <w:r>
              <w:rPr>
                <w:spacing w:val="-3"/>
                <w:w w:val="100"/>
                <w:sz w:val="21"/>
              </w:rPr>
              <w:t>质。多发性硬化症必须明确诊断，并且满足下列所有条件：</w:t>
            </w:r>
          </w:p>
          <w:p>
            <w:pPr>
              <w:pStyle w:val="10"/>
              <w:numPr>
                <w:ilvl w:val="0"/>
                <w:numId w:val="131"/>
              </w:numPr>
              <w:tabs>
                <w:tab w:val="left" w:pos="639"/>
              </w:tabs>
              <w:spacing w:before="0" w:after="0" w:line="278" w:lineRule="auto"/>
              <w:ind w:left="108" w:right="73" w:firstLine="0"/>
              <w:jc w:val="left"/>
              <w:rPr>
                <w:sz w:val="21"/>
              </w:rPr>
            </w:pPr>
            <w:r>
              <w:rPr>
                <w:spacing w:val="-2"/>
                <w:sz w:val="21"/>
              </w:rPr>
              <w:t>计算机断层扫描</w:t>
            </w:r>
            <w:r>
              <w:rPr>
                <w:spacing w:val="26"/>
                <w:sz w:val="21"/>
              </w:rPr>
              <w:t>（</w:t>
            </w:r>
            <w:r>
              <w:rPr>
                <w:spacing w:val="21"/>
                <w:sz w:val="21"/>
              </w:rPr>
              <w:t>C</w:t>
            </w:r>
            <w:r>
              <w:rPr>
                <w:spacing w:val="24"/>
                <w:sz w:val="21"/>
              </w:rPr>
              <w:t>T</w:t>
            </w:r>
            <w:r>
              <w:rPr>
                <w:spacing w:val="-82"/>
                <w:sz w:val="21"/>
              </w:rPr>
              <w:t>）</w:t>
            </w:r>
            <w:r>
              <w:rPr>
                <w:spacing w:val="-2"/>
                <w:sz w:val="21"/>
              </w:rPr>
              <w:t>、核磁共振检查（MRI）或正电子发射断层扫描（PET）等影像学检查证实存在中枢神经系统白质内多发病灶；</w:t>
            </w:r>
          </w:p>
          <w:p>
            <w:pPr>
              <w:pStyle w:val="10"/>
              <w:numPr>
                <w:ilvl w:val="0"/>
                <w:numId w:val="131"/>
              </w:numPr>
              <w:tabs>
                <w:tab w:val="left" w:pos="638"/>
              </w:tabs>
              <w:spacing w:before="0" w:after="0" w:line="269" w:lineRule="exact"/>
              <w:ind w:left="637" w:right="-44" w:hanging="530"/>
              <w:jc w:val="left"/>
              <w:rPr>
                <w:sz w:val="21"/>
              </w:rPr>
            </w:pPr>
            <w:r>
              <w:rPr>
                <w:spacing w:val="-3"/>
                <w:w w:val="100"/>
                <w:sz w:val="21"/>
              </w:rPr>
              <w:t>完整的医疗记录证实被保险人的疾病呈缓解复发和进展加重病程</w:t>
            </w:r>
            <w:r>
              <w:rPr>
                <w:w w:val="100"/>
                <w:sz w:val="21"/>
              </w:rPr>
              <w:t>；</w:t>
            </w:r>
          </w:p>
          <w:p>
            <w:pPr>
              <w:pStyle w:val="10"/>
              <w:numPr>
                <w:ilvl w:val="0"/>
                <w:numId w:val="131"/>
              </w:numPr>
              <w:tabs>
                <w:tab w:val="left" w:pos="638"/>
              </w:tabs>
              <w:spacing w:before="43" w:after="0" w:line="240" w:lineRule="auto"/>
              <w:ind w:left="637" w:right="0" w:hanging="530"/>
              <w:jc w:val="left"/>
              <w:rPr>
                <w:sz w:val="21"/>
              </w:rPr>
            </w:pPr>
            <w:r>
              <w:rPr>
                <w:spacing w:val="-7"/>
                <w:sz w:val="21"/>
              </w:rPr>
              <w:t xml:space="preserve">存在持续 </w:t>
            </w:r>
            <w:r>
              <w:rPr>
                <w:spacing w:val="-2"/>
                <w:sz w:val="21"/>
              </w:rPr>
              <w:t>180</w:t>
            </w:r>
            <w:r>
              <w:rPr>
                <w:spacing w:val="-8"/>
                <w:sz w:val="21"/>
              </w:rPr>
              <w:t xml:space="preserve"> 天以上的永久不可逆的以运动功能障碍为表现的神</w:t>
            </w:r>
          </w:p>
          <w:p>
            <w:pPr>
              <w:pStyle w:val="10"/>
              <w:spacing w:before="43"/>
              <w:ind w:left="108"/>
              <w:rPr>
                <w:sz w:val="21"/>
              </w:rPr>
            </w:pPr>
            <w:r>
              <w:rPr>
                <w:spacing w:val="-6"/>
                <w:sz w:val="21"/>
              </w:rPr>
              <w:t xml:space="preserve">经系统功能损害，一肢体肌力 </w:t>
            </w:r>
            <w:r>
              <w:rPr>
                <w:spacing w:val="-2"/>
                <w:sz w:val="21"/>
              </w:rPr>
              <w:t>3</w:t>
            </w:r>
            <w:r>
              <w:rPr>
                <w:spacing w:val="-25"/>
                <w:sz w:val="21"/>
              </w:rPr>
              <w:t xml:space="preserve"> 级</w:t>
            </w:r>
            <w:r>
              <w:rPr>
                <w:spacing w:val="-2"/>
                <w:sz w:val="21"/>
              </w:rPr>
              <w:t>（含）</w:t>
            </w:r>
            <w:r>
              <w:rPr>
                <w:spacing w:val="-5"/>
                <w:sz w:val="21"/>
              </w:rPr>
              <w:t>以下。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080" w:type="dxa"/>
            <w:tcBorders>
              <w:left w:val="single" w:color="000000" w:sz="12" w:space="0"/>
            </w:tcBorders>
          </w:tcPr>
          <w:p>
            <w:pPr>
              <w:pStyle w:val="10"/>
              <w:ind w:left="318" w:right="289"/>
              <w:jc w:val="center"/>
              <w:rPr>
                <w:sz w:val="21"/>
              </w:rPr>
            </w:pPr>
            <w:r>
              <w:rPr>
                <w:spacing w:val="-5"/>
                <w:sz w:val="21"/>
              </w:rPr>
              <w:t>46</w:t>
            </w:r>
          </w:p>
        </w:tc>
        <w:tc>
          <w:tcPr>
            <w:tcW w:w="2196" w:type="dxa"/>
          </w:tcPr>
          <w:p>
            <w:pPr>
              <w:pStyle w:val="10"/>
              <w:ind w:left="117"/>
              <w:rPr>
                <w:sz w:val="21"/>
              </w:rPr>
            </w:pPr>
            <w:r>
              <w:rPr>
                <w:spacing w:val="-2"/>
                <w:sz w:val="21"/>
              </w:rPr>
              <w:t>肠系膜上动脉闭塞介</w:t>
            </w:r>
          </w:p>
          <w:p>
            <w:pPr>
              <w:pStyle w:val="10"/>
              <w:spacing w:before="43"/>
              <w:ind w:left="117"/>
              <w:rPr>
                <w:sz w:val="21"/>
              </w:rPr>
            </w:pPr>
            <w:r>
              <w:rPr>
                <w:spacing w:val="-4"/>
                <w:sz w:val="21"/>
              </w:rPr>
              <w:t>入手术</w:t>
            </w:r>
          </w:p>
        </w:tc>
        <w:tc>
          <w:tcPr>
            <w:tcW w:w="6663" w:type="dxa"/>
            <w:tcBorders>
              <w:right w:val="single" w:color="000000" w:sz="12" w:space="0"/>
            </w:tcBorders>
          </w:tcPr>
          <w:p>
            <w:pPr>
              <w:pStyle w:val="10"/>
              <w:ind w:left="108"/>
              <w:rPr>
                <w:sz w:val="21"/>
              </w:rPr>
            </w:pPr>
            <w:r>
              <w:rPr>
                <w:spacing w:val="-6"/>
                <w:sz w:val="21"/>
              </w:rPr>
              <w:t>因肠系膜上动脉栓塞或血栓形成引起小肠缺血坏死，临床表现为突发剧</w:t>
            </w:r>
          </w:p>
          <w:p>
            <w:pPr>
              <w:pStyle w:val="10"/>
              <w:spacing w:before="43"/>
              <w:ind w:left="108"/>
              <w:rPr>
                <w:sz w:val="21"/>
              </w:rPr>
            </w:pPr>
            <w:r>
              <w:rPr>
                <w:spacing w:val="-3"/>
                <w:sz w:val="21"/>
              </w:rPr>
              <w:t>烈腹痛。被保险人实际接受了血管内介入手术治疗。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1080" w:type="dxa"/>
            <w:tcBorders>
              <w:left w:val="single" w:color="000000" w:sz="12" w:space="0"/>
            </w:tcBorders>
          </w:tcPr>
          <w:p>
            <w:pPr>
              <w:pStyle w:val="10"/>
              <w:ind w:left="318" w:right="289"/>
              <w:jc w:val="center"/>
              <w:rPr>
                <w:sz w:val="21"/>
              </w:rPr>
            </w:pPr>
            <w:r>
              <w:rPr>
                <w:spacing w:val="-5"/>
                <w:sz w:val="21"/>
              </w:rPr>
              <w:t>47</w:t>
            </w:r>
          </w:p>
        </w:tc>
        <w:tc>
          <w:tcPr>
            <w:tcW w:w="2196" w:type="dxa"/>
          </w:tcPr>
          <w:p>
            <w:pPr>
              <w:pStyle w:val="10"/>
              <w:spacing w:line="278" w:lineRule="auto"/>
              <w:ind w:left="117" w:right="85"/>
              <w:rPr>
                <w:sz w:val="21"/>
              </w:rPr>
            </w:pPr>
            <w:r>
              <w:rPr>
                <w:sz w:val="21"/>
              </w:rPr>
              <w:t>严重长骨慢性骨髓炎</w:t>
            </w:r>
            <w:r>
              <w:rPr>
                <w:spacing w:val="-4"/>
                <w:sz w:val="21"/>
              </w:rPr>
              <w:t>手术治疗</w:t>
            </w:r>
          </w:p>
        </w:tc>
        <w:tc>
          <w:tcPr>
            <w:tcW w:w="6663" w:type="dxa"/>
            <w:tcBorders>
              <w:right w:val="single" w:color="000000" w:sz="12" w:space="0"/>
            </w:tcBorders>
          </w:tcPr>
          <w:p>
            <w:pPr>
              <w:pStyle w:val="10"/>
              <w:spacing w:line="278" w:lineRule="auto"/>
              <w:ind w:left="108" w:right="72"/>
              <w:rPr>
                <w:sz w:val="21"/>
              </w:rPr>
            </w:pPr>
            <w:r>
              <w:rPr>
                <w:spacing w:val="-2"/>
                <w:sz w:val="21"/>
              </w:rPr>
              <w:t>因长管骨慢性骨髓炎形成窦道，被保险人在手术清除死骨、化脓及坏死组织之后实际接受了下列至少一项手术治疗：</w:t>
            </w:r>
          </w:p>
          <w:p>
            <w:pPr>
              <w:pStyle w:val="10"/>
              <w:spacing w:before="0" w:line="269" w:lineRule="exact"/>
              <w:ind w:left="108"/>
              <w:rPr>
                <w:sz w:val="21"/>
              </w:rPr>
            </w:pPr>
            <w:r>
              <w:rPr>
                <w:spacing w:val="-2"/>
                <w:sz w:val="21"/>
              </w:rPr>
              <w:t>（1）</w:t>
            </w:r>
            <w:r>
              <w:rPr>
                <w:spacing w:val="-4"/>
                <w:sz w:val="21"/>
              </w:rPr>
              <w:t>松质骨移植术；</w:t>
            </w:r>
          </w:p>
        </w:tc>
      </w:tr>
    </w:tbl>
    <w:p>
      <w:pPr>
        <w:spacing w:after="0" w:line="269" w:lineRule="exact"/>
        <w:rPr>
          <w:sz w:val="21"/>
        </w:rPr>
        <w:sectPr>
          <w:type w:val="continuous"/>
          <w:pgSz w:w="11910" w:h="16840"/>
          <w:pgMar w:top="840" w:right="340" w:bottom="640" w:left="800" w:header="0" w:footer="457" w:gutter="0"/>
          <w:cols w:space="720" w:num="1"/>
        </w:sectPr>
      </w:pPr>
    </w:p>
    <w:tbl>
      <w:tblPr>
        <w:tblStyle w:val="6"/>
        <w:tblW w:w="0" w:type="auto"/>
        <w:tblInd w:w="22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80"/>
        <w:gridCol w:w="2196"/>
        <w:gridCol w:w="666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7" w:hRule="atLeast"/>
        </w:trPr>
        <w:tc>
          <w:tcPr>
            <w:tcW w:w="1080" w:type="dxa"/>
            <w:tcBorders>
              <w:left w:val="single" w:color="000000" w:sz="12" w:space="0"/>
            </w:tcBorders>
          </w:tcPr>
          <w:p>
            <w:pPr>
              <w:pStyle w:val="10"/>
              <w:spacing w:before="0"/>
              <w:ind w:left="0"/>
              <w:rPr>
                <w:rFonts w:ascii="Times New Roman"/>
                <w:sz w:val="20"/>
              </w:rPr>
            </w:pPr>
          </w:p>
        </w:tc>
        <w:tc>
          <w:tcPr>
            <w:tcW w:w="2196" w:type="dxa"/>
          </w:tcPr>
          <w:p>
            <w:pPr>
              <w:pStyle w:val="10"/>
              <w:spacing w:before="0"/>
              <w:ind w:left="0"/>
              <w:rPr>
                <w:rFonts w:ascii="Times New Roman"/>
                <w:sz w:val="20"/>
              </w:rPr>
            </w:pPr>
          </w:p>
        </w:tc>
        <w:tc>
          <w:tcPr>
            <w:tcW w:w="6663" w:type="dxa"/>
            <w:tcBorders>
              <w:right w:val="single" w:color="000000" w:sz="12" w:space="0"/>
            </w:tcBorders>
          </w:tcPr>
          <w:p>
            <w:pPr>
              <w:pStyle w:val="10"/>
              <w:numPr>
                <w:ilvl w:val="0"/>
                <w:numId w:val="132"/>
              </w:numPr>
              <w:tabs>
                <w:tab w:val="left" w:pos="638"/>
              </w:tabs>
              <w:spacing w:before="22" w:after="0" w:line="240" w:lineRule="auto"/>
              <w:ind w:left="637" w:right="0" w:hanging="530"/>
              <w:jc w:val="left"/>
              <w:rPr>
                <w:sz w:val="21"/>
              </w:rPr>
            </w:pPr>
            <w:r>
              <w:rPr>
                <w:spacing w:val="-3"/>
                <w:sz w:val="21"/>
              </w:rPr>
              <w:t>皮瓣、肌皮瓣移植术；</w:t>
            </w:r>
          </w:p>
          <w:p>
            <w:pPr>
              <w:pStyle w:val="10"/>
              <w:numPr>
                <w:ilvl w:val="0"/>
                <w:numId w:val="132"/>
              </w:numPr>
              <w:tabs>
                <w:tab w:val="left" w:pos="638"/>
              </w:tabs>
              <w:spacing w:before="43" w:after="0" w:line="240" w:lineRule="auto"/>
              <w:ind w:left="637" w:right="0" w:hanging="530"/>
              <w:jc w:val="left"/>
              <w:rPr>
                <w:sz w:val="21"/>
              </w:rPr>
            </w:pPr>
            <w:r>
              <w:rPr>
                <w:spacing w:val="-4"/>
                <w:sz w:val="21"/>
              </w:rPr>
              <w:t>骨皮瓣转移术；</w:t>
            </w:r>
          </w:p>
          <w:p>
            <w:pPr>
              <w:pStyle w:val="10"/>
              <w:numPr>
                <w:ilvl w:val="0"/>
                <w:numId w:val="132"/>
              </w:numPr>
              <w:tabs>
                <w:tab w:val="left" w:pos="638"/>
              </w:tabs>
              <w:spacing w:before="43" w:after="0" w:line="240" w:lineRule="auto"/>
              <w:ind w:left="637" w:right="0" w:hanging="530"/>
              <w:jc w:val="left"/>
              <w:rPr>
                <w:sz w:val="21"/>
              </w:rPr>
            </w:pPr>
            <w:r>
              <w:rPr>
                <w:spacing w:val="-4"/>
                <w:sz w:val="21"/>
              </w:rPr>
              <w:t>骨搬移术；</w:t>
            </w:r>
          </w:p>
          <w:p>
            <w:pPr>
              <w:pStyle w:val="10"/>
              <w:numPr>
                <w:ilvl w:val="0"/>
                <w:numId w:val="132"/>
              </w:numPr>
              <w:tabs>
                <w:tab w:val="left" w:pos="638"/>
              </w:tabs>
              <w:spacing w:before="44" w:after="0" w:line="240" w:lineRule="auto"/>
              <w:ind w:left="637" w:right="0" w:hanging="530"/>
              <w:jc w:val="left"/>
              <w:rPr>
                <w:sz w:val="21"/>
              </w:rPr>
            </w:pPr>
            <w:r>
              <w:rPr>
                <w:spacing w:val="-2"/>
                <w:sz w:val="21"/>
              </w:rPr>
              <w:t>截肢（指、趾）</w:t>
            </w:r>
            <w:r>
              <w:rPr>
                <w:spacing w:val="-6"/>
                <w:sz w:val="21"/>
              </w:rPr>
              <w:t>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44" w:hRule="atLeast"/>
        </w:trPr>
        <w:tc>
          <w:tcPr>
            <w:tcW w:w="1080" w:type="dxa"/>
            <w:tcBorders>
              <w:left w:val="single" w:color="000000" w:sz="12" w:space="0"/>
            </w:tcBorders>
          </w:tcPr>
          <w:p>
            <w:pPr>
              <w:pStyle w:val="10"/>
              <w:spacing w:before="22"/>
              <w:ind w:left="318" w:right="289"/>
              <w:jc w:val="center"/>
              <w:rPr>
                <w:sz w:val="21"/>
              </w:rPr>
            </w:pPr>
            <w:r>
              <w:rPr>
                <w:spacing w:val="-5"/>
                <w:sz w:val="21"/>
              </w:rPr>
              <w:t>48</w:t>
            </w:r>
          </w:p>
        </w:tc>
        <w:tc>
          <w:tcPr>
            <w:tcW w:w="2196" w:type="dxa"/>
          </w:tcPr>
          <w:p>
            <w:pPr>
              <w:pStyle w:val="10"/>
              <w:spacing w:before="22" w:line="278" w:lineRule="auto"/>
              <w:ind w:left="117" w:right="85"/>
              <w:rPr>
                <w:sz w:val="21"/>
              </w:rPr>
            </w:pPr>
            <w:r>
              <w:rPr>
                <w:sz w:val="21"/>
              </w:rPr>
              <w:t>因意外伤害毁容而实</w:t>
            </w:r>
            <w:r>
              <w:rPr>
                <w:spacing w:val="-2"/>
                <w:sz w:val="21"/>
              </w:rPr>
              <w:t>施面部整形手术</w:t>
            </w:r>
          </w:p>
        </w:tc>
        <w:tc>
          <w:tcPr>
            <w:tcW w:w="6663" w:type="dxa"/>
            <w:tcBorders>
              <w:right w:val="single" w:color="000000" w:sz="12" w:space="0"/>
            </w:tcBorders>
          </w:tcPr>
          <w:p>
            <w:pPr>
              <w:pStyle w:val="10"/>
              <w:spacing w:before="22" w:line="278" w:lineRule="auto"/>
              <w:ind w:left="108" w:right="-44"/>
              <w:rPr>
                <w:sz w:val="21"/>
              </w:rPr>
            </w:pPr>
            <w:r>
              <w:rPr>
                <w:spacing w:val="-11"/>
                <w:sz w:val="21"/>
              </w:rPr>
              <w:t>指严重意外伤害造成面容损毁，被保险人实际接受了对严重缺失、缺陷、</w:t>
            </w:r>
            <w:r>
              <w:rPr>
                <w:spacing w:val="-5"/>
                <w:sz w:val="21"/>
              </w:rPr>
              <w:t>损害及变形的面部形态和结构进行修复或重建的面部整形手术。必须满</w:t>
            </w:r>
            <w:r>
              <w:rPr>
                <w:spacing w:val="-2"/>
                <w:sz w:val="21"/>
              </w:rPr>
              <w:t>足下列所有条件：</w:t>
            </w:r>
          </w:p>
          <w:p>
            <w:pPr>
              <w:pStyle w:val="10"/>
              <w:numPr>
                <w:ilvl w:val="0"/>
                <w:numId w:val="133"/>
              </w:numPr>
              <w:tabs>
                <w:tab w:val="left" w:pos="638"/>
              </w:tabs>
              <w:spacing w:before="0" w:after="0" w:line="269" w:lineRule="exact"/>
              <w:ind w:left="637" w:right="0" w:hanging="530"/>
              <w:jc w:val="left"/>
              <w:rPr>
                <w:sz w:val="21"/>
              </w:rPr>
            </w:pPr>
            <w:r>
              <w:rPr>
                <w:spacing w:val="-3"/>
                <w:sz w:val="21"/>
              </w:rPr>
              <w:t>导致面容损毁的意外伤害发生在保单有效期内；</w:t>
            </w:r>
          </w:p>
          <w:p>
            <w:pPr>
              <w:pStyle w:val="10"/>
              <w:numPr>
                <w:ilvl w:val="0"/>
                <w:numId w:val="133"/>
              </w:numPr>
              <w:tabs>
                <w:tab w:val="left" w:pos="638"/>
              </w:tabs>
              <w:spacing w:before="43" w:after="0" w:line="240" w:lineRule="auto"/>
              <w:ind w:left="637" w:right="0" w:hanging="530"/>
              <w:jc w:val="left"/>
              <w:rPr>
                <w:sz w:val="21"/>
              </w:rPr>
            </w:pPr>
            <w:r>
              <w:rPr>
                <w:spacing w:val="-3"/>
                <w:sz w:val="21"/>
              </w:rPr>
              <w:t>完整医疗文件证明：</w:t>
            </w:r>
          </w:p>
          <w:p>
            <w:pPr>
              <w:pStyle w:val="10"/>
              <w:numPr>
                <w:ilvl w:val="0"/>
                <w:numId w:val="134"/>
              </w:numPr>
              <w:tabs>
                <w:tab w:val="left" w:pos="426"/>
              </w:tabs>
              <w:spacing w:before="43" w:after="0" w:line="278" w:lineRule="auto"/>
              <w:ind w:left="108" w:right="219" w:firstLine="0"/>
              <w:jc w:val="left"/>
              <w:rPr>
                <w:sz w:val="21"/>
              </w:rPr>
            </w:pPr>
            <w:r>
              <w:rPr>
                <w:spacing w:val="-2"/>
                <w:sz w:val="21"/>
              </w:rPr>
              <w:t>突发外在暴力造成面部开放性创口和骨结构损害，或III度皮肤烧</w:t>
            </w:r>
            <w:r>
              <w:rPr>
                <w:spacing w:val="-6"/>
                <w:sz w:val="21"/>
              </w:rPr>
              <w:t>伤；</w:t>
            </w:r>
          </w:p>
          <w:p>
            <w:pPr>
              <w:pStyle w:val="10"/>
              <w:numPr>
                <w:ilvl w:val="0"/>
                <w:numId w:val="134"/>
              </w:numPr>
              <w:tabs>
                <w:tab w:val="left" w:pos="426"/>
              </w:tabs>
              <w:spacing w:before="0" w:after="0" w:line="269" w:lineRule="exact"/>
              <w:ind w:left="425" w:right="0" w:hanging="318"/>
              <w:jc w:val="left"/>
              <w:rPr>
                <w:sz w:val="21"/>
              </w:rPr>
            </w:pPr>
            <w:r>
              <w:rPr>
                <w:spacing w:val="-3"/>
                <w:sz w:val="21"/>
              </w:rPr>
              <w:t>意外伤害是导致面容损毁的直接和唯一原因；</w:t>
            </w:r>
          </w:p>
          <w:p>
            <w:pPr>
              <w:pStyle w:val="10"/>
              <w:spacing w:before="43"/>
              <w:ind w:left="108"/>
              <w:rPr>
                <w:sz w:val="21"/>
              </w:rPr>
            </w:pPr>
            <w:r>
              <w:rPr>
                <w:spacing w:val="-2"/>
                <w:sz w:val="21"/>
              </w:rPr>
              <w:t>（3）</w:t>
            </w:r>
            <w:r>
              <w:rPr>
                <w:spacing w:val="-3"/>
                <w:sz w:val="21"/>
              </w:rPr>
              <w:t>面部整形手术必须：</w:t>
            </w:r>
          </w:p>
          <w:p>
            <w:pPr>
              <w:pStyle w:val="10"/>
              <w:numPr>
                <w:ilvl w:val="0"/>
                <w:numId w:val="135"/>
              </w:numPr>
              <w:tabs>
                <w:tab w:val="left" w:pos="426"/>
              </w:tabs>
              <w:spacing w:before="43" w:after="0" w:line="240" w:lineRule="auto"/>
              <w:ind w:left="425" w:right="0" w:hanging="318"/>
              <w:jc w:val="left"/>
              <w:rPr>
                <w:sz w:val="21"/>
              </w:rPr>
            </w:pPr>
            <w:r>
              <w:rPr>
                <w:spacing w:val="-3"/>
                <w:sz w:val="21"/>
              </w:rPr>
              <w:t>在全麻条件下进行；</w:t>
            </w:r>
          </w:p>
          <w:p>
            <w:pPr>
              <w:pStyle w:val="10"/>
              <w:numPr>
                <w:ilvl w:val="0"/>
                <w:numId w:val="135"/>
              </w:numPr>
              <w:tabs>
                <w:tab w:val="left" w:pos="426"/>
              </w:tabs>
              <w:spacing w:before="44" w:after="0" w:line="240" w:lineRule="auto"/>
              <w:ind w:left="425" w:right="0" w:hanging="318"/>
              <w:jc w:val="left"/>
              <w:rPr>
                <w:sz w:val="21"/>
              </w:rPr>
            </w:pPr>
            <w:r>
              <w:rPr>
                <w:spacing w:val="-3"/>
                <w:sz w:val="21"/>
              </w:rPr>
              <w:t>在卫生部批准的正规整形医院实施。</w:t>
            </w:r>
          </w:p>
          <w:p>
            <w:pPr>
              <w:pStyle w:val="10"/>
              <w:spacing w:before="43"/>
              <w:ind w:left="108"/>
              <w:rPr>
                <w:rFonts w:ascii="黑体" w:eastAsia="黑体"/>
                <w:sz w:val="21"/>
              </w:rPr>
            </w:pPr>
            <w:r>
              <w:rPr>
                <w:rFonts w:ascii="黑体" w:eastAsia="黑体"/>
                <w:color w:val="000000"/>
                <w:spacing w:val="-3"/>
                <w:sz w:val="21"/>
                <w:shd w:val="clear" w:color="auto" w:fill="D9D9D9"/>
              </w:rPr>
              <w:t>因其他原因的整形手术，美容手术不在保障范围内。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1080" w:type="dxa"/>
            <w:tcBorders>
              <w:left w:val="single" w:color="000000" w:sz="12" w:space="0"/>
            </w:tcBorders>
          </w:tcPr>
          <w:p>
            <w:pPr>
              <w:pStyle w:val="10"/>
              <w:spacing w:before="22"/>
              <w:ind w:left="318" w:right="289"/>
              <w:jc w:val="center"/>
              <w:rPr>
                <w:sz w:val="21"/>
              </w:rPr>
            </w:pPr>
            <w:r>
              <w:rPr>
                <w:spacing w:val="-5"/>
                <w:sz w:val="21"/>
              </w:rPr>
              <w:t>49</w:t>
            </w:r>
          </w:p>
        </w:tc>
        <w:tc>
          <w:tcPr>
            <w:tcW w:w="2196" w:type="dxa"/>
          </w:tcPr>
          <w:p>
            <w:pPr>
              <w:pStyle w:val="10"/>
              <w:spacing w:before="22"/>
              <w:ind w:left="117"/>
              <w:rPr>
                <w:sz w:val="21"/>
              </w:rPr>
            </w:pPr>
            <w:r>
              <w:rPr>
                <w:spacing w:val="-4"/>
                <w:sz w:val="21"/>
              </w:rPr>
              <w:t>脑囊虫病</w:t>
            </w:r>
          </w:p>
        </w:tc>
        <w:tc>
          <w:tcPr>
            <w:tcW w:w="6663" w:type="dxa"/>
            <w:tcBorders>
              <w:right w:val="single" w:color="000000" w:sz="12" w:space="0"/>
            </w:tcBorders>
          </w:tcPr>
          <w:p>
            <w:pPr>
              <w:pStyle w:val="10"/>
              <w:spacing w:before="22"/>
              <w:ind w:left="108"/>
              <w:rPr>
                <w:sz w:val="21"/>
              </w:rPr>
            </w:pPr>
            <w:r>
              <w:rPr>
                <w:spacing w:val="-5"/>
                <w:sz w:val="21"/>
              </w:rPr>
              <w:t>指因误食猪绦虫卵，囊尾蚴进入脑内形成数个到数百个囊泡，引起神经</w:t>
            </w:r>
          </w:p>
          <w:p>
            <w:pPr>
              <w:pStyle w:val="10"/>
              <w:spacing w:before="2" w:line="310" w:lineRule="atLeast"/>
              <w:ind w:left="108" w:right="70"/>
              <w:rPr>
                <w:sz w:val="21"/>
              </w:rPr>
            </w:pPr>
            <w:r>
              <w:rPr>
                <w:spacing w:val="-2"/>
                <w:sz w:val="21"/>
              </w:rPr>
              <w:t>系统功能损害，表现为癫痫、颅内压升高或脑膜脑炎。被保险人被明确诊断为脑囊虫病，并且由于颅内压升高实际接受了去骨瓣减压术治疗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0" w:hRule="atLeast"/>
        </w:trPr>
        <w:tc>
          <w:tcPr>
            <w:tcW w:w="1080" w:type="dxa"/>
            <w:tcBorders>
              <w:left w:val="single" w:color="000000" w:sz="12" w:space="0"/>
              <w:bottom w:val="single" w:color="000000" w:sz="12" w:space="0"/>
            </w:tcBorders>
          </w:tcPr>
          <w:p>
            <w:pPr>
              <w:pStyle w:val="10"/>
              <w:spacing w:before="22"/>
              <w:ind w:left="318" w:right="289"/>
              <w:jc w:val="center"/>
              <w:rPr>
                <w:sz w:val="21"/>
              </w:rPr>
            </w:pPr>
            <w:r>
              <w:rPr>
                <w:spacing w:val="-5"/>
                <w:sz w:val="21"/>
              </w:rPr>
              <w:t>50</w:t>
            </w:r>
          </w:p>
        </w:tc>
        <w:tc>
          <w:tcPr>
            <w:tcW w:w="2196" w:type="dxa"/>
            <w:tcBorders>
              <w:bottom w:val="single" w:color="000000" w:sz="12" w:space="0"/>
            </w:tcBorders>
          </w:tcPr>
          <w:p>
            <w:pPr>
              <w:pStyle w:val="10"/>
              <w:spacing w:before="22" w:line="278" w:lineRule="auto"/>
              <w:ind w:left="117" w:right="85"/>
              <w:rPr>
                <w:sz w:val="21"/>
              </w:rPr>
            </w:pPr>
            <w:r>
              <w:rPr>
                <w:sz w:val="21"/>
              </w:rPr>
              <w:t>严重阻塞性睡眠呼吸</w:t>
            </w:r>
            <w:r>
              <w:rPr>
                <w:spacing w:val="-6"/>
                <w:sz w:val="21"/>
              </w:rPr>
              <w:t>暂停</w:t>
            </w:r>
          </w:p>
        </w:tc>
        <w:tc>
          <w:tcPr>
            <w:tcW w:w="6663" w:type="dxa"/>
            <w:tcBorders>
              <w:bottom w:val="single" w:color="000000" w:sz="12" w:space="0"/>
              <w:right w:val="single" w:color="000000" w:sz="12" w:space="0"/>
            </w:tcBorders>
          </w:tcPr>
          <w:p>
            <w:pPr>
              <w:pStyle w:val="10"/>
              <w:spacing w:before="22" w:line="278" w:lineRule="auto"/>
              <w:ind w:left="108" w:right="70"/>
              <w:rPr>
                <w:sz w:val="21"/>
              </w:rPr>
            </w:pPr>
            <w:r>
              <w:rPr>
                <w:spacing w:val="-5"/>
                <w:sz w:val="21"/>
              </w:rPr>
              <w:t>指患者睡眠时周期性地出现部分或晚期的上呼吸道梗阻，又称为阻塞性</w:t>
            </w:r>
            <w:r>
              <w:rPr>
                <w:spacing w:val="-2"/>
                <w:sz w:val="21"/>
              </w:rPr>
              <w:t>睡眠呼吸暂停低通气综合征。必须满足下列所有条件：</w:t>
            </w:r>
          </w:p>
          <w:p>
            <w:pPr>
              <w:pStyle w:val="10"/>
              <w:numPr>
                <w:ilvl w:val="0"/>
                <w:numId w:val="136"/>
              </w:numPr>
              <w:tabs>
                <w:tab w:val="left" w:pos="638"/>
              </w:tabs>
              <w:spacing w:before="0" w:after="0" w:line="278" w:lineRule="auto"/>
              <w:ind w:left="108" w:right="75" w:firstLine="0"/>
              <w:jc w:val="left"/>
              <w:rPr>
                <w:sz w:val="21"/>
              </w:rPr>
            </w:pPr>
            <w:r>
              <w:rPr>
                <w:sz w:val="21"/>
              </w:rPr>
              <w:t>睡眠中心多导睡眠监测（PSG）</w:t>
            </w:r>
            <w:r>
              <w:rPr>
                <w:spacing w:val="-4"/>
                <w:sz w:val="21"/>
              </w:rPr>
              <w:t xml:space="preserve">检查结果为 </w:t>
            </w:r>
            <w:r>
              <w:rPr>
                <w:sz w:val="21"/>
              </w:rPr>
              <w:t>AHI&gt;30</w:t>
            </w:r>
            <w:r>
              <w:rPr>
                <w:spacing w:val="-5"/>
                <w:sz w:val="21"/>
              </w:rPr>
              <w:t xml:space="preserve"> 次/小时和最</w:t>
            </w:r>
            <w:r>
              <w:rPr>
                <w:sz w:val="21"/>
              </w:rPr>
              <w:t xml:space="preserve">低 </w:t>
            </w:r>
            <w:r>
              <w:rPr>
                <w:position w:val="1"/>
                <w:sz w:val="21"/>
              </w:rPr>
              <w:t>SaO</w:t>
            </w:r>
            <w:r>
              <w:rPr>
                <w:sz w:val="11"/>
              </w:rPr>
              <w:t>2</w:t>
            </w:r>
            <w:r>
              <w:rPr>
                <w:position w:val="1"/>
                <w:sz w:val="21"/>
              </w:rPr>
              <w:t>&lt;80%；</w:t>
            </w:r>
          </w:p>
          <w:p>
            <w:pPr>
              <w:pStyle w:val="10"/>
              <w:numPr>
                <w:ilvl w:val="0"/>
                <w:numId w:val="136"/>
              </w:numPr>
              <w:tabs>
                <w:tab w:val="left" w:pos="638"/>
              </w:tabs>
              <w:spacing w:before="0" w:after="0" w:line="269" w:lineRule="exact"/>
              <w:ind w:left="637" w:right="0" w:hanging="530"/>
              <w:jc w:val="left"/>
              <w:rPr>
                <w:sz w:val="21"/>
              </w:rPr>
            </w:pPr>
            <w:r>
              <w:rPr>
                <w:spacing w:val="-3"/>
                <w:sz w:val="21"/>
              </w:rPr>
              <w:t>实际接受了下列至少一项治疗：</w:t>
            </w:r>
          </w:p>
          <w:p>
            <w:pPr>
              <w:pStyle w:val="10"/>
              <w:spacing w:before="43" w:line="278" w:lineRule="auto"/>
              <w:ind w:left="108" w:right="-44"/>
              <w:rPr>
                <w:sz w:val="21"/>
              </w:rPr>
            </w:pPr>
            <w:r>
              <w:rPr>
                <w:spacing w:val="-4"/>
                <w:sz w:val="21"/>
              </w:rPr>
              <w:t xml:space="preserve">持续接受无创气道正压通气治疗 </w:t>
            </w:r>
            <w:r>
              <w:rPr>
                <w:sz w:val="21"/>
              </w:rPr>
              <w:t>30</w:t>
            </w:r>
            <w:r>
              <w:rPr>
                <w:spacing w:val="-15"/>
                <w:sz w:val="21"/>
              </w:rPr>
              <w:t xml:space="preserve"> 天以上，包括 </w:t>
            </w:r>
            <w:r>
              <w:rPr>
                <w:sz w:val="21"/>
              </w:rPr>
              <w:t>CPAP、BiPAP、APAP；</w:t>
            </w:r>
            <w:r>
              <w:rPr>
                <w:spacing w:val="-2"/>
                <w:sz w:val="21"/>
              </w:rPr>
              <w:t>接受了悬雍垂腭咽成型术（UPPP）治疗。</w:t>
            </w:r>
          </w:p>
        </w:tc>
      </w:tr>
    </w:tbl>
    <w:p>
      <w:pPr>
        <w:pStyle w:val="4"/>
        <w:spacing w:before="11"/>
      </w:pPr>
    </w:p>
    <w:p>
      <w:pPr>
        <w:spacing w:before="72"/>
        <w:ind w:left="220" w:right="0" w:firstLine="0"/>
        <w:jc w:val="left"/>
        <w:rPr>
          <w:sz w:val="20"/>
        </w:rPr>
      </w:pPr>
      <w:r>
        <w:rPr>
          <w:w w:val="95"/>
          <w:sz w:val="20"/>
        </w:rPr>
        <w:t>上述释义中部分术语释义如下</w:t>
      </w:r>
      <w:r>
        <w:rPr>
          <w:spacing w:val="-10"/>
          <w:w w:val="95"/>
          <w:sz w:val="20"/>
        </w:rPr>
        <w:t>：</w:t>
      </w:r>
    </w:p>
    <w:p>
      <w:pPr>
        <w:pStyle w:val="9"/>
        <w:numPr>
          <w:ilvl w:val="0"/>
          <w:numId w:val="137"/>
        </w:numPr>
        <w:tabs>
          <w:tab w:val="left" w:pos="580"/>
          <w:tab w:val="left" w:pos="581"/>
        </w:tabs>
        <w:spacing w:before="56" w:after="0" w:line="240" w:lineRule="auto"/>
        <w:ind w:left="580" w:right="0" w:hanging="361"/>
        <w:jc w:val="left"/>
        <w:rPr>
          <w:sz w:val="20"/>
        </w:rPr>
      </w:pPr>
      <w:r>
        <w:rPr>
          <w:w w:val="95"/>
          <w:sz w:val="20"/>
        </w:rPr>
        <w:t>组织病理学检</w:t>
      </w:r>
      <w:r>
        <w:rPr>
          <w:spacing w:val="-10"/>
          <w:w w:val="95"/>
          <w:sz w:val="20"/>
        </w:rPr>
        <w:t>查</w:t>
      </w:r>
    </w:p>
    <w:p>
      <w:pPr>
        <w:spacing w:before="55" w:line="292" w:lineRule="auto"/>
        <w:ind w:left="220" w:right="748" w:firstLine="0"/>
        <w:jc w:val="left"/>
        <w:rPr>
          <w:sz w:val="20"/>
        </w:rPr>
      </w:pPr>
      <w:r>
        <w:rPr>
          <w:spacing w:val="-1"/>
          <w:w w:val="99"/>
          <w:sz w:val="20"/>
        </w:rPr>
        <w:t>组织病理学检查是通过局部切除、钳取、穿刺等手术方法，从患者机体采取病变组织块，经过包埋、切片后，进</w:t>
      </w:r>
      <w:r>
        <w:rPr>
          <w:w w:val="99"/>
          <w:sz w:val="20"/>
        </w:rPr>
        <w:t>行病理检查的方法。</w:t>
      </w:r>
    </w:p>
    <w:p>
      <w:pPr>
        <w:pStyle w:val="4"/>
        <w:spacing w:line="278" w:lineRule="auto"/>
        <w:ind w:left="220" w:right="673"/>
        <w:rPr>
          <w:rFonts w:ascii="黑体" w:eastAsia="黑体"/>
        </w:rPr>
      </w:pPr>
      <w:r>
        <w:rPr>
          <w:rFonts w:ascii="黑体" w:eastAsia="黑体"/>
          <w:color w:val="000000"/>
          <w:spacing w:val="-2"/>
          <w:shd w:val="clear" w:color="auto" w:fill="D9D9D9"/>
        </w:rPr>
        <w:t>通过采集病变部位脱落细胞、细针吸取病变部位细胞、体腔积液分离病变细胞等方式获取病变细胞，制成涂</w:t>
      </w:r>
      <w:r>
        <w:rPr>
          <w:rFonts w:ascii="黑体" w:eastAsia="黑体"/>
          <w:color w:val="000000"/>
          <w:spacing w:val="80"/>
          <w:w w:val="150"/>
          <w:shd w:val="clear" w:color="auto" w:fill="D9D9D9"/>
        </w:rPr>
        <w:t xml:space="preserve">                                                      </w:t>
      </w:r>
      <w:r>
        <w:rPr>
          <w:rFonts w:ascii="黑体" w:eastAsia="黑体"/>
          <w:color w:val="000000"/>
          <w:spacing w:val="-2"/>
          <w:shd w:val="clear" w:color="auto" w:fill="D9D9D9"/>
        </w:rPr>
        <w:t>片，进行病理检查的方法，属于细胞病理学检查，不属于组织病理学检查。</w:t>
      </w:r>
    </w:p>
    <w:p>
      <w:pPr>
        <w:pStyle w:val="9"/>
        <w:numPr>
          <w:ilvl w:val="0"/>
          <w:numId w:val="137"/>
        </w:numPr>
        <w:tabs>
          <w:tab w:val="left" w:pos="580"/>
          <w:tab w:val="left" w:pos="581"/>
        </w:tabs>
        <w:spacing w:before="0" w:after="0" w:line="240" w:lineRule="auto"/>
        <w:ind w:left="580" w:right="0" w:hanging="361"/>
        <w:jc w:val="left"/>
        <w:rPr>
          <w:rFonts w:ascii="Times New Roman" w:eastAsia="Times New Roman"/>
          <w:sz w:val="20"/>
        </w:rPr>
      </w:pPr>
      <w:r>
        <w:rPr>
          <w:rFonts w:ascii="Times New Roman" w:eastAsia="Times New Roman"/>
          <w:w w:val="95"/>
          <w:sz w:val="20"/>
        </w:rPr>
        <w:t>ICD-10</w:t>
      </w:r>
      <w:r>
        <w:rPr>
          <w:rFonts w:ascii="Times New Roman" w:eastAsia="Times New Roman"/>
          <w:spacing w:val="28"/>
          <w:sz w:val="20"/>
        </w:rPr>
        <w:t xml:space="preserve"> </w:t>
      </w:r>
      <w:r>
        <w:rPr>
          <w:spacing w:val="-9"/>
          <w:w w:val="95"/>
          <w:sz w:val="20"/>
        </w:rPr>
        <w:t xml:space="preserve">与 </w:t>
      </w:r>
      <w:r>
        <w:rPr>
          <w:rFonts w:ascii="Times New Roman" w:eastAsia="Times New Roman"/>
          <w:w w:val="95"/>
          <w:sz w:val="20"/>
        </w:rPr>
        <w:t>ICD-O-</w:t>
      </w:r>
      <w:r>
        <w:rPr>
          <w:rFonts w:ascii="Times New Roman" w:eastAsia="Times New Roman"/>
          <w:spacing w:val="-10"/>
          <w:w w:val="95"/>
          <w:sz w:val="20"/>
        </w:rPr>
        <w:t>3</w:t>
      </w:r>
    </w:p>
    <w:p>
      <w:pPr>
        <w:spacing w:before="55" w:line="292" w:lineRule="auto"/>
        <w:ind w:left="220" w:right="580" w:firstLine="0"/>
        <w:jc w:val="left"/>
        <w:rPr>
          <w:sz w:val="20"/>
        </w:rPr>
      </w:pPr>
      <w:r>
        <w:rPr>
          <w:spacing w:val="-2"/>
          <w:sz w:val="20"/>
        </w:rPr>
        <w:t>《疾病和有关健康问题的国际统计分类》第十次修订版（</w:t>
      </w:r>
      <w:r>
        <w:rPr>
          <w:rFonts w:ascii="Times New Roman" w:eastAsia="Times New Roman"/>
          <w:spacing w:val="-2"/>
          <w:sz w:val="20"/>
        </w:rPr>
        <w:t>ICD-</w:t>
      </w:r>
      <w:r>
        <w:rPr>
          <w:rFonts w:ascii="Times New Roman" w:eastAsia="Times New Roman"/>
          <w:spacing w:val="23"/>
          <w:sz w:val="20"/>
        </w:rPr>
        <w:t>10</w:t>
      </w:r>
      <w:r>
        <w:rPr>
          <w:spacing w:val="-79"/>
          <w:sz w:val="20"/>
        </w:rPr>
        <w:t>）</w:t>
      </w:r>
      <w:r>
        <w:rPr>
          <w:spacing w:val="10"/>
          <w:sz w:val="20"/>
        </w:rPr>
        <w:t>，是</w:t>
      </w:r>
      <w:r>
        <w:rPr>
          <w:spacing w:val="-2"/>
          <w:sz w:val="20"/>
        </w:rPr>
        <w:t>世界卫生组织（</w:t>
      </w:r>
      <w:r>
        <w:rPr>
          <w:rFonts w:ascii="Times New Roman" w:eastAsia="Times New Roman"/>
          <w:spacing w:val="-2"/>
          <w:sz w:val="20"/>
        </w:rPr>
        <w:t>WHO</w:t>
      </w:r>
      <w:r>
        <w:rPr>
          <w:spacing w:val="-2"/>
          <w:sz w:val="20"/>
        </w:rPr>
        <w:t>）发布的国际通用的疾病分</w:t>
      </w:r>
      <w:r>
        <w:rPr>
          <w:spacing w:val="-32"/>
          <w:sz w:val="20"/>
        </w:rPr>
        <w:t>类方法。</w:t>
      </w:r>
      <w:r>
        <w:rPr>
          <w:spacing w:val="-2"/>
          <w:sz w:val="20"/>
        </w:rPr>
        <w:t>《国际疾病分类肿瘤学专辑》第三版（</w:t>
      </w:r>
      <w:r>
        <w:rPr>
          <w:rFonts w:ascii="Times New Roman" w:eastAsia="Times New Roman"/>
          <w:spacing w:val="-2"/>
          <w:sz w:val="20"/>
        </w:rPr>
        <w:t>ICD-O-</w:t>
      </w:r>
      <w:r>
        <w:rPr>
          <w:rFonts w:ascii="Times New Roman" w:eastAsia="Times New Roman"/>
          <w:spacing w:val="40"/>
          <w:sz w:val="20"/>
        </w:rPr>
        <w:t>3</w:t>
      </w:r>
      <w:r>
        <w:rPr>
          <w:spacing w:val="-64"/>
          <w:sz w:val="20"/>
        </w:rPr>
        <w:t>）</w:t>
      </w:r>
      <w:r>
        <w:rPr>
          <w:spacing w:val="-11"/>
          <w:sz w:val="20"/>
        </w:rPr>
        <w:t xml:space="preserve">，是 </w:t>
      </w:r>
      <w:r>
        <w:rPr>
          <w:rFonts w:ascii="Times New Roman" w:eastAsia="Times New Roman"/>
          <w:spacing w:val="-2"/>
          <w:sz w:val="20"/>
        </w:rPr>
        <w:t xml:space="preserve">WHO </w:t>
      </w:r>
      <w:r>
        <w:rPr>
          <w:spacing w:val="-2"/>
          <w:sz w:val="20"/>
        </w:rPr>
        <w:t>发布的针对</w:t>
      </w:r>
      <w:r>
        <w:rPr>
          <w:spacing w:val="-47"/>
          <w:sz w:val="20"/>
        </w:rPr>
        <w:t xml:space="preserve"> </w:t>
      </w:r>
      <w:r>
        <w:rPr>
          <w:rFonts w:ascii="Times New Roman" w:eastAsia="Times New Roman"/>
          <w:spacing w:val="-2"/>
          <w:sz w:val="20"/>
        </w:rPr>
        <w:t xml:space="preserve">ICD </w:t>
      </w:r>
      <w:r>
        <w:rPr>
          <w:spacing w:val="-2"/>
          <w:sz w:val="20"/>
        </w:rPr>
        <w:t>中肿瘤形态学组织学细</w:t>
      </w:r>
      <w:r>
        <w:rPr>
          <w:sz w:val="20"/>
        </w:rPr>
        <w:t>胞类型、动态、分化程度的补充编码。其中形态学编码：</w:t>
      </w:r>
      <w:r>
        <w:rPr>
          <w:rFonts w:ascii="Times New Roman" w:eastAsia="Times New Roman"/>
          <w:sz w:val="20"/>
        </w:rPr>
        <w:t xml:space="preserve">0 </w:t>
      </w:r>
      <w:r>
        <w:rPr>
          <w:sz w:val="20"/>
        </w:rPr>
        <w:t>代表良性肿瘤；</w:t>
      </w:r>
      <w:r>
        <w:rPr>
          <w:rFonts w:ascii="Times New Roman" w:eastAsia="Times New Roman"/>
          <w:sz w:val="20"/>
        </w:rPr>
        <w:t xml:space="preserve">1 </w:t>
      </w:r>
      <w:r>
        <w:rPr>
          <w:sz w:val="20"/>
        </w:rPr>
        <w:t>代表动态未定性肿瘤；</w:t>
      </w:r>
      <w:r>
        <w:rPr>
          <w:rFonts w:ascii="Times New Roman" w:eastAsia="Times New Roman"/>
          <w:sz w:val="20"/>
        </w:rPr>
        <w:t xml:space="preserve">2 </w:t>
      </w:r>
      <w:r>
        <w:rPr>
          <w:sz w:val="20"/>
        </w:rPr>
        <w:t>代表原位癌</w:t>
      </w:r>
      <w:r>
        <w:rPr>
          <w:w w:val="95"/>
          <w:sz w:val="20"/>
        </w:rPr>
        <w:t>和非侵袭性癌；</w:t>
      </w:r>
      <w:r>
        <w:rPr>
          <w:rFonts w:ascii="Times New Roman" w:eastAsia="Times New Roman"/>
          <w:w w:val="95"/>
          <w:sz w:val="20"/>
        </w:rPr>
        <w:t xml:space="preserve">3 </w:t>
      </w:r>
      <w:r>
        <w:rPr>
          <w:w w:val="95"/>
          <w:sz w:val="20"/>
        </w:rPr>
        <w:t>代表恶性肿瘤（原发性</w:t>
      </w:r>
      <w:r>
        <w:rPr>
          <w:spacing w:val="-58"/>
          <w:w w:val="95"/>
          <w:sz w:val="20"/>
        </w:rPr>
        <w:t>）</w:t>
      </w:r>
      <w:r>
        <w:rPr>
          <w:spacing w:val="13"/>
          <w:w w:val="95"/>
          <w:sz w:val="20"/>
        </w:rPr>
        <w:t>；</w:t>
      </w:r>
      <w:r>
        <w:rPr>
          <w:rFonts w:ascii="Times New Roman" w:eastAsia="Times New Roman"/>
          <w:spacing w:val="43"/>
          <w:w w:val="95"/>
          <w:sz w:val="20"/>
        </w:rPr>
        <w:t>6</w:t>
      </w:r>
      <w:r>
        <w:rPr>
          <w:rFonts w:ascii="Times New Roman" w:eastAsia="Times New Roman"/>
          <w:spacing w:val="-1"/>
          <w:w w:val="95"/>
          <w:sz w:val="20"/>
        </w:rPr>
        <w:t xml:space="preserve"> </w:t>
      </w:r>
      <w:r>
        <w:rPr>
          <w:w w:val="95"/>
          <w:sz w:val="20"/>
        </w:rPr>
        <w:t>代表恶性肿瘤（转移性</w:t>
      </w:r>
      <w:r>
        <w:rPr>
          <w:spacing w:val="-58"/>
          <w:w w:val="95"/>
          <w:sz w:val="20"/>
        </w:rPr>
        <w:t>）</w:t>
      </w:r>
      <w:r>
        <w:rPr>
          <w:spacing w:val="13"/>
          <w:w w:val="95"/>
          <w:sz w:val="20"/>
        </w:rPr>
        <w:t>；</w:t>
      </w:r>
      <w:r>
        <w:rPr>
          <w:rFonts w:ascii="Times New Roman" w:eastAsia="Times New Roman"/>
          <w:spacing w:val="43"/>
          <w:w w:val="95"/>
          <w:sz w:val="20"/>
        </w:rPr>
        <w:t>9</w:t>
      </w:r>
      <w:r>
        <w:rPr>
          <w:rFonts w:ascii="Times New Roman" w:eastAsia="Times New Roman"/>
          <w:spacing w:val="-1"/>
          <w:w w:val="95"/>
          <w:sz w:val="20"/>
        </w:rPr>
        <w:t xml:space="preserve"> </w:t>
      </w:r>
      <w:r>
        <w:rPr>
          <w:w w:val="95"/>
          <w:sz w:val="20"/>
        </w:rPr>
        <w:t>代表恶性肿瘤（原发性或转移性未肯定</w:t>
      </w:r>
      <w:r>
        <w:rPr>
          <w:spacing w:val="-99"/>
          <w:w w:val="95"/>
          <w:sz w:val="20"/>
        </w:rPr>
        <w:t>）</w:t>
      </w:r>
      <w:r>
        <w:rPr>
          <w:w w:val="95"/>
          <w:sz w:val="20"/>
        </w:rPr>
        <w:t>。</w:t>
      </w:r>
      <w:r>
        <w:rPr>
          <w:sz w:val="20"/>
        </w:rPr>
        <w:t>如果出现</w:t>
      </w:r>
      <w:r>
        <w:rPr>
          <w:spacing w:val="-27"/>
          <w:sz w:val="20"/>
        </w:rPr>
        <w:t xml:space="preserve"> </w:t>
      </w:r>
      <w:r>
        <w:rPr>
          <w:rFonts w:ascii="Times New Roman" w:eastAsia="Times New Roman"/>
          <w:sz w:val="20"/>
        </w:rPr>
        <w:t xml:space="preserve">ICD-10 </w:t>
      </w:r>
      <w:r>
        <w:rPr>
          <w:spacing w:val="-14"/>
          <w:sz w:val="20"/>
        </w:rPr>
        <w:t xml:space="preserve">与 </w:t>
      </w:r>
      <w:r>
        <w:rPr>
          <w:rFonts w:ascii="Times New Roman" w:eastAsia="Times New Roman"/>
          <w:sz w:val="20"/>
        </w:rPr>
        <w:t xml:space="preserve">ICD-O-3 </w:t>
      </w:r>
      <w:r>
        <w:rPr>
          <w:sz w:val="20"/>
        </w:rPr>
        <w:t>不一致的情况，以</w:t>
      </w:r>
      <w:r>
        <w:rPr>
          <w:spacing w:val="-26"/>
          <w:sz w:val="20"/>
        </w:rPr>
        <w:t xml:space="preserve"> </w:t>
      </w:r>
      <w:r>
        <w:rPr>
          <w:rFonts w:ascii="Times New Roman" w:eastAsia="Times New Roman"/>
          <w:sz w:val="20"/>
        </w:rPr>
        <w:t xml:space="preserve">ICD-O-3 </w:t>
      </w:r>
      <w:r>
        <w:rPr>
          <w:sz w:val="20"/>
        </w:rPr>
        <w:t>为准。</w:t>
      </w:r>
    </w:p>
    <w:p>
      <w:pPr>
        <w:pStyle w:val="9"/>
        <w:numPr>
          <w:ilvl w:val="0"/>
          <w:numId w:val="137"/>
        </w:numPr>
        <w:tabs>
          <w:tab w:val="left" w:pos="580"/>
          <w:tab w:val="left" w:pos="581"/>
        </w:tabs>
        <w:spacing w:before="0" w:after="0" w:line="254" w:lineRule="exact"/>
        <w:ind w:left="580" w:right="0" w:hanging="361"/>
        <w:jc w:val="left"/>
        <w:rPr>
          <w:sz w:val="20"/>
        </w:rPr>
      </w:pPr>
      <w:r>
        <w:rPr>
          <w:rFonts w:ascii="Times New Roman" w:eastAsia="Times New Roman"/>
          <w:sz w:val="20"/>
        </w:rPr>
        <w:t>TNM</w:t>
      </w:r>
      <w:r>
        <w:rPr>
          <w:rFonts w:ascii="Times New Roman" w:eastAsia="Times New Roman"/>
          <w:spacing w:val="-3"/>
          <w:sz w:val="20"/>
        </w:rPr>
        <w:t xml:space="preserve"> </w:t>
      </w:r>
      <w:r>
        <w:rPr>
          <w:sz w:val="20"/>
        </w:rPr>
        <w:t>分</w:t>
      </w:r>
      <w:r>
        <w:rPr>
          <w:spacing w:val="-10"/>
          <w:sz w:val="20"/>
        </w:rPr>
        <w:t>期</w:t>
      </w:r>
    </w:p>
    <w:p>
      <w:pPr>
        <w:spacing w:before="55" w:line="292" w:lineRule="auto"/>
        <w:ind w:left="220" w:right="580" w:firstLine="0"/>
        <w:jc w:val="left"/>
        <w:rPr>
          <w:sz w:val="20"/>
        </w:rPr>
      </w:pPr>
      <w:r>
        <w:rPr>
          <w:rFonts w:ascii="Times New Roman" w:eastAsia="Times New Roman"/>
          <w:sz w:val="20"/>
        </w:rPr>
        <w:t>TNM</w:t>
      </w:r>
      <w:r>
        <w:rPr>
          <w:rFonts w:ascii="Times New Roman" w:eastAsia="Times New Roman"/>
          <w:spacing w:val="-13"/>
          <w:sz w:val="20"/>
        </w:rPr>
        <w:t xml:space="preserve"> </w:t>
      </w:r>
      <w:r>
        <w:rPr>
          <w:sz w:val="20"/>
        </w:rPr>
        <w:t>分期采用</w:t>
      </w:r>
      <w:r>
        <w:rPr>
          <w:spacing w:val="-50"/>
          <w:sz w:val="20"/>
        </w:rPr>
        <w:t xml:space="preserve"> </w:t>
      </w:r>
      <w:r>
        <w:rPr>
          <w:rFonts w:ascii="Times New Roman" w:eastAsia="Times New Roman"/>
          <w:sz w:val="20"/>
        </w:rPr>
        <w:t>AJCC</w:t>
      </w:r>
      <w:r>
        <w:rPr>
          <w:rFonts w:ascii="Times New Roman" w:eastAsia="Times New Roman"/>
          <w:spacing w:val="-12"/>
          <w:sz w:val="20"/>
        </w:rPr>
        <w:t xml:space="preserve"> </w:t>
      </w:r>
      <w:r>
        <w:rPr>
          <w:sz w:val="20"/>
        </w:rPr>
        <w:t>癌症分期手</w:t>
      </w:r>
      <w:r>
        <w:rPr>
          <w:spacing w:val="-12"/>
          <w:sz w:val="20"/>
        </w:rPr>
        <w:t>册标准。该标</w:t>
      </w:r>
      <w:r>
        <w:rPr>
          <w:sz w:val="20"/>
        </w:rPr>
        <w:t>准由美国癌症联合委员会与国际抗癌联合会</w:t>
      </w:r>
      <w:r>
        <w:rPr>
          <w:spacing w:val="-47"/>
          <w:sz w:val="20"/>
        </w:rPr>
        <w:t xml:space="preserve"> </w:t>
      </w:r>
      <w:r>
        <w:rPr>
          <w:rFonts w:ascii="Times New Roman" w:eastAsia="Times New Roman"/>
          <w:sz w:val="20"/>
        </w:rPr>
        <w:t>TNM</w:t>
      </w:r>
      <w:r>
        <w:rPr>
          <w:rFonts w:ascii="Times New Roman" w:eastAsia="Times New Roman"/>
          <w:spacing w:val="-12"/>
          <w:sz w:val="20"/>
        </w:rPr>
        <w:t xml:space="preserve"> </w:t>
      </w:r>
      <w:r>
        <w:rPr>
          <w:sz w:val="20"/>
        </w:rPr>
        <w:t>委员会联合制定，是目前肿瘤医学分期的国际通用标准。</w:t>
      </w:r>
      <w:r>
        <w:rPr>
          <w:rFonts w:ascii="Times New Roman" w:eastAsia="Times New Roman"/>
          <w:sz w:val="20"/>
        </w:rPr>
        <w:t xml:space="preserve">T </w:t>
      </w:r>
      <w:r>
        <w:rPr>
          <w:sz w:val="20"/>
        </w:rPr>
        <w:t>指原发肿瘤的大小、形态等；</w:t>
      </w:r>
      <w:r>
        <w:rPr>
          <w:rFonts w:ascii="Times New Roman" w:eastAsia="Times New Roman"/>
          <w:sz w:val="20"/>
        </w:rPr>
        <w:t xml:space="preserve">N </w:t>
      </w:r>
      <w:r>
        <w:rPr>
          <w:sz w:val="20"/>
        </w:rPr>
        <w:t>指淋巴结的转移情况；</w:t>
      </w:r>
      <w:r>
        <w:rPr>
          <w:rFonts w:ascii="Times New Roman" w:eastAsia="Times New Roman"/>
          <w:sz w:val="20"/>
        </w:rPr>
        <w:t xml:space="preserve">M </w:t>
      </w:r>
      <w:r>
        <w:rPr>
          <w:sz w:val="20"/>
        </w:rPr>
        <w:t>指有无其它脏</w:t>
      </w:r>
      <w:r>
        <w:rPr>
          <w:spacing w:val="-2"/>
          <w:sz w:val="20"/>
        </w:rPr>
        <w:t>器的转移情况。</w:t>
      </w:r>
    </w:p>
    <w:p>
      <w:pPr>
        <w:pStyle w:val="9"/>
        <w:numPr>
          <w:ilvl w:val="0"/>
          <w:numId w:val="137"/>
        </w:numPr>
        <w:tabs>
          <w:tab w:val="left" w:pos="580"/>
          <w:tab w:val="left" w:pos="581"/>
        </w:tabs>
        <w:spacing w:before="0" w:after="0" w:line="254" w:lineRule="exact"/>
        <w:ind w:left="580" w:right="0" w:hanging="361"/>
        <w:jc w:val="left"/>
        <w:rPr>
          <w:sz w:val="20"/>
        </w:rPr>
      </w:pPr>
      <w:r>
        <w:rPr>
          <w:w w:val="95"/>
          <w:sz w:val="20"/>
        </w:rPr>
        <w:t>甲状腺</w:t>
      </w:r>
      <w:r>
        <w:rPr>
          <w:spacing w:val="-4"/>
          <w:w w:val="95"/>
          <w:sz w:val="20"/>
        </w:rPr>
        <w:t xml:space="preserve">癌的 </w:t>
      </w:r>
      <w:r>
        <w:rPr>
          <w:rFonts w:ascii="Times New Roman" w:eastAsia="Times New Roman"/>
          <w:w w:val="95"/>
          <w:sz w:val="20"/>
        </w:rPr>
        <w:t>TNM</w:t>
      </w:r>
      <w:r>
        <w:rPr>
          <w:rFonts w:ascii="Times New Roman" w:eastAsia="Times New Roman"/>
          <w:spacing w:val="36"/>
          <w:sz w:val="20"/>
        </w:rPr>
        <w:t xml:space="preserve"> </w:t>
      </w:r>
      <w:r>
        <w:rPr>
          <w:w w:val="95"/>
          <w:sz w:val="20"/>
        </w:rPr>
        <w:t>分</w:t>
      </w:r>
      <w:r>
        <w:rPr>
          <w:spacing w:val="-10"/>
          <w:w w:val="95"/>
          <w:sz w:val="20"/>
        </w:rPr>
        <w:t>期</w:t>
      </w:r>
    </w:p>
    <w:p>
      <w:pPr>
        <w:spacing w:before="56"/>
        <w:ind w:left="220" w:right="0" w:firstLine="0"/>
        <w:jc w:val="left"/>
        <w:rPr>
          <w:sz w:val="20"/>
        </w:rPr>
      </w:pPr>
      <w:r>
        <w:rPr>
          <w:w w:val="95"/>
          <w:sz w:val="20"/>
        </w:rPr>
        <w:t>甲状腺癌的</w:t>
      </w:r>
      <w:r>
        <w:rPr>
          <w:spacing w:val="16"/>
          <w:sz w:val="20"/>
        </w:rPr>
        <w:t xml:space="preserve"> </w:t>
      </w:r>
      <w:r>
        <w:rPr>
          <w:rFonts w:ascii="Times New Roman" w:eastAsia="Times New Roman"/>
          <w:w w:val="95"/>
          <w:sz w:val="20"/>
        </w:rPr>
        <w:t>TNM</w:t>
      </w:r>
      <w:r>
        <w:rPr>
          <w:rFonts w:ascii="Times New Roman" w:eastAsia="Times New Roman"/>
          <w:spacing w:val="66"/>
          <w:sz w:val="20"/>
        </w:rPr>
        <w:t xml:space="preserve"> </w:t>
      </w:r>
      <w:r>
        <w:rPr>
          <w:w w:val="95"/>
          <w:sz w:val="20"/>
        </w:rPr>
        <w:t>分期采用目前现行的</w:t>
      </w:r>
      <w:r>
        <w:rPr>
          <w:spacing w:val="21"/>
          <w:sz w:val="20"/>
        </w:rPr>
        <w:t xml:space="preserve"> </w:t>
      </w:r>
      <w:r>
        <w:rPr>
          <w:rFonts w:ascii="Times New Roman" w:eastAsia="Times New Roman"/>
          <w:w w:val="95"/>
          <w:sz w:val="20"/>
        </w:rPr>
        <w:t>AJCC</w:t>
      </w:r>
      <w:r>
        <w:rPr>
          <w:rFonts w:ascii="Times New Roman" w:eastAsia="Times New Roman"/>
          <w:spacing w:val="67"/>
          <w:sz w:val="20"/>
        </w:rPr>
        <w:t xml:space="preserve"> </w:t>
      </w:r>
      <w:r>
        <w:rPr>
          <w:w w:val="95"/>
          <w:sz w:val="20"/>
        </w:rPr>
        <w:t>第八版定义标准，我国国家卫生健康委员会</w:t>
      </w:r>
      <w:r>
        <w:rPr>
          <w:spacing w:val="18"/>
          <w:sz w:val="20"/>
        </w:rPr>
        <w:t xml:space="preserve"> </w:t>
      </w:r>
      <w:r>
        <w:rPr>
          <w:rFonts w:ascii="Times New Roman" w:eastAsia="Times New Roman"/>
          <w:w w:val="95"/>
          <w:sz w:val="20"/>
        </w:rPr>
        <w:t>2018</w:t>
      </w:r>
      <w:r>
        <w:rPr>
          <w:rFonts w:ascii="Times New Roman" w:eastAsia="Times New Roman"/>
          <w:spacing w:val="67"/>
          <w:sz w:val="20"/>
        </w:rPr>
        <w:t xml:space="preserve"> </w:t>
      </w:r>
      <w:r>
        <w:rPr>
          <w:w w:val="95"/>
          <w:sz w:val="20"/>
        </w:rPr>
        <w:t>年发布的《甲状</w:t>
      </w:r>
      <w:r>
        <w:rPr>
          <w:spacing w:val="-10"/>
          <w:w w:val="95"/>
          <w:sz w:val="20"/>
        </w:rPr>
        <w:t>腺</w:t>
      </w:r>
    </w:p>
    <w:p>
      <w:pPr>
        <w:spacing w:after="0"/>
        <w:jc w:val="left"/>
        <w:rPr>
          <w:sz w:val="20"/>
        </w:rPr>
        <w:sectPr>
          <w:type w:val="continuous"/>
          <w:pgSz w:w="11910" w:h="16840"/>
          <w:pgMar w:top="820" w:right="340" w:bottom="640" w:left="800" w:header="0" w:footer="457" w:gutter="0"/>
          <w:cols w:space="720" w:num="1"/>
        </w:sectPr>
      </w:pPr>
    </w:p>
    <w:p>
      <w:pPr>
        <w:spacing w:before="59"/>
        <w:ind w:left="220" w:right="0" w:firstLine="0"/>
        <w:jc w:val="left"/>
        <w:rPr>
          <w:sz w:val="20"/>
        </w:rPr>
      </w:pPr>
      <w:r>
        <w:rPr>
          <w:w w:val="95"/>
          <w:sz w:val="20"/>
        </w:rPr>
        <w:t>癌诊疗规范（</w:t>
      </w:r>
      <w:r>
        <w:rPr>
          <w:rFonts w:ascii="Times New Roman" w:eastAsia="Times New Roman"/>
          <w:w w:val="95"/>
          <w:sz w:val="20"/>
        </w:rPr>
        <w:t>2018</w:t>
      </w:r>
      <w:r>
        <w:rPr>
          <w:rFonts w:ascii="Times New Roman" w:eastAsia="Times New Roman"/>
          <w:spacing w:val="58"/>
          <w:w w:val="150"/>
          <w:sz w:val="20"/>
        </w:rPr>
        <w:t xml:space="preserve">  </w:t>
      </w:r>
      <w:r>
        <w:rPr>
          <w:w w:val="95"/>
          <w:sz w:val="20"/>
        </w:rPr>
        <w:t>年版</w:t>
      </w:r>
      <w:r>
        <w:rPr>
          <w:spacing w:val="-101"/>
          <w:w w:val="95"/>
          <w:sz w:val="20"/>
        </w:rPr>
        <w:t>）</w:t>
      </w:r>
      <w:r>
        <w:rPr>
          <w:w w:val="95"/>
          <w:sz w:val="20"/>
        </w:rPr>
        <w:t>》也采用此定义标准，具体见下</w:t>
      </w:r>
      <w:r>
        <w:rPr>
          <w:spacing w:val="-10"/>
          <w:w w:val="95"/>
          <w:sz w:val="20"/>
        </w:rPr>
        <w:t>：</w:t>
      </w:r>
    </w:p>
    <w:p>
      <w:pPr>
        <w:spacing w:before="56"/>
        <w:ind w:left="220" w:right="0" w:firstLine="0"/>
        <w:jc w:val="left"/>
        <w:rPr>
          <w:sz w:val="20"/>
        </w:rPr>
      </w:pPr>
      <w:r>
        <w:rPr>
          <w:w w:val="95"/>
          <w:sz w:val="20"/>
        </w:rPr>
        <w:t>甲状腺乳头状癌、滤泡癌、低分化癌、</w:t>
      </w:r>
      <w:r>
        <w:rPr>
          <w:rFonts w:ascii="Times New Roman" w:hAnsi="Times New Roman" w:eastAsia="Times New Roman"/>
          <w:w w:val="95"/>
          <w:sz w:val="20"/>
        </w:rPr>
        <w:t>Hürthle</w:t>
      </w:r>
      <w:r>
        <w:rPr>
          <w:rFonts w:ascii="Times New Roman" w:hAnsi="Times New Roman" w:eastAsia="Times New Roman"/>
          <w:spacing w:val="66"/>
          <w:w w:val="150"/>
          <w:sz w:val="20"/>
        </w:rPr>
        <w:t xml:space="preserve">  </w:t>
      </w:r>
      <w:r>
        <w:rPr>
          <w:w w:val="95"/>
          <w:sz w:val="20"/>
        </w:rPr>
        <w:t>细胞癌和未分</w:t>
      </w:r>
      <w:r>
        <w:rPr>
          <w:spacing w:val="-5"/>
          <w:w w:val="95"/>
          <w:sz w:val="20"/>
        </w:rPr>
        <w:t>化癌</w:t>
      </w:r>
    </w:p>
    <w:p>
      <w:pPr>
        <w:spacing w:before="55" w:line="292" w:lineRule="auto"/>
        <w:ind w:left="220" w:right="8429" w:firstLine="0"/>
        <w:jc w:val="left"/>
        <w:rPr>
          <w:sz w:val="20"/>
        </w:rPr>
      </w:pPr>
      <w:r>
        <w:rPr>
          <w:rFonts w:ascii="Times New Roman" w:eastAsia="Times New Roman"/>
          <w:spacing w:val="-2"/>
          <w:position w:val="2"/>
          <w:sz w:val="20"/>
        </w:rPr>
        <w:t>pT</w:t>
      </w:r>
      <w:r>
        <w:rPr>
          <w:rFonts w:ascii="Times New Roman" w:eastAsia="Times New Roman"/>
          <w:spacing w:val="-2"/>
          <w:sz w:val="13"/>
        </w:rPr>
        <w:t>X</w:t>
      </w:r>
      <w:r>
        <w:rPr>
          <w:spacing w:val="-2"/>
          <w:position w:val="2"/>
          <w:sz w:val="20"/>
        </w:rPr>
        <w:t xml:space="preserve">：原发肿瘤不能评估 </w:t>
      </w:r>
      <w:r>
        <w:rPr>
          <w:rFonts w:ascii="Times New Roman" w:eastAsia="Times New Roman"/>
          <w:spacing w:val="-2"/>
          <w:position w:val="2"/>
          <w:sz w:val="20"/>
        </w:rPr>
        <w:t>pT</w:t>
      </w:r>
      <w:r>
        <w:rPr>
          <w:rFonts w:ascii="Times New Roman" w:eastAsia="Times New Roman"/>
          <w:spacing w:val="-2"/>
          <w:sz w:val="13"/>
        </w:rPr>
        <w:t>0</w:t>
      </w:r>
      <w:r>
        <w:rPr>
          <w:spacing w:val="-2"/>
          <w:position w:val="2"/>
          <w:sz w:val="20"/>
        </w:rPr>
        <w:t>：无肿瘤证据</w:t>
      </w:r>
    </w:p>
    <w:p>
      <w:pPr>
        <w:spacing w:before="0" w:line="292" w:lineRule="auto"/>
        <w:ind w:left="621" w:right="6826" w:hanging="402"/>
        <w:jc w:val="left"/>
        <w:rPr>
          <w:rFonts w:ascii="Times New Roman" w:hAnsi="Times New Roman" w:eastAsia="Times New Roman"/>
          <w:sz w:val="20"/>
        </w:rPr>
      </w:pPr>
      <w:r>
        <w:rPr>
          <w:rFonts w:ascii="Times New Roman" w:hAnsi="Times New Roman" w:eastAsia="Times New Roman"/>
          <w:spacing w:val="-2"/>
          <w:position w:val="2"/>
          <w:sz w:val="20"/>
        </w:rPr>
        <w:t>pT</w:t>
      </w:r>
      <w:r>
        <w:rPr>
          <w:rFonts w:ascii="Times New Roman" w:hAnsi="Times New Roman" w:eastAsia="Times New Roman"/>
          <w:spacing w:val="-2"/>
          <w:sz w:val="13"/>
        </w:rPr>
        <w:t>1</w:t>
      </w:r>
      <w:r>
        <w:rPr>
          <w:spacing w:val="-2"/>
          <w:position w:val="2"/>
          <w:sz w:val="20"/>
        </w:rPr>
        <w:t>：肿瘤局限在甲状腺内，最大径</w:t>
      </w:r>
      <w:r>
        <w:rPr>
          <w:rFonts w:ascii="Times New Roman" w:hAnsi="Times New Roman" w:eastAsia="Times New Roman"/>
          <w:spacing w:val="-2"/>
          <w:position w:val="2"/>
          <w:sz w:val="20"/>
        </w:rPr>
        <w:t xml:space="preserve">≤2cm </w:t>
      </w:r>
      <w:r>
        <w:rPr>
          <w:rFonts w:ascii="Times New Roman" w:hAnsi="Times New Roman" w:eastAsia="Times New Roman"/>
          <w:position w:val="2"/>
          <w:sz w:val="20"/>
        </w:rPr>
        <w:t>T</w:t>
      </w:r>
      <w:r>
        <w:rPr>
          <w:rFonts w:ascii="Times New Roman" w:hAnsi="Times New Roman" w:eastAsia="Times New Roman"/>
          <w:sz w:val="13"/>
        </w:rPr>
        <w:t>1a</w:t>
      </w:r>
      <w:r>
        <w:rPr>
          <w:rFonts w:ascii="Times New Roman" w:hAnsi="Times New Roman" w:eastAsia="Times New Roman"/>
          <w:spacing w:val="-6"/>
          <w:sz w:val="13"/>
        </w:rPr>
        <w:t xml:space="preserve"> </w:t>
      </w:r>
      <w:r>
        <w:rPr>
          <w:position w:val="2"/>
          <w:sz w:val="20"/>
        </w:rPr>
        <w:t>肿瘤最大径</w:t>
      </w:r>
      <w:r>
        <w:rPr>
          <w:rFonts w:ascii="Times New Roman" w:hAnsi="Times New Roman" w:eastAsia="Times New Roman"/>
          <w:position w:val="2"/>
          <w:sz w:val="20"/>
        </w:rPr>
        <w:t>≤1cm</w:t>
      </w:r>
    </w:p>
    <w:p>
      <w:pPr>
        <w:spacing w:before="0" w:line="292" w:lineRule="auto"/>
        <w:ind w:left="220" w:right="7654" w:firstLine="401"/>
        <w:jc w:val="left"/>
        <w:rPr>
          <w:rFonts w:ascii="Times New Roman" w:hAnsi="Times New Roman" w:eastAsia="Times New Roman"/>
          <w:sz w:val="20"/>
        </w:rPr>
      </w:pPr>
      <w:r>
        <w:rPr>
          <w:rFonts w:ascii="Times New Roman" w:hAnsi="Times New Roman" w:eastAsia="Times New Roman"/>
          <w:position w:val="2"/>
          <w:sz w:val="20"/>
        </w:rPr>
        <w:t>T</w:t>
      </w:r>
      <w:r>
        <w:rPr>
          <w:rFonts w:ascii="Times New Roman" w:hAnsi="Times New Roman" w:eastAsia="Times New Roman"/>
          <w:sz w:val="13"/>
        </w:rPr>
        <w:t>1b</w:t>
      </w:r>
      <w:r>
        <w:rPr>
          <w:rFonts w:ascii="Times New Roman" w:hAnsi="Times New Roman" w:eastAsia="Times New Roman"/>
          <w:spacing w:val="-9"/>
          <w:sz w:val="13"/>
        </w:rPr>
        <w:t xml:space="preserve"> </w:t>
      </w:r>
      <w:r>
        <w:rPr>
          <w:position w:val="2"/>
          <w:sz w:val="20"/>
        </w:rPr>
        <w:t>肿瘤最大径＞</w:t>
      </w:r>
      <w:r>
        <w:rPr>
          <w:rFonts w:ascii="Times New Roman" w:hAnsi="Times New Roman" w:eastAsia="Times New Roman"/>
          <w:position w:val="2"/>
          <w:sz w:val="20"/>
        </w:rPr>
        <w:t>1cm</w:t>
      </w:r>
      <w:r>
        <w:rPr>
          <w:position w:val="2"/>
          <w:sz w:val="20"/>
        </w:rPr>
        <w:t>，</w:t>
      </w:r>
      <w:r>
        <w:rPr>
          <w:rFonts w:ascii="Times New Roman" w:hAnsi="Times New Roman" w:eastAsia="Times New Roman"/>
          <w:position w:val="2"/>
          <w:sz w:val="20"/>
        </w:rPr>
        <w:t>≤2cm pT</w:t>
      </w:r>
      <w:r>
        <w:rPr>
          <w:rFonts w:ascii="Times New Roman" w:hAnsi="Times New Roman" w:eastAsia="Times New Roman"/>
          <w:sz w:val="13"/>
        </w:rPr>
        <w:t>2</w:t>
      </w:r>
      <w:r>
        <w:rPr>
          <w:position w:val="2"/>
          <w:sz w:val="20"/>
        </w:rPr>
        <w:t>：肿瘤</w:t>
      </w:r>
      <w:r>
        <w:rPr>
          <w:spacing w:val="-41"/>
          <w:position w:val="2"/>
          <w:sz w:val="20"/>
        </w:rPr>
        <w:t xml:space="preserve"> </w:t>
      </w:r>
      <w:r>
        <w:rPr>
          <w:rFonts w:ascii="Times New Roman" w:hAnsi="Times New Roman" w:eastAsia="Times New Roman"/>
          <w:position w:val="2"/>
          <w:sz w:val="20"/>
        </w:rPr>
        <w:t>2</w:t>
      </w:r>
      <w:r>
        <w:rPr>
          <w:position w:val="2"/>
          <w:sz w:val="20"/>
        </w:rPr>
        <w:t>～</w:t>
      </w:r>
      <w:r>
        <w:rPr>
          <w:rFonts w:ascii="Times New Roman" w:hAnsi="Times New Roman" w:eastAsia="Times New Roman"/>
          <w:position w:val="2"/>
          <w:sz w:val="20"/>
        </w:rPr>
        <w:t>4cm</w:t>
      </w:r>
    </w:p>
    <w:p>
      <w:pPr>
        <w:spacing w:before="0" w:line="292" w:lineRule="auto"/>
        <w:ind w:left="220" w:right="5202" w:firstLine="0"/>
        <w:jc w:val="left"/>
        <w:rPr>
          <w:sz w:val="20"/>
        </w:rPr>
      </w:pPr>
      <w:r>
        <w:rPr>
          <w:rFonts w:ascii="Times New Roman" w:eastAsia="Times New Roman"/>
          <w:spacing w:val="-2"/>
          <w:position w:val="2"/>
          <w:sz w:val="20"/>
        </w:rPr>
        <w:t>pT</w:t>
      </w:r>
      <w:r>
        <w:rPr>
          <w:rFonts w:ascii="Times New Roman" w:eastAsia="Times New Roman"/>
          <w:spacing w:val="-2"/>
          <w:sz w:val="13"/>
        </w:rPr>
        <w:t>3</w:t>
      </w:r>
      <w:r>
        <w:rPr>
          <w:spacing w:val="-2"/>
          <w:position w:val="2"/>
          <w:sz w:val="20"/>
        </w:rPr>
        <w:t>：肿瘤</w:t>
      </w:r>
      <w:r>
        <w:rPr>
          <w:rFonts w:ascii="Times New Roman" w:eastAsia="Times New Roman"/>
          <w:spacing w:val="-2"/>
          <w:position w:val="2"/>
          <w:sz w:val="20"/>
        </w:rPr>
        <w:t>&gt;4cm</w:t>
      </w:r>
      <w:r>
        <w:rPr>
          <w:spacing w:val="-2"/>
          <w:position w:val="2"/>
          <w:sz w:val="20"/>
        </w:rPr>
        <w:t xml:space="preserve">，局限于甲状腺内或大体侵犯甲状腺外带状肌 </w:t>
      </w:r>
      <w:r>
        <w:rPr>
          <w:rFonts w:ascii="Times New Roman" w:eastAsia="Times New Roman"/>
          <w:spacing w:val="-2"/>
          <w:position w:val="2"/>
          <w:sz w:val="20"/>
        </w:rPr>
        <w:t>pT</w:t>
      </w:r>
      <w:r>
        <w:rPr>
          <w:rFonts w:ascii="Times New Roman" w:eastAsia="Times New Roman"/>
          <w:spacing w:val="-2"/>
          <w:sz w:val="13"/>
        </w:rPr>
        <w:t>3a</w:t>
      </w:r>
      <w:r>
        <w:rPr>
          <w:spacing w:val="-2"/>
          <w:position w:val="2"/>
          <w:sz w:val="20"/>
        </w:rPr>
        <w:t>：肿瘤</w:t>
      </w:r>
      <w:r>
        <w:rPr>
          <w:rFonts w:ascii="Times New Roman" w:eastAsia="Times New Roman"/>
          <w:spacing w:val="-2"/>
          <w:position w:val="2"/>
          <w:sz w:val="20"/>
        </w:rPr>
        <w:t>&gt;4cm</w:t>
      </w:r>
      <w:r>
        <w:rPr>
          <w:spacing w:val="-2"/>
          <w:position w:val="2"/>
          <w:sz w:val="20"/>
        </w:rPr>
        <w:t>，局限于甲状腺内</w:t>
      </w:r>
    </w:p>
    <w:p>
      <w:pPr>
        <w:spacing w:before="0" w:line="255" w:lineRule="exact"/>
        <w:ind w:left="220" w:right="0" w:firstLine="0"/>
        <w:jc w:val="left"/>
        <w:rPr>
          <w:sz w:val="20"/>
        </w:rPr>
      </w:pPr>
      <w:r>
        <w:rPr>
          <w:rFonts w:ascii="Times New Roman" w:eastAsia="Times New Roman"/>
          <w:w w:val="95"/>
          <w:position w:val="2"/>
          <w:sz w:val="20"/>
        </w:rPr>
        <w:t>pT</w:t>
      </w:r>
      <w:r>
        <w:rPr>
          <w:rFonts w:ascii="Times New Roman" w:eastAsia="Times New Roman"/>
          <w:w w:val="95"/>
          <w:sz w:val="13"/>
        </w:rPr>
        <w:t>3b</w:t>
      </w:r>
      <w:r>
        <w:rPr>
          <w:w w:val="95"/>
          <w:position w:val="2"/>
          <w:sz w:val="20"/>
        </w:rPr>
        <w:t>：大体侵犯甲状腺外带状肌，无论肿瘤大</w:t>
      </w:r>
      <w:r>
        <w:rPr>
          <w:spacing w:val="-10"/>
          <w:w w:val="95"/>
          <w:position w:val="2"/>
          <w:sz w:val="20"/>
        </w:rPr>
        <w:t>小</w:t>
      </w:r>
    </w:p>
    <w:p>
      <w:pPr>
        <w:spacing w:before="53"/>
        <w:ind w:left="220" w:right="0" w:firstLine="0"/>
        <w:jc w:val="left"/>
        <w:rPr>
          <w:sz w:val="20"/>
        </w:rPr>
      </w:pPr>
      <w:r>
        <w:rPr>
          <w:w w:val="95"/>
          <w:sz w:val="20"/>
        </w:rPr>
        <w:t>带状肌包括：胸骨舌骨肌、胸骨甲状肌、甲状舌骨肌、肩胛舌</w:t>
      </w:r>
      <w:r>
        <w:rPr>
          <w:spacing w:val="-5"/>
          <w:w w:val="95"/>
          <w:sz w:val="20"/>
        </w:rPr>
        <w:t>骨肌</w:t>
      </w:r>
    </w:p>
    <w:p>
      <w:pPr>
        <w:spacing w:before="55" w:line="292" w:lineRule="auto"/>
        <w:ind w:left="220" w:right="6000" w:firstLine="0"/>
        <w:jc w:val="left"/>
        <w:rPr>
          <w:sz w:val="20"/>
        </w:rPr>
      </w:pPr>
      <w:r>
        <w:rPr>
          <w:rFonts w:ascii="Times New Roman" w:eastAsia="Times New Roman"/>
          <w:spacing w:val="-2"/>
          <w:position w:val="2"/>
          <w:sz w:val="20"/>
        </w:rPr>
        <w:t>pT</w:t>
      </w:r>
      <w:r>
        <w:rPr>
          <w:rFonts w:ascii="Times New Roman" w:eastAsia="Times New Roman"/>
          <w:spacing w:val="-2"/>
          <w:sz w:val="13"/>
        </w:rPr>
        <w:t>4</w:t>
      </w:r>
      <w:r>
        <w:rPr>
          <w:spacing w:val="-2"/>
          <w:position w:val="2"/>
          <w:sz w:val="20"/>
        </w:rPr>
        <w:t>：大体侵犯甲状腺外带状肌外</w:t>
      </w:r>
      <w:r>
        <w:rPr>
          <w:spacing w:val="80"/>
          <w:w w:val="150"/>
          <w:position w:val="2"/>
          <w:sz w:val="20"/>
        </w:rPr>
        <w:t xml:space="preserve">      </w:t>
      </w:r>
      <w:r>
        <w:rPr>
          <w:rFonts w:ascii="Times New Roman" w:eastAsia="Times New Roman"/>
          <w:spacing w:val="-2"/>
          <w:position w:val="2"/>
          <w:sz w:val="20"/>
        </w:rPr>
        <w:t>pT</w:t>
      </w:r>
      <w:r>
        <w:rPr>
          <w:rFonts w:ascii="Times New Roman" w:eastAsia="Times New Roman"/>
          <w:spacing w:val="-2"/>
          <w:sz w:val="13"/>
        </w:rPr>
        <w:t>4a</w:t>
      </w:r>
      <w:r>
        <w:rPr>
          <w:spacing w:val="-2"/>
          <w:position w:val="2"/>
          <w:sz w:val="20"/>
        </w:rPr>
        <w:t xml:space="preserve">：侵犯喉、气管、食管、喉反神经及皮下软组织 </w:t>
      </w:r>
      <w:r>
        <w:rPr>
          <w:rFonts w:ascii="Times New Roman" w:eastAsia="Times New Roman"/>
          <w:spacing w:val="-2"/>
          <w:position w:val="2"/>
          <w:sz w:val="20"/>
        </w:rPr>
        <w:t>pT</w:t>
      </w:r>
      <w:r>
        <w:rPr>
          <w:rFonts w:ascii="Times New Roman" w:eastAsia="Times New Roman"/>
          <w:spacing w:val="-2"/>
          <w:sz w:val="13"/>
        </w:rPr>
        <w:t>4b</w:t>
      </w:r>
      <w:r>
        <w:rPr>
          <w:spacing w:val="-2"/>
          <w:position w:val="2"/>
          <w:sz w:val="20"/>
        </w:rPr>
        <w:t>：侵犯椎前筋膜，或包裹颈动脉、纵隔血管</w:t>
      </w:r>
    </w:p>
    <w:p>
      <w:pPr>
        <w:spacing w:before="0" w:line="292" w:lineRule="auto"/>
        <w:ind w:left="220" w:right="8429" w:firstLine="0"/>
        <w:jc w:val="left"/>
        <w:rPr>
          <w:sz w:val="20"/>
        </w:rPr>
      </w:pPr>
      <w:r>
        <w:rPr>
          <w:spacing w:val="-2"/>
          <w:sz w:val="20"/>
        </w:rPr>
        <w:t>甲状腺髓样癌</w:t>
      </w:r>
      <w:r>
        <w:rPr>
          <w:spacing w:val="80"/>
          <w:sz w:val="20"/>
        </w:rPr>
        <w:t xml:space="preserve">   </w:t>
      </w:r>
      <w:r>
        <w:rPr>
          <w:rFonts w:ascii="Times New Roman" w:eastAsia="Times New Roman"/>
          <w:spacing w:val="-2"/>
          <w:position w:val="2"/>
          <w:sz w:val="20"/>
        </w:rPr>
        <w:t>pT</w:t>
      </w:r>
      <w:r>
        <w:rPr>
          <w:rFonts w:ascii="Times New Roman" w:eastAsia="Times New Roman"/>
          <w:spacing w:val="-2"/>
          <w:sz w:val="13"/>
        </w:rPr>
        <w:t>X</w:t>
      </w:r>
      <w:r>
        <w:rPr>
          <w:spacing w:val="-2"/>
          <w:position w:val="2"/>
          <w:sz w:val="20"/>
        </w:rPr>
        <w:t xml:space="preserve">：原发肿瘤不能评估 </w:t>
      </w:r>
      <w:r>
        <w:rPr>
          <w:rFonts w:ascii="Times New Roman" w:eastAsia="Times New Roman"/>
          <w:spacing w:val="-2"/>
          <w:position w:val="2"/>
          <w:sz w:val="20"/>
        </w:rPr>
        <w:t>pT</w:t>
      </w:r>
      <w:r>
        <w:rPr>
          <w:rFonts w:ascii="Times New Roman" w:eastAsia="Times New Roman"/>
          <w:spacing w:val="-2"/>
          <w:sz w:val="13"/>
        </w:rPr>
        <w:t>0</w:t>
      </w:r>
      <w:r>
        <w:rPr>
          <w:spacing w:val="-2"/>
          <w:position w:val="2"/>
          <w:sz w:val="20"/>
        </w:rPr>
        <w:t>：无肿瘤证据</w:t>
      </w:r>
    </w:p>
    <w:p>
      <w:pPr>
        <w:spacing w:before="0" w:line="292" w:lineRule="auto"/>
        <w:ind w:left="621" w:right="6826" w:hanging="402"/>
        <w:jc w:val="left"/>
        <w:rPr>
          <w:rFonts w:ascii="Times New Roman" w:hAnsi="Times New Roman" w:eastAsia="Times New Roman"/>
          <w:sz w:val="20"/>
        </w:rPr>
      </w:pPr>
      <w:r>
        <w:rPr>
          <w:rFonts w:ascii="Times New Roman" w:hAnsi="Times New Roman" w:eastAsia="Times New Roman"/>
          <w:spacing w:val="-2"/>
          <w:position w:val="2"/>
          <w:sz w:val="20"/>
        </w:rPr>
        <w:t>pT</w:t>
      </w:r>
      <w:r>
        <w:rPr>
          <w:rFonts w:ascii="Times New Roman" w:hAnsi="Times New Roman" w:eastAsia="Times New Roman"/>
          <w:spacing w:val="-2"/>
          <w:sz w:val="13"/>
        </w:rPr>
        <w:t>1</w:t>
      </w:r>
      <w:r>
        <w:rPr>
          <w:spacing w:val="-2"/>
          <w:position w:val="2"/>
          <w:sz w:val="20"/>
        </w:rPr>
        <w:t>：肿瘤局限在甲状腺内，最大径</w:t>
      </w:r>
      <w:r>
        <w:rPr>
          <w:rFonts w:ascii="Times New Roman" w:hAnsi="Times New Roman" w:eastAsia="Times New Roman"/>
          <w:spacing w:val="-2"/>
          <w:position w:val="2"/>
          <w:sz w:val="20"/>
        </w:rPr>
        <w:t xml:space="preserve">≤2cm </w:t>
      </w:r>
      <w:r>
        <w:rPr>
          <w:rFonts w:ascii="Times New Roman" w:hAnsi="Times New Roman" w:eastAsia="Times New Roman"/>
          <w:position w:val="2"/>
          <w:sz w:val="20"/>
        </w:rPr>
        <w:t>T</w:t>
      </w:r>
      <w:r>
        <w:rPr>
          <w:rFonts w:ascii="Times New Roman" w:hAnsi="Times New Roman" w:eastAsia="Times New Roman"/>
          <w:sz w:val="13"/>
        </w:rPr>
        <w:t>1a</w:t>
      </w:r>
      <w:r>
        <w:rPr>
          <w:rFonts w:ascii="Times New Roman" w:hAnsi="Times New Roman" w:eastAsia="Times New Roman"/>
          <w:spacing w:val="-6"/>
          <w:sz w:val="13"/>
        </w:rPr>
        <w:t xml:space="preserve"> </w:t>
      </w:r>
      <w:r>
        <w:rPr>
          <w:position w:val="2"/>
          <w:sz w:val="20"/>
        </w:rPr>
        <w:t>肿瘤最大径</w:t>
      </w:r>
      <w:r>
        <w:rPr>
          <w:rFonts w:ascii="Times New Roman" w:hAnsi="Times New Roman" w:eastAsia="Times New Roman"/>
          <w:position w:val="2"/>
          <w:sz w:val="20"/>
        </w:rPr>
        <w:t>≤1cm</w:t>
      </w:r>
    </w:p>
    <w:p>
      <w:pPr>
        <w:spacing w:before="0" w:line="292" w:lineRule="auto"/>
        <w:ind w:left="220" w:right="7654" w:firstLine="401"/>
        <w:jc w:val="left"/>
        <w:rPr>
          <w:rFonts w:ascii="Times New Roman" w:hAnsi="Times New Roman" w:eastAsia="Times New Roman"/>
          <w:sz w:val="20"/>
        </w:rPr>
      </w:pPr>
      <w:r>
        <w:rPr>
          <w:rFonts w:ascii="Times New Roman" w:hAnsi="Times New Roman" w:eastAsia="Times New Roman"/>
          <w:position w:val="2"/>
          <w:sz w:val="20"/>
        </w:rPr>
        <w:t>T</w:t>
      </w:r>
      <w:r>
        <w:rPr>
          <w:rFonts w:ascii="Times New Roman" w:hAnsi="Times New Roman" w:eastAsia="Times New Roman"/>
          <w:sz w:val="13"/>
        </w:rPr>
        <w:t>1b</w:t>
      </w:r>
      <w:r>
        <w:rPr>
          <w:rFonts w:ascii="Times New Roman" w:hAnsi="Times New Roman" w:eastAsia="Times New Roman"/>
          <w:spacing w:val="-9"/>
          <w:sz w:val="13"/>
        </w:rPr>
        <w:t xml:space="preserve"> </w:t>
      </w:r>
      <w:r>
        <w:rPr>
          <w:position w:val="2"/>
          <w:sz w:val="20"/>
        </w:rPr>
        <w:t>肿瘤最大径＞</w:t>
      </w:r>
      <w:r>
        <w:rPr>
          <w:rFonts w:ascii="Times New Roman" w:hAnsi="Times New Roman" w:eastAsia="Times New Roman"/>
          <w:position w:val="2"/>
          <w:sz w:val="20"/>
        </w:rPr>
        <w:t>1cm</w:t>
      </w:r>
      <w:r>
        <w:rPr>
          <w:position w:val="2"/>
          <w:sz w:val="20"/>
        </w:rPr>
        <w:t>，</w:t>
      </w:r>
      <w:r>
        <w:rPr>
          <w:rFonts w:ascii="Times New Roman" w:hAnsi="Times New Roman" w:eastAsia="Times New Roman"/>
          <w:position w:val="2"/>
          <w:sz w:val="20"/>
        </w:rPr>
        <w:t>≤2cm pT</w:t>
      </w:r>
      <w:r>
        <w:rPr>
          <w:rFonts w:ascii="Times New Roman" w:hAnsi="Times New Roman" w:eastAsia="Times New Roman"/>
          <w:sz w:val="13"/>
        </w:rPr>
        <w:t>2</w:t>
      </w:r>
      <w:r>
        <w:rPr>
          <w:position w:val="2"/>
          <w:sz w:val="20"/>
        </w:rPr>
        <w:t>：肿瘤</w:t>
      </w:r>
      <w:r>
        <w:rPr>
          <w:spacing w:val="-41"/>
          <w:position w:val="2"/>
          <w:sz w:val="20"/>
        </w:rPr>
        <w:t xml:space="preserve"> </w:t>
      </w:r>
      <w:r>
        <w:rPr>
          <w:rFonts w:ascii="Times New Roman" w:hAnsi="Times New Roman" w:eastAsia="Times New Roman"/>
          <w:position w:val="2"/>
          <w:sz w:val="20"/>
        </w:rPr>
        <w:t>2</w:t>
      </w:r>
      <w:r>
        <w:rPr>
          <w:position w:val="2"/>
          <w:sz w:val="20"/>
        </w:rPr>
        <w:t>～</w:t>
      </w:r>
      <w:r>
        <w:rPr>
          <w:rFonts w:ascii="Times New Roman" w:hAnsi="Times New Roman" w:eastAsia="Times New Roman"/>
          <w:position w:val="2"/>
          <w:sz w:val="20"/>
        </w:rPr>
        <w:t>4cm</w:t>
      </w:r>
    </w:p>
    <w:p>
      <w:pPr>
        <w:spacing w:before="0" w:line="292" w:lineRule="auto"/>
        <w:ind w:left="220" w:right="5202" w:firstLine="0"/>
        <w:jc w:val="left"/>
        <w:rPr>
          <w:sz w:val="20"/>
        </w:rPr>
      </w:pPr>
      <w:r>
        <w:rPr>
          <w:rFonts w:ascii="Times New Roman" w:eastAsia="Times New Roman"/>
          <w:spacing w:val="-2"/>
          <w:position w:val="2"/>
          <w:sz w:val="20"/>
        </w:rPr>
        <w:t>pT</w:t>
      </w:r>
      <w:r>
        <w:rPr>
          <w:rFonts w:ascii="Times New Roman" w:eastAsia="Times New Roman"/>
          <w:spacing w:val="-2"/>
          <w:sz w:val="13"/>
        </w:rPr>
        <w:t>3</w:t>
      </w:r>
      <w:r>
        <w:rPr>
          <w:spacing w:val="-2"/>
          <w:position w:val="2"/>
          <w:sz w:val="20"/>
        </w:rPr>
        <w:t>：肿瘤</w:t>
      </w:r>
      <w:r>
        <w:rPr>
          <w:rFonts w:ascii="Times New Roman" w:eastAsia="Times New Roman"/>
          <w:spacing w:val="-2"/>
          <w:position w:val="2"/>
          <w:sz w:val="20"/>
        </w:rPr>
        <w:t>&gt;4cm</w:t>
      </w:r>
      <w:r>
        <w:rPr>
          <w:spacing w:val="-2"/>
          <w:position w:val="2"/>
          <w:sz w:val="20"/>
        </w:rPr>
        <w:t xml:space="preserve">，局限于甲状腺内或大体侵犯甲状腺外带状肌 </w:t>
      </w:r>
      <w:r>
        <w:rPr>
          <w:rFonts w:ascii="Times New Roman" w:eastAsia="Times New Roman"/>
          <w:spacing w:val="-2"/>
          <w:position w:val="2"/>
          <w:sz w:val="20"/>
        </w:rPr>
        <w:t>pT</w:t>
      </w:r>
      <w:r>
        <w:rPr>
          <w:rFonts w:ascii="Times New Roman" w:eastAsia="Times New Roman"/>
          <w:spacing w:val="-2"/>
          <w:sz w:val="13"/>
        </w:rPr>
        <w:t>3a</w:t>
      </w:r>
      <w:r>
        <w:rPr>
          <w:spacing w:val="-2"/>
          <w:position w:val="2"/>
          <w:sz w:val="20"/>
        </w:rPr>
        <w:t>：肿瘤</w:t>
      </w:r>
      <w:r>
        <w:rPr>
          <w:rFonts w:ascii="Times New Roman" w:eastAsia="Times New Roman"/>
          <w:spacing w:val="-2"/>
          <w:position w:val="2"/>
          <w:sz w:val="20"/>
        </w:rPr>
        <w:t>&gt;4cm</w:t>
      </w:r>
      <w:r>
        <w:rPr>
          <w:spacing w:val="-2"/>
          <w:position w:val="2"/>
          <w:sz w:val="20"/>
        </w:rPr>
        <w:t>，局限于甲状腺内</w:t>
      </w:r>
    </w:p>
    <w:p>
      <w:pPr>
        <w:spacing w:before="0" w:line="255" w:lineRule="exact"/>
        <w:ind w:left="220" w:right="0" w:firstLine="0"/>
        <w:jc w:val="left"/>
        <w:rPr>
          <w:sz w:val="20"/>
        </w:rPr>
      </w:pPr>
      <w:r>
        <w:rPr>
          <w:rFonts w:ascii="Times New Roman" w:eastAsia="Times New Roman"/>
          <w:w w:val="95"/>
          <w:position w:val="2"/>
          <w:sz w:val="20"/>
        </w:rPr>
        <w:t>pT</w:t>
      </w:r>
      <w:r>
        <w:rPr>
          <w:rFonts w:ascii="Times New Roman" w:eastAsia="Times New Roman"/>
          <w:w w:val="95"/>
          <w:sz w:val="13"/>
        </w:rPr>
        <w:t>3b</w:t>
      </w:r>
      <w:r>
        <w:rPr>
          <w:w w:val="95"/>
          <w:position w:val="2"/>
          <w:sz w:val="20"/>
        </w:rPr>
        <w:t>：大体侵犯甲状腺外带状肌，无论肿瘤大</w:t>
      </w:r>
      <w:r>
        <w:rPr>
          <w:spacing w:val="-10"/>
          <w:w w:val="95"/>
          <w:position w:val="2"/>
          <w:sz w:val="20"/>
        </w:rPr>
        <w:t>小</w:t>
      </w:r>
    </w:p>
    <w:p>
      <w:pPr>
        <w:spacing w:before="51"/>
        <w:ind w:left="220" w:right="0" w:firstLine="0"/>
        <w:jc w:val="left"/>
        <w:rPr>
          <w:sz w:val="20"/>
        </w:rPr>
      </w:pPr>
      <w:r>
        <w:rPr>
          <w:w w:val="95"/>
          <w:sz w:val="20"/>
        </w:rPr>
        <w:t>带状肌包括：胸骨舌骨肌、胸骨甲状肌、甲状舌骨肌、肩胛舌</w:t>
      </w:r>
      <w:r>
        <w:rPr>
          <w:spacing w:val="-5"/>
          <w:w w:val="95"/>
          <w:sz w:val="20"/>
        </w:rPr>
        <w:t>骨肌</w:t>
      </w:r>
    </w:p>
    <w:p>
      <w:pPr>
        <w:spacing w:before="55"/>
        <w:ind w:left="220" w:right="0" w:firstLine="0"/>
        <w:jc w:val="left"/>
        <w:rPr>
          <w:sz w:val="20"/>
        </w:rPr>
      </w:pPr>
      <w:r>
        <w:rPr>
          <w:rFonts w:ascii="Times New Roman" w:eastAsia="Times New Roman"/>
          <w:w w:val="95"/>
          <w:position w:val="2"/>
          <w:sz w:val="20"/>
        </w:rPr>
        <w:t>pT</w:t>
      </w:r>
      <w:r>
        <w:rPr>
          <w:rFonts w:ascii="Times New Roman" w:eastAsia="Times New Roman"/>
          <w:w w:val="95"/>
          <w:sz w:val="13"/>
        </w:rPr>
        <w:t>4</w:t>
      </w:r>
      <w:r>
        <w:rPr>
          <w:w w:val="95"/>
          <w:position w:val="2"/>
          <w:sz w:val="20"/>
        </w:rPr>
        <w:t>：进展期病</w:t>
      </w:r>
      <w:r>
        <w:rPr>
          <w:spacing w:val="-10"/>
          <w:w w:val="95"/>
          <w:position w:val="2"/>
          <w:sz w:val="20"/>
        </w:rPr>
        <w:t>变</w:t>
      </w:r>
    </w:p>
    <w:p>
      <w:pPr>
        <w:spacing w:before="56" w:line="292" w:lineRule="auto"/>
        <w:ind w:left="220" w:right="686" w:firstLine="0"/>
        <w:jc w:val="left"/>
        <w:rPr>
          <w:sz w:val="20"/>
        </w:rPr>
      </w:pPr>
      <w:r>
        <w:rPr>
          <w:rFonts w:ascii="Times New Roman" w:eastAsia="Times New Roman"/>
          <w:spacing w:val="1"/>
          <w:w w:val="99"/>
          <w:position w:val="2"/>
          <w:sz w:val="20"/>
        </w:rPr>
        <w:t>p</w:t>
      </w:r>
      <w:r>
        <w:rPr>
          <w:rFonts w:ascii="Times New Roman" w:eastAsia="Times New Roman"/>
          <w:spacing w:val="3"/>
          <w:w w:val="99"/>
          <w:position w:val="2"/>
          <w:sz w:val="20"/>
        </w:rPr>
        <w:t>T</w:t>
      </w:r>
      <w:r>
        <w:rPr>
          <w:rFonts w:ascii="Times New Roman" w:eastAsia="Times New Roman"/>
          <w:w w:val="99"/>
          <w:sz w:val="13"/>
        </w:rPr>
        <w:t>4a</w:t>
      </w:r>
      <w:r>
        <w:rPr>
          <w:spacing w:val="-10"/>
          <w:w w:val="99"/>
          <w:position w:val="2"/>
          <w:sz w:val="20"/>
        </w:rPr>
        <w:t>：中度进展，任何大小的肿瘤，侵犯甲状腺外颈部周围器官和软组织，如喉、气管、食管、喉反神经及皮下软</w:t>
      </w:r>
      <w:r>
        <w:rPr>
          <w:w w:val="99"/>
          <w:sz w:val="20"/>
        </w:rPr>
        <w:t>组织</w:t>
      </w:r>
    </w:p>
    <w:p>
      <w:pPr>
        <w:spacing w:before="0" w:line="292" w:lineRule="auto"/>
        <w:ind w:left="220" w:right="3796" w:firstLine="0"/>
        <w:jc w:val="left"/>
        <w:rPr>
          <w:sz w:val="20"/>
        </w:rPr>
      </w:pPr>
      <w:r>
        <w:rPr>
          <w:rFonts w:ascii="Times New Roman" w:eastAsia="Times New Roman"/>
          <w:spacing w:val="1"/>
          <w:w w:val="99"/>
          <w:position w:val="2"/>
          <w:sz w:val="20"/>
        </w:rPr>
        <w:t>p</w:t>
      </w:r>
      <w:r>
        <w:rPr>
          <w:rFonts w:ascii="Times New Roman" w:eastAsia="Times New Roman"/>
          <w:spacing w:val="3"/>
          <w:w w:val="99"/>
          <w:position w:val="2"/>
          <w:sz w:val="20"/>
        </w:rPr>
        <w:t>T</w:t>
      </w:r>
      <w:r>
        <w:rPr>
          <w:rFonts w:ascii="Times New Roman" w:eastAsia="Times New Roman"/>
          <w:w w:val="99"/>
          <w:sz w:val="13"/>
        </w:rPr>
        <w:t>4b</w:t>
      </w:r>
      <w:r>
        <w:rPr>
          <w:spacing w:val="-1"/>
          <w:w w:val="99"/>
          <w:position w:val="2"/>
          <w:sz w:val="20"/>
        </w:rPr>
        <w:t>：重度进展，任何大小的肿瘤，侵犯椎前筋膜，或包裹颈动脉、纵隔血管</w:t>
      </w:r>
      <w:r>
        <w:rPr>
          <w:w w:val="99"/>
          <w:sz w:val="20"/>
        </w:rPr>
        <w:t>区域淋巴结：适用于所有甲状腺癌</w:t>
      </w:r>
    </w:p>
    <w:p>
      <w:pPr>
        <w:spacing w:before="0" w:line="292" w:lineRule="auto"/>
        <w:ind w:left="220" w:right="8238" w:firstLine="0"/>
        <w:jc w:val="left"/>
        <w:rPr>
          <w:sz w:val="20"/>
        </w:rPr>
      </w:pPr>
      <w:r>
        <w:rPr>
          <w:rFonts w:ascii="Times New Roman" w:eastAsia="Times New Roman"/>
          <w:spacing w:val="-2"/>
          <w:position w:val="2"/>
          <w:sz w:val="20"/>
        </w:rPr>
        <w:t>pN</w:t>
      </w:r>
      <w:r>
        <w:rPr>
          <w:rFonts w:ascii="Times New Roman" w:eastAsia="Times New Roman"/>
          <w:spacing w:val="-2"/>
          <w:sz w:val="13"/>
        </w:rPr>
        <w:t>x</w:t>
      </w:r>
      <w:r>
        <w:rPr>
          <w:spacing w:val="-2"/>
          <w:position w:val="2"/>
          <w:sz w:val="20"/>
        </w:rPr>
        <w:t xml:space="preserve">：区域淋巴结无法评估 </w:t>
      </w:r>
      <w:r>
        <w:rPr>
          <w:rFonts w:ascii="Times New Roman" w:eastAsia="Times New Roman"/>
          <w:spacing w:val="-2"/>
          <w:position w:val="2"/>
          <w:sz w:val="20"/>
        </w:rPr>
        <w:t>pN</w:t>
      </w:r>
      <w:r>
        <w:rPr>
          <w:rFonts w:ascii="Times New Roman" w:eastAsia="Times New Roman"/>
          <w:spacing w:val="-2"/>
          <w:sz w:val="13"/>
        </w:rPr>
        <w:t>0</w:t>
      </w:r>
      <w:r>
        <w:rPr>
          <w:spacing w:val="-2"/>
          <w:position w:val="2"/>
          <w:sz w:val="20"/>
        </w:rPr>
        <w:t xml:space="preserve">：无淋巴结转移证据 </w:t>
      </w:r>
      <w:r>
        <w:rPr>
          <w:rFonts w:ascii="Times New Roman" w:eastAsia="Times New Roman"/>
          <w:spacing w:val="-2"/>
          <w:position w:val="2"/>
          <w:sz w:val="20"/>
        </w:rPr>
        <w:t>pN</w:t>
      </w:r>
      <w:r>
        <w:rPr>
          <w:rFonts w:ascii="Times New Roman" w:eastAsia="Times New Roman"/>
          <w:spacing w:val="-2"/>
          <w:sz w:val="13"/>
        </w:rPr>
        <w:t>1</w:t>
      </w:r>
      <w:r>
        <w:rPr>
          <w:spacing w:val="-2"/>
          <w:position w:val="2"/>
          <w:sz w:val="20"/>
        </w:rPr>
        <w:t>：区域淋巴结转移</w:t>
      </w:r>
    </w:p>
    <w:p>
      <w:pPr>
        <w:spacing w:before="0" w:line="254" w:lineRule="exact"/>
        <w:ind w:left="220" w:right="0" w:firstLine="0"/>
        <w:jc w:val="left"/>
        <w:rPr>
          <w:sz w:val="20"/>
        </w:rPr>
      </w:pPr>
      <w:r>
        <w:rPr>
          <w:rFonts w:ascii="Times New Roman" w:hAnsi="Times New Roman" w:eastAsia="Times New Roman"/>
          <w:w w:val="95"/>
          <w:position w:val="2"/>
          <w:sz w:val="20"/>
        </w:rPr>
        <w:t>pN</w:t>
      </w:r>
      <w:r>
        <w:rPr>
          <w:rFonts w:ascii="Times New Roman" w:hAnsi="Times New Roman" w:eastAsia="Times New Roman"/>
          <w:w w:val="95"/>
          <w:sz w:val="13"/>
        </w:rPr>
        <w:t>1a</w:t>
      </w:r>
      <w:r>
        <w:rPr>
          <w:w w:val="95"/>
          <w:position w:val="2"/>
          <w:sz w:val="20"/>
        </w:rPr>
        <w:t>：转移至Ⅵ、Ⅶ区（包括气管旁、气管前、喉前</w:t>
      </w:r>
      <w:r>
        <w:rPr>
          <w:rFonts w:ascii="Times New Roman" w:hAnsi="Times New Roman" w:eastAsia="Times New Roman"/>
          <w:w w:val="95"/>
          <w:position w:val="2"/>
          <w:sz w:val="20"/>
        </w:rPr>
        <w:t>/Delphian</w:t>
      </w:r>
      <w:r>
        <w:rPr>
          <w:rFonts w:ascii="Times New Roman" w:hAnsi="Times New Roman" w:eastAsia="Times New Roman"/>
          <w:spacing w:val="67"/>
          <w:w w:val="150"/>
          <w:position w:val="2"/>
          <w:sz w:val="20"/>
        </w:rPr>
        <w:t xml:space="preserve">   </w:t>
      </w:r>
      <w:r>
        <w:rPr>
          <w:w w:val="95"/>
          <w:position w:val="2"/>
          <w:sz w:val="20"/>
        </w:rPr>
        <w:t>或上纵隔）淋巴结，可以为单侧或双侧</w:t>
      </w:r>
      <w:r>
        <w:rPr>
          <w:spacing w:val="-10"/>
          <w:w w:val="95"/>
          <w:position w:val="2"/>
          <w:sz w:val="20"/>
        </w:rPr>
        <w:t>。</w:t>
      </w:r>
    </w:p>
    <w:p>
      <w:pPr>
        <w:spacing w:before="53" w:line="292" w:lineRule="auto"/>
        <w:ind w:left="220" w:right="1973" w:firstLine="0"/>
        <w:jc w:val="left"/>
        <w:rPr>
          <w:sz w:val="20"/>
        </w:rPr>
      </w:pPr>
      <w:r>
        <w:rPr>
          <w:rFonts w:ascii="Times New Roman" w:hAnsi="Times New Roman" w:eastAsia="Times New Roman"/>
          <w:spacing w:val="1"/>
          <w:w w:val="99"/>
          <w:position w:val="2"/>
          <w:sz w:val="20"/>
        </w:rPr>
        <w:t>p</w:t>
      </w:r>
      <w:r>
        <w:rPr>
          <w:rFonts w:ascii="Times New Roman" w:hAnsi="Times New Roman" w:eastAsia="Times New Roman"/>
          <w:w w:val="99"/>
          <w:position w:val="2"/>
          <w:sz w:val="20"/>
        </w:rPr>
        <w:t>N</w:t>
      </w:r>
      <w:r>
        <w:rPr>
          <w:rFonts w:ascii="Times New Roman" w:hAnsi="Times New Roman" w:eastAsia="Times New Roman"/>
          <w:w w:val="99"/>
          <w:sz w:val="13"/>
        </w:rPr>
        <w:t>1b</w:t>
      </w:r>
      <w:r>
        <w:rPr>
          <w:w w:val="99"/>
          <w:position w:val="2"/>
          <w:sz w:val="20"/>
        </w:rPr>
        <w:t>：单侧、双侧或对侧颈淋巴结转移（包括Ⅰ、Ⅱ、Ⅲ、Ⅳ或Ⅴ区</w:t>
      </w:r>
      <w:r>
        <w:rPr>
          <w:spacing w:val="2"/>
          <w:w w:val="99"/>
          <w:position w:val="2"/>
          <w:sz w:val="20"/>
        </w:rPr>
        <w:t>）</w:t>
      </w:r>
      <w:r>
        <w:rPr>
          <w:spacing w:val="-2"/>
          <w:w w:val="99"/>
          <w:position w:val="2"/>
          <w:sz w:val="20"/>
        </w:rPr>
        <w:t>淋巴结或咽后淋巴结转移。</w:t>
      </w:r>
      <w:r>
        <w:rPr>
          <w:w w:val="99"/>
          <w:sz w:val="20"/>
        </w:rPr>
        <w:t>远处转移：适用于所有甲状腺癌</w:t>
      </w:r>
    </w:p>
    <w:p>
      <w:pPr>
        <w:spacing w:before="0" w:line="292" w:lineRule="auto"/>
        <w:ind w:left="220" w:right="9104" w:firstLine="0"/>
        <w:jc w:val="left"/>
        <w:rPr>
          <w:sz w:val="20"/>
        </w:rPr>
      </w:pPr>
      <w:r>
        <w:rPr>
          <w:rFonts w:ascii="Times New Roman" w:eastAsia="Times New Roman"/>
          <w:spacing w:val="-2"/>
          <w:position w:val="2"/>
          <w:sz w:val="20"/>
        </w:rPr>
        <w:t>M</w:t>
      </w:r>
      <w:r>
        <w:rPr>
          <w:rFonts w:ascii="Times New Roman" w:eastAsia="Times New Roman"/>
          <w:spacing w:val="-2"/>
          <w:sz w:val="13"/>
        </w:rPr>
        <w:t>0</w:t>
      </w:r>
      <w:r>
        <w:rPr>
          <w:spacing w:val="-2"/>
          <w:position w:val="2"/>
          <w:sz w:val="20"/>
        </w:rPr>
        <w:t xml:space="preserve">：无远处转移 </w:t>
      </w:r>
      <w:r>
        <w:rPr>
          <w:rFonts w:ascii="Times New Roman" w:eastAsia="Times New Roman"/>
          <w:w w:val="95"/>
          <w:position w:val="2"/>
          <w:sz w:val="20"/>
        </w:rPr>
        <w:t>M</w:t>
      </w:r>
      <w:r>
        <w:rPr>
          <w:rFonts w:ascii="Times New Roman" w:eastAsia="Times New Roman"/>
          <w:w w:val="95"/>
          <w:sz w:val="13"/>
        </w:rPr>
        <w:t>1</w:t>
      </w:r>
      <w:r>
        <w:rPr>
          <w:w w:val="95"/>
          <w:position w:val="2"/>
          <w:sz w:val="20"/>
        </w:rPr>
        <w:t>：有远处转</w:t>
      </w:r>
      <w:r>
        <w:rPr>
          <w:spacing w:val="-10"/>
          <w:w w:val="95"/>
          <w:position w:val="2"/>
          <w:sz w:val="20"/>
        </w:rPr>
        <w:t>移</w:t>
      </w:r>
    </w:p>
    <w:p>
      <w:pPr>
        <w:spacing w:after="0" w:line="292" w:lineRule="auto"/>
        <w:jc w:val="left"/>
        <w:rPr>
          <w:sz w:val="20"/>
        </w:rPr>
        <w:sectPr>
          <w:pgSz w:w="11910" w:h="16840"/>
          <w:pgMar w:top="800" w:right="340" w:bottom="640" w:left="800" w:header="0" w:footer="457" w:gutter="0"/>
          <w:cols w:space="720" w:num="1"/>
        </w:sectPr>
      </w:pPr>
    </w:p>
    <w:p>
      <w:pPr>
        <w:pStyle w:val="4"/>
        <w:ind w:left="220"/>
        <w:rPr>
          <w:sz w:val="20"/>
        </w:rPr>
      </w:pPr>
      <w:r>
        <w:rPr>
          <w:sz w:val="20"/>
        </w:rPr>
        <w:drawing>
          <wp:inline distT="0" distB="0" distL="0" distR="0">
            <wp:extent cx="3820795" cy="5796915"/>
            <wp:effectExtent l="0" t="0" r="0" b="0"/>
            <wp:docPr id="37"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1.png"/>
                    <pic:cNvPicPr>
                      <a:picLocks noChangeAspect="1"/>
                    </pic:cNvPicPr>
                  </pic:nvPicPr>
                  <pic:blipFill>
                    <a:blip r:embed="rId17" cstate="print"/>
                    <a:stretch>
                      <a:fillRect/>
                    </a:stretch>
                  </pic:blipFill>
                  <pic:spPr>
                    <a:xfrm>
                      <a:off x="0" y="0"/>
                      <a:ext cx="3820982" cy="5797296"/>
                    </a:xfrm>
                    <a:prstGeom prst="rect">
                      <a:avLst/>
                    </a:prstGeom>
                  </pic:spPr>
                </pic:pic>
              </a:graphicData>
            </a:graphic>
          </wp:inline>
        </w:drawing>
      </w:r>
    </w:p>
    <w:p>
      <w:pPr>
        <w:pStyle w:val="4"/>
        <w:spacing w:before="5"/>
        <w:rPr>
          <w:sz w:val="27"/>
        </w:rPr>
      </w:pPr>
    </w:p>
    <w:p>
      <w:pPr>
        <w:pStyle w:val="9"/>
        <w:numPr>
          <w:ilvl w:val="0"/>
          <w:numId w:val="137"/>
        </w:numPr>
        <w:tabs>
          <w:tab w:val="left" w:pos="580"/>
          <w:tab w:val="left" w:pos="581"/>
        </w:tabs>
        <w:spacing w:before="78" w:after="0" w:line="240" w:lineRule="auto"/>
        <w:ind w:left="580" w:right="0" w:hanging="361"/>
        <w:jc w:val="left"/>
        <w:rPr>
          <w:sz w:val="20"/>
        </w:rPr>
      </w:pPr>
      <w:r>
        <w:rPr>
          <w:w w:val="95"/>
          <w:sz w:val="20"/>
        </w:rPr>
        <w:t>肢</w:t>
      </w:r>
      <w:r>
        <w:rPr>
          <w:spacing w:val="-10"/>
          <w:sz w:val="20"/>
        </w:rPr>
        <w:t>体</w:t>
      </w:r>
    </w:p>
    <w:p>
      <w:pPr>
        <w:spacing w:before="56"/>
        <w:ind w:left="220" w:right="0" w:firstLine="0"/>
        <w:jc w:val="left"/>
        <w:rPr>
          <w:sz w:val="20"/>
        </w:rPr>
      </w:pPr>
      <w:r>
        <w:rPr>
          <w:w w:val="95"/>
          <w:sz w:val="20"/>
        </w:rPr>
        <w:t>肢体是指包括肩关节的整个上肢或包括髋关节的整个下肢</w:t>
      </w:r>
      <w:r>
        <w:rPr>
          <w:spacing w:val="-10"/>
          <w:w w:val="95"/>
          <w:sz w:val="20"/>
        </w:rPr>
        <w:t>。</w:t>
      </w:r>
    </w:p>
    <w:p>
      <w:pPr>
        <w:pStyle w:val="9"/>
        <w:numPr>
          <w:ilvl w:val="0"/>
          <w:numId w:val="137"/>
        </w:numPr>
        <w:tabs>
          <w:tab w:val="left" w:pos="580"/>
          <w:tab w:val="left" w:pos="581"/>
        </w:tabs>
        <w:spacing w:before="55" w:after="0" w:line="240" w:lineRule="auto"/>
        <w:ind w:left="580" w:right="0" w:hanging="361"/>
        <w:jc w:val="left"/>
        <w:rPr>
          <w:sz w:val="20"/>
        </w:rPr>
      </w:pPr>
      <w:r>
        <w:rPr>
          <w:w w:val="95"/>
          <w:sz w:val="20"/>
        </w:rPr>
        <w:t>肌</w:t>
      </w:r>
      <w:r>
        <w:rPr>
          <w:spacing w:val="-10"/>
          <w:sz w:val="20"/>
        </w:rPr>
        <w:t>力</w:t>
      </w:r>
    </w:p>
    <w:p>
      <w:pPr>
        <w:spacing w:before="56"/>
        <w:ind w:left="220" w:right="0" w:firstLine="0"/>
        <w:jc w:val="left"/>
        <w:rPr>
          <w:sz w:val="20"/>
        </w:rPr>
      </w:pPr>
      <w:r>
        <w:rPr>
          <w:w w:val="95"/>
          <w:sz w:val="20"/>
        </w:rPr>
        <w:t>指肌肉收缩时的力量。肌力划分为</w:t>
      </w:r>
      <w:r>
        <w:rPr>
          <w:spacing w:val="43"/>
          <w:sz w:val="20"/>
        </w:rPr>
        <w:t xml:space="preserve"> </w:t>
      </w:r>
      <w:r>
        <w:rPr>
          <w:rFonts w:ascii="Times New Roman" w:eastAsia="Times New Roman"/>
          <w:w w:val="95"/>
          <w:sz w:val="20"/>
        </w:rPr>
        <w:t>0-5</w:t>
      </w:r>
      <w:r>
        <w:rPr>
          <w:rFonts w:ascii="Times New Roman" w:eastAsia="Times New Roman"/>
          <w:spacing w:val="66"/>
          <w:w w:val="150"/>
          <w:sz w:val="20"/>
        </w:rPr>
        <w:t xml:space="preserve"> </w:t>
      </w:r>
      <w:r>
        <w:rPr>
          <w:w w:val="95"/>
          <w:sz w:val="20"/>
        </w:rPr>
        <w:t>级，具体</w:t>
      </w:r>
      <w:r>
        <w:rPr>
          <w:spacing w:val="-5"/>
          <w:w w:val="95"/>
          <w:sz w:val="20"/>
        </w:rPr>
        <w:t>为：</w:t>
      </w:r>
    </w:p>
    <w:p>
      <w:pPr>
        <w:pStyle w:val="9"/>
        <w:numPr>
          <w:ilvl w:val="0"/>
          <w:numId w:val="138"/>
        </w:numPr>
        <w:tabs>
          <w:tab w:val="left" w:pos="372"/>
        </w:tabs>
        <w:spacing w:before="56" w:after="0" w:line="240" w:lineRule="auto"/>
        <w:ind w:left="371" w:right="0" w:hanging="152"/>
        <w:jc w:val="left"/>
        <w:rPr>
          <w:sz w:val="20"/>
        </w:rPr>
      </w:pPr>
      <w:r>
        <w:rPr>
          <w:w w:val="95"/>
          <w:sz w:val="20"/>
        </w:rPr>
        <w:t>级：肌肉完全瘫痪，毫无收缩</w:t>
      </w:r>
      <w:r>
        <w:rPr>
          <w:spacing w:val="-10"/>
          <w:w w:val="95"/>
          <w:sz w:val="20"/>
        </w:rPr>
        <w:t>。</w:t>
      </w:r>
    </w:p>
    <w:p>
      <w:pPr>
        <w:pStyle w:val="9"/>
        <w:numPr>
          <w:ilvl w:val="0"/>
          <w:numId w:val="138"/>
        </w:numPr>
        <w:tabs>
          <w:tab w:val="left" w:pos="372"/>
        </w:tabs>
        <w:spacing w:before="56" w:after="0" w:line="240" w:lineRule="auto"/>
        <w:ind w:left="371" w:right="0" w:hanging="152"/>
        <w:jc w:val="left"/>
        <w:rPr>
          <w:sz w:val="20"/>
        </w:rPr>
      </w:pPr>
      <w:r>
        <w:rPr>
          <w:w w:val="95"/>
          <w:sz w:val="20"/>
        </w:rPr>
        <w:t>级：可看到或者触及肌肉轻微收缩，但不能产</w:t>
      </w:r>
      <w:r>
        <w:rPr>
          <w:spacing w:val="-3"/>
          <w:w w:val="95"/>
          <w:sz w:val="20"/>
        </w:rPr>
        <w:t>生动作。</w:t>
      </w:r>
    </w:p>
    <w:p>
      <w:pPr>
        <w:pStyle w:val="9"/>
        <w:numPr>
          <w:ilvl w:val="0"/>
          <w:numId w:val="138"/>
        </w:numPr>
        <w:tabs>
          <w:tab w:val="left" w:pos="372"/>
        </w:tabs>
        <w:spacing w:before="56" w:after="0" w:line="240" w:lineRule="auto"/>
        <w:ind w:left="371" w:right="0" w:hanging="152"/>
        <w:jc w:val="left"/>
        <w:rPr>
          <w:sz w:val="20"/>
        </w:rPr>
      </w:pPr>
      <w:r>
        <w:rPr>
          <w:w w:val="95"/>
          <w:sz w:val="20"/>
        </w:rPr>
        <w:t>级：肌肉在不受重力影响下，可进行运动，即肢体能在床面上移动，但不</w:t>
      </w:r>
      <w:r>
        <w:rPr>
          <w:spacing w:val="-3"/>
          <w:w w:val="95"/>
          <w:sz w:val="20"/>
        </w:rPr>
        <w:t>能抬高。</w:t>
      </w:r>
    </w:p>
    <w:p>
      <w:pPr>
        <w:pStyle w:val="9"/>
        <w:numPr>
          <w:ilvl w:val="0"/>
          <w:numId w:val="138"/>
        </w:numPr>
        <w:tabs>
          <w:tab w:val="left" w:pos="372"/>
        </w:tabs>
        <w:spacing w:before="56" w:after="0" w:line="240" w:lineRule="auto"/>
        <w:ind w:left="371" w:right="0" w:hanging="152"/>
        <w:jc w:val="left"/>
        <w:rPr>
          <w:sz w:val="20"/>
        </w:rPr>
      </w:pPr>
      <w:r>
        <w:rPr>
          <w:w w:val="95"/>
          <w:sz w:val="20"/>
        </w:rPr>
        <w:t>级：在和地心引力相反的方向中尚能完成其动作，但不能对抗外加阻力</w:t>
      </w:r>
      <w:r>
        <w:rPr>
          <w:spacing w:val="-10"/>
          <w:w w:val="95"/>
          <w:sz w:val="20"/>
        </w:rPr>
        <w:t>。</w:t>
      </w:r>
    </w:p>
    <w:p>
      <w:pPr>
        <w:pStyle w:val="9"/>
        <w:numPr>
          <w:ilvl w:val="0"/>
          <w:numId w:val="138"/>
        </w:numPr>
        <w:tabs>
          <w:tab w:val="left" w:pos="372"/>
        </w:tabs>
        <w:spacing w:before="55" w:after="0" w:line="240" w:lineRule="auto"/>
        <w:ind w:left="371" w:right="0" w:hanging="152"/>
        <w:jc w:val="left"/>
        <w:rPr>
          <w:sz w:val="20"/>
        </w:rPr>
      </w:pPr>
      <w:r>
        <w:rPr>
          <w:w w:val="95"/>
          <w:sz w:val="20"/>
        </w:rPr>
        <w:t>级：能对抗一定的阻力，但较正常人为</w:t>
      </w:r>
      <w:r>
        <w:rPr>
          <w:spacing w:val="-5"/>
          <w:w w:val="95"/>
          <w:sz w:val="20"/>
        </w:rPr>
        <w:t>低。</w:t>
      </w:r>
    </w:p>
    <w:p>
      <w:pPr>
        <w:pStyle w:val="9"/>
        <w:numPr>
          <w:ilvl w:val="0"/>
          <w:numId w:val="138"/>
        </w:numPr>
        <w:tabs>
          <w:tab w:val="left" w:pos="372"/>
        </w:tabs>
        <w:spacing w:before="56" w:after="0" w:line="240" w:lineRule="auto"/>
        <w:ind w:left="371" w:right="0" w:hanging="152"/>
        <w:jc w:val="left"/>
        <w:rPr>
          <w:sz w:val="20"/>
        </w:rPr>
      </w:pPr>
      <w:r>
        <w:rPr>
          <w:w w:val="95"/>
          <w:sz w:val="20"/>
        </w:rPr>
        <w:t>级：正常肌力</w:t>
      </w:r>
      <w:r>
        <w:rPr>
          <w:spacing w:val="-10"/>
          <w:w w:val="95"/>
          <w:sz w:val="20"/>
        </w:rPr>
        <w:t>。</w:t>
      </w:r>
    </w:p>
    <w:p>
      <w:pPr>
        <w:pStyle w:val="9"/>
        <w:numPr>
          <w:ilvl w:val="0"/>
          <w:numId w:val="137"/>
        </w:numPr>
        <w:tabs>
          <w:tab w:val="left" w:pos="580"/>
          <w:tab w:val="left" w:pos="581"/>
        </w:tabs>
        <w:spacing w:before="56" w:after="0" w:line="240" w:lineRule="auto"/>
        <w:ind w:left="580" w:right="0" w:hanging="361"/>
        <w:jc w:val="left"/>
        <w:rPr>
          <w:sz w:val="20"/>
        </w:rPr>
      </w:pPr>
      <w:r>
        <w:rPr>
          <w:w w:val="95"/>
          <w:sz w:val="20"/>
        </w:rPr>
        <w:t>语言能力完全丧失或严重咀嚼吞咽功能障</w:t>
      </w:r>
      <w:r>
        <w:rPr>
          <w:spacing w:val="-10"/>
          <w:w w:val="95"/>
          <w:sz w:val="20"/>
        </w:rPr>
        <w:t>碍</w:t>
      </w:r>
    </w:p>
    <w:p>
      <w:pPr>
        <w:spacing w:before="56" w:line="292" w:lineRule="auto"/>
        <w:ind w:left="220" w:right="681" w:firstLine="0"/>
        <w:jc w:val="left"/>
        <w:rPr>
          <w:sz w:val="20"/>
        </w:rPr>
      </w:pPr>
      <w:r>
        <w:rPr>
          <w:spacing w:val="1"/>
          <w:w w:val="99"/>
          <w:sz w:val="20"/>
        </w:rPr>
        <w:t>语言能力完全丧失，指无法发出四种语音</w:t>
      </w:r>
      <w:r>
        <w:rPr>
          <w:spacing w:val="2"/>
          <w:w w:val="99"/>
          <w:sz w:val="20"/>
        </w:rPr>
        <w:t>（</w:t>
      </w:r>
      <w:r>
        <w:rPr>
          <w:w w:val="99"/>
          <w:sz w:val="20"/>
        </w:rPr>
        <w:t>包括口唇音、齿舌音、口盖音和喉头音</w:t>
      </w:r>
      <w:r>
        <w:rPr>
          <w:spacing w:val="2"/>
          <w:w w:val="99"/>
          <w:sz w:val="20"/>
        </w:rPr>
        <w:t>）</w:t>
      </w:r>
      <w:r>
        <w:rPr>
          <w:w w:val="99"/>
          <w:sz w:val="20"/>
        </w:rPr>
        <w:t>中的任何三种、或声带全部切除，或因大脑语言中枢受伤害而患失语症。</w:t>
      </w:r>
    </w:p>
    <w:p>
      <w:pPr>
        <w:spacing w:before="0" w:line="292" w:lineRule="auto"/>
        <w:ind w:left="220" w:right="677" w:firstLine="0"/>
        <w:jc w:val="left"/>
        <w:rPr>
          <w:sz w:val="20"/>
        </w:rPr>
      </w:pPr>
      <w:r>
        <w:rPr>
          <w:w w:val="99"/>
          <w:sz w:val="20"/>
        </w:rPr>
        <w:t>严重咀嚼吞咽功能障碍，指因牙齿以外的原因导致器质障碍或机能障碍，以致不能作咀嚼吞咽运动，除流质食物外不能摄取或吞咽的状态。</w:t>
      </w:r>
    </w:p>
    <w:p>
      <w:pPr>
        <w:spacing w:after="0" w:line="292" w:lineRule="auto"/>
        <w:jc w:val="left"/>
        <w:rPr>
          <w:sz w:val="20"/>
        </w:rPr>
        <w:sectPr>
          <w:pgSz w:w="11910" w:h="16840"/>
          <w:pgMar w:top="940" w:right="340" w:bottom="640" w:left="800" w:header="0" w:footer="457" w:gutter="0"/>
          <w:cols w:space="720" w:num="1"/>
        </w:sectPr>
      </w:pPr>
    </w:p>
    <w:p>
      <w:pPr>
        <w:pStyle w:val="9"/>
        <w:numPr>
          <w:ilvl w:val="0"/>
          <w:numId w:val="137"/>
        </w:numPr>
        <w:tabs>
          <w:tab w:val="left" w:pos="581"/>
        </w:tabs>
        <w:spacing w:before="59" w:after="0" w:line="240" w:lineRule="auto"/>
        <w:ind w:left="580" w:right="0" w:hanging="361"/>
        <w:jc w:val="both"/>
        <w:rPr>
          <w:sz w:val="20"/>
        </w:rPr>
      </w:pPr>
      <w:r>
        <w:rPr>
          <w:w w:val="95"/>
          <w:sz w:val="20"/>
        </w:rPr>
        <w:t>六项基本日常生活活</w:t>
      </w:r>
      <w:r>
        <w:rPr>
          <w:spacing w:val="-10"/>
          <w:w w:val="95"/>
          <w:sz w:val="20"/>
        </w:rPr>
        <w:t>动</w:t>
      </w:r>
    </w:p>
    <w:p>
      <w:pPr>
        <w:spacing w:before="56" w:line="292" w:lineRule="auto"/>
        <w:ind w:left="220" w:right="678" w:firstLine="0"/>
        <w:jc w:val="both"/>
        <w:rPr>
          <w:sz w:val="20"/>
        </w:rPr>
      </w:pPr>
      <w:r>
        <w:rPr>
          <w:spacing w:val="-8"/>
          <w:w w:val="99"/>
          <w:sz w:val="20"/>
        </w:rPr>
        <w:t>六项基本日常生活活动是指：</w:t>
      </w:r>
      <w:r>
        <w:rPr>
          <w:spacing w:val="2"/>
          <w:w w:val="99"/>
          <w:sz w:val="20"/>
        </w:rPr>
        <w:t>（</w:t>
      </w:r>
      <w:r>
        <w:rPr>
          <w:rFonts w:ascii="Times New Roman" w:eastAsia="Times New Roman"/>
          <w:spacing w:val="3"/>
          <w:w w:val="99"/>
          <w:sz w:val="20"/>
        </w:rPr>
        <w:t>1</w:t>
      </w:r>
      <w:r>
        <w:rPr>
          <w:spacing w:val="2"/>
          <w:w w:val="99"/>
          <w:sz w:val="20"/>
        </w:rPr>
        <w:t>）</w:t>
      </w:r>
      <w:r>
        <w:rPr>
          <w:spacing w:val="-8"/>
          <w:w w:val="99"/>
          <w:sz w:val="20"/>
        </w:rPr>
        <w:t>穿衣：自己能够穿衣及脱衣；</w:t>
      </w:r>
      <w:r>
        <w:rPr>
          <w:spacing w:val="5"/>
          <w:w w:val="99"/>
          <w:sz w:val="20"/>
        </w:rPr>
        <w:t>（</w:t>
      </w:r>
      <w:r>
        <w:rPr>
          <w:rFonts w:ascii="Times New Roman" w:eastAsia="Times New Roman"/>
          <w:spacing w:val="3"/>
          <w:w w:val="99"/>
          <w:sz w:val="20"/>
        </w:rPr>
        <w:t>2</w:t>
      </w:r>
      <w:r>
        <w:rPr>
          <w:spacing w:val="2"/>
          <w:w w:val="99"/>
          <w:sz w:val="20"/>
        </w:rPr>
        <w:t>）</w:t>
      </w:r>
      <w:r>
        <w:rPr>
          <w:spacing w:val="-6"/>
          <w:w w:val="99"/>
          <w:sz w:val="20"/>
        </w:rPr>
        <w:t>移动：自己从一个房间到另一个房间；</w:t>
      </w:r>
      <w:r>
        <w:rPr>
          <w:spacing w:val="3"/>
          <w:w w:val="99"/>
          <w:sz w:val="20"/>
        </w:rPr>
        <w:t>（</w:t>
      </w:r>
      <w:r>
        <w:rPr>
          <w:rFonts w:ascii="Times New Roman" w:eastAsia="Times New Roman"/>
          <w:spacing w:val="1"/>
          <w:w w:val="99"/>
          <w:sz w:val="20"/>
        </w:rPr>
        <w:t>3</w:t>
      </w:r>
      <w:r>
        <w:rPr>
          <w:w w:val="99"/>
          <w:sz w:val="20"/>
        </w:rPr>
        <w:t>）</w:t>
      </w:r>
      <w:r>
        <w:rPr>
          <w:spacing w:val="-8"/>
          <w:w w:val="99"/>
          <w:sz w:val="20"/>
        </w:rPr>
        <w:t>行动：自己上下床或上下轮椅；</w:t>
      </w:r>
      <w:r>
        <w:rPr>
          <w:spacing w:val="2"/>
          <w:w w:val="99"/>
          <w:sz w:val="20"/>
        </w:rPr>
        <w:t>（</w:t>
      </w:r>
      <w:r>
        <w:rPr>
          <w:rFonts w:ascii="Times New Roman" w:eastAsia="Times New Roman"/>
          <w:spacing w:val="4"/>
          <w:w w:val="99"/>
          <w:sz w:val="20"/>
        </w:rPr>
        <w:t>4</w:t>
      </w:r>
      <w:r>
        <w:rPr>
          <w:spacing w:val="2"/>
          <w:w w:val="99"/>
          <w:sz w:val="20"/>
        </w:rPr>
        <w:t>）</w:t>
      </w:r>
      <w:r>
        <w:rPr>
          <w:spacing w:val="-8"/>
          <w:w w:val="99"/>
          <w:sz w:val="20"/>
        </w:rPr>
        <w:t>如厕：自己控制进行大小便；</w:t>
      </w:r>
      <w:r>
        <w:rPr>
          <w:spacing w:val="5"/>
          <w:w w:val="99"/>
          <w:sz w:val="20"/>
        </w:rPr>
        <w:t>（</w:t>
      </w:r>
      <w:r>
        <w:rPr>
          <w:rFonts w:ascii="Times New Roman" w:eastAsia="Times New Roman"/>
          <w:spacing w:val="3"/>
          <w:w w:val="99"/>
          <w:sz w:val="20"/>
        </w:rPr>
        <w:t>5</w:t>
      </w:r>
      <w:r>
        <w:rPr>
          <w:spacing w:val="2"/>
          <w:w w:val="99"/>
          <w:sz w:val="20"/>
        </w:rPr>
        <w:t>）</w:t>
      </w:r>
      <w:r>
        <w:rPr>
          <w:w w:val="99"/>
          <w:sz w:val="20"/>
        </w:rPr>
        <w:t>进食：自己从已准备好的碗或碟中取食物</w:t>
      </w:r>
      <w:r>
        <w:rPr>
          <w:spacing w:val="-21"/>
          <w:w w:val="99"/>
          <w:sz w:val="20"/>
        </w:rPr>
        <w:t>放入口中；</w:t>
      </w:r>
      <w:r>
        <w:rPr>
          <w:w w:val="99"/>
          <w:sz w:val="20"/>
        </w:rPr>
        <w:t>（</w:t>
      </w:r>
      <w:r>
        <w:rPr>
          <w:rFonts w:ascii="Times New Roman" w:eastAsia="Times New Roman"/>
          <w:spacing w:val="1"/>
          <w:w w:val="99"/>
          <w:sz w:val="20"/>
        </w:rPr>
        <w:t>6</w:t>
      </w:r>
      <w:r>
        <w:rPr>
          <w:spacing w:val="2"/>
          <w:w w:val="99"/>
          <w:sz w:val="20"/>
        </w:rPr>
        <w:t>）</w:t>
      </w:r>
      <w:r>
        <w:rPr>
          <w:w w:val="99"/>
          <w:sz w:val="20"/>
        </w:rPr>
        <w:t>洗澡：自己进行淋浴或盆浴。</w:t>
      </w:r>
    </w:p>
    <w:p>
      <w:pPr>
        <w:pStyle w:val="4"/>
        <w:spacing w:line="265" w:lineRule="exact"/>
        <w:ind w:left="220"/>
        <w:jc w:val="both"/>
        <w:rPr>
          <w:rFonts w:ascii="黑体" w:eastAsia="黑体"/>
        </w:rPr>
      </w:pPr>
      <w:r>
        <w:rPr>
          <w:rFonts w:ascii="黑体" w:eastAsia="黑体"/>
          <w:color w:val="000000"/>
          <w:spacing w:val="-5"/>
          <w:shd w:val="clear" w:color="auto" w:fill="D9D9D9"/>
        </w:rPr>
        <w:t xml:space="preserve">六项基本日常生活活动能力的鉴定不适用于 </w:t>
      </w:r>
      <w:r>
        <w:rPr>
          <w:rFonts w:ascii="黑体" w:eastAsia="黑体"/>
          <w:color w:val="000000"/>
          <w:spacing w:val="-2"/>
          <w:shd w:val="clear" w:color="auto" w:fill="D9D9D9"/>
        </w:rPr>
        <w:t>0-3</w:t>
      </w:r>
      <w:r>
        <w:rPr>
          <w:rFonts w:ascii="黑体" w:eastAsia="黑体"/>
          <w:color w:val="000000"/>
          <w:spacing w:val="-11"/>
          <w:shd w:val="clear" w:color="auto" w:fill="D9D9D9"/>
        </w:rPr>
        <w:t xml:space="preserve"> 周岁幼儿。</w:t>
      </w:r>
    </w:p>
    <w:p>
      <w:pPr>
        <w:pStyle w:val="9"/>
        <w:numPr>
          <w:ilvl w:val="0"/>
          <w:numId w:val="137"/>
        </w:numPr>
        <w:tabs>
          <w:tab w:val="left" w:pos="581"/>
        </w:tabs>
        <w:spacing w:before="45" w:after="0" w:line="240" w:lineRule="auto"/>
        <w:ind w:left="580" w:right="0" w:hanging="361"/>
        <w:jc w:val="both"/>
        <w:rPr>
          <w:sz w:val="20"/>
        </w:rPr>
      </w:pPr>
      <w:r>
        <w:rPr>
          <w:w w:val="95"/>
          <w:sz w:val="20"/>
        </w:rPr>
        <w:t>永久不</w:t>
      </w:r>
      <w:r>
        <w:rPr>
          <w:spacing w:val="-5"/>
          <w:w w:val="95"/>
          <w:sz w:val="20"/>
        </w:rPr>
        <w:t>可逆</w:t>
      </w:r>
    </w:p>
    <w:p>
      <w:pPr>
        <w:spacing w:before="56"/>
        <w:ind w:left="220" w:right="0" w:firstLine="0"/>
        <w:jc w:val="both"/>
        <w:rPr>
          <w:sz w:val="20"/>
        </w:rPr>
      </w:pPr>
      <w:r>
        <w:rPr>
          <w:w w:val="95"/>
          <w:sz w:val="20"/>
        </w:rPr>
        <w:t>指自疾病确诊或意外伤害发生之日起，经过积极治疗</w:t>
      </w:r>
      <w:r>
        <w:rPr>
          <w:spacing w:val="75"/>
          <w:w w:val="150"/>
          <w:sz w:val="20"/>
        </w:rPr>
        <w:t xml:space="preserve"> </w:t>
      </w:r>
      <w:r>
        <w:rPr>
          <w:rFonts w:ascii="Times New Roman" w:eastAsia="Times New Roman"/>
          <w:w w:val="95"/>
          <w:sz w:val="20"/>
        </w:rPr>
        <w:t>180</w:t>
      </w:r>
      <w:r>
        <w:rPr>
          <w:rFonts w:ascii="Times New Roman" w:eastAsia="Times New Roman"/>
          <w:spacing w:val="62"/>
          <w:sz w:val="20"/>
        </w:rPr>
        <w:t xml:space="preserve">  </w:t>
      </w:r>
      <w:r>
        <w:rPr>
          <w:w w:val="95"/>
          <w:sz w:val="20"/>
        </w:rPr>
        <w:t>天后，仍无法通过现有医疗手段恢复</w:t>
      </w:r>
      <w:r>
        <w:rPr>
          <w:spacing w:val="-10"/>
          <w:w w:val="95"/>
          <w:sz w:val="20"/>
        </w:rPr>
        <w:t>。</w:t>
      </w:r>
    </w:p>
    <w:p>
      <w:pPr>
        <w:pStyle w:val="9"/>
        <w:numPr>
          <w:ilvl w:val="0"/>
          <w:numId w:val="137"/>
        </w:numPr>
        <w:tabs>
          <w:tab w:val="left" w:pos="581"/>
        </w:tabs>
        <w:spacing w:before="56" w:after="0" w:line="240" w:lineRule="auto"/>
        <w:ind w:left="580" w:right="0" w:hanging="361"/>
        <w:jc w:val="left"/>
        <w:rPr>
          <w:sz w:val="20"/>
        </w:rPr>
      </w:pPr>
      <w:r>
        <w:rPr>
          <w:w w:val="95"/>
          <w:sz w:val="20"/>
        </w:rPr>
        <w:t>美国纽约心脏病学会（</w:t>
      </w:r>
      <w:r>
        <w:rPr>
          <w:rFonts w:ascii="Times New Roman" w:eastAsia="Times New Roman"/>
          <w:w w:val="95"/>
          <w:sz w:val="20"/>
        </w:rPr>
        <w:t>New</w:t>
      </w:r>
      <w:r>
        <w:rPr>
          <w:rFonts w:ascii="Times New Roman" w:eastAsia="Times New Roman"/>
          <w:spacing w:val="76"/>
          <w:sz w:val="20"/>
        </w:rPr>
        <w:t xml:space="preserve"> </w:t>
      </w:r>
      <w:r>
        <w:rPr>
          <w:rFonts w:ascii="Times New Roman" w:eastAsia="Times New Roman"/>
          <w:w w:val="95"/>
          <w:sz w:val="20"/>
        </w:rPr>
        <w:t>York</w:t>
      </w:r>
      <w:r>
        <w:rPr>
          <w:rFonts w:ascii="Times New Roman" w:eastAsia="Times New Roman"/>
          <w:spacing w:val="70"/>
          <w:w w:val="150"/>
          <w:sz w:val="20"/>
        </w:rPr>
        <w:t xml:space="preserve"> </w:t>
      </w:r>
      <w:r>
        <w:rPr>
          <w:rFonts w:ascii="Times New Roman" w:eastAsia="Times New Roman"/>
          <w:w w:val="95"/>
          <w:sz w:val="20"/>
        </w:rPr>
        <w:t>Heart</w:t>
      </w:r>
      <w:r>
        <w:rPr>
          <w:rFonts w:ascii="Times New Roman" w:eastAsia="Times New Roman"/>
          <w:spacing w:val="62"/>
          <w:sz w:val="20"/>
        </w:rPr>
        <w:t xml:space="preserve"> </w:t>
      </w:r>
      <w:r>
        <w:rPr>
          <w:rFonts w:ascii="Times New Roman" w:eastAsia="Times New Roman"/>
          <w:w w:val="95"/>
          <w:sz w:val="20"/>
        </w:rPr>
        <w:t>Association</w:t>
      </w:r>
      <w:r>
        <w:rPr>
          <w:w w:val="95"/>
          <w:sz w:val="20"/>
        </w:rPr>
        <w:t>，</w:t>
      </w:r>
      <w:r>
        <w:rPr>
          <w:rFonts w:ascii="Times New Roman" w:eastAsia="Times New Roman"/>
          <w:w w:val="95"/>
          <w:sz w:val="20"/>
        </w:rPr>
        <w:t>NYHA</w:t>
      </w:r>
      <w:r>
        <w:rPr>
          <w:w w:val="95"/>
          <w:sz w:val="20"/>
        </w:rPr>
        <w:t>）心功能状态分</w:t>
      </w:r>
      <w:r>
        <w:rPr>
          <w:spacing w:val="-10"/>
          <w:w w:val="95"/>
          <w:sz w:val="20"/>
        </w:rPr>
        <w:t>级</w:t>
      </w:r>
    </w:p>
    <w:p>
      <w:pPr>
        <w:spacing w:before="56" w:line="292" w:lineRule="auto"/>
        <w:ind w:left="220" w:right="2948" w:firstLine="0"/>
        <w:jc w:val="left"/>
        <w:rPr>
          <w:sz w:val="20"/>
        </w:rPr>
      </w:pPr>
      <w:r>
        <w:rPr>
          <w:sz w:val="20"/>
        </w:rPr>
        <w:t>美国纽约心脏病学会（</w:t>
      </w:r>
      <w:r>
        <w:rPr>
          <w:rFonts w:ascii="Times New Roman" w:hAnsi="Times New Roman" w:eastAsia="Times New Roman"/>
          <w:sz w:val="20"/>
        </w:rPr>
        <w:t>New York Heart Association</w:t>
      </w:r>
      <w:r>
        <w:rPr>
          <w:sz w:val="20"/>
        </w:rPr>
        <w:t>，</w:t>
      </w:r>
      <w:r>
        <w:rPr>
          <w:rFonts w:ascii="Times New Roman" w:hAnsi="Times New Roman" w:eastAsia="Times New Roman"/>
          <w:sz w:val="20"/>
        </w:rPr>
        <w:t>NYHA</w:t>
      </w:r>
      <w:r>
        <w:rPr>
          <w:sz w:val="20"/>
        </w:rPr>
        <w:t xml:space="preserve">）将心功能状态分为四级： </w:t>
      </w:r>
      <w:r>
        <w:rPr>
          <w:spacing w:val="-2"/>
          <w:w w:val="95"/>
          <w:sz w:val="20"/>
        </w:rPr>
        <w:t>Ⅰ级：心脏病病人日常活动量不受限制，一般活动不引起乏力、呼吸困难等心衰症状。</w:t>
      </w:r>
    </w:p>
    <w:p>
      <w:pPr>
        <w:spacing w:before="0" w:line="292" w:lineRule="auto"/>
        <w:ind w:left="220" w:right="2550" w:firstLine="0"/>
        <w:jc w:val="left"/>
        <w:rPr>
          <w:sz w:val="20"/>
        </w:rPr>
      </w:pPr>
      <w:r>
        <w:rPr>
          <w:spacing w:val="-2"/>
          <w:w w:val="95"/>
          <w:sz w:val="20"/>
        </w:rPr>
        <w:t>Ⅱ级：心脏病病人体力活动轻度受限制，休息时无自觉症状，一般活动下可出现心衰症状。</w:t>
      </w:r>
      <w:r>
        <w:rPr>
          <w:spacing w:val="80"/>
          <w:sz w:val="20"/>
        </w:rPr>
        <w:t xml:space="preserve">  </w:t>
      </w:r>
      <w:r>
        <w:rPr>
          <w:spacing w:val="-2"/>
          <w:sz w:val="20"/>
        </w:rPr>
        <w:t>Ⅲ级：心脏病病人体力活动明显受限，低于平时一般活动即引起心衰症状。</w:t>
      </w:r>
    </w:p>
    <w:p>
      <w:pPr>
        <w:spacing w:before="0" w:line="255" w:lineRule="exact"/>
        <w:ind w:left="220" w:right="0" w:firstLine="0"/>
        <w:jc w:val="left"/>
        <w:rPr>
          <w:sz w:val="20"/>
        </w:rPr>
      </w:pPr>
      <w:r>
        <w:rPr>
          <w:w w:val="95"/>
          <w:sz w:val="20"/>
        </w:rPr>
        <w:t>Ⅳ级：心脏病病人不能从事任何体力活动，休息状态下也存在心衰症状，活动后加重</w:t>
      </w:r>
      <w:r>
        <w:rPr>
          <w:spacing w:val="-10"/>
          <w:w w:val="95"/>
          <w:sz w:val="20"/>
        </w:rPr>
        <w:t>。</w:t>
      </w:r>
    </w:p>
    <w:p>
      <w:pPr>
        <w:pStyle w:val="4"/>
        <w:spacing w:before="5"/>
        <w:rPr>
          <w:sz w:val="28"/>
        </w:rPr>
      </w:pPr>
    </w:p>
    <w:p>
      <w:pPr>
        <w:pStyle w:val="4"/>
        <w:ind w:left="1054" w:right="1512"/>
        <w:jc w:val="center"/>
      </w:pPr>
      <w:r>
        <w:t>（完</w:t>
      </w:r>
      <w:r>
        <w:rPr>
          <w:spacing w:val="-10"/>
        </w:rPr>
        <w:t>）</w:t>
      </w:r>
    </w:p>
    <w:sectPr>
      <w:pgSz w:w="11910" w:h="16840"/>
      <w:pgMar w:top="800" w:right="340" w:bottom="640" w:left="800" w:header="0" w:footer="457"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Wingdings 2">
    <w:panose1 w:val="050201020105070707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pict>
        <v:shape id="docshape1" o:spid="_x0000_s2049" o:spt="202" type="#_x0000_t202" style="position:absolute;left:0pt;margin-left:290.05pt;margin-top:808.05pt;height:12pt;width:16.15pt;mso-position-horizontal-relative:page;mso-position-vertical-relative:page;z-index:-251653120;mso-width-relative:page;mso-height-relative:page;" filled="f" stroked="f" coordsize="21600,21600">
          <v:path/>
          <v:fill on="f" focussize="0,0"/>
          <v:stroke on="f" joinstyle="miter"/>
          <v:imagedata o:title=""/>
          <o:lock v:ext="edit"/>
          <v:textbox inset="0mm,0mm,0mm,0mm">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10</w:t>
                </w:r>
                <w:r>
                  <w:rPr>
                    <w:rFonts w:ascii="Times New Roman"/>
                    <w:spacing w:val="-5"/>
                    <w:sz w:val="18"/>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4E4E29"/>
    <w:multiLevelType w:val="multilevel"/>
    <w:tmpl w:val="804E4E29"/>
    <w:lvl w:ilvl="0" w:tentative="0">
      <w:start w:val="1"/>
      <w:numFmt w:val="decimal"/>
      <w:lvlText w:val="（%1）"/>
      <w:lvlJc w:val="left"/>
      <w:pPr>
        <w:ind w:left="636"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238" w:hanging="529"/>
      </w:pPr>
      <w:rPr>
        <w:rFonts w:hint="default"/>
        <w:lang w:val="en-US" w:eastAsia="zh-CN" w:bidi="ar-SA"/>
      </w:rPr>
    </w:lvl>
    <w:lvl w:ilvl="2" w:tentative="0">
      <w:start w:val="0"/>
      <w:numFmt w:val="bullet"/>
      <w:lvlText w:val="•"/>
      <w:lvlJc w:val="left"/>
      <w:pPr>
        <w:ind w:left="1837" w:hanging="529"/>
      </w:pPr>
      <w:rPr>
        <w:rFonts w:hint="default"/>
        <w:lang w:val="en-US" w:eastAsia="zh-CN" w:bidi="ar-SA"/>
      </w:rPr>
    </w:lvl>
    <w:lvl w:ilvl="3" w:tentative="0">
      <w:start w:val="0"/>
      <w:numFmt w:val="bullet"/>
      <w:lvlText w:val="•"/>
      <w:lvlJc w:val="left"/>
      <w:pPr>
        <w:ind w:left="2435" w:hanging="529"/>
      </w:pPr>
      <w:rPr>
        <w:rFonts w:hint="default"/>
        <w:lang w:val="en-US" w:eastAsia="zh-CN" w:bidi="ar-SA"/>
      </w:rPr>
    </w:lvl>
    <w:lvl w:ilvl="4" w:tentative="0">
      <w:start w:val="0"/>
      <w:numFmt w:val="bullet"/>
      <w:lvlText w:val="•"/>
      <w:lvlJc w:val="left"/>
      <w:pPr>
        <w:ind w:left="3034" w:hanging="529"/>
      </w:pPr>
      <w:rPr>
        <w:rFonts w:hint="default"/>
        <w:lang w:val="en-US" w:eastAsia="zh-CN" w:bidi="ar-SA"/>
      </w:rPr>
    </w:lvl>
    <w:lvl w:ilvl="5" w:tentative="0">
      <w:start w:val="0"/>
      <w:numFmt w:val="bullet"/>
      <w:lvlText w:val="•"/>
      <w:lvlJc w:val="left"/>
      <w:pPr>
        <w:ind w:left="3633" w:hanging="529"/>
      </w:pPr>
      <w:rPr>
        <w:rFonts w:hint="default"/>
        <w:lang w:val="en-US" w:eastAsia="zh-CN" w:bidi="ar-SA"/>
      </w:rPr>
    </w:lvl>
    <w:lvl w:ilvl="6" w:tentative="0">
      <w:start w:val="0"/>
      <w:numFmt w:val="bullet"/>
      <w:lvlText w:val="•"/>
      <w:lvlJc w:val="left"/>
      <w:pPr>
        <w:ind w:left="4231" w:hanging="529"/>
      </w:pPr>
      <w:rPr>
        <w:rFonts w:hint="default"/>
        <w:lang w:val="en-US" w:eastAsia="zh-CN" w:bidi="ar-SA"/>
      </w:rPr>
    </w:lvl>
    <w:lvl w:ilvl="7" w:tentative="0">
      <w:start w:val="0"/>
      <w:numFmt w:val="bullet"/>
      <w:lvlText w:val="•"/>
      <w:lvlJc w:val="left"/>
      <w:pPr>
        <w:ind w:left="4830" w:hanging="529"/>
      </w:pPr>
      <w:rPr>
        <w:rFonts w:hint="default"/>
        <w:lang w:val="en-US" w:eastAsia="zh-CN" w:bidi="ar-SA"/>
      </w:rPr>
    </w:lvl>
    <w:lvl w:ilvl="8" w:tentative="0">
      <w:start w:val="0"/>
      <w:numFmt w:val="bullet"/>
      <w:lvlText w:val="•"/>
      <w:lvlJc w:val="left"/>
      <w:pPr>
        <w:ind w:left="5428" w:hanging="529"/>
      </w:pPr>
      <w:rPr>
        <w:rFonts w:hint="default"/>
        <w:lang w:val="en-US" w:eastAsia="zh-CN" w:bidi="ar-SA"/>
      </w:rPr>
    </w:lvl>
  </w:abstractNum>
  <w:abstractNum w:abstractNumId="1">
    <w:nsid w:val="813A4B87"/>
    <w:multiLevelType w:val="multilevel"/>
    <w:tmpl w:val="813A4B87"/>
    <w:lvl w:ilvl="0" w:tentative="0">
      <w:start w:val="1"/>
      <w:numFmt w:val="decimal"/>
      <w:lvlText w:val="（%1）"/>
      <w:lvlJc w:val="left"/>
      <w:pPr>
        <w:ind w:left="636"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238" w:hanging="529"/>
      </w:pPr>
      <w:rPr>
        <w:rFonts w:hint="default"/>
        <w:lang w:val="en-US" w:eastAsia="zh-CN" w:bidi="ar-SA"/>
      </w:rPr>
    </w:lvl>
    <w:lvl w:ilvl="2" w:tentative="0">
      <w:start w:val="0"/>
      <w:numFmt w:val="bullet"/>
      <w:lvlText w:val="•"/>
      <w:lvlJc w:val="left"/>
      <w:pPr>
        <w:ind w:left="1837" w:hanging="529"/>
      </w:pPr>
      <w:rPr>
        <w:rFonts w:hint="default"/>
        <w:lang w:val="en-US" w:eastAsia="zh-CN" w:bidi="ar-SA"/>
      </w:rPr>
    </w:lvl>
    <w:lvl w:ilvl="3" w:tentative="0">
      <w:start w:val="0"/>
      <w:numFmt w:val="bullet"/>
      <w:lvlText w:val="•"/>
      <w:lvlJc w:val="left"/>
      <w:pPr>
        <w:ind w:left="2435" w:hanging="529"/>
      </w:pPr>
      <w:rPr>
        <w:rFonts w:hint="default"/>
        <w:lang w:val="en-US" w:eastAsia="zh-CN" w:bidi="ar-SA"/>
      </w:rPr>
    </w:lvl>
    <w:lvl w:ilvl="4" w:tentative="0">
      <w:start w:val="0"/>
      <w:numFmt w:val="bullet"/>
      <w:lvlText w:val="•"/>
      <w:lvlJc w:val="left"/>
      <w:pPr>
        <w:ind w:left="3034" w:hanging="529"/>
      </w:pPr>
      <w:rPr>
        <w:rFonts w:hint="default"/>
        <w:lang w:val="en-US" w:eastAsia="zh-CN" w:bidi="ar-SA"/>
      </w:rPr>
    </w:lvl>
    <w:lvl w:ilvl="5" w:tentative="0">
      <w:start w:val="0"/>
      <w:numFmt w:val="bullet"/>
      <w:lvlText w:val="•"/>
      <w:lvlJc w:val="left"/>
      <w:pPr>
        <w:ind w:left="3633" w:hanging="529"/>
      </w:pPr>
      <w:rPr>
        <w:rFonts w:hint="default"/>
        <w:lang w:val="en-US" w:eastAsia="zh-CN" w:bidi="ar-SA"/>
      </w:rPr>
    </w:lvl>
    <w:lvl w:ilvl="6" w:tentative="0">
      <w:start w:val="0"/>
      <w:numFmt w:val="bullet"/>
      <w:lvlText w:val="•"/>
      <w:lvlJc w:val="left"/>
      <w:pPr>
        <w:ind w:left="4231" w:hanging="529"/>
      </w:pPr>
      <w:rPr>
        <w:rFonts w:hint="default"/>
        <w:lang w:val="en-US" w:eastAsia="zh-CN" w:bidi="ar-SA"/>
      </w:rPr>
    </w:lvl>
    <w:lvl w:ilvl="7" w:tentative="0">
      <w:start w:val="0"/>
      <w:numFmt w:val="bullet"/>
      <w:lvlText w:val="•"/>
      <w:lvlJc w:val="left"/>
      <w:pPr>
        <w:ind w:left="4830" w:hanging="529"/>
      </w:pPr>
      <w:rPr>
        <w:rFonts w:hint="default"/>
        <w:lang w:val="en-US" w:eastAsia="zh-CN" w:bidi="ar-SA"/>
      </w:rPr>
    </w:lvl>
    <w:lvl w:ilvl="8" w:tentative="0">
      <w:start w:val="0"/>
      <w:numFmt w:val="bullet"/>
      <w:lvlText w:val="•"/>
      <w:lvlJc w:val="left"/>
      <w:pPr>
        <w:ind w:left="5428" w:hanging="529"/>
      </w:pPr>
      <w:rPr>
        <w:rFonts w:hint="default"/>
        <w:lang w:val="en-US" w:eastAsia="zh-CN" w:bidi="ar-SA"/>
      </w:rPr>
    </w:lvl>
  </w:abstractNum>
  <w:abstractNum w:abstractNumId="2">
    <w:nsid w:val="825EC3C5"/>
    <w:multiLevelType w:val="multilevel"/>
    <w:tmpl w:val="825EC3C5"/>
    <w:lvl w:ilvl="0" w:tentative="0">
      <w:start w:val="1"/>
      <w:numFmt w:val="decimal"/>
      <w:lvlText w:val="（%1）"/>
      <w:lvlJc w:val="left"/>
      <w:pPr>
        <w:ind w:left="636"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238" w:hanging="529"/>
      </w:pPr>
      <w:rPr>
        <w:rFonts w:hint="default"/>
        <w:lang w:val="en-US" w:eastAsia="zh-CN" w:bidi="ar-SA"/>
      </w:rPr>
    </w:lvl>
    <w:lvl w:ilvl="2" w:tentative="0">
      <w:start w:val="0"/>
      <w:numFmt w:val="bullet"/>
      <w:lvlText w:val="•"/>
      <w:lvlJc w:val="left"/>
      <w:pPr>
        <w:ind w:left="1837" w:hanging="529"/>
      </w:pPr>
      <w:rPr>
        <w:rFonts w:hint="default"/>
        <w:lang w:val="en-US" w:eastAsia="zh-CN" w:bidi="ar-SA"/>
      </w:rPr>
    </w:lvl>
    <w:lvl w:ilvl="3" w:tentative="0">
      <w:start w:val="0"/>
      <w:numFmt w:val="bullet"/>
      <w:lvlText w:val="•"/>
      <w:lvlJc w:val="left"/>
      <w:pPr>
        <w:ind w:left="2435" w:hanging="529"/>
      </w:pPr>
      <w:rPr>
        <w:rFonts w:hint="default"/>
        <w:lang w:val="en-US" w:eastAsia="zh-CN" w:bidi="ar-SA"/>
      </w:rPr>
    </w:lvl>
    <w:lvl w:ilvl="4" w:tentative="0">
      <w:start w:val="0"/>
      <w:numFmt w:val="bullet"/>
      <w:lvlText w:val="•"/>
      <w:lvlJc w:val="left"/>
      <w:pPr>
        <w:ind w:left="3034" w:hanging="529"/>
      </w:pPr>
      <w:rPr>
        <w:rFonts w:hint="default"/>
        <w:lang w:val="en-US" w:eastAsia="zh-CN" w:bidi="ar-SA"/>
      </w:rPr>
    </w:lvl>
    <w:lvl w:ilvl="5" w:tentative="0">
      <w:start w:val="0"/>
      <w:numFmt w:val="bullet"/>
      <w:lvlText w:val="•"/>
      <w:lvlJc w:val="left"/>
      <w:pPr>
        <w:ind w:left="3633" w:hanging="529"/>
      </w:pPr>
      <w:rPr>
        <w:rFonts w:hint="default"/>
        <w:lang w:val="en-US" w:eastAsia="zh-CN" w:bidi="ar-SA"/>
      </w:rPr>
    </w:lvl>
    <w:lvl w:ilvl="6" w:tentative="0">
      <w:start w:val="0"/>
      <w:numFmt w:val="bullet"/>
      <w:lvlText w:val="•"/>
      <w:lvlJc w:val="left"/>
      <w:pPr>
        <w:ind w:left="4231" w:hanging="529"/>
      </w:pPr>
      <w:rPr>
        <w:rFonts w:hint="default"/>
        <w:lang w:val="en-US" w:eastAsia="zh-CN" w:bidi="ar-SA"/>
      </w:rPr>
    </w:lvl>
    <w:lvl w:ilvl="7" w:tentative="0">
      <w:start w:val="0"/>
      <w:numFmt w:val="bullet"/>
      <w:lvlText w:val="•"/>
      <w:lvlJc w:val="left"/>
      <w:pPr>
        <w:ind w:left="4830" w:hanging="529"/>
      </w:pPr>
      <w:rPr>
        <w:rFonts w:hint="default"/>
        <w:lang w:val="en-US" w:eastAsia="zh-CN" w:bidi="ar-SA"/>
      </w:rPr>
    </w:lvl>
    <w:lvl w:ilvl="8" w:tentative="0">
      <w:start w:val="0"/>
      <w:numFmt w:val="bullet"/>
      <w:lvlText w:val="•"/>
      <w:lvlJc w:val="left"/>
      <w:pPr>
        <w:ind w:left="5428" w:hanging="529"/>
      </w:pPr>
      <w:rPr>
        <w:rFonts w:hint="default"/>
        <w:lang w:val="en-US" w:eastAsia="zh-CN" w:bidi="ar-SA"/>
      </w:rPr>
    </w:lvl>
  </w:abstractNum>
  <w:abstractNum w:abstractNumId="3">
    <w:nsid w:val="845B5372"/>
    <w:multiLevelType w:val="multilevel"/>
    <w:tmpl w:val="845B5372"/>
    <w:lvl w:ilvl="0" w:tentative="0">
      <w:start w:val="1"/>
      <w:numFmt w:val="decimal"/>
      <w:lvlText w:val="（%1）"/>
      <w:lvlJc w:val="left"/>
      <w:pPr>
        <w:ind w:left="636"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238" w:hanging="529"/>
      </w:pPr>
      <w:rPr>
        <w:rFonts w:hint="default"/>
        <w:lang w:val="en-US" w:eastAsia="zh-CN" w:bidi="ar-SA"/>
      </w:rPr>
    </w:lvl>
    <w:lvl w:ilvl="2" w:tentative="0">
      <w:start w:val="0"/>
      <w:numFmt w:val="bullet"/>
      <w:lvlText w:val="•"/>
      <w:lvlJc w:val="left"/>
      <w:pPr>
        <w:ind w:left="1837" w:hanging="529"/>
      </w:pPr>
      <w:rPr>
        <w:rFonts w:hint="default"/>
        <w:lang w:val="en-US" w:eastAsia="zh-CN" w:bidi="ar-SA"/>
      </w:rPr>
    </w:lvl>
    <w:lvl w:ilvl="3" w:tentative="0">
      <w:start w:val="0"/>
      <w:numFmt w:val="bullet"/>
      <w:lvlText w:val="•"/>
      <w:lvlJc w:val="left"/>
      <w:pPr>
        <w:ind w:left="2435" w:hanging="529"/>
      </w:pPr>
      <w:rPr>
        <w:rFonts w:hint="default"/>
        <w:lang w:val="en-US" w:eastAsia="zh-CN" w:bidi="ar-SA"/>
      </w:rPr>
    </w:lvl>
    <w:lvl w:ilvl="4" w:tentative="0">
      <w:start w:val="0"/>
      <w:numFmt w:val="bullet"/>
      <w:lvlText w:val="•"/>
      <w:lvlJc w:val="left"/>
      <w:pPr>
        <w:ind w:left="3034" w:hanging="529"/>
      </w:pPr>
      <w:rPr>
        <w:rFonts w:hint="default"/>
        <w:lang w:val="en-US" w:eastAsia="zh-CN" w:bidi="ar-SA"/>
      </w:rPr>
    </w:lvl>
    <w:lvl w:ilvl="5" w:tentative="0">
      <w:start w:val="0"/>
      <w:numFmt w:val="bullet"/>
      <w:lvlText w:val="•"/>
      <w:lvlJc w:val="left"/>
      <w:pPr>
        <w:ind w:left="3633" w:hanging="529"/>
      </w:pPr>
      <w:rPr>
        <w:rFonts w:hint="default"/>
        <w:lang w:val="en-US" w:eastAsia="zh-CN" w:bidi="ar-SA"/>
      </w:rPr>
    </w:lvl>
    <w:lvl w:ilvl="6" w:tentative="0">
      <w:start w:val="0"/>
      <w:numFmt w:val="bullet"/>
      <w:lvlText w:val="•"/>
      <w:lvlJc w:val="left"/>
      <w:pPr>
        <w:ind w:left="4231" w:hanging="529"/>
      </w:pPr>
      <w:rPr>
        <w:rFonts w:hint="default"/>
        <w:lang w:val="en-US" w:eastAsia="zh-CN" w:bidi="ar-SA"/>
      </w:rPr>
    </w:lvl>
    <w:lvl w:ilvl="7" w:tentative="0">
      <w:start w:val="0"/>
      <w:numFmt w:val="bullet"/>
      <w:lvlText w:val="•"/>
      <w:lvlJc w:val="left"/>
      <w:pPr>
        <w:ind w:left="4830" w:hanging="529"/>
      </w:pPr>
      <w:rPr>
        <w:rFonts w:hint="default"/>
        <w:lang w:val="en-US" w:eastAsia="zh-CN" w:bidi="ar-SA"/>
      </w:rPr>
    </w:lvl>
    <w:lvl w:ilvl="8" w:tentative="0">
      <w:start w:val="0"/>
      <w:numFmt w:val="bullet"/>
      <w:lvlText w:val="•"/>
      <w:lvlJc w:val="left"/>
      <w:pPr>
        <w:ind w:left="5428" w:hanging="529"/>
      </w:pPr>
      <w:rPr>
        <w:rFonts w:hint="default"/>
        <w:lang w:val="en-US" w:eastAsia="zh-CN" w:bidi="ar-SA"/>
      </w:rPr>
    </w:lvl>
  </w:abstractNum>
  <w:abstractNum w:abstractNumId="4">
    <w:nsid w:val="8461FADE"/>
    <w:multiLevelType w:val="multilevel"/>
    <w:tmpl w:val="8461FADE"/>
    <w:lvl w:ilvl="0" w:tentative="0">
      <w:start w:val="1"/>
      <w:numFmt w:val="decimal"/>
      <w:lvlText w:val="（%1）"/>
      <w:lvlJc w:val="left"/>
      <w:pPr>
        <w:ind w:left="107" w:hanging="529"/>
        <w:jc w:val="left"/>
      </w:pPr>
      <w:rPr>
        <w:rFonts w:hint="default" w:ascii="宋体" w:hAnsi="宋体" w:eastAsia="宋体" w:cs="宋体"/>
        <w:b w:val="0"/>
        <w:bCs w:val="0"/>
        <w:i w:val="0"/>
        <w:iCs w:val="0"/>
        <w:spacing w:val="-20"/>
        <w:w w:val="100"/>
        <w:sz w:val="19"/>
        <w:szCs w:val="19"/>
        <w:lang w:val="en-US" w:eastAsia="zh-CN" w:bidi="ar-SA"/>
      </w:rPr>
    </w:lvl>
    <w:lvl w:ilvl="1" w:tentative="0">
      <w:start w:val="0"/>
      <w:numFmt w:val="bullet"/>
      <w:lvlText w:val="•"/>
      <w:lvlJc w:val="left"/>
      <w:pPr>
        <w:ind w:left="752" w:hanging="529"/>
      </w:pPr>
      <w:rPr>
        <w:rFonts w:hint="default"/>
        <w:lang w:val="en-US" w:eastAsia="zh-CN" w:bidi="ar-SA"/>
      </w:rPr>
    </w:lvl>
    <w:lvl w:ilvl="2" w:tentative="0">
      <w:start w:val="0"/>
      <w:numFmt w:val="bullet"/>
      <w:lvlText w:val="•"/>
      <w:lvlJc w:val="left"/>
      <w:pPr>
        <w:ind w:left="1405" w:hanging="529"/>
      </w:pPr>
      <w:rPr>
        <w:rFonts w:hint="default"/>
        <w:lang w:val="en-US" w:eastAsia="zh-CN" w:bidi="ar-SA"/>
      </w:rPr>
    </w:lvl>
    <w:lvl w:ilvl="3" w:tentative="0">
      <w:start w:val="0"/>
      <w:numFmt w:val="bullet"/>
      <w:lvlText w:val="•"/>
      <w:lvlJc w:val="left"/>
      <w:pPr>
        <w:ind w:left="2057" w:hanging="529"/>
      </w:pPr>
      <w:rPr>
        <w:rFonts w:hint="default"/>
        <w:lang w:val="en-US" w:eastAsia="zh-CN" w:bidi="ar-SA"/>
      </w:rPr>
    </w:lvl>
    <w:lvl w:ilvl="4" w:tentative="0">
      <w:start w:val="0"/>
      <w:numFmt w:val="bullet"/>
      <w:lvlText w:val="•"/>
      <w:lvlJc w:val="left"/>
      <w:pPr>
        <w:ind w:left="2710" w:hanging="529"/>
      </w:pPr>
      <w:rPr>
        <w:rFonts w:hint="default"/>
        <w:lang w:val="en-US" w:eastAsia="zh-CN" w:bidi="ar-SA"/>
      </w:rPr>
    </w:lvl>
    <w:lvl w:ilvl="5" w:tentative="0">
      <w:start w:val="0"/>
      <w:numFmt w:val="bullet"/>
      <w:lvlText w:val="•"/>
      <w:lvlJc w:val="left"/>
      <w:pPr>
        <w:ind w:left="3363" w:hanging="529"/>
      </w:pPr>
      <w:rPr>
        <w:rFonts w:hint="default"/>
        <w:lang w:val="en-US" w:eastAsia="zh-CN" w:bidi="ar-SA"/>
      </w:rPr>
    </w:lvl>
    <w:lvl w:ilvl="6" w:tentative="0">
      <w:start w:val="0"/>
      <w:numFmt w:val="bullet"/>
      <w:lvlText w:val="•"/>
      <w:lvlJc w:val="left"/>
      <w:pPr>
        <w:ind w:left="4015" w:hanging="529"/>
      </w:pPr>
      <w:rPr>
        <w:rFonts w:hint="default"/>
        <w:lang w:val="en-US" w:eastAsia="zh-CN" w:bidi="ar-SA"/>
      </w:rPr>
    </w:lvl>
    <w:lvl w:ilvl="7" w:tentative="0">
      <w:start w:val="0"/>
      <w:numFmt w:val="bullet"/>
      <w:lvlText w:val="•"/>
      <w:lvlJc w:val="left"/>
      <w:pPr>
        <w:ind w:left="4668" w:hanging="529"/>
      </w:pPr>
      <w:rPr>
        <w:rFonts w:hint="default"/>
        <w:lang w:val="en-US" w:eastAsia="zh-CN" w:bidi="ar-SA"/>
      </w:rPr>
    </w:lvl>
    <w:lvl w:ilvl="8" w:tentative="0">
      <w:start w:val="0"/>
      <w:numFmt w:val="bullet"/>
      <w:lvlText w:val="•"/>
      <w:lvlJc w:val="left"/>
      <w:pPr>
        <w:ind w:left="5320" w:hanging="529"/>
      </w:pPr>
      <w:rPr>
        <w:rFonts w:hint="default"/>
        <w:lang w:val="en-US" w:eastAsia="zh-CN" w:bidi="ar-SA"/>
      </w:rPr>
    </w:lvl>
  </w:abstractNum>
  <w:abstractNum w:abstractNumId="5">
    <w:nsid w:val="883B3669"/>
    <w:multiLevelType w:val="multilevel"/>
    <w:tmpl w:val="883B3669"/>
    <w:lvl w:ilvl="0" w:tentative="0">
      <w:start w:val="1"/>
      <w:numFmt w:val="decimal"/>
      <w:lvlText w:val="（%1）"/>
      <w:lvlJc w:val="left"/>
      <w:pPr>
        <w:ind w:left="10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752" w:hanging="529"/>
      </w:pPr>
      <w:rPr>
        <w:rFonts w:hint="default"/>
        <w:lang w:val="en-US" w:eastAsia="zh-CN" w:bidi="ar-SA"/>
      </w:rPr>
    </w:lvl>
    <w:lvl w:ilvl="2" w:tentative="0">
      <w:start w:val="0"/>
      <w:numFmt w:val="bullet"/>
      <w:lvlText w:val="•"/>
      <w:lvlJc w:val="left"/>
      <w:pPr>
        <w:ind w:left="1405" w:hanging="529"/>
      </w:pPr>
      <w:rPr>
        <w:rFonts w:hint="default"/>
        <w:lang w:val="en-US" w:eastAsia="zh-CN" w:bidi="ar-SA"/>
      </w:rPr>
    </w:lvl>
    <w:lvl w:ilvl="3" w:tentative="0">
      <w:start w:val="0"/>
      <w:numFmt w:val="bullet"/>
      <w:lvlText w:val="•"/>
      <w:lvlJc w:val="left"/>
      <w:pPr>
        <w:ind w:left="2057" w:hanging="529"/>
      </w:pPr>
      <w:rPr>
        <w:rFonts w:hint="default"/>
        <w:lang w:val="en-US" w:eastAsia="zh-CN" w:bidi="ar-SA"/>
      </w:rPr>
    </w:lvl>
    <w:lvl w:ilvl="4" w:tentative="0">
      <w:start w:val="0"/>
      <w:numFmt w:val="bullet"/>
      <w:lvlText w:val="•"/>
      <w:lvlJc w:val="left"/>
      <w:pPr>
        <w:ind w:left="2710" w:hanging="529"/>
      </w:pPr>
      <w:rPr>
        <w:rFonts w:hint="default"/>
        <w:lang w:val="en-US" w:eastAsia="zh-CN" w:bidi="ar-SA"/>
      </w:rPr>
    </w:lvl>
    <w:lvl w:ilvl="5" w:tentative="0">
      <w:start w:val="0"/>
      <w:numFmt w:val="bullet"/>
      <w:lvlText w:val="•"/>
      <w:lvlJc w:val="left"/>
      <w:pPr>
        <w:ind w:left="3363" w:hanging="529"/>
      </w:pPr>
      <w:rPr>
        <w:rFonts w:hint="default"/>
        <w:lang w:val="en-US" w:eastAsia="zh-CN" w:bidi="ar-SA"/>
      </w:rPr>
    </w:lvl>
    <w:lvl w:ilvl="6" w:tentative="0">
      <w:start w:val="0"/>
      <w:numFmt w:val="bullet"/>
      <w:lvlText w:val="•"/>
      <w:lvlJc w:val="left"/>
      <w:pPr>
        <w:ind w:left="4015" w:hanging="529"/>
      </w:pPr>
      <w:rPr>
        <w:rFonts w:hint="default"/>
        <w:lang w:val="en-US" w:eastAsia="zh-CN" w:bidi="ar-SA"/>
      </w:rPr>
    </w:lvl>
    <w:lvl w:ilvl="7" w:tentative="0">
      <w:start w:val="0"/>
      <w:numFmt w:val="bullet"/>
      <w:lvlText w:val="•"/>
      <w:lvlJc w:val="left"/>
      <w:pPr>
        <w:ind w:left="4668" w:hanging="529"/>
      </w:pPr>
      <w:rPr>
        <w:rFonts w:hint="default"/>
        <w:lang w:val="en-US" w:eastAsia="zh-CN" w:bidi="ar-SA"/>
      </w:rPr>
    </w:lvl>
    <w:lvl w:ilvl="8" w:tentative="0">
      <w:start w:val="0"/>
      <w:numFmt w:val="bullet"/>
      <w:lvlText w:val="•"/>
      <w:lvlJc w:val="left"/>
      <w:pPr>
        <w:ind w:left="5320" w:hanging="529"/>
      </w:pPr>
      <w:rPr>
        <w:rFonts w:hint="default"/>
        <w:lang w:val="en-US" w:eastAsia="zh-CN" w:bidi="ar-SA"/>
      </w:rPr>
    </w:lvl>
  </w:abstractNum>
  <w:abstractNum w:abstractNumId="6">
    <w:nsid w:val="8CAEB125"/>
    <w:multiLevelType w:val="multilevel"/>
    <w:tmpl w:val="8CAEB125"/>
    <w:lvl w:ilvl="0" w:tentative="0">
      <w:start w:val="1"/>
      <w:numFmt w:val="decimal"/>
      <w:lvlText w:val="（%1）"/>
      <w:lvlJc w:val="left"/>
      <w:pPr>
        <w:ind w:left="10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752" w:hanging="529"/>
      </w:pPr>
      <w:rPr>
        <w:rFonts w:hint="default"/>
        <w:lang w:val="en-US" w:eastAsia="zh-CN" w:bidi="ar-SA"/>
      </w:rPr>
    </w:lvl>
    <w:lvl w:ilvl="2" w:tentative="0">
      <w:start w:val="0"/>
      <w:numFmt w:val="bullet"/>
      <w:lvlText w:val="•"/>
      <w:lvlJc w:val="left"/>
      <w:pPr>
        <w:ind w:left="1405" w:hanging="529"/>
      </w:pPr>
      <w:rPr>
        <w:rFonts w:hint="default"/>
        <w:lang w:val="en-US" w:eastAsia="zh-CN" w:bidi="ar-SA"/>
      </w:rPr>
    </w:lvl>
    <w:lvl w:ilvl="3" w:tentative="0">
      <w:start w:val="0"/>
      <w:numFmt w:val="bullet"/>
      <w:lvlText w:val="•"/>
      <w:lvlJc w:val="left"/>
      <w:pPr>
        <w:ind w:left="2057" w:hanging="529"/>
      </w:pPr>
      <w:rPr>
        <w:rFonts w:hint="default"/>
        <w:lang w:val="en-US" w:eastAsia="zh-CN" w:bidi="ar-SA"/>
      </w:rPr>
    </w:lvl>
    <w:lvl w:ilvl="4" w:tentative="0">
      <w:start w:val="0"/>
      <w:numFmt w:val="bullet"/>
      <w:lvlText w:val="•"/>
      <w:lvlJc w:val="left"/>
      <w:pPr>
        <w:ind w:left="2710" w:hanging="529"/>
      </w:pPr>
      <w:rPr>
        <w:rFonts w:hint="default"/>
        <w:lang w:val="en-US" w:eastAsia="zh-CN" w:bidi="ar-SA"/>
      </w:rPr>
    </w:lvl>
    <w:lvl w:ilvl="5" w:tentative="0">
      <w:start w:val="0"/>
      <w:numFmt w:val="bullet"/>
      <w:lvlText w:val="•"/>
      <w:lvlJc w:val="left"/>
      <w:pPr>
        <w:ind w:left="3363" w:hanging="529"/>
      </w:pPr>
      <w:rPr>
        <w:rFonts w:hint="default"/>
        <w:lang w:val="en-US" w:eastAsia="zh-CN" w:bidi="ar-SA"/>
      </w:rPr>
    </w:lvl>
    <w:lvl w:ilvl="6" w:tentative="0">
      <w:start w:val="0"/>
      <w:numFmt w:val="bullet"/>
      <w:lvlText w:val="•"/>
      <w:lvlJc w:val="left"/>
      <w:pPr>
        <w:ind w:left="4015" w:hanging="529"/>
      </w:pPr>
      <w:rPr>
        <w:rFonts w:hint="default"/>
        <w:lang w:val="en-US" w:eastAsia="zh-CN" w:bidi="ar-SA"/>
      </w:rPr>
    </w:lvl>
    <w:lvl w:ilvl="7" w:tentative="0">
      <w:start w:val="0"/>
      <w:numFmt w:val="bullet"/>
      <w:lvlText w:val="•"/>
      <w:lvlJc w:val="left"/>
      <w:pPr>
        <w:ind w:left="4668" w:hanging="529"/>
      </w:pPr>
      <w:rPr>
        <w:rFonts w:hint="default"/>
        <w:lang w:val="en-US" w:eastAsia="zh-CN" w:bidi="ar-SA"/>
      </w:rPr>
    </w:lvl>
    <w:lvl w:ilvl="8" w:tentative="0">
      <w:start w:val="0"/>
      <w:numFmt w:val="bullet"/>
      <w:lvlText w:val="•"/>
      <w:lvlJc w:val="left"/>
      <w:pPr>
        <w:ind w:left="5320" w:hanging="529"/>
      </w:pPr>
      <w:rPr>
        <w:rFonts w:hint="default"/>
        <w:lang w:val="en-US" w:eastAsia="zh-CN" w:bidi="ar-SA"/>
      </w:rPr>
    </w:lvl>
  </w:abstractNum>
  <w:abstractNum w:abstractNumId="7">
    <w:nsid w:val="91995D4F"/>
    <w:multiLevelType w:val="multilevel"/>
    <w:tmpl w:val="91995D4F"/>
    <w:lvl w:ilvl="0" w:tentative="0">
      <w:start w:val="1"/>
      <w:numFmt w:val="decimal"/>
      <w:lvlText w:val="（%1）"/>
      <w:lvlJc w:val="left"/>
      <w:pPr>
        <w:ind w:left="107" w:hanging="529"/>
        <w:jc w:val="left"/>
      </w:pPr>
      <w:rPr>
        <w:rFonts w:hint="default" w:ascii="宋体" w:hAnsi="宋体" w:eastAsia="宋体" w:cs="宋体"/>
        <w:b w:val="0"/>
        <w:bCs w:val="0"/>
        <w:i w:val="0"/>
        <w:iCs w:val="0"/>
        <w:spacing w:val="-39"/>
        <w:w w:val="100"/>
        <w:sz w:val="19"/>
        <w:szCs w:val="19"/>
        <w:lang w:val="en-US" w:eastAsia="zh-CN" w:bidi="ar-SA"/>
      </w:rPr>
    </w:lvl>
    <w:lvl w:ilvl="1" w:tentative="0">
      <w:start w:val="0"/>
      <w:numFmt w:val="bullet"/>
      <w:lvlText w:val="•"/>
      <w:lvlJc w:val="left"/>
      <w:pPr>
        <w:ind w:left="752" w:hanging="529"/>
      </w:pPr>
      <w:rPr>
        <w:rFonts w:hint="default"/>
        <w:lang w:val="en-US" w:eastAsia="zh-CN" w:bidi="ar-SA"/>
      </w:rPr>
    </w:lvl>
    <w:lvl w:ilvl="2" w:tentative="0">
      <w:start w:val="0"/>
      <w:numFmt w:val="bullet"/>
      <w:lvlText w:val="•"/>
      <w:lvlJc w:val="left"/>
      <w:pPr>
        <w:ind w:left="1405" w:hanging="529"/>
      </w:pPr>
      <w:rPr>
        <w:rFonts w:hint="default"/>
        <w:lang w:val="en-US" w:eastAsia="zh-CN" w:bidi="ar-SA"/>
      </w:rPr>
    </w:lvl>
    <w:lvl w:ilvl="3" w:tentative="0">
      <w:start w:val="0"/>
      <w:numFmt w:val="bullet"/>
      <w:lvlText w:val="•"/>
      <w:lvlJc w:val="left"/>
      <w:pPr>
        <w:ind w:left="2057" w:hanging="529"/>
      </w:pPr>
      <w:rPr>
        <w:rFonts w:hint="default"/>
        <w:lang w:val="en-US" w:eastAsia="zh-CN" w:bidi="ar-SA"/>
      </w:rPr>
    </w:lvl>
    <w:lvl w:ilvl="4" w:tentative="0">
      <w:start w:val="0"/>
      <w:numFmt w:val="bullet"/>
      <w:lvlText w:val="•"/>
      <w:lvlJc w:val="left"/>
      <w:pPr>
        <w:ind w:left="2710" w:hanging="529"/>
      </w:pPr>
      <w:rPr>
        <w:rFonts w:hint="default"/>
        <w:lang w:val="en-US" w:eastAsia="zh-CN" w:bidi="ar-SA"/>
      </w:rPr>
    </w:lvl>
    <w:lvl w:ilvl="5" w:tentative="0">
      <w:start w:val="0"/>
      <w:numFmt w:val="bullet"/>
      <w:lvlText w:val="•"/>
      <w:lvlJc w:val="left"/>
      <w:pPr>
        <w:ind w:left="3363" w:hanging="529"/>
      </w:pPr>
      <w:rPr>
        <w:rFonts w:hint="default"/>
        <w:lang w:val="en-US" w:eastAsia="zh-CN" w:bidi="ar-SA"/>
      </w:rPr>
    </w:lvl>
    <w:lvl w:ilvl="6" w:tentative="0">
      <w:start w:val="0"/>
      <w:numFmt w:val="bullet"/>
      <w:lvlText w:val="•"/>
      <w:lvlJc w:val="left"/>
      <w:pPr>
        <w:ind w:left="4015" w:hanging="529"/>
      </w:pPr>
      <w:rPr>
        <w:rFonts w:hint="default"/>
        <w:lang w:val="en-US" w:eastAsia="zh-CN" w:bidi="ar-SA"/>
      </w:rPr>
    </w:lvl>
    <w:lvl w:ilvl="7" w:tentative="0">
      <w:start w:val="0"/>
      <w:numFmt w:val="bullet"/>
      <w:lvlText w:val="•"/>
      <w:lvlJc w:val="left"/>
      <w:pPr>
        <w:ind w:left="4668" w:hanging="529"/>
      </w:pPr>
      <w:rPr>
        <w:rFonts w:hint="default"/>
        <w:lang w:val="en-US" w:eastAsia="zh-CN" w:bidi="ar-SA"/>
      </w:rPr>
    </w:lvl>
    <w:lvl w:ilvl="8" w:tentative="0">
      <w:start w:val="0"/>
      <w:numFmt w:val="bullet"/>
      <w:lvlText w:val="•"/>
      <w:lvlJc w:val="left"/>
      <w:pPr>
        <w:ind w:left="5320" w:hanging="529"/>
      </w:pPr>
      <w:rPr>
        <w:rFonts w:hint="default"/>
        <w:lang w:val="en-US" w:eastAsia="zh-CN" w:bidi="ar-SA"/>
      </w:rPr>
    </w:lvl>
  </w:abstractNum>
  <w:abstractNum w:abstractNumId="8">
    <w:nsid w:val="91B69C97"/>
    <w:multiLevelType w:val="multilevel"/>
    <w:tmpl w:val="91B69C97"/>
    <w:lvl w:ilvl="0" w:tentative="0">
      <w:start w:val="1"/>
      <w:numFmt w:val="decimal"/>
      <w:lvlText w:val="（%1）"/>
      <w:lvlJc w:val="left"/>
      <w:pPr>
        <w:ind w:left="636"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238" w:hanging="529"/>
      </w:pPr>
      <w:rPr>
        <w:rFonts w:hint="default"/>
        <w:lang w:val="en-US" w:eastAsia="zh-CN" w:bidi="ar-SA"/>
      </w:rPr>
    </w:lvl>
    <w:lvl w:ilvl="2" w:tentative="0">
      <w:start w:val="0"/>
      <w:numFmt w:val="bullet"/>
      <w:lvlText w:val="•"/>
      <w:lvlJc w:val="left"/>
      <w:pPr>
        <w:ind w:left="1837" w:hanging="529"/>
      </w:pPr>
      <w:rPr>
        <w:rFonts w:hint="default"/>
        <w:lang w:val="en-US" w:eastAsia="zh-CN" w:bidi="ar-SA"/>
      </w:rPr>
    </w:lvl>
    <w:lvl w:ilvl="3" w:tentative="0">
      <w:start w:val="0"/>
      <w:numFmt w:val="bullet"/>
      <w:lvlText w:val="•"/>
      <w:lvlJc w:val="left"/>
      <w:pPr>
        <w:ind w:left="2435" w:hanging="529"/>
      </w:pPr>
      <w:rPr>
        <w:rFonts w:hint="default"/>
        <w:lang w:val="en-US" w:eastAsia="zh-CN" w:bidi="ar-SA"/>
      </w:rPr>
    </w:lvl>
    <w:lvl w:ilvl="4" w:tentative="0">
      <w:start w:val="0"/>
      <w:numFmt w:val="bullet"/>
      <w:lvlText w:val="•"/>
      <w:lvlJc w:val="left"/>
      <w:pPr>
        <w:ind w:left="3034" w:hanging="529"/>
      </w:pPr>
      <w:rPr>
        <w:rFonts w:hint="default"/>
        <w:lang w:val="en-US" w:eastAsia="zh-CN" w:bidi="ar-SA"/>
      </w:rPr>
    </w:lvl>
    <w:lvl w:ilvl="5" w:tentative="0">
      <w:start w:val="0"/>
      <w:numFmt w:val="bullet"/>
      <w:lvlText w:val="•"/>
      <w:lvlJc w:val="left"/>
      <w:pPr>
        <w:ind w:left="3633" w:hanging="529"/>
      </w:pPr>
      <w:rPr>
        <w:rFonts w:hint="default"/>
        <w:lang w:val="en-US" w:eastAsia="zh-CN" w:bidi="ar-SA"/>
      </w:rPr>
    </w:lvl>
    <w:lvl w:ilvl="6" w:tentative="0">
      <w:start w:val="0"/>
      <w:numFmt w:val="bullet"/>
      <w:lvlText w:val="•"/>
      <w:lvlJc w:val="left"/>
      <w:pPr>
        <w:ind w:left="4231" w:hanging="529"/>
      </w:pPr>
      <w:rPr>
        <w:rFonts w:hint="default"/>
        <w:lang w:val="en-US" w:eastAsia="zh-CN" w:bidi="ar-SA"/>
      </w:rPr>
    </w:lvl>
    <w:lvl w:ilvl="7" w:tentative="0">
      <w:start w:val="0"/>
      <w:numFmt w:val="bullet"/>
      <w:lvlText w:val="•"/>
      <w:lvlJc w:val="left"/>
      <w:pPr>
        <w:ind w:left="4830" w:hanging="529"/>
      </w:pPr>
      <w:rPr>
        <w:rFonts w:hint="default"/>
        <w:lang w:val="en-US" w:eastAsia="zh-CN" w:bidi="ar-SA"/>
      </w:rPr>
    </w:lvl>
    <w:lvl w:ilvl="8" w:tentative="0">
      <w:start w:val="0"/>
      <w:numFmt w:val="bullet"/>
      <w:lvlText w:val="•"/>
      <w:lvlJc w:val="left"/>
      <w:pPr>
        <w:ind w:left="5428" w:hanging="529"/>
      </w:pPr>
      <w:rPr>
        <w:rFonts w:hint="default"/>
        <w:lang w:val="en-US" w:eastAsia="zh-CN" w:bidi="ar-SA"/>
      </w:rPr>
    </w:lvl>
  </w:abstractNum>
  <w:abstractNum w:abstractNumId="9">
    <w:nsid w:val="9239341B"/>
    <w:multiLevelType w:val="multilevel"/>
    <w:tmpl w:val="9239341B"/>
    <w:lvl w:ilvl="0" w:tentative="0">
      <w:start w:val="10"/>
      <w:numFmt w:val="decimal"/>
      <w:lvlText w:val="%1"/>
      <w:lvlJc w:val="left"/>
      <w:pPr>
        <w:ind w:left="879" w:hanging="526"/>
        <w:jc w:val="left"/>
      </w:pPr>
      <w:rPr>
        <w:rFonts w:hint="default"/>
        <w:lang w:val="en-US" w:eastAsia="zh-CN" w:bidi="ar-SA"/>
      </w:rPr>
    </w:lvl>
    <w:lvl w:ilvl="1" w:tentative="0">
      <w:start w:val="1"/>
      <w:numFmt w:val="decimal"/>
      <w:lvlText w:val="%1.%2"/>
      <w:lvlJc w:val="left"/>
      <w:pPr>
        <w:ind w:left="879" w:hanging="526"/>
        <w:jc w:val="right"/>
      </w:pPr>
      <w:rPr>
        <w:rFonts w:hint="default" w:ascii="宋体" w:hAnsi="宋体" w:eastAsia="宋体" w:cs="宋体"/>
        <w:b w:val="0"/>
        <w:bCs w:val="0"/>
        <w:i w:val="0"/>
        <w:iCs w:val="0"/>
        <w:w w:val="100"/>
        <w:sz w:val="21"/>
        <w:szCs w:val="21"/>
        <w:lang w:val="en-US" w:eastAsia="zh-CN" w:bidi="ar-SA"/>
      </w:rPr>
    </w:lvl>
    <w:lvl w:ilvl="2" w:tentative="0">
      <w:start w:val="0"/>
      <w:numFmt w:val="bullet"/>
      <w:lvlText w:val="•"/>
      <w:lvlJc w:val="left"/>
      <w:pPr>
        <w:ind w:left="1363" w:hanging="526"/>
      </w:pPr>
      <w:rPr>
        <w:rFonts w:hint="default"/>
        <w:lang w:val="en-US" w:eastAsia="zh-CN" w:bidi="ar-SA"/>
      </w:rPr>
    </w:lvl>
    <w:lvl w:ilvl="3" w:tentative="0">
      <w:start w:val="0"/>
      <w:numFmt w:val="bullet"/>
      <w:lvlText w:val="•"/>
      <w:lvlJc w:val="left"/>
      <w:pPr>
        <w:ind w:left="1605" w:hanging="526"/>
      </w:pPr>
      <w:rPr>
        <w:rFonts w:hint="default"/>
        <w:lang w:val="en-US" w:eastAsia="zh-CN" w:bidi="ar-SA"/>
      </w:rPr>
    </w:lvl>
    <w:lvl w:ilvl="4" w:tentative="0">
      <w:start w:val="0"/>
      <w:numFmt w:val="bullet"/>
      <w:lvlText w:val="•"/>
      <w:lvlJc w:val="left"/>
      <w:pPr>
        <w:ind w:left="1847" w:hanging="526"/>
      </w:pPr>
      <w:rPr>
        <w:rFonts w:hint="default"/>
        <w:lang w:val="en-US" w:eastAsia="zh-CN" w:bidi="ar-SA"/>
      </w:rPr>
    </w:lvl>
    <w:lvl w:ilvl="5" w:tentative="0">
      <w:start w:val="0"/>
      <w:numFmt w:val="bullet"/>
      <w:lvlText w:val="•"/>
      <w:lvlJc w:val="left"/>
      <w:pPr>
        <w:ind w:left="2089" w:hanging="526"/>
      </w:pPr>
      <w:rPr>
        <w:rFonts w:hint="default"/>
        <w:lang w:val="en-US" w:eastAsia="zh-CN" w:bidi="ar-SA"/>
      </w:rPr>
    </w:lvl>
    <w:lvl w:ilvl="6" w:tentative="0">
      <w:start w:val="0"/>
      <w:numFmt w:val="bullet"/>
      <w:lvlText w:val="•"/>
      <w:lvlJc w:val="left"/>
      <w:pPr>
        <w:ind w:left="2331" w:hanging="526"/>
      </w:pPr>
      <w:rPr>
        <w:rFonts w:hint="default"/>
        <w:lang w:val="en-US" w:eastAsia="zh-CN" w:bidi="ar-SA"/>
      </w:rPr>
    </w:lvl>
    <w:lvl w:ilvl="7" w:tentative="0">
      <w:start w:val="0"/>
      <w:numFmt w:val="bullet"/>
      <w:lvlText w:val="•"/>
      <w:lvlJc w:val="left"/>
      <w:pPr>
        <w:ind w:left="2573" w:hanging="526"/>
      </w:pPr>
      <w:rPr>
        <w:rFonts w:hint="default"/>
        <w:lang w:val="en-US" w:eastAsia="zh-CN" w:bidi="ar-SA"/>
      </w:rPr>
    </w:lvl>
    <w:lvl w:ilvl="8" w:tentative="0">
      <w:start w:val="0"/>
      <w:numFmt w:val="bullet"/>
      <w:lvlText w:val="•"/>
      <w:lvlJc w:val="left"/>
      <w:pPr>
        <w:ind w:left="2815" w:hanging="526"/>
      </w:pPr>
      <w:rPr>
        <w:rFonts w:hint="default"/>
        <w:lang w:val="en-US" w:eastAsia="zh-CN" w:bidi="ar-SA"/>
      </w:rPr>
    </w:lvl>
  </w:abstractNum>
  <w:abstractNum w:abstractNumId="10">
    <w:nsid w:val="9288B902"/>
    <w:multiLevelType w:val="multilevel"/>
    <w:tmpl w:val="9288B902"/>
    <w:lvl w:ilvl="0" w:tentative="0">
      <w:start w:val="1"/>
      <w:numFmt w:val="lowerLetter"/>
      <w:lvlText w:val="%1."/>
      <w:lvlJc w:val="left"/>
      <w:pPr>
        <w:ind w:left="107" w:hanging="213"/>
        <w:jc w:val="left"/>
      </w:pPr>
      <w:rPr>
        <w:rFonts w:hint="default" w:ascii="黑体" w:hAnsi="黑体" w:eastAsia="黑体" w:cs="黑体"/>
        <w:b w:val="0"/>
        <w:bCs w:val="0"/>
        <w:i w:val="0"/>
        <w:iCs w:val="0"/>
        <w:w w:val="100"/>
        <w:sz w:val="19"/>
        <w:szCs w:val="19"/>
        <w:shd w:val="clear" w:color="auto" w:fill="D9D9D9"/>
        <w:lang w:val="en-US" w:eastAsia="zh-CN" w:bidi="ar-SA"/>
      </w:rPr>
    </w:lvl>
    <w:lvl w:ilvl="1" w:tentative="0">
      <w:start w:val="0"/>
      <w:numFmt w:val="bullet"/>
      <w:lvlText w:val="•"/>
      <w:lvlJc w:val="left"/>
      <w:pPr>
        <w:ind w:left="752" w:hanging="213"/>
      </w:pPr>
      <w:rPr>
        <w:rFonts w:hint="default"/>
        <w:lang w:val="en-US" w:eastAsia="zh-CN" w:bidi="ar-SA"/>
      </w:rPr>
    </w:lvl>
    <w:lvl w:ilvl="2" w:tentative="0">
      <w:start w:val="0"/>
      <w:numFmt w:val="bullet"/>
      <w:lvlText w:val="•"/>
      <w:lvlJc w:val="left"/>
      <w:pPr>
        <w:ind w:left="1405" w:hanging="213"/>
      </w:pPr>
      <w:rPr>
        <w:rFonts w:hint="default"/>
        <w:lang w:val="en-US" w:eastAsia="zh-CN" w:bidi="ar-SA"/>
      </w:rPr>
    </w:lvl>
    <w:lvl w:ilvl="3" w:tentative="0">
      <w:start w:val="0"/>
      <w:numFmt w:val="bullet"/>
      <w:lvlText w:val="•"/>
      <w:lvlJc w:val="left"/>
      <w:pPr>
        <w:ind w:left="2057" w:hanging="213"/>
      </w:pPr>
      <w:rPr>
        <w:rFonts w:hint="default"/>
        <w:lang w:val="en-US" w:eastAsia="zh-CN" w:bidi="ar-SA"/>
      </w:rPr>
    </w:lvl>
    <w:lvl w:ilvl="4" w:tentative="0">
      <w:start w:val="0"/>
      <w:numFmt w:val="bullet"/>
      <w:lvlText w:val="•"/>
      <w:lvlJc w:val="left"/>
      <w:pPr>
        <w:ind w:left="2710" w:hanging="213"/>
      </w:pPr>
      <w:rPr>
        <w:rFonts w:hint="default"/>
        <w:lang w:val="en-US" w:eastAsia="zh-CN" w:bidi="ar-SA"/>
      </w:rPr>
    </w:lvl>
    <w:lvl w:ilvl="5" w:tentative="0">
      <w:start w:val="0"/>
      <w:numFmt w:val="bullet"/>
      <w:lvlText w:val="•"/>
      <w:lvlJc w:val="left"/>
      <w:pPr>
        <w:ind w:left="3363" w:hanging="213"/>
      </w:pPr>
      <w:rPr>
        <w:rFonts w:hint="default"/>
        <w:lang w:val="en-US" w:eastAsia="zh-CN" w:bidi="ar-SA"/>
      </w:rPr>
    </w:lvl>
    <w:lvl w:ilvl="6" w:tentative="0">
      <w:start w:val="0"/>
      <w:numFmt w:val="bullet"/>
      <w:lvlText w:val="•"/>
      <w:lvlJc w:val="left"/>
      <w:pPr>
        <w:ind w:left="4015" w:hanging="213"/>
      </w:pPr>
      <w:rPr>
        <w:rFonts w:hint="default"/>
        <w:lang w:val="en-US" w:eastAsia="zh-CN" w:bidi="ar-SA"/>
      </w:rPr>
    </w:lvl>
    <w:lvl w:ilvl="7" w:tentative="0">
      <w:start w:val="0"/>
      <w:numFmt w:val="bullet"/>
      <w:lvlText w:val="•"/>
      <w:lvlJc w:val="left"/>
      <w:pPr>
        <w:ind w:left="4668" w:hanging="213"/>
      </w:pPr>
      <w:rPr>
        <w:rFonts w:hint="default"/>
        <w:lang w:val="en-US" w:eastAsia="zh-CN" w:bidi="ar-SA"/>
      </w:rPr>
    </w:lvl>
    <w:lvl w:ilvl="8" w:tentative="0">
      <w:start w:val="0"/>
      <w:numFmt w:val="bullet"/>
      <w:lvlText w:val="•"/>
      <w:lvlJc w:val="left"/>
      <w:pPr>
        <w:ind w:left="5320" w:hanging="213"/>
      </w:pPr>
      <w:rPr>
        <w:rFonts w:hint="default"/>
        <w:lang w:val="en-US" w:eastAsia="zh-CN" w:bidi="ar-SA"/>
      </w:rPr>
    </w:lvl>
  </w:abstractNum>
  <w:abstractNum w:abstractNumId="11">
    <w:nsid w:val="9377BC45"/>
    <w:multiLevelType w:val="multilevel"/>
    <w:tmpl w:val="9377BC45"/>
    <w:lvl w:ilvl="0" w:tentative="0">
      <w:start w:val="1"/>
      <w:numFmt w:val="decimal"/>
      <w:lvlText w:val="（%1）"/>
      <w:lvlJc w:val="left"/>
      <w:pPr>
        <w:ind w:left="636"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238" w:hanging="529"/>
      </w:pPr>
      <w:rPr>
        <w:rFonts w:hint="default"/>
        <w:lang w:val="en-US" w:eastAsia="zh-CN" w:bidi="ar-SA"/>
      </w:rPr>
    </w:lvl>
    <w:lvl w:ilvl="2" w:tentative="0">
      <w:start w:val="0"/>
      <w:numFmt w:val="bullet"/>
      <w:lvlText w:val="•"/>
      <w:lvlJc w:val="left"/>
      <w:pPr>
        <w:ind w:left="1837" w:hanging="529"/>
      </w:pPr>
      <w:rPr>
        <w:rFonts w:hint="default"/>
        <w:lang w:val="en-US" w:eastAsia="zh-CN" w:bidi="ar-SA"/>
      </w:rPr>
    </w:lvl>
    <w:lvl w:ilvl="3" w:tentative="0">
      <w:start w:val="0"/>
      <w:numFmt w:val="bullet"/>
      <w:lvlText w:val="•"/>
      <w:lvlJc w:val="left"/>
      <w:pPr>
        <w:ind w:left="2435" w:hanging="529"/>
      </w:pPr>
      <w:rPr>
        <w:rFonts w:hint="default"/>
        <w:lang w:val="en-US" w:eastAsia="zh-CN" w:bidi="ar-SA"/>
      </w:rPr>
    </w:lvl>
    <w:lvl w:ilvl="4" w:tentative="0">
      <w:start w:val="0"/>
      <w:numFmt w:val="bullet"/>
      <w:lvlText w:val="•"/>
      <w:lvlJc w:val="left"/>
      <w:pPr>
        <w:ind w:left="3034" w:hanging="529"/>
      </w:pPr>
      <w:rPr>
        <w:rFonts w:hint="default"/>
        <w:lang w:val="en-US" w:eastAsia="zh-CN" w:bidi="ar-SA"/>
      </w:rPr>
    </w:lvl>
    <w:lvl w:ilvl="5" w:tentative="0">
      <w:start w:val="0"/>
      <w:numFmt w:val="bullet"/>
      <w:lvlText w:val="•"/>
      <w:lvlJc w:val="left"/>
      <w:pPr>
        <w:ind w:left="3633" w:hanging="529"/>
      </w:pPr>
      <w:rPr>
        <w:rFonts w:hint="default"/>
        <w:lang w:val="en-US" w:eastAsia="zh-CN" w:bidi="ar-SA"/>
      </w:rPr>
    </w:lvl>
    <w:lvl w:ilvl="6" w:tentative="0">
      <w:start w:val="0"/>
      <w:numFmt w:val="bullet"/>
      <w:lvlText w:val="•"/>
      <w:lvlJc w:val="left"/>
      <w:pPr>
        <w:ind w:left="4231" w:hanging="529"/>
      </w:pPr>
      <w:rPr>
        <w:rFonts w:hint="default"/>
        <w:lang w:val="en-US" w:eastAsia="zh-CN" w:bidi="ar-SA"/>
      </w:rPr>
    </w:lvl>
    <w:lvl w:ilvl="7" w:tentative="0">
      <w:start w:val="0"/>
      <w:numFmt w:val="bullet"/>
      <w:lvlText w:val="•"/>
      <w:lvlJc w:val="left"/>
      <w:pPr>
        <w:ind w:left="4830" w:hanging="529"/>
      </w:pPr>
      <w:rPr>
        <w:rFonts w:hint="default"/>
        <w:lang w:val="en-US" w:eastAsia="zh-CN" w:bidi="ar-SA"/>
      </w:rPr>
    </w:lvl>
    <w:lvl w:ilvl="8" w:tentative="0">
      <w:start w:val="0"/>
      <w:numFmt w:val="bullet"/>
      <w:lvlText w:val="•"/>
      <w:lvlJc w:val="left"/>
      <w:pPr>
        <w:ind w:left="5428" w:hanging="529"/>
      </w:pPr>
      <w:rPr>
        <w:rFonts w:hint="default"/>
        <w:lang w:val="en-US" w:eastAsia="zh-CN" w:bidi="ar-SA"/>
      </w:rPr>
    </w:lvl>
  </w:abstractNum>
  <w:abstractNum w:abstractNumId="12">
    <w:nsid w:val="98CD717A"/>
    <w:multiLevelType w:val="multilevel"/>
    <w:tmpl w:val="98CD717A"/>
    <w:lvl w:ilvl="0" w:tentative="0">
      <w:start w:val="1"/>
      <w:numFmt w:val="decimal"/>
      <w:lvlText w:val="（%1）"/>
      <w:lvlJc w:val="left"/>
      <w:pPr>
        <w:ind w:left="637" w:hanging="529"/>
        <w:jc w:val="left"/>
      </w:pPr>
      <w:rPr>
        <w:rFonts w:hint="default" w:ascii="黑体" w:hAnsi="黑体" w:eastAsia="黑体" w:cs="黑体"/>
        <w:b w:val="0"/>
        <w:bCs w:val="0"/>
        <w:i w:val="0"/>
        <w:iCs w:val="0"/>
        <w:spacing w:val="-3"/>
        <w:w w:val="100"/>
        <w:sz w:val="19"/>
        <w:szCs w:val="19"/>
        <w:shd w:val="clear" w:color="auto" w:fill="D9D9D9"/>
        <w:lang w:val="en-US" w:eastAsia="zh-CN" w:bidi="ar-SA"/>
      </w:rPr>
    </w:lvl>
    <w:lvl w:ilvl="1" w:tentative="0">
      <w:start w:val="0"/>
      <w:numFmt w:val="bullet"/>
      <w:lvlText w:val="•"/>
      <w:lvlJc w:val="left"/>
      <w:pPr>
        <w:ind w:left="1239" w:hanging="529"/>
      </w:pPr>
      <w:rPr>
        <w:rFonts w:hint="default"/>
        <w:lang w:val="en-US" w:eastAsia="zh-CN" w:bidi="ar-SA"/>
      </w:rPr>
    </w:lvl>
    <w:lvl w:ilvl="2" w:tentative="0">
      <w:start w:val="0"/>
      <w:numFmt w:val="bullet"/>
      <w:lvlText w:val="•"/>
      <w:lvlJc w:val="left"/>
      <w:pPr>
        <w:ind w:left="1838" w:hanging="529"/>
      </w:pPr>
      <w:rPr>
        <w:rFonts w:hint="default"/>
        <w:lang w:val="en-US" w:eastAsia="zh-CN" w:bidi="ar-SA"/>
      </w:rPr>
    </w:lvl>
    <w:lvl w:ilvl="3" w:tentative="0">
      <w:start w:val="0"/>
      <w:numFmt w:val="bullet"/>
      <w:lvlText w:val="•"/>
      <w:lvlJc w:val="left"/>
      <w:pPr>
        <w:ind w:left="2437" w:hanging="529"/>
      </w:pPr>
      <w:rPr>
        <w:rFonts w:hint="default"/>
        <w:lang w:val="en-US" w:eastAsia="zh-CN" w:bidi="ar-SA"/>
      </w:rPr>
    </w:lvl>
    <w:lvl w:ilvl="4" w:tentative="0">
      <w:start w:val="0"/>
      <w:numFmt w:val="bullet"/>
      <w:lvlText w:val="•"/>
      <w:lvlJc w:val="left"/>
      <w:pPr>
        <w:ind w:left="3037" w:hanging="529"/>
      </w:pPr>
      <w:rPr>
        <w:rFonts w:hint="default"/>
        <w:lang w:val="en-US" w:eastAsia="zh-CN" w:bidi="ar-SA"/>
      </w:rPr>
    </w:lvl>
    <w:lvl w:ilvl="5" w:tentative="0">
      <w:start w:val="0"/>
      <w:numFmt w:val="bullet"/>
      <w:lvlText w:val="•"/>
      <w:lvlJc w:val="left"/>
      <w:pPr>
        <w:ind w:left="3636" w:hanging="529"/>
      </w:pPr>
      <w:rPr>
        <w:rFonts w:hint="default"/>
        <w:lang w:val="en-US" w:eastAsia="zh-CN" w:bidi="ar-SA"/>
      </w:rPr>
    </w:lvl>
    <w:lvl w:ilvl="6" w:tentative="0">
      <w:start w:val="0"/>
      <w:numFmt w:val="bullet"/>
      <w:lvlText w:val="•"/>
      <w:lvlJc w:val="left"/>
      <w:pPr>
        <w:ind w:left="4235" w:hanging="529"/>
      </w:pPr>
      <w:rPr>
        <w:rFonts w:hint="default"/>
        <w:lang w:val="en-US" w:eastAsia="zh-CN" w:bidi="ar-SA"/>
      </w:rPr>
    </w:lvl>
    <w:lvl w:ilvl="7" w:tentative="0">
      <w:start w:val="0"/>
      <w:numFmt w:val="bullet"/>
      <w:lvlText w:val="•"/>
      <w:lvlJc w:val="left"/>
      <w:pPr>
        <w:ind w:left="4835" w:hanging="529"/>
      </w:pPr>
      <w:rPr>
        <w:rFonts w:hint="default"/>
        <w:lang w:val="en-US" w:eastAsia="zh-CN" w:bidi="ar-SA"/>
      </w:rPr>
    </w:lvl>
    <w:lvl w:ilvl="8" w:tentative="0">
      <w:start w:val="0"/>
      <w:numFmt w:val="bullet"/>
      <w:lvlText w:val="•"/>
      <w:lvlJc w:val="left"/>
      <w:pPr>
        <w:ind w:left="5434" w:hanging="529"/>
      </w:pPr>
      <w:rPr>
        <w:rFonts w:hint="default"/>
        <w:lang w:val="en-US" w:eastAsia="zh-CN" w:bidi="ar-SA"/>
      </w:rPr>
    </w:lvl>
  </w:abstractNum>
  <w:abstractNum w:abstractNumId="13">
    <w:nsid w:val="9ACF65A0"/>
    <w:multiLevelType w:val="multilevel"/>
    <w:tmpl w:val="9ACF65A0"/>
    <w:lvl w:ilvl="0" w:tentative="0">
      <w:start w:val="1"/>
      <w:numFmt w:val="decimal"/>
      <w:lvlText w:val="（%1）"/>
      <w:lvlJc w:val="left"/>
      <w:pPr>
        <w:ind w:left="10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752" w:hanging="529"/>
      </w:pPr>
      <w:rPr>
        <w:rFonts w:hint="default"/>
        <w:lang w:val="en-US" w:eastAsia="zh-CN" w:bidi="ar-SA"/>
      </w:rPr>
    </w:lvl>
    <w:lvl w:ilvl="2" w:tentative="0">
      <w:start w:val="0"/>
      <w:numFmt w:val="bullet"/>
      <w:lvlText w:val="•"/>
      <w:lvlJc w:val="left"/>
      <w:pPr>
        <w:ind w:left="1405" w:hanging="529"/>
      </w:pPr>
      <w:rPr>
        <w:rFonts w:hint="default"/>
        <w:lang w:val="en-US" w:eastAsia="zh-CN" w:bidi="ar-SA"/>
      </w:rPr>
    </w:lvl>
    <w:lvl w:ilvl="3" w:tentative="0">
      <w:start w:val="0"/>
      <w:numFmt w:val="bullet"/>
      <w:lvlText w:val="•"/>
      <w:lvlJc w:val="left"/>
      <w:pPr>
        <w:ind w:left="2057" w:hanging="529"/>
      </w:pPr>
      <w:rPr>
        <w:rFonts w:hint="default"/>
        <w:lang w:val="en-US" w:eastAsia="zh-CN" w:bidi="ar-SA"/>
      </w:rPr>
    </w:lvl>
    <w:lvl w:ilvl="4" w:tentative="0">
      <w:start w:val="0"/>
      <w:numFmt w:val="bullet"/>
      <w:lvlText w:val="•"/>
      <w:lvlJc w:val="left"/>
      <w:pPr>
        <w:ind w:left="2710" w:hanging="529"/>
      </w:pPr>
      <w:rPr>
        <w:rFonts w:hint="default"/>
        <w:lang w:val="en-US" w:eastAsia="zh-CN" w:bidi="ar-SA"/>
      </w:rPr>
    </w:lvl>
    <w:lvl w:ilvl="5" w:tentative="0">
      <w:start w:val="0"/>
      <w:numFmt w:val="bullet"/>
      <w:lvlText w:val="•"/>
      <w:lvlJc w:val="left"/>
      <w:pPr>
        <w:ind w:left="3363" w:hanging="529"/>
      </w:pPr>
      <w:rPr>
        <w:rFonts w:hint="default"/>
        <w:lang w:val="en-US" w:eastAsia="zh-CN" w:bidi="ar-SA"/>
      </w:rPr>
    </w:lvl>
    <w:lvl w:ilvl="6" w:tentative="0">
      <w:start w:val="0"/>
      <w:numFmt w:val="bullet"/>
      <w:lvlText w:val="•"/>
      <w:lvlJc w:val="left"/>
      <w:pPr>
        <w:ind w:left="4015" w:hanging="529"/>
      </w:pPr>
      <w:rPr>
        <w:rFonts w:hint="default"/>
        <w:lang w:val="en-US" w:eastAsia="zh-CN" w:bidi="ar-SA"/>
      </w:rPr>
    </w:lvl>
    <w:lvl w:ilvl="7" w:tentative="0">
      <w:start w:val="0"/>
      <w:numFmt w:val="bullet"/>
      <w:lvlText w:val="•"/>
      <w:lvlJc w:val="left"/>
      <w:pPr>
        <w:ind w:left="4668" w:hanging="529"/>
      </w:pPr>
      <w:rPr>
        <w:rFonts w:hint="default"/>
        <w:lang w:val="en-US" w:eastAsia="zh-CN" w:bidi="ar-SA"/>
      </w:rPr>
    </w:lvl>
    <w:lvl w:ilvl="8" w:tentative="0">
      <w:start w:val="0"/>
      <w:numFmt w:val="bullet"/>
      <w:lvlText w:val="•"/>
      <w:lvlJc w:val="left"/>
      <w:pPr>
        <w:ind w:left="5320" w:hanging="529"/>
      </w:pPr>
      <w:rPr>
        <w:rFonts w:hint="default"/>
        <w:lang w:val="en-US" w:eastAsia="zh-CN" w:bidi="ar-SA"/>
      </w:rPr>
    </w:lvl>
  </w:abstractNum>
  <w:abstractNum w:abstractNumId="14">
    <w:nsid w:val="9C11E984"/>
    <w:multiLevelType w:val="multilevel"/>
    <w:tmpl w:val="9C11E984"/>
    <w:lvl w:ilvl="0" w:tentative="0">
      <w:start w:val="1"/>
      <w:numFmt w:val="decimal"/>
      <w:lvlText w:val="（%1）"/>
      <w:lvlJc w:val="left"/>
      <w:pPr>
        <w:ind w:left="636"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238" w:hanging="529"/>
      </w:pPr>
      <w:rPr>
        <w:rFonts w:hint="default"/>
        <w:lang w:val="en-US" w:eastAsia="zh-CN" w:bidi="ar-SA"/>
      </w:rPr>
    </w:lvl>
    <w:lvl w:ilvl="2" w:tentative="0">
      <w:start w:val="0"/>
      <w:numFmt w:val="bullet"/>
      <w:lvlText w:val="•"/>
      <w:lvlJc w:val="left"/>
      <w:pPr>
        <w:ind w:left="1837" w:hanging="529"/>
      </w:pPr>
      <w:rPr>
        <w:rFonts w:hint="default"/>
        <w:lang w:val="en-US" w:eastAsia="zh-CN" w:bidi="ar-SA"/>
      </w:rPr>
    </w:lvl>
    <w:lvl w:ilvl="3" w:tentative="0">
      <w:start w:val="0"/>
      <w:numFmt w:val="bullet"/>
      <w:lvlText w:val="•"/>
      <w:lvlJc w:val="left"/>
      <w:pPr>
        <w:ind w:left="2435" w:hanging="529"/>
      </w:pPr>
      <w:rPr>
        <w:rFonts w:hint="default"/>
        <w:lang w:val="en-US" w:eastAsia="zh-CN" w:bidi="ar-SA"/>
      </w:rPr>
    </w:lvl>
    <w:lvl w:ilvl="4" w:tentative="0">
      <w:start w:val="0"/>
      <w:numFmt w:val="bullet"/>
      <w:lvlText w:val="•"/>
      <w:lvlJc w:val="left"/>
      <w:pPr>
        <w:ind w:left="3034" w:hanging="529"/>
      </w:pPr>
      <w:rPr>
        <w:rFonts w:hint="default"/>
        <w:lang w:val="en-US" w:eastAsia="zh-CN" w:bidi="ar-SA"/>
      </w:rPr>
    </w:lvl>
    <w:lvl w:ilvl="5" w:tentative="0">
      <w:start w:val="0"/>
      <w:numFmt w:val="bullet"/>
      <w:lvlText w:val="•"/>
      <w:lvlJc w:val="left"/>
      <w:pPr>
        <w:ind w:left="3633" w:hanging="529"/>
      </w:pPr>
      <w:rPr>
        <w:rFonts w:hint="default"/>
        <w:lang w:val="en-US" w:eastAsia="zh-CN" w:bidi="ar-SA"/>
      </w:rPr>
    </w:lvl>
    <w:lvl w:ilvl="6" w:tentative="0">
      <w:start w:val="0"/>
      <w:numFmt w:val="bullet"/>
      <w:lvlText w:val="•"/>
      <w:lvlJc w:val="left"/>
      <w:pPr>
        <w:ind w:left="4231" w:hanging="529"/>
      </w:pPr>
      <w:rPr>
        <w:rFonts w:hint="default"/>
        <w:lang w:val="en-US" w:eastAsia="zh-CN" w:bidi="ar-SA"/>
      </w:rPr>
    </w:lvl>
    <w:lvl w:ilvl="7" w:tentative="0">
      <w:start w:val="0"/>
      <w:numFmt w:val="bullet"/>
      <w:lvlText w:val="•"/>
      <w:lvlJc w:val="left"/>
      <w:pPr>
        <w:ind w:left="4830" w:hanging="529"/>
      </w:pPr>
      <w:rPr>
        <w:rFonts w:hint="default"/>
        <w:lang w:val="en-US" w:eastAsia="zh-CN" w:bidi="ar-SA"/>
      </w:rPr>
    </w:lvl>
    <w:lvl w:ilvl="8" w:tentative="0">
      <w:start w:val="0"/>
      <w:numFmt w:val="bullet"/>
      <w:lvlText w:val="•"/>
      <w:lvlJc w:val="left"/>
      <w:pPr>
        <w:ind w:left="5428" w:hanging="529"/>
      </w:pPr>
      <w:rPr>
        <w:rFonts w:hint="default"/>
        <w:lang w:val="en-US" w:eastAsia="zh-CN" w:bidi="ar-SA"/>
      </w:rPr>
    </w:lvl>
  </w:abstractNum>
  <w:abstractNum w:abstractNumId="15">
    <w:nsid w:val="9C7198AA"/>
    <w:multiLevelType w:val="multilevel"/>
    <w:tmpl w:val="9C7198AA"/>
    <w:lvl w:ilvl="0" w:tentative="0">
      <w:start w:val="1"/>
      <w:numFmt w:val="decimal"/>
      <w:lvlText w:val="（%1）"/>
      <w:lvlJc w:val="left"/>
      <w:pPr>
        <w:ind w:left="63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239" w:hanging="529"/>
      </w:pPr>
      <w:rPr>
        <w:rFonts w:hint="default"/>
        <w:lang w:val="en-US" w:eastAsia="zh-CN" w:bidi="ar-SA"/>
      </w:rPr>
    </w:lvl>
    <w:lvl w:ilvl="2" w:tentative="0">
      <w:start w:val="0"/>
      <w:numFmt w:val="bullet"/>
      <w:lvlText w:val="•"/>
      <w:lvlJc w:val="left"/>
      <w:pPr>
        <w:ind w:left="1838" w:hanging="529"/>
      </w:pPr>
      <w:rPr>
        <w:rFonts w:hint="default"/>
        <w:lang w:val="en-US" w:eastAsia="zh-CN" w:bidi="ar-SA"/>
      </w:rPr>
    </w:lvl>
    <w:lvl w:ilvl="3" w:tentative="0">
      <w:start w:val="0"/>
      <w:numFmt w:val="bullet"/>
      <w:lvlText w:val="•"/>
      <w:lvlJc w:val="left"/>
      <w:pPr>
        <w:ind w:left="2437" w:hanging="529"/>
      </w:pPr>
      <w:rPr>
        <w:rFonts w:hint="default"/>
        <w:lang w:val="en-US" w:eastAsia="zh-CN" w:bidi="ar-SA"/>
      </w:rPr>
    </w:lvl>
    <w:lvl w:ilvl="4" w:tentative="0">
      <w:start w:val="0"/>
      <w:numFmt w:val="bullet"/>
      <w:lvlText w:val="•"/>
      <w:lvlJc w:val="left"/>
      <w:pPr>
        <w:ind w:left="3037" w:hanging="529"/>
      </w:pPr>
      <w:rPr>
        <w:rFonts w:hint="default"/>
        <w:lang w:val="en-US" w:eastAsia="zh-CN" w:bidi="ar-SA"/>
      </w:rPr>
    </w:lvl>
    <w:lvl w:ilvl="5" w:tentative="0">
      <w:start w:val="0"/>
      <w:numFmt w:val="bullet"/>
      <w:lvlText w:val="•"/>
      <w:lvlJc w:val="left"/>
      <w:pPr>
        <w:ind w:left="3636" w:hanging="529"/>
      </w:pPr>
      <w:rPr>
        <w:rFonts w:hint="default"/>
        <w:lang w:val="en-US" w:eastAsia="zh-CN" w:bidi="ar-SA"/>
      </w:rPr>
    </w:lvl>
    <w:lvl w:ilvl="6" w:tentative="0">
      <w:start w:val="0"/>
      <w:numFmt w:val="bullet"/>
      <w:lvlText w:val="•"/>
      <w:lvlJc w:val="left"/>
      <w:pPr>
        <w:ind w:left="4235" w:hanging="529"/>
      </w:pPr>
      <w:rPr>
        <w:rFonts w:hint="default"/>
        <w:lang w:val="en-US" w:eastAsia="zh-CN" w:bidi="ar-SA"/>
      </w:rPr>
    </w:lvl>
    <w:lvl w:ilvl="7" w:tentative="0">
      <w:start w:val="0"/>
      <w:numFmt w:val="bullet"/>
      <w:lvlText w:val="•"/>
      <w:lvlJc w:val="left"/>
      <w:pPr>
        <w:ind w:left="4835" w:hanging="529"/>
      </w:pPr>
      <w:rPr>
        <w:rFonts w:hint="default"/>
        <w:lang w:val="en-US" w:eastAsia="zh-CN" w:bidi="ar-SA"/>
      </w:rPr>
    </w:lvl>
    <w:lvl w:ilvl="8" w:tentative="0">
      <w:start w:val="0"/>
      <w:numFmt w:val="bullet"/>
      <w:lvlText w:val="•"/>
      <w:lvlJc w:val="left"/>
      <w:pPr>
        <w:ind w:left="5434" w:hanging="529"/>
      </w:pPr>
      <w:rPr>
        <w:rFonts w:hint="default"/>
        <w:lang w:val="en-US" w:eastAsia="zh-CN" w:bidi="ar-SA"/>
      </w:rPr>
    </w:lvl>
  </w:abstractNum>
  <w:abstractNum w:abstractNumId="16">
    <w:nsid w:val="9C8AC8EF"/>
    <w:multiLevelType w:val="multilevel"/>
    <w:tmpl w:val="9C8AC8EF"/>
    <w:lvl w:ilvl="0" w:tentative="0">
      <w:start w:val="6"/>
      <w:numFmt w:val="decimal"/>
      <w:lvlText w:val="%1"/>
      <w:lvlJc w:val="left"/>
      <w:pPr>
        <w:ind w:left="1178" w:hanging="959"/>
        <w:jc w:val="left"/>
      </w:pPr>
      <w:rPr>
        <w:rFonts w:hint="default"/>
        <w:lang w:val="en-US" w:eastAsia="zh-CN" w:bidi="ar-SA"/>
      </w:rPr>
    </w:lvl>
    <w:lvl w:ilvl="1" w:tentative="0">
      <w:start w:val="1"/>
      <w:numFmt w:val="decimal"/>
      <w:lvlText w:val="%1.%2"/>
      <w:lvlJc w:val="left"/>
      <w:pPr>
        <w:ind w:left="1178" w:hanging="959"/>
        <w:jc w:val="left"/>
      </w:pPr>
      <w:rPr>
        <w:rFonts w:hint="default" w:ascii="宋体" w:hAnsi="宋体" w:eastAsia="宋体" w:cs="宋体"/>
        <w:b/>
        <w:bCs/>
        <w:i w:val="0"/>
        <w:iCs w:val="0"/>
        <w:w w:val="99"/>
        <w:sz w:val="21"/>
        <w:szCs w:val="21"/>
        <w:lang w:val="en-US" w:eastAsia="zh-CN" w:bidi="ar-SA"/>
      </w:rPr>
    </w:lvl>
    <w:lvl w:ilvl="2" w:tentative="0">
      <w:start w:val="0"/>
      <w:numFmt w:val="bullet"/>
      <w:lvlText w:val="•"/>
      <w:lvlJc w:val="left"/>
      <w:pPr>
        <w:ind w:left="3097" w:hanging="959"/>
      </w:pPr>
      <w:rPr>
        <w:rFonts w:hint="default"/>
        <w:lang w:val="en-US" w:eastAsia="zh-CN" w:bidi="ar-SA"/>
      </w:rPr>
    </w:lvl>
    <w:lvl w:ilvl="3" w:tentative="0">
      <w:start w:val="0"/>
      <w:numFmt w:val="bullet"/>
      <w:lvlText w:val="•"/>
      <w:lvlJc w:val="left"/>
      <w:pPr>
        <w:ind w:left="4055" w:hanging="959"/>
      </w:pPr>
      <w:rPr>
        <w:rFonts w:hint="default"/>
        <w:lang w:val="en-US" w:eastAsia="zh-CN" w:bidi="ar-SA"/>
      </w:rPr>
    </w:lvl>
    <w:lvl w:ilvl="4" w:tentative="0">
      <w:start w:val="0"/>
      <w:numFmt w:val="bullet"/>
      <w:lvlText w:val="•"/>
      <w:lvlJc w:val="left"/>
      <w:pPr>
        <w:ind w:left="5014" w:hanging="959"/>
      </w:pPr>
      <w:rPr>
        <w:rFonts w:hint="default"/>
        <w:lang w:val="en-US" w:eastAsia="zh-CN" w:bidi="ar-SA"/>
      </w:rPr>
    </w:lvl>
    <w:lvl w:ilvl="5" w:tentative="0">
      <w:start w:val="0"/>
      <w:numFmt w:val="bullet"/>
      <w:lvlText w:val="•"/>
      <w:lvlJc w:val="left"/>
      <w:pPr>
        <w:ind w:left="5973" w:hanging="959"/>
      </w:pPr>
      <w:rPr>
        <w:rFonts w:hint="default"/>
        <w:lang w:val="en-US" w:eastAsia="zh-CN" w:bidi="ar-SA"/>
      </w:rPr>
    </w:lvl>
    <w:lvl w:ilvl="6" w:tentative="0">
      <w:start w:val="0"/>
      <w:numFmt w:val="bullet"/>
      <w:lvlText w:val="•"/>
      <w:lvlJc w:val="left"/>
      <w:pPr>
        <w:ind w:left="6931" w:hanging="959"/>
      </w:pPr>
      <w:rPr>
        <w:rFonts w:hint="default"/>
        <w:lang w:val="en-US" w:eastAsia="zh-CN" w:bidi="ar-SA"/>
      </w:rPr>
    </w:lvl>
    <w:lvl w:ilvl="7" w:tentative="0">
      <w:start w:val="0"/>
      <w:numFmt w:val="bullet"/>
      <w:lvlText w:val="•"/>
      <w:lvlJc w:val="left"/>
      <w:pPr>
        <w:ind w:left="7890" w:hanging="959"/>
      </w:pPr>
      <w:rPr>
        <w:rFonts w:hint="default"/>
        <w:lang w:val="en-US" w:eastAsia="zh-CN" w:bidi="ar-SA"/>
      </w:rPr>
    </w:lvl>
    <w:lvl w:ilvl="8" w:tentative="0">
      <w:start w:val="0"/>
      <w:numFmt w:val="bullet"/>
      <w:lvlText w:val="•"/>
      <w:lvlJc w:val="left"/>
      <w:pPr>
        <w:ind w:left="8849" w:hanging="959"/>
      </w:pPr>
      <w:rPr>
        <w:rFonts w:hint="default"/>
        <w:lang w:val="en-US" w:eastAsia="zh-CN" w:bidi="ar-SA"/>
      </w:rPr>
    </w:lvl>
  </w:abstractNum>
  <w:abstractNum w:abstractNumId="17">
    <w:nsid w:val="9D5D7490"/>
    <w:multiLevelType w:val="multilevel"/>
    <w:tmpl w:val="9D5D7490"/>
    <w:lvl w:ilvl="0" w:tentative="0">
      <w:start w:val="1"/>
      <w:numFmt w:val="decimal"/>
      <w:lvlText w:val="（%1）"/>
      <w:lvlJc w:val="left"/>
      <w:pPr>
        <w:ind w:left="10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752" w:hanging="529"/>
      </w:pPr>
      <w:rPr>
        <w:rFonts w:hint="default"/>
        <w:lang w:val="en-US" w:eastAsia="zh-CN" w:bidi="ar-SA"/>
      </w:rPr>
    </w:lvl>
    <w:lvl w:ilvl="2" w:tentative="0">
      <w:start w:val="0"/>
      <w:numFmt w:val="bullet"/>
      <w:lvlText w:val="•"/>
      <w:lvlJc w:val="left"/>
      <w:pPr>
        <w:ind w:left="1405" w:hanging="529"/>
      </w:pPr>
      <w:rPr>
        <w:rFonts w:hint="default"/>
        <w:lang w:val="en-US" w:eastAsia="zh-CN" w:bidi="ar-SA"/>
      </w:rPr>
    </w:lvl>
    <w:lvl w:ilvl="3" w:tentative="0">
      <w:start w:val="0"/>
      <w:numFmt w:val="bullet"/>
      <w:lvlText w:val="•"/>
      <w:lvlJc w:val="left"/>
      <w:pPr>
        <w:ind w:left="2057" w:hanging="529"/>
      </w:pPr>
      <w:rPr>
        <w:rFonts w:hint="default"/>
        <w:lang w:val="en-US" w:eastAsia="zh-CN" w:bidi="ar-SA"/>
      </w:rPr>
    </w:lvl>
    <w:lvl w:ilvl="4" w:tentative="0">
      <w:start w:val="0"/>
      <w:numFmt w:val="bullet"/>
      <w:lvlText w:val="•"/>
      <w:lvlJc w:val="left"/>
      <w:pPr>
        <w:ind w:left="2710" w:hanging="529"/>
      </w:pPr>
      <w:rPr>
        <w:rFonts w:hint="default"/>
        <w:lang w:val="en-US" w:eastAsia="zh-CN" w:bidi="ar-SA"/>
      </w:rPr>
    </w:lvl>
    <w:lvl w:ilvl="5" w:tentative="0">
      <w:start w:val="0"/>
      <w:numFmt w:val="bullet"/>
      <w:lvlText w:val="•"/>
      <w:lvlJc w:val="left"/>
      <w:pPr>
        <w:ind w:left="3363" w:hanging="529"/>
      </w:pPr>
      <w:rPr>
        <w:rFonts w:hint="default"/>
        <w:lang w:val="en-US" w:eastAsia="zh-CN" w:bidi="ar-SA"/>
      </w:rPr>
    </w:lvl>
    <w:lvl w:ilvl="6" w:tentative="0">
      <w:start w:val="0"/>
      <w:numFmt w:val="bullet"/>
      <w:lvlText w:val="•"/>
      <w:lvlJc w:val="left"/>
      <w:pPr>
        <w:ind w:left="4015" w:hanging="529"/>
      </w:pPr>
      <w:rPr>
        <w:rFonts w:hint="default"/>
        <w:lang w:val="en-US" w:eastAsia="zh-CN" w:bidi="ar-SA"/>
      </w:rPr>
    </w:lvl>
    <w:lvl w:ilvl="7" w:tentative="0">
      <w:start w:val="0"/>
      <w:numFmt w:val="bullet"/>
      <w:lvlText w:val="•"/>
      <w:lvlJc w:val="left"/>
      <w:pPr>
        <w:ind w:left="4668" w:hanging="529"/>
      </w:pPr>
      <w:rPr>
        <w:rFonts w:hint="default"/>
        <w:lang w:val="en-US" w:eastAsia="zh-CN" w:bidi="ar-SA"/>
      </w:rPr>
    </w:lvl>
    <w:lvl w:ilvl="8" w:tentative="0">
      <w:start w:val="0"/>
      <w:numFmt w:val="bullet"/>
      <w:lvlText w:val="•"/>
      <w:lvlJc w:val="left"/>
      <w:pPr>
        <w:ind w:left="5320" w:hanging="529"/>
      </w:pPr>
      <w:rPr>
        <w:rFonts w:hint="default"/>
        <w:lang w:val="en-US" w:eastAsia="zh-CN" w:bidi="ar-SA"/>
      </w:rPr>
    </w:lvl>
  </w:abstractNum>
  <w:abstractNum w:abstractNumId="18">
    <w:nsid w:val="9D7EB8E6"/>
    <w:multiLevelType w:val="multilevel"/>
    <w:tmpl w:val="9D7EB8E6"/>
    <w:lvl w:ilvl="0" w:tentative="0">
      <w:start w:val="2"/>
      <w:numFmt w:val="decimal"/>
      <w:lvlText w:val="（%1）"/>
      <w:lvlJc w:val="left"/>
      <w:pPr>
        <w:ind w:left="63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239" w:hanging="529"/>
      </w:pPr>
      <w:rPr>
        <w:rFonts w:hint="default"/>
        <w:lang w:val="en-US" w:eastAsia="zh-CN" w:bidi="ar-SA"/>
      </w:rPr>
    </w:lvl>
    <w:lvl w:ilvl="2" w:tentative="0">
      <w:start w:val="0"/>
      <w:numFmt w:val="bullet"/>
      <w:lvlText w:val="•"/>
      <w:lvlJc w:val="left"/>
      <w:pPr>
        <w:ind w:left="1838" w:hanging="529"/>
      </w:pPr>
      <w:rPr>
        <w:rFonts w:hint="default"/>
        <w:lang w:val="en-US" w:eastAsia="zh-CN" w:bidi="ar-SA"/>
      </w:rPr>
    </w:lvl>
    <w:lvl w:ilvl="3" w:tentative="0">
      <w:start w:val="0"/>
      <w:numFmt w:val="bullet"/>
      <w:lvlText w:val="•"/>
      <w:lvlJc w:val="left"/>
      <w:pPr>
        <w:ind w:left="2437" w:hanging="529"/>
      </w:pPr>
      <w:rPr>
        <w:rFonts w:hint="default"/>
        <w:lang w:val="en-US" w:eastAsia="zh-CN" w:bidi="ar-SA"/>
      </w:rPr>
    </w:lvl>
    <w:lvl w:ilvl="4" w:tentative="0">
      <w:start w:val="0"/>
      <w:numFmt w:val="bullet"/>
      <w:lvlText w:val="•"/>
      <w:lvlJc w:val="left"/>
      <w:pPr>
        <w:ind w:left="3037" w:hanging="529"/>
      </w:pPr>
      <w:rPr>
        <w:rFonts w:hint="default"/>
        <w:lang w:val="en-US" w:eastAsia="zh-CN" w:bidi="ar-SA"/>
      </w:rPr>
    </w:lvl>
    <w:lvl w:ilvl="5" w:tentative="0">
      <w:start w:val="0"/>
      <w:numFmt w:val="bullet"/>
      <w:lvlText w:val="•"/>
      <w:lvlJc w:val="left"/>
      <w:pPr>
        <w:ind w:left="3636" w:hanging="529"/>
      </w:pPr>
      <w:rPr>
        <w:rFonts w:hint="default"/>
        <w:lang w:val="en-US" w:eastAsia="zh-CN" w:bidi="ar-SA"/>
      </w:rPr>
    </w:lvl>
    <w:lvl w:ilvl="6" w:tentative="0">
      <w:start w:val="0"/>
      <w:numFmt w:val="bullet"/>
      <w:lvlText w:val="•"/>
      <w:lvlJc w:val="left"/>
      <w:pPr>
        <w:ind w:left="4235" w:hanging="529"/>
      </w:pPr>
      <w:rPr>
        <w:rFonts w:hint="default"/>
        <w:lang w:val="en-US" w:eastAsia="zh-CN" w:bidi="ar-SA"/>
      </w:rPr>
    </w:lvl>
    <w:lvl w:ilvl="7" w:tentative="0">
      <w:start w:val="0"/>
      <w:numFmt w:val="bullet"/>
      <w:lvlText w:val="•"/>
      <w:lvlJc w:val="left"/>
      <w:pPr>
        <w:ind w:left="4835" w:hanging="529"/>
      </w:pPr>
      <w:rPr>
        <w:rFonts w:hint="default"/>
        <w:lang w:val="en-US" w:eastAsia="zh-CN" w:bidi="ar-SA"/>
      </w:rPr>
    </w:lvl>
    <w:lvl w:ilvl="8" w:tentative="0">
      <w:start w:val="0"/>
      <w:numFmt w:val="bullet"/>
      <w:lvlText w:val="•"/>
      <w:lvlJc w:val="left"/>
      <w:pPr>
        <w:ind w:left="5434" w:hanging="529"/>
      </w:pPr>
      <w:rPr>
        <w:rFonts w:hint="default"/>
        <w:lang w:val="en-US" w:eastAsia="zh-CN" w:bidi="ar-SA"/>
      </w:rPr>
    </w:lvl>
  </w:abstractNum>
  <w:abstractNum w:abstractNumId="19">
    <w:nsid w:val="9DFC6F65"/>
    <w:multiLevelType w:val="multilevel"/>
    <w:tmpl w:val="9DFC6F65"/>
    <w:lvl w:ilvl="0" w:tentative="0">
      <w:start w:val="1"/>
      <w:numFmt w:val="decimal"/>
      <w:lvlText w:val="（%1）"/>
      <w:lvlJc w:val="left"/>
      <w:pPr>
        <w:ind w:left="63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239" w:hanging="529"/>
      </w:pPr>
      <w:rPr>
        <w:rFonts w:hint="default"/>
        <w:lang w:val="en-US" w:eastAsia="zh-CN" w:bidi="ar-SA"/>
      </w:rPr>
    </w:lvl>
    <w:lvl w:ilvl="2" w:tentative="0">
      <w:start w:val="0"/>
      <w:numFmt w:val="bullet"/>
      <w:lvlText w:val="•"/>
      <w:lvlJc w:val="left"/>
      <w:pPr>
        <w:ind w:left="1838" w:hanging="529"/>
      </w:pPr>
      <w:rPr>
        <w:rFonts w:hint="default"/>
        <w:lang w:val="en-US" w:eastAsia="zh-CN" w:bidi="ar-SA"/>
      </w:rPr>
    </w:lvl>
    <w:lvl w:ilvl="3" w:tentative="0">
      <w:start w:val="0"/>
      <w:numFmt w:val="bullet"/>
      <w:lvlText w:val="•"/>
      <w:lvlJc w:val="left"/>
      <w:pPr>
        <w:ind w:left="2437" w:hanging="529"/>
      </w:pPr>
      <w:rPr>
        <w:rFonts w:hint="default"/>
        <w:lang w:val="en-US" w:eastAsia="zh-CN" w:bidi="ar-SA"/>
      </w:rPr>
    </w:lvl>
    <w:lvl w:ilvl="4" w:tentative="0">
      <w:start w:val="0"/>
      <w:numFmt w:val="bullet"/>
      <w:lvlText w:val="•"/>
      <w:lvlJc w:val="left"/>
      <w:pPr>
        <w:ind w:left="3037" w:hanging="529"/>
      </w:pPr>
      <w:rPr>
        <w:rFonts w:hint="default"/>
        <w:lang w:val="en-US" w:eastAsia="zh-CN" w:bidi="ar-SA"/>
      </w:rPr>
    </w:lvl>
    <w:lvl w:ilvl="5" w:tentative="0">
      <w:start w:val="0"/>
      <w:numFmt w:val="bullet"/>
      <w:lvlText w:val="•"/>
      <w:lvlJc w:val="left"/>
      <w:pPr>
        <w:ind w:left="3636" w:hanging="529"/>
      </w:pPr>
      <w:rPr>
        <w:rFonts w:hint="default"/>
        <w:lang w:val="en-US" w:eastAsia="zh-CN" w:bidi="ar-SA"/>
      </w:rPr>
    </w:lvl>
    <w:lvl w:ilvl="6" w:tentative="0">
      <w:start w:val="0"/>
      <w:numFmt w:val="bullet"/>
      <w:lvlText w:val="•"/>
      <w:lvlJc w:val="left"/>
      <w:pPr>
        <w:ind w:left="4235" w:hanging="529"/>
      </w:pPr>
      <w:rPr>
        <w:rFonts w:hint="default"/>
        <w:lang w:val="en-US" w:eastAsia="zh-CN" w:bidi="ar-SA"/>
      </w:rPr>
    </w:lvl>
    <w:lvl w:ilvl="7" w:tentative="0">
      <w:start w:val="0"/>
      <w:numFmt w:val="bullet"/>
      <w:lvlText w:val="•"/>
      <w:lvlJc w:val="left"/>
      <w:pPr>
        <w:ind w:left="4835" w:hanging="529"/>
      </w:pPr>
      <w:rPr>
        <w:rFonts w:hint="default"/>
        <w:lang w:val="en-US" w:eastAsia="zh-CN" w:bidi="ar-SA"/>
      </w:rPr>
    </w:lvl>
    <w:lvl w:ilvl="8" w:tentative="0">
      <w:start w:val="0"/>
      <w:numFmt w:val="bullet"/>
      <w:lvlText w:val="•"/>
      <w:lvlJc w:val="left"/>
      <w:pPr>
        <w:ind w:left="5434" w:hanging="529"/>
      </w:pPr>
      <w:rPr>
        <w:rFonts w:hint="default"/>
        <w:lang w:val="en-US" w:eastAsia="zh-CN" w:bidi="ar-SA"/>
      </w:rPr>
    </w:lvl>
  </w:abstractNum>
  <w:abstractNum w:abstractNumId="20">
    <w:nsid w:val="9F81B9F9"/>
    <w:multiLevelType w:val="multilevel"/>
    <w:tmpl w:val="9F81B9F9"/>
    <w:lvl w:ilvl="0" w:tentative="0">
      <w:start w:val="1"/>
      <w:numFmt w:val="decimal"/>
      <w:lvlText w:val="（%1）"/>
      <w:lvlJc w:val="left"/>
      <w:pPr>
        <w:ind w:left="637"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239" w:hanging="529"/>
      </w:pPr>
      <w:rPr>
        <w:rFonts w:hint="default"/>
        <w:lang w:val="en-US" w:eastAsia="zh-CN" w:bidi="ar-SA"/>
      </w:rPr>
    </w:lvl>
    <w:lvl w:ilvl="2" w:tentative="0">
      <w:start w:val="0"/>
      <w:numFmt w:val="bullet"/>
      <w:lvlText w:val="•"/>
      <w:lvlJc w:val="left"/>
      <w:pPr>
        <w:ind w:left="1838" w:hanging="529"/>
      </w:pPr>
      <w:rPr>
        <w:rFonts w:hint="default"/>
        <w:lang w:val="en-US" w:eastAsia="zh-CN" w:bidi="ar-SA"/>
      </w:rPr>
    </w:lvl>
    <w:lvl w:ilvl="3" w:tentative="0">
      <w:start w:val="0"/>
      <w:numFmt w:val="bullet"/>
      <w:lvlText w:val="•"/>
      <w:lvlJc w:val="left"/>
      <w:pPr>
        <w:ind w:left="2437" w:hanging="529"/>
      </w:pPr>
      <w:rPr>
        <w:rFonts w:hint="default"/>
        <w:lang w:val="en-US" w:eastAsia="zh-CN" w:bidi="ar-SA"/>
      </w:rPr>
    </w:lvl>
    <w:lvl w:ilvl="4" w:tentative="0">
      <w:start w:val="0"/>
      <w:numFmt w:val="bullet"/>
      <w:lvlText w:val="•"/>
      <w:lvlJc w:val="left"/>
      <w:pPr>
        <w:ind w:left="3037" w:hanging="529"/>
      </w:pPr>
      <w:rPr>
        <w:rFonts w:hint="default"/>
        <w:lang w:val="en-US" w:eastAsia="zh-CN" w:bidi="ar-SA"/>
      </w:rPr>
    </w:lvl>
    <w:lvl w:ilvl="5" w:tentative="0">
      <w:start w:val="0"/>
      <w:numFmt w:val="bullet"/>
      <w:lvlText w:val="•"/>
      <w:lvlJc w:val="left"/>
      <w:pPr>
        <w:ind w:left="3636" w:hanging="529"/>
      </w:pPr>
      <w:rPr>
        <w:rFonts w:hint="default"/>
        <w:lang w:val="en-US" w:eastAsia="zh-CN" w:bidi="ar-SA"/>
      </w:rPr>
    </w:lvl>
    <w:lvl w:ilvl="6" w:tentative="0">
      <w:start w:val="0"/>
      <w:numFmt w:val="bullet"/>
      <w:lvlText w:val="•"/>
      <w:lvlJc w:val="left"/>
      <w:pPr>
        <w:ind w:left="4235" w:hanging="529"/>
      </w:pPr>
      <w:rPr>
        <w:rFonts w:hint="default"/>
        <w:lang w:val="en-US" w:eastAsia="zh-CN" w:bidi="ar-SA"/>
      </w:rPr>
    </w:lvl>
    <w:lvl w:ilvl="7" w:tentative="0">
      <w:start w:val="0"/>
      <w:numFmt w:val="bullet"/>
      <w:lvlText w:val="•"/>
      <w:lvlJc w:val="left"/>
      <w:pPr>
        <w:ind w:left="4835" w:hanging="529"/>
      </w:pPr>
      <w:rPr>
        <w:rFonts w:hint="default"/>
        <w:lang w:val="en-US" w:eastAsia="zh-CN" w:bidi="ar-SA"/>
      </w:rPr>
    </w:lvl>
    <w:lvl w:ilvl="8" w:tentative="0">
      <w:start w:val="0"/>
      <w:numFmt w:val="bullet"/>
      <w:lvlText w:val="•"/>
      <w:lvlJc w:val="left"/>
      <w:pPr>
        <w:ind w:left="5434" w:hanging="529"/>
      </w:pPr>
      <w:rPr>
        <w:rFonts w:hint="default"/>
        <w:lang w:val="en-US" w:eastAsia="zh-CN" w:bidi="ar-SA"/>
      </w:rPr>
    </w:lvl>
  </w:abstractNum>
  <w:abstractNum w:abstractNumId="21">
    <w:nsid w:val="A0C93552"/>
    <w:multiLevelType w:val="multilevel"/>
    <w:tmpl w:val="A0C93552"/>
    <w:lvl w:ilvl="0" w:tentative="0">
      <w:start w:val="1"/>
      <w:numFmt w:val="decimal"/>
      <w:lvlText w:val="（%1）"/>
      <w:lvlJc w:val="left"/>
      <w:pPr>
        <w:ind w:left="636"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238" w:hanging="529"/>
      </w:pPr>
      <w:rPr>
        <w:rFonts w:hint="default"/>
        <w:lang w:val="en-US" w:eastAsia="zh-CN" w:bidi="ar-SA"/>
      </w:rPr>
    </w:lvl>
    <w:lvl w:ilvl="2" w:tentative="0">
      <w:start w:val="0"/>
      <w:numFmt w:val="bullet"/>
      <w:lvlText w:val="•"/>
      <w:lvlJc w:val="left"/>
      <w:pPr>
        <w:ind w:left="1837" w:hanging="529"/>
      </w:pPr>
      <w:rPr>
        <w:rFonts w:hint="default"/>
        <w:lang w:val="en-US" w:eastAsia="zh-CN" w:bidi="ar-SA"/>
      </w:rPr>
    </w:lvl>
    <w:lvl w:ilvl="3" w:tentative="0">
      <w:start w:val="0"/>
      <w:numFmt w:val="bullet"/>
      <w:lvlText w:val="•"/>
      <w:lvlJc w:val="left"/>
      <w:pPr>
        <w:ind w:left="2435" w:hanging="529"/>
      </w:pPr>
      <w:rPr>
        <w:rFonts w:hint="default"/>
        <w:lang w:val="en-US" w:eastAsia="zh-CN" w:bidi="ar-SA"/>
      </w:rPr>
    </w:lvl>
    <w:lvl w:ilvl="4" w:tentative="0">
      <w:start w:val="0"/>
      <w:numFmt w:val="bullet"/>
      <w:lvlText w:val="•"/>
      <w:lvlJc w:val="left"/>
      <w:pPr>
        <w:ind w:left="3034" w:hanging="529"/>
      </w:pPr>
      <w:rPr>
        <w:rFonts w:hint="default"/>
        <w:lang w:val="en-US" w:eastAsia="zh-CN" w:bidi="ar-SA"/>
      </w:rPr>
    </w:lvl>
    <w:lvl w:ilvl="5" w:tentative="0">
      <w:start w:val="0"/>
      <w:numFmt w:val="bullet"/>
      <w:lvlText w:val="•"/>
      <w:lvlJc w:val="left"/>
      <w:pPr>
        <w:ind w:left="3633" w:hanging="529"/>
      </w:pPr>
      <w:rPr>
        <w:rFonts w:hint="default"/>
        <w:lang w:val="en-US" w:eastAsia="zh-CN" w:bidi="ar-SA"/>
      </w:rPr>
    </w:lvl>
    <w:lvl w:ilvl="6" w:tentative="0">
      <w:start w:val="0"/>
      <w:numFmt w:val="bullet"/>
      <w:lvlText w:val="•"/>
      <w:lvlJc w:val="left"/>
      <w:pPr>
        <w:ind w:left="4231" w:hanging="529"/>
      </w:pPr>
      <w:rPr>
        <w:rFonts w:hint="default"/>
        <w:lang w:val="en-US" w:eastAsia="zh-CN" w:bidi="ar-SA"/>
      </w:rPr>
    </w:lvl>
    <w:lvl w:ilvl="7" w:tentative="0">
      <w:start w:val="0"/>
      <w:numFmt w:val="bullet"/>
      <w:lvlText w:val="•"/>
      <w:lvlJc w:val="left"/>
      <w:pPr>
        <w:ind w:left="4830" w:hanging="529"/>
      </w:pPr>
      <w:rPr>
        <w:rFonts w:hint="default"/>
        <w:lang w:val="en-US" w:eastAsia="zh-CN" w:bidi="ar-SA"/>
      </w:rPr>
    </w:lvl>
    <w:lvl w:ilvl="8" w:tentative="0">
      <w:start w:val="0"/>
      <w:numFmt w:val="bullet"/>
      <w:lvlText w:val="•"/>
      <w:lvlJc w:val="left"/>
      <w:pPr>
        <w:ind w:left="5428" w:hanging="529"/>
      </w:pPr>
      <w:rPr>
        <w:rFonts w:hint="default"/>
        <w:lang w:val="en-US" w:eastAsia="zh-CN" w:bidi="ar-SA"/>
      </w:rPr>
    </w:lvl>
  </w:abstractNum>
  <w:abstractNum w:abstractNumId="22">
    <w:nsid w:val="A0F05207"/>
    <w:multiLevelType w:val="multilevel"/>
    <w:tmpl w:val="A0F05207"/>
    <w:lvl w:ilvl="0" w:tentative="0">
      <w:start w:val="1"/>
      <w:numFmt w:val="decimal"/>
      <w:lvlText w:val="（%1）"/>
      <w:lvlJc w:val="left"/>
      <w:pPr>
        <w:ind w:left="107" w:hanging="529"/>
        <w:jc w:val="left"/>
      </w:pPr>
      <w:rPr>
        <w:rFonts w:hint="default" w:ascii="宋体" w:hAnsi="宋体" w:eastAsia="宋体" w:cs="宋体"/>
        <w:b w:val="0"/>
        <w:bCs w:val="0"/>
        <w:i w:val="0"/>
        <w:iCs w:val="0"/>
        <w:spacing w:val="-22"/>
        <w:w w:val="100"/>
        <w:sz w:val="19"/>
        <w:szCs w:val="19"/>
        <w:lang w:val="en-US" w:eastAsia="zh-CN" w:bidi="ar-SA"/>
      </w:rPr>
    </w:lvl>
    <w:lvl w:ilvl="1" w:tentative="0">
      <w:start w:val="0"/>
      <w:numFmt w:val="bullet"/>
      <w:lvlText w:val="•"/>
      <w:lvlJc w:val="left"/>
      <w:pPr>
        <w:ind w:left="752" w:hanging="529"/>
      </w:pPr>
      <w:rPr>
        <w:rFonts w:hint="default"/>
        <w:lang w:val="en-US" w:eastAsia="zh-CN" w:bidi="ar-SA"/>
      </w:rPr>
    </w:lvl>
    <w:lvl w:ilvl="2" w:tentative="0">
      <w:start w:val="0"/>
      <w:numFmt w:val="bullet"/>
      <w:lvlText w:val="•"/>
      <w:lvlJc w:val="left"/>
      <w:pPr>
        <w:ind w:left="1405" w:hanging="529"/>
      </w:pPr>
      <w:rPr>
        <w:rFonts w:hint="default"/>
        <w:lang w:val="en-US" w:eastAsia="zh-CN" w:bidi="ar-SA"/>
      </w:rPr>
    </w:lvl>
    <w:lvl w:ilvl="3" w:tentative="0">
      <w:start w:val="0"/>
      <w:numFmt w:val="bullet"/>
      <w:lvlText w:val="•"/>
      <w:lvlJc w:val="left"/>
      <w:pPr>
        <w:ind w:left="2057" w:hanging="529"/>
      </w:pPr>
      <w:rPr>
        <w:rFonts w:hint="default"/>
        <w:lang w:val="en-US" w:eastAsia="zh-CN" w:bidi="ar-SA"/>
      </w:rPr>
    </w:lvl>
    <w:lvl w:ilvl="4" w:tentative="0">
      <w:start w:val="0"/>
      <w:numFmt w:val="bullet"/>
      <w:lvlText w:val="•"/>
      <w:lvlJc w:val="left"/>
      <w:pPr>
        <w:ind w:left="2710" w:hanging="529"/>
      </w:pPr>
      <w:rPr>
        <w:rFonts w:hint="default"/>
        <w:lang w:val="en-US" w:eastAsia="zh-CN" w:bidi="ar-SA"/>
      </w:rPr>
    </w:lvl>
    <w:lvl w:ilvl="5" w:tentative="0">
      <w:start w:val="0"/>
      <w:numFmt w:val="bullet"/>
      <w:lvlText w:val="•"/>
      <w:lvlJc w:val="left"/>
      <w:pPr>
        <w:ind w:left="3363" w:hanging="529"/>
      </w:pPr>
      <w:rPr>
        <w:rFonts w:hint="default"/>
        <w:lang w:val="en-US" w:eastAsia="zh-CN" w:bidi="ar-SA"/>
      </w:rPr>
    </w:lvl>
    <w:lvl w:ilvl="6" w:tentative="0">
      <w:start w:val="0"/>
      <w:numFmt w:val="bullet"/>
      <w:lvlText w:val="•"/>
      <w:lvlJc w:val="left"/>
      <w:pPr>
        <w:ind w:left="4015" w:hanging="529"/>
      </w:pPr>
      <w:rPr>
        <w:rFonts w:hint="default"/>
        <w:lang w:val="en-US" w:eastAsia="zh-CN" w:bidi="ar-SA"/>
      </w:rPr>
    </w:lvl>
    <w:lvl w:ilvl="7" w:tentative="0">
      <w:start w:val="0"/>
      <w:numFmt w:val="bullet"/>
      <w:lvlText w:val="•"/>
      <w:lvlJc w:val="left"/>
      <w:pPr>
        <w:ind w:left="4668" w:hanging="529"/>
      </w:pPr>
      <w:rPr>
        <w:rFonts w:hint="default"/>
        <w:lang w:val="en-US" w:eastAsia="zh-CN" w:bidi="ar-SA"/>
      </w:rPr>
    </w:lvl>
    <w:lvl w:ilvl="8" w:tentative="0">
      <w:start w:val="0"/>
      <w:numFmt w:val="bullet"/>
      <w:lvlText w:val="•"/>
      <w:lvlJc w:val="left"/>
      <w:pPr>
        <w:ind w:left="5320" w:hanging="529"/>
      </w:pPr>
      <w:rPr>
        <w:rFonts w:hint="default"/>
        <w:lang w:val="en-US" w:eastAsia="zh-CN" w:bidi="ar-SA"/>
      </w:rPr>
    </w:lvl>
  </w:abstractNum>
  <w:abstractNum w:abstractNumId="23">
    <w:nsid w:val="A9AC3AA7"/>
    <w:multiLevelType w:val="multilevel"/>
    <w:tmpl w:val="A9AC3AA7"/>
    <w:lvl w:ilvl="0" w:tentative="0">
      <w:start w:val="1"/>
      <w:numFmt w:val="decimal"/>
      <w:lvlText w:val="（%1）"/>
      <w:lvlJc w:val="left"/>
      <w:pPr>
        <w:ind w:left="636"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238" w:hanging="529"/>
      </w:pPr>
      <w:rPr>
        <w:rFonts w:hint="default"/>
        <w:lang w:val="en-US" w:eastAsia="zh-CN" w:bidi="ar-SA"/>
      </w:rPr>
    </w:lvl>
    <w:lvl w:ilvl="2" w:tentative="0">
      <w:start w:val="0"/>
      <w:numFmt w:val="bullet"/>
      <w:lvlText w:val="•"/>
      <w:lvlJc w:val="left"/>
      <w:pPr>
        <w:ind w:left="1837" w:hanging="529"/>
      </w:pPr>
      <w:rPr>
        <w:rFonts w:hint="default"/>
        <w:lang w:val="en-US" w:eastAsia="zh-CN" w:bidi="ar-SA"/>
      </w:rPr>
    </w:lvl>
    <w:lvl w:ilvl="3" w:tentative="0">
      <w:start w:val="0"/>
      <w:numFmt w:val="bullet"/>
      <w:lvlText w:val="•"/>
      <w:lvlJc w:val="left"/>
      <w:pPr>
        <w:ind w:left="2435" w:hanging="529"/>
      </w:pPr>
      <w:rPr>
        <w:rFonts w:hint="default"/>
        <w:lang w:val="en-US" w:eastAsia="zh-CN" w:bidi="ar-SA"/>
      </w:rPr>
    </w:lvl>
    <w:lvl w:ilvl="4" w:tentative="0">
      <w:start w:val="0"/>
      <w:numFmt w:val="bullet"/>
      <w:lvlText w:val="•"/>
      <w:lvlJc w:val="left"/>
      <w:pPr>
        <w:ind w:left="3034" w:hanging="529"/>
      </w:pPr>
      <w:rPr>
        <w:rFonts w:hint="default"/>
        <w:lang w:val="en-US" w:eastAsia="zh-CN" w:bidi="ar-SA"/>
      </w:rPr>
    </w:lvl>
    <w:lvl w:ilvl="5" w:tentative="0">
      <w:start w:val="0"/>
      <w:numFmt w:val="bullet"/>
      <w:lvlText w:val="•"/>
      <w:lvlJc w:val="left"/>
      <w:pPr>
        <w:ind w:left="3633" w:hanging="529"/>
      </w:pPr>
      <w:rPr>
        <w:rFonts w:hint="default"/>
        <w:lang w:val="en-US" w:eastAsia="zh-CN" w:bidi="ar-SA"/>
      </w:rPr>
    </w:lvl>
    <w:lvl w:ilvl="6" w:tentative="0">
      <w:start w:val="0"/>
      <w:numFmt w:val="bullet"/>
      <w:lvlText w:val="•"/>
      <w:lvlJc w:val="left"/>
      <w:pPr>
        <w:ind w:left="4231" w:hanging="529"/>
      </w:pPr>
      <w:rPr>
        <w:rFonts w:hint="default"/>
        <w:lang w:val="en-US" w:eastAsia="zh-CN" w:bidi="ar-SA"/>
      </w:rPr>
    </w:lvl>
    <w:lvl w:ilvl="7" w:tentative="0">
      <w:start w:val="0"/>
      <w:numFmt w:val="bullet"/>
      <w:lvlText w:val="•"/>
      <w:lvlJc w:val="left"/>
      <w:pPr>
        <w:ind w:left="4830" w:hanging="529"/>
      </w:pPr>
      <w:rPr>
        <w:rFonts w:hint="default"/>
        <w:lang w:val="en-US" w:eastAsia="zh-CN" w:bidi="ar-SA"/>
      </w:rPr>
    </w:lvl>
    <w:lvl w:ilvl="8" w:tentative="0">
      <w:start w:val="0"/>
      <w:numFmt w:val="bullet"/>
      <w:lvlText w:val="•"/>
      <w:lvlJc w:val="left"/>
      <w:pPr>
        <w:ind w:left="5428" w:hanging="529"/>
      </w:pPr>
      <w:rPr>
        <w:rFonts w:hint="default"/>
        <w:lang w:val="en-US" w:eastAsia="zh-CN" w:bidi="ar-SA"/>
      </w:rPr>
    </w:lvl>
  </w:abstractNum>
  <w:abstractNum w:abstractNumId="24">
    <w:nsid w:val="AAF3F3FA"/>
    <w:multiLevelType w:val="multilevel"/>
    <w:tmpl w:val="AAF3F3FA"/>
    <w:lvl w:ilvl="0" w:tentative="0">
      <w:start w:val="2"/>
      <w:numFmt w:val="decimal"/>
      <w:lvlText w:val="%1."/>
      <w:lvlJc w:val="left"/>
      <w:pPr>
        <w:ind w:left="107" w:hanging="213"/>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752" w:hanging="213"/>
      </w:pPr>
      <w:rPr>
        <w:rFonts w:hint="default"/>
        <w:lang w:val="en-US" w:eastAsia="zh-CN" w:bidi="ar-SA"/>
      </w:rPr>
    </w:lvl>
    <w:lvl w:ilvl="2" w:tentative="0">
      <w:start w:val="0"/>
      <w:numFmt w:val="bullet"/>
      <w:lvlText w:val="•"/>
      <w:lvlJc w:val="left"/>
      <w:pPr>
        <w:ind w:left="1405" w:hanging="213"/>
      </w:pPr>
      <w:rPr>
        <w:rFonts w:hint="default"/>
        <w:lang w:val="en-US" w:eastAsia="zh-CN" w:bidi="ar-SA"/>
      </w:rPr>
    </w:lvl>
    <w:lvl w:ilvl="3" w:tentative="0">
      <w:start w:val="0"/>
      <w:numFmt w:val="bullet"/>
      <w:lvlText w:val="•"/>
      <w:lvlJc w:val="left"/>
      <w:pPr>
        <w:ind w:left="2057" w:hanging="213"/>
      </w:pPr>
      <w:rPr>
        <w:rFonts w:hint="default"/>
        <w:lang w:val="en-US" w:eastAsia="zh-CN" w:bidi="ar-SA"/>
      </w:rPr>
    </w:lvl>
    <w:lvl w:ilvl="4" w:tentative="0">
      <w:start w:val="0"/>
      <w:numFmt w:val="bullet"/>
      <w:lvlText w:val="•"/>
      <w:lvlJc w:val="left"/>
      <w:pPr>
        <w:ind w:left="2710" w:hanging="213"/>
      </w:pPr>
      <w:rPr>
        <w:rFonts w:hint="default"/>
        <w:lang w:val="en-US" w:eastAsia="zh-CN" w:bidi="ar-SA"/>
      </w:rPr>
    </w:lvl>
    <w:lvl w:ilvl="5" w:tentative="0">
      <w:start w:val="0"/>
      <w:numFmt w:val="bullet"/>
      <w:lvlText w:val="•"/>
      <w:lvlJc w:val="left"/>
      <w:pPr>
        <w:ind w:left="3363" w:hanging="213"/>
      </w:pPr>
      <w:rPr>
        <w:rFonts w:hint="default"/>
        <w:lang w:val="en-US" w:eastAsia="zh-CN" w:bidi="ar-SA"/>
      </w:rPr>
    </w:lvl>
    <w:lvl w:ilvl="6" w:tentative="0">
      <w:start w:val="0"/>
      <w:numFmt w:val="bullet"/>
      <w:lvlText w:val="•"/>
      <w:lvlJc w:val="left"/>
      <w:pPr>
        <w:ind w:left="4015" w:hanging="213"/>
      </w:pPr>
      <w:rPr>
        <w:rFonts w:hint="default"/>
        <w:lang w:val="en-US" w:eastAsia="zh-CN" w:bidi="ar-SA"/>
      </w:rPr>
    </w:lvl>
    <w:lvl w:ilvl="7" w:tentative="0">
      <w:start w:val="0"/>
      <w:numFmt w:val="bullet"/>
      <w:lvlText w:val="•"/>
      <w:lvlJc w:val="left"/>
      <w:pPr>
        <w:ind w:left="4668" w:hanging="213"/>
      </w:pPr>
      <w:rPr>
        <w:rFonts w:hint="default"/>
        <w:lang w:val="en-US" w:eastAsia="zh-CN" w:bidi="ar-SA"/>
      </w:rPr>
    </w:lvl>
    <w:lvl w:ilvl="8" w:tentative="0">
      <w:start w:val="0"/>
      <w:numFmt w:val="bullet"/>
      <w:lvlText w:val="•"/>
      <w:lvlJc w:val="left"/>
      <w:pPr>
        <w:ind w:left="5320" w:hanging="213"/>
      </w:pPr>
      <w:rPr>
        <w:rFonts w:hint="default"/>
        <w:lang w:val="en-US" w:eastAsia="zh-CN" w:bidi="ar-SA"/>
      </w:rPr>
    </w:lvl>
  </w:abstractNum>
  <w:abstractNum w:abstractNumId="25">
    <w:nsid w:val="B0ED9BEA"/>
    <w:multiLevelType w:val="multilevel"/>
    <w:tmpl w:val="B0ED9BEA"/>
    <w:lvl w:ilvl="0" w:tentative="0">
      <w:start w:val="1"/>
      <w:numFmt w:val="decimal"/>
      <w:lvlText w:val="（%1）"/>
      <w:lvlJc w:val="left"/>
      <w:pPr>
        <w:ind w:left="636"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238" w:hanging="529"/>
      </w:pPr>
      <w:rPr>
        <w:rFonts w:hint="default"/>
        <w:lang w:val="en-US" w:eastAsia="zh-CN" w:bidi="ar-SA"/>
      </w:rPr>
    </w:lvl>
    <w:lvl w:ilvl="2" w:tentative="0">
      <w:start w:val="0"/>
      <w:numFmt w:val="bullet"/>
      <w:lvlText w:val="•"/>
      <w:lvlJc w:val="left"/>
      <w:pPr>
        <w:ind w:left="1837" w:hanging="529"/>
      </w:pPr>
      <w:rPr>
        <w:rFonts w:hint="default"/>
        <w:lang w:val="en-US" w:eastAsia="zh-CN" w:bidi="ar-SA"/>
      </w:rPr>
    </w:lvl>
    <w:lvl w:ilvl="3" w:tentative="0">
      <w:start w:val="0"/>
      <w:numFmt w:val="bullet"/>
      <w:lvlText w:val="•"/>
      <w:lvlJc w:val="left"/>
      <w:pPr>
        <w:ind w:left="2435" w:hanging="529"/>
      </w:pPr>
      <w:rPr>
        <w:rFonts w:hint="default"/>
        <w:lang w:val="en-US" w:eastAsia="zh-CN" w:bidi="ar-SA"/>
      </w:rPr>
    </w:lvl>
    <w:lvl w:ilvl="4" w:tentative="0">
      <w:start w:val="0"/>
      <w:numFmt w:val="bullet"/>
      <w:lvlText w:val="•"/>
      <w:lvlJc w:val="left"/>
      <w:pPr>
        <w:ind w:left="3034" w:hanging="529"/>
      </w:pPr>
      <w:rPr>
        <w:rFonts w:hint="default"/>
        <w:lang w:val="en-US" w:eastAsia="zh-CN" w:bidi="ar-SA"/>
      </w:rPr>
    </w:lvl>
    <w:lvl w:ilvl="5" w:tentative="0">
      <w:start w:val="0"/>
      <w:numFmt w:val="bullet"/>
      <w:lvlText w:val="•"/>
      <w:lvlJc w:val="left"/>
      <w:pPr>
        <w:ind w:left="3633" w:hanging="529"/>
      </w:pPr>
      <w:rPr>
        <w:rFonts w:hint="default"/>
        <w:lang w:val="en-US" w:eastAsia="zh-CN" w:bidi="ar-SA"/>
      </w:rPr>
    </w:lvl>
    <w:lvl w:ilvl="6" w:tentative="0">
      <w:start w:val="0"/>
      <w:numFmt w:val="bullet"/>
      <w:lvlText w:val="•"/>
      <w:lvlJc w:val="left"/>
      <w:pPr>
        <w:ind w:left="4231" w:hanging="529"/>
      </w:pPr>
      <w:rPr>
        <w:rFonts w:hint="default"/>
        <w:lang w:val="en-US" w:eastAsia="zh-CN" w:bidi="ar-SA"/>
      </w:rPr>
    </w:lvl>
    <w:lvl w:ilvl="7" w:tentative="0">
      <w:start w:val="0"/>
      <w:numFmt w:val="bullet"/>
      <w:lvlText w:val="•"/>
      <w:lvlJc w:val="left"/>
      <w:pPr>
        <w:ind w:left="4830" w:hanging="529"/>
      </w:pPr>
      <w:rPr>
        <w:rFonts w:hint="default"/>
        <w:lang w:val="en-US" w:eastAsia="zh-CN" w:bidi="ar-SA"/>
      </w:rPr>
    </w:lvl>
    <w:lvl w:ilvl="8" w:tentative="0">
      <w:start w:val="0"/>
      <w:numFmt w:val="bullet"/>
      <w:lvlText w:val="•"/>
      <w:lvlJc w:val="left"/>
      <w:pPr>
        <w:ind w:left="5428" w:hanging="529"/>
      </w:pPr>
      <w:rPr>
        <w:rFonts w:hint="default"/>
        <w:lang w:val="en-US" w:eastAsia="zh-CN" w:bidi="ar-SA"/>
      </w:rPr>
    </w:lvl>
  </w:abstractNum>
  <w:abstractNum w:abstractNumId="26">
    <w:nsid w:val="B0F1ACD9"/>
    <w:multiLevelType w:val="multilevel"/>
    <w:tmpl w:val="B0F1ACD9"/>
    <w:lvl w:ilvl="0" w:tentative="0">
      <w:start w:val="10"/>
      <w:numFmt w:val="decimal"/>
      <w:lvlText w:val="%1"/>
      <w:lvlJc w:val="left"/>
      <w:pPr>
        <w:ind w:left="1178" w:hanging="959"/>
        <w:jc w:val="left"/>
      </w:pPr>
      <w:rPr>
        <w:rFonts w:hint="default"/>
        <w:lang w:val="en-US" w:eastAsia="zh-CN" w:bidi="ar-SA"/>
      </w:rPr>
    </w:lvl>
    <w:lvl w:ilvl="1" w:tentative="0">
      <w:start w:val="1"/>
      <w:numFmt w:val="decimal"/>
      <w:lvlText w:val="%1.%2"/>
      <w:lvlJc w:val="left"/>
      <w:pPr>
        <w:ind w:left="1178" w:hanging="959"/>
        <w:jc w:val="left"/>
      </w:pPr>
      <w:rPr>
        <w:rFonts w:hint="default" w:ascii="宋体" w:hAnsi="宋体" w:eastAsia="宋体" w:cs="宋体"/>
        <w:b/>
        <w:bCs/>
        <w:i w:val="0"/>
        <w:iCs w:val="0"/>
        <w:w w:val="99"/>
        <w:sz w:val="21"/>
        <w:szCs w:val="21"/>
        <w:lang w:val="en-US" w:eastAsia="zh-CN" w:bidi="ar-SA"/>
      </w:rPr>
    </w:lvl>
    <w:lvl w:ilvl="2" w:tentative="0">
      <w:start w:val="0"/>
      <w:numFmt w:val="bullet"/>
      <w:lvlText w:val="•"/>
      <w:lvlJc w:val="left"/>
      <w:pPr>
        <w:ind w:left="1483" w:hanging="959"/>
      </w:pPr>
      <w:rPr>
        <w:rFonts w:hint="default"/>
        <w:lang w:val="en-US" w:eastAsia="zh-CN" w:bidi="ar-SA"/>
      </w:rPr>
    </w:lvl>
    <w:lvl w:ilvl="3" w:tentative="0">
      <w:start w:val="0"/>
      <w:numFmt w:val="bullet"/>
      <w:lvlText w:val="•"/>
      <w:lvlJc w:val="left"/>
      <w:pPr>
        <w:ind w:left="1634" w:hanging="959"/>
      </w:pPr>
      <w:rPr>
        <w:rFonts w:hint="default"/>
        <w:lang w:val="en-US" w:eastAsia="zh-CN" w:bidi="ar-SA"/>
      </w:rPr>
    </w:lvl>
    <w:lvl w:ilvl="4" w:tentative="0">
      <w:start w:val="0"/>
      <w:numFmt w:val="bullet"/>
      <w:lvlText w:val="•"/>
      <w:lvlJc w:val="left"/>
      <w:pPr>
        <w:ind w:left="1786" w:hanging="959"/>
      </w:pPr>
      <w:rPr>
        <w:rFonts w:hint="default"/>
        <w:lang w:val="en-US" w:eastAsia="zh-CN" w:bidi="ar-SA"/>
      </w:rPr>
    </w:lvl>
    <w:lvl w:ilvl="5" w:tentative="0">
      <w:start w:val="0"/>
      <w:numFmt w:val="bullet"/>
      <w:lvlText w:val="•"/>
      <w:lvlJc w:val="left"/>
      <w:pPr>
        <w:ind w:left="1938" w:hanging="959"/>
      </w:pPr>
      <w:rPr>
        <w:rFonts w:hint="default"/>
        <w:lang w:val="en-US" w:eastAsia="zh-CN" w:bidi="ar-SA"/>
      </w:rPr>
    </w:lvl>
    <w:lvl w:ilvl="6" w:tentative="0">
      <w:start w:val="0"/>
      <w:numFmt w:val="bullet"/>
      <w:lvlText w:val="•"/>
      <w:lvlJc w:val="left"/>
      <w:pPr>
        <w:ind w:left="2089" w:hanging="959"/>
      </w:pPr>
      <w:rPr>
        <w:rFonts w:hint="default"/>
        <w:lang w:val="en-US" w:eastAsia="zh-CN" w:bidi="ar-SA"/>
      </w:rPr>
    </w:lvl>
    <w:lvl w:ilvl="7" w:tentative="0">
      <w:start w:val="0"/>
      <w:numFmt w:val="bullet"/>
      <w:lvlText w:val="•"/>
      <w:lvlJc w:val="left"/>
      <w:pPr>
        <w:ind w:left="2241" w:hanging="959"/>
      </w:pPr>
      <w:rPr>
        <w:rFonts w:hint="default"/>
        <w:lang w:val="en-US" w:eastAsia="zh-CN" w:bidi="ar-SA"/>
      </w:rPr>
    </w:lvl>
    <w:lvl w:ilvl="8" w:tentative="0">
      <w:start w:val="0"/>
      <w:numFmt w:val="bullet"/>
      <w:lvlText w:val="•"/>
      <w:lvlJc w:val="left"/>
      <w:pPr>
        <w:ind w:left="2393" w:hanging="959"/>
      </w:pPr>
      <w:rPr>
        <w:rFonts w:hint="default"/>
        <w:lang w:val="en-US" w:eastAsia="zh-CN" w:bidi="ar-SA"/>
      </w:rPr>
    </w:lvl>
  </w:abstractNum>
  <w:abstractNum w:abstractNumId="27">
    <w:nsid w:val="B23A94A9"/>
    <w:multiLevelType w:val="multilevel"/>
    <w:tmpl w:val="B23A94A9"/>
    <w:lvl w:ilvl="0" w:tentative="0">
      <w:start w:val="1"/>
      <w:numFmt w:val="decimal"/>
      <w:lvlText w:val="（%1）"/>
      <w:lvlJc w:val="left"/>
      <w:pPr>
        <w:ind w:left="636"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238" w:hanging="529"/>
      </w:pPr>
      <w:rPr>
        <w:rFonts w:hint="default"/>
        <w:lang w:val="en-US" w:eastAsia="zh-CN" w:bidi="ar-SA"/>
      </w:rPr>
    </w:lvl>
    <w:lvl w:ilvl="2" w:tentative="0">
      <w:start w:val="0"/>
      <w:numFmt w:val="bullet"/>
      <w:lvlText w:val="•"/>
      <w:lvlJc w:val="left"/>
      <w:pPr>
        <w:ind w:left="1837" w:hanging="529"/>
      </w:pPr>
      <w:rPr>
        <w:rFonts w:hint="default"/>
        <w:lang w:val="en-US" w:eastAsia="zh-CN" w:bidi="ar-SA"/>
      </w:rPr>
    </w:lvl>
    <w:lvl w:ilvl="3" w:tentative="0">
      <w:start w:val="0"/>
      <w:numFmt w:val="bullet"/>
      <w:lvlText w:val="•"/>
      <w:lvlJc w:val="left"/>
      <w:pPr>
        <w:ind w:left="2435" w:hanging="529"/>
      </w:pPr>
      <w:rPr>
        <w:rFonts w:hint="default"/>
        <w:lang w:val="en-US" w:eastAsia="zh-CN" w:bidi="ar-SA"/>
      </w:rPr>
    </w:lvl>
    <w:lvl w:ilvl="4" w:tentative="0">
      <w:start w:val="0"/>
      <w:numFmt w:val="bullet"/>
      <w:lvlText w:val="•"/>
      <w:lvlJc w:val="left"/>
      <w:pPr>
        <w:ind w:left="3034" w:hanging="529"/>
      </w:pPr>
      <w:rPr>
        <w:rFonts w:hint="default"/>
        <w:lang w:val="en-US" w:eastAsia="zh-CN" w:bidi="ar-SA"/>
      </w:rPr>
    </w:lvl>
    <w:lvl w:ilvl="5" w:tentative="0">
      <w:start w:val="0"/>
      <w:numFmt w:val="bullet"/>
      <w:lvlText w:val="•"/>
      <w:lvlJc w:val="left"/>
      <w:pPr>
        <w:ind w:left="3633" w:hanging="529"/>
      </w:pPr>
      <w:rPr>
        <w:rFonts w:hint="default"/>
        <w:lang w:val="en-US" w:eastAsia="zh-CN" w:bidi="ar-SA"/>
      </w:rPr>
    </w:lvl>
    <w:lvl w:ilvl="6" w:tentative="0">
      <w:start w:val="0"/>
      <w:numFmt w:val="bullet"/>
      <w:lvlText w:val="•"/>
      <w:lvlJc w:val="left"/>
      <w:pPr>
        <w:ind w:left="4231" w:hanging="529"/>
      </w:pPr>
      <w:rPr>
        <w:rFonts w:hint="default"/>
        <w:lang w:val="en-US" w:eastAsia="zh-CN" w:bidi="ar-SA"/>
      </w:rPr>
    </w:lvl>
    <w:lvl w:ilvl="7" w:tentative="0">
      <w:start w:val="0"/>
      <w:numFmt w:val="bullet"/>
      <w:lvlText w:val="•"/>
      <w:lvlJc w:val="left"/>
      <w:pPr>
        <w:ind w:left="4830" w:hanging="529"/>
      </w:pPr>
      <w:rPr>
        <w:rFonts w:hint="default"/>
        <w:lang w:val="en-US" w:eastAsia="zh-CN" w:bidi="ar-SA"/>
      </w:rPr>
    </w:lvl>
    <w:lvl w:ilvl="8" w:tentative="0">
      <w:start w:val="0"/>
      <w:numFmt w:val="bullet"/>
      <w:lvlText w:val="•"/>
      <w:lvlJc w:val="left"/>
      <w:pPr>
        <w:ind w:left="5428" w:hanging="529"/>
      </w:pPr>
      <w:rPr>
        <w:rFonts w:hint="default"/>
        <w:lang w:val="en-US" w:eastAsia="zh-CN" w:bidi="ar-SA"/>
      </w:rPr>
    </w:lvl>
  </w:abstractNum>
  <w:abstractNum w:abstractNumId="28">
    <w:nsid w:val="B53F3350"/>
    <w:multiLevelType w:val="multilevel"/>
    <w:tmpl w:val="B53F3350"/>
    <w:lvl w:ilvl="0" w:tentative="0">
      <w:start w:val="1"/>
      <w:numFmt w:val="decimal"/>
      <w:lvlText w:val="（%1）"/>
      <w:lvlJc w:val="left"/>
      <w:pPr>
        <w:ind w:left="636"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238" w:hanging="529"/>
      </w:pPr>
      <w:rPr>
        <w:rFonts w:hint="default"/>
        <w:lang w:val="en-US" w:eastAsia="zh-CN" w:bidi="ar-SA"/>
      </w:rPr>
    </w:lvl>
    <w:lvl w:ilvl="2" w:tentative="0">
      <w:start w:val="0"/>
      <w:numFmt w:val="bullet"/>
      <w:lvlText w:val="•"/>
      <w:lvlJc w:val="left"/>
      <w:pPr>
        <w:ind w:left="1837" w:hanging="529"/>
      </w:pPr>
      <w:rPr>
        <w:rFonts w:hint="default"/>
        <w:lang w:val="en-US" w:eastAsia="zh-CN" w:bidi="ar-SA"/>
      </w:rPr>
    </w:lvl>
    <w:lvl w:ilvl="3" w:tentative="0">
      <w:start w:val="0"/>
      <w:numFmt w:val="bullet"/>
      <w:lvlText w:val="•"/>
      <w:lvlJc w:val="left"/>
      <w:pPr>
        <w:ind w:left="2436" w:hanging="529"/>
      </w:pPr>
      <w:rPr>
        <w:rFonts w:hint="default"/>
        <w:lang w:val="en-US" w:eastAsia="zh-CN" w:bidi="ar-SA"/>
      </w:rPr>
    </w:lvl>
    <w:lvl w:ilvl="4" w:tentative="0">
      <w:start w:val="0"/>
      <w:numFmt w:val="bullet"/>
      <w:lvlText w:val="•"/>
      <w:lvlJc w:val="left"/>
      <w:pPr>
        <w:ind w:left="3035" w:hanging="529"/>
      </w:pPr>
      <w:rPr>
        <w:rFonts w:hint="default"/>
        <w:lang w:val="en-US" w:eastAsia="zh-CN" w:bidi="ar-SA"/>
      </w:rPr>
    </w:lvl>
    <w:lvl w:ilvl="5" w:tentative="0">
      <w:start w:val="0"/>
      <w:numFmt w:val="bullet"/>
      <w:lvlText w:val="•"/>
      <w:lvlJc w:val="left"/>
      <w:pPr>
        <w:ind w:left="3634" w:hanging="529"/>
      </w:pPr>
      <w:rPr>
        <w:rFonts w:hint="default"/>
        <w:lang w:val="en-US" w:eastAsia="zh-CN" w:bidi="ar-SA"/>
      </w:rPr>
    </w:lvl>
    <w:lvl w:ilvl="6" w:tentative="0">
      <w:start w:val="0"/>
      <w:numFmt w:val="bullet"/>
      <w:lvlText w:val="•"/>
      <w:lvlJc w:val="left"/>
      <w:pPr>
        <w:ind w:left="4232" w:hanging="529"/>
      </w:pPr>
      <w:rPr>
        <w:rFonts w:hint="default"/>
        <w:lang w:val="en-US" w:eastAsia="zh-CN" w:bidi="ar-SA"/>
      </w:rPr>
    </w:lvl>
    <w:lvl w:ilvl="7" w:tentative="0">
      <w:start w:val="0"/>
      <w:numFmt w:val="bullet"/>
      <w:lvlText w:val="•"/>
      <w:lvlJc w:val="left"/>
      <w:pPr>
        <w:ind w:left="4831" w:hanging="529"/>
      </w:pPr>
      <w:rPr>
        <w:rFonts w:hint="default"/>
        <w:lang w:val="en-US" w:eastAsia="zh-CN" w:bidi="ar-SA"/>
      </w:rPr>
    </w:lvl>
    <w:lvl w:ilvl="8" w:tentative="0">
      <w:start w:val="0"/>
      <w:numFmt w:val="bullet"/>
      <w:lvlText w:val="•"/>
      <w:lvlJc w:val="left"/>
      <w:pPr>
        <w:ind w:left="5430" w:hanging="529"/>
      </w:pPr>
      <w:rPr>
        <w:rFonts w:hint="default"/>
        <w:lang w:val="en-US" w:eastAsia="zh-CN" w:bidi="ar-SA"/>
      </w:rPr>
    </w:lvl>
  </w:abstractNum>
  <w:abstractNum w:abstractNumId="29">
    <w:nsid w:val="B5E306ED"/>
    <w:multiLevelType w:val="multilevel"/>
    <w:tmpl w:val="B5E306ED"/>
    <w:lvl w:ilvl="0" w:tentative="0">
      <w:start w:val="4"/>
      <w:numFmt w:val="decimal"/>
      <w:lvlText w:val="%1."/>
      <w:lvlJc w:val="left"/>
      <w:pPr>
        <w:ind w:left="940" w:hanging="317"/>
        <w:jc w:val="left"/>
      </w:pPr>
      <w:rPr>
        <w:rFonts w:hint="default" w:ascii="宋体" w:hAnsi="宋体" w:eastAsia="宋体" w:cs="宋体"/>
        <w:b/>
        <w:bCs/>
        <w:i w:val="0"/>
        <w:iCs w:val="0"/>
        <w:w w:val="99"/>
        <w:sz w:val="21"/>
        <w:szCs w:val="21"/>
        <w:lang w:val="en-US" w:eastAsia="zh-CN" w:bidi="ar-SA"/>
      </w:rPr>
    </w:lvl>
    <w:lvl w:ilvl="1" w:tentative="0">
      <w:start w:val="1"/>
      <w:numFmt w:val="decimal"/>
      <w:lvlText w:val="%1.%2"/>
      <w:lvlJc w:val="left"/>
      <w:pPr>
        <w:ind w:left="1257" w:hanging="423"/>
        <w:jc w:val="left"/>
      </w:pPr>
      <w:rPr>
        <w:rFonts w:hint="default" w:ascii="宋体" w:hAnsi="宋体" w:eastAsia="宋体" w:cs="宋体"/>
        <w:b w:val="0"/>
        <w:bCs w:val="0"/>
        <w:i w:val="0"/>
        <w:iCs w:val="0"/>
        <w:w w:val="100"/>
        <w:sz w:val="21"/>
        <w:szCs w:val="21"/>
        <w:lang w:val="en-US" w:eastAsia="zh-CN" w:bidi="ar-SA"/>
      </w:rPr>
    </w:lvl>
    <w:lvl w:ilvl="2" w:tentative="0">
      <w:start w:val="0"/>
      <w:numFmt w:val="bullet"/>
      <w:lvlText w:val="•"/>
      <w:lvlJc w:val="left"/>
      <w:pPr>
        <w:ind w:left="1516" w:hanging="423"/>
      </w:pPr>
      <w:rPr>
        <w:rFonts w:hint="default"/>
        <w:lang w:val="en-US" w:eastAsia="zh-CN" w:bidi="ar-SA"/>
      </w:rPr>
    </w:lvl>
    <w:lvl w:ilvl="3" w:tentative="0">
      <w:start w:val="0"/>
      <w:numFmt w:val="bullet"/>
      <w:lvlText w:val="•"/>
      <w:lvlJc w:val="left"/>
      <w:pPr>
        <w:ind w:left="1773" w:hanging="423"/>
      </w:pPr>
      <w:rPr>
        <w:rFonts w:hint="default"/>
        <w:lang w:val="en-US" w:eastAsia="zh-CN" w:bidi="ar-SA"/>
      </w:rPr>
    </w:lvl>
    <w:lvl w:ilvl="4" w:tentative="0">
      <w:start w:val="0"/>
      <w:numFmt w:val="bullet"/>
      <w:lvlText w:val="•"/>
      <w:lvlJc w:val="left"/>
      <w:pPr>
        <w:ind w:left="2029" w:hanging="423"/>
      </w:pPr>
      <w:rPr>
        <w:rFonts w:hint="default"/>
        <w:lang w:val="en-US" w:eastAsia="zh-CN" w:bidi="ar-SA"/>
      </w:rPr>
    </w:lvl>
    <w:lvl w:ilvl="5" w:tentative="0">
      <w:start w:val="0"/>
      <w:numFmt w:val="bullet"/>
      <w:lvlText w:val="•"/>
      <w:lvlJc w:val="left"/>
      <w:pPr>
        <w:ind w:left="2286" w:hanging="423"/>
      </w:pPr>
      <w:rPr>
        <w:rFonts w:hint="default"/>
        <w:lang w:val="en-US" w:eastAsia="zh-CN" w:bidi="ar-SA"/>
      </w:rPr>
    </w:lvl>
    <w:lvl w:ilvl="6" w:tentative="0">
      <w:start w:val="0"/>
      <w:numFmt w:val="bullet"/>
      <w:lvlText w:val="•"/>
      <w:lvlJc w:val="left"/>
      <w:pPr>
        <w:ind w:left="2542" w:hanging="423"/>
      </w:pPr>
      <w:rPr>
        <w:rFonts w:hint="default"/>
        <w:lang w:val="en-US" w:eastAsia="zh-CN" w:bidi="ar-SA"/>
      </w:rPr>
    </w:lvl>
    <w:lvl w:ilvl="7" w:tentative="0">
      <w:start w:val="0"/>
      <w:numFmt w:val="bullet"/>
      <w:lvlText w:val="•"/>
      <w:lvlJc w:val="left"/>
      <w:pPr>
        <w:ind w:left="2799" w:hanging="423"/>
      </w:pPr>
      <w:rPr>
        <w:rFonts w:hint="default"/>
        <w:lang w:val="en-US" w:eastAsia="zh-CN" w:bidi="ar-SA"/>
      </w:rPr>
    </w:lvl>
    <w:lvl w:ilvl="8" w:tentative="0">
      <w:start w:val="0"/>
      <w:numFmt w:val="bullet"/>
      <w:lvlText w:val="•"/>
      <w:lvlJc w:val="left"/>
      <w:pPr>
        <w:ind w:left="3055" w:hanging="423"/>
      </w:pPr>
      <w:rPr>
        <w:rFonts w:hint="default"/>
        <w:lang w:val="en-US" w:eastAsia="zh-CN" w:bidi="ar-SA"/>
      </w:rPr>
    </w:lvl>
  </w:abstractNum>
  <w:abstractNum w:abstractNumId="30">
    <w:nsid w:val="B88D21A8"/>
    <w:multiLevelType w:val="multilevel"/>
    <w:tmpl w:val="B88D21A8"/>
    <w:lvl w:ilvl="0" w:tentative="0">
      <w:start w:val="1"/>
      <w:numFmt w:val="decimal"/>
      <w:lvlText w:val="（%1）"/>
      <w:lvlJc w:val="left"/>
      <w:pPr>
        <w:ind w:left="10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752" w:hanging="529"/>
      </w:pPr>
      <w:rPr>
        <w:rFonts w:hint="default"/>
        <w:lang w:val="en-US" w:eastAsia="zh-CN" w:bidi="ar-SA"/>
      </w:rPr>
    </w:lvl>
    <w:lvl w:ilvl="2" w:tentative="0">
      <w:start w:val="0"/>
      <w:numFmt w:val="bullet"/>
      <w:lvlText w:val="•"/>
      <w:lvlJc w:val="left"/>
      <w:pPr>
        <w:ind w:left="1405" w:hanging="529"/>
      </w:pPr>
      <w:rPr>
        <w:rFonts w:hint="default"/>
        <w:lang w:val="en-US" w:eastAsia="zh-CN" w:bidi="ar-SA"/>
      </w:rPr>
    </w:lvl>
    <w:lvl w:ilvl="3" w:tentative="0">
      <w:start w:val="0"/>
      <w:numFmt w:val="bullet"/>
      <w:lvlText w:val="•"/>
      <w:lvlJc w:val="left"/>
      <w:pPr>
        <w:ind w:left="2057" w:hanging="529"/>
      </w:pPr>
      <w:rPr>
        <w:rFonts w:hint="default"/>
        <w:lang w:val="en-US" w:eastAsia="zh-CN" w:bidi="ar-SA"/>
      </w:rPr>
    </w:lvl>
    <w:lvl w:ilvl="4" w:tentative="0">
      <w:start w:val="0"/>
      <w:numFmt w:val="bullet"/>
      <w:lvlText w:val="•"/>
      <w:lvlJc w:val="left"/>
      <w:pPr>
        <w:ind w:left="2710" w:hanging="529"/>
      </w:pPr>
      <w:rPr>
        <w:rFonts w:hint="default"/>
        <w:lang w:val="en-US" w:eastAsia="zh-CN" w:bidi="ar-SA"/>
      </w:rPr>
    </w:lvl>
    <w:lvl w:ilvl="5" w:tentative="0">
      <w:start w:val="0"/>
      <w:numFmt w:val="bullet"/>
      <w:lvlText w:val="•"/>
      <w:lvlJc w:val="left"/>
      <w:pPr>
        <w:ind w:left="3363" w:hanging="529"/>
      </w:pPr>
      <w:rPr>
        <w:rFonts w:hint="default"/>
        <w:lang w:val="en-US" w:eastAsia="zh-CN" w:bidi="ar-SA"/>
      </w:rPr>
    </w:lvl>
    <w:lvl w:ilvl="6" w:tentative="0">
      <w:start w:val="0"/>
      <w:numFmt w:val="bullet"/>
      <w:lvlText w:val="•"/>
      <w:lvlJc w:val="left"/>
      <w:pPr>
        <w:ind w:left="4015" w:hanging="529"/>
      </w:pPr>
      <w:rPr>
        <w:rFonts w:hint="default"/>
        <w:lang w:val="en-US" w:eastAsia="zh-CN" w:bidi="ar-SA"/>
      </w:rPr>
    </w:lvl>
    <w:lvl w:ilvl="7" w:tentative="0">
      <w:start w:val="0"/>
      <w:numFmt w:val="bullet"/>
      <w:lvlText w:val="•"/>
      <w:lvlJc w:val="left"/>
      <w:pPr>
        <w:ind w:left="4668" w:hanging="529"/>
      </w:pPr>
      <w:rPr>
        <w:rFonts w:hint="default"/>
        <w:lang w:val="en-US" w:eastAsia="zh-CN" w:bidi="ar-SA"/>
      </w:rPr>
    </w:lvl>
    <w:lvl w:ilvl="8" w:tentative="0">
      <w:start w:val="0"/>
      <w:numFmt w:val="bullet"/>
      <w:lvlText w:val="•"/>
      <w:lvlJc w:val="left"/>
      <w:pPr>
        <w:ind w:left="5320" w:hanging="529"/>
      </w:pPr>
      <w:rPr>
        <w:rFonts w:hint="default"/>
        <w:lang w:val="en-US" w:eastAsia="zh-CN" w:bidi="ar-SA"/>
      </w:rPr>
    </w:lvl>
  </w:abstractNum>
  <w:abstractNum w:abstractNumId="31">
    <w:nsid w:val="B8CEF35B"/>
    <w:multiLevelType w:val="multilevel"/>
    <w:tmpl w:val="B8CEF35B"/>
    <w:lvl w:ilvl="0" w:tentative="0">
      <w:start w:val="1"/>
      <w:numFmt w:val="decimal"/>
      <w:lvlText w:val="（%1）"/>
      <w:lvlJc w:val="left"/>
      <w:pPr>
        <w:ind w:left="636"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238" w:hanging="529"/>
      </w:pPr>
      <w:rPr>
        <w:rFonts w:hint="default"/>
        <w:lang w:val="en-US" w:eastAsia="zh-CN" w:bidi="ar-SA"/>
      </w:rPr>
    </w:lvl>
    <w:lvl w:ilvl="2" w:tentative="0">
      <w:start w:val="0"/>
      <w:numFmt w:val="bullet"/>
      <w:lvlText w:val="•"/>
      <w:lvlJc w:val="left"/>
      <w:pPr>
        <w:ind w:left="1837" w:hanging="529"/>
      </w:pPr>
      <w:rPr>
        <w:rFonts w:hint="default"/>
        <w:lang w:val="en-US" w:eastAsia="zh-CN" w:bidi="ar-SA"/>
      </w:rPr>
    </w:lvl>
    <w:lvl w:ilvl="3" w:tentative="0">
      <w:start w:val="0"/>
      <w:numFmt w:val="bullet"/>
      <w:lvlText w:val="•"/>
      <w:lvlJc w:val="left"/>
      <w:pPr>
        <w:ind w:left="2435" w:hanging="529"/>
      </w:pPr>
      <w:rPr>
        <w:rFonts w:hint="default"/>
        <w:lang w:val="en-US" w:eastAsia="zh-CN" w:bidi="ar-SA"/>
      </w:rPr>
    </w:lvl>
    <w:lvl w:ilvl="4" w:tentative="0">
      <w:start w:val="0"/>
      <w:numFmt w:val="bullet"/>
      <w:lvlText w:val="•"/>
      <w:lvlJc w:val="left"/>
      <w:pPr>
        <w:ind w:left="3034" w:hanging="529"/>
      </w:pPr>
      <w:rPr>
        <w:rFonts w:hint="default"/>
        <w:lang w:val="en-US" w:eastAsia="zh-CN" w:bidi="ar-SA"/>
      </w:rPr>
    </w:lvl>
    <w:lvl w:ilvl="5" w:tentative="0">
      <w:start w:val="0"/>
      <w:numFmt w:val="bullet"/>
      <w:lvlText w:val="•"/>
      <w:lvlJc w:val="left"/>
      <w:pPr>
        <w:ind w:left="3633" w:hanging="529"/>
      </w:pPr>
      <w:rPr>
        <w:rFonts w:hint="default"/>
        <w:lang w:val="en-US" w:eastAsia="zh-CN" w:bidi="ar-SA"/>
      </w:rPr>
    </w:lvl>
    <w:lvl w:ilvl="6" w:tentative="0">
      <w:start w:val="0"/>
      <w:numFmt w:val="bullet"/>
      <w:lvlText w:val="•"/>
      <w:lvlJc w:val="left"/>
      <w:pPr>
        <w:ind w:left="4231" w:hanging="529"/>
      </w:pPr>
      <w:rPr>
        <w:rFonts w:hint="default"/>
        <w:lang w:val="en-US" w:eastAsia="zh-CN" w:bidi="ar-SA"/>
      </w:rPr>
    </w:lvl>
    <w:lvl w:ilvl="7" w:tentative="0">
      <w:start w:val="0"/>
      <w:numFmt w:val="bullet"/>
      <w:lvlText w:val="•"/>
      <w:lvlJc w:val="left"/>
      <w:pPr>
        <w:ind w:left="4830" w:hanging="529"/>
      </w:pPr>
      <w:rPr>
        <w:rFonts w:hint="default"/>
        <w:lang w:val="en-US" w:eastAsia="zh-CN" w:bidi="ar-SA"/>
      </w:rPr>
    </w:lvl>
    <w:lvl w:ilvl="8" w:tentative="0">
      <w:start w:val="0"/>
      <w:numFmt w:val="bullet"/>
      <w:lvlText w:val="•"/>
      <w:lvlJc w:val="left"/>
      <w:pPr>
        <w:ind w:left="5428" w:hanging="529"/>
      </w:pPr>
      <w:rPr>
        <w:rFonts w:hint="default"/>
        <w:lang w:val="en-US" w:eastAsia="zh-CN" w:bidi="ar-SA"/>
      </w:rPr>
    </w:lvl>
  </w:abstractNum>
  <w:abstractNum w:abstractNumId="32">
    <w:nsid w:val="BB64CFA9"/>
    <w:multiLevelType w:val="multilevel"/>
    <w:tmpl w:val="BB64CFA9"/>
    <w:lvl w:ilvl="0" w:tentative="0">
      <w:start w:val="1"/>
      <w:numFmt w:val="decimal"/>
      <w:lvlText w:val="（%1）"/>
      <w:lvlJc w:val="left"/>
      <w:pPr>
        <w:ind w:left="636"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238" w:hanging="529"/>
      </w:pPr>
      <w:rPr>
        <w:rFonts w:hint="default"/>
        <w:lang w:val="en-US" w:eastAsia="zh-CN" w:bidi="ar-SA"/>
      </w:rPr>
    </w:lvl>
    <w:lvl w:ilvl="2" w:tentative="0">
      <w:start w:val="0"/>
      <w:numFmt w:val="bullet"/>
      <w:lvlText w:val="•"/>
      <w:lvlJc w:val="left"/>
      <w:pPr>
        <w:ind w:left="1837" w:hanging="529"/>
      </w:pPr>
      <w:rPr>
        <w:rFonts w:hint="default"/>
        <w:lang w:val="en-US" w:eastAsia="zh-CN" w:bidi="ar-SA"/>
      </w:rPr>
    </w:lvl>
    <w:lvl w:ilvl="3" w:tentative="0">
      <w:start w:val="0"/>
      <w:numFmt w:val="bullet"/>
      <w:lvlText w:val="•"/>
      <w:lvlJc w:val="left"/>
      <w:pPr>
        <w:ind w:left="2435" w:hanging="529"/>
      </w:pPr>
      <w:rPr>
        <w:rFonts w:hint="default"/>
        <w:lang w:val="en-US" w:eastAsia="zh-CN" w:bidi="ar-SA"/>
      </w:rPr>
    </w:lvl>
    <w:lvl w:ilvl="4" w:tentative="0">
      <w:start w:val="0"/>
      <w:numFmt w:val="bullet"/>
      <w:lvlText w:val="•"/>
      <w:lvlJc w:val="left"/>
      <w:pPr>
        <w:ind w:left="3034" w:hanging="529"/>
      </w:pPr>
      <w:rPr>
        <w:rFonts w:hint="default"/>
        <w:lang w:val="en-US" w:eastAsia="zh-CN" w:bidi="ar-SA"/>
      </w:rPr>
    </w:lvl>
    <w:lvl w:ilvl="5" w:tentative="0">
      <w:start w:val="0"/>
      <w:numFmt w:val="bullet"/>
      <w:lvlText w:val="•"/>
      <w:lvlJc w:val="left"/>
      <w:pPr>
        <w:ind w:left="3633" w:hanging="529"/>
      </w:pPr>
      <w:rPr>
        <w:rFonts w:hint="default"/>
        <w:lang w:val="en-US" w:eastAsia="zh-CN" w:bidi="ar-SA"/>
      </w:rPr>
    </w:lvl>
    <w:lvl w:ilvl="6" w:tentative="0">
      <w:start w:val="0"/>
      <w:numFmt w:val="bullet"/>
      <w:lvlText w:val="•"/>
      <w:lvlJc w:val="left"/>
      <w:pPr>
        <w:ind w:left="4231" w:hanging="529"/>
      </w:pPr>
      <w:rPr>
        <w:rFonts w:hint="default"/>
        <w:lang w:val="en-US" w:eastAsia="zh-CN" w:bidi="ar-SA"/>
      </w:rPr>
    </w:lvl>
    <w:lvl w:ilvl="7" w:tentative="0">
      <w:start w:val="0"/>
      <w:numFmt w:val="bullet"/>
      <w:lvlText w:val="•"/>
      <w:lvlJc w:val="left"/>
      <w:pPr>
        <w:ind w:left="4830" w:hanging="529"/>
      </w:pPr>
      <w:rPr>
        <w:rFonts w:hint="default"/>
        <w:lang w:val="en-US" w:eastAsia="zh-CN" w:bidi="ar-SA"/>
      </w:rPr>
    </w:lvl>
    <w:lvl w:ilvl="8" w:tentative="0">
      <w:start w:val="0"/>
      <w:numFmt w:val="bullet"/>
      <w:lvlText w:val="•"/>
      <w:lvlJc w:val="left"/>
      <w:pPr>
        <w:ind w:left="5428" w:hanging="529"/>
      </w:pPr>
      <w:rPr>
        <w:rFonts w:hint="default"/>
        <w:lang w:val="en-US" w:eastAsia="zh-CN" w:bidi="ar-SA"/>
      </w:rPr>
    </w:lvl>
  </w:abstractNum>
  <w:abstractNum w:abstractNumId="33">
    <w:nsid w:val="BCECA0B4"/>
    <w:multiLevelType w:val="multilevel"/>
    <w:tmpl w:val="BCECA0B4"/>
    <w:lvl w:ilvl="0" w:tentative="0">
      <w:start w:val="1"/>
      <w:numFmt w:val="decimal"/>
      <w:lvlText w:val="（%1）"/>
      <w:lvlJc w:val="left"/>
      <w:pPr>
        <w:ind w:left="10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752" w:hanging="529"/>
      </w:pPr>
      <w:rPr>
        <w:rFonts w:hint="default"/>
        <w:lang w:val="en-US" w:eastAsia="zh-CN" w:bidi="ar-SA"/>
      </w:rPr>
    </w:lvl>
    <w:lvl w:ilvl="2" w:tentative="0">
      <w:start w:val="0"/>
      <w:numFmt w:val="bullet"/>
      <w:lvlText w:val="•"/>
      <w:lvlJc w:val="left"/>
      <w:pPr>
        <w:ind w:left="1405" w:hanging="529"/>
      </w:pPr>
      <w:rPr>
        <w:rFonts w:hint="default"/>
        <w:lang w:val="en-US" w:eastAsia="zh-CN" w:bidi="ar-SA"/>
      </w:rPr>
    </w:lvl>
    <w:lvl w:ilvl="3" w:tentative="0">
      <w:start w:val="0"/>
      <w:numFmt w:val="bullet"/>
      <w:lvlText w:val="•"/>
      <w:lvlJc w:val="left"/>
      <w:pPr>
        <w:ind w:left="2057" w:hanging="529"/>
      </w:pPr>
      <w:rPr>
        <w:rFonts w:hint="default"/>
        <w:lang w:val="en-US" w:eastAsia="zh-CN" w:bidi="ar-SA"/>
      </w:rPr>
    </w:lvl>
    <w:lvl w:ilvl="4" w:tentative="0">
      <w:start w:val="0"/>
      <w:numFmt w:val="bullet"/>
      <w:lvlText w:val="•"/>
      <w:lvlJc w:val="left"/>
      <w:pPr>
        <w:ind w:left="2710" w:hanging="529"/>
      </w:pPr>
      <w:rPr>
        <w:rFonts w:hint="default"/>
        <w:lang w:val="en-US" w:eastAsia="zh-CN" w:bidi="ar-SA"/>
      </w:rPr>
    </w:lvl>
    <w:lvl w:ilvl="5" w:tentative="0">
      <w:start w:val="0"/>
      <w:numFmt w:val="bullet"/>
      <w:lvlText w:val="•"/>
      <w:lvlJc w:val="left"/>
      <w:pPr>
        <w:ind w:left="3363" w:hanging="529"/>
      </w:pPr>
      <w:rPr>
        <w:rFonts w:hint="default"/>
        <w:lang w:val="en-US" w:eastAsia="zh-CN" w:bidi="ar-SA"/>
      </w:rPr>
    </w:lvl>
    <w:lvl w:ilvl="6" w:tentative="0">
      <w:start w:val="0"/>
      <w:numFmt w:val="bullet"/>
      <w:lvlText w:val="•"/>
      <w:lvlJc w:val="left"/>
      <w:pPr>
        <w:ind w:left="4015" w:hanging="529"/>
      </w:pPr>
      <w:rPr>
        <w:rFonts w:hint="default"/>
        <w:lang w:val="en-US" w:eastAsia="zh-CN" w:bidi="ar-SA"/>
      </w:rPr>
    </w:lvl>
    <w:lvl w:ilvl="7" w:tentative="0">
      <w:start w:val="0"/>
      <w:numFmt w:val="bullet"/>
      <w:lvlText w:val="•"/>
      <w:lvlJc w:val="left"/>
      <w:pPr>
        <w:ind w:left="4668" w:hanging="529"/>
      </w:pPr>
      <w:rPr>
        <w:rFonts w:hint="default"/>
        <w:lang w:val="en-US" w:eastAsia="zh-CN" w:bidi="ar-SA"/>
      </w:rPr>
    </w:lvl>
    <w:lvl w:ilvl="8" w:tentative="0">
      <w:start w:val="0"/>
      <w:numFmt w:val="bullet"/>
      <w:lvlText w:val="•"/>
      <w:lvlJc w:val="left"/>
      <w:pPr>
        <w:ind w:left="5320" w:hanging="529"/>
      </w:pPr>
      <w:rPr>
        <w:rFonts w:hint="default"/>
        <w:lang w:val="en-US" w:eastAsia="zh-CN" w:bidi="ar-SA"/>
      </w:rPr>
    </w:lvl>
  </w:abstractNum>
  <w:abstractNum w:abstractNumId="34">
    <w:nsid w:val="BDA1395C"/>
    <w:multiLevelType w:val="multilevel"/>
    <w:tmpl w:val="BDA1395C"/>
    <w:lvl w:ilvl="0" w:tentative="0">
      <w:start w:val="1"/>
      <w:numFmt w:val="decimal"/>
      <w:lvlText w:val="（%1）"/>
      <w:lvlJc w:val="left"/>
      <w:pPr>
        <w:ind w:left="10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752" w:hanging="529"/>
      </w:pPr>
      <w:rPr>
        <w:rFonts w:hint="default"/>
        <w:lang w:val="en-US" w:eastAsia="zh-CN" w:bidi="ar-SA"/>
      </w:rPr>
    </w:lvl>
    <w:lvl w:ilvl="2" w:tentative="0">
      <w:start w:val="0"/>
      <w:numFmt w:val="bullet"/>
      <w:lvlText w:val="•"/>
      <w:lvlJc w:val="left"/>
      <w:pPr>
        <w:ind w:left="1405" w:hanging="529"/>
      </w:pPr>
      <w:rPr>
        <w:rFonts w:hint="default"/>
        <w:lang w:val="en-US" w:eastAsia="zh-CN" w:bidi="ar-SA"/>
      </w:rPr>
    </w:lvl>
    <w:lvl w:ilvl="3" w:tentative="0">
      <w:start w:val="0"/>
      <w:numFmt w:val="bullet"/>
      <w:lvlText w:val="•"/>
      <w:lvlJc w:val="left"/>
      <w:pPr>
        <w:ind w:left="2057" w:hanging="529"/>
      </w:pPr>
      <w:rPr>
        <w:rFonts w:hint="default"/>
        <w:lang w:val="en-US" w:eastAsia="zh-CN" w:bidi="ar-SA"/>
      </w:rPr>
    </w:lvl>
    <w:lvl w:ilvl="4" w:tentative="0">
      <w:start w:val="0"/>
      <w:numFmt w:val="bullet"/>
      <w:lvlText w:val="•"/>
      <w:lvlJc w:val="left"/>
      <w:pPr>
        <w:ind w:left="2710" w:hanging="529"/>
      </w:pPr>
      <w:rPr>
        <w:rFonts w:hint="default"/>
        <w:lang w:val="en-US" w:eastAsia="zh-CN" w:bidi="ar-SA"/>
      </w:rPr>
    </w:lvl>
    <w:lvl w:ilvl="5" w:tentative="0">
      <w:start w:val="0"/>
      <w:numFmt w:val="bullet"/>
      <w:lvlText w:val="•"/>
      <w:lvlJc w:val="left"/>
      <w:pPr>
        <w:ind w:left="3363" w:hanging="529"/>
      </w:pPr>
      <w:rPr>
        <w:rFonts w:hint="default"/>
        <w:lang w:val="en-US" w:eastAsia="zh-CN" w:bidi="ar-SA"/>
      </w:rPr>
    </w:lvl>
    <w:lvl w:ilvl="6" w:tentative="0">
      <w:start w:val="0"/>
      <w:numFmt w:val="bullet"/>
      <w:lvlText w:val="•"/>
      <w:lvlJc w:val="left"/>
      <w:pPr>
        <w:ind w:left="4015" w:hanging="529"/>
      </w:pPr>
      <w:rPr>
        <w:rFonts w:hint="default"/>
        <w:lang w:val="en-US" w:eastAsia="zh-CN" w:bidi="ar-SA"/>
      </w:rPr>
    </w:lvl>
    <w:lvl w:ilvl="7" w:tentative="0">
      <w:start w:val="0"/>
      <w:numFmt w:val="bullet"/>
      <w:lvlText w:val="•"/>
      <w:lvlJc w:val="left"/>
      <w:pPr>
        <w:ind w:left="4668" w:hanging="529"/>
      </w:pPr>
      <w:rPr>
        <w:rFonts w:hint="default"/>
        <w:lang w:val="en-US" w:eastAsia="zh-CN" w:bidi="ar-SA"/>
      </w:rPr>
    </w:lvl>
    <w:lvl w:ilvl="8" w:tentative="0">
      <w:start w:val="0"/>
      <w:numFmt w:val="bullet"/>
      <w:lvlText w:val="•"/>
      <w:lvlJc w:val="left"/>
      <w:pPr>
        <w:ind w:left="5320" w:hanging="529"/>
      </w:pPr>
      <w:rPr>
        <w:rFonts w:hint="default"/>
        <w:lang w:val="en-US" w:eastAsia="zh-CN" w:bidi="ar-SA"/>
      </w:rPr>
    </w:lvl>
  </w:abstractNum>
  <w:abstractNum w:abstractNumId="35">
    <w:nsid w:val="BE8A4F4C"/>
    <w:multiLevelType w:val="multilevel"/>
    <w:tmpl w:val="BE8A4F4C"/>
    <w:lvl w:ilvl="0" w:tentative="0">
      <w:start w:val="2"/>
      <w:numFmt w:val="decimal"/>
      <w:lvlText w:val="（%1）"/>
      <w:lvlJc w:val="left"/>
      <w:pPr>
        <w:ind w:left="10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752" w:hanging="529"/>
      </w:pPr>
      <w:rPr>
        <w:rFonts w:hint="default"/>
        <w:lang w:val="en-US" w:eastAsia="zh-CN" w:bidi="ar-SA"/>
      </w:rPr>
    </w:lvl>
    <w:lvl w:ilvl="2" w:tentative="0">
      <w:start w:val="0"/>
      <w:numFmt w:val="bullet"/>
      <w:lvlText w:val="•"/>
      <w:lvlJc w:val="left"/>
      <w:pPr>
        <w:ind w:left="1405" w:hanging="529"/>
      </w:pPr>
      <w:rPr>
        <w:rFonts w:hint="default"/>
        <w:lang w:val="en-US" w:eastAsia="zh-CN" w:bidi="ar-SA"/>
      </w:rPr>
    </w:lvl>
    <w:lvl w:ilvl="3" w:tentative="0">
      <w:start w:val="0"/>
      <w:numFmt w:val="bullet"/>
      <w:lvlText w:val="•"/>
      <w:lvlJc w:val="left"/>
      <w:pPr>
        <w:ind w:left="2057" w:hanging="529"/>
      </w:pPr>
      <w:rPr>
        <w:rFonts w:hint="default"/>
        <w:lang w:val="en-US" w:eastAsia="zh-CN" w:bidi="ar-SA"/>
      </w:rPr>
    </w:lvl>
    <w:lvl w:ilvl="4" w:tentative="0">
      <w:start w:val="0"/>
      <w:numFmt w:val="bullet"/>
      <w:lvlText w:val="•"/>
      <w:lvlJc w:val="left"/>
      <w:pPr>
        <w:ind w:left="2710" w:hanging="529"/>
      </w:pPr>
      <w:rPr>
        <w:rFonts w:hint="default"/>
        <w:lang w:val="en-US" w:eastAsia="zh-CN" w:bidi="ar-SA"/>
      </w:rPr>
    </w:lvl>
    <w:lvl w:ilvl="5" w:tentative="0">
      <w:start w:val="0"/>
      <w:numFmt w:val="bullet"/>
      <w:lvlText w:val="•"/>
      <w:lvlJc w:val="left"/>
      <w:pPr>
        <w:ind w:left="3363" w:hanging="529"/>
      </w:pPr>
      <w:rPr>
        <w:rFonts w:hint="default"/>
        <w:lang w:val="en-US" w:eastAsia="zh-CN" w:bidi="ar-SA"/>
      </w:rPr>
    </w:lvl>
    <w:lvl w:ilvl="6" w:tentative="0">
      <w:start w:val="0"/>
      <w:numFmt w:val="bullet"/>
      <w:lvlText w:val="•"/>
      <w:lvlJc w:val="left"/>
      <w:pPr>
        <w:ind w:left="4015" w:hanging="529"/>
      </w:pPr>
      <w:rPr>
        <w:rFonts w:hint="default"/>
        <w:lang w:val="en-US" w:eastAsia="zh-CN" w:bidi="ar-SA"/>
      </w:rPr>
    </w:lvl>
    <w:lvl w:ilvl="7" w:tentative="0">
      <w:start w:val="0"/>
      <w:numFmt w:val="bullet"/>
      <w:lvlText w:val="•"/>
      <w:lvlJc w:val="left"/>
      <w:pPr>
        <w:ind w:left="4668" w:hanging="529"/>
      </w:pPr>
      <w:rPr>
        <w:rFonts w:hint="default"/>
        <w:lang w:val="en-US" w:eastAsia="zh-CN" w:bidi="ar-SA"/>
      </w:rPr>
    </w:lvl>
    <w:lvl w:ilvl="8" w:tentative="0">
      <w:start w:val="0"/>
      <w:numFmt w:val="bullet"/>
      <w:lvlText w:val="•"/>
      <w:lvlJc w:val="left"/>
      <w:pPr>
        <w:ind w:left="5320" w:hanging="529"/>
      </w:pPr>
      <w:rPr>
        <w:rFonts w:hint="default"/>
        <w:lang w:val="en-US" w:eastAsia="zh-CN" w:bidi="ar-SA"/>
      </w:rPr>
    </w:lvl>
  </w:abstractNum>
  <w:abstractNum w:abstractNumId="36">
    <w:nsid w:val="BE923771"/>
    <w:multiLevelType w:val="multilevel"/>
    <w:tmpl w:val="BE923771"/>
    <w:lvl w:ilvl="0" w:tentative="0">
      <w:start w:val="1"/>
      <w:numFmt w:val="decimal"/>
      <w:lvlText w:val="（%1）"/>
      <w:lvlJc w:val="left"/>
      <w:pPr>
        <w:ind w:left="720" w:hanging="530"/>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375" w:hanging="530"/>
      </w:pPr>
      <w:rPr>
        <w:rFonts w:hint="default"/>
        <w:lang w:val="en-US" w:eastAsia="zh-CN" w:bidi="ar-SA"/>
      </w:rPr>
    </w:lvl>
    <w:lvl w:ilvl="2" w:tentative="0">
      <w:start w:val="0"/>
      <w:numFmt w:val="bullet"/>
      <w:lvlText w:val="•"/>
      <w:lvlJc w:val="left"/>
      <w:pPr>
        <w:ind w:left="2031" w:hanging="530"/>
      </w:pPr>
      <w:rPr>
        <w:rFonts w:hint="default"/>
        <w:lang w:val="en-US" w:eastAsia="zh-CN" w:bidi="ar-SA"/>
      </w:rPr>
    </w:lvl>
    <w:lvl w:ilvl="3" w:tentative="0">
      <w:start w:val="0"/>
      <w:numFmt w:val="bullet"/>
      <w:lvlText w:val="•"/>
      <w:lvlJc w:val="left"/>
      <w:pPr>
        <w:ind w:left="2687" w:hanging="530"/>
      </w:pPr>
      <w:rPr>
        <w:rFonts w:hint="default"/>
        <w:lang w:val="en-US" w:eastAsia="zh-CN" w:bidi="ar-SA"/>
      </w:rPr>
    </w:lvl>
    <w:lvl w:ilvl="4" w:tentative="0">
      <w:start w:val="0"/>
      <w:numFmt w:val="bullet"/>
      <w:lvlText w:val="•"/>
      <w:lvlJc w:val="left"/>
      <w:pPr>
        <w:ind w:left="3343" w:hanging="530"/>
      </w:pPr>
      <w:rPr>
        <w:rFonts w:hint="default"/>
        <w:lang w:val="en-US" w:eastAsia="zh-CN" w:bidi="ar-SA"/>
      </w:rPr>
    </w:lvl>
    <w:lvl w:ilvl="5" w:tentative="0">
      <w:start w:val="0"/>
      <w:numFmt w:val="bullet"/>
      <w:lvlText w:val="•"/>
      <w:lvlJc w:val="left"/>
      <w:pPr>
        <w:ind w:left="3999" w:hanging="530"/>
      </w:pPr>
      <w:rPr>
        <w:rFonts w:hint="default"/>
        <w:lang w:val="en-US" w:eastAsia="zh-CN" w:bidi="ar-SA"/>
      </w:rPr>
    </w:lvl>
    <w:lvl w:ilvl="6" w:tentative="0">
      <w:start w:val="0"/>
      <w:numFmt w:val="bullet"/>
      <w:lvlText w:val="•"/>
      <w:lvlJc w:val="left"/>
      <w:pPr>
        <w:ind w:left="4655" w:hanging="530"/>
      </w:pPr>
      <w:rPr>
        <w:rFonts w:hint="default"/>
        <w:lang w:val="en-US" w:eastAsia="zh-CN" w:bidi="ar-SA"/>
      </w:rPr>
    </w:lvl>
    <w:lvl w:ilvl="7" w:tentative="0">
      <w:start w:val="0"/>
      <w:numFmt w:val="bullet"/>
      <w:lvlText w:val="•"/>
      <w:lvlJc w:val="left"/>
      <w:pPr>
        <w:ind w:left="5311" w:hanging="530"/>
      </w:pPr>
      <w:rPr>
        <w:rFonts w:hint="default"/>
        <w:lang w:val="en-US" w:eastAsia="zh-CN" w:bidi="ar-SA"/>
      </w:rPr>
    </w:lvl>
    <w:lvl w:ilvl="8" w:tentative="0">
      <w:start w:val="0"/>
      <w:numFmt w:val="bullet"/>
      <w:lvlText w:val="•"/>
      <w:lvlJc w:val="left"/>
      <w:pPr>
        <w:ind w:left="5967" w:hanging="530"/>
      </w:pPr>
      <w:rPr>
        <w:rFonts w:hint="default"/>
        <w:lang w:val="en-US" w:eastAsia="zh-CN" w:bidi="ar-SA"/>
      </w:rPr>
    </w:lvl>
  </w:abstractNum>
  <w:abstractNum w:abstractNumId="37">
    <w:nsid w:val="BF205925"/>
    <w:multiLevelType w:val="multilevel"/>
    <w:tmpl w:val="BF205925"/>
    <w:lvl w:ilvl="0" w:tentative="0">
      <w:start w:val="3"/>
      <w:numFmt w:val="decimal"/>
      <w:lvlText w:val="%1"/>
      <w:lvlJc w:val="left"/>
      <w:pPr>
        <w:ind w:left="1257" w:hanging="423"/>
        <w:jc w:val="left"/>
      </w:pPr>
      <w:rPr>
        <w:rFonts w:hint="default"/>
        <w:lang w:val="en-US" w:eastAsia="zh-CN" w:bidi="ar-SA"/>
      </w:rPr>
    </w:lvl>
    <w:lvl w:ilvl="1" w:tentative="0">
      <w:start w:val="1"/>
      <w:numFmt w:val="decimal"/>
      <w:lvlText w:val="%1.%2"/>
      <w:lvlJc w:val="left"/>
      <w:pPr>
        <w:ind w:left="1257" w:hanging="423"/>
        <w:jc w:val="left"/>
      </w:pPr>
      <w:rPr>
        <w:rFonts w:hint="default" w:ascii="宋体" w:hAnsi="宋体" w:eastAsia="宋体" w:cs="宋体"/>
        <w:b w:val="0"/>
        <w:bCs w:val="0"/>
        <w:i w:val="0"/>
        <w:iCs w:val="0"/>
        <w:w w:val="100"/>
        <w:sz w:val="21"/>
        <w:szCs w:val="21"/>
        <w:lang w:val="en-US" w:eastAsia="zh-CN" w:bidi="ar-SA"/>
      </w:rPr>
    </w:lvl>
    <w:lvl w:ilvl="2" w:tentative="0">
      <w:start w:val="0"/>
      <w:numFmt w:val="bullet"/>
      <w:lvlText w:val="•"/>
      <w:lvlJc w:val="left"/>
      <w:pPr>
        <w:ind w:left="1721" w:hanging="423"/>
      </w:pPr>
      <w:rPr>
        <w:rFonts w:hint="default"/>
        <w:lang w:val="en-US" w:eastAsia="zh-CN" w:bidi="ar-SA"/>
      </w:rPr>
    </w:lvl>
    <w:lvl w:ilvl="3" w:tentative="0">
      <w:start w:val="0"/>
      <w:numFmt w:val="bullet"/>
      <w:lvlText w:val="•"/>
      <w:lvlJc w:val="left"/>
      <w:pPr>
        <w:ind w:left="1952" w:hanging="423"/>
      </w:pPr>
      <w:rPr>
        <w:rFonts w:hint="default"/>
        <w:lang w:val="en-US" w:eastAsia="zh-CN" w:bidi="ar-SA"/>
      </w:rPr>
    </w:lvl>
    <w:lvl w:ilvl="4" w:tentative="0">
      <w:start w:val="0"/>
      <w:numFmt w:val="bullet"/>
      <w:lvlText w:val="•"/>
      <w:lvlJc w:val="left"/>
      <w:pPr>
        <w:ind w:left="2183" w:hanging="423"/>
      </w:pPr>
      <w:rPr>
        <w:rFonts w:hint="default"/>
        <w:lang w:val="en-US" w:eastAsia="zh-CN" w:bidi="ar-SA"/>
      </w:rPr>
    </w:lvl>
    <w:lvl w:ilvl="5" w:tentative="0">
      <w:start w:val="0"/>
      <w:numFmt w:val="bullet"/>
      <w:lvlText w:val="•"/>
      <w:lvlJc w:val="left"/>
      <w:pPr>
        <w:ind w:left="2414" w:hanging="423"/>
      </w:pPr>
      <w:rPr>
        <w:rFonts w:hint="default"/>
        <w:lang w:val="en-US" w:eastAsia="zh-CN" w:bidi="ar-SA"/>
      </w:rPr>
    </w:lvl>
    <w:lvl w:ilvl="6" w:tentative="0">
      <w:start w:val="0"/>
      <w:numFmt w:val="bullet"/>
      <w:lvlText w:val="•"/>
      <w:lvlJc w:val="left"/>
      <w:pPr>
        <w:ind w:left="2645" w:hanging="423"/>
      </w:pPr>
      <w:rPr>
        <w:rFonts w:hint="default"/>
        <w:lang w:val="en-US" w:eastAsia="zh-CN" w:bidi="ar-SA"/>
      </w:rPr>
    </w:lvl>
    <w:lvl w:ilvl="7" w:tentative="0">
      <w:start w:val="0"/>
      <w:numFmt w:val="bullet"/>
      <w:lvlText w:val="•"/>
      <w:lvlJc w:val="left"/>
      <w:pPr>
        <w:ind w:left="2876" w:hanging="423"/>
      </w:pPr>
      <w:rPr>
        <w:rFonts w:hint="default"/>
        <w:lang w:val="en-US" w:eastAsia="zh-CN" w:bidi="ar-SA"/>
      </w:rPr>
    </w:lvl>
    <w:lvl w:ilvl="8" w:tentative="0">
      <w:start w:val="0"/>
      <w:numFmt w:val="bullet"/>
      <w:lvlText w:val="•"/>
      <w:lvlJc w:val="left"/>
      <w:pPr>
        <w:ind w:left="3107" w:hanging="423"/>
      </w:pPr>
      <w:rPr>
        <w:rFonts w:hint="default"/>
        <w:lang w:val="en-US" w:eastAsia="zh-CN" w:bidi="ar-SA"/>
      </w:rPr>
    </w:lvl>
  </w:abstractNum>
  <w:abstractNum w:abstractNumId="38">
    <w:nsid w:val="BF50FE6B"/>
    <w:multiLevelType w:val="multilevel"/>
    <w:tmpl w:val="BF50FE6B"/>
    <w:lvl w:ilvl="0" w:tentative="0">
      <w:start w:val="1"/>
      <w:numFmt w:val="lowerLetter"/>
      <w:lvlText w:val="%1."/>
      <w:lvlJc w:val="left"/>
      <w:pPr>
        <w:ind w:left="108" w:hanging="213"/>
        <w:jc w:val="left"/>
      </w:pPr>
      <w:rPr>
        <w:rFonts w:hint="default" w:ascii="黑体" w:hAnsi="黑体" w:eastAsia="黑体" w:cs="黑体"/>
        <w:b w:val="0"/>
        <w:bCs w:val="0"/>
        <w:i w:val="0"/>
        <w:iCs w:val="0"/>
        <w:w w:val="100"/>
        <w:sz w:val="19"/>
        <w:szCs w:val="19"/>
        <w:shd w:val="clear" w:color="auto" w:fill="D9D9D9"/>
        <w:lang w:val="en-US" w:eastAsia="zh-CN" w:bidi="ar-SA"/>
      </w:rPr>
    </w:lvl>
    <w:lvl w:ilvl="1" w:tentative="0">
      <w:start w:val="0"/>
      <w:numFmt w:val="bullet"/>
      <w:lvlText w:val="•"/>
      <w:lvlJc w:val="left"/>
      <w:pPr>
        <w:ind w:left="753" w:hanging="213"/>
      </w:pPr>
      <w:rPr>
        <w:rFonts w:hint="default"/>
        <w:lang w:val="en-US" w:eastAsia="zh-CN" w:bidi="ar-SA"/>
      </w:rPr>
    </w:lvl>
    <w:lvl w:ilvl="2" w:tentative="0">
      <w:start w:val="0"/>
      <w:numFmt w:val="bullet"/>
      <w:lvlText w:val="•"/>
      <w:lvlJc w:val="left"/>
      <w:pPr>
        <w:ind w:left="1406" w:hanging="213"/>
      </w:pPr>
      <w:rPr>
        <w:rFonts w:hint="default"/>
        <w:lang w:val="en-US" w:eastAsia="zh-CN" w:bidi="ar-SA"/>
      </w:rPr>
    </w:lvl>
    <w:lvl w:ilvl="3" w:tentative="0">
      <w:start w:val="0"/>
      <w:numFmt w:val="bullet"/>
      <w:lvlText w:val="•"/>
      <w:lvlJc w:val="left"/>
      <w:pPr>
        <w:ind w:left="2059" w:hanging="213"/>
      </w:pPr>
      <w:rPr>
        <w:rFonts w:hint="default"/>
        <w:lang w:val="en-US" w:eastAsia="zh-CN" w:bidi="ar-SA"/>
      </w:rPr>
    </w:lvl>
    <w:lvl w:ilvl="4" w:tentative="0">
      <w:start w:val="0"/>
      <w:numFmt w:val="bullet"/>
      <w:lvlText w:val="•"/>
      <w:lvlJc w:val="left"/>
      <w:pPr>
        <w:ind w:left="2713" w:hanging="213"/>
      </w:pPr>
      <w:rPr>
        <w:rFonts w:hint="default"/>
        <w:lang w:val="en-US" w:eastAsia="zh-CN" w:bidi="ar-SA"/>
      </w:rPr>
    </w:lvl>
    <w:lvl w:ilvl="5" w:tentative="0">
      <w:start w:val="0"/>
      <w:numFmt w:val="bullet"/>
      <w:lvlText w:val="•"/>
      <w:lvlJc w:val="left"/>
      <w:pPr>
        <w:ind w:left="3366" w:hanging="213"/>
      </w:pPr>
      <w:rPr>
        <w:rFonts w:hint="default"/>
        <w:lang w:val="en-US" w:eastAsia="zh-CN" w:bidi="ar-SA"/>
      </w:rPr>
    </w:lvl>
    <w:lvl w:ilvl="6" w:tentative="0">
      <w:start w:val="0"/>
      <w:numFmt w:val="bullet"/>
      <w:lvlText w:val="•"/>
      <w:lvlJc w:val="left"/>
      <w:pPr>
        <w:ind w:left="4019" w:hanging="213"/>
      </w:pPr>
      <w:rPr>
        <w:rFonts w:hint="default"/>
        <w:lang w:val="en-US" w:eastAsia="zh-CN" w:bidi="ar-SA"/>
      </w:rPr>
    </w:lvl>
    <w:lvl w:ilvl="7" w:tentative="0">
      <w:start w:val="0"/>
      <w:numFmt w:val="bullet"/>
      <w:lvlText w:val="•"/>
      <w:lvlJc w:val="left"/>
      <w:pPr>
        <w:ind w:left="4673" w:hanging="213"/>
      </w:pPr>
      <w:rPr>
        <w:rFonts w:hint="default"/>
        <w:lang w:val="en-US" w:eastAsia="zh-CN" w:bidi="ar-SA"/>
      </w:rPr>
    </w:lvl>
    <w:lvl w:ilvl="8" w:tentative="0">
      <w:start w:val="0"/>
      <w:numFmt w:val="bullet"/>
      <w:lvlText w:val="•"/>
      <w:lvlJc w:val="left"/>
      <w:pPr>
        <w:ind w:left="5326" w:hanging="213"/>
      </w:pPr>
      <w:rPr>
        <w:rFonts w:hint="default"/>
        <w:lang w:val="en-US" w:eastAsia="zh-CN" w:bidi="ar-SA"/>
      </w:rPr>
    </w:lvl>
  </w:abstractNum>
  <w:abstractNum w:abstractNumId="39">
    <w:nsid w:val="C0915F4F"/>
    <w:multiLevelType w:val="multilevel"/>
    <w:tmpl w:val="C0915F4F"/>
    <w:lvl w:ilvl="0" w:tentative="0">
      <w:start w:val="1"/>
      <w:numFmt w:val="decimal"/>
      <w:lvlText w:val="（%1）"/>
      <w:lvlJc w:val="left"/>
      <w:pPr>
        <w:ind w:left="10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752" w:hanging="529"/>
      </w:pPr>
      <w:rPr>
        <w:rFonts w:hint="default"/>
        <w:lang w:val="en-US" w:eastAsia="zh-CN" w:bidi="ar-SA"/>
      </w:rPr>
    </w:lvl>
    <w:lvl w:ilvl="2" w:tentative="0">
      <w:start w:val="0"/>
      <w:numFmt w:val="bullet"/>
      <w:lvlText w:val="•"/>
      <w:lvlJc w:val="left"/>
      <w:pPr>
        <w:ind w:left="1405" w:hanging="529"/>
      </w:pPr>
      <w:rPr>
        <w:rFonts w:hint="default"/>
        <w:lang w:val="en-US" w:eastAsia="zh-CN" w:bidi="ar-SA"/>
      </w:rPr>
    </w:lvl>
    <w:lvl w:ilvl="3" w:tentative="0">
      <w:start w:val="0"/>
      <w:numFmt w:val="bullet"/>
      <w:lvlText w:val="•"/>
      <w:lvlJc w:val="left"/>
      <w:pPr>
        <w:ind w:left="2057" w:hanging="529"/>
      </w:pPr>
      <w:rPr>
        <w:rFonts w:hint="default"/>
        <w:lang w:val="en-US" w:eastAsia="zh-CN" w:bidi="ar-SA"/>
      </w:rPr>
    </w:lvl>
    <w:lvl w:ilvl="4" w:tentative="0">
      <w:start w:val="0"/>
      <w:numFmt w:val="bullet"/>
      <w:lvlText w:val="•"/>
      <w:lvlJc w:val="left"/>
      <w:pPr>
        <w:ind w:left="2710" w:hanging="529"/>
      </w:pPr>
      <w:rPr>
        <w:rFonts w:hint="default"/>
        <w:lang w:val="en-US" w:eastAsia="zh-CN" w:bidi="ar-SA"/>
      </w:rPr>
    </w:lvl>
    <w:lvl w:ilvl="5" w:tentative="0">
      <w:start w:val="0"/>
      <w:numFmt w:val="bullet"/>
      <w:lvlText w:val="•"/>
      <w:lvlJc w:val="left"/>
      <w:pPr>
        <w:ind w:left="3363" w:hanging="529"/>
      </w:pPr>
      <w:rPr>
        <w:rFonts w:hint="default"/>
        <w:lang w:val="en-US" w:eastAsia="zh-CN" w:bidi="ar-SA"/>
      </w:rPr>
    </w:lvl>
    <w:lvl w:ilvl="6" w:tentative="0">
      <w:start w:val="0"/>
      <w:numFmt w:val="bullet"/>
      <w:lvlText w:val="•"/>
      <w:lvlJc w:val="left"/>
      <w:pPr>
        <w:ind w:left="4015" w:hanging="529"/>
      </w:pPr>
      <w:rPr>
        <w:rFonts w:hint="default"/>
        <w:lang w:val="en-US" w:eastAsia="zh-CN" w:bidi="ar-SA"/>
      </w:rPr>
    </w:lvl>
    <w:lvl w:ilvl="7" w:tentative="0">
      <w:start w:val="0"/>
      <w:numFmt w:val="bullet"/>
      <w:lvlText w:val="•"/>
      <w:lvlJc w:val="left"/>
      <w:pPr>
        <w:ind w:left="4668" w:hanging="529"/>
      </w:pPr>
      <w:rPr>
        <w:rFonts w:hint="default"/>
        <w:lang w:val="en-US" w:eastAsia="zh-CN" w:bidi="ar-SA"/>
      </w:rPr>
    </w:lvl>
    <w:lvl w:ilvl="8" w:tentative="0">
      <w:start w:val="0"/>
      <w:numFmt w:val="bullet"/>
      <w:lvlText w:val="•"/>
      <w:lvlJc w:val="left"/>
      <w:pPr>
        <w:ind w:left="5320" w:hanging="529"/>
      </w:pPr>
      <w:rPr>
        <w:rFonts w:hint="default"/>
        <w:lang w:val="en-US" w:eastAsia="zh-CN" w:bidi="ar-SA"/>
      </w:rPr>
    </w:lvl>
  </w:abstractNum>
  <w:abstractNum w:abstractNumId="40">
    <w:nsid w:val="C4E0D24A"/>
    <w:multiLevelType w:val="multilevel"/>
    <w:tmpl w:val="C4E0D24A"/>
    <w:lvl w:ilvl="0" w:tentative="0">
      <w:start w:val="3"/>
      <w:numFmt w:val="decimal"/>
      <w:lvlText w:val="（%1）"/>
      <w:lvlJc w:val="left"/>
      <w:pPr>
        <w:ind w:left="636"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238" w:hanging="529"/>
      </w:pPr>
      <w:rPr>
        <w:rFonts w:hint="default"/>
        <w:lang w:val="en-US" w:eastAsia="zh-CN" w:bidi="ar-SA"/>
      </w:rPr>
    </w:lvl>
    <w:lvl w:ilvl="2" w:tentative="0">
      <w:start w:val="0"/>
      <w:numFmt w:val="bullet"/>
      <w:lvlText w:val="•"/>
      <w:lvlJc w:val="left"/>
      <w:pPr>
        <w:ind w:left="1837" w:hanging="529"/>
      </w:pPr>
      <w:rPr>
        <w:rFonts w:hint="default"/>
        <w:lang w:val="en-US" w:eastAsia="zh-CN" w:bidi="ar-SA"/>
      </w:rPr>
    </w:lvl>
    <w:lvl w:ilvl="3" w:tentative="0">
      <w:start w:val="0"/>
      <w:numFmt w:val="bullet"/>
      <w:lvlText w:val="•"/>
      <w:lvlJc w:val="left"/>
      <w:pPr>
        <w:ind w:left="2435" w:hanging="529"/>
      </w:pPr>
      <w:rPr>
        <w:rFonts w:hint="default"/>
        <w:lang w:val="en-US" w:eastAsia="zh-CN" w:bidi="ar-SA"/>
      </w:rPr>
    </w:lvl>
    <w:lvl w:ilvl="4" w:tentative="0">
      <w:start w:val="0"/>
      <w:numFmt w:val="bullet"/>
      <w:lvlText w:val="•"/>
      <w:lvlJc w:val="left"/>
      <w:pPr>
        <w:ind w:left="3034" w:hanging="529"/>
      </w:pPr>
      <w:rPr>
        <w:rFonts w:hint="default"/>
        <w:lang w:val="en-US" w:eastAsia="zh-CN" w:bidi="ar-SA"/>
      </w:rPr>
    </w:lvl>
    <w:lvl w:ilvl="5" w:tentative="0">
      <w:start w:val="0"/>
      <w:numFmt w:val="bullet"/>
      <w:lvlText w:val="•"/>
      <w:lvlJc w:val="left"/>
      <w:pPr>
        <w:ind w:left="3633" w:hanging="529"/>
      </w:pPr>
      <w:rPr>
        <w:rFonts w:hint="default"/>
        <w:lang w:val="en-US" w:eastAsia="zh-CN" w:bidi="ar-SA"/>
      </w:rPr>
    </w:lvl>
    <w:lvl w:ilvl="6" w:tentative="0">
      <w:start w:val="0"/>
      <w:numFmt w:val="bullet"/>
      <w:lvlText w:val="•"/>
      <w:lvlJc w:val="left"/>
      <w:pPr>
        <w:ind w:left="4231" w:hanging="529"/>
      </w:pPr>
      <w:rPr>
        <w:rFonts w:hint="default"/>
        <w:lang w:val="en-US" w:eastAsia="zh-CN" w:bidi="ar-SA"/>
      </w:rPr>
    </w:lvl>
    <w:lvl w:ilvl="7" w:tentative="0">
      <w:start w:val="0"/>
      <w:numFmt w:val="bullet"/>
      <w:lvlText w:val="•"/>
      <w:lvlJc w:val="left"/>
      <w:pPr>
        <w:ind w:left="4830" w:hanging="529"/>
      </w:pPr>
      <w:rPr>
        <w:rFonts w:hint="default"/>
        <w:lang w:val="en-US" w:eastAsia="zh-CN" w:bidi="ar-SA"/>
      </w:rPr>
    </w:lvl>
    <w:lvl w:ilvl="8" w:tentative="0">
      <w:start w:val="0"/>
      <w:numFmt w:val="bullet"/>
      <w:lvlText w:val="•"/>
      <w:lvlJc w:val="left"/>
      <w:pPr>
        <w:ind w:left="5428" w:hanging="529"/>
      </w:pPr>
      <w:rPr>
        <w:rFonts w:hint="default"/>
        <w:lang w:val="en-US" w:eastAsia="zh-CN" w:bidi="ar-SA"/>
      </w:rPr>
    </w:lvl>
  </w:abstractNum>
  <w:abstractNum w:abstractNumId="41">
    <w:nsid w:val="C8879AEF"/>
    <w:multiLevelType w:val="multilevel"/>
    <w:tmpl w:val="C8879AEF"/>
    <w:lvl w:ilvl="0" w:tentative="0">
      <w:start w:val="1"/>
      <w:numFmt w:val="decimal"/>
      <w:lvlText w:val="（%1）"/>
      <w:lvlJc w:val="left"/>
      <w:pPr>
        <w:ind w:left="738" w:hanging="530"/>
        <w:jc w:val="left"/>
      </w:pPr>
      <w:rPr>
        <w:rFonts w:hint="default" w:ascii="黑体" w:hAnsi="黑体" w:eastAsia="黑体" w:cs="黑体"/>
        <w:b w:val="0"/>
        <w:bCs w:val="0"/>
        <w:i w:val="0"/>
        <w:iCs w:val="0"/>
        <w:spacing w:val="-3"/>
        <w:w w:val="100"/>
        <w:sz w:val="19"/>
        <w:szCs w:val="19"/>
        <w:shd w:val="clear" w:color="auto" w:fill="D9D9D9"/>
        <w:lang w:val="en-US" w:eastAsia="zh-CN" w:bidi="ar-SA"/>
      </w:rPr>
    </w:lvl>
    <w:lvl w:ilvl="1" w:tentative="0">
      <w:start w:val="0"/>
      <w:numFmt w:val="bullet"/>
      <w:lvlText w:val="•"/>
      <w:lvlJc w:val="left"/>
      <w:pPr>
        <w:ind w:left="1390" w:hanging="530"/>
      </w:pPr>
      <w:rPr>
        <w:rFonts w:hint="default"/>
        <w:lang w:val="en-US" w:eastAsia="zh-CN" w:bidi="ar-SA"/>
      </w:rPr>
    </w:lvl>
    <w:lvl w:ilvl="2" w:tentative="0">
      <w:start w:val="0"/>
      <w:numFmt w:val="bullet"/>
      <w:lvlText w:val="•"/>
      <w:lvlJc w:val="left"/>
      <w:pPr>
        <w:ind w:left="2040" w:hanging="530"/>
      </w:pPr>
      <w:rPr>
        <w:rFonts w:hint="default"/>
        <w:lang w:val="en-US" w:eastAsia="zh-CN" w:bidi="ar-SA"/>
      </w:rPr>
    </w:lvl>
    <w:lvl w:ilvl="3" w:tentative="0">
      <w:start w:val="0"/>
      <w:numFmt w:val="bullet"/>
      <w:lvlText w:val="•"/>
      <w:lvlJc w:val="left"/>
      <w:pPr>
        <w:ind w:left="2690" w:hanging="530"/>
      </w:pPr>
      <w:rPr>
        <w:rFonts w:hint="default"/>
        <w:lang w:val="en-US" w:eastAsia="zh-CN" w:bidi="ar-SA"/>
      </w:rPr>
    </w:lvl>
    <w:lvl w:ilvl="4" w:tentative="0">
      <w:start w:val="0"/>
      <w:numFmt w:val="bullet"/>
      <w:lvlText w:val="•"/>
      <w:lvlJc w:val="left"/>
      <w:pPr>
        <w:ind w:left="3341" w:hanging="530"/>
      </w:pPr>
      <w:rPr>
        <w:rFonts w:hint="default"/>
        <w:lang w:val="en-US" w:eastAsia="zh-CN" w:bidi="ar-SA"/>
      </w:rPr>
    </w:lvl>
    <w:lvl w:ilvl="5" w:tentative="0">
      <w:start w:val="0"/>
      <w:numFmt w:val="bullet"/>
      <w:lvlText w:val="•"/>
      <w:lvlJc w:val="left"/>
      <w:pPr>
        <w:ind w:left="3991" w:hanging="530"/>
      </w:pPr>
      <w:rPr>
        <w:rFonts w:hint="default"/>
        <w:lang w:val="en-US" w:eastAsia="zh-CN" w:bidi="ar-SA"/>
      </w:rPr>
    </w:lvl>
    <w:lvl w:ilvl="6" w:tentative="0">
      <w:start w:val="0"/>
      <w:numFmt w:val="bullet"/>
      <w:lvlText w:val="•"/>
      <w:lvlJc w:val="left"/>
      <w:pPr>
        <w:ind w:left="4641" w:hanging="530"/>
      </w:pPr>
      <w:rPr>
        <w:rFonts w:hint="default"/>
        <w:lang w:val="en-US" w:eastAsia="zh-CN" w:bidi="ar-SA"/>
      </w:rPr>
    </w:lvl>
    <w:lvl w:ilvl="7" w:tentative="0">
      <w:start w:val="0"/>
      <w:numFmt w:val="bullet"/>
      <w:lvlText w:val="•"/>
      <w:lvlJc w:val="left"/>
      <w:pPr>
        <w:ind w:left="5292" w:hanging="530"/>
      </w:pPr>
      <w:rPr>
        <w:rFonts w:hint="default"/>
        <w:lang w:val="en-US" w:eastAsia="zh-CN" w:bidi="ar-SA"/>
      </w:rPr>
    </w:lvl>
    <w:lvl w:ilvl="8" w:tentative="0">
      <w:start w:val="0"/>
      <w:numFmt w:val="bullet"/>
      <w:lvlText w:val="•"/>
      <w:lvlJc w:val="left"/>
      <w:pPr>
        <w:ind w:left="5942" w:hanging="530"/>
      </w:pPr>
      <w:rPr>
        <w:rFonts w:hint="default"/>
        <w:lang w:val="en-US" w:eastAsia="zh-CN" w:bidi="ar-SA"/>
      </w:rPr>
    </w:lvl>
  </w:abstractNum>
  <w:abstractNum w:abstractNumId="42">
    <w:nsid w:val="C90D1B09"/>
    <w:multiLevelType w:val="multilevel"/>
    <w:tmpl w:val="C90D1B09"/>
    <w:lvl w:ilvl="0" w:tentative="0">
      <w:start w:val="1"/>
      <w:numFmt w:val="decimal"/>
      <w:lvlText w:val="（%1）"/>
      <w:lvlJc w:val="left"/>
      <w:pPr>
        <w:ind w:left="63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239" w:hanging="529"/>
      </w:pPr>
      <w:rPr>
        <w:rFonts w:hint="default"/>
        <w:lang w:val="en-US" w:eastAsia="zh-CN" w:bidi="ar-SA"/>
      </w:rPr>
    </w:lvl>
    <w:lvl w:ilvl="2" w:tentative="0">
      <w:start w:val="0"/>
      <w:numFmt w:val="bullet"/>
      <w:lvlText w:val="•"/>
      <w:lvlJc w:val="left"/>
      <w:pPr>
        <w:ind w:left="1838" w:hanging="529"/>
      </w:pPr>
      <w:rPr>
        <w:rFonts w:hint="default"/>
        <w:lang w:val="en-US" w:eastAsia="zh-CN" w:bidi="ar-SA"/>
      </w:rPr>
    </w:lvl>
    <w:lvl w:ilvl="3" w:tentative="0">
      <w:start w:val="0"/>
      <w:numFmt w:val="bullet"/>
      <w:lvlText w:val="•"/>
      <w:lvlJc w:val="left"/>
      <w:pPr>
        <w:ind w:left="2437" w:hanging="529"/>
      </w:pPr>
      <w:rPr>
        <w:rFonts w:hint="default"/>
        <w:lang w:val="en-US" w:eastAsia="zh-CN" w:bidi="ar-SA"/>
      </w:rPr>
    </w:lvl>
    <w:lvl w:ilvl="4" w:tentative="0">
      <w:start w:val="0"/>
      <w:numFmt w:val="bullet"/>
      <w:lvlText w:val="•"/>
      <w:lvlJc w:val="left"/>
      <w:pPr>
        <w:ind w:left="3037" w:hanging="529"/>
      </w:pPr>
      <w:rPr>
        <w:rFonts w:hint="default"/>
        <w:lang w:val="en-US" w:eastAsia="zh-CN" w:bidi="ar-SA"/>
      </w:rPr>
    </w:lvl>
    <w:lvl w:ilvl="5" w:tentative="0">
      <w:start w:val="0"/>
      <w:numFmt w:val="bullet"/>
      <w:lvlText w:val="•"/>
      <w:lvlJc w:val="left"/>
      <w:pPr>
        <w:ind w:left="3636" w:hanging="529"/>
      </w:pPr>
      <w:rPr>
        <w:rFonts w:hint="default"/>
        <w:lang w:val="en-US" w:eastAsia="zh-CN" w:bidi="ar-SA"/>
      </w:rPr>
    </w:lvl>
    <w:lvl w:ilvl="6" w:tentative="0">
      <w:start w:val="0"/>
      <w:numFmt w:val="bullet"/>
      <w:lvlText w:val="•"/>
      <w:lvlJc w:val="left"/>
      <w:pPr>
        <w:ind w:left="4235" w:hanging="529"/>
      </w:pPr>
      <w:rPr>
        <w:rFonts w:hint="default"/>
        <w:lang w:val="en-US" w:eastAsia="zh-CN" w:bidi="ar-SA"/>
      </w:rPr>
    </w:lvl>
    <w:lvl w:ilvl="7" w:tentative="0">
      <w:start w:val="0"/>
      <w:numFmt w:val="bullet"/>
      <w:lvlText w:val="•"/>
      <w:lvlJc w:val="left"/>
      <w:pPr>
        <w:ind w:left="4835" w:hanging="529"/>
      </w:pPr>
      <w:rPr>
        <w:rFonts w:hint="default"/>
        <w:lang w:val="en-US" w:eastAsia="zh-CN" w:bidi="ar-SA"/>
      </w:rPr>
    </w:lvl>
    <w:lvl w:ilvl="8" w:tentative="0">
      <w:start w:val="0"/>
      <w:numFmt w:val="bullet"/>
      <w:lvlText w:val="•"/>
      <w:lvlJc w:val="left"/>
      <w:pPr>
        <w:ind w:left="5434" w:hanging="529"/>
      </w:pPr>
      <w:rPr>
        <w:rFonts w:hint="default"/>
        <w:lang w:val="en-US" w:eastAsia="zh-CN" w:bidi="ar-SA"/>
      </w:rPr>
    </w:lvl>
  </w:abstractNum>
  <w:abstractNum w:abstractNumId="43">
    <w:nsid w:val="CD699D1D"/>
    <w:multiLevelType w:val="multilevel"/>
    <w:tmpl w:val="CD699D1D"/>
    <w:lvl w:ilvl="0" w:tentative="0">
      <w:start w:val="1"/>
      <w:numFmt w:val="decimal"/>
      <w:lvlText w:val="（%1）"/>
      <w:lvlJc w:val="left"/>
      <w:pPr>
        <w:ind w:left="63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239" w:hanging="529"/>
      </w:pPr>
      <w:rPr>
        <w:rFonts w:hint="default"/>
        <w:lang w:val="en-US" w:eastAsia="zh-CN" w:bidi="ar-SA"/>
      </w:rPr>
    </w:lvl>
    <w:lvl w:ilvl="2" w:tentative="0">
      <w:start w:val="0"/>
      <w:numFmt w:val="bullet"/>
      <w:lvlText w:val="•"/>
      <w:lvlJc w:val="left"/>
      <w:pPr>
        <w:ind w:left="1838" w:hanging="529"/>
      </w:pPr>
      <w:rPr>
        <w:rFonts w:hint="default"/>
        <w:lang w:val="en-US" w:eastAsia="zh-CN" w:bidi="ar-SA"/>
      </w:rPr>
    </w:lvl>
    <w:lvl w:ilvl="3" w:tentative="0">
      <w:start w:val="0"/>
      <w:numFmt w:val="bullet"/>
      <w:lvlText w:val="•"/>
      <w:lvlJc w:val="left"/>
      <w:pPr>
        <w:ind w:left="2437" w:hanging="529"/>
      </w:pPr>
      <w:rPr>
        <w:rFonts w:hint="default"/>
        <w:lang w:val="en-US" w:eastAsia="zh-CN" w:bidi="ar-SA"/>
      </w:rPr>
    </w:lvl>
    <w:lvl w:ilvl="4" w:tentative="0">
      <w:start w:val="0"/>
      <w:numFmt w:val="bullet"/>
      <w:lvlText w:val="•"/>
      <w:lvlJc w:val="left"/>
      <w:pPr>
        <w:ind w:left="3037" w:hanging="529"/>
      </w:pPr>
      <w:rPr>
        <w:rFonts w:hint="default"/>
        <w:lang w:val="en-US" w:eastAsia="zh-CN" w:bidi="ar-SA"/>
      </w:rPr>
    </w:lvl>
    <w:lvl w:ilvl="5" w:tentative="0">
      <w:start w:val="0"/>
      <w:numFmt w:val="bullet"/>
      <w:lvlText w:val="•"/>
      <w:lvlJc w:val="left"/>
      <w:pPr>
        <w:ind w:left="3636" w:hanging="529"/>
      </w:pPr>
      <w:rPr>
        <w:rFonts w:hint="default"/>
        <w:lang w:val="en-US" w:eastAsia="zh-CN" w:bidi="ar-SA"/>
      </w:rPr>
    </w:lvl>
    <w:lvl w:ilvl="6" w:tentative="0">
      <w:start w:val="0"/>
      <w:numFmt w:val="bullet"/>
      <w:lvlText w:val="•"/>
      <w:lvlJc w:val="left"/>
      <w:pPr>
        <w:ind w:left="4235" w:hanging="529"/>
      </w:pPr>
      <w:rPr>
        <w:rFonts w:hint="default"/>
        <w:lang w:val="en-US" w:eastAsia="zh-CN" w:bidi="ar-SA"/>
      </w:rPr>
    </w:lvl>
    <w:lvl w:ilvl="7" w:tentative="0">
      <w:start w:val="0"/>
      <w:numFmt w:val="bullet"/>
      <w:lvlText w:val="•"/>
      <w:lvlJc w:val="left"/>
      <w:pPr>
        <w:ind w:left="4835" w:hanging="529"/>
      </w:pPr>
      <w:rPr>
        <w:rFonts w:hint="default"/>
        <w:lang w:val="en-US" w:eastAsia="zh-CN" w:bidi="ar-SA"/>
      </w:rPr>
    </w:lvl>
    <w:lvl w:ilvl="8" w:tentative="0">
      <w:start w:val="0"/>
      <w:numFmt w:val="bullet"/>
      <w:lvlText w:val="•"/>
      <w:lvlJc w:val="left"/>
      <w:pPr>
        <w:ind w:left="5434" w:hanging="529"/>
      </w:pPr>
      <w:rPr>
        <w:rFonts w:hint="default"/>
        <w:lang w:val="en-US" w:eastAsia="zh-CN" w:bidi="ar-SA"/>
      </w:rPr>
    </w:lvl>
  </w:abstractNum>
  <w:abstractNum w:abstractNumId="44">
    <w:nsid w:val="CF092B84"/>
    <w:multiLevelType w:val="multilevel"/>
    <w:tmpl w:val="CF092B84"/>
    <w:lvl w:ilvl="0" w:tentative="0">
      <w:start w:val="1"/>
      <w:numFmt w:val="decimal"/>
      <w:lvlText w:val="%1"/>
      <w:lvlJc w:val="left"/>
      <w:pPr>
        <w:ind w:left="1257" w:hanging="423"/>
        <w:jc w:val="left"/>
      </w:pPr>
      <w:rPr>
        <w:rFonts w:hint="default"/>
        <w:lang w:val="en-US" w:eastAsia="zh-CN" w:bidi="ar-SA"/>
      </w:rPr>
    </w:lvl>
    <w:lvl w:ilvl="1" w:tentative="0">
      <w:start w:val="1"/>
      <w:numFmt w:val="decimal"/>
      <w:lvlText w:val="%1.%2"/>
      <w:lvlJc w:val="left"/>
      <w:pPr>
        <w:ind w:left="1257" w:hanging="423"/>
        <w:jc w:val="left"/>
      </w:pPr>
      <w:rPr>
        <w:rFonts w:hint="default" w:ascii="宋体" w:hAnsi="宋体" w:eastAsia="宋体" w:cs="宋体"/>
        <w:b w:val="0"/>
        <w:bCs w:val="0"/>
        <w:i w:val="0"/>
        <w:iCs w:val="0"/>
        <w:w w:val="100"/>
        <w:sz w:val="21"/>
        <w:szCs w:val="21"/>
        <w:lang w:val="en-US" w:eastAsia="zh-CN" w:bidi="ar-SA"/>
      </w:rPr>
    </w:lvl>
    <w:lvl w:ilvl="2" w:tentative="0">
      <w:start w:val="0"/>
      <w:numFmt w:val="bullet"/>
      <w:lvlText w:val="•"/>
      <w:lvlJc w:val="left"/>
      <w:pPr>
        <w:ind w:left="1721" w:hanging="423"/>
      </w:pPr>
      <w:rPr>
        <w:rFonts w:hint="default"/>
        <w:lang w:val="en-US" w:eastAsia="zh-CN" w:bidi="ar-SA"/>
      </w:rPr>
    </w:lvl>
    <w:lvl w:ilvl="3" w:tentative="0">
      <w:start w:val="0"/>
      <w:numFmt w:val="bullet"/>
      <w:lvlText w:val="•"/>
      <w:lvlJc w:val="left"/>
      <w:pPr>
        <w:ind w:left="1952" w:hanging="423"/>
      </w:pPr>
      <w:rPr>
        <w:rFonts w:hint="default"/>
        <w:lang w:val="en-US" w:eastAsia="zh-CN" w:bidi="ar-SA"/>
      </w:rPr>
    </w:lvl>
    <w:lvl w:ilvl="4" w:tentative="0">
      <w:start w:val="0"/>
      <w:numFmt w:val="bullet"/>
      <w:lvlText w:val="•"/>
      <w:lvlJc w:val="left"/>
      <w:pPr>
        <w:ind w:left="2183" w:hanging="423"/>
      </w:pPr>
      <w:rPr>
        <w:rFonts w:hint="default"/>
        <w:lang w:val="en-US" w:eastAsia="zh-CN" w:bidi="ar-SA"/>
      </w:rPr>
    </w:lvl>
    <w:lvl w:ilvl="5" w:tentative="0">
      <w:start w:val="0"/>
      <w:numFmt w:val="bullet"/>
      <w:lvlText w:val="•"/>
      <w:lvlJc w:val="left"/>
      <w:pPr>
        <w:ind w:left="2414" w:hanging="423"/>
      </w:pPr>
      <w:rPr>
        <w:rFonts w:hint="default"/>
        <w:lang w:val="en-US" w:eastAsia="zh-CN" w:bidi="ar-SA"/>
      </w:rPr>
    </w:lvl>
    <w:lvl w:ilvl="6" w:tentative="0">
      <w:start w:val="0"/>
      <w:numFmt w:val="bullet"/>
      <w:lvlText w:val="•"/>
      <w:lvlJc w:val="left"/>
      <w:pPr>
        <w:ind w:left="2645" w:hanging="423"/>
      </w:pPr>
      <w:rPr>
        <w:rFonts w:hint="default"/>
        <w:lang w:val="en-US" w:eastAsia="zh-CN" w:bidi="ar-SA"/>
      </w:rPr>
    </w:lvl>
    <w:lvl w:ilvl="7" w:tentative="0">
      <w:start w:val="0"/>
      <w:numFmt w:val="bullet"/>
      <w:lvlText w:val="•"/>
      <w:lvlJc w:val="left"/>
      <w:pPr>
        <w:ind w:left="2876" w:hanging="423"/>
      </w:pPr>
      <w:rPr>
        <w:rFonts w:hint="default"/>
        <w:lang w:val="en-US" w:eastAsia="zh-CN" w:bidi="ar-SA"/>
      </w:rPr>
    </w:lvl>
    <w:lvl w:ilvl="8" w:tentative="0">
      <w:start w:val="0"/>
      <w:numFmt w:val="bullet"/>
      <w:lvlText w:val="•"/>
      <w:lvlJc w:val="left"/>
      <w:pPr>
        <w:ind w:left="3107" w:hanging="423"/>
      </w:pPr>
      <w:rPr>
        <w:rFonts w:hint="default"/>
        <w:lang w:val="en-US" w:eastAsia="zh-CN" w:bidi="ar-SA"/>
      </w:rPr>
    </w:lvl>
  </w:abstractNum>
  <w:abstractNum w:abstractNumId="45">
    <w:nsid w:val="D1EB1714"/>
    <w:multiLevelType w:val="multilevel"/>
    <w:tmpl w:val="D1EB1714"/>
    <w:lvl w:ilvl="0" w:tentative="0">
      <w:start w:val="0"/>
      <w:numFmt w:val="bullet"/>
      <w:lvlText w:val=""/>
      <w:lvlJc w:val="left"/>
      <w:pPr>
        <w:ind w:left="527" w:hanging="420"/>
      </w:pPr>
      <w:rPr>
        <w:rFonts w:hint="default" w:ascii="Symbol" w:hAnsi="Symbol" w:eastAsia="Symbol" w:cs="Symbol"/>
        <w:b w:val="0"/>
        <w:bCs w:val="0"/>
        <w:i w:val="0"/>
        <w:iCs w:val="0"/>
        <w:w w:val="100"/>
        <w:sz w:val="21"/>
        <w:szCs w:val="21"/>
        <w:lang w:val="en-US" w:eastAsia="zh-CN" w:bidi="ar-SA"/>
      </w:rPr>
    </w:lvl>
    <w:lvl w:ilvl="1" w:tentative="0">
      <w:start w:val="0"/>
      <w:numFmt w:val="bullet"/>
      <w:lvlText w:val="•"/>
      <w:lvlJc w:val="left"/>
      <w:pPr>
        <w:ind w:left="1130" w:hanging="420"/>
      </w:pPr>
      <w:rPr>
        <w:rFonts w:hint="default"/>
        <w:lang w:val="en-US" w:eastAsia="zh-CN" w:bidi="ar-SA"/>
      </w:rPr>
    </w:lvl>
    <w:lvl w:ilvl="2" w:tentative="0">
      <w:start w:val="0"/>
      <w:numFmt w:val="bullet"/>
      <w:lvlText w:val="•"/>
      <w:lvlJc w:val="left"/>
      <w:pPr>
        <w:ind w:left="1741" w:hanging="420"/>
      </w:pPr>
      <w:rPr>
        <w:rFonts w:hint="default"/>
        <w:lang w:val="en-US" w:eastAsia="zh-CN" w:bidi="ar-SA"/>
      </w:rPr>
    </w:lvl>
    <w:lvl w:ilvl="3" w:tentative="0">
      <w:start w:val="0"/>
      <w:numFmt w:val="bullet"/>
      <w:lvlText w:val="•"/>
      <w:lvlJc w:val="left"/>
      <w:pPr>
        <w:ind w:left="2351" w:hanging="420"/>
      </w:pPr>
      <w:rPr>
        <w:rFonts w:hint="default"/>
        <w:lang w:val="en-US" w:eastAsia="zh-CN" w:bidi="ar-SA"/>
      </w:rPr>
    </w:lvl>
    <w:lvl w:ilvl="4" w:tentative="0">
      <w:start w:val="0"/>
      <w:numFmt w:val="bullet"/>
      <w:lvlText w:val="•"/>
      <w:lvlJc w:val="left"/>
      <w:pPr>
        <w:ind w:left="2962" w:hanging="420"/>
      </w:pPr>
      <w:rPr>
        <w:rFonts w:hint="default"/>
        <w:lang w:val="en-US" w:eastAsia="zh-CN" w:bidi="ar-SA"/>
      </w:rPr>
    </w:lvl>
    <w:lvl w:ilvl="5" w:tentative="0">
      <w:start w:val="0"/>
      <w:numFmt w:val="bullet"/>
      <w:lvlText w:val="•"/>
      <w:lvlJc w:val="left"/>
      <w:pPr>
        <w:ind w:left="3573" w:hanging="420"/>
      </w:pPr>
      <w:rPr>
        <w:rFonts w:hint="default"/>
        <w:lang w:val="en-US" w:eastAsia="zh-CN" w:bidi="ar-SA"/>
      </w:rPr>
    </w:lvl>
    <w:lvl w:ilvl="6" w:tentative="0">
      <w:start w:val="0"/>
      <w:numFmt w:val="bullet"/>
      <w:lvlText w:val="•"/>
      <w:lvlJc w:val="left"/>
      <w:pPr>
        <w:ind w:left="4183" w:hanging="420"/>
      </w:pPr>
      <w:rPr>
        <w:rFonts w:hint="default"/>
        <w:lang w:val="en-US" w:eastAsia="zh-CN" w:bidi="ar-SA"/>
      </w:rPr>
    </w:lvl>
    <w:lvl w:ilvl="7" w:tentative="0">
      <w:start w:val="0"/>
      <w:numFmt w:val="bullet"/>
      <w:lvlText w:val="•"/>
      <w:lvlJc w:val="left"/>
      <w:pPr>
        <w:ind w:left="4794" w:hanging="420"/>
      </w:pPr>
      <w:rPr>
        <w:rFonts w:hint="default"/>
        <w:lang w:val="en-US" w:eastAsia="zh-CN" w:bidi="ar-SA"/>
      </w:rPr>
    </w:lvl>
    <w:lvl w:ilvl="8" w:tentative="0">
      <w:start w:val="0"/>
      <w:numFmt w:val="bullet"/>
      <w:lvlText w:val="•"/>
      <w:lvlJc w:val="left"/>
      <w:pPr>
        <w:ind w:left="5404" w:hanging="420"/>
      </w:pPr>
      <w:rPr>
        <w:rFonts w:hint="default"/>
        <w:lang w:val="en-US" w:eastAsia="zh-CN" w:bidi="ar-SA"/>
      </w:rPr>
    </w:lvl>
  </w:abstractNum>
  <w:abstractNum w:abstractNumId="46">
    <w:nsid w:val="D7D140E4"/>
    <w:multiLevelType w:val="multilevel"/>
    <w:tmpl w:val="D7D140E4"/>
    <w:lvl w:ilvl="0" w:tentative="0">
      <w:start w:val="1"/>
      <w:numFmt w:val="decimal"/>
      <w:lvlText w:val="（%1）"/>
      <w:lvlJc w:val="left"/>
      <w:pPr>
        <w:ind w:left="636"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1"/>
      <w:numFmt w:val="lowerLetter"/>
      <w:lvlText w:val="%2."/>
      <w:lvlJc w:val="left"/>
      <w:pPr>
        <w:ind w:left="527" w:hanging="315"/>
        <w:jc w:val="left"/>
      </w:pPr>
      <w:rPr>
        <w:rFonts w:hint="default" w:ascii="宋体" w:hAnsi="宋体" w:eastAsia="宋体" w:cs="宋体"/>
        <w:b w:val="0"/>
        <w:bCs w:val="0"/>
        <w:i w:val="0"/>
        <w:iCs w:val="0"/>
        <w:w w:val="100"/>
        <w:sz w:val="21"/>
        <w:szCs w:val="21"/>
        <w:lang w:val="en-US" w:eastAsia="zh-CN" w:bidi="ar-SA"/>
      </w:rPr>
    </w:lvl>
    <w:lvl w:ilvl="2" w:tentative="0">
      <w:start w:val="0"/>
      <w:numFmt w:val="bullet"/>
      <w:lvlText w:val="•"/>
      <w:lvlJc w:val="left"/>
      <w:pPr>
        <w:ind w:left="1305" w:hanging="315"/>
      </w:pPr>
      <w:rPr>
        <w:rFonts w:hint="default"/>
        <w:lang w:val="en-US" w:eastAsia="zh-CN" w:bidi="ar-SA"/>
      </w:rPr>
    </w:lvl>
    <w:lvl w:ilvl="3" w:tentative="0">
      <w:start w:val="0"/>
      <w:numFmt w:val="bullet"/>
      <w:lvlText w:val="•"/>
      <w:lvlJc w:val="left"/>
      <w:pPr>
        <w:ind w:left="1970" w:hanging="315"/>
      </w:pPr>
      <w:rPr>
        <w:rFonts w:hint="default"/>
        <w:lang w:val="en-US" w:eastAsia="zh-CN" w:bidi="ar-SA"/>
      </w:rPr>
    </w:lvl>
    <w:lvl w:ilvl="4" w:tentative="0">
      <w:start w:val="0"/>
      <w:numFmt w:val="bullet"/>
      <w:lvlText w:val="•"/>
      <w:lvlJc w:val="left"/>
      <w:pPr>
        <w:ind w:left="2635" w:hanging="315"/>
      </w:pPr>
      <w:rPr>
        <w:rFonts w:hint="default"/>
        <w:lang w:val="en-US" w:eastAsia="zh-CN" w:bidi="ar-SA"/>
      </w:rPr>
    </w:lvl>
    <w:lvl w:ilvl="5" w:tentative="0">
      <w:start w:val="0"/>
      <w:numFmt w:val="bullet"/>
      <w:lvlText w:val="•"/>
      <w:lvlJc w:val="left"/>
      <w:pPr>
        <w:ind w:left="3300" w:hanging="315"/>
      </w:pPr>
      <w:rPr>
        <w:rFonts w:hint="default"/>
        <w:lang w:val="en-US" w:eastAsia="zh-CN" w:bidi="ar-SA"/>
      </w:rPr>
    </w:lvl>
    <w:lvl w:ilvl="6" w:tentative="0">
      <w:start w:val="0"/>
      <w:numFmt w:val="bullet"/>
      <w:lvlText w:val="•"/>
      <w:lvlJc w:val="left"/>
      <w:pPr>
        <w:ind w:left="3965" w:hanging="315"/>
      </w:pPr>
      <w:rPr>
        <w:rFonts w:hint="default"/>
        <w:lang w:val="en-US" w:eastAsia="zh-CN" w:bidi="ar-SA"/>
      </w:rPr>
    </w:lvl>
    <w:lvl w:ilvl="7" w:tentative="0">
      <w:start w:val="0"/>
      <w:numFmt w:val="bullet"/>
      <w:lvlText w:val="•"/>
      <w:lvlJc w:val="left"/>
      <w:pPr>
        <w:ind w:left="4630" w:hanging="315"/>
      </w:pPr>
      <w:rPr>
        <w:rFonts w:hint="default"/>
        <w:lang w:val="en-US" w:eastAsia="zh-CN" w:bidi="ar-SA"/>
      </w:rPr>
    </w:lvl>
    <w:lvl w:ilvl="8" w:tentative="0">
      <w:start w:val="0"/>
      <w:numFmt w:val="bullet"/>
      <w:lvlText w:val="•"/>
      <w:lvlJc w:val="left"/>
      <w:pPr>
        <w:ind w:left="5295" w:hanging="315"/>
      </w:pPr>
      <w:rPr>
        <w:rFonts w:hint="default"/>
        <w:lang w:val="en-US" w:eastAsia="zh-CN" w:bidi="ar-SA"/>
      </w:rPr>
    </w:lvl>
  </w:abstractNum>
  <w:abstractNum w:abstractNumId="47">
    <w:nsid w:val="D7F9FE59"/>
    <w:multiLevelType w:val="multilevel"/>
    <w:tmpl w:val="D7F9FE59"/>
    <w:lvl w:ilvl="0" w:tentative="0">
      <w:start w:val="5"/>
      <w:numFmt w:val="decimal"/>
      <w:lvlText w:val="%1"/>
      <w:lvlJc w:val="left"/>
      <w:pPr>
        <w:ind w:left="3038" w:hanging="959"/>
        <w:jc w:val="left"/>
      </w:pPr>
      <w:rPr>
        <w:rFonts w:hint="default"/>
        <w:lang w:val="en-US" w:eastAsia="zh-CN" w:bidi="ar-SA"/>
      </w:rPr>
    </w:lvl>
    <w:lvl w:ilvl="1" w:tentative="0">
      <w:start w:val="1"/>
      <w:numFmt w:val="decimal"/>
      <w:lvlText w:val="%1.%2"/>
      <w:lvlJc w:val="left"/>
      <w:pPr>
        <w:ind w:left="3038" w:hanging="959"/>
        <w:jc w:val="left"/>
      </w:pPr>
      <w:rPr>
        <w:rFonts w:hint="default" w:ascii="宋体" w:hAnsi="宋体" w:eastAsia="宋体" w:cs="宋体"/>
        <w:b/>
        <w:bCs/>
        <w:i w:val="0"/>
        <w:iCs w:val="0"/>
        <w:w w:val="99"/>
        <w:sz w:val="21"/>
        <w:szCs w:val="21"/>
        <w:lang w:val="en-US" w:eastAsia="zh-CN" w:bidi="ar-SA"/>
      </w:rPr>
    </w:lvl>
    <w:lvl w:ilvl="2" w:tentative="0">
      <w:start w:val="0"/>
      <w:numFmt w:val="bullet"/>
      <w:lvlText w:val="•"/>
      <w:lvlJc w:val="left"/>
      <w:pPr>
        <w:ind w:left="4585" w:hanging="959"/>
      </w:pPr>
      <w:rPr>
        <w:rFonts w:hint="default"/>
        <w:lang w:val="en-US" w:eastAsia="zh-CN" w:bidi="ar-SA"/>
      </w:rPr>
    </w:lvl>
    <w:lvl w:ilvl="3" w:tentative="0">
      <w:start w:val="0"/>
      <w:numFmt w:val="bullet"/>
      <w:lvlText w:val="•"/>
      <w:lvlJc w:val="left"/>
      <w:pPr>
        <w:ind w:left="5357" w:hanging="959"/>
      </w:pPr>
      <w:rPr>
        <w:rFonts w:hint="default"/>
        <w:lang w:val="en-US" w:eastAsia="zh-CN" w:bidi="ar-SA"/>
      </w:rPr>
    </w:lvl>
    <w:lvl w:ilvl="4" w:tentative="0">
      <w:start w:val="0"/>
      <w:numFmt w:val="bullet"/>
      <w:lvlText w:val="•"/>
      <w:lvlJc w:val="left"/>
      <w:pPr>
        <w:ind w:left="6130" w:hanging="959"/>
      </w:pPr>
      <w:rPr>
        <w:rFonts w:hint="default"/>
        <w:lang w:val="en-US" w:eastAsia="zh-CN" w:bidi="ar-SA"/>
      </w:rPr>
    </w:lvl>
    <w:lvl w:ilvl="5" w:tentative="0">
      <w:start w:val="0"/>
      <w:numFmt w:val="bullet"/>
      <w:lvlText w:val="•"/>
      <w:lvlJc w:val="left"/>
      <w:pPr>
        <w:ind w:left="6903" w:hanging="959"/>
      </w:pPr>
      <w:rPr>
        <w:rFonts w:hint="default"/>
        <w:lang w:val="en-US" w:eastAsia="zh-CN" w:bidi="ar-SA"/>
      </w:rPr>
    </w:lvl>
    <w:lvl w:ilvl="6" w:tentative="0">
      <w:start w:val="0"/>
      <w:numFmt w:val="bullet"/>
      <w:lvlText w:val="•"/>
      <w:lvlJc w:val="left"/>
      <w:pPr>
        <w:ind w:left="7675" w:hanging="959"/>
      </w:pPr>
      <w:rPr>
        <w:rFonts w:hint="default"/>
        <w:lang w:val="en-US" w:eastAsia="zh-CN" w:bidi="ar-SA"/>
      </w:rPr>
    </w:lvl>
    <w:lvl w:ilvl="7" w:tentative="0">
      <w:start w:val="0"/>
      <w:numFmt w:val="bullet"/>
      <w:lvlText w:val="•"/>
      <w:lvlJc w:val="left"/>
      <w:pPr>
        <w:ind w:left="8448" w:hanging="959"/>
      </w:pPr>
      <w:rPr>
        <w:rFonts w:hint="default"/>
        <w:lang w:val="en-US" w:eastAsia="zh-CN" w:bidi="ar-SA"/>
      </w:rPr>
    </w:lvl>
    <w:lvl w:ilvl="8" w:tentative="0">
      <w:start w:val="0"/>
      <w:numFmt w:val="bullet"/>
      <w:lvlText w:val="•"/>
      <w:lvlJc w:val="left"/>
      <w:pPr>
        <w:ind w:left="9221" w:hanging="959"/>
      </w:pPr>
      <w:rPr>
        <w:rFonts w:hint="default"/>
        <w:lang w:val="en-US" w:eastAsia="zh-CN" w:bidi="ar-SA"/>
      </w:rPr>
    </w:lvl>
  </w:abstractNum>
  <w:abstractNum w:abstractNumId="48">
    <w:nsid w:val="DAD3A854"/>
    <w:multiLevelType w:val="multilevel"/>
    <w:tmpl w:val="DAD3A854"/>
    <w:lvl w:ilvl="0" w:tentative="0">
      <w:start w:val="1"/>
      <w:numFmt w:val="decimal"/>
      <w:lvlText w:val="（%1）"/>
      <w:lvlJc w:val="left"/>
      <w:pPr>
        <w:ind w:left="636"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238" w:hanging="529"/>
      </w:pPr>
      <w:rPr>
        <w:rFonts w:hint="default"/>
        <w:lang w:val="en-US" w:eastAsia="zh-CN" w:bidi="ar-SA"/>
      </w:rPr>
    </w:lvl>
    <w:lvl w:ilvl="2" w:tentative="0">
      <w:start w:val="0"/>
      <w:numFmt w:val="bullet"/>
      <w:lvlText w:val="•"/>
      <w:lvlJc w:val="left"/>
      <w:pPr>
        <w:ind w:left="1837" w:hanging="529"/>
      </w:pPr>
      <w:rPr>
        <w:rFonts w:hint="default"/>
        <w:lang w:val="en-US" w:eastAsia="zh-CN" w:bidi="ar-SA"/>
      </w:rPr>
    </w:lvl>
    <w:lvl w:ilvl="3" w:tentative="0">
      <w:start w:val="0"/>
      <w:numFmt w:val="bullet"/>
      <w:lvlText w:val="•"/>
      <w:lvlJc w:val="left"/>
      <w:pPr>
        <w:ind w:left="2435" w:hanging="529"/>
      </w:pPr>
      <w:rPr>
        <w:rFonts w:hint="default"/>
        <w:lang w:val="en-US" w:eastAsia="zh-CN" w:bidi="ar-SA"/>
      </w:rPr>
    </w:lvl>
    <w:lvl w:ilvl="4" w:tentative="0">
      <w:start w:val="0"/>
      <w:numFmt w:val="bullet"/>
      <w:lvlText w:val="•"/>
      <w:lvlJc w:val="left"/>
      <w:pPr>
        <w:ind w:left="3034" w:hanging="529"/>
      </w:pPr>
      <w:rPr>
        <w:rFonts w:hint="default"/>
        <w:lang w:val="en-US" w:eastAsia="zh-CN" w:bidi="ar-SA"/>
      </w:rPr>
    </w:lvl>
    <w:lvl w:ilvl="5" w:tentative="0">
      <w:start w:val="0"/>
      <w:numFmt w:val="bullet"/>
      <w:lvlText w:val="•"/>
      <w:lvlJc w:val="left"/>
      <w:pPr>
        <w:ind w:left="3633" w:hanging="529"/>
      </w:pPr>
      <w:rPr>
        <w:rFonts w:hint="default"/>
        <w:lang w:val="en-US" w:eastAsia="zh-CN" w:bidi="ar-SA"/>
      </w:rPr>
    </w:lvl>
    <w:lvl w:ilvl="6" w:tentative="0">
      <w:start w:val="0"/>
      <w:numFmt w:val="bullet"/>
      <w:lvlText w:val="•"/>
      <w:lvlJc w:val="left"/>
      <w:pPr>
        <w:ind w:left="4231" w:hanging="529"/>
      </w:pPr>
      <w:rPr>
        <w:rFonts w:hint="default"/>
        <w:lang w:val="en-US" w:eastAsia="zh-CN" w:bidi="ar-SA"/>
      </w:rPr>
    </w:lvl>
    <w:lvl w:ilvl="7" w:tentative="0">
      <w:start w:val="0"/>
      <w:numFmt w:val="bullet"/>
      <w:lvlText w:val="•"/>
      <w:lvlJc w:val="left"/>
      <w:pPr>
        <w:ind w:left="4830" w:hanging="529"/>
      </w:pPr>
      <w:rPr>
        <w:rFonts w:hint="default"/>
        <w:lang w:val="en-US" w:eastAsia="zh-CN" w:bidi="ar-SA"/>
      </w:rPr>
    </w:lvl>
    <w:lvl w:ilvl="8" w:tentative="0">
      <w:start w:val="0"/>
      <w:numFmt w:val="bullet"/>
      <w:lvlText w:val="•"/>
      <w:lvlJc w:val="left"/>
      <w:pPr>
        <w:ind w:left="5428" w:hanging="529"/>
      </w:pPr>
      <w:rPr>
        <w:rFonts w:hint="default"/>
        <w:lang w:val="en-US" w:eastAsia="zh-CN" w:bidi="ar-SA"/>
      </w:rPr>
    </w:lvl>
  </w:abstractNum>
  <w:abstractNum w:abstractNumId="49">
    <w:nsid w:val="DCBA6B53"/>
    <w:multiLevelType w:val="multilevel"/>
    <w:tmpl w:val="DCBA6B53"/>
    <w:lvl w:ilvl="0" w:tentative="0">
      <w:start w:val="4"/>
      <w:numFmt w:val="decimal"/>
      <w:lvlText w:val="%1"/>
      <w:lvlJc w:val="left"/>
      <w:pPr>
        <w:ind w:left="3038" w:hanging="959"/>
        <w:jc w:val="left"/>
      </w:pPr>
      <w:rPr>
        <w:rFonts w:hint="default"/>
        <w:lang w:val="en-US" w:eastAsia="zh-CN" w:bidi="ar-SA"/>
      </w:rPr>
    </w:lvl>
    <w:lvl w:ilvl="1" w:tentative="0">
      <w:start w:val="1"/>
      <w:numFmt w:val="decimal"/>
      <w:lvlText w:val="%1.%2"/>
      <w:lvlJc w:val="left"/>
      <w:pPr>
        <w:ind w:left="3038" w:hanging="959"/>
        <w:jc w:val="left"/>
      </w:pPr>
      <w:rPr>
        <w:rFonts w:hint="default" w:ascii="宋体" w:hAnsi="宋体" w:eastAsia="宋体" w:cs="宋体"/>
        <w:b/>
        <w:bCs/>
        <w:i w:val="0"/>
        <w:iCs w:val="0"/>
        <w:w w:val="99"/>
        <w:sz w:val="21"/>
        <w:szCs w:val="21"/>
        <w:lang w:val="en-US" w:eastAsia="zh-CN" w:bidi="ar-SA"/>
      </w:rPr>
    </w:lvl>
    <w:lvl w:ilvl="2" w:tentative="0">
      <w:start w:val="0"/>
      <w:numFmt w:val="bullet"/>
      <w:lvlText w:val="•"/>
      <w:lvlJc w:val="left"/>
      <w:pPr>
        <w:ind w:left="4585" w:hanging="959"/>
      </w:pPr>
      <w:rPr>
        <w:rFonts w:hint="default"/>
        <w:lang w:val="en-US" w:eastAsia="zh-CN" w:bidi="ar-SA"/>
      </w:rPr>
    </w:lvl>
    <w:lvl w:ilvl="3" w:tentative="0">
      <w:start w:val="0"/>
      <w:numFmt w:val="bullet"/>
      <w:lvlText w:val="•"/>
      <w:lvlJc w:val="left"/>
      <w:pPr>
        <w:ind w:left="5357" w:hanging="959"/>
      </w:pPr>
      <w:rPr>
        <w:rFonts w:hint="default"/>
        <w:lang w:val="en-US" w:eastAsia="zh-CN" w:bidi="ar-SA"/>
      </w:rPr>
    </w:lvl>
    <w:lvl w:ilvl="4" w:tentative="0">
      <w:start w:val="0"/>
      <w:numFmt w:val="bullet"/>
      <w:lvlText w:val="•"/>
      <w:lvlJc w:val="left"/>
      <w:pPr>
        <w:ind w:left="6130" w:hanging="959"/>
      </w:pPr>
      <w:rPr>
        <w:rFonts w:hint="default"/>
        <w:lang w:val="en-US" w:eastAsia="zh-CN" w:bidi="ar-SA"/>
      </w:rPr>
    </w:lvl>
    <w:lvl w:ilvl="5" w:tentative="0">
      <w:start w:val="0"/>
      <w:numFmt w:val="bullet"/>
      <w:lvlText w:val="•"/>
      <w:lvlJc w:val="left"/>
      <w:pPr>
        <w:ind w:left="6903" w:hanging="959"/>
      </w:pPr>
      <w:rPr>
        <w:rFonts w:hint="default"/>
        <w:lang w:val="en-US" w:eastAsia="zh-CN" w:bidi="ar-SA"/>
      </w:rPr>
    </w:lvl>
    <w:lvl w:ilvl="6" w:tentative="0">
      <w:start w:val="0"/>
      <w:numFmt w:val="bullet"/>
      <w:lvlText w:val="•"/>
      <w:lvlJc w:val="left"/>
      <w:pPr>
        <w:ind w:left="7675" w:hanging="959"/>
      </w:pPr>
      <w:rPr>
        <w:rFonts w:hint="default"/>
        <w:lang w:val="en-US" w:eastAsia="zh-CN" w:bidi="ar-SA"/>
      </w:rPr>
    </w:lvl>
    <w:lvl w:ilvl="7" w:tentative="0">
      <w:start w:val="0"/>
      <w:numFmt w:val="bullet"/>
      <w:lvlText w:val="•"/>
      <w:lvlJc w:val="left"/>
      <w:pPr>
        <w:ind w:left="8448" w:hanging="959"/>
      </w:pPr>
      <w:rPr>
        <w:rFonts w:hint="default"/>
        <w:lang w:val="en-US" w:eastAsia="zh-CN" w:bidi="ar-SA"/>
      </w:rPr>
    </w:lvl>
    <w:lvl w:ilvl="8" w:tentative="0">
      <w:start w:val="0"/>
      <w:numFmt w:val="bullet"/>
      <w:lvlText w:val="•"/>
      <w:lvlJc w:val="left"/>
      <w:pPr>
        <w:ind w:left="9221" w:hanging="959"/>
      </w:pPr>
      <w:rPr>
        <w:rFonts w:hint="default"/>
        <w:lang w:val="en-US" w:eastAsia="zh-CN" w:bidi="ar-SA"/>
      </w:rPr>
    </w:lvl>
  </w:abstractNum>
  <w:abstractNum w:abstractNumId="50">
    <w:nsid w:val="E0294EC7"/>
    <w:multiLevelType w:val="multilevel"/>
    <w:tmpl w:val="E0294EC7"/>
    <w:lvl w:ilvl="0" w:tentative="0">
      <w:start w:val="1"/>
      <w:numFmt w:val="decimal"/>
      <w:lvlText w:val="（%1）"/>
      <w:lvlJc w:val="left"/>
      <w:pPr>
        <w:ind w:left="107" w:hanging="529"/>
        <w:jc w:val="left"/>
      </w:pPr>
      <w:rPr>
        <w:rFonts w:hint="default" w:ascii="宋体" w:hAnsi="宋体" w:eastAsia="宋体" w:cs="宋体"/>
        <w:b w:val="0"/>
        <w:bCs w:val="0"/>
        <w:i w:val="0"/>
        <w:iCs w:val="0"/>
        <w:spacing w:val="-27"/>
        <w:w w:val="100"/>
        <w:sz w:val="19"/>
        <w:szCs w:val="19"/>
        <w:lang w:val="en-US" w:eastAsia="zh-CN" w:bidi="ar-SA"/>
      </w:rPr>
    </w:lvl>
    <w:lvl w:ilvl="1" w:tentative="0">
      <w:start w:val="0"/>
      <w:numFmt w:val="bullet"/>
      <w:lvlText w:val="•"/>
      <w:lvlJc w:val="left"/>
      <w:pPr>
        <w:ind w:left="752" w:hanging="529"/>
      </w:pPr>
      <w:rPr>
        <w:rFonts w:hint="default"/>
        <w:lang w:val="en-US" w:eastAsia="zh-CN" w:bidi="ar-SA"/>
      </w:rPr>
    </w:lvl>
    <w:lvl w:ilvl="2" w:tentative="0">
      <w:start w:val="0"/>
      <w:numFmt w:val="bullet"/>
      <w:lvlText w:val="•"/>
      <w:lvlJc w:val="left"/>
      <w:pPr>
        <w:ind w:left="1405" w:hanging="529"/>
      </w:pPr>
      <w:rPr>
        <w:rFonts w:hint="default"/>
        <w:lang w:val="en-US" w:eastAsia="zh-CN" w:bidi="ar-SA"/>
      </w:rPr>
    </w:lvl>
    <w:lvl w:ilvl="3" w:tentative="0">
      <w:start w:val="0"/>
      <w:numFmt w:val="bullet"/>
      <w:lvlText w:val="•"/>
      <w:lvlJc w:val="left"/>
      <w:pPr>
        <w:ind w:left="2057" w:hanging="529"/>
      </w:pPr>
      <w:rPr>
        <w:rFonts w:hint="default"/>
        <w:lang w:val="en-US" w:eastAsia="zh-CN" w:bidi="ar-SA"/>
      </w:rPr>
    </w:lvl>
    <w:lvl w:ilvl="4" w:tentative="0">
      <w:start w:val="0"/>
      <w:numFmt w:val="bullet"/>
      <w:lvlText w:val="•"/>
      <w:lvlJc w:val="left"/>
      <w:pPr>
        <w:ind w:left="2710" w:hanging="529"/>
      </w:pPr>
      <w:rPr>
        <w:rFonts w:hint="default"/>
        <w:lang w:val="en-US" w:eastAsia="zh-CN" w:bidi="ar-SA"/>
      </w:rPr>
    </w:lvl>
    <w:lvl w:ilvl="5" w:tentative="0">
      <w:start w:val="0"/>
      <w:numFmt w:val="bullet"/>
      <w:lvlText w:val="•"/>
      <w:lvlJc w:val="left"/>
      <w:pPr>
        <w:ind w:left="3363" w:hanging="529"/>
      </w:pPr>
      <w:rPr>
        <w:rFonts w:hint="default"/>
        <w:lang w:val="en-US" w:eastAsia="zh-CN" w:bidi="ar-SA"/>
      </w:rPr>
    </w:lvl>
    <w:lvl w:ilvl="6" w:tentative="0">
      <w:start w:val="0"/>
      <w:numFmt w:val="bullet"/>
      <w:lvlText w:val="•"/>
      <w:lvlJc w:val="left"/>
      <w:pPr>
        <w:ind w:left="4015" w:hanging="529"/>
      </w:pPr>
      <w:rPr>
        <w:rFonts w:hint="default"/>
        <w:lang w:val="en-US" w:eastAsia="zh-CN" w:bidi="ar-SA"/>
      </w:rPr>
    </w:lvl>
    <w:lvl w:ilvl="7" w:tentative="0">
      <w:start w:val="0"/>
      <w:numFmt w:val="bullet"/>
      <w:lvlText w:val="•"/>
      <w:lvlJc w:val="left"/>
      <w:pPr>
        <w:ind w:left="4668" w:hanging="529"/>
      </w:pPr>
      <w:rPr>
        <w:rFonts w:hint="default"/>
        <w:lang w:val="en-US" w:eastAsia="zh-CN" w:bidi="ar-SA"/>
      </w:rPr>
    </w:lvl>
    <w:lvl w:ilvl="8" w:tentative="0">
      <w:start w:val="0"/>
      <w:numFmt w:val="bullet"/>
      <w:lvlText w:val="•"/>
      <w:lvlJc w:val="left"/>
      <w:pPr>
        <w:ind w:left="5320" w:hanging="529"/>
      </w:pPr>
      <w:rPr>
        <w:rFonts w:hint="default"/>
        <w:lang w:val="en-US" w:eastAsia="zh-CN" w:bidi="ar-SA"/>
      </w:rPr>
    </w:lvl>
  </w:abstractNum>
  <w:abstractNum w:abstractNumId="51">
    <w:nsid w:val="E093A4B0"/>
    <w:multiLevelType w:val="multilevel"/>
    <w:tmpl w:val="E093A4B0"/>
    <w:lvl w:ilvl="0" w:tentative="0">
      <w:start w:val="1"/>
      <w:numFmt w:val="decimal"/>
      <w:lvlText w:val="（%1）"/>
      <w:lvlJc w:val="left"/>
      <w:pPr>
        <w:ind w:left="636"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238" w:hanging="529"/>
      </w:pPr>
      <w:rPr>
        <w:rFonts w:hint="default"/>
        <w:lang w:val="en-US" w:eastAsia="zh-CN" w:bidi="ar-SA"/>
      </w:rPr>
    </w:lvl>
    <w:lvl w:ilvl="2" w:tentative="0">
      <w:start w:val="0"/>
      <w:numFmt w:val="bullet"/>
      <w:lvlText w:val="•"/>
      <w:lvlJc w:val="left"/>
      <w:pPr>
        <w:ind w:left="1837" w:hanging="529"/>
      </w:pPr>
      <w:rPr>
        <w:rFonts w:hint="default"/>
        <w:lang w:val="en-US" w:eastAsia="zh-CN" w:bidi="ar-SA"/>
      </w:rPr>
    </w:lvl>
    <w:lvl w:ilvl="3" w:tentative="0">
      <w:start w:val="0"/>
      <w:numFmt w:val="bullet"/>
      <w:lvlText w:val="•"/>
      <w:lvlJc w:val="left"/>
      <w:pPr>
        <w:ind w:left="2435" w:hanging="529"/>
      </w:pPr>
      <w:rPr>
        <w:rFonts w:hint="default"/>
        <w:lang w:val="en-US" w:eastAsia="zh-CN" w:bidi="ar-SA"/>
      </w:rPr>
    </w:lvl>
    <w:lvl w:ilvl="4" w:tentative="0">
      <w:start w:val="0"/>
      <w:numFmt w:val="bullet"/>
      <w:lvlText w:val="•"/>
      <w:lvlJc w:val="left"/>
      <w:pPr>
        <w:ind w:left="3034" w:hanging="529"/>
      </w:pPr>
      <w:rPr>
        <w:rFonts w:hint="default"/>
        <w:lang w:val="en-US" w:eastAsia="zh-CN" w:bidi="ar-SA"/>
      </w:rPr>
    </w:lvl>
    <w:lvl w:ilvl="5" w:tentative="0">
      <w:start w:val="0"/>
      <w:numFmt w:val="bullet"/>
      <w:lvlText w:val="•"/>
      <w:lvlJc w:val="left"/>
      <w:pPr>
        <w:ind w:left="3633" w:hanging="529"/>
      </w:pPr>
      <w:rPr>
        <w:rFonts w:hint="default"/>
        <w:lang w:val="en-US" w:eastAsia="zh-CN" w:bidi="ar-SA"/>
      </w:rPr>
    </w:lvl>
    <w:lvl w:ilvl="6" w:tentative="0">
      <w:start w:val="0"/>
      <w:numFmt w:val="bullet"/>
      <w:lvlText w:val="•"/>
      <w:lvlJc w:val="left"/>
      <w:pPr>
        <w:ind w:left="4231" w:hanging="529"/>
      </w:pPr>
      <w:rPr>
        <w:rFonts w:hint="default"/>
        <w:lang w:val="en-US" w:eastAsia="zh-CN" w:bidi="ar-SA"/>
      </w:rPr>
    </w:lvl>
    <w:lvl w:ilvl="7" w:tentative="0">
      <w:start w:val="0"/>
      <w:numFmt w:val="bullet"/>
      <w:lvlText w:val="•"/>
      <w:lvlJc w:val="left"/>
      <w:pPr>
        <w:ind w:left="4830" w:hanging="529"/>
      </w:pPr>
      <w:rPr>
        <w:rFonts w:hint="default"/>
        <w:lang w:val="en-US" w:eastAsia="zh-CN" w:bidi="ar-SA"/>
      </w:rPr>
    </w:lvl>
    <w:lvl w:ilvl="8" w:tentative="0">
      <w:start w:val="0"/>
      <w:numFmt w:val="bullet"/>
      <w:lvlText w:val="•"/>
      <w:lvlJc w:val="left"/>
      <w:pPr>
        <w:ind w:left="5428" w:hanging="529"/>
      </w:pPr>
      <w:rPr>
        <w:rFonts w:hint="default"/>
        <w:lang w:val="en-US" w:eastAsia="zh-CN" w:bidi="ar-SA"/>
      </w:rPr>
    </w:lvl>
  </w:abstractNum>
  <w:abstractNum w:abstractNumId="52">
    <w:nsid w:val="E43A772E"/>
    <w:multiLevelType w:val="multilevel"/>
    <w:tmpl w:val="E43A772E"/>
    <w:lvl w:ilvl="0" w:tentative="0">
      <w:start w:val="1"/>
      <w:numFmt w:val="decimal"/>
      <w:lvlText w:val="%1."/>
      <w:lvlJc w:val="left"/>
      <w:pPr>
        <w:ind w:left="580" w:hanging="361"/>
        <w:jc w:val="left"/>
      </w:pPr>
      <w:rPr>
        <w:rFonts w:hint="default" w:ascii="Times New Roman" w:hAnsi="Times New Roman" w:eastAsia="Times New Roman" w:cs="Times New Roman"/>
        <w:b w:val="0"/>
        <w:bCs w:val="0"/>
        <w:i w:val="0"/>
        <w:iCs w:val="0"/>
        <w:spacing w:val="0"/>
        <w:w w:val="99"/>
        <w:sz w:val="20"/>
        <w:szCs w:val="20"/>
        <w:lang w:val="en-US" w:eastAsia="zh-CN" w:bidi="ar-SA"/>
      </w:rPr>
    </w:lvl>
    <w:lvl w:ilvl="1" w:tentative="0">
      <w:start w:val="0"/>
      <w:numFmt w:val="bullet"/>
      <w:lvlText w:val="•"/>
      <w:lvlJc w:val="left"/>
      <w:pPr>
        <w:ind w:left="1598" w:hanging="361"/>
      </w:pPr>
      <w:rPr>
        <w:rFonts w:hint="default"/>
        <w:lang w:val="en-US" w:eastAsia="zh-CN" w:bidi="ar-SA"/>
      </w:rPr>
    </w:lvl>
    <w:lvl w:ilvl="2" w:tentative="0">
      <w:start w:val="0"/>
      <w:numFmt w:val="bullet"/>
      <w:lvlText w:val="•"/>
      <w:lvlJc w:val="left"/>
      <w:pPr>
        <w:ind w:left="2617" w:hanging="361"/>
      </w:pPr>
      <w:rPr>
        <w:rFonts w:hint="default"/>
        <w:lang w:val="en-US" w:eastAsia="zh-CN" w:bidi="ar-SA"/>
      </w:rPr>
    </w:lvl>
    <w:lvl w:ilvl="3" w:tentative="0">
      <w:start w:val="0"/>
      <w:numFmt w:val="bullet"/>
      <w:lvlText w:val="•"/>
      <w:lvlJc w:val="left"/>
      <w:pPr>
        <w:ind w:left="3635" w:hanging="361"/>
      </w:pPr>
      <w:rPr>
        <w:rFonts w:hint="default"/>
        <w:lang w:val="en-US" w:eastAsia="zh-CN" w:bidi="ar-SA"/>
      </w:rPr>
    </w:lvl>
    <w:lvl w:ilvl="4" w:tentative="0">
      <w:start w:val="0"/>
      <w:numFmt w:val="bullet"/>
      <w:lvlText w:val="•"/>
      <w:lvlJc w:val="left"/>
      <w:pPr>
        <w:ind w:left="4654" w:hanging="361"/>
      </w:pPr>
      <w:rPr>
        <w:rFonts w:hint="default"/>
        <w:lang w:val="en-US" w:eastAsia="zh-CN" w:bidi="ar-SA"/>
      </w:rPr>
    </w:lvl>
    <w:lvl w:ilvl="5" w:tentative="0">
      <w:start w:val="0"/>
      <w:numFmt w:val="bullet"/>
      <w:lvlText w:val="•"/>
      <w:lvlJc w:val="left"/>
      <w:pPr>
        <w:ind w:left="5673" w:hanging="361"/>
      </w:pPr>
      <w:rPr>
        <w:rFonts w:hint="default"/>
        <w:lang w:val="en-US" w:eastAsia="zh-CN" w:bidi="ar-SA"/>
      </w:rPr>
    </w:lvl>
    <w:lvl w:ilvl="6" w:tentative="0">
      <w:start w:val="0"/>
      <w:numFmt w:val="bullet"/>
      <w:lvlText w:val="•"/>
      <w:lvlJc w:val="left"/>
      <w:pPr>
        <w:ind w:left="6691" w:hanging="361"/>
      </w:pPr>
      <w:rPr>
        <w:rFonts w:hint="default"/>
        <w:lang w:val="en-US" w:eastAsia="zh-CN" w:bidi="ar-SA"/>
      </w:rPr>
    </w:lvl>
    <w:lvl w:ilvl="7" w:tentative="0">
      <w:start w:val="0"/>
      <w:numFmt w:val="bullet"/>
      <w:lvlText w:val="•"/>
      <w:lvlJc w:val="left"/>
      <w:pPr>
        <w:ind w:left="7710" w:hanging="361"/>
      </w:pPr>
      <w:rPr>
        <w:rFonts w:hint="default"/>
        <w:lang w:val="en-US" w:eastAsia="zh-CN" w:bidi="ar-SA"/>
      </w:rPr>
    </w:lvl>
    <w:lvl w:ilvl="8" w:tentative="0">
      <w:start w:val="0"/>
      <w:numFmt w:val="bullet"/>
      <w:lvlText w:val="•"/>
      <w:lvlJc w:val="left"/>
      <w:pPr>
        <w:ind w:left="8729" w:hanging="361"/>
      </w:pPr>
      <w:rPr>
        <w:rFonts w:hint="default"/>
        <w:lang w:val="en-US" w:eastAsia="zh-CN" w:bidi="ar-SA"/>
      </w:rPr>
    </w:lvl>
  </w:abstractNum>
  <w:abstractNum w:abstractNumId="53">
    <w:nsid w:val="E504947C"/>
    <w:multiLevelType w:val="multilevel"/>
    <w:tmpl w:val="E504947C"/>
    <w:lvl w:ilvl="0" w:tentative="0">
      <w:start w:val="1"/>
      <w:numFmt w:val="decimal"/>
      <w:lvlText w:val="（%1）"/>
      <w:lvlJc w:val="left"/>
      <w:pPr>
        <w:ind w:left="636"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238" w:hanging="529"/>
      </w:pPr>
      <w:rPr>
        <w:rFonts w:hint="default"/>
        <w:lang w:val="en-US" w:eastAsia="zh-CN" w:bidi="ar-SA"/>
      </w:rPr>
    </w:lvl>
    <w:lvl w:ilvl="2" w:tentative="0">
      <w:start w:val="0"/>
      <w:numFmt w:val="bullet"/>
      <w:lvlText w:val="•"/>
      <w:lvlJc w:val="left"/>
      <w:pPr>
        <w:ind w:left="1837" w:hanging="529"/>
      </w:pPr>
      <w:rPr>
        <w:rFonts w:hint="default"/>
        <w:lang w:val="en-US" w:eastAsia="zh-CN" w:bidi="ar-SA"/>
      </w:rPr>
    </w:lvl>
    <w:lvl w:ilvl="3" w:tentative="0">
      <w:start w:val="0"/>
      <w:numFmt w:val="bullet"/>
      <w:lvlText w:val="•"/>
      <w:lvlJc w:val="left"/>
      <w:pPr>
        <w:ind w:left="2435" w:hanging="529"/>
      </w:pPr>
      <w:rPr>
        <w:rFonts w:hint="default"/>
        <w:lang w:val="en-US" w:eastAsia="zh-CN" w:bidi="ar-SA"/>
      </w:rPr>
    </w:lvl>
    <w:lvl w:ilvl="4" w:tentative="0">
      <w:start w:val="0"/>
      <w:numFmt w:val="bullet"/>
      <w:lvlText w:val="•"/>
      <w:lvlJc w:val="left"/>
      <w:pPr>
        <w:ind w:left="3034" w:hanging="529"/>
      </w:pPr>
      <w:rPr>
        <w:rFonts w:hint="default"/>
        <w:lang w:val="en-US" w:eastAsia="zh-CN" w:bidi="ar-SA"/>
      </w:rPr>
    </w:lvl>
    <w:lvl w:ilvl="5" w:tentative="0">
      <w:start w:val="0"/>
      <w:numFmt w:val="bullet"/>
      <w:lvlText w:val="•"/>
      <w:lvlJc w:val="left"/>
      <w:pPr>
        <w:ind w:left="3633" w:hanging="529"/>
      </w:pPr>
      <w:rPr>
        <w:rFonts w:hint="default"/>
        <w:lang w:val="en-US" w:eastAsia="zh-CN" w:bidi="ar-SA"/>
      </w:rPr>
    </w:lvl>
    <w:lvl w:ilvl="6" w:tentative="0">
      <w:start w:val="0"/>
      <w:numFmt w:val="bullet"/>
      <w:lvlText w:val="•"/>
      <w:lvlJc w:val="left"/>
      <w:pPr>
        <w:ind w:left="4231" w:hanging="529"/>
      </w:pPr>
      <w:rPr>
        <w:rFonts w:hint="default"/>
        <w:lang w:val="en-US" w:eastAsia="zh-CN" w:bidi="ar-SA"/>
      </w:rPr>
    </w:lvl>
    <w:lvl w:ilvl="7" w:tentative="0">
      <w:start w:val="0"/>
      <w:numFmt w:val="bullet"/>
      <w:lvlText w:val="•"/>
      <w:lvlJc w:val="left"/>
      <w:pPr>
        <w:ind w:left="4830" w:hanging="529"/>
      </w:pPr>
      <w:rPr>
        <w:rFonts w:hint="default"/>
        <w:lang w:val="en-US" w:eastAsia="zh-CN" w:bidi="ar-SA"/>
      </w:rPr>
    </w:lvl>
    <w:lvl w:ilvl="8" w:tentative="0">
      <w:start w:val="0"/>
      <w:numFmt w:val="bullet"/>
      <w:lvlText w:val="•"/>
      <w:lvlJc w:val="left"/>
      <w:pPr>
        <w:ind w:left="5428" w:hanging="529"/>
      </w:pPr>
      <w:rPr>
        <w:rFonts w:hint="default"/>
        <w:lang w:val="en-US" w:eastAsia="zh-CN" w:bidi="ar-SA"/>
      </w:rPr>
    </w:lvl>
  </w:abstractNum>
  <w:abstractNum w:abstractNumId="54">
    <w:nsid w:val="E52D9448"/>
    <w:multiLevelType w:val="multilevel"/>
    <w:tmpl w:val="E52D9448"/>
    <w:lvl w:ilvl="0" w:tentative="0">
      <w:start w:val="1"/>
      <w:numFmt w:val="decimal"/>
      <w:lvlText w:val="（%1）"/>
      <w:lvlJc w:val="left"/>
      <w:pPr>
        <w:ind w:left="108" w:hanging="531"/>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753" w:hanging="531"/>
      </w:pPr>
      <w:rPr>
        <w:rFonts w:hint="default"/>
        <w:lang w:val="en-US" w:eastAsia="zh-CN" w:bidi="ar-SA"/>
      </w:rPr>
    </w:lvl>
    <w:lvl w:ilvl="2" w:tentative="0">
      <w:start w:val="0"/>
      <w:numFmt w:val="bullet"/>
      <w:lvlText w:val="•"/>
      <w:lvlJc w:val="left"/>
      <w:pPr>
        <w:ind w:left="1406" w:hanging="531"/>
      </w:pPr>
      <w:rPr>
        <w:rFonts w:hint="default"/>
        <w:lang w:val="en-US" w:eastAsia="zh-CN" w:bidi="ar-SA"/>
      </w:rPr>
    </w:lvl>
    <w:lvl w:ilvl="3" w:tentative="0">
      <w:start w:val="0"/>
      <w:numFmt w:val="bullet"/>
      <w:lvlText w:val="•"/>
      <w:lvlJc w:val="left"/>
      <w:pPr>
        <w:ind w:left="2059" w:hanging="531"/>
      </w:pPr>
      <w:rPr>
        <w:rFonts w:hint="default"/>
        <w:lang w:val="en-US" w:eastAsia="zh-CN" w:bidi="ar-SA"/>
      </w:rPr>
    </w:lvl>
    <w:lvl w:ilvl="4" w:tentative="0">
      <w:start w:val="0"/>
      <w:numFmt w:val="bullet"/>
      <w:lvlText w:val="•"/>
      <w:lvlJc w:val="left"/>
      <w:pPr>
        <w:ind w:left="2713" w:hanging="531"/>
      </w:pPr>
      <w:rPr>
        <w:rFonts w:hint="default"/>
        <w:lang w:val="en-US" w:eastAsia="zh-CN" w:bidi="ar-SA"/>
      </w:rPr>
    </w:lvl>
    <w:lvl w:ilvl="5" w:tentative="0">
      <w:start w:val="0"/>
      <w:numFmt w:val="bullet"/>
      <w:lvlText w:val="•"/>
      <w:lvlJc w:val="left"/>
      <w:pPr>
        <w:ind w:left="3366" w:hanging="531"/>
      </w:pPr>
      <w:rPr>
        <w:rFonts w:hint="default"/>
        <w:lang w:val="en-US" w:eastAsia="zh-CN" w:bidi="ar-SA"/>
      </w:rPr>
    </w:lvl>
    <w:lvl w:ilvl="6" w:tentative="0">
      <w:start w:val="0"/>
      <w:numFmt w:val="bullet"/>
      <w:lvlText w:val="•"/>
      <w:lvlJc w:val="left"/>
      <w:pPr>
        <w:ind w:left="4019" w:hanging="531"/>
      </w:pPr>
      <w:rPr>
        <w:rFonts w:hint="default"/>
        <w:lang w:val="en-US" w:eastAsia="zh-CN" w:bidi="ar-SA"/>
      </w:rPr>
    </w:lvl>
    <w:lvl w:ilvl="7" w:tentative="0">
      <w:start w:val="0"/>
      <w:numFmt w:val="bullet"/>
      <w:lvlText w:val="•"/>
      <w:lvlJc w:val="left"/>
      <w:pPr>
        <w:ind w:left="4673" w:hanging="531"/>
      </w:pPr>
      <w:rPr>
        <w:rFonts w:hint="default"/>
        <w:lang w:val="en-US" w:eastAsia="zh-CN" w:bidi="ar-SA"/>
      </w:rPr>
    </w:lvl>
    <w:lvl w:ilvl="8" w:tentative="0">
      <w:start w:val="0"/>
      <w:numFmt w:val="bullet"/>
      <w:lvlText w:val="•"/>
      <w:lvlJc w:val="left"/>
      <w:pPr>
        <w:ind w:left="5326" w:hanging="531"/>
      </w:pPr>
      <w:rPr>
        <w:rFonts w:hint="default"/>
        <w:lang w:val="en-US" w:eastAsia="zh-CN" w:bidi="ar-SA"/>
      </w:rPr>
    </w:lvl>
  </w:abstractNum>
  <w:abstractNum w:abstractNumId="55">
    <w:nsid w:val="E7B27C5B"/>
    <w:multiLevelType w:val="multilevel"/>
    <w:tmpl w:val="E7B27C5B"/>
    <w:lvl w:ilvl="0" w:tentative="0">
      <w:start w:val="1"/>
      <w:numFmt w:val="decimal"/>
      <w:lvlText w:val="（%1）"/>
      <w:lvlJc w:val="left"/>
      <w:pPr>
        <w:ind w:left="636"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238" w:hanging="529"/>
      </w:pPr>
      <w:rPr>
        <w:rFonts w:hint="default"/>
        <w:lang w:val="en-US" w:eastAsia="zh-CN" w:bidi="ar-SA"/>
      </w:rPr>
    </w:lvl>
    <w:lvl w:ilvl="2" w:tentative="0">
      <w:start w:val="0"/>
      <w:numFmt w:val="bullet"/>
      <w:lvlText w:val="•"/>
      <w:lvlJc w:val="left"/>
      <w:pPr>
        <w:ind w:left="1837" w:hanging="529"/>
      </w:pPr>
      <w:rPr>
        <w:rFonts w:hint="default"/>
        <w:lang w:val="en-US" w:eastAsia="zh-CN" w:bidi="ar-SA"/>
      </w:rPr>
    </w:lvl>
    <w:lvl w:ilvl="3" w:tentative="0">
      <w:start w:val="0"/>
      <w:numFmt w:val="bullet"/>
      <w:lvlText w:val="•"/>
      <w:lvlJc w:val="left"/>
      <w:pPr>
        <w:ind w:left="2435" w:hanging="529"/>
      </w:pPr>
      <w:rPr>
        <w:rFonts w:hint="default"/>
        <w:lang w:val="en-US" w:eastAsia="zh-CN" w:bidi="ar-SA"/>
      </w:rPr>
    </w:lvl>
    <w:lvl w:ilvl="4" w:tentative="0">
      <w:start w:val="0"/>
      <w:numFmt w:val="bullet"/>
      <w:lvlText w:val="•"/>
      <w:lvlJc w:val="left"/>
      <w:pPr>
        <w:ind w:left="3034" w:hanging="529"/>
      </w:pPr>
      <w:rPr>
        <w:rFonts w:hint="default"/>
        <w:lang w:val="en-US" w:eastAsia="zh-CN" w:bidi="ar-SA"/>
      </w:rPr>
    </w:lvl>
    <w:lvl w:ilvl="5" w:tentative="0">
      <w:start w:val="0"/>
      <w:numFmt w:val="bullet"/>
      <w:lvlText w:val="•"/>
      <w:lvlJc w:val="left"/>
      <w:pPr>
        <w:ind w:left="3633" w:hanging="529"/>
      </w:pPr>
      <w:rPr>
        <w:rFonts w:hint="default"/>
        <w:lang w:val="en-US" w:eastAsia="zh-CN" w:bidi="ar-SA"/>
      </w:rPr>
    </w:lvl>
    <w:lvl w:ilvl="6" w:tentative="0">
      <w:start w:val="0"/>
      <w:numFmt w:val="bullet"/>
      <w:lvlText w:val="•"/>
      <w:lvlJc w:val="left"/>
      <w:pPr>
        <w:ind w:left="4231" w:hanging="529"/>
      </w:pPr>
      <w:rPr>
        <w:rFonts w:hint="default"/>
        <w:lang w:val="en-US" w:eastAsia="zh-CN" w:bidi="ar-SA"/>
      </w:rPr>
    </w:lvl>
    <w:lvl w:ilvl="7" w:tentative="0">
      <w:start w:val="0"/>
      <w:numFmt w:val="bullet"/>
      <w:lvlText w:val="•"/>
      <w:lvlJc w:val="left"/>
      <w:pPr>
        <w:ind w:left="4830" w:hanging="529"/>
      </w:pPr>
      <w:rPr>
        <w:rFonts w:hint="default"/>
        <w:lang w:val="en-US" w:eastAsia="zh-CN" w:bidi="ar-SA"/>
      </w:rPr>
    </w:lvl>
    <w:lvl w:ilvl="8" w:tentative="0">
      <w:start w:val="0"/>
      <w:numFmt w:val="bullet"/>
      <w:lvlText w:val="•"/>
      <w:lvlJc w:val="left"/>
      <w:pPr>
        <w:ind w:left="5428" w:hanging="529"/>
      </w:pPr>
      <w:rPr>
        <w:rFonts w:hint="default"/>
        <w:lang w:val="en-US" w:eastAsia="zh-CN" w:bidi="ar-SA"/>
      </w:rPr>
    </w:lvl>
  </w:abstractNum>
  <w:abstractNum w:abstractNumId="56">
    <w:nsid w:val="F0E89278"/>
    <w:multiLevelType w:val="multilevel"/>
    <w:tmpl w:val="F0E89278"/>
    <w:lvl w:ilvl="0" w:tentative="0">
      <w:start w:val="1"/>
      <w:numFmt w:val="decimal"/>
      <w:lvlText w:val="（%1）"/>
      <w:lvlJc w:val="left"/>
      <w:pPr>
        <w:ind w:left="636"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238" w:hanging="529"/>
      </w:pPr>
      <w:rPr>
        <w:rFonts w:hint="default"/>
        <w:lang w:val="en-US" w:eastAsia="zh-CN" w:bidi="ar-SA"/>
      </w:rPr>
    </w:lvl>
    <w:lvl w:ilvl="2" w:tentative="0">
      <w:start w:val="0"/>
      <w:numFmt w:val="bullet"/>
      <w:lvlText w:val="•"/>
      <w:lvlJc w:val="left"/>
      <w:pPr>
        <w:ind w:left="1837" w:hanging="529"/>
      </w:pPr>
      <w:rPr>
        <w:rFonts w:hint="default"/>
        <w:lang w:val="en-US" w:eastAsia="zh-CN" w:bidi="ar-SA"/>
      </w:rPr>
    </w:lvl>
    <w:lvl w:ilvl="3" w:tentative="0">
      <w:start w:val="0"/>
      <w:numFmt w:val="bullet"/>
      <w:lvlText w:val="•"/>
      <w:lvlJc w:val="left"/>
      <w:pPr>
        <w:ind w:left="2436" w:hanging="529"/>
      </w:pPr>
      <w:rPr>
        <w:rFonts w:hint="default"/>
        <w:lang w:val="en-US" w:eastAsia="zh-CN" w:bidi="ar-SA"/>
      </w:rPr>
    </w:lvl>
    <w:lvl w:ilvl="4" w:tentative="0">
      <w:start w:val="0"/>
      <w:numFmt w:val="bullet"/>
      <w:lvlText w:val="•"/>
      <w:lvlJc w:val="left"/>
      <w:pPr>
        <w:ind w:left="3035" w:hanging="529"/>
      </w:pPr>
      <w:rPr>
        <w:rFonts w:hint="default"/>
        <w:lang w:val="en-US" w:eastAsia="zh-CN" w:bidi="ar-SA"/>
      </w:rPr>
    </w:lvl>
    <w:lvl w:ilvl="5" w:tentative="0">
      <w:start w:val="0"/>
      <w:numFmt w:val="bullet"/>
      <w:lvlText w:val="•"/>
      <w:lvlJc w:val="left"/>
      <w:pPr>
        <w:ind w:left="3634" w:hanging="529"/>
      </w:pPr>
      <w:rPr>
        <w:rFonts w:hint="default"/>
        <w:lang w:val="en-US" w:eastAsia="zh-CN" w:bidi="ar-SA"/>
      </w:rPr>
    </w:lvl>
    <w:lvl w:ilvl="6" w:tentative="0">
      <w:start w:val="0"/>
      <w:numFmt w:val="bullet"/>
      <w:lvlText w:val="•"/>
      <w:lvlJc w:val="left"/>
      <w:pPr>
        <w:ind w:left="4232" w:hanging="529"/>
      </w:pPr>
      <w:rPr>
        <w:rFonts w:hint="default"/>
        <w:lang w:val="en-US" w:eastAsia="zh-CN" w:bidi="ar-SA"/>
      </w:rPr>
    </w:lvl>
    <w:lvl w:ilvl="7" w:tentative="0">
      <w:start w:val="0"/>
      <w:numFmt w:val="bullet"/>
      <w:lvlText w:val="•"/>
      <w:lvlJc w:val="left"/>
      <w:pPr>
        <w:ind w:left="4831" w:hanging="529"/>
      </w:pPr>
      <w:rPr>
        <w:rFonts w:hint="default"/>
        <w:lang w:val="en-US" w:eastAsia="zh-CN" w:bidi="ar-SA"/>
      </w:rPr>
    </w:lvl>
    <w:lvl w:ilvl="8" w:tentative="0">
      <w:start w:val="0"/>
      <w:numFmt w:val="bullet"/>
      <w:lvlText w:val="•"/>
      <w:lvlJc w:val="left"/>
      <w:pPr>
        <w:ind w:left="5430" w:hanging="529"/>
      </w:pPr>
      <w:rPr>
        <w:rFonts w:hint="default"/>
        <w:lang w:val="en-US" w:eastAsia="zh-CN" w:bidi="ar-SA"/>
      </w:rPr>
    </w:lvl>
  </w:abstractNum>
  <w:abstractNum w:abstractNumId="57">
    <w:nsid w:val="F3A33954"/>
    <w:multiLevelType w:val="multilevel"/>
    <w:tmpl w:val="F3A33954"/>
    <w:lvl w:ilvl="0" w:tentative="0">
      <w:start w:val="1"/>
      <w:numFmt w:val="decimal"/>
      <w:lvlText w:val="（%1）"/>
      <w:lvlJc w:val="left"/>
      <w:pPr>
        <w:ind w:left="63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239" w:hanging="529"/>
      </w:pPr>
      <w:rPr>
        <w:rFonts w:hint="default"/>
        <w:lang w:val="en-US" w:eastAsia="zh-CN" w:bidi="ar-SA"/>
      </w:rPr>
    </w:lvl>
    <w:lvl w:ilvl="2" w:tentative="0">
      <w:start w:val="0"/>
      <w:numFmt w:val="bullet"/>
      <w:lvlText w:val="•"/>
      <w:lvlJc w:val="left"/>
      <w:pPr>
        <w:ind w:left="1838" w:hanging="529"/>
      </w:pPr>
      <w:rPr>
        <w:rFonts w:hint="default"/>
        <w:lang w:val="en-US" w:eastAsia="zh-CN" w:bidi="ar-SA"/>
      </w:rPr>
    </w:lvl>
    <w:lvl w:ilvl="3" w:tentative="0">
      <w:start w:val="0"/>
      <w:numFmt w:val="bullet"/>
      <w:lvlText w:val="•"/>
      <w:lvlJc w:val="left"/>
      <w:pPr>
        <w:ind w:left="2437" w:hanging="529"/>
      </w:pPr>
      <w:rPr>
        <w:rFonts w:hint="default"/>
        <w:lang w:val="en-US" w:eastAsia="zh-CN" w:bidi="ar-SA"/>
      </w:rPr>
    </w:lvl>
    <w:lvl w:ilvl="4" w:tentative="0">
      <w:start w:val="0"/>
      <w:numFmt w:val="bullet"/>
      <w:lvlText w:val="•"/>
      <w:lvlJc w:val="left"/>
      <w:pPr>
        <w:ind w:left="3037" w:hanging="529"/>
      </w:pPr>
      <w:rPr>
        <w:rFonts w:hint="default"/>
        <w:lang w:val="en-US" w:eastAsia="zh-CN" w:bidi="ar-SA"/>
      </w:rPr>
    </w:lvl>
    <w:lvl w:ilvl="5" w:tentative="0">
      <w:start w:val="0"/>
      <w:numFmt w:val="bullet"/>
      <w:lvlText w:val="•"/>
      <w:lvlJc w:val="left"/>
      <w:pPr>
        <w:ind w:left="3636" w:hanging="529"/>
      </w:pPr>
      <w:rPr>
        <w:rFonts w:hint="default"/>
        <w:lang w:val="en-US" w:eastAsia="zh-CN" w:bidi="ar-SA"/>
      </w:rPr>
    </w:lvl>
    <w:lvl w:ilvl="6" w:tentative="0">
      <w:start w:val="0"/>
      <w:numFmt w:val="bullet"/>
      <w:lvlText w:val="•"/>
      <w:lvlJc w:val="left"/>
      <w:pPr>
        <w:ind w:left="4235" w:hanging="529"/>
      </w:pPr>
      <w:rPr>
        <w:rFonts w:hint="default"/>
        <w:lang w:val="en-US" w:eastAsia="zh-CN" w:bidi="ar-SA"/>
      </w:rPr>
    </w:lvl>
    <w:lvl w:ilvl="7" w:tentative="0">
      <w:start w:val="0"/>
      <w:numFmt w:val="bullet"/>
      <w:lvlText w:val="•"/>
      <w:lvlJc w:val="left"/>
      <w:pPr>
        <w:ind w:left="4835" w:hanging="529"/>
      </w:pPr>
      <w:rPr>
        <w:rFonts w:hint="default"/>
        <w:lang w:val="en-US" w:eastAsia="zh-CN" w:bidi="ar-SA"/>
      </w:rPr>
    </w:lvl>
    <w:lvl w:ilvl="8" w:tentative="0">
      <w:start w:val="0"/>
      <w:numFmt w:val="bullet"/>
      <w:lvlText w:val="•"/>
      <w:lvlJc w:val="left"/>
      <w:pPr>
        <w:ind w:left="5434" w:hanging="529"/>
      </w:pPr>
      <w:rPr>
        <w:rFonts w:hint="default"/>
        <w:lang w:val="en-US" w:eastAsia="zh-CN" w:bidi="ar-SA"/>
      </w:rPr>
    </w:lvl>
  </w:abstractNum>
  <w:abstractNum w:abstractNumId="58">
    <w:nsid w:val="F4A942FE"/>
    <w:multiLevelType w:val="multilevel"/>
    <w:tmpl w:val="F4A942FE"/>
    <w:lvl w:ilvl="0" w:tentative="0">
      <w:start w:val="1"/>
      <w:numFmt w:val="decimal"/>
      <w:lvlText w:val="（%1）"/>
      <w:lvlJc w:val="left"/>
      <w:pPr>
        <w:ind w:left="63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239" w:hanging="529"/>
      </w:pPr>
      <w:rPr>
        <w:rFonts w:hint="default"/>
        <w:lang w:val="en-US" w:eastAsia="zh-CN" w:bidi="ar-SA"/>
      </w:rPr>
    </w:lvl>
    <w:lvl w:ilvl="2" w:tentative="0">
      <w:start w:val="0"/>
      <w:numFmt w:val="bullet"/>
      <w:lvlText w:val="•"/>
      <w:lvlJc w:val="left"/>
      <w:pPr>
        <w:ind w:left="1838" w:hanging="529"/>
      </w:pPr>
      <w:rPr>
        <w:rFonts w:hint="default"/>
        <w:lang w:val="en-US" w:eastAsia="zh-CN" w:bidi="ar-SA"/>
      </w:rPr>
    </w:lvl>
    <w:lvl w:ilvl="3" w:tentative="0">
      <w:start w:val="0"/>
      <w:numFmt w:val="bullet"/>
      <w:lvlText w:val="•"/>
      <w:lvlJc w:val="left"/>
      <w:pPr>
        <w:ind w:left="2437" w:hanging="529"/>
      </w:pPr>
      <w:rPr>
        <w:rFonts w:hint="default"/>
        <w:lang w:val="en-US" w:eastAsia="zh-CN" w:bidi="ar-SA"/>
      </w:rPr>
    </w:lvl>
    <w:lvl w:ilvl="4" w:tentative="0">
      <w:start w:val="0"/>
      <w:numFmt w:val="bullet"/>
      <w:lvlText w:val="•"/>
      <w:lvlJc w:val="left"/>
      <w:pPr>
        <w:ind w:left="3037" w:hanging="529"/>
      </w:pPr>
      <w:rPr>
        <w:rFonts w:hint="default"/>
        <w:lang w:val="en-US" w:eastAsia="zh-CN" w:bidi="ar-SA"/>
      </w:rPr>
    </w:lvl>
    <w:lvl w:ilvl="5" w:tentative="0">
      <w:start w:val="0"/>
      <w:numFmt w:val="bullet"/>
      <w:lvlText w:val="•"/>
      <w:lvlJc w:val="left"/>
      <w:pPr>
        <w:ind w:left="3636" w:hanging="529"/>
      </w:pPr>
      <w:rPr>
        <w:rFonts w:hint="default"/>
        <w:lang w:val="en-US" w:eastAsia="zh-CN" w:bidi="ar-SA"/>
      </w:rPr>
    </w:lvl>
    <w:lvl w:ilvl="6" w:tentative="0">
      <w:start w:val="0"/>
      <w:numFmt w:val="bullet"/>
      <w:lvlText w:val="•"/>
      <w:lvlJc w:val="left"/>
      <w:pPr>
        <w:ind w:left="4235" w:hanging="529"/>
      </w:pPr>
      <w:rPr>
        <w:rFonts w:hint="default"/>
        <w:lang w:val="en-US" w:eastAsia="zh-CN" w:bidi="ar-SA"/>
      </w:rPr>
    </w:lvl>
    <w:lvl w:ilvl="7" w:tentative="0">
      <w:start w:val="0"/>
      <w:numFmt w:val="bullet"/>
      <w:lvlText w:val="•"/>
      <w:lvlJc w:val="left"/>
      <w:pPr>
        <w:ind w:left="4835" w:hanging="529"/>
      </w:pPr>
      <w:rPr>
        <w:rFonts w:hint="default"/>
        <w:lang w:val="en-US" w:eastAsia="zh-CN" w:bidi="ar-SA"/>
      </w:rPr>
    </w:lvl>
    <w:lvl w:ilvl="8" w:tentative="0">
      <w:start w:val="0"/>
      <w:numFmt w:val="bullet"/>
      <w:lvlText w:val="•"/>
      <w:lvlJc w:val="left"/>
      <w:pPr>
        <w:ind w:left="5434" w:hanging="529"/>
      </w:pPr>
      <w:rPr>
        <w:rFonts w:hint="default"/>
        <w:lang w:val="en-US" w:eastAsia="zh-CN" w:bidi="ar-SA"/>
      </w:rPr>
    </w:lvl>
  </w:abstractNum>
  <w:abstractNum w:abstractNumId="59">
    <w:nsid w:val="F4B5D9F5"/>
    <w:multiLevelType w:val="multilevel"/>
    <w:tmpl w:val="F4B5D9F5"/>
    <w:lvl w:ilvl="0" w:tentative="0">
      <w:start w:val="1"/>
      <w:numFmt w:val="decimal"/>
      <w:lvlText w:val="（%1）"/>
      <w:lvlJc w:val="left"/>
      <w:pPr>
        <w:ind w:left="615" w:hanging="530"/>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265" w:hanging="530"/>
      </w:pPr>
      <w:rPr>
        <w:rFonts w:hint="default"/>
        <w:lang w:val="en-US" w:eastAsia="zh-CN" w:bidi="ar-SA"/>
      </w:rPr>
    </w:lvl>
    <w:lvl w:ilvl="2" w:tentative="0">
      <w:start w:val="0"/>
      <w:numFmt w:val="bullet"/>
      <w:lvlText w:val="•"/>
      <w:lvlJc w:val="left"/>
      <w:pPr>
        <w:ind w:left="1910" w:hanging="530"/>
      </w:pPr>
      <w:rPr>
        <w:rFonts w:hint="default"/>
        <w:lang w:val="en-US" w:eastAsia="zh-CN" w:bidi="ar-SA"/>
      </w:rPr>
    </w:lvl>
    <w:lvl w:ilvl="3" w:tentative="0">
      <w:start w:val="0"/>
      <w:numFmt w:val="bullet"/>
      <w:lvlText w:val="•"/>
      <w:lvlJc w:val="left"/>
      <w:pPr>
        <w:ind w:left="2555" w:hanging="530"/>
      </w:pPr>
      <w:rPr>
        <w:rFonts w:hint="default"/>
        <w:lang w:val="en-US" w:eastAsia="zh-CN" w:bidi="ar-SA"/>
      </w:rPr>
    </w:lvl>
    <w:lvl w:ilvl="4" w:tentative="0">
      <w:start w:val="0"/>
      <w:numFmt w:val="bullet"/>
      <w:lvlText w:val="•"/>
      <w:lvlJc w:val="left"/>
      <w:pPr>
        <w:ind w:left="3200" w:hanging="530"/>
      </w:pPr>
      <w:rPr>
        <w:rFonts w:hint="default"/>
        <w:lang w:val="en-US" w:eastAsia="zh-CN" w:bidi="ar-SA"/>
      </w:rPr>
    </w:lvl>
    <w:lvl w:ilvl="5" w:tentative="0">
      <w:start w:val="0"/>
      <w:numFmt w:val="bullet"/>
      <w:lvlText w:val="•"/>
      <w:lvlJc w:val="left"/>
      <w:pPr>
        <w:ind w:left="3845" w:hanging="530"/>
      </w:pPr>
      <w:rPr>
        <w:rFonts w:hint="default"/>
        <w:lang w:val="en-US" w:eastAsia="zh-CN" w:bidi="ar-SA"/>
      </w:rPr>
    </w:lvl>
    <w:lvl w:ilvl="6" w:tentative="0">
      <w:start w:val="0"/>
      <w:numFmt w:val="bullet"/>
      <w:lvlText w:val="•"/>
      <w:lvlJc w:val="left"/>
      <w:pPr>
        <w:ind w:left="4490" w:hanging="530"/>
      </w:pPr>
      <w:rPr>
        <w:rFonts w:hint="default"/>
        <w:lang w:val="en-US" w:eastAsia="zh-CN" w:bidi="ar-SA"/>
      </w:rPr>
    </w:lvl>
    <w:lvl w:ilvl="7" w:tentative="0">
      <w:start w:val="0"/>
      <w:numFmt w:val="bullet"/>
      <w:lvlText w:val="•"/>
      <w:lvlJc w:val="left"/>
      <w:pPr>
        <w:ind w:left="5135" w:hanging="530"/>
      </w:pPr>
      <w:rPr>
        <w:rFonts w:hint="default"/>
        <w:lang w:val="en-US" w:eastAsia="zh-CN" w:bidi="ar-SA"/>
      </w:rPr>
    </w:lvl>
    <w:lvl w:ilvl="8" w:tentative="0">
      <w:start w:val="0"/>
      <w:numFmt w:val="bullet"/>
      <w:lvlText w:val="•"/>
      <w:lvlJc w:val="left"/>
      <w:pPr>
        <w:ind w:left="5780" w:hanging="530"/>
      </w:pPr>
      <w:rPr>
        <w:rFonts w:hint="default"/>
        <w:lang w:val="en-US" w:eastAsia="zh-CN" w:bidi="ar-SA"/>
      </w:rPr>
    </w:lvl>
  </w:abstractNum>
  <w:abstractNum w:abstractNumId="60">
    <w:nsid w:val="F585BF25"/>
    <w:multiLevelType w:val="multilevel"/>
    <w:tmpl w:val="F585BF25"/>
    <w:lvl w:ilvl="0" w:tentative="0">
      <w:start w:val="1"/>
      <w:numFmt w:val="decimal"/>
      <w:lvlText w:val="（%1）"/>
      <w:lvlJc w:val="left"/>
      <w:pPr>
        <w:ind w:left="636"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238" w:hanging="529"/>
      </w:pPr>
      <w:rPr>
        <w:rFonts w:hint="default"/>
        <w:lang w:val="en-US" w:eastAsia="zh-CN" w:bidi="ar-SA"/>
      </w:rPr>
    </w:lvl>
    <w:lvl w:ilvl="2" w:tentative="0">
      <w:start w:val="0"/>
      <w:numFmt w:val="bullet"/>
      <w:lvlText w:val="•"/>
      <w:lvlJc w:val="left"/>
      <w:pPr>
        <w:ind w:left="1837" w:hanging="529"/>
      </w:pPr>
      <w:rPr>
        <w:rFonts w:hint="default"/>
        <w:lang w:val="en-US" w:eastAsia="zh-CN" w:bidi="ar-SA"/>
      </w:rPr>
    </w:lvl>
    <w:lvl w:ilvl="3" w:tentative="0">
      <w:start w:val="0"/>
      <w:numFmt w:val="bullet"/>
      <w:lvlText w:val="•"/>
      <w:lvlJc w:val="left"/>
      <w:pPr>
        <w:ind w:left="2435" w:hanging="529"/>
      </w:pPr>
      <w:rPr>
        <w:rFonts w:hint="default"/>
        <w:lang w:val="en-US" w:eastAsia="zh-CN" w:bidi="ar-SA"/>
      </w:rPr>
    </w:lvl>
    <w:lvl w:ilvl="4" w:tentative="0">
      <w:start w:val="0"/>
      <w:numFmt w:val="bullet"/>
      <w:lvlText w:val="•"/>
      <w:lvlJc w:val="left"/>
      <w:pPr>
        <w:ind w:left="3034" w:hanging="529"/>
      </w:pPr>
      <w:rPr>
        <w:rFonts w:hint="default"/>
        <w:lang w:val="en-US" w:eastAsia="zh-CN" w:bidi="ar-SA"/>
      </w:rPr>
    </w:lvl>
    <w:lvl w:ilvl="5" w:tentative="0">
      <w:start w:val="0"/>
      <w:numFmt w:val="bullet"/>
      <w:lvlText w:val="•"/>
      <w:lvlJc w:val="left"/>
      <w:pPr>
        <w:ind w:left="3633" w:hanging="529"/>
      </w:pPr>
      <w:rPr>
        <w:rFonts w:hint="default"/>
        <w:lang w:val="en-US" w:eastAsia="zh-CN" w:bidi="ar-SA"/>
      </w:rPr>
    </w:lvl>
    <w:lvl w:ilvl="6" w:tentative="0">
      <w:start w:val="0"/>
      <w:numFmt w:val="bullet"/>
      <w:lvlText w:val="•"/>
      <w:lvlJc w:val="left"/>
      <w:pPr>
        <w:ind w:left="4231" w:hanging="529"/>
      </w:pPr>
      <w:rPr>
        <w:rFonts w:hint="default"/>
        <w:lang w:val="en-US" w:eastAsia="zh-CN" w:bidi="ar-SA"/>
      </w:rPr>
    </w:lvl>
    <w:lvl w:ilvl="7" w:tentative="0">
      <w:start w:val="0"/>
      <w:numFmt w:val="bullet"/>
      <w:lvlText w:val="•"/>
      <w:lvlJc w:val="left"/>
      <w:pPr>
        <w:ind w:left="4830" w:hanging="529"/>
      </w:pPr>
      <w:rPr>
        <w:rFonts w:hint="default"/>
        <w:lang w:val="en-US" w:eastAsia="zh-CN" w:bidi="ar-SA"/>
      </w:rPr>
    </w:lvl>
    <w:lvl w:ilvl="8" w:tentative="0">
      <w:start w:val="0"/>
      <w:numFmt w:val="bullet"/>
      <w:lvlText w:val="•"/>
      <w:lvlJc w:val="left"/>
      <w:pPr>
        <w:ind w:left="5428" w:hanging="529"/>
      </w:pPr>
      <w:rPr>
        <w:rFonts w:hint="default"/>
        <w:lang w:val="en-US" w:eastAsia="zh-CN" w:bidi="ar-SA"/>
      </w:rPr>
    </w:lvl>
  </w:abstractNum>
  <w:abstractNum w:abstractNumId="61">
    <w:nsid w:val="F689643B"/>
    <w:multiLevelType w:val="multilevel"/>
    <w:tmpl w:val="F689643B"/>
    <w:lvl w:ilvl="0" w:tentative="0">
      <w:start w:val="1"/>
      <w:numFmt w:val="decimal"/>
      <w:lvlText w:val="（%1）"/>
      <w:lvlJc w:val="left"/>
      <w:pPr>
        <w:ind w:left="636"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238" w:hanging="529"/>
      </w:pPr>
      <w:rPr>
        <w:rFonts w:hint="default"/>
        <w:lang w:val="en-US" w:eastAsia="zh-CN" w:bidi="ar-SA"/>
      </w:rPr>
    </w:lvl>
    <w:lvl w:ilvl="2" w:tentative="0">
      <w:start w:val="0"/>
      <w:numFmt w:val="bullet"/>
      <w:lvlText w:val="•"/>
      <w:lvlJc w:val="left"/>
      <w:pPr>
        <w:ind w:left="1837" w:hanging="529"/>
      </w:pPr>
      <w:rPr>
        <w:rFonts w:hint="default"/>
        <w:lang w:val="en-US" w:eastAsia="zh-CN" w:bidi="ar-SA"/>
      </w:rPr>
    </w:lvl>
    <w:lvl w:ilvl="3" w:tentative="0">
      <w:start w:val="0"/>
      <w:numFmt w:val="bullet"/>
      <w:lvlText w:val="•"/>
      <w:lvlJc w:val="left"/>
      <w:pPr>
        <w:ind w:left="2435" w:hanging="529"/>
      </w:pPr>
      <w:rPr>
        <w:rFonts w:hint="default"/>
        <w:lang w:val="en-US" w:eastAsia="zh-CN" w:bidi="ar-SA"/>
      </w:rPr>
    </w:lvl>
    <w:lvl w:ilvl="4" w:tentative="0">
      <w:start w:val="0"/>
      <w:numFmt w:val="bullet"/>
      <w:lvlText w:val="•"/>
      <w:lvlJc w:val="left"/>
      <w:pPr>
        <w:ind w:left="3034" w:hanging="529"/>
      </w:pPr>
      <w:rPr>
        <w:rFonts w:hint="default"/>
        <w:lang w:val="en-US" w:eastAsia="zh-CN" w:bidi="ar-SA"/>
      </w:rPr>
    </w:lvl>
    <w:lvl w:ilvl="5" w:tentative="0">
      <w:start w:val="0"/>
      <w:numFmt w:val="bullet"/>
      <w:lvlText w:val="•"/>
      <w:lvlJc w:val="left"/>
      <w:pPr>
        <w:ind w:left="3633" w:hanging="529"/>
      </w:pPr>
      <w:rPr>
        <w:rFonts w:hint="default"/>
        <w:lang w:val="en-US" w:eastAsia="zh-CN" w:bidi="ar-SA"/>
      </w:rPr>
    </w:lvl>
    <w:lvl w:ilvl="6" w:tentative="0">
      <w:start w:val="0"/>
      <w:numFmt w:val="bullet"/>
      <w:lvlText w:val="•"/>
      <w:lvlJc w:val="left"/>
      <w:pPr>
        <w:ind w:left="4231" w:hanging="529"/>
      </w:pPr>
      <w:rPr>
        <w:rFonts w:hint="default"/>
        <w:lang w:val="en-US" w:eastAsia="zh-CN" w:bidi="ar-SA"/>
      </w:rPr>
    </w:lvl>
    <w:lvl w:ilvl="7" w:tentative="0">
      <w:start w:val="0"/>
      <w:numFmt w:val="bullet"/>
      <w:lvlText w:val="•"/>
      <w:lvlJc w:val="left"/>
      <w:pPr>
        <w:ind w:left="4830" w:hanging="529"/>
      </w:pPr>
      <w:rPr>
        <w:rFonts w:hint="default"/>
        <w:lang w:val="en-US" w:eastAsia="zh-CN" w:bidi="ar-SA"/>
      </w:rPr>
    </w:lvl>
    <w:lvl w:ilvl="8" w:tentative="0">
      <w:start w:val="0"/>
      <w:numFmt w:val="bullet"/>
      <w:lvlText w:val="•"/>
      <w:lvlJc w:val="left"/>
      <w:pPr>
        <w:ind w:left="5428" w:hanging="529"/>
      </w:pPr>
      <w:rPr>
        <w:rFonts w:hint="default"/>
        <w:lang w:val="en-US" w:eastAsia="zh-CN" w:bidi="ar-SA"/>
      </w:rPr>
    </w:lvl>
  </w:abstractNum>
  <w:abstractNum w:abstractNumId="62">
    <w:nsid w:val="F7735DC9"/>
    <w:multiLevelType w:val="multilevel"/>
    <w:tmpl w:val="F7735DC9"/>
    <w:lvl w:ilvl="0" w:tentative="0">
      <w:start w:val="1"/>
      <w:numFmt w:val="decimal"/>
      <w:lvlText w:val="（%1）"/>
      <w:lvlJc w:val="left"/>
      <w:pPr>
        <w:ind w:left="636"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238" w:hanging="529"/>
      </w:pPr>
      <w:rPr>
        <w:rFonts w:hint="default"/>
        <w:lang w:val="en-US" w:eastAsia="zh-CN" w:bidi="ar-SA"/>
      </w:rPr>
    </w:lvl>
    <w:lvl w:ilvl="2" w:tentative="0">
      <w:start w:val="0"/>
      <w:numFmt w:val="bullet"/>
      <w:lvlText w:val="•"/>
      <w:lvlJc w:val="left"/>
      <w:pPr>
        <w:ind w:left="1837" w:hanging="529"/>
      </w:pPr>
      <w:rPr>
        <w:rFonts w:hint="default"/>
        <w:lang w:val="en-US" w:eastAsia="zh-CN" w:bidi="ar-SA"/>
      </w:rPr>
    </w:lvl>
    <w:lvl w:ilvl="3" w:tentative="0">
      <w:start w:val="0"/>
      <w:numFmt w:val="bullet"/>
      <w:lvlText w:val="•"/>
      <w:lvlJc w:val="left"/>
      <w:pPr>
        <w:ind w:left="2435" w:hanging="529"/>
      </w:pPr>
      <w:rPr>
        <w:rFonts w:hint="default"/>
        <w:lang w:val="en-US" w:eastAsia="zh-CN" w:bidi="ar-SA"/>
      </w:rPr>
    </w:lvl>
    <w:lvl w:ilvl="4" w:tentative="0">
      <w:start w:val="0"/>
      <w:numFmt w:val="bullet"/>
      <w:lvlText w:val="•"/>
      <w:lvlJc w:val="left"/>
      <w:pPr>
        <w:ind w:left="3034" w:hanging="529"/>
      </w:pPr>
      <w:rPr>
        <w:rFonts w:hint="default"/>
        <w:lang w:val="en-US" w:eastAsia="zh-CN" w:bidi="ar-SA"/>
      </w:rPr>
    </w:lvl>
    <w:lvl w:ilvl="5" w:tentative="0">
      <w:start w:val="0"/>
      <w:numFmt w:val="bullet"/>
      <w:lvlText w:val="•"/>
      <w:lvlJc w:val="left"/>
      <w:pPr>
        <w:ind w:left="3633" w:hanging="529"/>
      </w:pPr>
      <w:rPr>
        <w:rFonts w:hint="default"/>
        <w:lang w:val="en-US" w:eastAsia="zh-CN" w:bidi="ar-SA"/>
      </w:rPr>
    </w:lvl>
    <w:lvl w:ilvl="6" w:tentative="0">
      <w:start w:val="0"/>
      <w:numFmt w:val="bullet"/>
      <w:lvlText w:val="•"/>
      <w:lvlJc w:val="left"/>
      <w:pPr>
        <w:ind w:left="4231" w:hanging="529"/>
      </w:pPr>
      <w:rPr>
        <w:rFonts w:hint="default"/>
        <w:lang w:val="en-US" w:eastAsia="zh-CN" w:bidi="ar-SA"/>
      </w:rPr>
    </w:lvl>
    <w:lvl w:ilvl="7" w:tentative="0">
      <w:start w:val="0"/>
      <w:numFmt w:val="bullet"/>
      <w:lvlText w:val="•"/>
      <w:lvlJc w:val="left"/>
      <w:pPr>
        <w:ind w:left="4830" w:hanging="529"/>
      </w:pPr>
      <w:rPr>
        <w:rFonts w:hint="default"/>
        <w:lang w:val="en-US" w:eastAsia="zh-CN" w:bidi="ar-SA"/>
      </w:rPr>
    </w:lvl>
    <w:lvl w:ilvl="8" w:tentative="0">
      <w:start w:val="0"/>
      <w:numFmt w:val="bullet"/>
      <w:lvlText w:val="•"/>
      <w:lvlJc w:val="left"/>
      <w:pPr>
        <w:ind w:left="5428" w:hanging="529"/>
      </w:pPr>
      <w:rPr>
        <w:rFonts w:hint="default"/>
        <w:lang w:val="en-US" w:eastAsia="zh-CN" w:bidi="ar-SA"/>
      </w:rPr>
    </w:lvl>
  </w:abstractNum>
  <w:abstractNum w:abstractNumId="63">
    <w:nsid w:val="FEC2EA36"/>
    <w:multiLevelType w:val="multilevel"/>
    <w:tmpl w:val="FEC2EA36"/>
    <w:lvl w:ilvl="0" w:tentative="0">
      <w:start w:val="1"/>
      <w:numFmt w:val="decimal"/>
      <w:lvlText w:val="（%1）"/>
      <w:lvlJc w:val="left"/>
      <w:pPr>
        <w:ind w:left="636"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238" w:hanging="529"/>
      </w:pPr>
      <w:rPr>
        <w:rFonts w:hint="default"/>
        <w:lang w:val="en-US" w:eastAsia="zh-CN" w:bidi="ar-SA"/>
      </w:rPr>
    </w:lvl>
    <w:lvl w:ilvl="2" w:tentative="0">
      <w:start w:val="0"/>
      <w:numFmt w:val="bullet"/>
      <w:lvlText w:val="•"/>
      <w:lvlJc w:val="left"/>
      <w:pPr>
        <w:ind w:left="1837" w:hanging="529"/>
      </w:pPr>
      <w:rPr>
        <w:rFonts w:hint="default"/>
        <w:lang w:val="en-US" w:eastAsia="zh-CN" w:bidi="ar-SA"/>
      </w:rPr>
    </w:lvl>
    <w:lvl w:ilvl="3" w:tentative="0">
      <w:start w:val="0"/>
      <w:numFmt w:val="bullet"/>
      <w:lvlText w:val="•"/>
      <w:lvlJc w:val="left"/>
      <w:pPr>
        <w:ind w:left="2435" w:hanging="529"/>
      </w:pPr>
      <w:rPr>
        <w:rFonts w:hint="default"/>
        <w:lang w:val="en-US" w:eastAsia="zh-CN" w:bidi="ar-SA"/>
      </w:rPr>
    </w:lvl>
    <w:lvl w:ilvl="4" w:tentative="0">
      <w:start w:val="0"/>
      <w:numFmt w:val="bullet"/>
      <w:lvlText w:val="•"/>
      <w:lvlJc w:val="left"/>
      <w:pPr>
        <w:ind w:left="3034" w:hanging="529"/>
      </w:pPr>
      <w:rPr>
        <w:rFonts w:hint="default"/>
        <w:lang w:val="en-US" w:eastAsia="zh-CN" w:bidi="ar-SA"/>
      </w:rPr>
    </w:lvl>
    <w:lvl w:ilvl="5" w:tentative="0">
      <w:start w:val="0"/>
      <w:numFmt w:val="bullet"/>
      <w:lvlText w:val="•"/>
      <w:lvlJc w:val="left"/>
      <w:pPr>
        <w:ind w:left="3633" w:hanging="529"/>
      </w:pPr>
      <w:rPr>
        <w:rFonts w:hint="default"/>
        <w:lang w:val="en-US" w:eastAsia="zh-CN" w:bidi="ar-SA"/>
      </w:rPr>
    </w:lvl>
    <w:lvl w:ilvl="6" w:tentative="0">
      <w:start w:val="0"/>
      <w:numFmt w:val="bullet"/>
      <w:lvlText w:val="•"/>
      <w:lvlJc w:val="left"/>
      <w:pPr>
        <w:ind w:left="4231" w:hanging="529"/>
      </w:pPr>
      <w:rPr>
        <w:rFonts w:hint="default"/>
        <w:lang w:val="en-US" w:eastAsia="zh-CN" w:bidi="ar-SA"/>
      </w:rPr>
    </w:lvl>
    <w:lvl w:ilvl="7" w:tentative="0">
      <w:start w:val="0"/>
      <w:numFmt w:val="bullet"/>
      <w:lvlText w:val="•"/>
      <w:lvlJc w:val="left"/>
      <w:pPr>
        <w:ind w:left="4830" w:hanging="529"/>
      </w:pPr>
      <w:rPr>
        <w:rFonts w:hint="default"/>
        <w:lang w:val="en-US" w:eastAsia="zh-CN" w:bidi="ar-SA"/>
      </w:rPr>
    </w:lvl>
    <w:lvl w:ilvl="8" w:tentative="0">
      <w:start w:val="0"/>
      <w:numFmt w:val="bullet"/>
      <w:lvlText w:val="•"/>
      <w:lvlJc w:val="left"/>
      <w:pPr>
        <w:ind w:left="5428" w:hanging="529"/>
      </w:pPr>
      <w:rPr>
        <w:rFonts w:hint="default"/>
        <w:lang w:val="en-US" w:eastAsia="zh-CN" w:bidi="ar-SA"/>
      </w:rPr>
    </w:lvl>
  </w:abstractNum>
  <w:abstractNum w:abstractNumId="64">
    <w:nsid w:val="0053208E"/>
    <w:multiLevelType w:val="multilevel"/>
    <w:tmpl w:val="0053208E"/>
    <w:lvl w:ilvl="0" w:tentative="0">
      <w:start w:val="0"/>
      <w:numFmt w:val="bullet"/>
      <w:lvlText w:val=""/>
      <w:lvlJc w:val="left"/>
      <w:pPr>
        <w:ind w:left="1823" w:hanging="420"/>
      </w:pPr>
      <w:rPr>
        <w:rFonts w:hint="default" w:ascii="Wingdings" w:hAnsi="Wingdings" w:eastAsia="Wingdings" w:cs="Wingdings"/>
        <w:b w:val="0"/>
        <w:bCs w:val="0"/>
        <w:i w:val="0"/>
        <w:iCs w:val="0"/>
        <w:w w:val="100"/>
        <w:sz w:val="21"/>
        <w:szCs w:val="21"/>
        <w:lang w:val="en-US" w:eastAsia="zh-CN" w:bidi="ar-SA"/>
      </w:rPr>
    </w:lvl>
    <w:lvl w:ilvl="1" w:tentative="0">
      <w:start w:val="0"/>
      <w:numFmt w:val="bullet"/>
      <w:lvlText w:val="•"/>
      <w:lvlJc w:val="left"/>
      <w:pPr>
        <w:ind w:left="2714" w:hanging="420"/>
      </w:pPr>
      <w:rPr>
        <w:rFonts w:hint="default"/>
        <w:lang w:val="en-US" w:eastAsia="zh-CN" w:bidi="ar-SA"/>
      </w:rPr>
    </w:lvl>
    <w:lvl w:ilvl="2" w:tentative="0">
      <w:start w:val="0"/>
      <w:numFmt w:val="bullet"/>
      <w:lvlText w:val="•"/>
      <w:lvlJc w:val="left"/>
      <w:pPr>
        <w:ind w:left="3609" w:hanging="420"/>
      </w:pPr>
      <w:rPr>
        <w:rFonts w:hint="default"/>
        <w:lang w:val="en-US" w:eastAsia="zh-CN" w:bidi="ar-SA"/>
      </w:rPr>
    </w:lvl>
    <w:lvl w:ilvl="3" w:tentative="0">
      <w:start w:val="0"/>
      <w:numFmt w:val="bullet"/>
      <w:lvlText w:val="•"/>
      <w:lvlJc w:val="left"/>
      <w:pPr>
        <w:ind w:left="4503" w:hanging="420"/>
      </w:pPr>
      <w:rPr>
        <w:rFonts w:hint="default"/>
        <w:lang w:val="en-US" w:eastAsia="zh-CN" w:bidi="ar-SA"/>
      </w:rPr>
    </w:lvl>
    <w:lvl w:ilvl="4" w:tentative="0">
      <w:start w:val="0"/>
      <w:numFmt w:val="bullet"/>
      <w:lvlText w:val="•"/>
      <w:lvlJc w:val="left"/>
      <w:pPr>
        <w:ind w:left="5398" w:hanging="420"/>
      </w:pPr>
      <w:rPr>
        <w:rFonts w:hint="default"/>
        <w:lang w:val="en-US" w:eastAsia="zh-CN" w:bidi="ar-SA"/>
      </w:rPr>
    </w:lvl>
    <w:lvl w:ilvl="5" w:tentative="0">
      <w:start w:val="0"/>
      <w:numFmt w:val="bullet"/>
      <w:lvlText w:val="•"/>
      <w:lvlJc w:val="left"/>
      <w:pPr>
        <w:ind w:left="6293" w:hanging="420"/>
      </w:pPr>
      <w:rPr>
        <w:rFonts w:hint="default"/>
        <w:lang w:val="en-US" w:eastAsia="zh-CN" w:bidi="ar-SA"/>
      </w:rPr>
    </w:lvl>
    <w:lvl w:ilvl="6" w:tentative="0">
      <w:start w:val="0"/>
      <w:numFmt w:val="bullet"/>
      <w:lvlText w:val="•"/>
      <w:lvlJc w:val="left"/>
      <w:pPr>
        <w:ind w:left="7187" w:hanging="420"/>
      </w:pPr>
      <w:rPr>
        <w:rFonts w:hint="default"/>
        <w:lang w:val="en-US" w:eastAsia="zh-CN" w:bidi="ar-SA"/>
      </w:rPr>
    </w:lvl>
    <w:lvl w:ilvl="7" w:tentative="0">
      <w:start w:val="0"/>
      <w:numFmt w:val="bullet"/>
      <w:lvlText w:val="•"/>
      <w:lvlJc w:val="left"/>
      <w:pPr>
        <w:ind w:left="8082" w:hanging="420"/>
      </w:pPr>
      <w:rPr>
        <w:rFonts w:hint="default"/>
        <w:lang w:val="en-US" w:eastAsia="zh-CN" w:bidi="ar-SA"/>
      </w:rPr>
    </w:lvl>
    <w:lvl w:ilvl="8" w:tentative="0">
      <w:start w:val="0"/>
      <w:numFmt w:val="bullet"/>
      <w:lvlText w:val="•"/>
      <w:lvlJc w:val="left"/>
      <w:pPr>
        <w:ind w:left="8977" w:hanging="420"/>
      </w:pPr>
      <w:rPr>
        <w:rFonts w:hint="default"/>
        <w:lang w:val="en-US" w:eastAsia="zh-CN" w:bidi="ar-SA"/>
      </w:rPr>
    </w:lvl>
  </w:abstractNum>
  <w:abstractNum w:abstractNumId="65">
    <w:nsid w:val="01836A6D"/>
    <w:multiLevelType w:val="multilevel"/>
    <w:tmpl w:val="01836A6D"/>
    <w:lvl w:ilvl="0" w:tentative="0">
      <w:start w:val="1"/>
      <w:numFmt w:val="decimal"/>
      <w:lvlText w:val="（%1）"/>
      <w:lvlJc w:val="left"/>
      <w:pPr>
        <w:ind w:left="636"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238" w:hanging="529"/>
      </w:pPr>
      <w:rPr>
        <w:rFonts w:hint="default"/>
        <w:lang w:val="en-US" w:eastAsia="zh-CN" w:bidi="ar-SA"/>
      </w:rPr>
    </w:lvl>
    <w:lvl w:ilvl="2" w:tentative="0">
      <w:start w:val="0"/>
      <w:numFmt w:val="bullet"/>
      <w:lvlText w:val="•"/>
      <w:lvlJc w:val="left"/>
      <w:pPr>
        <w:ind w:left="1837" w:hanging="529"/>
      </w:pPr>
      <w:rPr>
        <w:rFonts w:hint="default"/>
        <w:lang w:val="en-US" w:eastAsia="zh-CN" w:bidi="ar-SA"/>
      </w:rPr>
    </w:lvl>
    <w:lvl w:ilvl="3" w:tentative="0">
      <w:start w:val="0"/>
      <w:numFmt w:val="bullet"/>
      <w:lvlText w:val="•"/>
      <w:lvlJc w:val="left"/>
      <w:pPr>
        <w:ind w:left="2435" w:hanging="529"/>
      </w:pPr>
      <w:rPr>
        <w:rFonts w:hint="default"/>
        <w:lang w:val="en-US" w:eastAsia="zh-CN" w:bidi="ar-SA"/>
      </w:rPr>
    </w:lvl>
    <w:lvl w:ilvl="4" w:tentative="0">
      <w:start w:val="0"/>
      <w:numFmt w:val="bullet"/>
      <w:lvlText w:val="•"/>
      <w:lvlJc w:val="left"/>
      <w:pPr>
        <w:ind w:left="3034" w:hanging="529"/>
      </w:pPr>
      <w:rPr>
        <w:rFonts w:hint="default"/>
        <w:lang w:val="en-US" w:eastAsia="zh-CN" w:bidi="ar-SA"/>
      </w:rPr>
    </w:lvl>
    <w:lvl w:ilvl="5" w:tentative="0">
      <w:start w:val="0"/>
      <w:numFmt w:val="bullet"/>
      <w:lvlText w:val="•"/>
      <w:lvlJc w:val="left"/>
      <w:pPr>
        <w:ind w:left="3633" w:hanging="529"/>
      </w:pPr>
      <w:rPr>
        <w:rFonts w:hint="default"/>
        <w:lang w:val="en-US" w:eastAsia="zh-CN" w:bidi="ar-SA"/>
      </w:rPr>
    </w:lvl>
    <w:lvl w:ilvl="6" w:tentative="0">
      <w:start w:val="0"/>
      <w:numFmt w:val="bullet"/>
      <w:lvlText w:val="•"/>
      <w:lvlJc w:val="left"/>
      <w:pPr>
        <w:ind w:left="4231" w:hanging="529"/>
      </w:pPr>
      <w:rPr>
        <w:rFonts w:hint="default"/>
        <w:lang w:val="en-US" w:eastAsia="zh-CN" w:bidi="ar-SA"/>
      </w:rPr>
    </w:lvl>
    <w:lvl w:ilvl="7" w:tentative="0">
      <w:start w:val="0"/>
      <w:numFmt w:val="bullet"/>
      <w:lvlText w:val="•"/>
      <w:lvlJc w:val="left"/>
      <w:pPr>
        <w:ind w:left="4830" w:hanging="529"/>
      </w:pPr>
      <w:rPr>
        <w:rFonts w:hint="default"/>
        <w:lang w:val="en-US" w:eastAsia="zh-CN" w:bidi="ar-SA"/>
      </w:rPr>
    </w:lvl>
    <w:lvl w:ilvl="8" w:tentative="0">
      <w:start w:val="0"/>
      <w:numFmt w:val="bullet"/>
      <w:lvlText w:val="•"/>
      <w:lvlJc w:val="left"/>
      <w:pPr>
        <w:ind w:left="5428" w:hanging="529"/>
      </w:pPr>
      <w:rPr>
        <w:rFonts w:hint="default"/>
        <w:lang w:val="en-US" w:eastAsia="zh-CN" w:bidi="ar-SA"/>
      </w:rPr>
    </w:lvl>
  </w:abstractNum>
  <w:abstractNum w:abstractNumId="66">
    <w:nsid w:val="0248C179"/>
    <w:multiLevelType w:val="multilevel"/>
    <w:tmpl w:val="0248C179"/>
    <w:lvl w:ilvl="0" w:tentative="0">
      <w:start w:val="9"/>
      <w:numFmt w:val="decimal"/>
      <w:lvlText w:val="%1"/>
      <w:lvlJc w:val="left"/>
      <w:pPr>
        <w:ind w:left="776" w:hanging="423"/>
        <w:jc w:val="left"/>
      </w:pPr>
      <w:rPr>
        <w:rFonts w:hint="default"/>
        <w:lang w:val="en-US" w:eastAsia="zh-CN" w:bidi="ar-SA"/>
      </w:rPr>
    </w:lvl>
    <w:lvl w:ilvl="1" w:tentative="0">
      <w:start w:val="1"/>
      <w:numFmt w:val="decimal"/>
      <w:lvlText w:val="%1.%2"/>
      <w:lvlJc w:val="left"/>
      <w:pPr>
        <w:ind w:left="776" w:hanging="423"/>
        <w:jc w:val="left"/>
      </w:pPr>
      <w:rPr>
        <w:rFonts w:hint="default" w:ascii="宋体" w:hAnsi="宋体" w:eastAsia="宋体" w:cs="宋体"/>
        <w:b w:val="0"/>
        <w:bCs w:val="0"/>
        <w:i w:val="0"/>
        <w:iCs w:val="0"/>
        <w:w w:val="100"/>
        <w:sz w:val="21"/>
        <w:szCs w:val="21"/>
        <w:lang w:val="en-US" w:eastAsia="zh-CN" w:bidi="ar-SA"/>
      </w:rPr>
    </w:lvl>
    <w:lvl w:ilvl="2" w:tentative="0">
      <w:start w:val="0"/>
      <w:numFmt w:val="bullet"/>
      <w:lvlText w:val="•"/>
      <w:lvlJc w:val="left"/>
      <w:pPr>
        <w:ind w:left="1283" w:hanging="423"/>
      </w:pPr>
      <w:rPr>
        <w:rFonts w:hint="default"/>
        <w:lang w:val="en-US" w:eastAsia="zh-CN" w:bidi="ar-SA"/>
      </w:rPr>
    </w:lvl>
    <w:lvl w:ilvl="3" w:tentative="0">
      <w:start w:val="0"/>
      <w:numFmt w:val="bullet"/>
      <w:lvlText w:val="•"/>
      <w:lvlJc w:val="left"/>
      <w:pPr>
        <w:ind w:left="1535" w:hanging="423"/>
      </w:pPr>
      <w:rPr>
        <w:rFonts w:hint="default"/>
        <w:lang w:val="en-US" w:eastAsia="zh-CN" w:bidi="ar-SA"/>
      </w:rPr>
    </w:lvl>
    <w:lvl w:ilvl="4" w:tentative="0">
      <w:start w:val="0"/>
      <w:numFmt w:val="bullet"/>
      <w:lvlText w:val="•"/>
      <w:lvlJc w:val="left"/>
      <w:pPr>
        <w:ind w:left="1787" w:hanging="423"/>
      </w:pPr>
      <w:rPr>
        <w:rFonts w:hint="default"/>
        <w:lang w:val="en-US" w:eastAsia="zh-CN" w:bidi="ar-SA"/>
      </w:rPr>
    </w:lvl>
    <w:lvl w:ilvl="5" w:tentative="0">
      <w:start w:val="0"/>
      <w:numFmt w:val="bullet"/>
      <w:lvlText w:val="•"/>
      <w:lvlJc w:val="left"/>
      <w:pPr>
        <w:ind w:left="2039" w:hanging="423"/>
      </w:pPr>
      <w:rPr>
        <w:rFonts w:hint="default"/>
        <w:lang w:val="en-US" w:eastAsia="zh-CN" w:bidi="ar-SA"/>
      </w:rPr>
    </w:lvl>
    <w:lvl w:ilvl="6" w:tentative="0">
      <w:start w:val="0"/>
      <w:numFmt w:val="bullet"/>
      <w:lvlText w:val="•"/>
      <w:lvlJc w:val="left"/>
      <w:pPr>
        <w:ind w:left="2291" w:hanging="423"/>
      </w:pPr>
      <w:rPr>
        <w:rFonts w:hint="default"/>
        <w:lang w:val="en-US" w:eastAsia="zh-CN" w:bidi="ar-SA"/>
      </w:rPr>
    </w:lvl>
    <w:lvl w:ilvl="7" w:tentative="0">
      <w:start w:val="0"/>
      <w:numFmt w:val="bullet"/>
      <w:lvlText w:val="•"/>
      <w:lvlJc w:val="left"/>
      <w:pPr>
        <w:ind w:left="2543" w:hanging="423"/>
      </w:pPr>
      <w:rPr>
        <w:rFonts w:hint="default"/>
        <w:lang w:val="en-US" w:eastAsia="zh-CN" w:bidi="ar-SA"/>
      </w:rPr>
    </w:lvl>
    <w:lvl w:ilvl="8" w:tentative="0">
      <w:start w:val="0"/>
      <w:numFmt w:val="bullet"/>
      <w:lvlText w:val="•"/>
      <w:lvlJc w:val="left"/>
      <w:pPr>
        <w:ind w:left="2795" w:hanging="423"/>
      </w:pPr>
      <w:rPr>
        <w:rFonts w:hint="default"/>
        <w:lang w:val="en-US" w:eastAsia="zh-CN" w:bidi="ar-SA"/>
      </w:rPr>
    </w:lvl>
  </w:abstractNum>
  <w:abstractNum w:abstractNumId="67">
    <w:nsid w:val="03A63A41"/>
    <w:multiLevelType w:val="multilevel"/>
    <w:tmpl w:val="03A63A41"/>
    <w:lvl w:ilvl="0" w:tentative="0">
      <w:start w:val="1"/>
      <w:numFmt w:val="decimal"/>
      <w:lvlText w:val="（%1）"/>
      <w:lvlJc w:val="left"/>
      <w:pPr>
        <w:ind w:left="636"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238" w:hanging="529"/>
      </w:pPr>
      <w:rPr>
        <w:rFonts w:hint="default"/>
        <w:lang w:val="en-US" w:eastAsia="zh-CN" w:bidi="ar-SA"/>
      </w:rPr>
    </w:lvl>
    <w:lvl w:ilvl="2" w:tentative="0">
      <w:start w:val="0"/>
      <w:numFmt w:val="bullet"/>
      <w:lvlText w:val="•"/>
      <w:lvlJc w:val="left"/>
      <w:pPr>
        <w:ind w:left="1837" w:hanging="529"/>
      </w:pPr>
      <w:rPr>
        <w:rFonts w:hint="default"/>
        <w:lang w:val="en-US" w:eastAsia="zh-CN" w:bidi="ar-SA"/>
      </w:rPr>
    </w:lvl>
    <w:lvl w:ilvl="3" w:tentative="0">
      <w:start w:val="0"/>
      <w:numFmt w:val="bullet"/>
      <w:lvlText w:val="•"/>
      <w:lvlJc w:val="left"/>
      <w:pPr>
        <w:ind w:left="2435" w:hanging="529"/>
      </w:pPr>
      <w:rPr>
        <w:rFonts w:hint="default"/>
        <w:lang w:val="en-US" w:eastAsia="zh-CN" w:bidi="ar-SA"/>
      </w:rPr>
    </w:lvl>
    <w:lvl w:ilvl="4" w:tentative="0">
      <w:start w:val="0"/>
      <w:numFmt w:val="bullet"/>
      <w:lvlText w:val="•"/>
      <w:lvlJc w:val="left"/>
      <w:pPr>
        <w:ind w:left="3034" w:hanging="529"/>
      </w:pPr>
      <w:rPr>
        <w:rFonts w:hint="default"/>
        <w:lang w:val="en-US" w:eastAsia="zh-CN" w:bidi="ar-SA"/>
      </w:rPr>
    </w:lvl>
    <w:lvl w:ilvl="5" w:tentative="0">
      <w:start w:val="0"/>
      <w:numFmt w:val="bullet"/>
      <w:lvlText w:val="•"/>
      <w:lvlJc w:val="left"/>
      <w:pPr>
        <w:ind w:left="3633" w:hanging="529"/>
      </w:pPr>
      <w:rPr>
        <w:rFonts w:hint="default"/>
        <w:lang w:val="en-US" w:eastAsia="zh-CN" w:bidi="ar-SA"/>
      </w:rPr>
    </w:lvl>
    <w:lvl w:ilvl="6" w:tentative="0">
      <w:start w:val="0"/>
      <w:numFmt w:val="bullet"/>
      <w:lvlText w:val="•"/>
      <w:lvlJc w:val="left"/>
      <w:pPr>
        <w:ind w:left="4231" w:hanging="529"/>
      </w:pPr>
      <w:rPr>
        <w:rFonts w:hint="default"/>
        <w:lang w:val="en-US" w:eastAsia="zh-CN" w:bidi="ar-SA"/>
      </w:rPr>
    </w:lvl>
    <w:lvl w:ilvl="7" w:tentative="0">
      <w:start w:val="0"/>
      <w:numFmt w:val="bullet"/>
      <w:lvlText w:val="•"/>
      <w:lvlJc w:val="left"/>
      <w:pPr>
        <w:ind w:left="4830" w:hanging="529"/>
      </w:pPr>
      <w:rPr>
        <w:rFonts w:hint="default"/>
        <w:lang w:val="en-US" w:eastAsia="zh-CN" w:bidi="ar-SA"/>
      </w:rPr>
    </w:lvl>
    <w:lvl w:ilvl="8" w:tentative="0">
      <w:start w:val="0"/>
      <w:numFmt w:val="bullet"/>
      <w:lvlText w:val="•"/>
      <w:lvlJc w:val="left"/>
      <w:pPr>
        <w:ind w:left="5428" w:hanging="529"/>
      </w:pPr>
      <w:rPr>
        <w:rFonts w:hint="default"/>
        <w:lang w:val="en-US" w:eastAsia="zh-CN" w:bidi="ar-SA"/>
      </w:rPr>
    </w:lvl>
  </w:abstractNum>
  <w:abstractNum w:abstractNumId="68">
    <w:nsid w:val="03C240C0"/>
    <w:multiLevelType w:val="multilevel"/>
    <w:tmpl w:val="03C240C0"/>
    <w:lvl w:ilvl="0" w:tentative="0">
      <w:start w:val="1"/>
      <w:numFmt w:val="decimal"/>
      <w:lvlText w:val="（%1）"/>
      <w:lvlJc w:val="left"/>
      <w:pPr>
        <w:ind w:left="108" w:hanging="531"/>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753" w:hanging="531"/>
      </w:pPr>
      <w:rPr>
        <w:rFonts w:hint="default"/>
        <w:lang w:val="en-US" w:eastAsia="zh-CN" w:bidi="ar-SA"/>
      </w:rPr>
    </w:lvl>
    <w:lvl w:ilvl="2" w:tentative="0">
      <w:start w:val="0"/>
      <w:numFmt w:val="bullet"/>
      <w:lvlText w:val="•"/>
      <w:lvlJc w:val="left"/>
      <w:pPr>
        <w:ind w:left="1406" w:hanging="531"/>
      </w:pPr>
      <w:rPr>
        <w:rFonts w:hint="default"/>
        <w:lang w:val="en-US" w:eastAsia="zh-CN" w:bidi="ar-SA"/>
      </w:rPr>
    </w:lvl>
    <w:lvl w:ilvl="3" w:tentative="0">
      <w:start w:val="0"/>
      <w:numFmt w:val="bullet"/>
      <w:lvlText w:val="•"/>
      <w:lvlJc w:val="left"/>
      <w:pPr>
        <w:ind w:left="2059" w:hanging="531"/>
      </w:pPr>
      <w:rPr>
        <w:rFonts w:hint="default"/>
        <w:lang w:val="en-US" w:eastAsia="zh-CN" w:bidi="ar-SA"/>
      </w:rPr>
    </w:lvl>
    <w:lvl w:ilvl="4" w:tentative="0">
      <w:start w:val="0"/>
      <w:numFmt w:val="bullet"/>
      <w:lvlText w:val="•"/>
      <w:lvlJc w:val="left"/>
      <w:pPr>
        <w:ind w:left="2713" w:hanging="531"/>
      </w:pPr>
      <w:rPr>
        <w:rFonts w:hint="default"/>
        <w:lang w:val="en-US" w:eastAsia="zh-CN" w:bidi="ar-SA"/>
      </w:rPr>
    </w:lvl>
    <w:lvl w:ilvl="5" w:tentative="0">
      <w:start w:val="0"/>
      <w:numFmt w:val="bullet"/>
      <w:lvlText w:val="•"/>
      <w:lvlJc w:val="left"/>
      <w:pPr>
        <w:ind w:left="3366" w:hanging="531"/>
      </w:pPr>
      <w:rPr>
        <w:rFonts w:hint="default"/>
        <w:lang w:val="en-US" w:eastAsia="zh-CN" w:bidi="ar-SA"/>
      </w:rPr>
    </w:lvl>
    <w:lvl w:ilvl="6" w:tentative="0">
      <w:start w:val="0"/>
      <w:numFmt w:val="bullet"/>
      <w:lvlText w:val="•"/>
      <w:lvlJc w:val="left"/>
      <w:pPr>
        <w:ind w:left="4019" w:hanging="531"/>
      </w:pPr>
      <w:rPr>
        <w:rFonts w:hint="default"/>
        <w:lang w:val="en-US" w:eastAsia="zh-CN" w:bidi="ar-SA"/>
      </w:rPr>
    </w:lvl>
    <w:lvl w:ilvl="7" w:tentative="0">
      <w:start w:val="0"/>
      <w:numFmt w:val="bullet"/>
      <w:lvlText w:val="•"/>
      <w:lvlJc w:val="left"/>
      <w:pPr>
        <w:ind w:left="4673" w:hanging="531"/>
      </w:pPr>
      <w:rPr>
        <w:rFonts w:hint="default"/>
        <w:lang w:val="en-US" w:eastAsia="zh-CN" w:bidi="ar-SA"/>
      </w:rPr>
    </w:lvl>
    <w:lvl w:ilvl="8" w:tentative="0">
      <w:start w:val="0"/>
      <w:numFmt w:val="bullet"/>
      <w:lvlText w:val="•"/>
      <w:lvlJc w:val="left"/>
      <w:pPr>
        <w:ind w:left="5326" w:hanging="531"/>
      </w:pPr>
      <w:rPr>
        <w:rFonts w:hint="default"/>
        <w:lang w:val="en-US" w:eastAsia="zh-CN" w:bidi="ar-SA"/>
      </w:rPr>
    </w:lvl>
  </w:abstractNum>
  <w:abstractNum w:abstractNumId="69">
    <w:nsid w:val="03D62ECE"/>
    <w:multiLevelType w:val="multilevel"/>
    <w:tmpl w:val="03D62ECE"/>
    <w:lvl w:ilvl="0" w:tentative="0">
      <w:start w:val="5"/>
      <w:numFmt w:val="decimal"/>
      <w:lvlText w:val="%1"/>
      <w:lvlJc w:val="left"/>
      <w:pPr>
        <w:ind w:left="1257" w:hanging="423"/>
        <w:jc w:val="left"/>
      </w:pPr>
      <w:rPr>
        <w:rFonts w:hint="default"/>
        <w:lang w:val="en-US" w:eastAsia="zh-CN" w:bidi="ar-SA"/>
      </w:rPr>
    </w:lvl>
    <w:lvl w:ilvl="1" w:tentative="0">
      <w:start w:val="1"/>
      <w:numFmt w:val="decimal"/>
      <w:lvlText w:val="%1.%2"/>
      <w:lvlJc w:val="left"/>
      <w:pPr>
        <w:ind w:left="1257" w:hanging="423"/>
        <w:jc w:val="right"/>
      </w:pPr>
      <w:rPr>
        <w:rFonts w:hint="default" w:ascii="宋体" w:hAnsi="宋体" w:eastAsia="宋体" w:cs="宋体"/>
        <w:b w:val="0"/>
        <w:bCs w:val="0"/>
        <w:i w:val="0"/>
        <w:iCs w:val="0"/>
        <w:w w:val="100"/>
        <w:sz w:val="21"/>
        <w:szCs w:val="21"/>
        <w:lang w:val="en-US" w:eastAsia="zh-CN" w:bidi="ar-SA"/>
      </w:rPr>
    </w:lvl>
    <w:lvl w:ilvl="2" w:tentative="0">
      <w:start w:val="0"/>
      <w:numFmt w:val="bullet"/>
      <w:lvlText w:val="•"/>
      <w:lvlJc w:val="left"/>
      <w:pPr>
        <w:ind w:left="1721" w:hanging="423"/>
      </w:pPr>
      <w:rPr>
        <w:rFonts w:hint="default"/>
        <w:lang w:val="en-US" w:eastAsia="zh-CN" w:bidi="ar-SA"/>
      </w:rPr>
    </w:lvl>
    <w:lvl w:ilvl="3" w:tentative="0">
      <w:start w:val="0"/>
      <w:numFmt w:val="bullet"/>
      <w:lvlText w:val="•"/>
      <w:lvlJc w:val="left"/>
      <w:pPr>
        <w:ind w:left="1952" w:hanging="423"/>
      </w:pPr>
      <w:rPr>
        <w:rFonts w:hint="default"/>
        <w:lang w:val="en-US" w:eastAsia="zh-CN" w:bidi="ar-SA"/>
      </w:rPr>
    </w:lvl>
    <w:lvl w:ilvl="4" w:tentative="0">
      <w:start w:val="0"/>
      <w:numFmt w:val="bullet"/>
      <w:lvlText w:val="•"/>
      <w:lvlJc w:val="left"/>
      <w:pPr>
        <w:ind w:left="2183" w:hanging="423"/>
      </w:pPr>
      <w:rPr>
        <w:rFonts w:hint="default"/>
        <w:lang w:val="en-US" w:eastAsia="zh-CN" w:bidi="ar-SA"/>
      </w:rPr>
    </w:lvl>
    <w:lvl w:ilvl="5" w:tentative="0">
      <w:start w:val="0"/>
      <w:numFmt w:val="bullet"/>
      <w:lvlText w:val="•"/>
      <w:lvlJc w:val="left"/>
      <w:pPr>
        <w:ind w:left="2414" w:hanging="423"/>
      </w:pPr>
      <w:rPr>
        <w:rFonts w:hint="default"/>
        <w:lang w:val="en-US" w:eastAsia="zh-CN" w:bidi="ar-SA"/>
      </w:rPr>
    </w:lvl>
    <w:lvl w:ilvl="6" w:tentative="0">
      <w:start w:val="0"/>
      <w:numFmt w:val="bullet"/>
      <w:lvlText w:val="•"/>
      <w:lvlJc w:val="left"/>
      <w:pPr>
        <w:ind w:left="2645" w:hanging="423"/>
      </w:pPr>
      <w:rPr>
        <w:rFonts w:hint="default"/>
        <w:lang w:val="en-US" w:eastAsia="zh-CN" w:bidi="ar-SA"/>
      </w:rPr>
    </w:lvl>
    <w:lvl w:ilvl="7" w:tentative="0">
      <w:start w:val="0"/>
      <w:numFmt w:val="bullet"/>
      <w:lvlText w:val="•"/>
      <w:lvlJc w:val="left"/>
      <w:pPr>
        <w:ind w:left="2876" w:hanging="423"/>
      </w:pPr>
      <w:rPr>
        <w:rFonts w:hint="default"/>
        <w:lang w:val="en-US" w:eastAsia="zh-CN" w:bidi="ar-SA"/>
      </w:rPr>
    </w:lvl>
    <w:lvl w:ilvl="8" w:tentative="0">
      <w:start w:val="0"/>
      <w:numFmt w:val="bullet"/>
      <w:lvlText w:val="•"/>
      <w:lvlJc w:val="left"/>
      <w:pPr>
        <w:ind w:left="3107" w:hanging="423"/>
      </w:pPr>
      <w:rPr>
        <w:rFonts w:hint="default"/>
        <w:lang w:val="en-US" w:eastAsia="zh-CN" w:bidi="ar-SA"/>
      </w:rPr>
    </w:lvl>
  </w:abstractNum>
  <w:abstractNum w:abstractNumId="70">
    <w:nsid w:val="0709FD3E"/>
    <w:multiLevelType w:val="multilevel"/>
    <w:tmpl w:val="0709FD3E"/>
    <w:lvl w:ilvl="0" w:tentative="0">
      <w:start w:val="1"/>
      <w:numFmt w:val="decimal"/>
      <w:lvlText w:val="（%1）"/>
      <w:lvlJc w:val="left"/>
      <w:pPr>
        <w:ind w:left="636"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238" w:hanging="529"/>
      </w:pPr>
      <w:rPr>
        <w:rFonts w:hint="default"/>
        <w:lang w:val="en-US" w:eastAsia="zh-CN" w:bidi="ar-SA"/>
      </w:rPr>
    </w:lvl>
    <w:lvl w:ilvl="2" w:tentative="0">
      <w:start w:val="0"/>
      <w:numFmt w:val="bullet"/>
      <w:lvlText w:val="•"/>
      <w:lvlJc w:val="left"/>
      <w:pPr>
        <w:ind w:left="1837" w:hanging="529"/>
      </w:pPr>
      <w:rPr>
        <w:rFonts w:hint="default"/>
        <w:lang w:val="en-US" w:eastAsia="zh-CN" w:bidi="ar-SA"/>
      </w:rPr>
    </w:lvl>
    <w:lvl w:ilvl="3" w:tentative="0">
      <w:start w:val="0"/>
      <w:numFmt w:val="bullet"/>
      <w:lvlText w:val="•"/>
      <w:lvlJc w:val="left"/>
      <w:pPr>
        <w:ind w:left="2435" w:hanging="529"/>
      </w:pPr>
      <w:rPr>
        <w:rFonts w:hint="default"/>
        <w:lang w:val="en-US" w:eastAsia="zh-CN" w:bidi="ar-SA"/>
      </w:rPr>
    </w:lvl>
    <w:lvl w:ilvl="4" w:tentative="0">
      <w:start w:val="0"/>
      <w:numFmt w:val="bullet"/>
      <w:lvlText w:val="•"/>
      <w:lvlJc w:val="left"/>
      <w:pPr>
        <w:ind w:left="3034" w:hanging="529"/>
      </w:pPr>
      <w:rPr>
        <w:rFonts w:hint="default"/>
        <w:lang w:val="en-US" w:eastAsia="zh-CN" w:bidi="ar-SA"/>
      </w:rPr>
    </w:lvl>
    <w:lvl w:ilvl="5" w:tentative="0">
      <w:start w:val="0"/>
      <w:numFmt w:val="bullet"/>
      <w:lvlText w:val="•"/>
      <w:lvlJc w:val="left"/>
      <w:pPr>
        <w:ind w:left="3633" w:hanging="529"/>
      </w:pPr>
      <w:rPr>
        <w:rFonts w:hint="default"/>
        <w:lang w:val="en-US" w:eastAsia="zh-CN" w:bidi="ar-SA"/>
      </w:rPr>
    </w:lvl>
    <w:lvl w:ilvl="6" w:tentative="0">
      <w:start w:val="0"/>
      <w:numFmt w:val="bullet"/>
      <w:lvlText w:val="•"/>
      <w:lvlJc w:val="left"/>
      <w:pPr>
        <w:ind w:left="4231" w:hanging="529"/>
      </w:pPr>
      <w:rPr>
        <w:rFonts w:hint="default"/>
        <w:lang w:val="en-US" w:eastAsia="zh-CN" w:bidi="ar-SA"/>
      </w:rPr>
    </w:lvl>
    <w:lvl w:ilvl="7" w:tentative="0">
      <w:start w:val="0"/>
      <w:numFmt w:val="bullet"/>
      <w:lvlText w:val="•"/>
      <w:lvlJc w:val="left"/>
      <w:pPr>
        <w:ind w:left="4830" w:hanging="529"/>
      </w:pPr>
      <w:rPr>
        <w:rFonts w:hint="default"/>
        <w:lang w:val="en-US" w:eastAsia="zh-CN" w:bidi="ar-SA"/>
      </w:rPr>
    </w:lvl>
    <w:lvl w:ilvl="8" w:tentative="0">
      <w:start w:val="0"/>
      <w:numFmt w:val="bullet"/>
      <w:lvlText w:val="•"/>
      <w:lvlJc w:val="left"/>
      <w:pPr>
        <w:ind w:left="5428" w:hanging="529"/>
      </w:pPr>
      <w:rPr>
        <w:rFonts w:hint="default"/>
        <w:lang w:val="en-US" w:eastAsia="zh-CN" w:bidi="ar-SA"/>
      </w:rPr>
    </w:lvl>
  </w:abstractNum>
  <w:abstractNum w:abstractNumId="71">
    <w:nsid w:val="0CEF100B"/>
    <w:multiLevelType w:val="multilevel"/>
    <w:tmpl w:val="0CEF100B"/>
    <w:lvl w:ilvl="0" w:tentative="0">
      <w:start w:val="1"/>
      <w:numFmt w:val="decimal"/>
      <w:lvlText w:val="（%1）"/>
      <w:lvlJc w:val="left"/>
      <w:pPr>
        <w:ind w:left="10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752" w:hanging="529"/>
      </w:pPr>
      <w:rPr>
        <w:rFonts w:hint="default"/>
        <w:lang w:val="en-US" w:eastAsia="zh-CN" w:bidi="ar-SA"/>
      </w:rPr>
    </w:lvl>
    <w:lvl w:ilvl="2" w:tentative="0">
      <w:start w:val="0"/>
      <w:numFmt w:val="bullet"/>
      <w:lvlText w:val="•"/>
      <w:lvlJc w:val="left"/>
      <w:pPr>
        <w:ind w:left="1405" w:hanging="529"/>
      </w:pPr>
      <w:rPr>
        <w:rFonts w:hint="default"/>
        <w:lang w:val="en-US" w:eastAsia="zh-CN" w:bidi="ar-SA"/>
      </w:rPr>
    </w:lvl>
    <w:lvl w:ilvl="3" w:tentative="0">
      <w:start w:val="0"/>
      <w:numFmt w:val="bullet"/>
      <w:lvlText w:val="•"/>
      <w:lvlJc w:val="left"/>
      <w:pPr>
        <w:ind w:left="2057" w:hanging="529"/>
      </w:pPr>
      <w:rPr>
        <w:rFonts w:hint="default"/>
        <w:lang w:val="en-US" w:eastAsia="zh-CN" w:bidi="ar-SA"/>
      </w:rPr>
    </w:lvl>
    <w:lvl w:ilvl="4" w:tentative="0">
      <w:start w:val="0"/>
      <w:numFmt w:val="bullet"/>
      <w:lvlText w:val="•"/>
      <w:lvlJc w:val="left"/>
      <w:pPr>
        <w:ind w:left="2710" w:hanging="529"/>
      </w:pPr>
      <w:rPr>
        <w:rFonts w:hint="default"/>
        <w:lang w:val="en-US" w:eastAsia="zh-CN" w:bidi="ar-SA"/>
      </w:rPr>
    </w:lvl>
    <w:lvl w:ilvl="5" w:tentative="0">
      <w:start w:val="0"/>
      <w:numFmt w:val="bullet"/>
      <w:lvlText w:val="•"/>
      <w:lvlJc w:val="left"/>
      <w:pPr>
        <w:ind w:left="3363" w:hanging="529"/>
      </w:pPr>
      <w:rPr>
        <w:rFonts w:hint="default"/>
        <w:lang w:val="en-US" w:eastAsia="zh-CN" w:bidi="ar-SA"/>
      </w:rPr>
    </w:lvl>
    <w:lvl w:ilvl="6" w:tentative="0">
      <w:start w:val="0"/>
      <w:numFmt w:val="bullet"/>
      <w:lvlText w:val="•"/>
      <w:lvlJc w:val="left"/>
      <w:pPr>
        <w:ind w:left="4015" w:hanging="529"/>
      </w:pPr>
      <w:rPr>
        <w:rFonts w:hint="default"/>
        <w:lang w:val="en-US" w:eastAsia="zh-CN" w:bidi="ar-SA"/>
      </w:rPr>
    </w:lvl>
    <w:lvl w:ilvl="7" w:tentative="0">
      <w:start w:val="0"/>
      <w:numFmt w:val="bullet"/>
      <w:lvlText w:val="•"/>
      <w:lvlJc w:val="left"/>
      <w:pPr>
        <w:ind w:left="4668" w:hanging="529"/>
      </w:pPr>
      <w:rPr>
        <w:rFonts w:hint="default"/>
        <w:lang w:val="en-US" w:eastAsia="zh-CN" w:bidi="ar-SA"/>
      </w:rPr>
    </w:lvl>
    <w:lvl w:ilvl="8" w:tentative="0">
      <w:start w:val="0"/>
      <w:numFmt w:val="bullet"/>
      <w:lvlText w:val="•"/>
      <w:lvlJc w:val="left"/>
      <w:pPr>
        <w:ind w:left="5320" w:hanging="529"/>
      </w:pPr>
      <w:rPr>
        <w:rFonts w:hint="default"/>
        <w:lang w:val="en-US" w:eastAsia="zh-CN" w:bidi="ar-SA"/>
      </w:rPr>
    </w:lvl>
  </w:abstractNum>
  <w:abstractNum w:abstractNumId="72">
    <w:nsid w:val="0DC629B0"/>
    <w:multiLevelType w:val="multilevel"/>
    <w:tmpl w:val="0DC629B0"/>
    <w:lvl w:ilvl="0" w:tentative="0">
      <w:start w:val="1"/>
      <w:numFmt w:val="lowerLetter"/>
      <w:lvlText w:val="%1."/>
      <w:lvlJc w:val="left"/>
      <w:pPr>
        <w:ind w:left="425" w:hanging="317"/>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1041" w:hanging="317"/>
      </w:pPr>
      <w:rPr>
        <w:rFonts w:hint="default"/>
        <w:lang w:val="en-US" w:eastAsia="zh-CN" w:bidi="ar-SA"/>
      </w:rPr>
    </w:lvl>
    <w:lvl w:ilvl="2" w:tentative="0">
      <w:start w:val="0"/>
      <w:numFmt w:val="bullet"/>
      <w:lvlText w:val="•"/>
      <w:lvlJc w:val="left"/>
      <w:pPr>
        <w:ind w:left="1662" w:hanging="317"/>
      </w:pPr>
      <w:rPr>
        <w:rFonts w:hint="default"/>
        <w:lang w:val="en-US" w:eastAsia="zh-CN" w:bidi="ar-SA"/>
      </w:rPr>
    </w:lvl>
    <w:lvl w:ilvl="3" w:tentative="0">
      <w:start w:val="0"/>
      <w:numFmt w:val="bullet"/>
      <w:lvlText w:val="•"/>
      <w:lvlJc w:val="left"/>
      <w:pPr>
        <w:ind w:left="2283" w:hanging="317"/>
      </w:pPr>
      <w:rPr>
        <w:rFonts w:hint="default"/>
        <w:lang w:val="en-US" w:eastAsia="zh-CN" w:bidi="ar-SA"/>
      </w:rPr>
    </w:lvl>
    <w:lvl w:ilvl="4" w:tentative="0">
      <w:start w:val="0"/>
      <w:numFmt w:val="bullet"/>
      <w:lvlText w:val="•"/>
      <w:lvlJc w:val="left"/>
      <w:pPr>
        <w:ind w:left="2905" w:hanging="317"/>
      </w:pPr>
      <w:rPr>
        <w:rFonts w:hint="default"/>
        <w:lang w:val="en-US" w:eastAsia="zh-CN" w:bidi="ar-SA"/>
      </w:rPr>
    </w:lvl>
    <w:lvl w:ilvl="5" w:tentative="0">
      <w:start w:val="0"/>
      <w:numFmt w:val="bullet"/>
      <w:lvlText w:val="•"/>
      <w:lvlJc w:val="left"/>
      <w:pPr>
        <w:ind w:left="3526" w:hanging="317"/>
      </w:pPr>
      <w:rPr>
        <w:rFonts w:hint="default"/>
        <w:lang w:val="en-US" w:eastAsia="zh-CN" w:bidi="ar-SA"/>
      </w:rPr>
    </w:lvl>
    <w:lvl w:ilvl="6" w:tentative="0">
      <w:start w:val="0"/>
      <w:numFmt w:val="bullet"/>
      <w:lvlText w:val="•"/>
      <w:lvlJc w:val="left"/>
      <w:pPr>
        <w:ind w:left="4147" w:hanging="317"/>
      </w:pPr>
      <w:rPr>
        <w:rFonts w:hint="default"/>
        <w:lang w:val="en-US" w:eastAsia="zh-CN" w:bidi="ar-SA"/>
      </w:rPr>
    </w:lvl>
    <w:lvl w:ilvl="7" w:tentative="0">
      <w:start w:val="0"/>
      <w:numFmt w:val="bullet"/>
      <w:lvlText w:val="•"/>
      <w:lvlJc w:val="left"/>
      <w:pPr>
        <w:ind w:left="4769" w:hanging="317"/>
      </w:pPr>
      <w:rPr>
        <w:rFonts w:hint="default"/>
        <w:lang w:val="en-US" w:eastAsia="zh-CN" w:bidi="ar-SA"/>
      </w:rPr>
    </w:lvl>
    <w:lvl w:ilvl="8" w:tentative="0">
      <w:start w:val="0"/>
      <w:numFmt w:val="bullet"/>
      <w:lvlText w:val="•"/>
      <w:lvlJc w:val="left"/>
      <w:pPr>
        <w:ind w:left="5390" w:hanging="317"/>
      </w:pPr>
      <w:rPr>
        <w:rFonts w:hint="default"/>
        <w:lang w:val="en-US" w:eastAsia="zh-CN" w:bidi="ar-SA"/>
      </w:rPr>
    </w:lvl>
  </w:abstractNum>
  <w:abstractNum w:abstractNumId="73">
    <w:nsid w:val="0E640482"/>
    <w:multiLevelType w:val="multilevel"/>
    <w:tmpl w:val="0E640482"/>
    <w:lvl w:ilvl="0" w:tentative="0">
      <w:start w:val="9"/>
      <w:numFmt w:val="decimal"/>
      <w:lvlText w:val="%1"/>
      <w:lvlJc w:val="left"/>
      <w:pPr>
        <w:ind w:left="3038" w:hanging="959"/>
        <w:jc w:val="left"/>
      </w:pPr>
      <w:rPr>
        <w:rFonts w:hint="default"/>
        <w:lang w:val="en-US" w:eastAsia="zh-CN" w:bidi="ar-SA"/>
      </w:rPr>
    </w:lvl>
    <w:lvl w:ilvl="1" w:tentative="0">
      <w:start w:val="1"/>
      <w:numFmt w:val="decimal"/>
      <w:lvlText w:val="%1.%2"/>
      <w:lvlJc w:val="left"/>
      <w:pPr>
        <w:ind w:left="3038" w:hanging="959"/>
        <w:jc w:val="left"/>
      </w:pPr>
      <w:rPr>
        <w:rFonts w:hint="default" w:ascii="宋体" w:hAnsi="宋体" w:eastAsia="宋体" w:cs="宋体"/>
        <w:b/>
        <w:bCs/>
        <w:i w:val="0"/>
        <w:iCs w:val="0"/>
        <w:w w:val="99"/>
        <w:sz w:val="21"/>
        <w:szCs w:val="21"/>
        <w:lang w:val="en-US" w:eastAsia="zh-CN" w:bidi="ar-SA"/>
      </w:rPr>
    </w:lvl>
    <w:lvl w:ilvl="2" w:tentative="0">
      <w:start w:val="1"/>
      <w:numFmt w:val="decimal"/>
      <w:lvlText w:val="（%3）"/>
      <w:lvlJc w:val="left"/>
      <w:pPr>
        <w:ind w:left="3561" w:hanging="530"/>
        <w:jc w:val="left"/>
      </w:pPr>
      <w:rPr>
        <w:rFonts w:hint="default" w:ascii="宋体" w:hAnsi="宋体" w:eastAsia="宋体" w:cs="宋体"/>
        <w:b w:val="0"/>
        <w:bCs w:val="0"/>
        <w:i w:val="0"/>
        <w:iCs w:val="0"/>
        <w:spacing w:val="-3"/>
        <w:w w:val="100"/>
        <w:sz w:val="19"/>
        <w:szCs w:val="19"/>
        <w:lang w:val="en-US" w:eastAsia="zh-CN" w:bidi="ar-SA"/>
      </w:rPr>
    </w:lvl>
    <w:lvl w:ilvl="3" w:tentative="0">
      <w:start w:val="0"/>
      <w:numFmt w:val="bullet"/>
      <w:lvlText w:val="•"/>
      <w:lvlJc w:val="left"/>
      <w:pPr>
        <w:ind w:left="5161" w:hanging="530"/>
      </w:pPr>
      <w:rPr>
        <w:rFonts w:hint="default"/>
        <w:lang w:val="en-US" w:eastAsia="zh-CN" w:bidi="ar-SA"/>
      </w:rPr>
    </w:lvl>
    <w:lvl w:ilvl="4" w:tentative="0">
      <w:start w:val="0"/>
      <w:numFmt w:val="bullet"/>
      <w:lvlText w:val="•"/>
      <w:lvlJc w:val="left"/>
      <w:pPr>
        <w:ind w:left="5962" w:hanging="530"/>
      </w:pPr>
      <w:rPr>
        <w:rFonts w:hint="default"/>
        <w:lang w:val="en-US" w:eastAsia="zh-CN" w:bidi="ar-SA"/>
      </w:rPr>
    </w:lvl>
    <w:lvl w:ilvl="5" w:tentative="0">
      <w:start w:val="0"/>
      <w:numFmt w:val="bullet"/>
      <w:lvlText w:val="•"/>
      <w:lvlJc w:val="left"/>
      <w:pPr>
        <w:ind w:left="6762" w:hanging="530"/>
      </w:pPr>
      <w:rPr>
        <w:rFonts w:hint="default"/>
        <w:lang w:val="en-US" w:eastAsia="zh-CN" w:bidi="ar-SA"/>
      </w:rPr>
    </w:lvl>
    <w:lvl w:ilvl="6" w:tentative="0">
      <w:start w:val="0"/>
      <w:numFmt w:val="bullet"/>
      <w:lvlText w:val="•"/>
      <w:lvlJc w:val="left"/>
      <w:pPr>
        <w:ind w:left="7563" w:hanging="530"/>
      </w:pPr>
      <w:rPr>
        <w:rFonts w:hint="default"/>
        <w:lang w:val="en-US" w:eastAsia="zh-CN" w:bidi="ar-SA"/>
      </w:rPr>
    </w:lvl>
    <w:lvl w:ilvl="7" w:tentative="0">
      <w:start w:val="0"/>
      <w:numFmt w:val="bullet"/>
      <w:lvlText w:val="•"/>
      <w:lvlJc w:val="left"/>
      <w:pPr>
        <w:ind w:left="8364" w:hanging="530"/>
      </w:pPr>
      <w:rPr>
        <w:rFonts w:hint="default"/>
        <w:lang w:val="en-US" w:eastAsia="zh-CN" w:bidi="ar-SA"/>
      </w:rPr>
    </w:lvl>
    <w:lvl w:ilvl="8" w:tentative="0">
      <w:start w:val="0"/>
      <w:numFmt w:val="bullet"/>
      <w:lvlText w:val="•"/>
      <w:lvlJc w:val="left"/>
      <w:pPr>
        <w:ind w:left="9164" w:hanging="530"/>
      </w:pPr>
      <w:rPr>
        <w:rFonts w:hint="default"/>
        <w:lang w:val="en-US" w:eastAsia="zh-CN" w:bidi="ar-SA"/>
      </w:rPr>
    </w:lvl>
  </w:abstractNum>
  <w:abstractNum w:abstractNumId="74">
    <w:nsid w:val="0F9F9CCA"/>
    <w:multiLevelType w:val="multilevel"/>
    <w:tmpl w:val="0F9F9CCA"/>
    <w:lvl w:ilvl="0" w:tentative="0">
      <w:start w:val="1"/>
      <w:numFmt w:val="decimal"/>
      <w:lvlText w:val="（%1）"/>
      <w:lvlJc w:val="left"/>
      <w:pPr>
        <w:ind w:left="636"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238" w:hanging="529"/>
      </w:pPr>
      <w:rPr>
        <w:rFonts w:hint="default"/>
        <w:lang w:val="en-US" w:eastAsia="zh-CN" w:bidi="ar-SA"/>
      </w:rPr>
    </w:lvl>
    <w:lvl w:ilvl="2" w:tentative="0">
      <w:start w:val="0"/>
      <w:numFmt w:val="bullet"/>
      <w:lvlText w:val="•"/>
      <w:lvlJc w:val="left"/>
      <w:pPr>
        <w:ind w:left="1837" w:hanging="529"/>
      </w:pPr>
      <w:rPr>
        <w:rFonts w:hint="default"/>
        <w:lang w:val="en-US" w:eastAsia="zh-CN" w:bidi="ar-SA"/>
      </w:rPr>
    </w:lvl>
    <w:lvl w:ilvl="3" w:tentative="0">
      <w:start w:val="0"/>
      <w:numFmt w:val="bullet"/>
      <w:lvlText w:val="•"/>
      <w:lvlJc w:val="left"/>
      <w:pPr>
        <w:ind w:left="2436" w:hanging="529"/>
      </w:pPr>
      <w:rPr>
        <w:rFonts w:hint="default"/>
        <w:lang w:val="en-US" w:eastAsia="zh-CN" w:bidi="ar-SA"/>
      </w:rPr>
    </w:lvl>
    <w:lvl w:ilvl="4" w:tentative="0">
      <w:start w:val="0"/>
      <w:numFmt w:val="bullet"/>
      <w:lvlText w:val="•"/>
      <w:lvlJc w:val="left"/>
      <w:pPr>
        <w:ind w:left="3035" w:hanging="529"/>
      </w:pPr>
      <w:rPr>
        <w:rFonts w:hint="default"/>
        <w:lang w:val="en-US" w:eastAsia="zh-CN" w:bidi="ar-SA"/>
      </w:rPr>
    </w:lvl>
    <w:lvl w:ilvl="5" w:tentative="0">
      <w:start w:val="0"/>
      <w:numFmt w:val="bullet"/>
      <w:lvlText w:val="•"/>
      <w:lvlJc w:val="left"/>
      <w:pPr>
        <w:ind w:left="3634" w:hanging="529"/>
      </w:pPr>
      <w:rPr>
        <w:rFonts w:hint="default"/>
        <w:lang w:val="en-US" w:eastAsia="zh-CN" w:bidi="ar-SA"/>
      </w:rPr>
    </w:lvl>
    <w:lvl w:ilvl="6" w:tentative="0">
      <w:start w:val="0"/>
      <w:numFmt w:val="bullet"/>
      <w:lvlText w:val="•"/>
      <w:lvlJc w:val="left"/>
      <w:pPr>
        <w:ind w:left="4232" w:hanging="529"/>
      </w:pPr>
      <w:rPr>
        <w:rFonts w:hint="default"/>
        <w:lang w:val="en-US" w:eastAsia="zh-CN" w:bidi="ar-SA"/>
      </w:rPr>
    </w:lvl>
    <w:lvl w:ilvl="7" w:tentative="0">
      <w:start w:val="0"/>
      <w:numFmt w:val="bullet"/>
      <w:lvlText w:val="•"/>
      <w:lvlJc w:val="left"/>
      <w:pPr>
        <w:ind w:left="4831" w:hanging="529"/>
      </w:pPr>
      <w:rPr>
        <w:rFonts w:hint="default"/>
        <w:lang w:val="en-US" w:eastAsia="zh-CN" w:bidi="ar-SA"/>
      </w:rPr>
    </w:lvl>
    <w:lvl w:ilvl="8" w:tentative="0">
      <w:start w:val="0"/>
      <w:numFmt w:val="bullet"/>
      <w:lvlText w:val="•"/>
      <w:lvlJc w:val="left"/>
      <w:pPr>
        <w:ind w:left="5430" w:hanging="529"/>
      </w:pPr>
      <w:rPr>
        <w:rFonts w:hint="default"/>
        <w:lang w:val="en-US" w:eastAsia="zh-CN" w:bidi="ar-SA"/>
      </w:rPr>
    </w:lvl>
  </w:abstractNum>
  <w:abstractNum w:abstractNumId="75">
    <w:nsid w:val="10D591E5"/>
    <w:multiLevelType w:val="multilevel"/>
    <w:tmpl w:val="10D591E5"/>
    <w:lvl w:ilvl="0" w:tentative="0">
      <w:start w:val="1"/>
      <w:numFmt w:val="decimal"/>
      <w:lvlText w:val="（%1）"/>
      <w:lvlJc w:val="left"/>
      <w:pPr>
        <w:ind w:left="636"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238" w:hanging="529"/>
      </w:pPr>
      <w:rPr>
        <w:rFonts w:hint="default"/>
        <w:lang w:val="en-US" w:eastAsia="zh-CN" w:bidi="ar-SA"/>
      </w:rPr>
    </w:lvl>
    <w:lvl w:ilvl="2" w:tentative="0">
      <w:start w:val="0"/>
      <w:numFmt w:val="bullet"/>
      <w:lvlText w:val="•"/>
      <w:lvlJc w:val="left"/>
      <w:pPr>
        <w:ind w:left="1837" w:hanging="529"/>
      </w:pPr>
      <w:rPr>
        <w:rFonts w:hint="default"/>
        <w:lang w:val="en-US" w:eastAsia="zh-CN" w:bidi="ar-SA"/>
      </w:rPr>
    </w:lvl>
    <w:lvl w:ilvl="3" w:tentative="0">
      <w:start w:val="0"/>
      <w:numFmt w:val="bullet"/>
      <w:lvlText w:val="•"/>
      <w:lvlJc w:val="left"/>
      <w:pPr>
        <w:ind w:left="2435" w:hanging="529"/>
      </w:pPr>
      <w:rPr>
        <w:rFonts w:hint="default"/>
        <w:lang w:val="en-US" w:eastAsia="zh-CN" w:bidi="ar-SA"/>
      </w:rPr>
    </w:lvl>
    <w:lvl w:ilvl="4" w:tentative="0">
      <w:start w:val="0"/>
      <w:numFmt w:val="bullet"/>
      <w:lvlText w:val="•"/>
      <w:lvlJc w:val="left"/>
      <w:pPr>
        <w:ind w:left="3034" w:hanging="529"/>
      </w:pPr>
      <w:rPr>
        <w:rFonts w:hint="default"/>
        <w:lang w:val="en-US" w:eastAsia="zh-CN" w:bidi="ar-SA"/>
      </w:rPr>
    </w:lvl>
    <w:lvl w:ilvl="5" w:tentative="0">
      <w:start w:val="0"/>
      <w:numFmt w:val="bullet"/>
      <w:lvlText w:val="•"/>
      <w:lvlJc w:val="left"/>
      <w:pPr>
        <w:ind w:left="3633" w:hanging="529"/>
      </w:pPr>
      <w:rPr>
        <w:rFonts w:hint="default"/>
        <w:lang w:val="en-US" w:eastAsia="zh-CN" w:bidi="ar-SA"/>
      </w:rPr>
    </w:lvl>
    <w:lvl w:ilvl="6" w:tentative="0">
      <w:start w:val="0"/>
      <w:numFmt w:val="bullet"/>
      <w:lvlText w:val="•"/>
      <w:lvlJc w:val="left"/>
      <w:pPr>
        <w:ind w:left="4231" w:hanging="529"/>
      </w:pPr>
      <w:rPr>
        <w:rFonts w:hint="default"/>
        <w:lang w:val="en-US" w:eastAsia="zh-CN" w:bidi="ar-SA"/>
      </w:rPr>
    </w:lvl>
    <w:lvl w:ilvl="7" w:tentative="0">
      <w:start w:val="0"/>
      <w:numFmt w:val="bullet"/>
      <w:lvlText w:val="•"/>
      <w:lvlJc w:val="left"/>
      <w:pPr>
        <w:ind w:left="4830" w:hanging="529"/>
      </w:pPr>
      <w:rPr>
        <w:rFonts w:hint="default"/>
        <w:lang w:val="en-US" w:eastAsia="zh-CN" w:bidi="ar-SA"/>
      </w:rPr>
    </w:lvl>
    <w:lvl w:ilvl="8" w:tentative="0">
      <w:start w:val="0"/>
      <w:numFmt w:val="bullet"/>
      <w:lvlText w:val="•"/>
      <w:lvlJc w:val="left"/>
      <w:pPr>
        <w:ind w:left="5428" w:hanging="529"/>
      </w:pPr>
      <w:rPr>
        <w:rFonts w:hint="default"/>
        <w:lang w:val="en-US" w:eastAsia="zh-CN" w:bidi="ar-SA"/>
      </w:rPr>
    </w:lvl>
  </w:abstractNum>
  <w:abstractNum w:abstractNumId="76">
    <w:nsid w:val="10F0DB0B"/>
    <w:multiLevelType w:val="multilevel"/>
    <w:tmpl w:val="10F0DB0B"/>
    <w:lvl w:ilvl="0" w:tentative="0">
      <w:start w:val="1"/>
      <w:numFmt w:val="decimal"/>
      <w:lvlText w:val="（%1）"/>
      <w:lvlJc w:val="left"/>
      <w:pPr>
        <w:ind w:left="63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239" w:hanging="529"/>
      </w:pPr>
      <w:rPr>
        <w:rFonts w:hint="default"/>
        <w:lang w:val="en-US" w:eastAsia="zh-CN" w:bidi="ar-SA"/>
      </w:rPr>
    </w:lvl>
    <w:lvl w:ilvl="2" w:tentative="0">
      <w:start w:val="0"/>
      <w:numFmt w:val="bullet"/>
      <w:lvlText w:val="•"/>
      <w:lvlJc w:val="left"/>
      <w:pPr>
        <w:ind w:left="1838" w:hanging="529"/>
      </w:pPr>
      <w:rPr>
        <w:rFonts w:hint="default"/>
        <w:lang w:val="en-US" w:eastAsia="zh-CN" w:bidi="ar-SA"/>
      </w:rPr>
    </w:lvl>
    <w:lvl w:ilvl="3" w:tentative="0">
      <w:start w:val="0"/>
      <w:numFmt w:val="bullet"/>
      <w:lvlText w:val="•"/>
      <w:lvlJc w:val="left"/>
      <w:pPr>
        <w:ind w:left="2437" w:hanging="529"/>
      </w:pPr>
      <w:rPr>
        <w:rFonts w:hint="default"/>
        <w:lang w:val="en-US" w:eastAsia="zh-CN" w:bidi="ar-SA"/>
      </w:rPr>
    </w:lvl>
    <w:lvl w:ilvl="4" w:tentative="0">
      <w:start w:val="0"/>
      <w:numFmt w:val="bullet"/>
      <w:lvlText w:val="•"/>
      <w:lvlJc w:val="left"/>
      <w:pPr>
        <w:ind w:left="3037" w:hanging="529"/>
      </w:pPr>
      <w:rPr>
        <w:rFonts w:hint="default"/>
        <w:lang w:val="en-US" w:eastAsia="zh-CN" w:bidi="ar-SA"/>
      </w:rPr>
    </w:lvl>
    <w:lvl w:ilvl="5" w:tentative="0">
      <w:start w:val="0"/>
      <w:numFmt w:val="bullet"/>
      <w:lvlText w:val="•"/>
      <w:lvlJc w:val="left"/>
      <w:pPr>
        <w:ind w:left="3636" w:hanging="529"/>
      </w:pPr>
      <w:rPr>
        <w:rFonts w:hint="default"/>
        <w:lang w:val="en-US" w:eastAsia="zh-CN" w:bidi="ar-SA"/>
      </w:rPr>
    </w:lvl>
    <w:lvl w:ilvl="6" w:tentative="0">
      <w:start w:val="0"/>
      <w:numFmt w:val="bullet"/>
      <w:lvlText w:val="•"/>
      <w:lvlJc w:val="left"/>
      <w:pPr>
        <w:ind w:left="4235" w:hanging="529"/>
      </w:pPr>
      <w:rPr>
        <w:rFonts w:hint="default"/>
        <w:lang w:val="en-US" w:eastAsia="zh-CN" w:bidi="ar-SA"/>
      </w:rPr>
    </w:lvl>
    <w:lvl w:ilvl="7" w:tentative="0">
      <w:start w:val="0"/>
      <w:numFmt w:val="bullet"/>
      <w:lvlText w:val="•"/>
      <w:lvlJc w:val="left"/>
      <w:pPr>
        <w:ind w:left="4835" w:hanging="529"/>
      </w:pPr>
      <w:rPr>
        <w:rFonts w:hint="default"/>
        <w:lang w:val="en-US" w:eastAsia="zh-CN" w:bidi="ar-SA"/>
      </w:rPr>
    </w:lvl>
    <w:lvl w:ilvl="8" w:tentative="0">
      <w:start w:val="0"/>
      <w:numFmt w:val="bullet"/>
      <w:lvlText w:val="•"/>
      <w:lvlJc w:val="left"/>
      <w:pPr>
        <w:ind w:left="5434" w:hanging="529"/>
      </w:pPr>
      <w:rPr>
        <w:rFonts w:hint="default"/>
        <w:lang w:val="en-US" w:eastAsia="zh-CN" w:bidi="ar-SA"/>
      </w:rPr>
    </w:lvl>
  </w:abstractNum>
  <w:abstractNum w:abstractNumId="77">
    <w:nsid w:val="12EADF99"/>
    <w:multiLevelType w:val="multilevel"/>
    <w:tmpl w:val="12EADF99"/>
    <w:lvl w:ilvl="0" w:tentative="0">
      <w:start w:val="1"/>
      <w:numFmt w:val="lowerLetter"/>
      <w:lvlText w:val="%1)"/>
      <w:lvlJc w:val="left"/>
      <w:pPr>
        <w:ind w:left="319" w:hanging="213"/>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950" w:hanging="213"/>
      </w:pPr>
      <w:rPr>
        <w:rFonts w:hint="default"/>
        <w:lang w:val="en-US" w:eastAsia="zh-CN" w:bidi="ar-SA"/>
      </w:rPr>
    </w:lvl>
    <w:lvl w:ilvl="2" w:tentative="0">
      <w:start w:val="0"/>
      <w:numFmt w:val="bullet"/>
      <w:lvlText w:val="•"/>
      <w:lvlJc w:val="left"/>
      <w:pPr>
        <w:ind w:left="1581" w:hanging="213"/>
      </w:pPr>
      <w:rPr>
        <w:rFonts w:hint="default"/>
        <w:lang w:val="en-US" w:eastAsia="zh-CN" w:bidi="ar-SA"/>
      </w:rPr>
    </w:lvl>
    <w:lvl w:ilvl="3" w:tentative="0">
      <w:start w:val="0"/>
      <w:numFmt w:val="bullet"/>
      <w:lvlText w:val="•"/>
      <w:lvlJc w:val="left"/>
      <w:pPr>
        <w:ind w:left="2211" w:hanging="213"/>
      </w:pPr>
      <w:rPr>
        <w:rFonts w:hint="default"/>
        <w:lang w:val="en-US" w:eastAsia="zh-CN" w:bidi="ar-SA"/>
      </w:rPr>
    </w:lvl>
    <w:lvl w:ilvl="4" w:tentative="0">
      <w:start w:val="0"/>
      <w:numFmt w:val="bullet"/>
      <w:lvlText w:val="•"/>
      <w:lvlJc w:val="left"/>
      <w:pPr>
        <w:ind w:left="2842" w:hanging="213"/>
      </w:pPr>
      <w:rPr>
        <w:rFonts w:hint="default"/>
        <w:lang w:val="en-US" w:eastAsia="zh-CN" w:bidi="ar-SA"/>
      </w:rPr>
    </w:lvl>
    <w:lvl w:ilvl="5" w:tentative="0">
      <w:start w:val="0"/>
      <w:numFmt w:val="bullet"/>
      <w:lvlText w:val="•"/>
      <w:lvlJc w:val="left"/>
      <w:pPr>
        <w:ind w:left="3473" w:hanging="213"/>
      </w:pPr>
      <w:rPr>
        <w:rFonts w:hint="default"/>
        <w:lang w:val="en-US" w:eastAsia="zh-CN" w:bidi="ar-SA"/>
      </w:rPr>
    </w:lvl>
    <w:lvl w:ilvl="6" w:tentative="0">
      <w:start w:val="0"/>
      <w:numFmt w:val="bullet"/>
      <w:lvlText w:val="•"/>
      <w:lvlJc w:val="left"/>
      <w:pPr>
        <w:ind w:left="4103" w:hanging="213"/>
      </w:pPr>
      <w:rPr>
        <w:rFonts w:hint="default"/>
        <w:lang w:val="en-US" w:eastAsia="zh-CN" w:bidi="ar-SA"/>
      </w:rPr>
    </w:lvl>
    <w:lvl w:ilvl="7" w:tentative="0">
      <w:start w:val="0"/>
      <w:numFmt w:val="bullet"/>
      <w:lvlText w:val="•"/>
      <w:lvlJc w:val="left"/>
      <w:pPr>
        <w:ind w:left="4734" w:hanging="213"/>
      </w:pPr>
      <w:rPr>
        <w:rFonts w:hint="default"/>
        <w:lang w:val="en-US" w:eastAsia="zh-CN" w:bidi="ar-SA"/>
      </w:rPr>
    </w:lvl>
    <w:lvl w:ilvl="8" w:tentative="0">
      <w:start w:val="0"/>
      <w:numFmt w:val="bullet"/>
      <w:lvlText w:val="•"/>
      <w:lvlJc w:val="left"/>
      <w:pPr>
        <w:ind w:left="5364" w:hanging="213"/>
      </w:pPr>
      <w:rPr>
        <w:rFonts w:hint="default"/>
        <w:lang w:val="en-US" w:eastAsia="zh-CN" w:bidi="ar-SA"/>
      </w:rPr>
    </w:lvl>
  </w:abstractNum>
  <w:abstractNum w:abstractNumId="78">
    <w:nsid w:val="1450273B"/>
    <w:multiLevelType w:val="multilevel"/>
    <w:tmpl w:val="1450273B"/>
    <w:lvl w:ilvl="0" w:tentative="0">
      <w:start w:val="1"/>
      <w:numFmt w:val="decimal"/>
      <w:lvlText w:val="（%1）"/>
      <w:lvlJc w:val="left"/>
      <w:pPr>
        <w:ind w:left="636"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238" w:hanging="529"/>
      </w:pPr>
      <w:rPr>
        <w:rFonts w:hint="default"/>
        <w:lang w:val="en-US" w:eastAsia="zh-CN" w:bidi="ar-SA"/>
      </w:rPr>
    </w:lvl>
    <w:lvl w:ilvl="2" w:tentative="0">
      <w:start w:val="0"/>
      <w:numFmt w:val="bullet"/>
      <w:lvlText w:val="•"/>
      <w:lvlJc w:val="left"/>
      <w:pPr>
        <w:ind w:left="1837" w:hanging="529"/>
      </w:pPr>
      <w:rPr>
        <w:rFonts w:hint="default"/>
        <w:lang w:val="en-US" w:eastAsia="zh-CN" w:bidi="ar-SA"/>
      </w:rPr>
    </w:lvl>
    <w:lvl w:ilvl="3" w:tentative="0">
      <w:start w:val="0"/>
      <w:numFmt w:val="bullet"/>
      <w:lvlText w:val="•"/>
      <w:lvlJc w:val="left"/>
      <w:pPr>
        <w:ind w:left="2435" w:hanging="529"/>
      </w:pPr>
      <w:rPr>
        <w:rFonts w:hint="default"/>
        <w:lang w:val="en-US" w:eastAsia="zh-CN" w:bidi="ar-SA"/>
      </w:rPr>
    </w:lvl>
    <w:lvl w:ilvl="4" w:tentative="0">
      <w:start w:val="0"/>
      <w:numFmt w:val="bullet"/>
      <w:lvlText w:val="•"/>
      <w:lvlJc w:val="left"/>
      <w:pPr>
        <w:ind w:left="3034" w:hanging="529"/>
      </w:pPr>
      <w:rPr>
        <w:rFonts w:hint="default"/>
        <w:lang w:val="en-US" w:eastAsia="zh-CN" w:bidi="ar-SA"/>
      </w:rPr>
    </w:lvl>
    <w:lvl w:ilvl="5" w:tentative="0">
      <w:start w:val="0"/>
      <w:numFmt w:val="bullet"/>
      <w:lvlText w:val="•"/>
      <w:lvlJc w:val="left"/>
      <w:pPr>
        <w:ind w:left="3633" w:hanging="529"/>
      </w:pPr>
      <w:rPr>
        <w:rFonts w:hint="default"/>
        <w:lang w:val="en-US" w:eastAsia="zh-CN" w:bidi="ar-SA"/>
      </w:rPr>
    </w:lvl>
    <w:lvl w:ilvl="6" w:tentative="0">
      <w:start w:val="0"/>
      <w:numFmt w:val="bullet"/>
      <w:lvlText w:val="•"/>
      <w:lvlJc w:val="left"/>
      <w:pPr>
        <w:ind w:left="4231" w:hanging="529"/>
      </w:pPr>
      <w:rPr>
        <w:rFonts w:hint="default"/>
        <w:lang w:val="en-US" w:eastAsia="zh-CN" w:bidi="ar-SA"/>
      </w:rPr>
    </w:lvl>
    <w:lvl w:ilvl="7" w:tentative="0">
      <w:start w:val="0"/>
      <w:numFmt w:val="bullet"/>
      <w:lvlText w:val="•"/>
      <w:lvlJc w:val="left"/>
      <w:pPr>
        <w:ind w:left="4830" w:hanging="529"/>
      </w:pPr>
      <w:rPr>
        <w:rFonts w:hint="default"/>
        <w:lang w:val="en-US" w:eastAsia="zh-CN" w:bidi="ar-SA"/>
      </w:rPr>
    </w:lvl>
    <w:lvl w:ilvl="8" w:tentative="0">
      <w:start w:val="0"/>
      <w:numFmt w:val="bullet"/>
      <w:lvlText w:val="•"/>
      <w:lvlJc w:val="left"/>
      <w:pPr>
        <w:ind w:left="5428" w:hanging="529"/>
      </w:pPr>
      <w:rPr>
        <w:rFonts w:hint="default"/>
        <w:lang w:val="en-US" w:eastAsia="zh-CN" w:bidi="ar-SA"/>
      </w:rPr>
    </w:lvl>
  </w:abstractNum>
  <w:abstractNum w:abstractNumId="79">
    <w:nsid w:val="18F74015"/>
    <w:multiLevelType w:val="multilevel"/>
    <w:tmpl w:val="18F74015"/>
    <w:lvl w:ilvl="0" w:tentative="0">
      <w:start w:val="1"/>
      <w:numFmt w:val="decimal"/>
      <w:lvlText w:val="（%1）"/>
      <w:lvlJc w:val="left"/>
      <w:pPr>
        <w:ind w:left="636"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238" w:hanging="529"/>
      </w:pPr>
      <w:rPr>
        <w:rFonts w:hint="default"/>
        <w:lang w:val="en-US" w:eastAsia="zh-CN" w:bidi="ar-SA"/>
      </w:rPr>
    </w:lvl>
    <w:lvl w:ilvl="2" w:tentative="0">
      <w:start w:val="0"/>
      <w:numFmt w:val="bullet"/>
      <w:lvlText w:val="•"/>
      <w:lvlJc w:val="left"/>
      <w:pPr>
        <w:ind w:left="1837" w:hanging="529"/>
      </w:pPr>
      <w:rPr>
        <w:rFonts w:hint="default"/>
        <w:lang w:val="en-US" w:eastAsia="zh-CN" w:bidi="ar-SA"/>
      </w:rPr>
    </w:lvl>
    <w:lvl w:ilvl="3" w:tentative="0">
      <w:start w:val="0"/>
      <w:numFmt w:val="bullet"/>
      <w:lvlText w:val="•"/>
      <w:lvlJc w:val="left"/>
      <w:pPr>
        <w:ind w:left="2435" w:hanging="529"/>
      </w:pPr>
      <w:rPr>
        <w:rFonts w:hint="default"/>
        <w:lang w:val="en-US" w:eastAsia="zh-CN" w:bidi="ar-SA"/>
      </w:rPr>
    </w:lvl>
    <w:lvl w:ilvl="4" w:tentative="0">
      <w:start w:val="0"/>
      <w:numFmt w:val="bullet"/>
      <w:lvlText w:val="•"/>
      <w:lvlJc w:val="left"/>
      <w:pPr>
        <w:ind w:left="3034" w:hanging="529"/>
      </w:pPr>
      <w:rPr>
        <w:rFonts w:hint="default"/>
        <w:lang w:val="en-US" w:eastAsia="zh-CN" w:bidi="ar-SA"/>
      </w:rPr>
    </w:lvl>
    <w:lvl w:ilvl="5" w:tentative="0">
      <w:start w:val="0"/>
      <w:numFmt w:val="bullet"/>
      <w:lvlText w:val="•"/>
      <w:lvlJc w:val="left"/>
      <w:pPr>
        <w:ind w:left="3633" w:hanging="529"/>
      </w:pPr>
      <w:rPr>
        <w:rFonts w:hint="default"/>
        <w:lang w:val="en-US" w:eastAsia="zh-CN" w:bidi="ar-SA"/>
      </w:rPr>
    </w:lvl>
    <w:lvl w:ilvl="6" w:tentative="0">
      <w:start w:val="0"/>
      <w:numFmt w:val="bullet"/>
      <w:lvlText w:val="•"/>
      <w:lvlJc w:val="left"/>
      <w:pPr>
        <w:ind w:left="4231" w:hanging="529"/>
      </w:pPr>
      <w:rPr>
        <w:rFonts w:hint="default"/>
        <w:lang w:val="en-US" w:eastAsia="zh-CN" w:bidi="ar-SA"/>
      </w:rPr>
    </w:lvl>
    <w:lvl w:ilvl="7" w:tentative="0">
      <w:start w:val="0"/>
      <w:numFmt w:val="bullet"/>
      <w:lvlText w:val="•"/>
      <w:lvlJc w:val="left"/>
      <w:pPr>
        <w:ind w:left="4830" w:hanging="529"/>
      </w:pPr>
      <w:rPr>
        <w:rFonts w:hint="default"/>
        <w:lang w:val="en-US" w:eastAsia="zh-CN" w:bidi="ar-SA"/>
      </w:rPr>
    </w:lvl>
    <w:lvl w:ilvl="8" w:tentative="0">
      <w:start w:val="0"/>
      <w:numFmt w:val="bullet"/>
      <w:lvlText w:val="•"/>
      <w:lvlJc w:val="left"/>
      <w:pPr>
        <w:ind w:left="5428" w:hanging="529"/>
      </w:pPr>
      <w:rPr>
        <w:rFonts w:hint="default"/>
        <w:lang w:val="en-US" w:eastAsia="zh-CN" w:bidi="ar-SA"/>
      </w:rPr>
    </w:lvl>
  </w:abstractNum>
  <w:abstractNum w:abstractNumId="80">
    <w:nsid w:val="1ACDE60F"/>
    <w:multiLevelType w:val="multilevel"/>
    <w:tmpl w:val="1ACDE60F"/>
    <w:lvl w:ilvl="0" w:tentative="0">
      <w:start w:val="1"/>
      <w:numFmt w:val="decimal"/>
      <w:lvlText w:val="（%1）"/>
      <w:lvlJc w:val="left"/>
      <w:pPr>
        <w:ind w:left="636"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238" w:hanging="529"/>
      </w:pPr>
      <w:rPr>
        <w:rFonts w:hint="default"/>
        <w:lang w:val="en-US" w:eastAsia="zh-CN" w:bidi="ar-SA"/>
      </w:rPr>
    </w:lvl>
    <w:lvl w:ilvl="2" w:tentative="0">
      <w:start w:val="0"/>
      <w:numFmt w:val="bullet"/>
      <w:lvlText w:val="•"/>
      <w:lvlJc w:val="left"/>
      <w:pPr>
        <w:ind w:left="1837" w:hanging="529"/>
      </w:pPr>
      <w:rPr>
        <w:rFonts w:hint="default"/>
        <w:lang w:val="en-US" w:eastAsia="zh-CN" w:bidi="ar-SA"/>
      </w:rPr>
    </w:lvl>
    <w:lvl w:ilvl="3" w:tentative="0">
      <w:start w:val="0"/>
      <w:numFmt w:val="bullet"/>
      <w:lvlText w:val="•"/>
      <w:lvlJc w:val="left"/>
      <w:pPr>
        <w:ind w:left="2435" w:hanging="529"/>
      </w:pPr>
      <w:rPr>
        <w:rFonts w:hint="default"/>
        <w:lang w:val="en-US" w:eastAsia="zh-CN" w:bidi="ar-SA"/>
      </w:rPr>
    </w:lvl>
    <w:lvl w:ilvl="4" w:tentative="0">
      <w:start w:val="0"/>
      <w:numFmt w:val="bullet"/>
      <w:lvlText w:val="•"/>
      <w:lvlJc w:val="left"/>
      <w:pPr>
        <w:ind w:left="3034" w:hanging="529"/>
      </w:pPr>
      <w:rPr>
        <w:rFonts w:hint="default"/>
        <w:lang w:val="en-US" w:eastAsia="zh-CN" w:bidi="ar-SA"/>
      </w:rPr>
    </w:lvl>
    <w:lvl w:ilvl="5" w:tentative="0">
      <w:start w:val="0"/>
      <w:numFmt w:val="bullet"/>
      <w:lvlText w:val="•"/>
      <w:lvlJc w:val="left"/>
      <w:pPr>
        <w:ind w:left="3633" w:hanging="529"/>
      </w:pPr>
      <w:rPr>
        <w:rFonts w:hint="default"/>
        <w:lang w:val="en-US" w:eastAsia="zh-CN" w:bidi="ar-SA"/>
      </w:rPr>
    </w:lvl>
    <w:lvl w:ilvl="6" w:tentative="0">
      <w:start w:val="0"/>
      <w:numFmt w:val="bullet"/>
      <w:lvlText w:val="•"/>
      <w:lvlJc w:val="left"/>
      <w:pPr>
        <w:ind w:left="4231" w:hanging="529"/>
      </w:pPr>
      <w:rPr>
        <w:rFonts w:hint="default"/>
        <w:lang w:val="en-US" w:eastAsia="zh-CN" w:bidi="ar-SA"/>
      </w:rPr>
    </w:lvl>
    <w:lvl w:ilvl="7" w:tentative="0">
      <w:start w:val="0"/>
      <w:numFmt w:val="bullet"/>
      <w:lvlText w:val="•"/>
      <w:lvlJc w:val="left"/>
      <w:pPr>
        <w:ind w:left="4830" w:hanging="529"/>
      </w:pPr>
      <w:rPr>
        <w:rFonts w:hint="default"/>
        <w:lang w:val="en-US" w:eastAsia="zh-CN" w:bidi="ar-SA"/>
      </w:rPr>
    </w:lvl>
    <w:lvl w:ilvl="8" w:tentative="0">
      <w:start w:val="0"/>
      <w:numFmt w:val="bullet"/>
      <w:lvlText w:val="•"/>
      <w:lvlJc w:val="left"/>
      <w:pPr>
        <w:ind w:left="5428" w:hanging="529"/>
      </w:pPr>
      <w:rPr>
        <w:rFonts w:hint="default"/>
        <w:lang w:val="en-US" w:eastAsia="zh-CN" w:bidi="ar-SA"/>
      </w:rPr>
    </w:lvl>
  </w:abstractNum>
  <w:abstractNum w:abstractNumId="81">
    <w:nsid w:val="1AD50295"/>
    <w:multiLevelType w:val="multilevel"/>
    <w:tmpl w:val="1AD50295"/>
    <w:lvl w:ilvl="0" w:tentative="0">
      <w:start w:val="1"/>
      <w:numFmt w:val="decimal"/>
      <w:lvlText w:val="（%1）"/>
      <w:lvlJc w:val="left"/>
      <w:pPr>
        <w:ind w:left="636"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238" w:hanging="529"/>
      </w:pPr>
      <w:rPr>
        <w:rFonts w:hint="default"/>
        <w:lang w:val="en-US" w:eastAsia="zh-CN" w:bidi="ar-SA"/>
      </w:rPr>
    </w:lvl>
    <w:lvl w:ilvl="2" w:tentative="0">
      <w:start w:val="0"/>
      <w:numFmt w:val="bullet"/>
      <w:lvlText w:val="•"/>
      <w:lvlJc w:val="left"/>
      <w:pPr>
        <w:ind w:left="1837" w:hanging="529"/>
      </w:pPr>
      <w:rPr>
        <w:rFonts w:hint="default"/>
        <w:lang w:val="en-US" w:eastAsia="zh-CN" w:bidi="ar-SA"/>
      </w:rPr>
    </w:lvl>
    <w:lvl w:ilvl="3" w:tentative="0">
      <w:start w:val="0"/>
      <w:numFmt w:val="bullet"/>
      <w:lvlText w:val="•"/>
      <w:lvlJc w:val="left"/>
      <w:pPr>
        <w:ind w:left="2435" w:hanging="529"/>
      </w:pPr>
      <w:rPr>
        <w:rFonts w:hint="default"/>
        <w:lang w:val="en-US" w:eastAsia="zh-CN" w:bidi="ar-SA"/>
      </w:rPr>
    </w:lvl>
    <w:lvl w:ilvl="4" w:tentative="0">
      <w:start w:val="0"/>
      <w:numFmt w:val="bullet"/>
      <w:lvlText w:val="•"/>
      <w:lvlJc w:val="left"/>
      <w:pPr>
        <w:ind w:left="3034" w:hanging="529"/>
      </w:pPr>
      <w:rPr>
        <w:rFonts w:hint="default"/>
        <w:lang w:val="en-US" w:eastAsia="zh-CN" w:bidi="ar-SA"/>
      </w:rPr>
    </w:lvl>
    <w:lvl w:ilvl="5" w:tentative="0">
      <w:start w:val="0"/>
      <w:numFmt w:val="bullet"/>
      <w:lvlText w:val="•"/>
      <w:lvlJc w:val="left"/>
      <w:pPr>
        <w:ind w:left="3633" w:hanging="529"/>
      </w:pPr>
      <w:rPr>
        <w:rFonts w:hint="default"/>
        <w:lang w:val="en-US" w:eastAsia="zh-CN" w:bidi="ar-SA"/>
      </w:rPr>
    </w:lvl>
    <w:lvl w:ilvl="6" w:tentative="0">
      <w:start w:val="0"/>
      <w:numFmt w:val="bullet"/>
      <w:lvlText w:val="•"/>
      <w:lvlJc w:val="left"/>
      <w:pPr>
        <w:ind w:left="4231" w:hanging="529"/>
      </w:pPr>
      <w:rPr>
        <w:rFonts w:hint="default"/>
        <w:lang w:val="en-US" w:eastAsia="zh-CN" w:bidi="ar-SA"/>
      </w:rPr>
    </w:lvl>
    <w:lvl w:ilvl="7" w:tentative="0">
      <w:start w:val="0"/>
      <w:numFmt w:val="bullet"/>
      <w:lvlText w:val="•"/>
      <w:lvlJc w:val="left"/>
      <w:pPr>
        <w:ind w:left="4830" w:hanging="529"/>
      </w:pPr>
      <w:rPr>
        <w:rFonts w:hint="default"/>
        <w:lang w:val="en-US" w:eastAsia="zh-CN" w:bidi="ar-SA"/>
      </w:rPr>
    </w:lvl>
    <w:lvl w:ilvl="8" w:tentative="0">
      <w:start w:val="0"/>
      <w:numFmt w:val="bullet"/>
      <w:lvlText w:val="•"/>
      <w:lvlJc w:val="left"/>
      <w:pPr>
        <w:ind w:left="5428" w:hanging="529"/>
      </w:pPr>
      <w:rPr>
        <w:rFonts w:hint="default"/>
        <w:lang w:val="en-US" w:eastAsia="zh-CN" w:bidi="ar-SA"/>
      </w:rPr>
    </w:lvl>
  </w:abstractNum>
  <w:abstractNum w:abstractNumId="82">
    <w:nsid w:val="1BCBBCF0"/>
    <w:multiLevelType w:val="multilevel"/>
    <w:tmpl w:val="1BCBBCF0"/>
    <w:lvl w:ilvl="0" w:tentative="0">
      <w:start w:val="1"/>
      <w:numFmt w:val="decimal"/>
      <w:lvlText w:val="（%1）"/>
      <w:lvlJc w:val="left"/>
      <w:pPr>
        <w:ind w:left="636"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238" w:hanging="529"/>
      </w:pPr>
      <w:rPr>
        <w:rFonts w:hint="default"/>
        <w:lang w:val="en-US" w:eastAsia="zh-CN" w:bidi="ar-SA"/>
      </w:rPr>
    </w:lvl>
    <w:lvl w:ilvl="2" w:tentative="0">
      <w:start w:val="0"/>
      <w:numFmt w:val="bullet"/>
      <w:lvlText w:val="•"/>
      <w:lvlJc w:val="left"/>
      <w:pPr>
        <w:ind w:left="1837" w:hanging="529"/>
      </w:pPr>
      <w:rPr>
        <w:rFonts w:hint="default"/>
        <w:lang w:val="en-US" w:eastAsia="zh-CN" w:bidi="ar-SA"/>
      </w:rPr>
    </w:lvl>
    <w:lvl w:ilvl="3" w:tentative="0">
      <w:start w:val="0"/>
      <w:numFmt w:val="bullet"/>
      <w:lvlText w:val="•"/>
      <w:lvlJc w:val="left"/>
      <w:pPr>
        <w:ind w:left="2435" w:hanging="529"/>
      </w:pPr>
      <w:rPr>
        <w:rFonts w:hint="default"/>
        <w:lang w:val="en-US" w:eastAsia="zh-CN" w:bidi="ar-SA"/>
      </w:rPr>
    </w:lvl>
    <w:lvl w:ilvl="4" w:tentative="0">
      <w:start w:val="0"/>
      <w:numFmt w:val="bullet"/>
      <w:lvlText w:val="•"/>
      <w:lvlJc w:val="left"/>
      <w:pPr>
        <w:ind w:left="3034" w:hanging="529"/>
      </w:pPr>
      <w:rPr>
        <w:rFonts w:hint="default"/>
        <w:lang w:val="en-US" w:eastAsia="zh-CN" w:bidi="ar-SA"/>
      </w:rPr>
    </w:lvl>
    <w:lvl w:ilvl="5" w:tentative="0">
      <w:start w:val="0"/>
      <w:numFmt w:val="bullet"/>
      <w:lvlText w:val="•"/>
      <w:lvlJc w:val="left"/>
      <w:pPr>
        <w:ind w:left="3633" w:hanging="529"/>
      </w:pPr>
      <w:rPr>
        <w:rFonts w:hint="default"/>
        <w:lang w:val="en-US" w:eastAsia="zh-CN" w:bidi="ar-SA"/>
      </w:rPr>
    </w:lvl>
    <w:lvl w:ilvl="6" w:tentative="0">
      <w:start w:val="0"/>
      <w:numFmt w:val="bullet"/>
      <w:lvlText w:val="•"/>
      <w:lvlJc w:val="left"/>
      <w:pPr>
        <w:ind w:left="4231" w:hanging="529"/>
      </w:pPr>
      <w:rPr>
        <w:rFonts w:hint="default"/>
        <w:lang w:val="en-US" w:eastAsia="zh-CN" w:bidi="ar-SA"/>
      </w:rPr>
    </w:lvl>
    <w:lvl w:ilvl="7" w:tentative="0">
      <w:start w:val="0"/>
      <w:numFmt w:val="bullet"/>
      <w:lvlText w:val="•"/>
      <w:lvlJc w:val="left"/>
      <w:pPr>
        <w:ind w:left="4830" w:hanging="529"/>
      </w:pPr>
      <w:rPr>
        <w:rFonts w:hint="default"/>
        <w:lang w:val="en-US" w:eastAsia="zh-CN" w:bidi="ar-SA"/>
      </w:rPr>
    </w:lvl>
    <w:lvl w:ilvl="8" w:tentative="0">
      <w:start w:val="0"/>
      <w:numFmt w:val="bullet"/>
      <w:lvlText w:val="•"/>
      <w:lvlJc w:val="left"/>
      <w:pPr>
        <w:ind w:left="5428" w:hanging="529"/>
      </w:pPr>
      <w:rPr>
        <w:rFonts w:hint="default"/>
        <w:lang w:val="en-US" w:eastAsia="zh-CN" w:bidi="ar-SA"/>
      </w:rPr>
    </w:lvl>
  </w:abstractNum>
  <w:abstractNum w:abstractNumId="83">
    <w:nsid w:val="1C257C7B"/>
    <w:multiLevelType w:val="multilevel"/>
    <w:tmpl w:val="1C257C7B"/>
    <w:lvl w:ilvl="0" w:tentative="0">
      <w:start w:val="1"/>
      <w:numFmt w:val="decimal"/>
      <w:lvlText w:val="（%1）"/>
      <w:lvlJc w:val="left"/>
      <w:pPr>
        <w:ind w:left="636"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238" w:hanging="529"/>
      </w:pPr>
      <w:rPr>
        <w:rFonts w:hint="default"/>
        <w:lang w:val="en-US" w:eastAsia="zh-CN" w:bidi="ar-SA"/>
      </w:rPr>
    </w:lvl>
    <w:lvl w:ilvl="2" w:tentative="0">
      <w:start w:val="0"/>
      <w:numFmt w:val="bullet"/>
      <w:lvlText w:val="•"/>
      <w:lvlJc w:val="left"/>
      <w:pPr>
        <w:ind w:left="1837" w:hanging="529"/>
      </w:pPr>
      <w:rPr>
        <w:rFonts w:hint="default"/>
        <w:lang w:val="en-US" w:eastAsia="zh-CN" w:bidi="ar-SA"/>
      </w:rPr>
    </w:lvl>
    <w:lvl w:ilvl="3" w:tentative="0">
      <w:start w:val="0"/>
      <w:numFmt w:val="bullet"/>
      <w:lvlText w:val="•"/>
      <w:lvlJc w:val="left"/>
      <w:pPr>
        <w:ind w:left="2435" w:hanging="529"/>
      </w:pPr>
      <w:rPr>
        <w:rFonts w:hint="default"/>
        <w:lang w:val="en-US" w:eastAsia="zh-CN" w:bidi="ar-SA"/>
      </w:rPr>
    </w:lvl>
    <w:lvl w:ilvl="4" w:tentative="0">
      <w:start w:val="0"/>
      <w:numFmt w:val="bullet"/>
      <w:lvlText w:val="•"/>
      <w:lvlJc w:val="left"/>
      <w:pPr>
        <w:ind w:left="3034" w:hanging="529"/>
      </w:pPr>
      <w:rPr>
        <w:rFonts w:hint="default"/>
        <w:lang w:val="en-US" w:eastAsia="zh-CN" w:bidi="ar-SA"/>
      </w:rPr>
    </w:lvl>
    <w:lvl w:ilvl="5" w:tentative="0">
      <w:start w:val="0"/>
      <w:numFmt w:val="bullet"/>
      <w:lvlText w:val="•"/>
      <w:lvlJc w:val="left"/>
      <w:pPr>
        <w:ind w:left="3633" w:hanging="529"/>
      </w:pPr>
      <w:rPr>
        <w:rFonts w:hint="default"/>
        <w:lang w:val="en-US" w:eastAsia="zh-CN" w:bidi="ar-SA"/>
      </w:rPr>
    </w:lvl>
    <w:lvl w:ilvl="6" w:tentative="0">
      <w:start w:val="0"/>
      <w:numFmt w:val="bullet"/>
      <w:lvlText w:val="•"/>
      <w:lvlJc w:val="left"/>
      <w:pPr>
        <w:ind w:left="4231" w:hanging="529"/>
      </w:pPr>
      <w:rPr>
        <w:rFonts w:hint="default"/>
        <w:lang w:val="en-US" w:eastAsia="zh-CN" w:bidi="ar-SA"/>
      </w:rPr>
    </w:lvl>
    <w:lvl w:ilvl="7" w:tentative="0">
      <w:start w:val="0"/>
      <w:numFmt w:val="bullet"/>
      <w:lvlText w:val="•"/>
      <w:lvlJc w:val="left"/>
      <w:pPr>
        <w:ind w:left="4830" w:hanging="529"/>
      </w:pPr>
      <w:rPr>
        <w:rFonts w:hint="default"/>
        <w:lang w:val="en-US" w:eastAsia="zh-CN" w:bidi="ar-SA"/>
      </w:rPr>
    </w:lvl>
    <w:lvl w:ilvl="8" w:tentative="0">
      <w:start w:val="0"/>
      <w:numFmt w:val="bullet"/>
      <w:lvlText w:val="•"/>
      <w:lvlJc w:val="left"/>
      <w:pPr>
        <w:ind w:left="5428" w:hanging="529"/>
      </w:pPr>
      <w:rPr>
        <w:rFonts w:hint="default"/>
        <w:lang w:val="en-US" w:eastAsia="zh-CN" w:bidi="ar-SA"/>
      </w:rPr>
    </w:lvl>
  </w:abstractNum>
  <w:abstractNum w:abstractNumId="84">
    <w:nsid w:val="2007DCFD"/>
    <w:multiLevelType w:val="multilevel"/>
    <w:tmpl w:val="2007DCFD"/>
    <w:lvl w:ilvl="0" w:tentative="0">
      <w:start w:val="0"/>
      <w:numFmt w:val="decimal"/>
      <w:lvlText w:val="%1"/>
      <w:lvlJc w:val="left"/>
      <w:pPr>
        <w:ind w:left="371" w:hanging="152"/>
        <w:jc w:val="left"/>
      </w:pPr>
      <w:rPr>
        <w:rFonts w:hint="default" w:ascii="Times New Roman" w:hAnsi="Times New Roman" w:eastAsia="Times New Roman" w:cs="Times New Roman"/>
        <w:b w:val="0"/>
        <w:bCs w:val="0"/>
        <w:i w:val="0"/>
        <w:iCs w:val="0"/>
        <w:w w:val="99"/>
        <w:sz w:val="20"/>
        <w:szCs w:val="20"/>
        <w:lang w:val="en-US" w:eastAsia="zh-CN" w:bidi="ar-SA"/>
      </w:rPr>
    </w:lvl>
    <w:lvl w:ilvl="1" w:tentative="0">
      <w:start w:val="0"/>
      <w:numFmt w:val="bullet"/>
      <w:lvlText w:val="•"/>
      <w:lvlJc w:val="left"/>
      <w:pPr>
        <w:ind w:left="1418" w:hanging="152"/>
      </w:pPr>
      <w:rPr>
        <w:rFonts w:hint="default"/>
        <w:lang w:val="en-US" w:eastAsia="zh-CN" w:bidi="ar-SA"/>
      </w:rPr>
    </w:lvl>
    <w:lvl w:ilvl="2" w:tentative="0">
      <w:start w:val="0"/>
      <w:numFmt w:val="bullet"/>
      <w:lvlText w:val="•"/>
      <w:lvlJc w:val="left"/>
      <w:pPr>
        <w:ind w:left="2457" w:hanging="152"/>
      </w:pPr>
      <w:rPr>
        <w:rFonts w:hint="default"/>
        <w:lang w:val="en-US" w:eastAsia="zh-CN" w:bidi="ar-SA"/>
      </w:rPr>
    </w:lvl>
    <w:lvl w:ilvl="3" w:tentative="0">
      <w:start w:val="0"/>
      <w:numFmt w:val="bullet"/>
      <w:lvlText w:val="•"/>
      <w:lvlJc w:val="left"/>
      <w:pPr>
        <w:ind w:left="3495" w:hanging="152"/>
      </w:pPr>
      <w:rPr>
        <w:rFonts w:hint="default"/>
        <w:lang w:val="en-US" w:eastAsia="zh-CN" w:bidi="ar-SA"/>
      </w:rPr>
    </w:lvl>
    <w:lvl w:ilvl="4" w:tentative="0">
      <w:start w:val="0"/>
      <w:numFmt w:val="bullet"/>
      <w:lvlText w:val="•"/>
      <w:lvlJc w:val="left"/>
      <w:pPr>
        <w:ind w:left="4534" w:hanging="152"/>
      </w:pPr>
      <w:rPr>
        <w:rFonts w:hint="default"/>
        <w:lang w:val="en-US" w:eastAsia="zh-CN" w:bidi="ar-SA"/>
      </w:rPr>
    </w:lvl>
    <w:lvl w:ilvl="5" w:tentative="0">
      <w:start w:val="0"/>
      <w:numFmt w:val="bullet"/>
      <w:lvlText w:val="•"/>
      <w:lvlJc w:val="left"/>
      <w:pPr>
        <w:ind w:left="5573" w:hanging="152"/>
      </w:pPr>
      <w:rPr>
        <w:rFonts w:hint="default"/>
        <w:lang w:val="en-US" w:eastAsia="zh-CN" w:bidi="ar-SA"/>
      </w:rPr>
    </w:lvl>
    <w:lvl w:ilvl="6" w:tentative="0">
      <w:start w:val="0"/>
      <w:numFmt w:val="bullet"/>
      <w:lvlText w:val="•"/>
      <w:lvlJc w:val="left"/>
      <w:pPr>
        <w:ind w:left="6611" w:hanging="152"/>
      </w:pPr>
      <w:rPr>
        <w:rFonts w:hint="default"/>
        <w:lang w:val="en-US" w:eastAsia="zh-CN" w:bidi="ar-SA"/>
      </w:rPr>
    </w:lvl>
    <w:lvl w:ilvl="7" w:tentative="0">
      <w:start w:val="0"/>
      <w:numFmt w:val="bullet"/>
      <w:lvlText w:val="•"/>
      <w:lvlJc w:val="left"/>
      <w:pPr>
        <w:ind w:left="7650" w:hanging="152"/>
      </w:pPr>
      <w:rPr>
        <w:rFonts w:hint="default"/>
        <w:lang w:val="en-US" w:eastAsia="zh-CN" w:bidi="ar-SA"/>
      </w:rPr>
    </w:lvl>
    <w:lvl w:ilvl="8" w:tentative="0">
      <w:start w:val="0"/>
      <w:numFmt w:val="bullet"/>
      <w:lvlText w:val="•"/>
      <w:lvlJc w:val="left"/>
      <w:pPr>
        <w:ind w:left="8689" w:hanging="152"/>
      </w:pPr>
      <w:rPr>
        <w:rFonts w:hint="default"/>
        <w:lang w:val="en-US" w:eastAsia="zh-CN" w:bidi="ar-SA"/>
      </w:rPr>
    </w:lvl>
  </w:abstractNum>
  <w:abstractNum w:abstractNumId="85">
    <w:nsid w:val="21B3B1B1"/>
    <w:multiLevelType w:val="multilevel"/>
    <w:tmpl w:val="21B3B1B1"/>
    <w:lvl w:ilvl="0" w:tentative="0">
      <w:start w:val="1"/>
      <w:numFmt w:val="decimal"/>
      <w:lvlText w:val="（%1）"/>
      <w:lvlJc w:val="left"/>
      <w:pPr>
        <w:ind w:left="63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239" w:hanging="529"/>
      </w:pPr>
      <w:rPr>
        <w:rFonts w:hint="default"/>
        <w:lang w:val="en-US" w:eastAsia="zh-CN" w:bidi="ar-SA"/>
      </w:rPr>
    </w:lvl>
    <w:lvl w:ilvl="2" w:tentative="0">
      <w:start w:val="0"/>
      <w:numFmt w:val="bullet"/>
      <w:lvlText w:val="•"/>
      <w:lvlJc w:val="left"/>
      <w:pPr>
        <w:ind w:left="1838" w:hanging="529"/>
      </w:pPr>
      <w:rPr>
        <w:rFonts w:hint="default"/>
        <w:lang w:val="en-US" w:eastAsia="zh-CN" w:bidi="ar-SA"/>
      </w:rPr>
    </w:lvl>
    <w:lvl w:ilvl="3" w:tentative="0">
      <w:start w:val="0"/>
      <w:numFmt w:val="bullet"/>
      <w:lvlText w:val="•"/>
      <w:lvlJc w:val="left"/>
      <w:pPr>
        <w:ind w:left="2437" w:hanging="529"/>
      </w:pPr>
      <w:rPr>
        <w:rFonts w:hint="default"/>
        <w:lang w:val="en-US" w:eastAsia="zh-CN" w:bidi="ar-SA"/>
      </w:rPr>
    </w:lvl>
    <w:lvl w:ilvl="4" w:tentative="0">
      <w:start w:val="0"/>
      <w:numFmt w:val="bullet"/>
      <w:lvlText w:val="•"/>
      <w:lvlJc w:val="left"/>
      <w:pPr>
        <w:ind w:left="3037" w:hanging="529"/>
      </w:pPr>
      <w:rPr>
        <w:rFonts w:hint="default"/>
        <w:lang w:val="en-US" w:eastAsia="zh-CN" w:bidi="ar-SA"/>
      </w:rPr>
    </w:lvl>
    <w:lvl w:ilvl="5" w:tentative="0">
      <w:start w:val="0"/>
      <w:numFmt w:val="bullet"/>
      <w:lvlText w:val="•"/>
      <w:lvlJc w:val="left"/>
      <w:pPr>
        <w:ind w:left="3636" w:hanging="529"/>
      </w:pPr>
      <w:rPr>
        <w:rFonts w:hint="default"/>
        <w:lang w:val="en-US" w:eastAsia="zh-CN" w:bidi="ar-SA"/>
      </w:rPr>
    </w:lvl>
    <w:lvl w:ilvl="6" w:tentative="0">
      <w:start w:val="0"/>
      <w:numFmt w:val="bullet"/>
      <w:lvlText w:val="•"/>
      <w:lvlJc w:val="left"/>
      <w:pPr>
        <w:ind w:left="4235" w:hanging="529"/>
      </w:pPr>
      <w:rPr>
        <w:rFonts w:hint="default"/>
        <w:lang w:val="en-US" w:eastAsia="zh-CN" w:bidi="ar-SA"/>
      </w:rPr>
    </w:lvl>
    <w:lvl w:ilvl="7" w:tentative="0">
      <w:start w:val="0"/>
      <w:numFmt w:val="bullet"/>
      <w:lvlText w:val="•"/>
      <w:lvlJc w:val="left"/>
      <w:pPr>
        <w:ind w:left="4835" w:hanging="529"/>
      </w:pPr>
      <w:rPr>
        <w:rFonts w:hint="default"/>
        <w:lang w:val="en-US" w:eastAsia="zh-CN" w:bidi="ar-SA"/>
      </w:rPr>
    </w:lvl>
    <w:lvl w:ilvl="8" w:tentative="0">
      <w:start w:val="0"/>
      <w:numFmt w:val="bullet"/>
      <w:lvlText w:val="•"/>
      <w:lvlJc w:val="left"/>
      <w:pPr>
        <w:ind w:left="5434" w:hanging="529"/>
      </w:pPr>
      <w:rPr>
        <w:rFonts w:hint="default"/>
        <w:lang w:val="en-US" w:eastAsia="zh-CN" w:bidi="ar-SA"/>
      </w:rPr>
    </w:lvl>
  </w:abstractNum>
  <w:abstractNum w:abstractNumId="86">
    <w:nsid w:val="227C9188"/>
    <w:multiLevelType w:val="multilevel"/>
    <w:tmpl w:val="227C9188"/>
    <w:lvl w:ilvl="0" w:tentative="0">
      <w:start w:val="1"/>
      <w:numFmt w:val="decimal"/>
      <w:lvlText w:val="（%1）"/>
      <w:lvlJc w:val="left"/>
      <w:pPr>
        <w:ind w:left="63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239" w:hanging="529"/>
      </w:pPr>
      <w:rPr>
        <w:rFonts w:hint="default"/>
        <w:lang w:val="en-US" w:eastAsia="zh-CN" w:bidi="ar-SA"/>
      </w:rPr>
    </w:lvl>
    <w:lvl w:ilvl="2" w:tentative="0">
      <w:start w:val="0"/>
      <w:numFmt w:val="bullet"/>
      <w:lvlText w:val="•"/>
      <w:lvlJc w:val="left"/>
      <w:pPr>
        <w:ind w:left="1838" w:hanging="529"/>
      </w:pPr>
      <w:rPr>
        <w:rFonts w:hint="default"/>
        <w:lang w:val="en-US" w:eastAsia="zh-CN" w:bidi="ar-SA"/>
      </w:rPr>
    </w:lvl>
    <w:lvl w:ilvl="3" w:tentative="0">
      <w:start w:val="0"/>
      <w:numFmt w:val="bullet"/>
      <w:lvlText w:val="•"/>
      <w:lvlJc w:val="left"/>
      <w:pPr>
        <w:ind w:left="2437" w:hanging="529"/>
      </w:pPr>
      <w:rPr>
        <w:rFonts w:hint="default"/>
        <w:lang w:val="en-US" w:eastAsia="zh-CN" w:bidi="ar-SA"/>
      </w:rPr>
    </w:lvl>
    <w:lvl w:ilvl="4" w:tentative="0">
      <w:start w:val="0"/>
      <w:numFmt w:val="bullet"/>
      <w:lvlText w:val="•"/>
      <w:lvlJc w:val="left"/>
      <w:pPr>
        <w:ind w:left="3037" w:hanging="529"/>
      </w:pPr>
      <w:rPr>
        <w:rFonts w:hint="default"/>
        <w:lang w:val="en-US" w:eastAsia="zh-CN" w:bidi="ar-SA"/>
      </w:rPr>
    </w:lvl>
    <w:lvl w:ilvl="5" w:tentative="0">
      <w:start w:val="0"/>
      <w:numFmt w:val="bullet"/>
      <w:lvlText w:val="•"/>
      <w:lvlJc w:val="left"/>
      <w:pPr>
        <w:ind w:left="3636" w:hanging="529"/>
      </w:pPr>
      <w:rPr>
        <w:rFonts w:hint="default"/>
        <w:lang w:val="en-US" w:eastAsia="zh-CN" w:bidi="ar-SA"/>
      </w:rPr>
    </w:lvl>
    <w:lvl w:ilvl="6" w:tentative="0">
      <w:start w:val="0"/>
      <w:numFmt w:val="bullet"/>
      <w:lvlText w:val="•"/>
      <w:lvlJc w:val="left"/>
      <w:pPr>
        <w:ind w:left="4235" w:hanging="529"/>
      </w:pPr>
      <w:rPr>
        <w:rFonts w:hint="default"/>
        <w:lang w:val="en-US" w:eastAsia="zh-CN" w:bidi="ar-SA"/>
      </w:rPr>
    </w:lvl>
    <w:lvl w:ilvl="7" w:tentative="0">
      <w:start w:val="0"/>
      <w:numFmt w:val="bullet"/>
      <w:lvlText w:val="•"/>
      <w:lvlJc w:val="left"/>
      <w:pPr>
        <w:ind w:left="4835" w:hanging="529"/>
      </w:pPr>
      <w:rPr>
        <w:rFonts w:hint="default"/>
        <w:lang w:val="en-US" w:eastAsia="zh-CN" w:bidi="ar-SA"/>
      </w:rPr>
    </w:lvl>
    <w:lvl w:ilvl="8" w:tentative="0">
      <w:start w:val="0"/>
      <w:numFmt w:val="bullet"/>
      <w:lvlText w:val="•"/>
      <w:lvlJc w:val="left"/>
      <w:pPr>
        <w:ind w:left="5434" w:hanging="529"/>
      </w:pPr>
      <w:rPr>
        <w:rFonts w:hint="default"/>
        <w:lang w:val="en-US" w:eastAsia="zh-CN" w:bidi="ar-SA"/>
      </w:rPr>
    </w:lvl>
  </w:abstractNum>
  <w:abstractNum w:abstractNumId="87">
    <w:nsid w:val="23E97754"/>
    <w:multiLevelType w:val="multilevel"/>
    <w:tmpl w:val="23E97754"/>
    <w:lvl w:ilvl="0" w:tentative="0">
      <w:start w:val="2"/>
      <w:numFmt w:val="decimal"/>
      <w:lvlText w:val="（%1）"/>
      <w:lvlJc w:val="left"/>
      <w:pPr>
        <w:ind w:left="636"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238" w:hanging="529"/>
      </w:pPr>
      <w:rPr>
        <w:rFonts w:hint="default"/>
        <w:lang w:val="en-US" w:eastAsia="zh-CN" w:bidi="ar-SA"/>
      </w:rPr>
    </w:lvl>
    <w:lvl w:ilvl="2" w:tentative="0">
      <w:start w:val="0"/>
      <w:numFmt w:val="bullet"/>
      <w:lvlText w:val="•"/>
      <w:lvlJc w:val="left"/>
      <w:pPr>
        <w:ind w:left="1837" w:hanging="529"/>
      </w:pPr>
      <w:rPr>
        <w:rFonts w:hint="default"/>
        <w:lang w:val="en-US" w:eastAsia="zh-CN" w:bidi="ar-SA"/>
      </w:rPr>
    </w:lvl>
    <w:lvl w:ilvl="3" w:tentative="0">
      <w:start w:val="0"/>
      <w:numFmt w:val="bullet"/>
      <w:lvlText w:val="•"/>
      <w:lvlJc w:val="left"/>
      <w:pPr>
        <w:ind w:left="2436" w:hanging="529"/>
      </w:pPr>
      <w:rPr>
        <w:rFonts w:hint="default"/>
        <w:lang w:val="en-US" w:eastAsia="zh-CN" w:bidi="ar-SA"/>
      </w:rPr>
    </w:lvl>
    <w:lvl w:ilvl="4" w:tentative="0">
      <w:start w:val="0"/>
      <w:numFmt w:val="bullet"/>
      <w:lvlText w:val="•"/>
      <w:lvlJc w:val="left"/>
      <w:pPr>
        <w:ind w:left="3035" w:hanging="529"/>
      </w:pPr>
      <w:rPr>
        <w:rFonts w:hint="default"/>
        <w:lang w:val="en-US" w:eastAsia="zh-CN" w:bidi="ar-SA"/>
      </w:rPr>
    </w:lvl>
    <w:lvl w:ilvl="5" w:tentative="0">
      <w:start w:val="0"/>
      <w:numFmt w:val="bullet"/>
      <w:lvlText w:val="•"/>
      <w:lvlJc w:val="left"/>
      <w:pPr>
        <w:ind w:left="3634" w:hanging="529"/>
      </w:pPr>
      <w:rPr>
        <w:rFonts w:hint="default"/>
        <w:lang w:val="en-US" w:eastAsia="zh-CN" w:bidi="ar-SA"/>
      </w:rPr>
    </w:lvl>
    <w:lvl w:ilvl="6" w:tentative="0">
      <w:start w:val="0"/>
      <w:numFmt w:val="bullet"/>
      <w:lvlText w:val="•"/>
      <w:lvlJc w:val="left"/>
      <w:pPr>
        <w:ind w:left="4232" w:hanging="529"/>
      </w:pPr>
      <w:rPr>
        <w:rFonts w:hint="default"/>
        <w:lang w:val="en-US" w:eastAsia="zh-CN" w:bidi="ar-SA"/>
      </w:rPr>
    </w:lvl>
    <w:lvl w:ilvl="7" w:tentative="0">
      <w:start w:val="0"/>
      <w:numFmt w:val="bullet"/>
      <w:lvlText w:val="•"/>
      <w:lvlJc w:val="left"/>
      <w:pPr>
        <w:ind w:left="4831" w:hanging="529"/>
      </w:pPr>
      <w:rPr>
        <w:rFonts w:hint="default"/>
        <w:lang w:val="en-US" w:eastAsia="zh-CN" w:bidi="ar-SA"/>
      </w:rPr>
    </w:lvl>
    <w:lvl w:ilvl="8" w:tentative="0">
      <w:start w:val="0"/>
      <w:numFmt w:val="bullet"/>
      <w:lvlText w:val="•"/>
      <w:lvlJc w:val="left"/>
      <w:pPr>
        <w:ind w:left="5430" w:hanging="529"/>
      </w:pPr>
      <w:rPr>
        <w:rFonts w:hint="default"/>
        <w:lang w:val="en-US" w:eastAsia="zh-CN" w:bidi="ar-SA"/>
      </w:rPr>
    </w:lvl>
  </w:abstractNum>
  <w:abstractNum w:abstractNumId="88">
    <w:nsid w:val="243FCF68"/>
    <w:multiLevelType w:val="multilevel"/>
    <w:tmpl w:val="243FCF68"/>
    <w:lvl w:ilvl="0" w:tentative="0">
      <w:start w:val="1"/>
      <w:numFmt w:val="decimal"/>
      <w:lvlText w:val="（%1）"/>
      <w:lvlJc w:val="left"/>
      <w:pPr>
        <w:ind w:left="636" w:hanging="529"/>
        <w:jc w:val="left"/>
      </w:pPr>
      <w:rPr>
        <w:rFonts w:hint="default" w:ascii="黑体" w:hAnsi="黑体" w:eastAsia="黑体" w:cs="黑体"/>
        <w:b w:val="0"/>
        <w:bCs w:val="0"/>
        <w:i w:val="0"/>
        <w:iCs w:val="0"/>
        <w:spacing w:val="-3"/>
        <w:w w:val="100"/>
        <w:sz w:val="19"/>
        <w:szCs w:val="19"/>
        <w:shd w:val="clear" w:color="auto" w:fill="D9D9D9"/>
        <w:lang w:val="en-US" w:eastAsia="zh-CN" w:bidi="ar-SA"/>
      </w:rPr>
    </w:lvl>
    <w:lvl w:ilvl="1" w:tentative="0">
      <w:start w:val="0"/>
      <w:numFmt w:val="bullet"/>
      <w:lvlText w:val="•"/>
      <w:lvlJc w:val="left"/>
      <w:pPr>
        <w:ind w:left="1238" w:hanging="529"/>
      </w:pPr>
      <w:rPr>
        <w:rFonts w:hint="default"/>
        <w:lang w:val="en-US" w:eastAsia="zh-CN" w:bidi="ar-SA"/>
      </w:rPr>
    </w:lvl>
    <w:lvl w:ilvl="2" w:tentative="0">
      <w:start w:val="0"/>
      <w:numFmt w:val="bullet"/>
      <w:lvlText w:val="•"/>
      <w:lvlJc w:val="left"/>
      <w:pPr>
        <w:ind w:left="1837" w:hanging="529"/>
      </w:pPr>
      <w:rPr>
        <w:rFonts w:hint="default"/>
        <w:lang w:val="en-US" w:eastAsia="zh-CN" w:bidi="ar-SA"/>
      </w:rPr>
    </w:lvl>
    <w:lvl w:ilvl="3" w:tentative="0">
      <w:start w:val="0"/>
      <w:numFmt w:val="bullet"/>
      <w:lvlText w:val="•"/>
      <w:lvlJc w:val="left"/>
      <w:pPr>
        <w:ind w:left="2435" w:hanging="529"/>
      </w:pPr>
      <w:rPr>
        <w:rFonts w:hint="default"/>
        <w:lang w:val="en-US" w:eastAsia="zh-CN" w:bidi="ar-SA"/>
      </w:rPr>
    </w:lvl>
    <w:lvl w:ilvl="4" w:tentative="0">
      <w:start w:val="0"/>
      <w:numFmt w:val="bullet"/>
      <w:lvlText w:val="•"/>
      <w:lvlJc w:val="left"/>
      <w:pPr>
        <w:ind w:left="3034" w:hanging="529"/>
      </w:pPr>
      <w:rPr>
        <w:rFonts w:hint="default"/>
        <w:lang w:val="en-US" w:eastAsia="zh-CN" w:bidi="ar-SA"/>
      </w:rPr>
    </w:lvl>
    <w:lvl w:ilvl="5" w:tentative="0">
      <w:start w:val="0"/>
      <w:numFmt w:val="bullet"/>
      <w:lvlText w:val="•"/>
      <w:lvlJc w:val="left"/>
      <w:pPr>
        <w:ind w:left="3633" w:hanging="529"/>
      </w:pPr>
      <w:rPr>
        <w:rFonts w:hint="default"/>
        <w:lang w:val="en-US" w:eastAsia="zh-CN" w:bidi="ar-SA"/>
      </w:rPr>
    </w:lvl>
    <w:lvl w:ilvl="6" w:tentative="0">
      <w:start w:val="0"/>
      <w:numFmt w:val="bullet"/>
      <w:lvlText w:val="•"/>
      <w:lvlJc w:val="left"/>
      <w:pPr>
        <w:ind w:left="4231" w:hanging="529"/>
      </w:pPr>
      <w:rPr>
        <w:rFonts w:hint="default"/>
        <w:lang w:val="en-US" w:eastAsia="zh-CN" w:bidi="ar-SA"/>
      </w:rPr>
    </w:lvl>
    <w:lvl w:ilvl="7" w:tentative="0">
      <w:start w:val="0"/>
      <w:numFmt w:val="bullet"/>
      <w:lvlText w:val="•"/>
      <w:lvlJc w:val="left"/>
      <w:pPr>
        <w:ind w:left="4830" w:hanging="529"/>
      </w:pPr>
      <w:rPr>
        <w:rFonts w:hint="default"/>
        <w:lang w:val="en-US" w:eastAsia="zh-CN" w:bidi="ar-SA"/>
      </w:rPr>
    </w:lvl>
    <w:lvl w:ilvl="8" w:tentative="0">
      <w:start w:val="0"/>
      <w:numFmt w:val="bullet"/>
      <w:lvlText w:val="•"/>
      <w:lvlJc w:val="left"/>
      <w:pPr>
        <w:ind w:left="5428" w:hanging="529"/>
      </w:pPr>
      <w:rPr>
        <w:rFonts w:hint="default"/>
        <w:lang w:val="en-US" w:eastAsia="zh-CN" w:bidi="ar-SA"/>
      </w:rPr>
    </w:lvl>
  </w:abstractNum>
  <w:abstractNum w:abstractNumId="89">
    <w:nsid w:val="2470EC97"/>
    <w:multiLevelType w:val="multilevel"/>
    <w:tmpl w:val="2470EC97"/>
    <w:lvl w:ilvl="0" w:tentative="0">
      <w:start w:val="3"/>
      <w:numFmt w:val="decimal"/>
      <w:lvlText w:val="%1"/>
      <w:lvlJc w:val="left"/>
      <w:pPr>
        <w:ind w:left="3038" w:hanging="959"/>
        <w:jc w:val="left"/>
      </w:pPr>
      <w:rPr>
        <w:rFonts w:hint="default"/>
        <w:lang w:val="en-US" w:eastAsia="zh-CN" w:bidi="ar-SA"/>
      </w:rPr>
    </w:lvl>
    <w:lvl w:ilvl="1" w:tentative="0">
      <w:start w:val="4"/>
      <w:numFmt w:val="decimal"/>
      <w:lvlText w:val="%1.%2"/>
      <w:lvlJc w:val="left"/>
      <w:pPr>
        <w:ind w:left="3038" w:hanging="959"/>
        <w:jc w:val="left"/>
      </w:pPr>
      <w:rPr>
        <w:rFonts w:hint="default" w:ascii="宋体" w:hAnsi="宋体" w:eastAsia="宋体" w:cs="宋体"/>
        <w:b/>
        <w:bCs/>
        <w:i w:val="0"/>
        <w:iCs w:val="0"/>
        <w:w w:val="99"/>
        <w:sz w:val="21"/>
        <w:szCs w:val="21"/>
        <w:lang w:val="en-US" w:eastAsia="zh-CN" w:bidi="ar-SA"/>
      </w:rPr>
    </w:lvl>
    <w:lvl w:ilvl="2" w:tentative="0">
      <w:start w:val="0"/>
      <w:numFmt w:val="bullet"/>
      <w:lvlText w:val="•"/>
      <w:lvlJc w:val="left"/>
      <w:pPr>
        <w:ind w:left="4585" w:hanging="959"/>
      </w:pPr>
      <w:rPr>
        <w:rFonts w:hint="default"/>
        <w:lang w:val="en-US" w:eastAsia="zh-CN" w:bidi="ar-SA"/>
      </w:rPr>
    </w:lvl>
    <w:lvl w:ilvl="3" w:tentative="0">
      <w:start w:val="0"/>
      <w:numFmt w:val="bullet"/>
      <w:lvlText w:val="•"/>
      <w:lvlJc w:val="left"/>
      <w:pPr>
        <w:ind w:left="5357" w:hanging="959"/>
      </w:pPr>
      <w:rPr>
        <w:rFonts w:hint="default"/>
        <w:lang w:val="en-US" w:eastAsia="zh-CN" w:bidi="ar-SA"/>
      </w:rPr>
    </w:lvl>
    <w:lvl w:ilvl="4" w:tentative="0">
      <w:start w:val="0"/>
      <w:numFmt w:val="bullet"/>
      <w:lvlText w:val="•"/>
      <w:lvlJc w:val="left"/>
      <w:pPr>
        <w:ind w:left="6130" w:hanging="959"/>
      </w:pPr>
      <w:rPr>
        <w:rFonts w:hint="default"/>
        <w:lang w:val="en-US" w:eastAsia="zh-CN" w:bidi="ar-SA"/>
      </w:rPr>
    </w:lvl>
    <w:lvl w:ilvl="5" w:tentative="0">
      <w:start w:val="0"/>
      <w:numFmt w:val="bullet"/>
      <w:lvlText w:val="•"/>
      <w:lvlJc w:val="left"/>
      <w:pPr>
        <w:ind w:left="6903" w:hanging="959"/>
      </w:pPr>
      <w:rPr>
        <w:rFonts w:hint="default"/>
        <w:lang w:val="en-US" w:eastAsia="zh-CN" w:bidi="ar-SA"/>
      </w:rPr>
    </w:lvl>
    <w:lvl w:ilvl="6" w:tentative="0">
      <w:start w:val="0"/>
      <w:numFmt w:val="bullet"/>
      <w:lvlText w:val="•"/>
      <w:lvlJc w:val="left"/>
      <w:pPr>
        <w:ind w:left="7675" w:hanging="959"/>
      </w:pPr>
      <w:rPr>
        <w:rFonts w:hint="default"/>
        <w:lang w:val="en-US" w:eastAsia="zh-CN" w:bidi="ar-SA"/>
      </w:rPr>
    </w:lvl>
    <w:lvl w:ilvl="7" w:tentative="0">
      <w:start w:val="0"/>
      <w:numFmt w:val="bullet"/>
      <w:lvlText w:val="•"/>
      <w:lvlJc w:val="left"/>
      <w:pPr>
        <w:ind w:left="8448" w:hanging="959"/>
      </w:pPr>
      <w:rPr>
        <w:rFonts w:hint="default"/>
        <w:lang w:val="en-US" w:eastAsia="zh-CN" w:bidi="ar-SA"/>
      </w:rPr>
    </w:lvl>
    <w:lvl w:ilvl="8" w:tentative="0">
      <w:start w:val="0"/>
      <w:numFmt w:val="bullet"/>
      <w:lvlText w:val="•"/>
      <w:lvlJc w:val="left"/>
      <w:pPr>
        <w:ind w:left="9221" w:hanging="959"/>
      </w:pPr>
      <w:rPr>
        <w:rFonts w:hint="default"/>
        <w:lang w:val="en-US" w:eastAsia="zh-CN" w:bidi="ar-SA"/>
      </w:rPr>
    </w:lvl>
  </w:abstractNum>
  <w:abstractNum w:abstractNumId="90">
    <w:nsid w:val="251342A6"/>
    <w:multiLevelType w:val="multilevel"/>
    <w:tmpl w:val="251342A6"/>
    <w:lvl w:ilvl="0" w:tentative="0">
      <w:start w:val="1"/>
      <w:numFmt w:val="decimal"/>
      <w:lvlText w:val="（%1）"/>
      <w:lvlJc w:val="left"/>
      <w:pPr>
        <w:ind w:left="637" w:hanging="529"/>
        <w:jc w:val="left"/>
      </w:pPr>
      <w:rPr>
        <w:rFonts w:hint="default" w:ascii="宋体" w:hAnsi="宋体" w:eastAsia="宋体" w:cs="宋体"/>
        <w:b w:val="0"/>
        <w:bCs w:val="0"/>
        <w:i w:val="0"/>
        <w:iCs w:val="0"/>
        <w:spacing w:val="-25"/>
        <w:w w:val="100"/>
        <w:sz w:val="19"/>
        <w:szCs w:val="19"/>
        <w:lang w:val="en-US" w:eastAsia="zh-CN" w:bidi="ar-SA"/>
      </w:rPr>
    </w:lvl>
    <w:lvl w:ilvl="1" w:tentative="0">
      <w:start w:val="0"/>
      <w:numFmt w:val="bullet"/>
      <w:lvlText w:val="•"/>
      <w:lvlJc w:val="left"/>
      <w:pPr>
        <w:ind w:left="1239" w:hanging="529"/>
      </w:pPr>
      <w:rPr>
        <w:rFonts w:hint="default"/>
        <w:lang w:val="en-US" w:eastAsia="zh-CN" w:bidi="ar-SA"/>
      </w:rPr>
    </w:lvl>
    <w:lvl w:ilvl="2" w:tentative="0">
      <w:start w:val="0"/>
      <w:numFmt w:val="bullet"/>
      <w:lvlText w:val="•"/>
      <w:lvlJc w:val="left"/>
      <w:pPr>
        <w:ind w:left="1838" w:hanging="529"/>
      </w:pPr>
      <w:rPr>
        <w:rFonts w:hint="default"/>
        <w:lang w:val="en-US" w:eastAsia="zh-CN" w:bidi="ar-SA"/>
      </w:rPr>
    </w:lvl>
    <w:lvl w:ilvl="3" w:tentative="0">
      <w:start w:val="0"/>
      <w:numFmt w:val="bullet"/>
      <w:lvlText w:val="•"/>
      <w:lvlJc w:val="left"/>
      <w:pPr>
        <w:ind w:left="2437" w:hanging="529"/>
      </w:pPr>
      <w:rPr>
        <w:rFonts w:hint="default"/>
        <w:lang w:val="en-US" w:eastAsia="zh-CN" w:bidi="ar-SA"/>
      </w:rPr>
    </w:lvl>
    <w:lvl w:ilvl="4" w:tentative="0">
      <w:start w:val="0"/>
      <w:numFmt w:val="bullet"/>
      <w:lvlText w:val="•"/>
      <w:lvlJc w:val="left"/>
      <w:pPr>
        <w:ind w:left="3037" w:hanging="529"/>
      </w:pPr>
      <w:rPr>
        <w:rFonts w:hint="default"/>
        <w:lang w:val="en-US" w:eastAsia="zh-CN" w:bidi="ar-SA"/>
      </w:rPr>
    </w:lvl>
    <w:lvl w:ilvl="5" w:tentative="0">
      <w:start w:val="0"/>
      <w:numFmt w:val="bullet"/>
      <w:lvlText w:val="•"/>
      <w:lvlJc w:val="left"/>
      <w:pPr>
        <w:ind w:left="3636" w:hanging="529"/>
      </w:pPr>
      <w:rPr>
        <w:rFonts w:hint="default"/>
        <w:lang w:val="en-US" w:eastAsia="zh-CN" w:bidi="ar-SA"/>
      </w:rPr>
    </w:lvl>
    <w:lvl w:ilvl="6" w:tentative="0">
      <w:start w:val="0"/>
      <w:numFmt w:val="bullet"/>
      <w:lvlText w:val="•"/>
      <w:lvlJc w:val="left"/>
      <w:pPr>
        <w:ind w:left="4235" w:hanging="529"/>
      </w:pPr>
      <w:rPr>
        <w:rFonts w:hint="default"/>
        <w:lang w:val="en-US" w:eastAsia="zh-CN" w:bidi="ar-SA"/>
      </w:rPr>
    </w:lvl>
    <w:lvl w:ilvl="7" w:tentative="0">
      <w:start w:val="0"/>
      <w:numFmt w:val="bullet"/>
      <w:lvlText w:val="•"/>
      <w:lvlJc w:val="left"/>
      <w:pPr>
        <w:ind w:left="4835" w:hanging="529"/>
      </w:pPr>
      <w:rPr>
        <w:rFonts w:hint="default"/>
        <w:lang w:val="en-US" w:eastAsia="zh-CN" w:bidi="ar-SA"/>
      </w:rPr>
    </w:lvl>
    <w:lvl w:ilvl="8" w:tentative="0">
      <w:start w:val="0"/>
      <w:numFmt w:val="bullet"/>
      <w:lvlText w:val="•"/>
      <w:lvlJc w:val="left"/>
      <w:pPr>
        <w:ind w:left="5434" w:hanging="529"/>
      </w:pPr>
      <w:rPr>
        <w:rFonts w:hint="default"/>
        <w:lang w:val="en-US" w:eastAsia="zh-CN" w:bidi="ar-SA"/>
      </w:rPr>
    </w:lvl>
  </w:abstractNum>
  <w:abstractNum w:abstractNumId="91">
    <w:nsid w:val="25B654F3"/>
    <w:multiLevelType w:val="multilevel"/>
    <w:tmpl w:val="25B654F3"/>
    <w:lvl w:ilvl="0" w:tentative="0">
      <w:start w:val="6"/>
      <w:numFmt w:val="decimal"/>
      <w:lvlText w:val="%1"/>
      <w:lvlJc w:val="left"/>
      <w:pPr>
        <w:ind w:left="776" w:hanging="423"/>
        <w:jc w:val="left"/>
      </w:pPr>
      <w:rPr>
        <w:rFonts w:hint="default"/>
        <w:lang w:val="en-US" w:eastAsia="zh-CN" w:bidi="ar-SA"/>
      </w:rPr>
    </w:lvl>
    <w:lvl w:ilvl="1" w:tentative="0">
      <w:start w:val="1"/>
      <w:numFmt w:val="decimal"/>
      <w:lvlText w:val="%1.%2"/>
      <w:lvlJc w:val="left"/>
      <w:pPr>
        <w:ind w:left="776" w:hanging="423"/>
        <w:jc w:val="left"/>
      </w:pPr>
      <w:rPr>
        <w:rFonts w:hint="default" w:ascii="宋体" w:hAnsi="宋体" w:eastAsia="宋体" w:cs="宋体"/>
        <w:b w:val="0"/>
        <w:bCs w:val="0"/>
        <w:i w:val="0"/>
        <w:iCs w:val="0"/>
        <w:w w:val="100"/>
        <w:sz w:val="21"/>
        <w:szCs w:val="21"/>
        <w:lang w:val="en-US" w:eastAsia="zh-CN" w:bidi="ar-SA"/>
      </w:rPr>
    </w:lvl>
    <w:lvl w:ilvl="2" w:tentative="0">
      <w:start w:val="0"/>
      <w:numFmt w:val="bullet"/>
      <w:lvlText w:val="•"/>
      <w:lvlJc w:val="left"/>
      <w:pPr>
        <w:ind w:left="1283" w:hanging="423"/>
      </w:pPr>
      <w:rPr>
        <w:rFonts w:hint="default"/>
        <w:lang w:val="en-US" w:eastAsia="zh-CN" w:bidi="ar-SA"/>
      </w:rPr>
    </w:lvl>
    <w:lvl w:ilvl="3" w:tentative="0">
      <w:start w:val="0"/>
      <w:numFmt w:val="bullet"/>
      <w:lvlText w:val="•"/>
      <w:lvlJc w:val="left"/>
      <w:pPr>
        <w:ind w:left="1535" w:hanging="423"/>
      </w:pPr>
      <w:rPr>
        <w:rFonts w:hint="default"/>
        <w:lang w:val="en-US" w:eastAsia="zh-CN" w:bidi="ar-SA"/>
      </w:rPr>
    </w:lvl>
    <w:lvl w:ilvl="4" w:tentative="0">
      <w:start w:val="0"/>
      <w:numFmt w:val="bullet"/>
      <w:lvlText w:val="•"/>
      <w:lvlJc w:val="left"/>
      <w:pPr>
        <w:ind w:left="1787" w:hanging="423"/>
      </w:pPr>
      <w:rPr>
        <w:rFonts w:hint="default"/>
        <w:lang w:val="en-US" w:eastAsia="zh-CN" w:bidi="ar-SA"/>
      </w:rPr>
    </w:lvl>
    <w:lvl w:ilvl="5" w:tentative="0">
      <w:start w:val="0"/>
      <w:numFmt w:val="bullet"/>
      <w:lvlText w:val="•"/>
      <w:lvlJc w:val="left"/>
      <w:pPr>
        <w:ind w:left="2039" w:hanging="423"/>
      </w:pPr>
      <w:rPr>
        <w:rFonts w:hint="default"/>
        <w:lang w:val="en-US" w:eastAsia="zh-CN" w:bidi="ar-SA"/>
      </w:rPr>
    </w:lvl>
    <w:lvl w:ilvl="6" w:tentative="0">
      <w:start w:val="0"/>
      <w:numFmt w:val="bullet"/>
      <w:lvlText w:val="•"/>
      <w:lvlJc w:val="left"/>
      <w:pPr>
        <w:ind w:left="2291" w:hanging="423"/>
      </w:pPr>
      <w:rPr>
        <w:rFonts w:hint="default"/>
        <w:lang w:val="en-US" w:eastAsia="zh-CN" w:bidi="ar-SA"/>
      </w:rPr>
    </w:lvl>
    <w:lvl w:ilvl="7" w:tentative="0">
      <w:start w:val="0"/>
      <w:numFmt w:val="bullet"/>
      <w:lvlText w:val="•"/>
      <w:lvlJc w:val="left"/>
      <w:pPr>
        <w:ind w:left="2543" w:hanging="423"/>
      </w:pPr>
      <w:rPr>
        <w:rFonts w:hint="default"/>
        <w:lang w:val="en-US" w:eastAsia="zh-CN" w:bidi="ar-SA"/>
      </w:rPr>
    </w:lvl>
    <w:lvl w:ilvl="8" w:tentative="0">
      <w:start w:val="0"/>
      <w:numFmt w:val="bullet"/>
      <w:lvlText w:val="•"/>
      <w:lvlJc w:val="left"/>
      <w:pPr>
        <w:ind w:left="2795" w:hanging="423"/>
      </w:pPr>
      <w:rPr>
        <w:rFonts w:hint="default"/>
        <w:lang w:val="en-US" w:eastAsia="zh-CN" w:bidi="ar-SA"/>
      </w:rPr>
    </w:lvl>
  </w:abstractNum>
  <w:abstractNum w:abstractNumId="92">
    <w:nsid w:val="2A8F537B"/>
    <w:multiLevelType w:val="multilevel"/>
    <w:tmpl w:val="2A8F537B"/>
    <w:lvl w:ilvl="0" w:tentative="0">
      <w:start w:val="1"/>
      <w:numFmt w:val="decimal"/>
      <w:lvlText w:val="%1"/>
      <w:lvlJc w:val="left"/>
      <w:pPr>
        <w:ind w:left="3038" w:hanging="959"/>
        <w:jc w:val="left"/>
      </w:pPr>
      <w:rPr>
        <w:rFonts w:hint="default"/>
        <w:lang w:val="en-US" w:eastAsia="zh-CN" w:bidi="ar-SA"/>
      </w:rPr>
    </w:lvl>
    <w:lvl w:ilvl="1" w:tentative="0">
      <w:start w:val="1"/>
      <w:numFmt w:val="decimal"/>
      <w:lvlText w:val="%1.%2"/>
      <w:lvlJc w:val="left"/>
      <w:pPr>
        <w:ind w:left="3038" w:hanging="959"/>
        <w:jc w:val="left"/>
      </w:pPr>
      <w:rPr>
        <w:rFonts w:hint="default" w:ascii="宋体" w:hAnsi="宋体" w:eastAsia="宋体" w:cs="宋体"/>
        <w:b/>
        <w:bCs/>
        <w:i w:val="0"/>
        <w:iCs w:val="0"/>
        <w:w w:val="99"/>
        <w:sz w:val="21"/>
        <w:szCs w:val="21"/>
        <w:lang w:val="en-US" w:eastAsia="zh-CN" w:bidi="ar-SA"/>
      </w:rPr>
    </w:lvl>
    <w:lvl w:ilvl="2" w:tentative="0">
      <w:start w:val="0"/>
      <w:numFmt w:val="bullet"/>
      <w:lvlText w:val="•"/>
      <w:lvlJc w:val="left"/>
      <w:pPr>
        <w:ind w:left="4585" w:hanging="959"/>
      </w:pPr>
      <w:rPr>
        <w:rFonts w:hint="default"/>
        <w:lang w:val="en-US" w:eastAsia="zh-CN" w:bidi="ar-SA"/>
      </w:rPr>
    </w:lvl>
    <w:lvl w:ilvl="3" w:tentative="0">
      <w:start w:val="0"/>
      <w:numFmt w:val="bullet"/>
      <w:lvlText w:val="•"/>
      <w:lvlJc w:val="left"/>
      <w:pPr>
        <w:ind w:left="5357" w:hanging="959"/>
      </w:pPr>
      <w:rPr>
        <w:rFonts w:hint="default"/>
        <w:lang w:val="en-US" w:eastAsia="zh-CN" w:bidi="ar-SA"/>
      </w:rPr>
    </w:lvl>
    <w:lvl w:ilvl="4" w:tentative="0">
      <w:start w:val="0"/>
      <w:numFmt w:val="bullet"/>
      <w:lvlText w:val="•"/>
      <w:lvlJc w:val="left"/>
      <w:pPr>
        <w:ind w:left="6130" w:hanging="959"/>
      </w:pPr>
      <w:rPr>
        <w:rFonts w:hint="default"/>
        <w:lang w:val="en-US" w:eastAsia="zh-CN" w:bidi="ar-SA"/>
      </w:rPr>
    </w:lvl>
    <w:lvl w:ilvl="5" w:tentative="0">
      <w:start w:val="0"/>
      <w:numFmt w:val="bullet"/>
      <w:lvlText w:val="•"/>
      <w:lvlJc w:val="left"/>
      <w:pPr>
        <w:ind w:left="6903" w:hanging="959"/>
      </w:pPr>
      <w:rPr>
        <w:rFonts w:hint="default"/>
        <w:lang w:val="en-US" w:eastAsia="zh-CN" w:bidi="ar-SA"/>
      </w:rPr>
    </w:lvl>
    <w:lvl w:ilvl="6" w:tentative="0">
      <w:start w:val="0"/>
      <w:numFmt w:val="bullet"/>
      <w:lvlText w:val="•"/>
      <w:lvlJc w:val="left"/>
      <w:pPr>
        <w:ind w:left="7675" w:hanging="959"/>
      </w:pPr>
      <w:rPr>
        <w:rFonts w:hint="default"/>
        <w:lang w:val="en-US" w:eastAsia="zh-CN" w:bidi="ar-SA"/>
      </w:rPr>
    </w:lvl>
    <w:lvl w:ilvl="7" w:tentative="0">
      <w:start w:val="0"/>
      <w:numFmt w:val="bullet"/>
      <w:lvlText w:val="•"/>
      <w:lvlJc w:val="left"/>
      <w:pPr>
        <w:ind w:left="8448" w:hanging="959"/>
      </w:pPr>
      <w:rPr>
        <w:rFonts w:hint="default"/>
        <w:lang w:val="en-US" w:eastAsia="zh-CN" w:bidi="ar-SA"/>
      </w:rPr>
    </w:lvl>
    <w:lvl w:ilvl="8" w:tentative="0">
      <w:start w:val="0"/>
      <w:numFmt w:val="bullet"/>
      <w:lvlText w:val="•"/>
      <w:lvlJc w:val="left"/>
      <w:pPr>
        <w:ind w:left="9221" w:hanging="959"/>
      </w:pPr>
      <w:rPr>
        <w:rFonts w:hint="default"/>
        <w:lang w:val="en-US" w:eastAsia="zh-CN" w:bidi="ar-SA"/>
      </w:rPr>
    </w:lvl>
  </w:abstractNum>
  <w:abstractNum w:abstractNumId="93">
    <w:nsid w:val="2B3F3F89"/>
    <w:multiLevelType w:val="multilevel"/>
    <w:tmpl w:val="2B3F3F89"/>
    <w:lvl w:ilvl="0" w:tentative="0">
      <w:start w:val="1"/>
      <w:numFmt w:val="decimal"/>
      <w:lvlText w:val="（%1）"/>
      <w:lvlJc w:val="left"/>
      <w:pPr>
        <w:ind w:left="108" w:hanging="531"/>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753" w:hanging="531"/>
      </w:pPr>
      <w:rPr>
        <w:rFonts w:hint="default"/>
        <w:lang w:val="en-US" w:eastAsia="zh-CN" w:bidi="ar-SA"/>
      </w:rPr>
    </w:lvl>
    <w:lvl w:ilvl="2" w:tentative="0">
      <w:start w:val="0"/>
      <w:numFmt w:val="bullet"/>
      <w:lvlText w:val="•"/>
      <w:lvlJc w:val="left"/>
      <w:pPr>
        <w:ind w:left="1406" w:hanging="531"/>
      </w:pPr>
      <w:rPr>
        <w:rFonts w:hint="default"/>
        <w:lang w:val="en-US" w:eastAsia="zh-CN" w:bidi="ar-SA"/>
      </w:rPr>
    </w:lvl>
    <w:lvl w:ilvl="3" w:tentative="0">
      <w:start w:val="0"/>
      <w:numFmt w:val="bullet"/>
      <w:lvlText w:val="•"/>
      <w:lvlJc w:val="left"/>
      <w:pPr>
        <w:ind w:left="2059" w:hanging="531"/>
      </w:pPr>
      <w:rPr>
        <w:rFonts w:hint="default"/>
        <w:lang w:val="en-US" w:eastAsia="zh-CN" w:bidi="ar-SA"/>
      </w:rPr>
    </w:lvl>
    <w:lvl w:ilvl="4" w:tentative="0">
      <w:start w:val="0"/>
      <w:numFmt w:val="bullet"/>
      <w:lvlText w:val="•"/>
      <w:lvlJc w:val="left"/>
      <w:pPr>
        <w:ind w:left="2713" w:hanging="531"/>
      </w:pPr>
      <w:rPr>
        <w:rFonts w:hint="default"/>
        <w:lang w:val="en-US" w:eastAsia="zh-CN" w:bidi="ar-SA"/>
      </w:rPr>
    </w:lvl>
    <w:lvl w:ilvl="5" w:tentative="0">
      <w:start w:val="0"/>
      <w:numFmt w:val="bullet"/>
      <w:lvlText w:val="•"/>
      <w:lvlJc w:val="left"/>
      <w:pPr>
        <w:ind w:left="3366" w:hanging="531"/>
      </w:pPr>
      <w:rPr>
        <w:rFonts w:hint="default"/>
        <w:lang w:val="en-US" w:eastAsia="zh-CN" w:bidi="ar-SA"/>
      </w:rPr>
    </w:lvl>
    <w:lvl w:ilvl="6" w:tentative="0">
      <w:start w:val="0"/>
      <w:numFmt w:val="bullet"/>
      <w:lvlText w:val="•"/>
      <w:lvlJc w:val="left"/>
      <w:pPr>
        <w:ind w:left="4019" w:hanging="531"/>
      </w:pPr>
      <w:rPr>
        <w:rFonts w:hint="default"/>
        <w:lang w:val="en-US" w:eastAsia="zh-CN" w:bidi="ar-SA"/>
      </w:rPr>
    </w:lvl>
    <w:lvl w:ilvl="7" w:tentative="0">
      <w:start w:val="0"/>
      <w:numFmt w:val="bullet"/>
      <w:lvlText w:val="•"/>
      <w:lvlJc w:val="left"/>
      <w:pPr>
        <w:ind w:left="4673" w:hanging="531"/>
      </w:pPr>
      <w:rPr>
        <w:rFonts w:hint="default"/>
        <w:lang w:val="en-US" w:eastAsia="zh-CN" w:bidi="ar-SA"/>
      </w:rPr>
    </w:lvl>
    <w:lvl w:ilvl="8" w:tentative="0">
      <w:start w:val="0"/>
      <w:numFmt w:val="bullet"/>
      <w:lvlText w:val="•"/>
      <w:lvlJc w:val="left"/>
      <w:pPr>
        <w:ind w:left="5326" w:hanging="531"/>
      </w:pPr>
      <w:rPr>
        <w:rFonts w:hint="default"/>
        <w:lang w:val="en-US" w:eastAsia="zh-CN" w:bidi="ar-SA"/>
      </w:rPr>
    </w:lvl>
  </w:abstractNum>
  <w:abstractNum w:abstractNumId="94">
    <w:nsid w:val="2F2D79CE"/>
    <w:multiLevelType w:val="multilevel"/>
    <w:tmpl w:val="2F2D79CE"/>
    <w:lvl w:ilvl="0" w:tentative="0">
      <w:start w:val="1"/>
      <w:numFmt w:val="decimal"/>
      <w:lvlText w:val="（%1）"/>
      <w:lvlJc w:val="left"/>
      <w:pPr>
        <w:ind w:left="636"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238" w:hanging="529"/>
      </w:pPr>
      <w:rPr>
        <w:rFonts w:hint="default"/>
        <w:lang w:val="en-US" w:eastAsia="zh-CN" w:bidi="ar-SA"/>
      </w:rPr>
    </w:lvl>
    <w:lvl w:ilvl="2" w:tentative="0">
      <w:start w:val="0"/>
      <w:numFmt w:val="bullet"/>
      <w:lvlText w:val="•"/>
      <w:lvlJc w:val="left"/>
      <w:pPr>
        <w:ind w:left="1837" w:hanging="529"/>
      </w:pPr>
      <w:rPr>
        <w:rFonts w:hint="default"/>
        <w:lang w:val="en-US" w:eastAsia="zh-CN" w:bidi="ar-SA"/>
      </w:rPr>
    </w:lvl>
    <w:lvl w:ilvl="3" w:tentative="0">
      <w:start w:val="0"/>
      <w:numFmt w:val="bullet"/>
      <w:lvlText w:val="•"/>
      <w:lvlJc w:val="left"/>
      <w:pPr>
        <w:ind w:left="2435" w:hanging="529"/>
      </w:pPr>
      <w:rPr>
        <w:rFonts w:hint="default"/>
        <w:lang w:val="en-US" w:eastAsia="zh-CN" w:bidi="ar-SA"/>
      </w:rPr>
    </w:lvl>
    <w:lvl w:ilvl="4" w:tentative="0">
      <w:start w:val="0"/>
      <w:numFmt w:val="bullet"/>
      <w:lvlText w:val="•"/>
      <w:lvlJc w:val="left"/>
      <w:pPr>
        <w:ind w:left="3034" w:hanging="529"/>
      </w:pPr>
      <w:rPr>
        <w:rFonts w:hint="default"/>
        <w:lang w:val="en-US" w:eastAsia="zh-CN" w:bidi="ar-SA"/>
      </w:rPr>
    </w:lvl>
    <w:lvl w:ilvl="5" w:tentative="0">
      <w:start w:val="0"/>
      <w:numFmt w:val="bullet"/>
      <w:lvlText w:val="•"/>
      <w:lvlJc w:val="left"/>
      <w:pPr>
        <w:ind w:left="3633" w:hanging="529"/>
      </w:pPr>
      <w:rPr>
        <w:rFonts w:hint="default"/>
        <w:lang w:val="en-US" w:eastAsia="zh-CN" w:bidi="ar-SA"/>
      </w:rPr>
    </w:lvl>
    <w:lvl w:ilvl="6" w:tentative="0">
      <w:start w:val="0"/>
      <w:numFmt w:val="bullet"/>
      <w:lvlText w:val="•"/>
      <w:lvlJc w:val="left"/>
      <w:pPr>
        <w:ind w:left="4231" w:hanging="529"/>
      </w:pPr>
      <w:rPr>
        <w:rFonts w:hint="default"/>
        <w:lang w:val="en-US" w:eastAsia="zh-CN" w:bidi="ar-SA"/>
      </w:rPr>
    </w:lvl>
    <w:lvl w:ilvl="7" w:tentative="0">
      <w:start w:val="0"/>
      <w:numFmt w:val="bullet"/>
      <w:lvlText w:val="•"/>
      <w:lvlJc w:val="left"/>
      <w:pPr>
        <w:ind w:left="4830" w:hanging="529"/>
      </w:pPr>
      <w:rPr>
        <w:rFonts w:hint="default"/>
        <w:lang w:val="en-US" w:eastAsia="zh-CN" w:bidi="ar-SA"/>
      </w:rPr>
    </w:lvl>
    <w:lvl w:ilvl="8" w:tentative="0">
      <w:start w:val="0"/>
      <w:numFmt w:val="bullet"/>
      <w:lvlText w:val="•"/>
      <w:lvlJc w:val="left"/>
      <w:pPr>
        <w:ind w:left="5428" w:hanging="529"/>
      </w:pPr>
      <w:rPr>
        <w:rFonts w:hint="default"/>
        <w:lang w:val="en-US" w:eastAsia="zh-CN" w:bidi="ar-SA"/>
      </w:rPr>
    </w:lvl>
  </w:abstractNum>
  <w:abstractNum w:abstractNumId="95">
    <w:nsid w:val="30A0AC00"/>
    <w:multiLevelType w:val="multilevel"/>
    <w:tmpl w:val="30A0AC00"/>
    <w:lvl w:ilvl="0" w:tentative="0">
      <w:start w:val="1"/>
      <w:numFmt w:val="decimal"/>
      <w:lvlText w:val="（%1）"/>
      <w:lvlJc w:val="left"/>
      <w:pPr>
        <w:ind w:left="636"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238" w:hanging="529"/>
      </w:pPr>
      <w:rPr>
        <w:rFonts w:hint="default"/>
        <w:lang w:val="en-US" w:eastAsia="zh-CN" w:bidi="ar-SA"/>
      </w:rPr>
    </w:lvl>
    <w:lvl w:ilvl="2" w:tentative="0">
      <w:start w:val="0"/>
      <w:numFmt w:val="bullet"/>
      <w:lvlText w:val="•"/>
      <w:lvlJc w:val="left"/>
      <w:pPr>
        <w:ind w:left="1837" w:hanging="529"/>
      </w:pPr>
      <w:rPr>
        <w:rFonts w:hint="default"/>
        <w:lang w:val="en-US" w:eastAsia="zh-CN" w:bidi="ar-SA"/>
      </w:rPr>
    </w:lvl>
    <w:lvl w:ilvl="3" w:tentative="0">
      <w:start w:val="0"/>
      <w:numFmt w:val="bullet"/>
      <w:lvlText w:val="•"/>
      <w:lvlJc w:val="left"/>
      <w:pPr>
        <w:ind w:left="2435" w:hanging="529"/>
      </w:pPr>
      <w:rPr>
        <w:rFonts w:hint="default"/>
        <w:lang w:val="en-US" w:eastAsia="zh-CN" w:bidi="ar-SA"/>
      </w:rPr>
    </w:lvl>
    <w:lvl w:ilvl="4" w:tentative="0">
      <w:start w:val="0"/>
      <w:numFmt w:val="bullet"/>
      <w:lvlText w:val="•"/>
      <w:lvlJc w:val="left"/>
      <w:pPr>
        <w:ind w:left="3034" w:hanging="529"/>
      </w:pPr>
      <w:rPr>
        <w:rFonts w:hint="default"/>
        <w:lang w:val="en-US" w:eastAsia="zh-CN" w:bidi="ar-SA"/>
      </w:rPr>
    </w:lvl>
    <w:lvl w:ilvl="5" w:tentative="0">
      <w:start w:val="0"/>
      <w:numFmt w:val="bullet"/>
      <w:lvlText w:val="•"/>
      <w:lvlJc w:val="left"/>
      <w:pPr>
        <w:ind w:left="3633" w:hanging="529"/>
      </w:pPr>
      <w:rPr>
        <w:rFonts w:hint="default"/>
        <w:lang w:val="en-US" w:eastAsia="zh-CN" w:bidi="ar-SA"/>
      </w:rPr>
    </w:lvl>
    <w:lvl w:ilvl="6" w:tentative="0">
      <w:start w:val="0"/>
      <w:numFmt w:val="bullet"/>
      <w:lvlText w:val="•"/>
      <w:lvlJc w:val="left"/>
      <w:pPr>
        <w:ind w:left="4231" w:hanging="529"/>
      </w:pPr>
      <w:rPr>
        <w:rFonts w:hint="default"/>
        <w:lang w:val="en-US" w:eastAsia="zh-CN" w:bidi="ar-SA"/>
      </w:rPr>
    </w:lvl>
    <w:lvl w:ilvl="7" w:tentative="0">
      <w:start w:val="0"/>
      <w:numFmt w:val="bullet"/>
      <w:lvlText w:val="•"/>
      <w:lvlJc w:val="left"/>
      <w:pPr>
        <w:ind w:left="4830" w:hanging="529"/>
      </w:pPr>
      <w:rPr>
        <w:rFonts w:hint="default"/>
        <w:lang w:val="en-US" w:eastAsia="zh-CN" w:bidi="ar-SA"/>
      </w:rPr>
    </w:lvl>
    <w:lvl w:ilvl="8" w:tentative="0">
      <w:start w:val="0"/>
      <w:numFmt w:val="bullet"/>
      <w:lvlText w:val="•"/>
      <w:lvlJc w:val="left"/>
      <w:pPr>
        <w:ind w:left="5428" w:hanging="529"/>
      </w:pPr>
      <w:rPr>
        <w:rFonts w:hint="default"/>
        <w:lang w:val="en-US" w:eastAsia="zh-CN" w:bidi="ar-SA"/>
      </w:rPr>
    </w:lvl>
  </w:abstractNum>
  <w:abstractNum w:abstractNumId="96">
    <w:nsid w:val="30FC5B15"/>
    <w:multiLevelType w:val="multilevel"/>
    <w:tmpl w:val="30FC5B15"/>
    <w:lvl w:ilvl="0" w:tentative="0">
      <w:start w:val="1"/>
      <w:numFmt w:val="decimal"/>
      <w:lvlText w:val="（%1）"/>
      <w:lvlJc w:val="left"/>
      <w:pPr>
        <w:ind w:left="107" w:hanging="529"/>
        <w:jc w:val="left"/>
      </w:pPr>
      <w:rPr>
        <w:rFonts w:hint="default" w:ascii="宋体" w:hAnsi="宋体" w:eastAsia="宋体" w:cs="宋体"/>
        <w:b w:val="0"/>
        <w:bCs w:val="0"/>
        <w:i w:val="0"/>
        <w:iCs w:val="0"/>
        <w:spacing w:val="-97"/>
        <w:w w:val="100"/>
        <w:sz w:val="19"/>
        <w:szCs w:val="19"/>
        <w:lang w:val="en-US" w:eastAsia="zh-CN" w:bidi="ar-SA"/>
      </w:rPr>
    </w:lvl>
    <w:lvl w:ilvl="1" w:tentative="0">
      <w:start w:val="0"/>
      <w:numFmt w:val="bullet"/>
      <w:lvlText w:val="•"/>
      <w:lvlJc w:val="left"/>
      <w:pPr>
        <w:ind w:left="752" w:hanging="529"/>
      </w:pPr>
      <w:rPr>
        <w:rFonts w:hint="default"/>
        <w:lang w:val="en-US" w:eastAsia="zh-CN" w:bidi="ar-SA"/>
      </w:rPr>
    </w:lvl>
    <w:lvl w:ilvl="2" w:tentative="0">
      <w:start w:val="0"/>
      <w:numFmt w:val="bullet"/>
      <w:lvlText w:val="•"/>
      <w:lvlJc w:val="left"/>
      <w:pPr>
        <w:ind w:left="1405" w:hanging="529"/>
      </w:pPr>
      <w:rPr>
        <w:rFonts w:hint="default"/>
        <w:lang w:val="en-US" w:eastAsia="zh-CN" w:bidi="ar-SA"/>
      </w:rPr>
    </w:lvl>
    <w:lvl w:ilvl="3" w:tentative="0">
      <w:start w:val="0"/>
      <w:numFmt w:val="bullet"/>
      <w:lvlText w:val="•"/>
      <w:lvlJc w:val="left"/>
      <w:pPr>
        <w:ind w:left="2057" w:hanging="529"/>
      </w:pPr>
      <w:rPr>
        <w:rFonts w:hint="default"/>
        <w:lang w:val="en-US" w:eastAsia="zh-CN" w:bidi="ar-SA"/>
      </w:rPr>
    </w:lvl>
    <w:lvl w:ilvl="4" w:tentative="0">
      <w:start w:val="0"/>
      <w:numFmt w:val="bullet"/>
      <w:lvlText w:val="•"/>
      <w:lvlJc w:val="left"/>
      <w:pPr>
        <w:ind w:left="2710" w:hanging="529"/>
      </w:pPr>
      <w:rPr>
        <w:rFonts w:hint="default"/>
        <w:lang w:val="en-US" w:eastAsia="zh-CN" w:bidi="ar-SA"/>
      </w:rPr>
    </w:lvl>
    <w:lvl w:ilvl="5" w:tentative="0">
      <w:start w:val="0"/>
      <w:numFmt w:val="bullet"/>
      <w:lvlText w:val="•"/>
      <w:lvlJc w:val="left"/>
      <w:pPr>
        <w:ind w:left="3363" w:hanging="529"/>
      </w:pPr>
      <w:rPr>
        <w:rFonts w:hint="default"/>
        <w:lang w:val="en-US" w:eastAsia="zh-CN" w:bidi="ar-SA"/>
      </w:rPr>
    </w:lvl>
    <w:lvl w:ilvl="6" w:tentative="0">
      <w:start w:val="0"/>
      <w:numFmt w:val="bullet"/>
      <w:lvlText w:val="•"/>
      <w:lvlJc w:val="left"/>
      <w:pPr>
        <w:ind w:left="4015" w:hanging="529"/>
      </w:pPr>
      <w:rPr>
        <w:rFonts w:hint="default"/>
        <w:lang w:val="en-US" w:eastAsia="zh-CN" w:bidi="ar-SA"/>
      </w:rPr>
    </w:lvl>
    <w:lvl w:ilvl="7" w:tentative="0">
      <w:start w:val="0"/>
      <w:numFmt w:val="bullet"/>
      <w:lvlText w:val="•"/>
      <w:lvlJc w:val="left"/>
      <w:pPr>
        <w:ind w:left="4668" w:hanging="529"/>
      </w:pPr>
      <w:rPr>
        <w:rFonts w:hint="default"/>
        <w:lang w:val="en-US" w:eastAsia="zh-CN" w:bidi="ar-SA"/>
      </w:rPr>
    </w:lvl>
    <w:lvl w:ilvl="8" w:tentative="0">
      <w:start w:val="0"/>
      <w:numFmt w:val="bullet"/>
      <w:lvlText w:val="•"/>
      <w:lvlJc w:val="left"/>
      <w:pPr>
        <w:ind w:left="5320" w:hanging="529"/>
      </w:pPr>
      <w:rPr>
        <w:rFonts w:hint="default"/>
        <w:lang w:val="en-US" w:eastAsia="zh-CN" w:bidi="ar-SA"/>
      </w:rPr>
    </w:lvl>
  </w:abstractNum>
  <w:abstractNum w:abstractNumId="97">
    <w:nsid w:val="322D85CA"/>
    <w:multiLevelType w:val="multilevel"/>
    <w:tmpl w:val="322D85CA"/>
    <w:lvl w:ilvl="0" w:tentative="0">
      <w:start w:val="1"/>
      <w:numFmt w:val="decimal"/>
      <w:lvlText w:val="（%1）"/>
      <w:lvlJc w:val="left"/>
      <w:pPr>
        <w:ind w:left="636"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238" w:hanging="529"/>
      </w:pPr>
      <w:rPr>
        <w:rFonts w:hint="default"/>
        <w:lang w:val="en-US" w:eastAsia="zh-CN" w:bidi="ar-SA"/>
      </w:rPr>
    </w:lvl>
    <w:lvl w:ilvl="2" w:tentative="0">
      <w:start w:val="0"/>
      <w:numFmt w:val="bullet"/>
      <w:lvlText w:val="•"/>
      <w:lvlJc w:val="left"/>
      <w:pPr>
        <w:ind w:left="1837" w:hanging="529"/>
      </w:pPr>
      <w:rPr>
        <w:rFonts w:hint="default"/>
        <w:lang w:val="en-US" w:eastAsia="zh-CN" w:bidi="ar-SA"/>
      </w:rPr>
    </w:lvl>
    <w:lvl w:ilvl="3" w:tentative="0">
      <w:start w:val="0"/>
      <w:numFmt w:val="bullet"/>
      <w:lvlText w:val="•"/>
      <w:lvlJc w:val="left"/>
      <w:pPr>
        <w:ind w:left="2435" w:hanging="529"/>
      </w:pPr>
      <w:rPr>
        <w:rFonts w:hint="default"/>
        <w:lang w:val="en-US" w:eastAsia="zh-CN" w:bidi="ar-SA"/>
      </w:rPr>
    </w:lvl>
    <w:lvl w:ilvl="4" w:tentative="0">
      <w:start w:val="0"/>
      <w:numFmt w:val="bullet"/>
      <w:lvlText w:val="•"/>
      <w:lvlJc w:val="left"/>
      <w:pPr>
        <w:ind w:left="3034" w:hanging="529"/>
      </w:pPr>
      <w:rPr>
        <w:rFonts w:hint="default"/>
        <w:lang w:val="en-US" w:eastAsia="zh-CN" w:bidi="ar-SA"/>
      </w:rPr>
    </w:lvl>
    <w:lvl w:ilvl="5" w:tentative="0">
      <w:start w:val="0"/>
      <w:numFmt w:val="bullet"/>
      <w:lvlText w:val="•"/>
      <w:lvlJc w:val="left"/>
      <w:pPr>
        <w:ind w:left="3633" w:hanging="529"/>
      </w:pPr>
      <w:rPr>
        <w:rFonts w:hint="default"/>
        <w:lang w:val="en-US" w:eastAsia="zh-CN" w:bidi="ar-SA"/>
      </w:rPr>
    </w:lvl>
    <w:lvl w:ilvl="6" w:tentative="0">
      <w:start w:val="0"/>
      <w:numFmt w:val="bullet"/>
      <w:lvlText w:val="•"/>
      <w:lvlJc w:val="left"/>
      <w:pPr>
        <w:ind w:left="4231" w:hanging="529"/>
      </w:pPr>
      <w:rPr>
        <w:rFonts w:hint="default"/>
        <w:lang w:val="en-US" w:eastAsia="zh-CN" w:bidi="ar-SA"/>
      </w:rPr>
    </w:lvl>
    <w:lvl w:ilvl="7" w:tentative="0">
      <w:start w:val="0"/>
      <w:numFmt w:val="bullet"/>
      <w:lvlText w:val="•"/>
      <w:lvlJc w:val="left"/>
      <w:pPr>
        <w:ind w:left="4830" w:hanging="529"/>
      </w:pPr>
      <w:rPr>
        <w:rFonts w:hint="default"/>
        <w:lang w:val="en-US" w:eastAsia="zh-CN" w:bidi="ar-SA"/>
      </w:rPr>
    </w:lvl>
    <w:lvl w:ilvl="8" w:tentative="0">
      <w:start w:val="0"/>
      <w:numFmt w:val="bullet"/>
      <w:lvlText w:val="•"/>
      <w:lvlJc w:val="left"/>
      <w:pPr>
        <w:ind w:left="5428" w:hanging="529"/>
      </w:pPr>
      <w:rPr>
        <w:rFonts w:hint="default"/>
        <w:lang w:val="en-US" w:eastAsia="zh-CN" w:bidi="ar-SA"/>
      </w:rPr>
    </w:lvl>
  </w:abstractNum>
  <w:abstractNum w:abstractNumId="98">
    <w:nsid w:val="32A7AF2D"/>
    <w:multiLevelType w:val="multilevel"/>
    <w:tmpl w:val="32A7AF2D"/>
    <w:lvl w:ilvl="0" w:tentative="0">
      <w:start w:val="1"/>
      <w:numFmt w:val="decimal"/>
      <w:lvlText w:val="（%1）"/>
      <w:lvlJc w:val="left"/>
      <w:pPr>
        <w:ind w:left="636"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238" w:hanging="529"/>
      </w:pPr>
      <w:rPr>
        <w:rFonts w:hint="default"/>
        <w:lang w:val="en-US" w:eastAsia="zh-CN" w:bidi="ar-SA"/>
      </w:rPr>
    </w:lvl>
    <w:lvl w:ilvl="2" w:tentative="0">
      <w:start w:val="0"/>
      <w:numFmt w:val="bullet"/>
      <w:lvlText w:val="•"/>
      <w:lvlJc w:val="left"/>
      <w:pPr>
        <w:ind w:left="1837" w:hanging="529"/>
      </w:pPr>
      <w:rPr>
        <w:rFonts w:hint="default"/>
        <w:lang w:val="en-US" w:eastAsia="zh-CN" w:bidi="ar-SA"/>
      </w:rPr>
    </w:lvl>
    <w:lvl w:ilvl="3" w:tentative="0">
      <w:start w:val="0"/>
      <w:numFmt w:val="bullet"/>
      <w:lvlText w:val="•"/>
      <w:lvlJc w:val="left"/>
      <w:pPr>
        <w:ind w:left="2435" w:hanging="529"/>
      </w:pPr>
      <w:rPr>
        <w:rFonts w:hint="default"/>
        <w:lang w:val="en-US" w:eastAsia="zh-CN" w:bidi="ar-SA"/>
      </w:rPr>
    </w:lvl>
    <w:lvl w:ilvl="4" w:tentative="0">
      <w:start w:val="0"/>
      <w:numFmt w:val="bullet"/>
      <w:lvlText w:val="•"/>
      <w:lvlJc w:val="left"/>
      <w:pPr>
        <w:ind w:left="3034" w:hanging="529"/>
      </w:pPr>
      <w:rPr>
        <w:rFonts w:hint="default"/>
        <w:lang w:val="en-US" w:eastAsia="zh-CN" w:bidi="ar-SA"/>
      </w:rPr>
    </w:lvl>
    <w:lvl w:ilvl="5" w:tentative="0">
      <w:start w:val="0"/>
      <w:numFmt w:val="bullet"/>
      <w:lvlText w:val="•"/>
      <w:lvlJc w:val="left"/>
      <w:pPr>
        <w:ind w:left="3633" w:hanging="529"/>
      </w:pPr>
      <w:rPr>
        <w:rFonts w:hint="default"/>
        <w:lang w:val="en-US" w:eastAsia="zh-CN" w:bidi="ar-SA"/>
      </w:rPr>
    </w:lvl>
    <w:lvl w:ilvl="6" w:tentative="0">
      <w:start w:val="0"/>
      <w:numFmt w:val="bullet"/>
      <w:lvlText w:val="•"/>
      <w:lvlJc w:val="left"/>
      <w:pPr>
        <w:ind w:left="4231" w:hanging="529"/>
      </w:pPr>
      <w:rPr>
        <w:rFonts w:hint="default"/>
        <w:lang w:val="en-US" w:eastAsia="zh-CN" w:bidi="ar-SA"/>
      </w:rPr>
    </w:lvl>
    <w:lvl w:ilvl="7" w:tentative="0">
      <w:start w:val="0"/>
      <w:numFmt w:val="bullet"/>
      <w:lvlText w:val="•"/>
      <w:lvlJc w:val="left"/>
      <w:pPr>
        <w:ind w:left="4830" w:hanging="529"/>
      </w:pPr>
      <w:rPr>
        <w:rFonts w:hint="default"/>
        <w:lang w:val="en-US" w:eastAsia="zh-CN" w:bidi="ar-SA"/>
      </w:rPr>
    </w:lvl>
    <w:lvl w:ilvl="8" w:tentative="0">
      <w:start w:val="0"/>
      <w:numFmt w:val="bullet"/>
      <w:lvlText w:val="•"/>
      <w:lvlJc w:val="left"/>
      <w:pPr>
        <w:ind w:left="5428" w:hanging="529"/>
      </w:pPr>
      <w:rPr>
        <w:rFonts w:hint="default"/>
        <w:lang w:val="en-US" w:eastAsia="zh-CN" w:bidi="ar-SA"/>
      </w:rPr>
    </w:lvl>
  </w:abstractNum>
  <w:abstractNum w:abstractNumId="99">
    <w:nsid w:val="35E83B33"/>
    <w:multiLevelType w:val="multilevel"/>
    <w:tmpl w:val="35E83B33"/>
    <w:lvl w:ilvl="0" w:tentative="0">
      <w:start w:val="1"/>
      <w:numFmt w:val="decimal"/>
      <w:lvlText w:val="（%1）"/>
      <w:lvlJc w:val="left"/>
      <w:pPr>
        <w:ind w:left="636"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238" w:hanging="529"/>
      </w:pPr>
      <w:rPr>
        <w:rFonts w:hint="default"/>
        <w:lang w:val="en-US" w:eastAsia="zh-CN" w:bidi="ar-SA"/>
      </w:rPr>
    </w:lvl>
    <w:lvl w:ilvl="2" w:tentative="0">
      <w:start w:val="0"/>
      <w:numFmt w:val="bullet"/>
      <w:lvlText w:val="•"/>
      <w:lvlJc w:val="left"/>
      <w:pPr>
        <w:ind w:left="1837" w:hanging="529"/>
      </w:pPr>
      <w:rPr>
        <w:rFonts w:hint="default"/>
        <w:lang w:val="en-US" w:eastAsia="zh-CN" w:bidi="ar-SA"/>
      </w:rPr>
    </w:lvl>
    <w:lvl w:ilvl="3" w:tentative="0">
      <w:start w:val="0"/>
      <w:numFmt w:val="bullet"/>
      <w:lvlText w:val="•"/>
      <w:lvlJc w:val="left"/>
      <w:pPr>
        <w:ind w:left="2436" w:hanging="529"/>
      </w:pPr>
      <w:rPr>
        <w:rFonts w:hint="default"/>
        <w:lang w:val="en-US" w:eastAsia="zh-CN" w:bidi="ar-SA"/>
      </w:rPr>
    </w:lvl>
    <w:lvl w:ilvl="4" w:tentative="0">
      <w:start w:val="0"/>
      <w:numFmt w:val="bullet"/>
      <w:lvlText w:val="•"/>
      <w:lvlJc w:val="left"/>
      <w:pPr>
        <w:ind w:left="3035" w:hanging="529"/>
      </w:pPr>
      <w:rPr>
        <w:rFonts w:hint="default"/>
        <w:lang w:val="en-US" w:eastAsia="zh-CN" w:bidi="ar-SA"/>
      </w:rPr>
    </w:lvl>
    <w:lvl w:ilvl="5" w:tentative="0">
      <w:start w:val="0"/>
      <w:numFmt w:val="bullet"/>
      <w:lvlText w:val="•"/>
      <w:lvlJc w:val="left"/>
      <w:pPr>
        <w:ind w:left="3634" w:hanging="529"/>
      </w:pPr>
      <w:rPr>
        <w:rFonts w:hint="default"/>
        <w:lang w:val="en-US" w:eastAsia="zh-CN" w:bidi="ar-SA"/>
      </w:rPr>
    </w:lvl>
    <w:lvl w:ilvl="6" w:tentative="0">
      <w:start w:val="0"/>
      <w:numFmt w:val="bullet"/>
      <w:lvlText w:val="•"/>
      <w:lvlJc w:val="left"/>
      <w:pPr>
        <w:ind w:left="4232" w:hanging="529"/>
      </w:pPr>
      <w:rPr>
        <w:rFonts w:hint="default"/>
        <w:lang w:val="en-US" w:eastAsia="zh-CN" w:bidi="ar-SA"/>
      </w:rPr>
    </w:lvl>
    <w:lvl w:ilvl="7" w:tentative="0">
      <w:start w:val="0"/>
      <w:numFmt w:val="bullet"/>
      <w:lvlText w:val="•"/>
      <w:lvlJc w:val="left"/>
      <w:pPr>
        <w:ind w:left="4831" w:hanging="529"/>
      </w:pPr>
      <w:rPr>
        <w:rFonts w:hint="default"/>
        <w:lang w:val="en-US" w:eastAsia="zh-CN" w:bidi="ar-SA"/>
      </w:rPr>
    </w:lvl>
    <w:lvl w:ilvl="8" w:tentative="0">
      <w:start w:val="0"/>
      <w:numFmt w:val="bullet"/>
      <w:lvlText w:val="•"/>
      <w:lvlJc w:val="left"/>
      <w:pPr>
        <w:ind w:left="5430" w:hanging="529"/>
      </w:pPr>
      <w:rPr>
        <w:rFonts w:hint="default"/>
        <w:lang w:val="en-US" w:eastAsia="zh-CN" w:bidi="ar-SA"/>
      </w:rPr>
    </w:lvl>
  </w:abstractNum>
  <w:abstractNum w:abstractNumId="100">
    <w:nsid w:val="39A0D9AC"/>
    <w:multiLevelType w:val="multilevel"/>
    <w:tmpl w:val="39A0D9AC"/>
    <w:lvl w:ilvl="0" w:tentative="0">
      <w:start w:val="2"/>
      <w:numFmt w:val="decimal"/>
      <w:lvlText w:val="（%1）"/>
      <w:lvlJc w:val="left"/>
      <w:pPr>
        <w:ind w:left="636" w:hanging="529"/>
        <w:jc w:val="left"/>
      </w:pPr>
      <w:rPr>
        <w:rFonts w:hint="default"/>
        <w:w w:val="100"/>
        <w:lang w:val="en-US" w:eastAsia="zh-CN" w:bidi="ar-SA"/>
      </w:rPr>
    </w:lvl>
    <w:lvl w:ilvl="1" w:tentative="0">
      <w:start w:val="0"/>
      <w:numFmt w:val="bullet"/>
      <w:lvlText w:val="•"/>
      <w:lvlJc w:val="left"/>
      <w:pPr>
        <w:ind w:left="1238" w:hanging="529"/>
      </w:pPr>
      <w:rPr>
        <w:rFonts w:hint="default"/>
        <w:lang w:val="en-US" w:eastAsia="zh-CN" w:bidi="ar-SA"/>
      </w:rPr>
    </w:lvl>
    <w:lvl w:ilvl="2" w:tentative="0">
      <w:start w:val="0"/>
      <w:numFmt w:val="bullet"/>
      <w:lvlText w:val="•"/>
      <w:lvlJc w:val="left"/>
      <w:pPr>
        <w:ind w:left="1837" w:hanging="529"/>
      </w:pPr>
      <w:rPr>
        <w:rFonts w:hint="default"/>
        <w:lang w:val="en-US" w:eastAsia="zh-CN" w:bidi="ar-SA"/>
      </w:rPr>
    </w:lvl>
    <w:lvl w:ilvl="3" w:tentative="0">
      <w:start w:val="0"/>
      <w:numFmt w:val="bullet"/>
      <w:lvlText w:val="•"/>
      <w:lvlJc w:val="left"/>
      <w:pPr>
        <w:ind w:left="2435" w:hanging="529"/>
      </w:pPr>
      <w:rPr>
        <w:rFonts w:hint="default"/>
        <w:lang w:val="en-US" w:eastAsia="zh-CN" w:bidi="ar-SA"/>
      </w:rPr>
    </w:lvl>
    <w:lvl w:ilvl="4" w:tentative="0">
      <w:start w:val="0"/>
      <w:numFmt w:val="bullet"/>
      <w:lvlText w:val="•"/>
      <w:lvlJc w:val="left"/>
      <w:pPr>
        <w:ind w:left="3034" w:hanging="529"/>
      </w:pPr>
      <w:rPr>
        <w:rFonts w:hint="default"/>
        <w:lang w:val="en-US" w:eastAsia="zh-CN" w:bidi="ar-SA"/>
      </w:rPr>
    </w:lvl>
    <w:lvl w:ilvl="5" w:tentative="0">
      <w:start w:val="0"/>
      <w:numFmt w:val="bullet"/>
      <w:lvlText w:val="•"/>
      <w:lvlJc w:val="left"/>
      <w:pPr>
        <w:ind w:left="3633" w:hanging="529"/>
      </w:pPr>
      <w:rPr>
        <w:rFonts w:hint="default"/>
        <w:lang w:val="en-US" w:eastAsia="zh-CN" w:bidi="ar-SA"/>
      </w:rPr>
    </w:lvl>
    <w:lvl w:ilvl="6" w:tentative="0">
      <w:start w:val="0"/>
      <w:numFmt w:val="bullet"/>
      <w:lvlText w:val="•"/>
      <w:lvlJc w:val="left"/>
      <w:pPr>
        <w:ind w:left="4231" w:hanging="529"/>
      </w:pPr>
      <w:rPr>
        <w:rFonts w:hint="default"/>
        <w:lang w:val="en-US" w:eastAsia="zh-CN" w:bidi="ar-SA"/>
      </w:rPr>
    </w:lvl>
    <w:lvl w:ilvl="7" w:tentative="0">
      <w:start w:val="0"/>
      <w:numFmt w:val="bullet"/>
      <w:lvlText w:val="•"/>
      <w:lvlJc w:val="left"/>
      <w:pPr>
        <w:ind w:left="4830" w:hanging="529"/>
      </w:pPr>
      <w:rPr>
        <w:rFonts w:hint="default"/>
        <w:lang w:val="en-US" w:eastAsia="zh-CN" w:bidi="ar-SA"/>
      </w:rPr>
    </w:lvl>
    <w:lvl w:ilvl="8" w:tentative="0">
      <w:start w:val="0"/>
      <w:numFmt w:val="bullet"/>
      <w:lvlText w:val="•"/>
      <w:lvlJc w:val="left"/>
      <w:pPr>
        <w:ind w:left="5428" w:hanging="529"/>
      </w:pPr>
      <w:rPr>
        <w:rFonts w:hint="default"/>
        <w:lang w:val="en-US" w:eastAsia="zh-CN" w:bidi="ar-SA"/>
      </w:rPr>
    </w:lvl>
  </w:abstractNum>
  <w:abstractNum w:abstractNumId="101">
    <w:nsid w:val="3A7FBA26"/>
    <w:multiLevelType w:val="multilevel"/>
    <w:tmpl w:val="3A7FBA26"/>
    <w:lvl w:ilvl="0" w:tentative="0">
      <w:start w:val="1"/>
      <w:numFmt w:val="decimal"/>
      <w:lvlText w:val="（%1）"/>
      <w:lvlJc w:val="left"/>
      <w:pPr>
        <w:ind w:left="63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239" w:hanging="529"/>
      </w:pPr>
      <w:rPr>
        <w:rFonts w:hint="default"/>
        <w:lang w:val="en-US" w:eastAsia="zh-CN" w:bidi="ar-SA"/>
      </w:rPr>
    </w:lvl>
    <w:lvl w:ilvl="2" w:tentative="0">
      <w:start w:val="0"/>
      <w:numFmt w:val="bullet"/>
      <w:lvlText w:val="•"/>
      <w:lvlJc w:val="left"/>
      <w:pPr>
        <w:ind w:left="1838" w:hanging="529"/>
      </w:pPr>
      <w:rPr>
        <w:rFonts w:hint="default"/>
        <w:lang w:val="en-US" w:eastAsia="zh-CN" w:bidi="ar-SA"/>
      </w:rPr>
    </w:lvl>
    <w:lvl w:ilvl="3" w:tentative="0">
      <w:start w:val="0"/>
      <w:numFmt w:val="bullet"/>
      <w:lvlText w:val="•"/>
      <w:lvlJc w:val="left"/>
      <w:pPr>
        <w:ind w:left="2437" w:hanging="529"/>
      </w:pPr>
      <w:rPr>
        <w:rFonts w:hint="default"/>
        <w:lang w:val="en-US" w:eastAsia="zh-CN" w:bidi="ar-SA"/>
      </w:rPr>
    </w:lvl>
    <w:lvl w:ilvl="4" w:tentative="0">
      <w:start w:val="0"/>
      <w:numFmt w:val="bullet"/>
      <w:lvlText w:val="•"/>
      <w:lvlJc w:val="left"/>
      <w:pPr>
        <w:ind w:left="3037" w:hanging="529"/>
      </w:pPr>
      <w:rPr>
        <w:rFonts w:hint="default"/>
        <w:lang w:val="en-US" w:eastAsia="zh-CN" w:bidi="ar-SA"/>
      </w:rPr>
    </w:lvl>
    <w:lvl w:ilvl="5" w:tentative="0">
      <w:start w:val="0"/>
      <w:numFmt w:val="bullet"/>
      <w:lvlText w:val="•"/>
      <w:lvlJc w:val="left"/>
      <w:pPr>
        <w:ind w:left="3636" w:hanging="529"/>
      </w:pPr>
      <w:rPr>
        <w:rFonts w:hint="default"/>
        <w:lang w:val="en-US" w:eastAsia="zh-CN" w:bidi="ar-SA"/>
      </w:rPr>
    </w:lvl>
    <w:lvl w:ilvl="6" w:tentative="0">
      <w:start w:val="0"/>
      <w:numFmt w:val="bullet"/>
      <w:lvlText w:val="•"/>
      <w:lvlJc w:val="left"/>
      <w:pPr>
        <w:ind w:left="4235" w:hanging="529"/>
      </w:pPr>
      <w:rPr>
        <w:rFonts w:hint="default"/>
        <w:lang w:val="en-US" w:eastAsia="zh-CN" w:bidi="ar-SA"/>
      </w:rPr>
    </w:lvl>
    <w:lvl w:ilvl="7" w:tentative="0">
      <w:start w:val="0"/>
      <w:numFmt w:val="bullet"/>
      <w:lvlText w:val="•"/>
      <w:lvlJc w:val="left"/>
      <w:pPr>
        <w:ind w:left="4835" w:hanging="529"/>
      </w:pPr>
      <w:rPr>
        <w:rFonts w:hint="default"/>
        <w:lang w:val="en-US" w:eastAsia="zh-CN" w:bidi="ar-SA"/>
      </w:rPr>
    </w:lvl>
    <w:lvl w:ilvl="8" w:tentative="0">
      <w:start w:val="0"/>
      <w:numFmt w:val="bullet"/>
      <w:lvlText w:val="•"/>
      <w:lvlJc w:val="left"/>
      <w:pPr>
        <w:ind w:left="5434" w:hanging="529"/>
      </w:pPr>
      <w:rPr>
        <w:rFonts w:hint="default"/>
        <w:lang w:val="en-US" w:eastAsia="zh-CN" w:bidi="ar-SA"/>
      </w:rPr>
    </w:lvl>
  </w:abstractNum>
  <w:abstractNum w:abstractNumId="102">
    <w:nsid w:val="3B8127DF"/>
    <w:multiLevelType w:val="multilevel"/>
    <w:tmpl w:val="3B8127DF"/>
    <w:lvl w:ilvl="0" w:tentative="0">
      <w:start w:val="1"/>
      <w:numFmt w:val="decimal"/>
      <w:lvlText w:val="（%1）"/>
      <w:lvlJc w:val="left"/>
      <w:pPr>
        <w:ind w:left="636"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238" w:hanging="529"/>
      </w:pPr>
      <w:rPr>
        <w:rFonts w:hint="default"/>
        <w:lang w:val="en-US" w:eastAsia="zh-CN" w:bidi="ar-SA"/>
      </w:rPr>
    </w:lvl>
    <w:lvl w:ilvl="2" w:tentative="0">
      <w:start w:val="0"/>
      <w:numFmt w:val="bullet"/>
      <w:lvlText w:val="•"/>
      <w:lvlJc w:val="left"/>
      <w:pPr>
        <w:ind w:left="1837" w:hanging="529"/>
      </w:pPr>
      <w:rPr>
        <w:rFonts w:hint="default"/>
        <w:lang w:val="en-US" w:eastAsia="zh-CN" w:bidi="ar-SA"/>
      </w:rPr>
    </w:lvl>
    <w:lvl w:ilvl="3" w:tentative="0">
      <w:start w:val="0"/>
      <w:numFmt w:val="bullet"/>
      <w:lvlText w:val="•"/>
      <w:lvlJc w:val="left"/>
      <w:pPr>
        <w:ind w:left="2435" w:hanging="529"/>
      </w:pPr>
      <w:rPr>
        <w:rFonts w:hint="default"/>
        <w:lang w:val="en-US" w:eastAsia="zh-CN" w:bidi="ar-SA"/>
      </w:rPr>
    </w:lvl>
    <w:lvl w:ilvl="4" w:tentative="0">
      <w:start w:val="0"/>
      <w:numFmt w:val="bullet"/>
      <w:lvlText w:val="•"/>
      <w:lvlJc w:val="left"/>
      <w:pPr>
        <w:ind w:left="3034" w:hanging="529"/>
      </w:pPr>
      <w:rPr>
        <w:rFonts w:hint="default"/>
        <w:lang w:val="en-US" w:eastAsia="zh-CN" w:bidi="ar-SA"/>
      </w:rPr>
    </w:lvl>
    <w:lvl w:ilvl="5" w:tentative="0">
      <w:start w:val="0"/>
      <w:numFmt w:val="bullet"/>
      <w:lvlText w:val="•"/>
      <w:lvlJc w:val="left"/>
      <w:pPr>
        <w:ind w:left="3633" w:hanging="529"/>
      </w:pPr>
      <w:rPr>
        <w:rFonts w:hint="default"/>
        <w:lang w:val="en-US" w:eastAsia="zh-CN" w:bidi="ar-SA"/>
      </w:rPr>
    </w:lvl>
    <w:lvl w:ilvl="6" w:tentative="0">
      <w:start w:val="0"/>
      <w:numFmt w:val="bullet"/>
      <w:lvlText w:val="•"/>
      <w:lvlJc w:val="left"/>
      <w:pPr>
        <w:ind w:left="4231" w:hanging="529"/>
      </w:pPr>
      <w:rPr>
        <w:rFonts w:hint="default"/>
        <w:lang w:val="en-US" w:eastAsia="zh-CN" w:bidi="ar-SA"/>
      </w:rPr>
    </w:lvl>
    <w:lvl w:ilvl="7" w:tentative="0">
      <w:start w:val="0"/>
      <w:numFmt w:val="bullet"/>
      <w:lvlText w:val="•"/>
      <w:lvlJc w:val="left"/>
      <w:pPr>
        <w:ind w:left="4830" w:hanging="529"/>
      </w:pPr>
      <w:rPr>
        <w:rFonts w:hint="default"/>
        <w:lang w:val="en-US" w:eastAsia="zh-CN" w:bidi="ar-SA"/>
      </w:rPr>
    </w:lvl>
    <w:lvl w:ilvl="8" w:tentative="0">
      <w:start w:val="0"/>
      <w:numFmt w:val="bullet"/>
      <w:lvlText w:val="•"/>
      <w:lvlJc w:val="left"/>
      <w:pPr>
        <w:ind w:left="5428" w:hanging="529"/>
      </w:pPr>
      <w:rPr>
        <w:rFonts w:hint="default"/>
        <w:lang w:val="en-US" w:eastAsia="zh-CN" w:bidi="ar-SA"/>
      </w:rPr>
    </w:lvl>
  </w:abstractNum>
  <w:abstractNum w:abstractNumId="103">
    <w:nsid w:val="3FE315B6"/>
    <w:multiLevelType w:val="multilevel"/>
    <w:tmpl w:val="3FE315B6"/>
    <w:lvl w:ilvl="0" w:tentative="0">
      <w:start w:val="1"/>
      <w:numFmt w:val="lowerLetter"/>
      <w:lvlText w:val="%1."/>
      <w:lvlJc w:val="left"/>
      <w:pPr>
        <w:ind w:left="108" w:hanging="317"/>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753" w:hanging="317"/>
      </w:pPr>
      <w:rPr>
        <w:rFonts w:hint="default"/>
        <w:lang w:val="en-US" w:eastAsia="zh-CN" w:bidi="ar-SA"/>
      </w:rPr>
    </w:lvl>
    <w:lvl w:ilvl="2" w:tentative="0">
      <w:start w:val="0"/>
      <w:numFmt w:val="bullet"/>
      <w:lvlText w:val="•"/>
      <w:lvlJc w:val="left"/>
      <w:pPr>
        <w:ind w:left="1406" w:hanging="317"/>
      </w:pPr>
      <w:rPr>
        <w:rFonts w:hint="default"/>
        <w:lang w:val="en-US" w:eastAsia="zh-CN" w:bidi="ar-SA"/>
      </w:rPr>
    </w:lvl>
    <w:lvl w:ilvl="3" w:tentative="0">
      <w:start w:val="0"/>
      <w:numFmt w:val="bullet"/>
      <w:lvlText w:val="•"/>
      <w:lvlJc w:val="left"/>
      <w:pPr>
        <w:ind w:left="2059" w:hanging="317"/>
      </w:pPr>
      <w:rPr>
        <w:rFonts w:hint="default"/>
        <w:lang w:val="en-US" w:eastAsia="zh-CN" w:bidi="ar-SA"/>
      </w:rPr>
    </w:lvl>
    <w:lvl w:ilvl="4" w:tentative="0">
      <w:start w:val="0"/>
      <w:numFmt w:val="bullet"/>
      <w:lvlText w:val="•"/>
      <w:lvlJc w:val="left"/>
      <w:pPr>
        <w:ind w:left="2713" w:hanging="317"/>
      </w:pPr>
      <w:rPr>
        <w:rFonts w:hint="default"/>
        <w:lang w:val="en-US" w:eastAsia="zh-CN" w:bidi="ar-SA"/>
      </w:rPr>
    </w:lvl>
    <w:lvl w:ilvl="5" w:tentative="0">
      <w:start w:val="0"/>
      <w:numFmt w:val="bullet"/>
      <w:lvlText w:val="•"/>
      <w:lvlJc w:val="left"/>
      <w:pPr>
        <w:ind w:left="3366" w:hanging="317"/>
      </w:pPr>
      <w:rPr>
        <w:rFonts w:hint="default"/>
        <w:lang w:val="en-US" w:eastAsia="zh-CN" w:bidi="ar-SA"/>
      </w:rPr>
    </w:lvl>
    <w:lvl w:ilvl="6" w:tentative="0">
      <w:start w:val="0"/>
      <w:numFmt w:val="bullet"/>
      <w:lvlText w:val="•"/>
      <w:lvlJc w:val="left"/>
      <w:pPr>
        <w:ind w:left="4019" w:hanging="317"/>
      </w:pPr>
      <w:rPr>
        <w:rFonts w:hint="default"/>
        <w:lang w:val="en-US" w:eastAsia="zh-CN" w:bidi="ar-SA"/>
      </w:rPr>
    </w:lvl>
    <w:lvl w:ilvl="7" w:tentative="0">
      <w:start w:val="0"/>
      <w:numFmt w:val="bullet"/>
      <w:lvlText w:val="•"/>
      <w:lvlJc w:val="left"/>
      <w:pPr>
        <w:ind w:left="4673" w:hanging="317"/>
      </w:pPr>
      <w:rPr>
        <w:rFonts w:hint="default"/>
        <w:lang w:val="en-US" w:eastAsia="zh-CN" w:bidi="ar-SA"/>
      </w:rPr>
    </w:lvl>
    <w:lvl w:ilvl="8" w:tentative="0">
      <w:start w:val="0"/>
      <w:numFmt w:val="bullet"/>
      <w:lvlText w:val="•"/>
      <w:lvlJc w:val="left"/>
      <w:pPr>
        <w:ind w:left="5326" w:hanging="317"/>
      </w:pPr>
      <w:rPr>
        <w:rFonts w:hint="default"/>
        <w:lang w:val="en-US" w:eastAsia="zh-CN" w:bidi="ar-SA"/>
      </w:rPr>
    </w:lvl>
  </w:abstractNum>
  <w:abstractNum w:abstractNumId="104">
    <w:nsid w:val="40B249F9"/>
    <w:multiLevelType w:val="multilevel"/>
    <w:tmpl w:val="40B249F9"/>
    <w:lvl w:ilvl="0" w:tentative="0">
      <w:start w:val="1"/>
      <w:numFmt w:val="decimal"/>
      <w:lvlText w:val="（%1）"/>
      <w:lvlJc w:val="left"/>
      <w:pPr>
        <w:ind w:left="636" w:hanging="529"/>
        <w:jc w:val="left"/>
      </w:pPr>
      <w:rPr>
        <w:rFonts w:hint="default" w:ascii="黑体" w:hAnsi="黑体" w:eastAsia="黑体" w:cs="黑体"/>
        <w:b w:val="0"/>
        <w:bCs w:val="0"/>
        <w:i w:val="0"/>
        <w:iCs w:val="0"/>
        <w:spacing w:val="-3"/>
        <w:w w:val="100"/>
        <w:sz w:val="19"/>
        <w:szCs w:val="19"/>
        <w:shd w:val="clear" w:color="auto" w:fill="D9D9D9"/>
        <w:lang w:val="en-US" w:eastAsia="zh-CN" w:bidi="ar-SA"/>
      </w:rPr>
    </w:lvl>
    <w:lvl w:ilvl="1" w:tentative="0">
      <w:start w:val="0"/>
      <w:numFmt w:val="bullet"/>
      <w:lvlText w:val="•"/>
      <w:lvlJc w:val="left"/>
      <w:pPr>
        <w:ind w:left="1238" w:hanging="529"/>
      </w:pPr>
      <w:rPr>
        <w:rFonts w:hint="default"/>
        <w:lang w:val="en-US" w:eastAsia="zh-CN" w:bidi="ar-SA"/>
      </w:rPr>
    </w:lvl>
    <w:lvl w:ilvl="2" w:tentative="0">
      <w:start w:val="0"/>
      <w:numFmt w:val="bullet"/>
      <w:lvlText w:val="•"/>
      <w:lvlJc w:val="left"/>
      <w:pPr>
        <w:ind w:left="1837" w:hanging="529"/>
      </w:pPr>
      <w:rPr>
        <w:rFonts w:hint="default"/>
        <w:lang w:val="en-US" w:eastAsia="zh-CN" w:bidi="ar-SA"/>
      </w:rPr>
    </w:lvl>
    <w:lvl w:ilvl="3" w:tentative="0">
      <w:start w:val="0"/>
      <w:numFmt w:val="bullet"/>
      <w:lvlText w:val="•"/>
      <w:lvlJc w:val="left"/>
      <w:pPr>
        <w:ind w:left="2436" w:hanging="529"/>
      </w:pPr>
      <w:rPr>
        <w:rFonts w:hint="default"/>
        <w:lang w:val="en-US" w:eastAsia="zh-CN" w:bidi="ar-SA"/>
      </w:rPr>
    </w:lvl>
    <w:lvl w:ilvl="4" w:tentative="0">
      <w:start w:val="0"/>
      <w:numFmt w:val="bullet"/>
      <w:lvlText w:val="•"/>
      <w:lvlJc w:val="left"/>
      <w:pPr>
        <w:ind w:left="3035" w:hanging="529"/>
      </w:pPr>
      <w:rPr>
        <w:rFonts w:hint="default"/>
        <w:lang w:val="en-US" w:eastAsia="zh-CN" w:bidi="ar-SA"/>
      </w:rPr>
    </w:lvl>
    <w:lvl w:ilvl="5" w:tentative="0">
      <w:start w:val="0"/>
      <w:numFmt w:val="bullet"/>
      <w:lvlText w:val="•"/>
      <w:lvlJc w:val="left"/>
      <w:pPr>
        <w:ind w:left="3634" w:hanging="529"/>
      </w:pPr>
      <w:rPr>
        <w:rFonts w:hint="default"/>
        <w:lang w:val="en-US" w:eastAsia="zh-CN" w:bidi="ar-SA"/>
      </w:rPr>
    </w:lvl>
    <w:lvl w:ilvl="6" w:tentative="0">
      <w:start w:val="0"/>
      <w:numFmt w:val="bullet"/>
      <w:lvlText w:val="•"/>
      <w:lvlJc w:val="left"/>
      <w:pPr>
        <w:ind w:left="4232" w:hanging="529"/>
      </w:pPr>
      <w:rPr>
        <w:rFonts w:hint="default"/>
        <w:lang w:val="en-US" w:eastAsia="zh-CN" w:bidi="ar-SA"/>
      </w:rPr>
    </w:lvl>
    <w:lvl w:ilvl="7" w:tentative="0">
      <w:start w:val="0"/>
      <w:numFmt w:val="bullet"/>
      <w:lvlText w:val="•"/>
      <w:lvlJc w:val="left"/>
      <w:pPr>
        <w:ind w:left="4831" w:hanging="529"/>
      </w:pPr>
      <w:rPr>
        <w:rFonts w:hint="default"/>
        <w:lang w:val="en-US" w:eastAsia="zh-CN" w:bidi="ar-SA"/>
      </w:rPr>
    </w:lvl>
    <w:lvl w:ilvl="8" w:tentative="0">
      <w:start w:val="0"/>
      <w:numFmt w:val="bullet"/>
      <w:lvlText w:val="•"/>
      <w:lvlJc w:val="left"/>
      <w:pPr>
        <w:ind w:left="5430" w:hanging="529"/>
      </w:pPr>
      <w:rPr>
        <w:rFonts w:hint="default"/>
        <w:lang w:val="en-US" w:eastAsia="zh-CN" w:bidi="ar-SA"/>
      </w:rPr>
    </w:lvl>
  </w:abstractNum>
  <w:abstractNum w:abstractNumId="105">
    <w:nsid w:val="40F245EA"/>
    <w:multiLevelType w:val="multilevel"/>
    <w:tmpl w:val="40F245EA"/>
    <w:lvl w:ilvl="0" w:tentative="0">
      <w:start w:val="1"/>
      <w:numFmt w:val="decimal"/>
      <w:lvlText w:val="（%1）"/>
      <w:lvlJc w:val="left"/>
      <w:pPr>
        <w:ind w:left="63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239" w:hanging="529"/>
      </w:pPr>
      <w:rPr>
        <w:rFonts w:hint="default"/>
        <w:lang w:val="en-US" w:eastAsia="zh-CN" w:bidi="ar-SA"/>
      </w:rPr>
    </w:lvl>
    <w:lvl w:ilvl="2" w:tentative="0">
      <w:start w:val="0"/>
      <w:numFmt w:val="bullet"/>
      <w:lvlText w:val="•"/>
      <w:lvlJc w:val="left"/>
      <w:pPr>
        <w:ind w:left="1838" w:hanging="529"/>
      </w:pPr>
      <w:rPr>
        <w:rFonts w:hint="default"/>
        <w:lang w:val="en-US" w:eastAsia="zh-CN" w:bidi="ar-SA"/>
      </w:rPr>
    </w:lvl>
    <w:lvl w:ilvl="3" w:tentative="0">
      <w:start w:val="0"/>
      <w:numFmt w:val="bullet"/>
      <w:lvlText w:val="•"/>
      <w:lvlJc w:val="left"/>
      <w:pPr>
        <w:ind w:left="2437" w:hanging="529"/>
      </w:pPr>
      <w:rPr>
        <w:rFonts w:hint="default"/>
        <w:lang w:val="en-US" w:eastAsia="zh-CN" w:bidi="ar-SA"/>
      </w:rPr>
    </w:lvl>
    <w:lvl w:ilvl="4" w:tentative="0">
      <w:start w:val="0"/>
      <w:numFmt w:val="bullet"/>
      <w:lvlText w:val="•"/>
      <w:lvlJc w:val="left"/>
      <w:pPr>
        <w:ind w:left="3037" w:hanging="529"/>
      </w:pPr>
      <w:rPr>
        <w:rFonts w:hint="default"/>
        <w:lang w:val="en-US" w:eastAsia="zh-CN" w:bidi="ar-SA"/>
      </w:rPr>
    </w:lvl>
    <w:lvl w:ilvl="5" w:tentative="0">
      <w:start w:val="0"/>
      <w:numFmt w:val="bullet"/>
      <w:lvlText w:val="•"/>
      <w:lvlJc w:val="left"/>
      <w:pPr>
        <w:ind w:left="3636" w:hanging="529"/>
      </w:pPr>
      <w:rPr>
        <w:rFonts w:hint="default"/>
        <w:lang w:val="en-US" w:eastAsia="zh-CN" w:bidi="ar-SA"/>
      </w:rPr>
    </w:lvl>
    <w:lvl w:ilvl="6" w:tentative="0">
      <w:start w:val="0"/>
      <w:numFmt w:val="bullet"/>
      <w:lvlText w:val="•"/>
      <w:lvlJc w:val="left"/>
      <w:pPr>
        <w:ind w:left="4235" w:hanging="529"/>
      </w:pPr>
      <w:rPr>
        <w:rFonts w:hint="default"/>
        <w:lang w:val="en-US" w:eastAsia="zh-CN" w:bidi="ar-SA"/>
      </w:rPr>
    </w:lvl>
    <w:lvl w:ilvl="7" w:tentative="0">
      <w:start w:val="0"/>
      <w:numFmt w:val="bullet"/>
      <w:lvlText w:val="•"/>
      <w:lvlJc w:val="left"/>
      <w:pPr>
        <w:ind w:left="4835" w:hanging="529"/>
      </w:pPr>
      <w:rPr>
        <w:rFonts w:hint="default"/>
        <w:lang w:val="en-US" w:eastAsia="zh-CN" w:bidi="ar-SA"/>
      </w:rPr>
    </w:lvl>
    <w:lvl w:ilvl="8" w:tentative="0">
      <w:start w:val="0"/>
      <w:numFmt w:val="bullet"/>
      <w:lvlText w:val="•"/>
      <w:lvlJc w:val="left"/>
      <w:pPr>
        <w:ind w:left="5434" w:hanging="529"/>
      </w:pPr>
      <w:rPr>
        <w:rFonts w:hint="default"/>
        <w:lang w:val="en-US" w:eastAsia="zh-CN" w:bidi="ar-SA"/>
      </w:rPr>
    </w:lvl>
  </w:abstractNum>
  <w:abstractNum w:abstractNumId="106">
    <w:nsid w:val="46A08BB8"/>
    <w:multiLevelType w:val="multilevel"/>
    <w:tmpl w:val="46A08BB8"/>
    <w:lvl w:ilvl="0" w:tentative="0">
      <w:start w:val="1"/>
      <w:numFmt w:val="decimal"/>
      <w:lvlText w:val="（%1）"/>
      <w:lvlJc w:val="left"/>
      <w:pPr>
        <w:ind w:left="3561" w:hanging="530"/>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4280" w:hanging="530"/>
      </w:pPr>
      <w:rPr>
        <w:rFonts w:hint="default"/>
        <w:lang w:val="en-US" w:eastAsia="zh-CN" w:bidi="ar-SA"/>
      </w:rPr>
    </w:lvl>
    <w:lvl w:ilvl="2" w:tentative="0">
      <w:start w:val="0"/>
      <w:numFmt w:val="bullet"/>
      <w:lvlText w:val="•"/>
      <w:lvlJc w:val="left"/>
      <w:pPr>
        <w:ind w:left="5001" w:hanging="530"/>
      </w:pPr>
      <w:rPr>
        <w:rFonts w:hint="default"/>
        <w:lang w:val="en-US" w:eastAsia="zh-CN" w:bidi="ar-SA"/>
      </w:rPr>
    </w:lvl>
    <w:lvl w:ilvl="3" w:tentative="0">
      <w:start w:val="0"/>
      <w:numFmt w:val="bullet"/>
      <w:lvlText w:val="•"/>
      <w:lvlJc w:val="left"/>
      <w:pPr>
        <w:ind w:left="5721" w:hanging="530"/>
      </w:pPr>
      <w:rPr>
        <w:rFonts w:hint="default"/>
        <w:lang w:val="en-US" w:eastAsia="zh-CN" w:bidi="ar-SA"/>
      </w:rPr>
    </w:lvl>
    <w:lvl w:ilvl="4" w:tentative="0">
      <w:start w:val="0"/>
      <w:numFmt w:val="bullet"/>
      <w:lvlText w:val="•"/>
      <w:lvlJc w:val="left"/>
      <w:pPr>
        <w:ind w:left="6442" w:hanging="530"/>
      </w:pPr>
      <w:rPr>
        <w:rFonts w:hint="default"/>
        <w:lang w:val="en-US" w:eastAsia="zh-CN" w:bidi="ar-SA"/>
      </w:rPr>
    </w:lvl>
    <w:lvl w:ilvl="5" w:tentative="0">
      <w:start w:val="0"/>
      <w:numFmt w:val="bullet"/>
      <w:lvlText w:val="•"/>
      <w:lvlJc w:val="left"/>
      <w:pPr>
        <w:ind w:left="7163" w:hanging="530"/>
      </w:pPr>
      <w:rPr>
        <w:rFonts w:hint="default"/>
        <w:lang w:val="en-US" w:eastAsia="zh-CN" w:bidi="ar-SA"/>
      </w:rPr>
    </w:lvl>
    <w:lvl w:ilvl="6" w:tentative="0">
      <w:start w:val="0"/>
      <w:numFmt w:val="bullet"/>
      <w:lvlText w:val="•"/>
      <w:lvlJc w:val="left"/>
      <w:pPr>
        <w:ind w:left="7883" w:hanging="530"/>
      </w:pPr>
      <w:rPr>
        <w:rFonts w:hint="default"/>
        <w:lang w:val="en-US" w:eastAsia="zh-CN" w:bidi="ar-SA"/>
      </w:rPr>
    </w:lvl>
    <w:lvl w:ilvl="7" w:tentative="0">
      <w:start w:val="0"/>
      <w:numFmt w:val="bullet"/>
      <w:lvlText w:val="•"/>
      <w:lvlJc w:val="left"/>
      <w:pPr>
        <w:ind w:left="8604" w:hanging="530"/>
      </w:pPr>
      <w:rPr>
        <w:rFonts w:hint="default"/>
        <w:lang w:val="en-US" w:eastAsia="zh-CN" w:bidi="ar-SA"/>
      </w:rPr>
    </w:lvl>
    <w:lvl w:ilvl="8" w:tentative="0">
      <w:start w:val="0"/>
      <w:numFmt w:val="bullet"/>
      <w:lvlText w:val="•"/>
      <w:lvlJc w:val="left"/>
      <w:pPr>
        <w:ind w:left="9325" w:hanging="530"/>
      </w:pPr>
      <w:rPr>
        <w:rFonts w:hint="default"/>
        <w:lang w:val="en-US" w:eastAsia="zh-CN" w:bidi="ar-SA"/>
      </w:rPr>
    </w:lvl>
  </w:abstractNum>
  <w:abstractNum w:abstractNumId="107">
    <w:nsid w:val="4A51D704"/>
    <w:multiLevelType w:val="multilevel"/>
    <w:tmpl w:val="4A51D704"/>
    <w:lvl w:ilvl="0" w:tentative="0">
      <w:start w:val="1"/>
      <w:numFmt w:val="decimal"/>
      <w:lvlText w:val="（%1）"/>
      <w:lvlJc w:val="left"/>
      <w:pPr>
        <w:ind w:left="636"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238" w:hanging="529"/>
      </w:pPr>
      <w:rPr>
        <w:rFonts w:hint="default"/>
        <w:lang w:val="en-US" w:eastAsia="zh-CN" w:bidi="ar-SA"/>
      </w:rPr>
    </w:lvl>
    <w:lvl w:ilvl="2" w:tentative="0">
      <w:start w:val="0"/>
      <w:numFmt w:val="bullet"/>
      <w:lvlText w:val="•"/>
      <w:lvlJc w:val="left"/>
      <w:pPr>
        <w:ind w:left="1837" w:hanging="529"/>
      </w:pPr>
      <w:rPr>
        <w:rFonts w:hint="default"/>
        <w:lang w:val="en-US" w:eastAsia="zh-CN" w:bidi="ar-SA"/>
      </w:rPr>
    </w:lvl>
    <w:lvl w:ilvl="3" w:tentative="0">
      <w:start w:val="0"/>
      <w:numFmt w:val="bullet"/>
      <w:lvlText w:val="•"/>
      <w:lvlJc w:val="left"/>
      <w:pPr>
        <w:ind w:left="2435" w:hanging="529"/>
      </w:pPr>
      <w:rPr>
        <w:rFonts w:hint="default"/>
        <w:lang w:val="en-US" w:eastAsia="zh-CN" w:bidi="ar-SA"/>
      </w:rPr>
    </w:lvl>
    <w:lvl w:ilvl="4" w:tentative="0">
      <w:start w:val="0"/>
      <w:numFmt w:val="bullet"/>
      <w:lvlText w:val="•"/>
      <w:lvlJc w:val="left"/>
      <w:pPr>
        <w:ind w:left="3034" w:hanging="529"/>
      </w:pPr>
      <w:rPr>
        <w:rFonts w:hint="default"/>
        <w:lang w:val="en-US" w:eastAsia="zh-CN" w:bidi="ar-SA"/>
      </w:rPr>
    </w:lvl>
    <w:lvl w:ilvl="5" w:tentative="0">
      <w:start w:val="0"/>
      <w:numFmt w:val="bullet"/>
      <w:lvlText w:val="•"/>
      <w:lvlJc w:val="left"/>
      <w:pPr>
        <w:ind w:left="3633" w:hanging="529"/>
      </w:pPr>
      <w:rPr>
        <w:rFonts w:hint="default"/>
        <w:lang w:val="en-US" w:eastAsia="zh-CN" w:bidi="ar-SA"/>
      </w:rPr>
    </w:lvl>
    <w:lvl w:ilvl="6" w:tentative="0">
      <w:start w:val="0"/>
      <w:numFmt w:val="bullet"/>
      <w:lvlText w:val="•"/>
      <w:lvlJc w:val="left"/>
      <w:pPr>
        <w:ind w:left="4231" w:hanging="529"/>
      </w:pPr>
      <w:rPr>
        <w:rFonts w:hint="default"/>
        <w:lang w:val="en-US" w:eastAsia="zh-CN" w:bidi="ar-SA"/>
      </w:rPr>
    </w:lvl>
    <w:lvl w:ilvl="7" w:tentative="0">
      <w:start w:val="0"/>
      <w:numFmt w:val="bullet"/>
      <w:lvlText w:val="•"/>
      <w:lvlJc w:val="left"/>
      <w:pPr>
        <w:ind w:left="4830" w:hanging="529"/>
      </w:pPr>
      <w:rPr>
        <w:rFonts w:hint="default"/>
        <w:lang w:val="en-US" w:eastAsia="zh-CN" w:bidi="ar-SA"/>
      </w:rPr>
    </w:lvl>
    <w:lvl w:ilvl="8" w:tentative="0">
      <w:start w:val="0"/>
      <w:numFmt w:val="bullet"/>
      <w:lvlText w:val="•"/>
      <w:lvlJc w:val="left"/>
      <w:pPr>
        <w:ind w:left="5428" w:hanging="529"/>
      </w:pPr>
      <w:rPr>
        <w:rFonts w:hint="default"/>
        <w:lang w:val="en-US" w:eastAsia="zh-CN" w:bidi="ar-SA"/>
      </w:rPr>
    </w:lvl>
  </w:abstractNum>
  <w:abstractNum w:abstractNumId="108">
    <w:nsid w:val="4C1BAE26"/>
    <w:multiLevelType w:val="multilevel"/>
    <w:tmpl w:val="4C1BAE26"/>
    <w:lvl w:ilvl="0" w:tentative="0">
      <w:start w:val="1"/>
      <w:numFmt w:val="decimal"/>
      <w:lvlText w:val="（%1）"/>
      <w:lvlJc w:val="left"/>
      <w:pPr>
        <w:ind w:left="749" w:hanging="530"/>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460" w:hanging="530"/>
      </w:pPr>
      <w:rPr>
        <w:rFonts w:hint="default"/>
        <w:lang w:val="en-US" w:eastAsia="zh-CN" w:bidi="ar-SA"/>
      </w:rPr>
    </w:lvl>
    <w:lvl w:ilvl="2" w:tentative="0">
      <w:start w:val="0"/>
      <w:numFmt w:val="bullet"/>
      <w:lvlText w:val="•"/>
      <w:lvlJc w:val="left"/>
      <w:pPr>
        <w:ind w:left="2181" w:hanging="530"/>
      </w:pPr>
      <w:rPr>
        <w:rFonts w:hint="default"/>
        <w:lang w:val="en-US" w:eastAsia="zh-CN" w:bidi="ar-SA"/>
      </w:rPr>
    </w:lvl>
    <w:lvl w:ilvl="3" w:tentative="0">
      <w:start w:val="0"/>
      <w:numFmt w:val="bullet"/>
      <w:lvlText w:val="•"/>
      <w:lvlJc w:val="left"/>
      <w:pPr>
        <w:ind w:left="2902" w:hanging="530"/>
      </w:pPr>
      <w:rPr>
        <w:rFonts w:hint="default"/>
        <w:lang w:val="en-US" w:eastAsia="zh-CN" w:bidi="ar-SA"/>
      </w:rPr>
    </w:lvl>
    <w:lvl w:ilvl="4" w:tentative="0">
      <w:start w:val="0"/>
      <w:numFmt w:val="bullet"/>
      <w:lvlText w:val="•"/>
      <w:lvlJc w:val="left"/>
      <w:pPr>
        <w:ind w:left="3623" w:hanging="530"/>
      </w:pPr>
      <w:rPr>
        <w:rFonts w:hint="default"/>
        <w:lang w:val="en-US" w:eastAsia="zh-CN" w:bidi="ar-SA"/>
      </w:rPr>
    </w:lvl>
    <w:lvl w:ilvl="5" w:tentative="0">
      <w:start w:val="0"/>
      <w:numFmt w:val="bullet"/>
      <w:lvlText w:val="•"/>
      <w:lvlJc w:val="left"/>
      <w:pPr>
        <w:ind w:left="4344" w:hanging="530"/>
      </w:pPr>
      <w:rPr>
        <w:rFonts w:hint="default"/>
        <w:lang w:val="en-US" w:eastAsia="zh-CN" w:bidi="ar-SA"/>
      </w:rPr>
    </w:lvl>
    <w:lvl w:ilvl="6" w:tentative="0">
      <w:start w:val="0"/>
      <w:numFmt w:val="bullet"/>
      <w:lvlText w:val="•"/>
      <w:lvlJc w:val="left"/>
      <w:pPr>
        <w:ind w:left="5065" w:hanging="530"/>
      </w:pPr>
      <w:rPr>
        <w:rFonts w:hint="default"/>
        <w:lang w:val="en-US" w:eastAsia="zh-CN" w:bidi="ar-SA"/>
      </w:rPr>
    </w:lvl>
    <w:lvl w:ilvl="7" w:tentative="0">
      <w:start w:val="0"/>
      <w:numFmt w:val="bullet"/>
      <w:lvlText w:val="•"/>
      <w:lvlJc w:val="left"/>
      <w:pPr>
        <w:ind w:left="5785" w:hanging="530"/>
      </w:pPr>
      <w:rPr>
        <w:rFonts w:hint="default"/>
        <w:lang w:val="en-US" w:eastAsia="zh-CN" w:bidi="ar-SA"/>
      </w:rPr>
    </w:lvl>
    <w:lvl w:ilvl="8" w:tentative="0">
      <w:start w:val="0"/>
      <w:numFmt w:val="bullet"/>
      <w:lvlText w:val="•"/>
      <w:lvlJc w:val="left"/>
      <w:pPr>
        <w:ind w:left="6506" w:hanging="530"/>
      </w:pPr>
      <w:rPr>
        <w:rFonts w:hint="default"/>
        <w:lang w:val="en-US" w:eastAsia="zh-CN" w:bidi="ar-SA"/>
      </w:rPr>
    </w:lvl>
  </w:abstractNum>
  <w:abstractNum w:abstractNumId="109">
    <w:nsid w:val="4C3D7A74"/>
    <w:multiLevelType w:val="multilevel"/>
    <w:tmpl w:val="4C3D7A74"/>
    <w:lvl w:ilvl="0" w:tentative="0">
      <w:start w:val="1"/>
      <w:numFmt w:val="decimal"/>
      <w:lvlText w:val="（%1）"/>
      <w:lvlJc w:val="left"/>
      <w:pPr>
        <w:ind w:left="636"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238" w:hanging="529"/>
      </w:pPr>
      <w:rPr>
        <w:rFonts w:hint="default"/>
        <w:lang w:val="en-US" w:eastAsia="zh-CN" w:bidi="ar-SA"/>
      </w:rPr>
    </w:lvl>
    <w:lvl w:ilvl="2" w:tentative="0">
      <w:start w:val="0"/>
      <w:numFmt w:val="bullet"/>
      <w:lvlText w:val="•"/>
      <w:lvlJc w:val="left"/>
      <w:pPr>
        <w:ind w:left="1837" w:hanging="529"/>
      </w:pPr>
      <w:rPr>
        <w:rFonts w:hint="default"/>
        <w:lang w:val="en-US" w:eastAsia="zh-CN" w:bidi="ar-SA"/>
      </w:rPr>
    </w:lvl>
    <w:lvl w:ilvl="3" w:tentative="0">
      <w:start w:val="0"/>
      <w:numFmt w:val="bullet"/>
      <w:lvlText w:val="•"/>
      <w:lvlJc w:val="left"/>
      <w:pPr>
        <w:ind w:left="2435" w:hanging="529"/>
      </w:pPr>
      <w:rPr>
        <w:rFonts w:hint="default"/>
        <w:lang w:val="en-US" w:eastAsia="zh-CN" w:bidi="ar-SA"/>
      </w:rPr>
    </w:lvl>
    <w:lvl w:ilvl="4" w:tentative="0">
      <w:start w:val="0"/>
      <w:numFmt w:val="bullet"/>
      <w:lvlText w:val="•"/>
      <w:lvlJc w:val="left"/>
      <w:pPr>
        <w:ind w:left="3034" w:hanging="529"/>
      </w:pPr>
      <w:rPr>
        <w:rFonts w:hint="default"/>
        <w:lang w:val="en-US" w:eastAsia="zh-CN" w:bidi="ar-SA"/>
      </w:rPr>
    </w:lvl>
    <w:lvl w:ilvl="5" w:tentative="0">
      <w:start w:val="0"/>
      <w:numFmt w:val="bullet"/>
      <w:lvlText w:val="•"/>
      <w:lvlJc w:val="left"/>
      <w:pPr>
        <w:ind w:left="3633" w:hanging="529"/>
      </w:pPr>
      <w:rPr>
        <w:rFonts w:hint="default"/>
        <w:lang w:val="en-US" w:eastAsia="zh-CN" w:bidi="ar-SA"/>
      </w:rPr>
    </w:lvl>
    <w:lvl w:ilvl="6" w:tentative="0">
      <w:start w:val="0"/>
      <w:numFmt w:val="bullet"/>
      <w:lvlText w:val="•"/>
      <w:lvlJc w:val="left"/>
      <w:pPr>
        <w:ind w:left="4231" w:hanging="529"/>
      </w:pPr>
      <w:rPr>
        <w:rFonts w:hint="default"/>
        <w:lang w:val="en-US" w:eastAsia="zh-CN" w:bidi="ar-SA"/>
      </w:rPr>
    </w:lvl>
    <w:lvl w:ilvl="7" w:tentative="0">
      <w:start w:val="0"/>
      <w:numFmt w:val="bullet"/>
      <w:lvlText w:val="•"/>
      <w:lvlJc w:val="left"/>
      <w:pPr>
        <w:ind w:left="4830" w:hanging="529"/>
      </w:pPr>
      <w:rPr>
        <w:rFonts w:hint="default"/>
        <w:lang w:val="en-US" w:eastAsia="zh-CN" w:bidi="ar-SA"/>
      </w:rPr>
    </w:lvl>
    <w:lvl w:ilvl="8" w:tentative="0">
      <w:start w:val="0"/>
      <w:numFmt w:val="bullet"/>
      <w:lvlText w:val="•"/>
      <w:lvlJc w:val="left"/>
      <w:pPr>
        <w:ind w:left="5428" w:hanging="529"/>
      </w:pPr>
      <w:rPr>
        <w:rFonts w:hint="default"/>
        <w:lang w:val="en-US" w:eastAsia="zh-CN" w:bidi="ar-SA"/>
      </w:rPr>
    </w:lvl>
  </w:abstractNum>
  <w:abstractNum w:abstractNumId="110">
    <w:nsid w:val="4CD1E351"/>
    <w:multiLevelType w:val="multilevel"/>
    <w:tmpl w:val="4CD1E351"/>
    <w:lvl w:ilvl="0" w:tentative="0">
      <w:start w:val="1"/>
      <w:numFmt w:val="lowerLetter"/>
      <w:lvlText w:val="%1."/>
      <w:lvlJc w:val="left"/>
      <w:pPr>
        <w:ind w:left="527" w:hanging="420"/>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1130" w:hanging="420"/>
      </w:pPr>
      <w:rPr>
        <w:rFonts w:hint="default"/>
        <w:lang w:val="en-US" w:eastAsia="zh-CN" w:bidi="ar-SA"/>
      </w:rPr>
    </w:lvl>
    <w:lvl w:ilvl="2" w:tentative="0">
      <w:start w:val="0"/>
      <w:numFmt w:val="bullet"/>
      <w:lvlText w:val="•"/>
      <w:lvlJc w:val="left"/>
      <w:pPr>
        <w:ind w:left="1741" w:hanging="420"/>
      </w:pPr>
      <w:rPr>
        <w:rFonts w:hint="default"/>
        <w:lang w:val="en-US" w:eastAsia="zh-CN" w:bidi="ar-SA"/>
      </w:rPr>
    </w:lvl>
    <w:lvl w:ilvl="3" w:tentative="0">
      <w:start w:val="0"/>
      <w:numFmt w:val="bullet"/>
      <w:lvlText w:val="•"/>
      <w:lvlJc w:val="left"/>
      <w:pPr>
        <w:ind w:left="2351" w:hanging="420"/>
      </w:pPr>
      <w:rPr>
        <w:rFonts w:hint="default"/>
        <w:lang w:val="en-US" w:eastAsia="zh-CN" w:bidi="ar-SA"/>
      </w:rPr>
    </w:lvl>
    <w:lvl w:ilvl="4" w:tentative="0">
      <w:start w:val="0"/>
      <w:numFmt w:val="bullet"/>
      <w:lvlText w:val="•"/>
      <w:lvlJc w:val="left"/>
      <w:pPr>
        <w:ind w:left="2962" w:hanging="420"/>
      </w:pPr>
      <w:rPr>
        <w:rFonts w:hint="default"/>
        <w:lang w:val="en-US" w:eastAsia="zh-CN" w:bidi="ar-SA"/>
      </w:rPr>
    </w:lvl>
    <w:lvl w:ilvl="5" w:tentative="0">
      <w:start w:val="0"/>
      <w:numFmt w:val="bullet"/>
      <w:lvlText w:val="•"/>
      <w:lvlJc w:val="left"/>
      <w:pPr>
        <w:ind w:left="3573" w:hanging="420"/>
      </w:pPr>
      <w:rPr>
        <w:rFonts w:hint="default"/>
        <w:lang w:val="en-US" w:eastAsia="zh-CN" w:bidi="ar-SA"/>
      </w:rPr>
    </w:lvl>
    <w:lvl w:ilvl="6" w:tentative="0">
      <w:start w:val="0"/>
      <w:numFmt w:val="bullet"/>
      <w:lvlText w:val="•"/>
      <w:lvlJc w:val="left"/>
      <w:pPr>
        <w:ind w:left="4183" w:hanging="420"/>
      </w:pPr>
      <w:rPr>
        <w:rFonts w:hint="default"/>
        <w:lang w:val="en-US" w:eastAsia="zh-CN" w:bidi="ar-SA"/>
      </w:rPr>
    </w:lvl>
    <w:lvl w:ilvl="7" w:tentative="0">
      <w:start w:val="0"/>
      <w:numFmt w:val="bullet"/>
      <w:lvlText w:val="•"/>
      <w:lvlJc w:val="left"/>
      <w:pPr>
        <w:ind w:left="4794" w:hanging="420"/>
      </w:pPr>
      <w:rPr>
        <w:rFonts w:hint="default"/>
        <w:lang w:val="en-US" w:eastAsia="zh-CN" w:bidi="ar-SA"/>
      </w:rPr>
    </w:lvl>
    <w:lvl w:ilvl="8" w:tentative="0">
      <w:start w:val="0"/>
      <w:numFmt w:val="bullet"/>
      <w:lvlText w:val="•"/>
      <w:lvlJc w:val="left"/>
      <w:pPr>
        <w:ind w:left="5404" w:hanging="420"/>
      </w:pPr>
      <w:rPr>
        <w:rFonts w:hint="default"/>
        <w:lang w:val="en-US" w:eastAsia="zh-CN" w:bidi="ar-SA"/>
      </w:rPr>
    </w:lvl>
  </w:abstractNum>
  <w:abstractNum w:abstractNumId="111">
    <w:nsid w:val="4D4DC07F"/>
    <w:multiLevelType w:val="multilevel"/>
    <w:tmpl w:val="4D4DC07F"/>
    <w:lvl w:ilvl="0" w:tentative="0">
      <w:start w:val="1"/>
      <w:numFmt w:val="decimal"/>
      <w:lvlText w:val="（%1）"/>
      <w:lvlJc w:val="left"/>
      <w:pPr>
        <w:ind w:left="615" w:hanging="530"/>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265" w:hanging="530"/>
      </w:pPr>
      <w:rPr>
        <w:rFonts w:hint="default"/>
        <w:lang w:val="en-US" w:eastAsia="zh-CN" w:bidi="ar-SA"/>
      </w:rPr>
    </w:lvl>
    <w:lvl w:ilvl="2" w:tentative="0">
      <w:start w:val="0"/>
      <w:numFmt w:val="bullet"/>
      <w:lvlText w:val="•"/>
      <w:lvlJc w:val="left"/>
      <w:pPr>
        <w:ind w:left="1910" w:hanging="530"/>
      </w:pPr>
      <w:rPr>
        <w:rFonts w:hint="default"/>
        <w:lang w:val="en-US" w:eastAsia="zh-CN" w:bidi="ar-SA"/>
      </w:rPr>
    </w:lvl>
    <w:lvl w:ilvl="3" w:tentative="0">
      <w:start w:val="0"/>
      <w:numFmt w:val="bullet"/>
      <w:lvlText w:val="•"/>
      <w:lvlJc w:val="left"/>
      <w:pPr>
        <w:ind w:left="2555" w:hanging="530"/>
      </w:pPr>
      <w:rPr>
        <w:rFonts w:hint="default"/>
        <w:lang w:val="en-US" w:eastAsia="zh-CN" w:bidi="ar-SA"/>
      </w:rPr>
    </w:lvl>
    <w:lvl w:ilvl="4" w:tentative="0">
      <w:start w:val="0"/>
      <w:numFmt w:val="bullet"/>
      <w:lvlText w:val="•"/>
      <w:lvlJc w:val="left"/>
      <w:pPr>
        <w:ind w:left="3200" w:hanging="530"/>
      </w:pPr>
      <w:rPr>
        <w:rFonts w:hint="default"/>
        <w:lang w:val="en-US" w:eastAsia="zh-CN" w:bidi="ar-SA"/>
      </w:rPr>
    </w:lvl>
    <w:lvl w:ilvl="5" w:tentative="0">
      <w:start w:val="0"/>
      <w:numFmt w:val="bullet"/>
      <w:lvlText w:val="•"/>
      <w:lvlJc w:val="left"/>
      <w:pPr>
        <w:ind w:left="3845" w:hanging="530"/>
      </w:pPr>
      <w:rPr>
        <w:rFonts w:hint="default"/>
        <w:lang w:val="en-US" w:eastAsia="zh-CN" w:bidi="ar-SA"/>
      </w:rPr>
    </w:lvl>
    <w:lvl w:ilvl="6" w:tentative="0">
      <w:start w:val="0"/>
      <w:numFmt w:val="bullet"/>
      <w:lvlText w:val="•"/>
      <w:lvlJc w:val="left"/>
      <w:pPr>
        <w:ind w:left="4490" w:hanging="530"/>
      </w:pPr>
      <w:rPr>
        <w:rFonts w:hint="default"/>
        <w:lang w:val="en-US" w:eastAsia="zh-CN" w:bidi="ar-SA"/>
      </w:rPr>
    </w:lvl>
    <w:lvl w:ilvl="7" w:tentative="0">
      <w:start w:val="0"/>
      <w:numFmt w:val="bullet"/>
      <w:lvlText w:val="•"/>
      <w:lvlJc w:val="left"/>
      <w:pPr>
        <w:ind w:left="5135" w:hanging="530"/>
      </w:pPr>
      <w:rPr>
        <w:rFonts w:hint="default"/>
        <w:lang w:val="en-US" w:eastAsia="zh-CN" w:bidi="ar-SA"/>
      </w:rPr>
    </w:lvl>
    <w:lvl w:ilvl="8" w:tentative="0">
      <w:start w:val="0"/>
      <w:numFmt w:val="bullet"/>
      <w:lvlText w:val="•"/>
      <w:lvlJc w:val="left"/>
      <w:pPr>
        <w:ind w:left="5780" w:hanging="530"/>
      </w:pPr>
      <w:rPr>
        <w:rFonts w:hint="default"/>
        <w:lang w:val="en-US" w:eastAsia="zh-CN" w:bidi="ar-SA"/>
      </w:rPr>
    </w:lvl>
  </w:abstractNum>
  <w:abstractNum w:abstractNumId="112">
    <w:nsid w:val="4D63189B"/>
    <w:multiLevelType w:val="multilevel"/>
    <w:tmpl w:val="4D63189B"/>
    <w:lvl w:ilvl="0" w:tentative="0">
      <w:start w:val="1"/>
      <w:numFmt w:val="decimal"/>
      <w:lvlText w:val="（%1）"/>
      <w:lvlJc w:val="left"/>
      <w:pPr>
        <w:ind w:left="63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239" w:hanging="529"/>
      </w:pPr>
      <w:rPr>
        <w:rFonts w:hint="default"/>
        <w:lang w:val="en-US" w:eastAsia="zh-CN" w:bidi="ar-SA"/>
      </w:rPr>
    </w:lvl>
    <w:lvl w:ilvl="2" w:tentative="0">
      <w:start w:val="0"/>
      <w:numFmt w:val="bullet"/>
      <w:lvlText w:val="•"/>
      <w:lvlJc w:val="left"/>
      <w:pPr>
        <w:ind w:left="1838" w:hanging="529"/>
      </w:pPr>
      <w:rPr>
        <w:rFonts w:hint="default"/>
        <w:lang w:val="en-US" w:eastAsia="zh-CN" w:bidi="ar-SA"/>
      </w:rPr>
    </w:lvl>
    <w:lvl w:ilvl="3" w:tentative="0">
      <w:start w:val="0"/>
      <w:numFmt w:val="bullet"/>
      <w:lvlText w:val="•"/>
      <w:lvlJc w:val="left"/>
      <w:pPr>
        <w:ind w:left="2437" w:hanging="529"/>
      </w:pPr>
      <w:rPr>
        <w:rFonts w:hint="default"/>
        <w:lang w:val="en-US" w:eastAsia="zh-CN" w:bidi="ar-SA"/>
      </w:rPr>
    </w:lvl>
    <w:lvl w:ilvl="4" w:tentative="0">
      <w:start w:val="0"/>
      <w:numFmt w:val="bullet"/>
      <w:lvlText w:val="•"/>
      <w:lvlJc w:val="left"/>
      <w:pPr>
        <w:ind w:left="3037" w:hanging="529"/>
      </w:pPr>
      <w:rPr>
        <w:rFonts w:hint="default"/>
        <w:lang w:val="en-US" w:eastAsia="zh-CN" w:bidi="ar-SA"/>
      </w:rPr>
    </w:lvl>
    <w:lvl w:ilvl="5" w:tentative="0">
      <w:start w:val="0"/>
      <w:numFmt w:val="bullet"/>
      <w:lvlText w:val="•"/>
      <w:lvlJc w:val="left"/>
      <w:pPr>
        <w:ind w:left="3636" w:hanging="529"/>
      </w:pPr>
      <w:rPr>
        <w:rFonts w:hint="default"/>
        <w:lang w:val="en-US" w:eastAsia="zh-CN" w:bidi="ar-SA"/>
      </w:rPr>
    </w:lvl>
    <w:lvl w:ilvl="6" w:tentative="0">
      <w:start w:val="0"/>
      <w:numFmt w:val="bullet"/>
      <w:lvlText w:val="•"/>
      <w:lvlJc w:val="left"/>
      <w:pPr>
        <w:ind w:left="4235" w:hanging="529"/>
      </w:pPr>
      <w:rPr>
        <w:rFonts w:hint="default"/>
        <w:lang w:val="en-US" w:eastAsia="zh-CN" w:bidi="ar-SA"/>
      </w:rPr>
    </w:lvl>
    <w:lvl w:ilvl="7" w:tentative="0">
      <w:start w:val="0"/>
      <w:numFmt w:val="bullet"/>
      <w:lvlText w:val="•"/>
      <w:lvlJc w:val="left"/>
      <w:pPr>
        <w:ind w:left="4835" w:hanging="529"/>
      </w:pPr>
      <w:rPr>
        <w:rFonts w:hint="default"/>
        <w:lang w:val="en-US" w:eastAsia="zh-CN" w:bidi="ar-SA"/>
      </w:rPr>
    </w:lvl>
    <w:lvl w:ilvl="8" w:tentative="0">
      <w:start w:val="0"/>
      <w:numFmt w:val="bullet"/>
      <w:lvlText w:val="•"/>
      <w:lvlJc w:val="left"/>
      <w:pPr>
        <w:ind w:left="5434" w:hanging="529"/>
      </w:pPr>
      <w:rPr>
        <w:rFonts w:hint="default"/>
        <w:lang w:val="en-US" w:eastAsia="zh-CN" w:bidi="ar-SA"/>
      </w:rPr>
    </w:lvl>
  </w:abstractNum>
  <w:abstractNum w:abstractNumId="113">
    <w:nsid w:val="4D94DA66"/>
    <w:multiLevelType w:val="multilevel"/>
    <w:tmpl w:val="4D94DA66"/>
    <w:lvl w:ilvl="0" w:tentative="0">
      <w:start w:val="3"/>
      <w:numFmt w:val="decimal"/>
      <w:lvlText w:val="（%1）"/>
      <w:lvlJc w:val="left"/>
      <w:pPr>
        <w:ind w:left="636"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238" w:hanging="529"/>
      </w:pPr>
      <w:rPr>
        <w:rFonts w:hint="default"/>
        <w:lang w:val="en-US" w:eastAsia="zh-CN" w:bidi="ar-SA"/>
      </w:rPr>
    </w:lvl>
    <w:lvl w:ilvl="2" w:tentative="0">
      <w:start w:val="0"/>
      <w:numFmt w:val="bullet"/>
      <w:lvlText w:val="•"/>
      <w:lvlJc w:val="left"/>
      <w:pPr>
        <w:ind w:left="1837" w:hanging="529"/>
      </w:pPr>
      <w:rPr>
        <w:rFonts w:hint="default"/>
        <w:lang w:val="en-US" w:eastAsia="zh-CN" w:bidi="ar-SA"/>
      </w:rPr>
    </w:lvl>
    <w:lvl w:ilvl="3" w:tentative="0">
      <w:start w:val="0"/>
      <w:numFmt w:val="bullet"/>
      <w:lvlText w:val="•"/>
      <w:lvlJc w:val="left"/>
      <w:pPr>
        <w:ind w:left="2435" w:hanging="529"/>
      </w:pPr>
      <w:rPr>
        <w:rFonts w:hint="default"/>
        <w:lang w:val="en-US" w:eastAsia="zh-CN" w:bidi="ar-SA"/>
      </w:rPr>
    </w:lvl>
    <w:lvl w:ilvl="4" w:tentative="0">
      <w:start w:val="0"/>
      <w:numFmt w:val="bullet"/>
      <w:lvlText w:val="•"/>
      <w:lvlJc w:val="left"/>
      <w:pPr>
        <w:ind w:left="3034" w:hanging="529"/>
      </w:pPr>
      <w:rPr>
        <w:rFonts w:hint="default"/>
        <w:lang w:val="en-US" w:eastAsia="zh-CN" w:bidi="ar-SA"/>
      </w:rPr>
    </w:lvl>
    <w:lvl w:ilvl="5" w:tentative="0">
      <w:start w:val="0"/>
      <w:numFmt w:val="bullet"/>
      <w:lvlText w:val="•"/>
      <w:lvlJc w:val="left"/>
      <w:pPr>
        <w:ind w:left="3633" w:hanging="529"/>
      </w:pPr>
      <w:rPr>
        <w:rFonts w:hint="default"/>
        <w:lang w:val="en-US" w:eastAsia="zh-CN" w:bidi="ar-SA"/>
      </w:rPr>
    </w:lvl>
    <w:lvl w:ilvl="6" w:tentative="0">
      <w:start w:val="0"/>
      <w:numFmt w:val="bullet"/>
      <w:lvlText w:val="•"/>
      <w:lvlJc w:val="left"/>
      <w:pPr>
        <w:ind w:left="4231" w:hanging="529"/>
      </w:pPr>
      <w:rPr>
        <w:rFonts w:hint="default"/>
        <w:lang w:val="en-US" w:eastAsia="zh-CN" w:bidi="ar-SA"/>
      </w:rPr>
    </w:lvl>
    <w:lvl w:ilvl="7" w:tentative="0">
      <w:start w:val="0"/>
      <w:numFmt w:val="bullet"/>
      <w:lvlText w:val="•"/>
      <w:lvlJc w:val="left"/>
      <w:pPr>
        <w:ind w:left="4830" w:hanging="529"/>
      </w:pPr>
      <w:rPr>
        <w:rFonts w:hint="default"/>
        <w:lang w:val="en-US" w:eastAsia="zh-CN" w:bidi="ar-SA"/>
      </w:rPr>
    </w:lvl>
    <w:lvl w:ilvl="8" w:tentative="0">
      <w:start w:val="0"/>
      <w:numFmt w:val="bullet"/>
      <w:lvlText w:val="•"/>
      <w:lvlJc w:val="left"/>
      <w:pPr>
        <w:ind w:left="5428" w:hanging="529"/>
      </w:pPr>
      <w:rPr>
        <w:rFonts w:hint="default"/>
        <w:lang w:val="en-US" w:eastAsia="zh-CN" w:bidi="ar-SA"/>
      </w:rPr>
    </w:lvl>
  </w:abstractNum>
  <w:abstractNum w:abstractNumId="114">
    <w:nsid w:val="4FB438A5"/>
    <w:multiLevelType w:val="multilevel"/>
    <w:tmpl w:val="4FB438A5"/>
    <w:lvl w:ilvl="0" w:tentative="0">
      <w:start w:val="1"/>
      <w:numFmt w:val="decimal"/>
      <w:lvlText w:val="（%1）"/>
      <w:lvlJc w:val="left"/>
      <w:pPr>
        <w:ind w:left="108" w:hanging="532"/>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753" w:hanging="532"/>
      </w:pPr>
      <w:rPr>
        <w:rFonts w:hint="default"/>
        <w:lang w:val="en-US" w:eastAsia="zh-CN" w:bidi="ar-SA"/>
      </w:rPr>
    </w:lvl>
    <w:lvl w:ilvl="2" w:tentative="0">
      <w:start w:val="0"/>
      <w:numFmt w:val="bullet"/>
      <w:lvlText w:val="•"/>
      <w:lvlJc w:val="left"/>
      <w:pPr>
        <w:ind w:left="1406" w:hanging="532"/>
      </w:pPr>
      <w:rPr>
        <w:rFonts w:hint="default"/>
        <w:lang w:val="en-US" w:eastAsia="zh-CN" w:bidi="ar-SA"/>
      </w:rPr>
    </w:lvl>
    <w:lvl w:ilvl="3" w:tentative="0">
      <w:start w:val="0"/>
      <w:numFmt w:val="bullet"/>
      <w:lvlText w:val="•"/>
      <w:lvlJc w:val="left"/>
      <w:pPr>
        <w:ind w:left="2059" w:hanging="532"/>
      </w:pPr>
      <w:rPr>
        <w:rFonts w:hint="default"/>
        <w:lang w:val="en-US" w:eastAsia="zh-CN" w:bidi="ar-SA"/>
      </w:rPr>
    </w:lvl>
    <w:lvl w:ilvl="4" w:tentative="0">
      <w:start w:val="0"/>
      <w:numFmt w:val="bullet"/>
      <w:lvlText w:val="•"/>
      <w:lvlJc w:val="left"/>
      <w:pPr>
        <w:ind w:left="2713" w:hanging="532"/>
      </w:pPr>
      <w:rPr>
        <w:rFonts w:hint="default"/>
        <w:lang w:val="en-US" w:eastAsia="zh-CN" w:bidi="ar-SA"/>
      </w:rPr>
    </w:lvl>
    <w:lvl w:ilvl="5" w:tentative="0">
      <w:start w:val="0"/>
      <w:numFmt w:val="bullet"/>
      <w:lvlText w:val="•"/>
      <w:lvlJc w:val="left"/>
      <w:pPr>
        <w:ind w:left="3366" w:hanging="532"/>
      </w:pPr>
      <w:rPr>
        <w:rFonts w:hint="default"/>
        <w:lang w:val="en-US" w:eastAsia="zh-CN" w:bidi="ar-SA"/>
      </w:rPr>
    </w:lvl>
    <w:lvl w:ilvl="6" w:tentative="0">
      <w:start w:val="0"/>
      <w:numFmt w:val="bullet"/>
      <w:lvlText w:val="•"/>
      <w:lvlJc w:val="left"/>
      <w:pPr>
        <w:ind w:left="4019" w:hanging="532"/>
      </w:pPr>
      <w:rPr>
        <w:rFonts w:hint="default"/>
        <w:lang w:val="en-US" w:eastAsia="zh-CN" w:bidi="ar-SA"/>
      </w:rPr>
    </w:lvl>
    <w:lvl w:ilvl="7" w:tentative="0">
      <w:start w:val="0"/>
      <w:numFmt w:val="bullet"/>
      <w:lvlText w:val="•"/>
      <w:lvlJc w:val="left"/>
      <w:pPr>
        <w:ind w:left="4673" w:hanging="532"/>
      </w:pPr>
      <w:rPr>
        <w:rFonts w:hint="default"/>
        <w:lang w:val="en-US" w:eastAsia="zh-CN" w:bidi="ar-SA"/>
      </w:rPr>
    </w:lvl>
    <w:lvl w:ilvl="8" w:tentative="0">
      <w:start w:val="0"/>
      <w:numFmt w:val="bullet"/>
      <w:lvlText w:val="•"/>
      <w:lvlJc w:val="left"/>
      <w:pPr>
        <w:ind w:left="5326" w:hanging="532"/>
      </w:pPr>
      <w:rPr>
        <w:rFonts w:hint="default"/>
        <w:lang w:val="en-US" w:eastAsia="zh-CN" w:bidi="ar-SA"/>
      </w:rPr>
    </w:lvl>
  </w:abstractNum>
  <w:abstractNum w:abstractNumId="115">
    <w:nsid w:val="51C4BC33"/>
    <w:multiLevelType w:val="multilevel"/>
    <w:tmpl w:val="51C4BC33"/>
    <w:lvl w:ilvl="0" w:tentative="0">
      <w:start w:val="2"/>
      <w:numFmt w:val="decimal"/>
      <w:lvlText w:val="%1."/>
      <w:lvlJc w:val="left"/>
      <w:pPr>
        <w:ind w:left="320" w:hanging="213"/>
        <w:jc w:val="left"/>
      </w:pPr>
      <w:rPr>
        <w:rFonts w:hint="default" w:ascii="黑体" w:hAnsi="黑体" w:eastAsia="黑体" w:cs="黑体"/>
        <w:b w:val="0"/>
        <w:bCs w:val="0"/>
        <w:i w:val="0"/>
        <w:iCs w:val="0"/>
        <w:w w:val="100"/>
        <w:sz w:val="19"/>
        <w:szCs w:val="19"/>
        <w:shd w:val="clear" w:color="auto" w:fill="D9D9D9"/>
        <w:lang w:val="en-US" w:eastAsia="zh-CN" w:bidi="ar-SA"/>
      </w:rPr>
    </w:lvl>
    <w:lvl w:ilvl="1" w:tentative="0">
      <w:start w:val="0"/>
      <w:numFmt w:val="bullet"/>
      <w:lvlText w:val="•"/>
      <w:lvlJc w:val="left"/>
      <w:pPr>
        <w:ind w:left="951" w:hanging="213"/>
      </w:pPr>
      <w:rPr>
        <w:rFonts w:hint="default"/>
        <w:lang w:val="en-US" w:eastAsia="zh-CN" w:bidi="ar-SA"/>
      </w:rPr>
    </w:lvl>
    <w:lvl w:ilvl="2" w:tentative="0">
      <w:start w:val="0"/>
      <w:numFmt w:val="bullet"/>
      <w:lvlText w:val="•"/>
      <w:lvlJc w:val="left"/>
      <w:pPr>
        <w:ind w:left="1582" w:hanging="213"/>
      </w:pPr>
      <w:rPr>
        <w:rFonts w:hint="default"/>
        <w:lang w:val="en-US" w:eastAsia="zh-CN" w:bidi="ar-SA"/>
      </w:rPr>
    </w:lvl>
    <w:lvl w:ilvl="3" w:tentative="0">
      <w:start w:val="0"/>
      <w:numFmt w:val="bullet"/>
      <w:lvlText w:val="•"/>
      <w:lvlJc w:val="left"/>
      <w:pPr>
        <w:ind w:left="2213" w:hanging="213"/>
      </w:pPr>
      <w:rPr>
        <w:rFonts w:hint="default"/>
        <w:lang w:val="en-US" w:eastAsia="zh-CN" w:bidi="ar-SA"/>
      </w:rPr>
    </w:lvl>
    <w:lvl w:ilvl="4" w:tentative="0">
      <w:start w:val="0"/>
      <w:numFmt w:val="bullet"/>
      <w:lvlText w:val="•"/>
      <w:lvlJc w:val="left"/>
      <w:pPr>
        <w:ind w:left="2845" w:hanging="213"/>
      </w:pPr>
      <w:rPr>
        <w:rFonts w:hint="default"/>
        <w:lang w:val="en-US" w:eastAsia="zh-CN" w:bidi="ar-SA"/>
      </w:rPr>
    </w:lvl>
    <w:lvl w:ilvl="5" w:tentative="0">
      <w:start w:val="0"/>
      <w:numFmt w:val="bullet"/>
      <w:lvlText w:val="•"/>
      <w:lvlJc w:val="left"/>
      <w:pPr>
        <w:ind w:left="3476" w:hanging="213"/>
      </w:pPr>
      <w:rPr>
        <w:rFonts w:hint="default"/>
        <w:lang w:val="en-US" w:eastAsia="zh-CN" w:bidi="ar-SA"/>
      </w:rPr>
    </w:lvl>
    <w:lvl w:ilvl="6" w:tentative="0">
      <w:start w:val="0"/>
      <w:numFmt w:val="bullet"/>
      <w:lvlText w:val="•"/>
      <w:lvlJc w:val="left"/>
      <w:pPr>
        <w:ind w:left="4107" w:hanging="213"/>
      </w:pPr>
      <w:rPr>
        <w:rFonts w:hint="default"/>
        <w:lang w:val="en-US" w:eastAsia="zh-CN" w:bidi="ar-SA"/>
      </w:rPr>
    </w:lvl>
    <w:lvl w:ilvl="7" w:tentative="0">
      <w:start w:val="0"/>
      <w:numFmt w:val="bullet"/>
      <w:lvlText w:val="•"/>
      <w:lvlJc w:val="left"/>
      <w:pPr>
        <w:ind w:left="4739" w:hanging="213"/>
      </w:pPr>
      <w:rPr>
        <w:rFonts w:hint="default"/>
        <w:lang w:val="en-US" w:eastAsia="zh-CN" w:bidi="ar-SA"/>
      </w:rPr>
    </w:lvl>
    <w:lvl w:ilvl="8" w:tentative="0">
      <w:start w:val="0"/>
      <w:numFmt w:val="bullet"/>
      <w:lvlText w:val="•"/>
      <w:lvlJc w:val="left"/>
      <w:pPr>
        <w:ind w:left="5370" w:hanging="213"/>
      </w:pPr>
      <w:rPr>
        <w:rFonts w:hint="default"/>
        <w:lang w:val="en-US" w:eastAsia="zh-CN" w:bidi="ar-SA"/>
      </w:rPr>
    </w:lvl>
  </w:abstractNum>
  <w:abstractNum w:abstractNumId="116">
    <w:nsid w:val="54701CA1"/>
    <w:multiLevelType w:val="multilevel"/>
    <w:tmpl w:val="54701CA1"/>
    <w:lvl w:ilvl="0" w:tentative="0">
      <w:start w:val="1"/>
      <w:numFmt w:val="decimal"/>
      <w:lvlText w:val="（%1）"/>
      <w:lvlJc w:val="left"/>
      <w:pPr>
        <w:ind w:left="63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239" w:hanging="529"/>
      </w:pPr>
      <w:rPr>
        <w:rFonts w:hint="default"/>
        <w:lang w:val="en-US" w:eastAsia="zh-CN" w:bidi="ar-SA"/>
      </w:rPr>
    </w:lvl>
    <w:lvl w:ilvl="2" w:tentative="0">
      <w:start w:val="0"/>
      <w:numFmt w:val="bullet"/>
      <w:lvlText w:val="•"/>
      <w:lvlJc w:val="left"/>
      <w:pPr>
        <w:ind w:left="1838" w:hanging="529"/>
      </w:pPr>
      <w:rPr>
        <w:rFonts w:hint="default"/>
        <w:lang w:val="en-US" w:eastAsia="zh-CN" w:bidi="ar-SA"/>
      </w:rPr>
    </w:lvl>
    <w:lvl w:ilvl="3" w:tentative="0">
      <w:start w:val="0"/>
      <w:numFmt w:val="bullet"/>
      <w:lvlText w:val="•"/>
      <w:lvlJc w:val="left"/>
      <w:pPr>
        <w:ind w:left="2437" w:hanging="529"/>
      </w:pPr>
      <w:rPr>
        <w:rFonts w:hint="default"/>
        <w:lang w:val="en-US" w:eastAsia="zh-CN" w:bidi="ar-SA"/>
      </w:rPr>
    </w:lvl>
    <w:lvl w:ilvl="4" w:tentative="0">
      <w:start w:val="0"/>
      <w:numFmt w:val="bullet"/>
      <w:lvlText w:val="•"/>
      <w:lvlJc w:val="left"/>
      <w:pPr>
        <w:ind w:left="3037" w:hanging="529"/>
      </w:pPr>
      <w:rPr>
        <w:rFonts w:hint="default"/>
        <w:lang w:val="en-US" w:eastAsia="zh-CN" w:bidi="ar-SA"/>
      </w:rPr>
    </w:lvl>
    <w:lvl w:ilvl="5" w:tentative="0">
      <w:start w:val="0"/>
      <w:numFmt w:val="bullet"/>
      <w:lvlText w:val="•"/>
      <w:lvlJc w:val="left"/>
      <w:pPr>
        <w:ind w:left="3636" w:hanging="529"/>
      </w:pPr>
      <w:rPr>
        <w:rFonts w:hint="default"/>
        <w:lang w:val="en-US" w:eastAsia="zh-CN" w:bidi="ar-SA"/>
      </w:rPr>
    </w:lvl>
    <w:lvl w:ilvl="6" w:tentative="0">
      <w:start w:val="0"/>
      <w:numFmt w:val="bullet"/>
      <w:lvlText w:val="•"/>
      <w:lvlJc w:val="left"/>
      <w:pPr>
        <w:ind w:left="4235" w:hanging="529"/>
      </w:pPr>
      <w:rPr>
        <w:rFonts w:hint="default"/>
        <w:lang w:val="en-US" w:eastAsia="zh-CN" w:bidi="ar-SA"/>
      </w:rPr>
    </w:lvl>
    <w:lvl w:ilvl="7" w:tentative="0">
      <w:start w:val="0"/>
      <w:numFmt w:val="bullet"/>
      <w:lvlText w:val="•"/>
      <w:lvlJc w:val="left"/>
      <w:pPr>
        <w:ind w:left="4835" w:hanging="529"/>
      </w:pPr>
      <w:rPr>
        <w:rFonts w:hint="default"/>
        <w:lang w:val="en-US" w:eastAsia="zh-CN" w:bidi="ar-SA"/>
      </w:rPr>
    </w:lvl>
    <w:lvl w:ilvl="8" w:tentative="0">
      <w:start w:val="0"/>
      <w:numFmt w:val="bullet"/>
      <w:lvlText w:val="•"/>
      <w:lvlJc w:val="left"/>
      <w:pPr>
        <w:ind w:left="5434" w:hanging="529"/>
      </w:pPr>
      <w:rPr>
        <w:rFonts w:hint="default"/>
        <w:lang w:val="en-US" w:eastAsia="zh-CN" w:bidi="ar-SA"/>
      </w:rPr>
    </w:lvl>
  </w:abstractNum>
  <w:abstractNum w:abstractNumId="117">
    <w:nsid w:val="58765686"/>
    <w:multiLevelType w:val="multilevel"/>
    <w:tmpl w:val="58765686"/>
    <w:lvl w:ilvl="0" w:tentative="0">
      <w:start w:val="1"/>
      <w:numFmt w:val="decimal"/>
      <w:lvlText w:val="（%1）"/>
      <w:lvlJc w:val="left"/>
      <w:pPr>
        <w:ind w:left="636"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238" w:hanging="529"/>
      </w:pPr>
      <w:rPr>
        <w:rFonts w:hint="default"/>
        <w:lang w:val="en-US" w:eastAsia="zh-CN" w:bidi="ar-SA"/>
      </w:rPr>
    </w:lvl>
    <w:lvl w:ilvl="2" w:tentative="0">
      <w:start w:val="0"/>
      <w:numFmt w:val="bullet"/>
      <w:lvlText w:val="•"/>
      <w:lvlJc w:val="left"/>
      <w:pPr>
        <w:ind w:left="1837" w:hanging="529"/>
      </w:pPr>
      <w:rPr>
        <w:rFonts w:hint="default"/>
        <w:lang w:val="en-US" w:eastAsia="zh-CN" w:bidi="ar-SA"/>
      </w:rPr>
    </w:lvl>
    <w:lvl w:ilvl="3" w:tentative="0">
      <w:start w:val="0"/>
      <w:numFmt w:val="bullet"/>
      <w:lvlText w:val="•"/>
      <w:lvlJc w:val="left"/>
      <w:pPr>
        <w:ind w:left="2435" w:hanging="529"/>
      </w:pPr>
      <w:rPr>
        <w:rFonts w:hint="default"/>
        <w:lang w:val="en-US" w:eastAsia="zh-CN" w:bidi="ar-SA"/>
      </w:rPr>
    </w:lvl>
    <w:lvl w:ilvl="4" w:tentative="0">
      <w:start w:val="0"/>
      <w:numFmt w:val="bullet"/>
      <w:lvlText w:val="•"/>
      <w:lvlJc w:val="left"/>
      <w:pPr>
        <w:ind w:left="3034" w:hanging="529"/>
      </w:pPr>
      <w:rPr>
        <w:rFonts w:hint="default"/>
        <w:lang w:val="en-US" w:eastAsia="zh-CN" w:bidi="ar-SA"/>
      </w:rPr>
    </w:lvl>
    <w:lvl w:ilvl="5" w:tentative="0">
      <w:start w:val="0"/>
      <w:numFmt w:val="bullet"/>
      <w:lvlText w:val="•"/>
      <w:lvlJc w:val="left"/>
      <w:pPr>
        <w:ind w:left="3633" w:hanging="529"/>
      </w:pPr>
      <w:rPr>
        <w:rFonts w:hint="default"/>
        <w:lang w:val="en-US" w:eastAsia="zh-CN" w:bidi="ar-SA"/>
      </w:rPr>
    </w:lvl>
    <w:lvl w:ilvl="6" w:tentative="0">
      <w:start w:val="0"/>
      <w:numFmt w:val="bullet"/>
      <w:lvlText w:val="•"/>
      <w:lvlJc w:val="left"/>
      <w:pPr>
        <w:ind w:left="4231" w:hanging="529"/>
      </w:pPr>
      <w:rPr>
        <w:rFonts w:hint="default"/>
        <w:lang w:val="en-US" w:eastAsia="zh-CN" w:bidi="ar-SA"/>
      </w:rPr>
    </w:lvl>
    <w:lvl w:ilvl="7" w:tentative="0">
      <w:start w:val="0"/>
      <w:numFmt w:val="bullet"/>
      <w:lvlText w:val="•"/>
      <w:lvlJc w:val="left"/>
      <w:pPr>
        <w:ind w:left="4830" w:hanging="529"/>
      </w:pPr>
      <w:rPr>
        <w:rFonts w:hint="default"/>
        <w:lang w:val="en-US" w:eastAsia="zh-CN" w:bidi="ar-SA"/>
      </w:rPr>
    </w:lvl>
    <w:lvl w:ilvl="8" w:tentative="0">
      <w:start w:val="0"/>
      <w:numFmt w:val="bullet"/>
      <w:lvlText w:val="•"/>
      <w:lvlJc w:val="left"/>
      <w:pPr>
        <w:ind w:left="5428" w:hanging="529"/>
      </w:pPr>
      <w:rPr>
        <w:rFonts w:hint="default"/>
        <w:lang w:val="en-US" w:eastAsia="zh-CN" w:bidi="ar-SA"/>
      </w:rPr>
    </w:lvl>
  </w:abstractNum>
  <w:abstractNum w:abstractNumId="118">
    <w:nsid w:val="59ADCABA"/>
    <w:multiLevelType w:val="multilevel"/>
    <w:tmpl w:val="59ADCABA"/>
    <w:lvl w:ilvl="0" w:tentative="0">
      <w:start w:val="2"/>
      <w:numFmt w:val="decimal"/>
      <w:lvlText w:val="%1"/>
      <w:lvlJc w:val="left"/>
      <w:pPr>
        <w:ind w:left="1257" w:hanging="423"/>
        <w:jc w:val="left"/>
      </w:pPr>
      <w:rPr>
        <w:rFonts w:hint="default"/>
        <w:lang w:val="en-US" w:eastAsia="zh-CN" w:bidi="ar-SA"/>
      </w:rPr>
    </w:lvl>
    <w:lvl w:ilvl="1" w:tentative="0">
      <w:start w:val="1"/>
      <w:numFmt w:val="decimal"/>
      <w:lvlText w:val="%1.%2"/>
      <w:lvlJc w:val="left"/>
      <w:pPr>
        <w:ind w:left="1257" w:hanging="423"/>
        <w:jc w:val="left"/>
      </w:pPr>
      <w:rPr>
        <w:rFonts w:hint="default" w:ascii="宋体" w:hAnsi="宋体" w:eastAsia="宋体" w:cs="宋体"/>
        <w:b w:val="0"/>
        <w:bCs w:val="0"/>
        <w:i w:val="0"/>
        <w:iCs w:val="0"/>
        <w:w w:val="100"/>
        <w:sz w:val="21"/>
        <w:szCs w:val="21"/>
        <w:lang w:val="en-US" w:eastAsia="zh-CN" w:bidi="ar-SA"/>
      </w:rPr>
    </w:lvl>
    <w:lvl w:ilvl="2" w:tentative="0">
      <w:start w:val="0"/>
      <w:numFmt w:val="bullet"/>
      <w:lvlText w:val="•"/>
      <w:lvlJc w:val="left"/>
      <w:pPr>
        <w:ind w:left="1721" w:hanging="423"/>
      </w:pPr>
      <w:rPr>
        <w:rFonts w:hint="default"/>
        <w:lang w:val="en-US" w:eastAsia="zh-CN" w:bidi="ar-SA"/>
      </w:rPr>
    </w:lvl>
    <w:lvl w:ilvl="3" w:tentative="0">
      <w:start w:val="0"/>
      <w:numFmt w:val="bullet"/>
      <w:lvlText w:val="•"/>
      <w:lvlJc w:val="left"/>
      <w:pPr>
        <w:ind w:left="1952" w:hanging="423"/>
      </w:pPr>
      <w:rPr>
        <w:rFonts w:hint="default"/>
        <w:lang w:val="en-US" w:eastAsia="zh-CN" w:bidi="ar-SA"/>
      </w:rPr>
    </w:lvl>
    <w:lvl w:ilvl="4" w:tentative="0">
      <w:start w:val="0"/>
      <w:numFmt w:val="bullet"/>
      <w:lvlText w:val="•"/>
      <w:lvlJc w:val="left"/>
      <w:pPr>
        <w:ind w:left="2183" w:hanging="423"/>
      </w:pPr>
      <w:rPr>
        <w:rFonts w:hint="default"/>
        <w:lang w:val="en-US" w:eastAsia="zh-CN" w:bidi="ar-SA"/>
      </w:rPr>
    </w:lvl>
    <w:lvl w:ilvl="5" w:tentative="0">
      <w:start w:val="0"/>
      <w:numFmt w:val="bullet"/>
      <w:lvlText w:val="•"/>
      <w:lvlJc w:val="left"/>
      <w:pPr>
        <w:ind w:left="2414" w:hanging="423"/>
      </w:pPr>
      <w:rPr>
        <w:rFonts w:hint="default"/>
        <w:lang w:val="en-US" w:eastAsia="zh-CN" w:bidi="ar-SA"/>
      </w:rPr>
    </w:lvl>
    <w:lvl w:ilvl="6" w:tentative="0">
      <w:start w:val="0"/>
      <w:numFmt w:val="bullet"/>
      <w:lvlText w:val="•"/>
      <w:lvlJc w:val="left"/>
      <w:pPr>
        <w:ind w:left="2645" w:hanging="423"/>
      </w:pPr>
      <w:rPr>
        <w:rFonts w:hint="default"/>
        <w:lang w:val="en-US" w:eastAsia="zh-CN" w:bidi="ar-SA"/>
      </w:rPr>
    </w:lvl>
    <w:lvl w:ilvl="7" w:tentative="0">
      <w:start w:val="0"/>
      <w:numFmt w:val="bullet"/>
      <w:lvlText w:val="•"/>
      <w:lvlJc w:val="left"/>
      <w:pPr>
        <w:ind w:left="2876" w:hanging="423"/>
      </w:pPr>
      <w:rPr>
        <w:rFonts w:hint="default"/>
        <w:lang w:val="en-US" w:eastAsia="zh-CN" w:bidi="ar-SA"/>
      </w:rPr>
    </w:lvl>
    <w:lvl w:ilvl="8" w:tentative="0">
      <w:start w:val="0"/>
      <w:numFmt w:val="bullet"/>
      <w:lvlText w:val="•"/>
      <w:lvlJc w:val="left"/>
      <w:pPr>
        <w:ind w:left="3107" w:hanging="423"/>
      </w:pPr>
      <w:rPr>
        <w:rFonts w:hint="default"/>
        <w:lang w:val="en-US" w:eastAsia="zh-CN" w:bidi="ar-SA"/>
      </w:rPr>
    </w:lvl>
  </w:abstractNum>
  <w:abstractNum w:abstractNumId="119">
    <w:nsid w:val="59EEFD2A"/>
    <w:multiLevelType w:val="multilevel"/>
    <w:tmpl w:val="59EEFD2A"/>
    <w:lvl w:ilvl="0" w:tentative="0">
      <w:start w:val="1"/>
      <w:numFmt w:val="decimal"/>
      <w:lvlText w:val="（%1）"/>
      <w:lvlJc w:val="left"/>
      <w:pPr>
        <w:ind w:left="636"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238" w:hanging="529"/>
      </w:pPr>
      <w:rPr>
        <w:rFonts w:hint="default"/>
        <w:lang w:val="en-US" w:eastAsia="zh-CN" w:bidi="ar-SA"/>
      </w:rPr>
    </w:lvl>
    <w:lvl w:ilvl="2" w:tentative="0">
      <w:start w:val="0"/>
      <w:numFmt w:val="bullet"/>
      <w:lvlText w:val="•"/>
      <w:lvlJc w:val="left"/>
      <w:pPr>
        <w:ind w:left="1837" w:hanging="529"/>
      </w:pPr>
      <w:rPr>
        <w:rFonts w:hint="default"/>
        <w:lang w:val="en-US" w:eastAsia="zh-CN" w:bidi="ar-SA"/>
      </w:rPr>
    </w:lvl>
    <w:lvl w:ilvl="3" w:tentative="0">
      <w:start w:val="0"/>
      <w:numFmt w:val="bullet"/>
      <w:lvlText w:val="•"/>
      <w:lvlJc w:val="left"/>
      <w:pPr>
        <w:ind w:left="2435" w:hanging="529"/>
      </w:pPr>
      <w:rPr>
        <w:rFonts w:hint="default"/>
        <w:lang w:val="en-US" w:eastAsia="zh-CN" w:bidi="ar-SA"/>
      </w:rPr>
    </w:lvl>
    <w:lvl w:ilvl="4" w:tentative="0">
      <w:start w:val="0"/>
      <w:numFmt w:val="bullet"/>
      <w:lvlText w:val="•"/>
      <w:lvlJc w:val="left"/>
      <w:pPr>
        <w:ind w:left="3034" w:hanging="529"/>
      </w:pPr>
      <w:rPr>
        <w:rFonts w:hint="default"/>
        <w:lang w:val="en-US" w:eastAsia="zh-CN" w:bidi="ar-SA"/>
      </w:rPr>
    </w:lvl>
    <w:lvl w:ilvl="5" w:tentative="0">
      <w:start w:val="0"/>
      <w:numFmt w:val="bullet"/>
      <w:lvlText w:val="•"/>
      <w:lvlJc w:val="left"/>
      <w:pPr>
        <w:ind w:left="3633" w:hanging="529"/>
      </w:pPr>
      <w:rPr>
        <w:rFonts w:hint="default"/>
        <w:lang w:val="en-US" w:eastAsia="zh-CN" w:bidi="ar-SA"/>
      </w:rPr>
    </w:lvl>
    <w:lvl w:ilvl="6" w:tentative="0">
      <w:start w:val="0"/>
      <w:numFmt w:val="bullet"/>
      <w:lvlText w:val="•"/>
      <w:lvlJc w:val="left"/>
      <w:pPr>
        <w:ind w:left="4231" w:hanging="529"/>
      </w:pPr>
      <w:rPr>
        <w:rFonts w:hint="default"/>
        <w:lang w:val="en-US" w:eastAsia="zh-CN" w:bidi="ar-SA"/>
      </w:rPr>
    </w:lvl>
    <w:lvl w:ilvl="7" w:tentative="0">
      <w:start w:val="0"/>
      <w:numFmt w:val="bullet"/>
      <w:lvlText w:val="•"/>
      <w:lvlJc w:val="left"/>
      <w:pPr>
        <w:ind w:left="4830" w:hanging="529"/>
      </w:pPr>
      <w:rPr>
        <w:rFonts w:hint="default"/>
        <w:lang w:val="en-US" w:eastAsia="zh-CN" w:bidi="ar-SA"/>
      </w:rPr>
    </w:lvl>
    <w:lvl w:ilvl="8" w:tentative="0">
      <w:start w:val="0"/>
      <w:numFmt w:val="bullet"/>
      <w:lvlText w:val="•"/>
      <w:lvlJc w:val="left"/>
      <w:pPr>
        <w:ind w:left="5428" w:hanging="529"/>
      </w:pPr>
      <w:rPr>
        <w:rFonts w:hint="default"/>
        <w:lang w:val="en-US" w:eastAsia="zh-CN" w:bidi="ar-SA"/>
      </w:rPr>
    </w:lvl>
  </w:abstractNum>
  <w:abstractNum w:abstractNumId="120">
    <w:nsid w:val="5A241D34"/>
    <w:multiLevelType w:val="multilevel"/>
    <w:tmpl w:val="5A241D34"/>
    <w:lvl w:ilvl="0" w:tentative="0">
      <w:start w:val="2"/>
      <w:numFmt w:val="decimal"/>
      <w:lvlText w:val="%1"/>
      <w:lvlJc w:val="left"/>
      <w:pPr>
        <w:ind w:left="3038" w:hanging="959"/>
        <w:jc w:val="left"/>
      </w:pPr>
      <w:rPr>
        <w:rFonts w:hint="default"/>
        <w:lang w:val="en-US" w:eastAsia="zh-CN" w:bidi="ar-SA"/>
      </w:rPr>
    </w:lvl>
    <w:lvl w:ilvl="1" w:tentative="0">
      <w:start w:val="1"/>
      <w:numFmt w:val="decimal"/>
      <w:lvlText w:val="%1.%2"/>
      <w:lvlJc w:val="left"/>
      <w:pPr>
        <w:ind w:left="3038" w:hanging="959"/>
        <w:jc w:val="left"/>
      </w:pPr>
      <w:rPr>
        <w:rFonts w:hint="default" w:ascii="宋体" w:hAnsi="宋体" w:eastAsia="宋体" w:cs="宋体"/>
        <w:b/>
        <w:bCs/>
        <w:i w:val="0"/>
        <w:iCs w:val="0"/>
        <w:w w:val="99"/>
        <w:sz w:val="21"/>
        <w:szCs w:val="21"/>
        <w:lang w:val="en-US" w:eastAsia="zh-CN" w:bidi="ar-SA"/>
      </w:rPr>
    </w:lvl>
    <w:lvl w:ilvl="2" w:tentative="0">
      <w:start w:val="0"/>
      <w:numFmt w:val="bullet"/>
      <w:lvlText w:val="•"/>
      <w:lvlJc w:val="left"/>
      <w:pPr>
        <w:ind w:left="4585" w:hanging="959"/>
      </w:pPr>
      <w:rPr>
        <w:rFonts w:hint="default"/>
        <w:lang w:val="en-US" w:eastAsia="zh-CN" w:bidi="ar-SA"/>
      </w:rPr>
    </w:lvl>
    <w:lvl w:ilvl="3" w:tentative="0">
      <w:start w:val="0"/>
      <w:numFmt w:val="bullet"/>
      <w:lvlText w:val="•"/>
      <w:lvlJc w:val="left"/>
      <w:pPr>
        <w:ind w:left="5357" w:hanging="959"/>
      </w:pPr>
      <w:rPr>
        <w:rFonts w:hint="default"/>
        <w:lang w:val="en-US" w:eastAsia="zh-CN" w:bidi="ar-SA"/>
      </w:rPr>
    </w:lvl>
    <w:lvl w:ilvl="4" w:tentative="0">
      <w:start w:val="0"/>
      <w:numFmt w:val="bullet"/>
      <w:lvlText w:val="•"/>
      <w:lvlJc w:val="left"/>
      <w:pPr>
        <w:ind w:left="6130" w:hanging="959"/>
      </w:pPr>
      <w:rPr>
        <w:rFonts w:hint="default"/>
        <w:lang w:val="en-US" w:eastAsia="zh-CN" w:bidi="ar-SA"/>
      </w:rPr>
    </w:lvl>
    <w:lvl w:ilvl="5" w:tentative="0">
      <w:start w:val="0"/>
      <w:numFmt w:val="bullet"/>
      <w:lvlText w:val="•"/>
      <w:lvlJc w:val="left"/>
      <w:pPr>
        <w:ind w:left="6903" w:hanging="959"/>
      </w:pPr>
      <w:rPr>
        <w:rFonts w:hint="default"/>
        <w:lang w:val="en-US" w:eastAsia="zh-CN" w:bidi="ar-SA"/>
      </w:rPr>
    </w:lvl>
    <w:lvl w:ilvl="6" w:tentative="0">
      <w:start w:val="0"/>
      <w:numFmt w:val="bullet"/>
      <w:lvlText w:val="•"/>
      <w:lvlJc w:val="left"/>
      <w:pPr>
        <w:ind w:left="7675" w:hanging="959"/>
      </w:pPr>
      <w:rPr>
        <w:rFonts w:hint="default"/>
        <w:lang w:val="en-US" w:eastAsia="zh-CN" w:bidi="ar-SA"/>
      </w:rPr>
    </w:lvl>
    <w:lvl w:ilvl="7" w:tentative="0">
      <w:start w:val="0"/>
      <w:numFmt w:val="bullet"/>
      <w:lvlText w:val="•"/>
      <w:lvlJc w:val="left"/>
      <w:pPr>
        <w:ind w:left="8448" w:hanging="959"/>
      </w:pPr>
      <w:rPr>
        <w:rFonts w:hint="default"/>
        <w:lang w:val="en-US" w:eastAsia="zh-CN" w:bidi="ar-SA"/>
      </w:rPr>
    </w:lvl>
    <w:lvl w:ilvl="8" w:tentative="0">
      <w:start w:val="0"/>
      <w:numFmt w:val="bullet"/>
      <w:lvlText w:val="•"/>
      <w:lvlJc w:val="left"/>
      <w:pPr>
        <w:ind w:left="9221" w:hanging="959"/>
      </w:pPr>
      <w:rPr>
        <w:rFonts w:hint="default"/>
        <w:lang w:val="en-US" w:eastAsia="zh-CN" w:bidi="ar-SA"/>
      </w:rPr>
    </w:lvl>
  </w:abstractNum>
  <w:abstractNum w:abstractNumId="121">
    <w:nsid w:val="5E29AB5A"/>
    <w:multiLevelType w:val="multilevel"/>
    <w:tmpl w:val="5E29AB5A"/>
    <w:lvl w:ilvl="0" w:tentative="0">
      <w:start w:val="1"/>
      <w:numFmt w:val="decimal"/>
      <w:lvlText w:val="（%1）"/>
      <w:lvlJc w:val="left"/>
      <w:pPr>
        <w:ind w:left="107"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752" w:hanging="529"/>
      </w:pPr>
      <w:rPr>
        <w:rFonts w:hint="default"/>
        <w:lang w:val="en-US" w:eastAsia="zh-CN" w:bidi="ar-SA"/>
      </w:rPr>
    </w:lvl>
    <w:lvl w:ilvl="2" w:tentative="0">
      <w:start w:val="0"/>
      <w:numFmt w:val="bullet"/>
      <w:lvlText w:val="•"/>
      <w:lvlJc w:val="left"/>
      <w:pPr>
        <w:ind w:left="1405" w:hanging="529"/>
      </w:pPr>
      <w:rPr>
        <w:rFonts w:hint="default"/>
        <w:lang w:val="en-US" w:eastAsia="zh-CN" w:bidi="ar-SA"/>
      </w:rPr>
    </w:lvl>
    <w:lvl w:ilvl="3" w:tentative="0">
      <w:start w:val="0"/>
      <w:numFmt w:val="bullet"/>
      <w:lvlText w:val="•"/>
      <w:lvlJc w:val="left"/>
      <w:pPr>
        <w:ind w:left="2057" w:hanging="529"/>
      </w:pPr>
      <w:rPr>
        <w:rFonts w:hint="default"/>
        <w:lang w:val="en-US" w:eastAsia="zh-CN" w:bidi="ar-SA"/>
      </w:rPr>
    </w:lvl>
    <w:lvl w:ilvl="4" w:tentative="0">
      <w:start w:val="0"/>
      <w:numFmt w:val="bullet"/>
      <w:lvlText w:val="•"/>
      <w:lvlJc w:val="left"/>
      <w:pPr>
        <w:ind w:left="2710" w:hanging="529"/>
      </w:pPr>
      <w:rPr>
        <w:rFonts w:hint="default"/>
        <w:lang w:val="en-US" w:eastAsia="zh-CN" w:bidi="ar-SA"/>
      </w:rPr>
    </w:lvl>
    <w:lvl w:ilvl="5" w:tentative="0">
      <w:start w:val="0"/>
      <w:numFmt w:val="bullet"/>
      <w:lvlText w:val="•"/>
      <w:lvlJc w:val="left"/>
      <w:pPr>
        <w:ind w:left="3363" w:hanging="529"/>
      </w:pPr>
      <w:rPr>
        <w:rFonts w:hint="default"/>
        <w:lang w:val="en-US" w:eastAsia="zh-CN" w:bidi="ar-SA"/>
      </w:rPr>
    </w:lvl>
    <w:lvl w:ilvl="6" w:tentative="0">
      <w:start w:val="0"/>
      <w:numFmt w:val="bullet"/>
      <w:lvlText w:val="•"/>
      <w:lvlJc w:val="left"/>
      <w:pPr>
        <w:ind w:left="4015" w:hanging="529"/>
      </w:pPr>
      <w:rPr>
        <w:rFonts w:hint="default"/>
        <w:lang w:val="en-US" w:eastAsia="zh-CN" w:bidi="ar-SA"/>
      </w:rPr>
    </w:lvl>
    <w:lvl w:ilvl="7" w:tentative="0">
      <w:start w:val="0"/>
      <w:numFmt w:val="bullet"/>
      <w:lvlText w:val="•"/>
      <w:lvlJc w:val="left"/>
      <w:pPr>
        <w:ind w:left="4668" w:hanging="529"/>
      </w:pPr>
      <w:rPr>
        <w:rFonts w:hint="default"/>
        <w:lang w:val="en-US" w:eastAsia="zh-CN" w:bidi="ar-SA"/>
      </w:rPr>
    </w:lvl>
    <w:lvl w:ilvl="8" w:tentative="0">
      <w:start w:val="0"/>
      <w:numFmt w:val="bullet"/>
      <w:lvlText w:val="•"/>
      <w:lvlJc w:val="left"/>
      <w:pPr>
        <w:ind w:left="5320" w:hanging="529"/>
      </w:pPr>
      <w:rPr>
        <w:rFonts w:hint="default"/>
        <w:lang w:val="en-US" w:eastAsia="zh-CN" w:bidi="ar-SA"/>
      </w:rPr>
    </w:lvl>
  </w:abstractNum>
  <w:abstractNum w:abstractNumId="122">
    <w:nsid w:val="5FCE4367"/>
    <w:multiLevelType w:val="multilevel"/>
    <w:tmpl w:val="5FCE4367"/>
    <w:lvl w:ilvl="0" w:tentative="0">
      <w:start w:val="1"/>
      <w:numFmt w:val="decimal"/>
      <w:lvlText w:val="（%1）"/>
      <w:lvlJc w:val="left"/>
      <w:pPr>
        <w:ind w:left="63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239" w:hanging="529"/>
      </w:pPr>
      <w:rPr>
        <w:rFonts w:hint="default"/>
        <w:lang w:val="en-US" w:eastAsia="zh-CN" w:bidi="ar-SA"/>
      </w:rPr>
    </w:lvl>
    <w:lvl w:ilvl="2" w:tentative="0">
      <w:start w:val="0"/>
      <w:numFmt w:val="bullet"/>
      <w:lvlText w:val="•"/>
      <w:lvlJc w:val="left"/>
      <w:pPr>
        <w:ind w:left="1838" w:hanging="529"/>
      </w:pPr>
      <w:rPr>
        <w:rFonts w:hint="default"/>
        <w:lang w:val="en-US" w:eastAsia="zh-CN" w:bidi="ar-SA"/>
      </w:rPr>
    </w:lvl>
    <w:lvl w:ilvl="3" w:tentative="0">
      <w:start w:val="0"/>
      <w:numFmt w:val="bullet"/>
      <w:lvlText w:val="•"/>
      <w:lvlJc w:val="left"/>
      <w:pPr>
        <w:ind w:left="2437" w:hanging="529"/>
      </w:pPr>
      <w:rPr>
        <w:rFonts w:hint="default"/>
        <w:lang w:val="en-US" w:eastAsia="zh-CN" w:bidi="ar-SA"/>
      </w:rPr>
    </w:lvl>
    <w:lvl w:ilvl="4" w:tentative="0">
      <w:start w:val="0"/>
      <w:numFmt w:val="bullet"/>
      <w:lvlText w:val="•"/>
      <w:lvlJc w:val="left"/>
      <w:pPr>
        <w:ind w:left="3037" w:hanging="529"/>
      </w:pPr>
      <w:rPr>
        <w:rFonts w:hint="default"/>
        <w:lang w:val="en-US" w:eastAsia="zh-CN" w:bidi="ar-SA"/>
      </w:rPr>
    </w:lvl>
    <w:lvl w:ilvl="5" w:tentative="0">
      <w:start w:val="0"/>
      <w:numFmt w:val="bullet"/>
      <w:lvlText w:val="•"/>
      <w:lvlJc w:val="left"/>
      <w:pPr>
        <w:ind w:left="3636" w:hanging="529"/>
      </w:pPr>
      <w:rPr>
        <w:rFonts w:hint="default"/>
        <w:lang w:val="en-US" w:eastAsia="zh-CN" w:bidi="ar-SA"/>
      </w:rPr>
    </w:lvl>
    <w:lvl w:ilvl="6" w:tentative="0">
      <w:start w:val="0"/>
      <w:numFmt w:val="bullet"/>
      <w:lvlText w:val="•"/>
      <w:lvlJc w:val="left"/>
      <w:pPr>
        <w:ind w:left="4235" w:hanging="529"/>
      </w:pPr>
      <w:rPr>
        <w:rFonts w:hint="default"/>
        <w:lang w:val="en-US" w:eastAsia="zh-CN" w:bidi="ar-SA"/>
      </w:rPr>
    </w:lvl>
    <w:lvl w:ilvl="7" w:tentative="0">
      <w:start w:val="0"/>
      <w:numFmt w:val="bullet"/>
      <w:lvlText w:val="•"/>
      <w:lvlJc w:val="left"/>
      <w:pPr>
        <w:ind w:left="4835" w:hanging="529"/>
      </w:pPr>
      <w:rPr>
        <w:rFonts w:hint="default"/>
        <w:lang w:val="en-US" w:eastAsia="zh-CN" w:bidi="ar-SA"/>
      </w:rPr>
    </w:lvl>
    <w:lvl w:ilvl="8" w:tentative="0">
      <w:start w:val="0"/>
      <w:numFmt w:val="bullet"/>
      <w:lvlText w:val="•"/>
      <w:lvlJc w:val="left"/>
      <w:pPr>
        <w:ind w:left="5434" w:hanging="529"/>
      </w:pPr>
      <w:rPr>
        <w:rFonts w:hint="default"/>
        <w:lang w:val="en-US" w:eastAsia="zh-CN" w:bidi="ar-SA"/>
      </w:rPr>
    </w:lvl>
  </w:abstractNum>
  <w:abstractNum w:abstractNumId="123">
    <w:nsid w:val="5FFFB1A7"/>
    <w:multiLevelType w:val="multilevel"/>
    <w:tmpl w:val="5FFFB1A7"/>
    <w:lvl w:ilvl="0" w:tentative="0">
      <w:start w:val="1"/>
      <w:numFmt w:val="decimal"/>
      <w:lvlText w:val="（%1）"/>
      <w:lvlJc w:val="left"/>
      <w:pPr>
        <w:ind w:left="636"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238" w:hanging="529"/>
      </w:pPr>
      <w:rPr>
        <w:rFonts w:hint="default"/>
        <w:lang w:val="en-US" w:eastAsia="zh-CN" w:bidi="ar-SA"/>
      </w:rPr>
    </w:lvl>
    <w:lvl w:ilvl="2" w:tentative="0">
      <w:start w:val="0"/>
      <w:numFmt w:val="bullet"/>
      <w:lvlText w:val="•"/>
      <w:lvlJc w:val="left"/>
      <w:pPr>
        <w:ind w:left="1837" w:hanging="529"/>
      </w:pPr>
      <w:rPr>
        <w:rFonts w:hint="default"/>
        <w:lang w:val="en-US" w:eastAsia="zh-CN" w:bidi="ar-SA"/>
      </w:rPr>
    </w:lvl>
    <w:lvl w:ilvl="3" w:tentative="0">
      <w:start w:val="0"/>
      <w:numFmt w:val="bullet"/>
      <w:lvlText w:val="•"/>
      <w:lvlJc w:val="left"/>
      <w:pPr>
        <w:ind w:left="2435" w:hanging="529"/>
      </w:pPr>
      <w:rPr>
        <w:rFonts w:hint="default"/>
        <w:lang w:val="en-US" w:eastAsia="zh-CN" w:bidi="ar-SA"/>
      </w:rPr>
    </w:lvl>
    <w:lvl w:ilvl="4" w:tentative="0">
      <w:start w:val="0"/>
      <w:numFmt w:val="bullet"/>
      <w:lvlText w:val="•"/>
      <w:lvlJc w:val="left"/>
      <w:pPr>
        <w:ind w:left="3034" w:hanging="529"/>
      </w:pPr>
      <w:rPr>
        <w:rFonts w:hint="default"/>
        <w:lang w:val="en-US" w:eastAsia="zh-CN" w:bidi="ar-SA"/>
      </w:rPr>
    </w:lvl>
    <w:lvl w:ilvl="5" w:tentative="0">
      <w:start w:val="0"/>
      <w:numFmt w:val="bullet"/>
      <w:lvlText w:val="•"/>
      <w:lvlJc w:val="left"/>
      <w:pPr>
        <w:ind w:left="3633" w:hanging="529"/>
      </w:pPr>
      <w:rPr>
        <w:rFonts w:hint="default"/>
        <w:lang w:val="en-US" w:eastAsia="zh-CN" w:bidi="ar-SA"/>
      </w:rPr>
    </w:lvl>
    <w:lvl w:ilvl="6" w:tentative="0">
      <w:start w:val="0"/>
      <w:numFmt w:val="bullet"/>
      <w:lvlText w:val="•"/>
      <w:lvlJc w:val="left"/>
      <w:pPr>
        <w:ind w:left="4231" w:hanging="529"/>
      </w:pPr>
      <w:rPr>
        <w:rFonts w:hint="default"/>
        <w:lang w:val="en-US" w:eastAsia="zh-CN" w:bidi="ar-SA"/>
      </w:rPr>
    </w:lvl>
    <w:lvl w:ilvl="7" w:tentative="0">
      <w:start w:val="0"/>
      <w:numFmt w:val="bullet"/>
      <w:lvlText w:val="•"/>
      <w:lvlJc w:val="left"/>
      <w:pPr>
        <w:ind w:left="4830" w:hanging="529"/>
      </w:pPr>
      <w:rPr>
        <w:rFonts w:hint="default"/>
        <w:lang w:val="en-US" w:eastAsia="zh-CN" w:bidi="ar-SA"/>
      </w:rPr>
    </w:lvl>
    <w:lvl w:ilvl="8" w:tentative="0">
      <w:start w:val="0"/>
      <w:numFmt w:val="bullet"/>
      <w:lvlText w:val="•"/>
      <w:lvlJc w:val="left"/>
      <w:pPr>
        <w:ind w:left="5428" w:hanging="529"/>
      </w:pPr>
      <w:rPr>
        <w:rFonts w:hint="default"/>
        <w:lang w:val="en-US" w:eastAsia="zh-CN" w:bidi="ar-SA"/>
      </w:rPr>
    </w:lvl>
  </w:abstractNum>
  <w:abstractNum w:abstractNumId="124">
    <w:nsid w:val="60382F6E"/>
    <w:multiLevelType w:val="multilevel"/>
    <w:tmpl w:val="60382F6E"/>
    <w:lvl w:ilvl="0" w:tentative="0">
      <w:start w:val="8"/>
      <w:numFmt w:val="decimal"/>
      <w:lvlText w:val="%1"/>
      <w:lvlJc w:val="left"/>
      <w:pPr>
        <w:ind w:left="1178" w:hanging="959"/>
        <w:jc w:val="left"/>
      </w:pPr>
      <w:rPr>
        <w:rFonts w:hint="default"/>
        <w:lang w:val="en-US" w:eastAsia="zh-CN" w:bidi="ar-SA"/>
      </w:rPr>
    </w:lvl>
    <w:lvl w:ilvl="1" w:tentative="0">
      <w:start w:val="1"/>
      <w:numFmt w:val="decimal"/>
      <w:lvlText w:val="%1.%2"/>
      <w:lvlJc w:val="left"/>
      <w:pPr>
        <w:ind w:left="1178" w:hanging="959"/>
        <w:jc w:val="left"/>
      </w:pPr>
      <w:rPr>
        <w:rFonts w:hint="default" w:ascii="宋体" w:hAnsi="宋体" w:eastAsia="宋体" w:cs="宋体"/>
        <w:b/>
        <w:bCs/>
        <w:i w:val="0"/>
        <w:iCs w:val="0"/>
        <w:w w:val="99"/>
        <w:sz w:val="21"/>
        <w:szCs w:val="21"/>
        <w:lang w:val="en-US" w:eastAsia="zh-CN" w:bidi="ar-SA"/>
      </w:rPr>
    </w:lvl>
    <w:lvl w:ilvl="2" w:tentative="0">
      <w:start w:val="0"/>
      <w:numFmt w:val="bullet"/>
      <w:lvlText w:val="•"/>
      <w:lvlJc w:val="left"/>
      <w:pPr>
        <w:ind w:left="1483" w:hanging="959"/>
      </w:pPr>
      <w:rPr>
        <w:rFonts w:hint="default"/>
        <w:lang w:val="en-US" w:eastAsia="zh-CN" w:bidi="ar-SA"/>
      </w:rPr>
    </w:lvl>
    <w:lvl w:ilvl="3" w:tentative="0">
      <w:start w:val="0"/>
      <w:numFmt w:val="bullet"/>
      <w:lvlText w:val="•"/>
      <w:lvlJc w:val="left"/>
      <w:pPr>
        <w:ind w:left="1634" w:hanging="959"/>
      </w:pPr>
      <w:rPr>
        <w:rFonts w:hint="default"/>
        <w:lang w:val="en-US" w:eastAsia="zh-CN" w:bidi="ar-SA"/>
      </w:rPr>
    </w:lvl>
    <w:lvl w:ilvl="4" w:tentative="0">
      <w:start w:val="0"/>
      <w:numFmt w:val="bullet"/>
      <w:lvlText w:val="•"/>
      <w:lvlJc w:val="left"/>
      <w:pPr>
        <w:ind w:left="1786" w:hanging="959"/>
      </w:pPr>
      <w:rPr>
        <w:rFonts w:hint="default"/>
        <w:lang w:val="en-US" w:eastAsia="zh-CN" w:bidi="ar-SA"/>
      </w:rPr>
    </w:lvl>
    <w:lvl w:ilvl="5" w:tentative="0">
      <w:start w:val="0"/>
      <w:numFmt w:val="bullet"/>
      <w:lvlText w:val="•"/>
      <w:lvlJc w:val="left"/>
      <w:pPr>
        <w:ind w:left="1938" w:hanging="959"/>
      </w:pPr>
      <w:rPr>
        <w:rFonts w:hint="default"/>
        <w:lang w:val="en-US" w:eastAsia="zh-CN" w:bidi="ar-SA"/>
      </w:rPr>
    </w:lvl>
    <w:lvl w:ilvl="6" w:tentative="0">
      <w:start w:val="0"/>
      <w:numFmt w:val="bullet"/>
      <w:lvlText w:val="•"/>
      <w:lvlJc w:val="left"/>
      <w:pPr>
        <w:ind w:left="2089" w:hanging="959"/>
      </w:pPr>
      <w:rPr>
        <w:rFonts w:hint="default"/>
        <w:lang w:val="en-US" w:eastAsia="zh-CN" w:bidi="ar-SA"/>
      </w:rPr>
    </w:lvl>
    <w:lvl w:ilvl="7" w:tentative="0">
      <w:start w:val="0"/>
      <w:numFmt w:val="bullet"/>
      <w:lvlText w:val="•"/>
      <w:lvlJc w:val="left"/>
      <w:pPr>
        <w:ind w:left="2241" w:hanging="959"/>
      </w:pPr>
      <w:rPr>
        <w:rFonts w:hint="default"/>
        <w:lang w:val="en-US" w:eastAsia="zh-CN" w:bidi="ar-SA"/>
      </w:rPr>
    </w:lvl>
    <w:lvl w:ilvl="8" w:tentative="0">
      <w:start w:val="0"/>
      <w:numFmt w:val="bullet"/>
      <w:lvlText w:val="•"/>
      <w:lvlJc w:val="left"/>
      <w:pPr>
        <w:ind w:left="2393" w:hanging="959"/>
      </w:pPr>
      <w:rPr>
        <w:rFonts w:hint="default"/>
        <w:lang w:val="en-US" w:eastAsia="zh-CN" w:bidi="ar-SA"/>
      </w:rPr>
    </w:lvl>
  </w:abstractNum>
  <w:abstractNum w:abstractNumId="125">
    <w:nsid w:val="610EFE5C"/>
    <w:multiLevelType w:val="multilevel"/>
    <w:tmpl w:val="610EFE5C"/>
    <w:lvl w:ilvl="0" w:tentative="0">
      <w:start w:val="2"/>
      <w:numFmt w:val="decimal"/>
      <w:lvlText w:val="%1."/>
      <w:lvlJc w:val="left"/>
      <w:pPr>
        <w:ind w:left="319" w:hanging="213"/>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950" w:hanging="213"/>
      </w:pPr>
      <w:rPr>
        <w:rFonts w:hint="default"/>
        <w:lang w:val="en-US" w:eastAsia="zh-CN" w:bidi="ar-SA"/>
      </w:rPr>
    </w:lvl>
    <w:lvl w:ilvl="2" w:tentative="0">
      <w:start w:val="0"/>
      <w:numFmt w:val="bullet"/>
      <w:lvlText w:val="•"/>
      <w:lvlJc w:val="left"/>
      <w:pPr>
        <w:ind w:left="1581" w:hanging="213"/>
      </w:pPr>
      <w:rPr>
        <w:rFonts w:hint="default"/>
        <w:lang w:val="en-US" w:eastAsia="zh-CN" w:bidi="ar-SA"/>
      </w:rPr>
    </w:lvl>
    <w:lvl w:ilvl="3" w:tentative="0">
      <w:start w:val="0"/>
      <w:numFmt w:val="bullet"/>
      <w:lvlText w:val="•"/>
      <w:lvlJc w:val="left"/>
      <w:pPr>
        <w:ind w:left="2211" w:hanging="213"/>
      </w:pPr>
      <w:rPr>
        <w:rFonts w:hint="default"/>
        <w:lang w:val="en-US" w:eastAsia="zh-CN" w:bidi="ar-SA"/>
      </w:rPr>
    </w:lvl>
    <w:lvl w:ilvl="4" w:tentative="0">
      <w:start w:val="0"/>
      <w:numFmt w:val="bullet"/>
      <w:lvlText w:val="•"/>
      <w:lvlJc w:val="left"/>
      <w:pPr>
        <w:ind w:left="2842" w:hanging="213"/>
      </w:pPr>
      <w:rPr>
        <w:rFonts w:hint="default"/>
        <w:lang w:val="en-US" w:eastAsia="zh-CN" w:bidi="ar-SA"/>
      </w:rPr>
    </w:lvl>
    <w:lvl w:ilvl="5" w:tentative="0">
      <w:start w:val="0"/>
      <w:numFmt w:val="bullet"/>
      <w:lvlText w:val="•"/>
      <w:lvlJc w:val="left"/>
      <w:pPr>
        <w:ind w:left="3473" w:hanging="213"/>
      </w:pPr>
      <w:rPr>
        <w:rFonts w:hint="default"/>
        <w:lang w:val="en-US" w:eastAsia="zh-CN" w:bidi="ar-SA"/>
      </w:rPr>
    </w:lvl>
    <w:lvl w:ilvl="6" w:tentative="0">
      <w:start w:val="0"/>
      <w:numFmt w:val="bullet"/>
      <w:lvlText w:val="•"/>
      <w:lvlJc w:val="left"/>
      <w:pPr>
        <w:ind w:left="4103" w:hanging="213"/>
      </w:pPr>
      <w:rPr>
        <w:rFonts w:hint="default"/>
        <w:lang w:val="en-US" w:eastAsia="zh-CN" w:bidi="ar-SA"/>
      </w:rPr>
    </w:lvl>
    <w:lvl w:ilvl="7" w:tentative="0">
      <w:start w:val="0"/>
      <w:numFmt w:val="bullet"/>
      <w:lvlText w:val="•"/>
      <w:lvlJc w:val="left"/>
      <w:pPr>
        <w:ind w:left="4734" w:hanging="213"/>
      </w:pPr>
      <w:rPr>
        <w:rFonts w:hint="default"/>
        <w:lang w:val="en-US" w:eastAsia="zh-CN" w:bidi="ar-SA"/>
      </w:rPr>
    </w:lvl>
    <w:lvl w:ilvl="8" w:tentative="0">
      <w:start w:val="0"/>
      <w:numFmt w:val="bullet"/>
      <w:lvlText w:val="•"/>
      <w:lvlJc w:val="left"/>
      <w:pPr>
        <w:ind w:left="5364" w:hanging="213"/>
      </w:pPr>
      <w:rPr>
        <w:rFonts w:hint="default"/>
        <w:lang w:val="en-US" w:eastAsia="zh-CN" w:bidi="ar-SA"/>
      </w:rPr>
    </w:lvl>
  </w:abstractNum>
  <w:abstractNum w:abstractNumId="126">
    <w:nsid w:val="629F7852"/>
    <w:multiLevelType w:val="multilevel"/>
    <w:tmpl w:val="629F7852"/>
    <w:lvl w:ilvl="0" w:tentative="0">
      <w:start w:val="10"/>
      <w:numFmt w:val="decimal"/>
      <w:lvlText w:val="%1"/>
      <w:lvlJc w:val="left"/>
      <w:pPr>
        <w:ind w:left="3038" w:hanging="959"/>
        <w:jc w:val="left"/>
      </w:pPr>
      <w:rPr>
        <w:rFonts w:hint="default"/>
        <w:lang w:val="en-US" w:eastAsia="zh-CN" w:bidi="ar-SA"/>
      </w:rPr>
    </w:lvl>
    <w:lvl w:ilvl="1" w:tentative="0">
      <w:start w:val="19"/>
      <w:numFmt w:val="decimal"/>
      <w:lvlText w:val="%1.%2"/>
      <w:lvlJc w:val="left"/>
      <w:pPr>
        <w:ind w:left="3038" w:hanging="959"/>
        <w:jc w:val="left"/>
      </w:pPr>
      <w:rPr>
        <w:rFonts w:hint="default" w:ascii="宋体" w:hAnsi="宋体" w:eastAsia="宋体" w:cs="宋体"/>
        <w:b/>
        <w:bCs/>
        <w:i w:val="0"/>
        <w:iCs w:val="0"/>
        <w:w w:val="99"/>
        <w:sz w:val="21"/>
        <w:szCs w:val="21"/>
        <w:lang w:val="en-US" w:eastAsia="zh-CN" w:bidi="ar-SA"/>
      </w:rPr>
    </w:lvl>
    <w:lvl w:ilvl="2" w:tentative="0">
      <w:start w:val="0"/>
      <w:numFmt w:val="bullet"/>
      <w:lvlText w:val="•"/>
      <w:lvlJc w:val="left"/>
      <w:pPr>
        <w:ind w:left="4585" w:hanging="959"/>
      </w:pPr>
      <w:rPr>
        <w:rFonts w:hint="default"/>
        <w:lang w:val="en-US" w:eastAsia="zh-CN" w:bidi="ar-SA"/>
      </w:rPr>
    </w:lvl>
    <w:lvl w:ilvl="3" w:tentative="0">
      <w:start w:val="0"/>
      <w:numFmt w:val="bullet"/>
      <w:lvlText w:val="•"/>
      <w:lvlJc w:val="left"/>
      <w:pPr>
        <w:ind w:left="5357" w:hanging="959"/>
      </w:pPr>
      <w:rPr>
        <w:rFonts w:hint="default"/>
        <w:lang w:val="en-US" w:eastAsia="zh-CN" w:bidi="ar-SA"/>
      </w:rPr>
    </w:lvl>
    <w:lvl w:ilvl="4" w:tentative="0">
      <w:start w:val="0"/>
      <w:numFmt w:val="bullet"/>
      <w:lvlText w:val="•"/>
      <w:lvlJc w:val="left"/>
      <w:pPr>
        <w:ind w:left="6130" w:hanging="959"/>
      </w:pPr>
      <w:rPr>
        <w:rFonts w:hint="default"/>
        <w:lang w:val="en-US" w:eastAsia="zh-CN" w:bidi="ar-SA"/>
      </w:rPr>
    </w:lvl>
    <w:lvl w:ilvl="5" w:tentative="0">
      <w:start w:val="0"/>
      <w:numFmt w:val="bullet"/>
      <w:lvlText w:val="•"/>
      <w:lvlJc w:val="left"/>
      <w:pPr>
        <w:ind w:left="6903" w:hanging="959"/>
      </w:pPr>
      <w:rPr>
        <w:rFonts w:hint="default"/>
        <w:lang w:val="en-US" w:eastAsia="zh-CN" w:bidi="ar-SA"/>
      </w:rPr>
    </w:lvl>
    <w:lvl w:ilvl="6" w:tentative="0">
      <w:start w:val="0"/>
      <w:numFmt w:val="bullet"/>
      <w:lvlText w:val="•"/>
      <w:lvlJc w:val="left"/>
      <w:pPr>
        <w:ind w:left="7675" w:hanging="959"/>
      </w:pPr>
      <w:rPr>
        <w:rFonts w:hint="default"/>
        <w:lang w:val="en-US" w:eastAsia="zh-CN" w:bidi="ar-SA"/>
      </w:rPr>
    </w:lvl>
    <w:lvl w:ilvl="7" w:tentative="0">
      <w:start w:val="0"/>
      <w:numFmt w:val="bullet"/>
      <w:lvlText w:val="•"/>
      <w:lvlJc w:val="left"/>
      <w:pPr>
        <w:ind w:left="8448" w:hanging="959"/>
      </w:pPr>
      <w:rPr>
        <w:rFonts w:hint="default"/>
        <w:lang w:val="en-US" w:eastAsia="zh-CN" w:bidi="ar-SA"/>
      </w:rPr>
    </w:lvl>
    <w:lvl w:ilvl="8" w:tentative="0">
      <w:start w:val="0"/>
      <w:numFmt w:val="bullet"/>
      <w:lvlText w:val="•"/>
      <w:lvlJc w:val="left"/>
      <w:pPr>
        <w:ind w:left="9221" w:hanging="959"/>
      </w:pPr>
      <w:rPr>
        <w:rFonts w:hint="default"/>
        <w:lang w:val="en-US" w:eastAsia="zh-CN" w:bidi="ar-SA"/>
      </w:rPr>
    </w:lvl>
  </w:abstractNum>
  <w:abstractNum w:abstractNumId="127">
    <w:nsid w:val="65CD0074"/>
    <w:multiLevelType w:val="multilevel"/>
    <w:tmpl w:val="65CD0074"/>
    <w:lvl w:ilvl="0" w:tentative="0">
      <w:start w:val="1"/>
      <w:numFmt w:val="decimal"/>
      <w:lvlText w:val="（%1）"/>
      <w:lvlJc w:val="left"/>
      <w:pPr>
        <w:ind w:left="636"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238" w:hanging="529"/>
      </w:pPr>
      <w:rPr>
        <w:rFonts w:hint="default"/>
        <w:lang w:val="en-US" w:eastAsia="zh-CN" w:bidi="ar-SA"/>
      </w:rPr>
    </w:lvl>
    <w:lvl w:ilvl="2" w:tentative="0">
      <w:start w:val="0"/>
      <w:numFmt w:val="bullet"/>
      <w:lvlText w:val="•"/>
      <w:lvlJc w:val="left"/>
      <w:pPr>
        <w:ind w:left="1837" w:hanging="529"/>
      </w:pPr>
      <w:rPr>
        <w:rFonts w:hint="default"/>
        <w:lang w:val="en-US" w:eastAsia="zh-CN" w:bidi="ar-SA"/>
      </w:rPr>
    </w:lvl>
    <w:lvl w:ilvl="3" w:tentative="0">
      <w:start w:val="0"/>
      <w:numFmt w:val="bullet"/>
      <w:lvlText w:val="•"/>
      <w:lvlJc w:val="left"/>
      <w:pPr>
        <w:ind w:left="2435" w:hanging="529"/>
      </w:pPr>
      <w:rPr>
        <w:rFonts w:hint="default"/>
        <w:lang w:val="en-US" w:eastAsia="zh-CN" w:bidi="ar-SA"/>
      </w:rPr>
    </w:lvl>
    <w:lvl w:ilvl="4" w:tentative="0">
      <w:start w:val="0"/>
      <w:numFmt w:val="bullet"/>
      <w:lvlText w:val="•"/>
      <w:lvlJc w:val="left"/>
      <w:pPr>
        <w:ind w:left="3034" w:hanging="529"/>
      </w:pPr>
      <w:rPr>
        <w:rFonts w:hint="default"/>
        <w:lang w:val="en-US" w:eastAsia="zh-CN" w:bidi="ar-SA"/>
      </w:rPr>
    </w:lvl>
    <w:lvl w:ilvl="5" w:tentative="0">
      <w:start w:val="0"/>
      <w:numFmt w:val="bullet"/>
      <w:lvlText w:val="•"/>
      <w:lvlJc w:val="left"/>
      <w:pPr>
        <w:ind w:left="3633" w:hanging="529"/>
      </w:pPr>
      <w:rPr>
        <w:rFonts w:hint="default"/>
        <w:lang w:val="en-US" w:eastAsia="zh-CN" w:bidi="ar-SA"/>
      </w:rPr>
    </w:lvl>
    <w:lvl w:ilvl="6" w:tentative="0">
      <w:start w:val="0"/>
      <w:numFmt w:val="bullet"/>
      <w:lvlText w:val="•"/>
      <w:lvlJc w:val="left"/>
      <w:pPr>
        <w:ind w:left="4231" w:hanging="529"/>
      </w:pPr>
      <w:rPr>
        <w:rFonts w:hint="default"/>
        <w:lang w:val="en-US" w:eastAsia="zh-CN" w:bidi="ar-SA"/>
      </w:rPr>
    </w:lvl>
    <w:lvl w:ilvl="7" w:tentative="0">
      <w:start w:val="0"/>
      <w:numFmt w:val="bullet"/>
      <w:lvlText w:val="•"/>
      <w:lvlJc w:val="left"/>
      <w:pPr>
        <w:ind w:left="4830" w:hanging="529"/>
      </w:pPr>
      <w:rPr>
        <w:rFonts w:hint="default"/>
        <w:lang w:val="en-US" w:eastAsia="zh-CN" w:bidi="ar-SA"/>
      </w:rPr>
    </w:lvl>
    <w:lvl w:ilvl="8" w:tentative="0">
      <w:start w:val="0"/>
      <w:numFmt w:val="bullet"/>
      <w:lvlText w:val="•"/>
      <w:lvlJc w:val="left"/>
      <w:pPr>
        <w:ind w:left="5428" w:hanging="529"/>
      </w:pPr>
      <w:rPr>
        <w:rFonts w:hint="default"/>
        <w:lang w:val="en-US" w:eastAsia="zh-CN" w:bidi="ar-SA"/>
      </w:rPr>
    </w:lvl>
  </w:abstractNum>
  <w:abstractNum w:abstractNumId="128">
    <w:nsid w:val="68B298F7"/>
    <w:multiLevelType w:val="multilevel"/>
    <w:tmpl w:val="68B298F7"/>
    <w:lvl w:ilvl="0" w:tentative="0">
      <w:start w:val="1"/>
      <w:numFmt w:val="decimal"/>
      <w:lvlText w:val="（%1）"/>
      <w:lvlJc w:val="left"/>
      <w:pPr>
        <w:ind w:left="636"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238" w:hanging="529"/>
      </w:pPr>
      <w:rPr>
        <w:rFonts w:hint="default"/>
        <w:lang w:val="en-US" w:eastAsia="zh-CN" w:bidi="ar-SA"/>
      </w:rPr>
    </w:lvl>
    <w:lvl w:ilvl="2" w:tentative="0">
      <w:start w:val="0"/>
      <w:numFmt w:val="bullet"/>
      <w:lvlText w:val="•"/>
      <w:lvlJc w:val="left"/>
      <w:pPr>
        <w:ind w:left="1837" w:hanging="529"/>
      </w:pPr>
      <w:rPr>
        <w:rFonts w:hint="default"/>
        <w:lang w:val="en-US" w:eastAsia="zh-CN" w:bidi="ar-SA"/>
      </w:rPr>
    </w:lvl>
    <w:lvl w:ilvl="3" w:tentative="0">
      <w:start w:val="0"/>
      <w:numFmt w:val="bullet"/>
      <w:lvlText w:val="•"/>
      <w:lvlJc w:val="left"/>
      <w:pPr>
        <w:ind w:left="2435" w:hanging="529"/>
      </w:pPr>
      <w:rPr>
        <w:rFonts w:hint="default"/>
        <w:lang w:val="en-US" w:eastAsia="zh-CN" w:bidi="ar-SA"/>
      </w:rPr>
    </w:lvl>
    <w:lvl w:ilvl="4" w:tentative="0">
      <w:start w:val="0"/>
      <w:numFmt w:val="bullet"/>
      <w:lvlText w:val="•"/>
      <w:lvlJc w:val="left"/>
      <w:pPr>
        <w:ind w:left="3034" w:hanging="529"/>
      </w:pPr>
      <w:rPr>
        <w:rFonts w:hint="default"/>
        <w:lang w:val="en-US" w:eastAsia="zh-CN" w:bidi="ar-SA"/>
      </w:rPr>
    </w:lvl>
    <w:lvl w:ilvl="5" w:tentative="0">
      <w:start w:val="0"/>
      <w:numFmt w:val="bullet"/>
      <w:lvlText w:val="•"/>
      <w:lvlJc w:val="left"/>
      <w:pPr>
        <w:ind w:left="3633" w:hanging="529"/>
      </w:pPr>
      <w:rPr>
        <w:rFonts w:hint="default"/>
        <w:lang w:val="en-US" w:eastAsia="zh-CN" w:bidi="ar-SA"/>
      </w:rPr>
    </w:lvl>
    <w:lvl w:ilvl="6" w:tentative="0">
      <w:start w:val="0"/>
      <w:numFmt w:val="bullet"/>
      <w:lvlText w:val="•"/>
      <w:lvlJc w:val="left"/>
      <w:pPr>
        <w:ind w:left="4231" w:hanging="529"/>
      </w:pPr>
      <w:rPr>
        <w:rFonts w:hint="default"/>
        <w:lang w:val="en-US" w:eastAsia="zh-CN" w:bidi="ar-SA"/>
      </w:rPr>
    </w:lvl>
    <w:lvl w:ilvl="7" w:tentative="0">
      <w:start w:val="0"/>
      <w:numFmt w:val="bullet"/>
      <w:lvlText w:val="•"/>
      <w:lvlJc w:val="left"/>
      <w:pPr>
        <w:ind w:left="4830" w:hanging="529"/>
      </w:pPr>
      <w:rPr>
        <w:rFonts w:hint="default"/>
        <w:lang w:val="en-US" w:eastAsia="zh-CN" w:bidi="ar-SA"/>
      </w:rPr>
    </w:lvl>
    <w:lvl w:ilvl="8" w:tentative="0">
      <w:start w:val="0"/>
      <w:numFmt w:val="bullet"/>
      <w:lvlText w:val="•"/>
      <w:lvlJc w:val="left"/>
      <w:pPr>
        <w:ind w:left="5428" w:hanging="529"/>
      </w:pPr>
      <w:rPr>
        <w:rFonts w:hint="default"/>
        <w:lang w:val="en-US" w:eastAsia="zh-CN" w:bidi="ar-SA"/>
      </w:rPr>
    </w:lvl>
  </w:abstractNum>
  <w:abstractNum w:abstractNumId="129">
    <w:nsid w:val="6D423078"/>
    <w:multiLevelType w:val="multilevel"/>
    <w:tmpl w:val="6D423078"/>
    <w:lvl w:ilvl="0" w:tentative="0">
      <w:start w:val="1"/>
      <w:numFmt w:val="decimal"/>
      <w:lvlText w:val="（%1）"/>
      <w:lvlJc w:val="left"/>
      <w:pPr>
        <w:ind w:left="108" w:hanging="529"/>
        <w:jc w:val="left"/>
      </w:pPr>
      <w:rPr>
        <w:rFonts w:hint="default" w:ascii="宋体" w:hAnsi="宋体" w:eastAsia="宋体" w:cs="宋体"/>
        <w:b w:val="0"/>
        <w:bCs w:val="0"/>
        <w:i w:val="0"/>
        <w:iCs w:val="0"/>
        <w:spacing w:val="-25"/>
        <w:w w:val="100"/>
        <w:sz w:val="19"/>
        <w:szCs w:val="19"/>
        <w:lang w:val="en-US" w:eastAsia="zh-CN" w:bidi="ar-SA"/>
      </w:rPr>
    </w:lvl>
    <w:lvl w:ilvl="1" w:tentative="0">
      <w:start w:val="0"/>
      <w:numFmt w:val="bullet"/>
      <w:lvlText w:val="•"/>
      <w:lvlJc w:val="left"/>
      <w:pPr>
        <w:ind w:left="753" w:hanging="529"/>
      </w:pPr>
      <w:rPr>
        <w:rFonts w:hint="default"/>
        <w:lang w:val="en-US" w:eastAsia="zh-CN" w:bidi="ar-SA"/>
      </w:rPr>
    </w:lvl>
    <w:lvl w:ilvl="2" w:tentative="0">
      <w:start w:val="0"/>
      <w:numFmt w:val="bullet"/>
      <w:lvlText w:val="•"/>
      <w:lvlJc w:val="left"/>
      <w:pPr>
        <w:ind w:left="1406" w:hanging="529"/>
      </w:pPr>
      <w:rPr>
        <w:rFonts w:hint="default"/>
        <w:lang w:val="en-US" w:eastAsia="zh-CN" w:bidi="ar-SA"/>
      </w:rPr>
    </w:lvl>
    <w:lvl w:ilvl="3" w:tentative="0">
      <w:start w:val="0"/>
      <w:numFmt w:val="bullet"/>
      <w:lvlText w:val="•"/>
      <w:lvlJc w:val="left"/>
      <w:pPr>
        <w:ind w:left="2059" w:hanging="529"/>
      </w:pPr>
      <w:rPr>
        <w:rFonts w:hint="default"/>
        <w:lang w:val="en-US" w:eastAsia="zh-CN" w:bidi="ar-SA"/>
      </w:rPr>
    </w:lvl>
    <w:lvl w:ilvl="4" w:tentative="0">
      <w:start w:val="0"/>
      <w:numFmt w:val="bullet"/>
      <w:lvlText w:val="•"/>
      <w:lvlJc w:val="left"/>
      <w:pPr>
        <w:ind w:left="2713" w:hanging="529"/>
      </w:pPr>
      <w:rPr>
        <w:rFonts w:hint="default"/>
        <w:lang w:val="en-US" w:eastAsia="zh-CN" w:bidi="ar-SA"/>
      </w:rPr>
    </w:lvl>
    <w:lvl w:ilvl="5" w:tentative="0">
      <w:start w:val="0"/>
      <w:numFmt w:val="bullet"/>
      <w:lvlText w:val="•"/>
      <w:lvlJc w:val="left"/>
      <w:pPr>
        <w:ind w:left="3366" w:hanging="529"/>
      </w:pPr>
      <w:rPr>
        <w:rFonts w:hint="default"/>
        <w:lang w:val="en-US" w:eastAsia="zh-CN" w:bidi="ar-SA"/>
      </w:rPr>
    </w:lvl>
    <w:lvl w:ilvl="6" w:tentative="0">
      <w:start w:val="0"/>
      <w:numFmt w:val="bullet"/>
      <w:lvlText w:val="•"/>
      <w:lvlJc w:val="left"/>
      <w:pPr>
        <w:ind w:left="4019" w:hanging="529"/>
      </w:pPr>
      <w:rPr>
        <w:rFonts w:hint="default"/>
        <w:lang w:val="en-US" w:eastAsia="zh-CN" w:bidi="ar-SA"/>
      </w:rPr>
    </w:lvl>
    <w:lvl w:ilvl="7" w:tentative="0">
      <w:start w:val="0"/>
      <w:numFmt w:val="bullet"/>
      <w:lvlText w:val="•"/>
      <w:lvlJc w:val="left"/>
      <w:pPr>
        <w:ind w:left="4673" w:hanging="529"/>
      </w:pPr>
      <w:rPr>
        <w:rFonts w:hint="default"/>
        <w:lang w:val="en-US" w:eastAsia="zh-CN" w:bidi="ar-SA"/>
      </w:rPr>
    </w:lvl>
    <w:lvl w:ilvl="8" w:tentative="0">
      <w:start w:val="0"/>
      <w:numFmt w:val="bullet"/>
      <w:lvlText w:val="•"/>
      <w:lvlJc w:val="left"/>
      <w:pPr>
        <w:ind w:left="5326" w:hanging="529"/>
      </w:pPr>
      <w:rPr>
        <w:rFonts w:hint="default"/>
        <w:lang w:val="en-US" w:eastAsia="zh-CN" w:bidi="ar-SA"/>
      </w:rPr>
    </w:lvl>
  </w:abstractNum>
  <w:abstractNum w:abstractNumId="130">
    <w:nsid w:val="700FDCEF"/>
    <w:multiLevelType w:val="multilevel"/>
    <w:tmpl w:val="700FDCEF"/>
    <w:lvl w:ilvl="0" w:tentative="0">
      <w:start w:val="1"/>
      <w:numFmt w:val="decimal"/>
      <w:lvlText w:val="（%1）"/>
      <w:lvlJc w:val="left"/>
      <w:pPr>
        <w:ind w:left="636"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238" w:hanging="529"/>
      </w:pPr>
      <w:rPr>
        <w:rFonts w:hint="default"/>
        <w:lang w:val="en-US" w:eastAsia="zh-CN" w:bidi="ar-SA"/>
      </w:rPr>
    </w:lvl>
    <w:lvl w:ilvl="2" w:tentative="0">
      <w:start w:val="0"/>
      <w:numFmt w:val="bullet"/>
      <w:lvlText w:val="•"/>
      <w:lvlJc w:val="left"/>
      <w:pPr>
        <w:ind w:left="1837" w:hanging="529"/>
      </w:pPr>
      <w:rPr>
        <w:rFonts w:hint="default"/>
        <w:lang w:val="en-US" w:eastAsia="zh-CN" w:bidi="ar-SA"/>
      </w:rPr>
    </w:lvl>
    <w:lvl w:ilvl="3" w:tentative="0">
      <w:start w:val="0"/>
      <w:numFmt w:val="bullet"/>
      <w:lvlText w:val="•"/>
      <w:lvlJc w:val="left"/>
      <w:pPr>
        <w:ind w:left="2435" w:hanging="529"/>
      </w:pPr>
      <w:rPr>
        <w:rFonts w:hint="default"/>
        <w:lang w:val="en-US" w:eastAsia="zh-CN" w:bidi="ar-SA"/>
      </w:rPr>
    </w:lvl>
    <w:lvl w:ilvl="4" w:tentative="0">
      <w:start w:val="0"/>
      <w:numFmt w:val="bullet"/>
      <w:lvlText w:val="•"/>
      <w:lvlJc w:val="left"/>
      <w:pPr>
        <w:ind w:left="3034" w:hanging="529"/>
      </w:pPr>
      <w:rPr>
        <w:rFonts w:hint="default"/>
        <w:lang w:val="en-US" w:eastAsia="zh-CN" w:bidi="ar-SA"/>
      </w:rPr>
    </w:lvl>
    <w:lvl w:ilvl="5" w:tentative="0">
      <w:start w:val="0"/>
      <w:numFmt w:val="bullet"/>
      <w:lvlText w:val="•"/>
      <w:lvlJc w:val="left"/>
      <w:pPr>
        <w:ind w:left="3633" w:hanging="529"/>
      </w:pPr>
      <w:rPr>
        <w:rFonts w:hint="default"/>
        <w:lang w:val="en-US" w:eastAsia="zh-CN" w:bidi="ar-SA"/>
      </w:rPr>
    </w:lvl>
    <w:lvl w:ilvl="6" w:tentative="0">
      <w:start w:val="0"/>
      <w:numFmt w:val="bullet"/>
      <w:lvlText w:val="•"/>
      <w:lvlJc w:val="left"/>
      <w:pPr>
        <w:ind w:left="4231" w:hanging="529"/>
      </w:pPr>
      <w:rPr>
        <w:rFonts w:hint="default"/>
        <w:lang w:val="en-US" w:eastAsia="zh-CN" w:bidi="ar-SA"/>
      </w:rPr>
    </w:lvl>
    <w:lvl w:ilvl="7" w:tentative="0">
      <w:start w:val="0"/>
      <w:numFmt w:val="bullet"/>
      <w:lvlText w:val="•"/>
      <w:lvlJc w:val="left"/>
      <w:pPr>
        <w:ind w:left="4830" w:hanging="529"/>
      </w:pPr>
      <w:rPr>
        <w:rFonts w:hint="default"/>
        <w:lang w:val="en-US" w:eastAsia="zh-CN" w:bidi="ar-SA"/>
      </w:rPr>
    </w:lvl>
    <w:lvl w:ilvl="8" w:tentative="0">
      <w:start w:val="0"/>
      <w:numFmt w:val="bullet"/>
      <w:lvlText w:val="•"/>
      <w:lvlJc w:val="left"/>
      <w:pPr>
        <w:ind w:left="5428" w:hanging="529"/>
      </w:pPr>
      <w:rPr>
        <w:rFonts w:hint="default"/>
        <w:lang w:val="en-US" w:eastAsia="zh-CN" w:bidi="ar-SA"/>
      </w:rPr>
    </w:lvl>
  </w:abstractNum>
  <w:abstractNum w:abstractNumId="131">
    <w:nsid w:val="72183CF9"/>
    <w:multiLevelType w:val="multilevel"/>
    <w:tmpl w:val="72183CF9"/>
    <w:lvl w:ilvl="0" w:tentative="0">
      <w:start w:val="8"/>
      <w:numFmt w:val="decimal"/>
      <w:lvlText w:val="%1"/>
      <w:lvlJc w:val="left"/>
      <w:pPr>
        <w:ind w:left="776" w:hanging="423"/>
        <w:jc w:val="left"/>
      </w:pPr>
      <w:rPr>
        <w:rFonts w:hint="default"/>
        <w:lang w:val="en-US" w:eastAsia="zh-CN" w:bidi="ar-SA"/>
      </w:rPr>
    </w:lvl>
    <w:lvl w:ilvl="1" w:tentative="0">
      <w:start w:val="1"/>
      <w:numFmt w:val="decimal"/>
      <w:lvlText w:val="%1.%2"/>
      <w:lvlJc w:val="left"/>
      <w:pPr>
        <w:ind w:left="776" w:hanging="423"/>
        <w:jc w:val="left"/>
      </w:pPr>
      <w:rPr>
        <w:rFonts w:hint="default" w:ascii="宋体" w:hAnsi="宋体" w:eastAsia="宋体" w:cs="宋体"/>
        <w:b w:val="0"/>
        <w:bCs w:val="0"/>
        <w:i w:val="0"/>
        <w:iCs w:val="0"/>
        <w:w w:val="100"/>
        <w:sz w:val="21"/>
        <w:szCs w:val="21"/>
        <w:lang w:val="en-US" w:eastAsia="zh-CN" w:bidi="ar-SA"/>
      </w:rPr>
    </w:lvl>
    <w:lvl w:ilvl="2" w:tentative="0">
      <w:start w:val="0"/>
      <w:numFmt w:val="bullet"/>
      <w:lvlText w:val="•"/>
      <w:lvlJc w:val="left"/>
      <w:pPr>
        <w:ind w:left="1283" w:hanging="423"/>
      </w:pPr>
      <w:rPr>
        <w:rFonts w:hint="default"/>
        <w:lang w:val="en-US" w:eastAsia="zh-CN" w:bidi="ar-SA"/>
      </w:rPr>
    </w:lvl>
    <w:lvl w:ilvl="3" w:tentative="0">
      <w:start w:val="0"/>
      <w:numFmt w:val="bullet"/>
      <w:lvlText w:val="•"/>
      <w:lvlJc w:val="left"/>
      <w:pPr>
        <w:ind w:left="1535" w:hanging="423"/>
      </w:pPr>
      <w:rPr>
        <w:rFonts w:hint="default"/>
        <w:lang w:val="en-US" w:eastAsia="zh-CN" w:bidi="ar-SA"/>
      </w:rPr>
    </w:lvl>
    <w:lvl w:ilvl="4" w:tentative="0">
      <w:start w:val="0"/>
      <w:numFmt w:val="bullet"/>
      <w:lvlText w:val="•"/>
      <w:lvlJc w:val="left"/>
      <w:pPr>
        <w:ind w:left="1787" w:hanging="423"/>
      </w:pPr>
      <w:rPr>
        <w:rFonts w:hint="default"/>
        <w:lang w:val="en-US" w:eastAsia="zh-CN" w:bidi="ar-SA"/>
      </w:rPr>
    </w:lvl>
    <w:lvl w:ilvl="5" w:tentative="0">
      <w:start w:val="0"/>
      <w:numFmt w:val="bullet"/>
      <w:lvlText w:val="•"/>
      <w:lvlJc w:val="left"/>
      <w:pPr>
        <w:ind w:left="2039" w:hanging="423"/>
      </w:pPr>
      <w:rPr>
        <w:rFonts w:hint="default"/>
        <w:lang w:val="en-US" w:eastAsia="zh-CN" w:bidi="ar-SA"/>
      </w:rPr>
    </w:lvl>
    <w:lvl w:ilvl="6" w:tentative="0">
      <w:start w:val="0"/>
      <w:numFmt w:val="bullet"/>
      <w:lvlText w:val="•"/>
      <w:lvlJc w:val="left"/>
      <w:pPr>
        <w:ind w:left="2291" w:hanging="423"/>
      </w:pPr>
      <w:rPr>
        <w:rFonts w:hint="default"/>
        <w:lang w:val="en-US" w:eastAsia="zh-CN" w:bidi="ar-SA"/>
      </w:rPr>
    </w:lvl>
    <w:lvl w:ilvl="7" w:tentative="0">
      <w:start w:val="0"/>
      <w:numFmt w:val="bullet"/>
      <w:lvlText w:val="•"/>
      <w:lvlJc w:val="left"/>
      <w:pPr>
        <w:ind w:left="2543" w:hanging="423"/>
      </w:pPr>
      <w:rPr>
        <w:rFonts w:hint="default"/>
        <w:lang w:val="en-US" w:eastAsia="zh-CN" w:bidi="ar-SA"/>
      </w:rPr>
    </w:lvl>
    <w:lvl w:ilvl="8" w:tentative="0">
      <w:start w:val="0"/>
      <w:numFmt w:val="bullet"/>
      <w:lvlText w:val="•"/>
      <w:lvlJc w:val="left"/>
      <w:pPr>
        <w:ind w:left="2795" w:hanging="423"/>
      </w:pPr>
      <w:rPr>
        <w:rFonts w:hint="default"/>
        <w:lang w:val="en-US" w:eastAsia="zh-CN" w:bidi="ar-SA"/>
      </w:rPr>
    </w:lvl>
  </w:abstractNum>
  <w:abstractNum w:abstractNumId="132">
    <w:nsid w:val="74C28B35"/>
    <w:multiLevelType w:val="multilevel"/>
    <w:tmpl w:val="74C28B35"/>
    <w:lvl w:ilvl="0" w:tentative="0">
      <w:start w:val="1"/>
      <w:numFmt w:val="decimal"/>
      <w:lvlText w:val="（%1）"/>
      <w:lvlJc w:val="left"/>
      <w:pPr>
        <w:ind w:left="636"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238" w:hanging="529"/>
      </w:pPr>
      <w:rPr>
        <w:rFonts w:hint="default"/>
        <w:lang w:val="en-US" w:eastAsia="zh-CN" w:bidi="ar-SA"/>
      </w:rPr>
    </w:lvl>
    <w:lvl w:ilvl="2" w:tentative="0">
      <w:start w:val="0"/>
      <w:numFmt w:val="bullet"/>
      <w:lvlText w:val="•"/>
      <w:lvlJc w:val="left"/>
      <w:pPr>
        <w:ind w:left="1837" w:hanging="529"/>
      </w:pPr>
      <w:rPr>
        <w:rFonts w:hint="default"/>
        <w:lang w:val="en-US" w:eastAsia="zh-CN" w:bidi="ar-SA"/>
      </w:rPr>
    </w:lvl>
    <w:lvl w:ilvl="3" w:tentative="0">
      <w:start w:val="0"/>
      <w:numFmt w:val="bullet"/>
      <w:lvlText w:val="•"/>
      <w:lvlJc w:val="left"/>
      <w:pPr>
        <w:ind w:left="2435" w:hanging="529"/>
      </w:pPr>
      <w:rPr>
        <w:rFonts w:hint="default"/>
        <w:lang w:val="en-US" w:eastAsia="zh-CN" w:bidi="ar-SA"/>
      </w:rPr>
    </w:lvl>
    <w:lvl w:ilvl="4" w:tentative="0">
      <w:start w:val="0"/>
      <w:numFmt w:val="bullet"/>
      <w:lvlText w:val="•"/>
      <w:lvlJc w:val="left"/>
      <w:pPr>
        <w:ind w:left="3034" w:hanging="529"/>
      </w:pPr>
      <w:rPr>
        <w:rFonts w:hint="default"/>
        <w:lang w:val="en-US" w:eastAsia="zh-CN" w:bidi="ar-SA"/>
      </w:rPr>
    </w:lvl>
    <w:lvl w:ilvl="5" w:tentative="0">
      <w:start w:val="0"/>
      <w:numFmt w:val="bullet"/>
      <w:lvlText w:val="•"/>
      <w:lvlJc w:val="left"/>
      <w:pPr>
        <w:ind w:left="3633" w:hanging="529"/>
      </w:pPr>
      <w:rPr>
        <w:rFonts w:hint="default"/>
        <w:lang w:val="en-US" w:eastAsia="zh-CN" w:bidi="ar-SA"/>
      </w:rPr>
    </w:lvl>
    <w:lvl w:ilvl="6" w:tentative="0">
      <w:start w:val="0"/>
      <w:numFmt w:val="bullet"/>
      <w:lvlText w:val="•"/>
      <w:lvlJc w:val="left"/>
      <w:pPr>
        <w:ind w:left="4231" w:hanging="529"/>
      </w:pPr>
      <w:rPr>
        <w:rFonts w:hint="default"/>
        <w:lang w:val="en-US" w:eastAsia="zh-CN" w:bidi="ar-SA"/>
      </w:rPr>
    </w:lvl>
    <w:lvl w:ilvl="7" w:tentative="0">
      <w:start w:val="0"/>
      <w:numFmt w:val="bullet"/>
      <w:lvlText w:val="•"/>
      <w:lvlJc w:val="left"/>
      <w:pPr>
        <w:ind w:left="4830" w:hanging="529"/>
      </w:pPr>
      <w:rPr>
        <w:rFonts w:hint="default"/>
        <w:lang w:val="en-US" w:eastAsia="zh-CN" w:bidi="ar-SA"/>
      </w:rPr>
    </w:lvl>
    <w:lvl w:ilvl="8" w:tentative="0">
      <w:start w:val="0"/>
      <w:numFmt w:val="bullet"/>
      <w:lvlText w:val="•"/>
      <w:lvlJc w:val="left"/>
      <w:pPr>
        <w:ind w:left="5428" w:hanging="529"/>
      </w:pPr>
      <w:rPr>
        <w:rFonts w:hint="default"/>
        <w:lang w:val="en-US" w:eastAsia="zh-CN" w:bidi="ar-SA"/>
      </w:rPr>
    </w:lvl>
  </w:abstractNum>
  <w:abstractNum w:abstractNumId="133">
    <w:nsid w:val="77633216"/>
    <w:multiLevelType w:val="multilevel"/>
    <w:tmpl w:val="77633216"/>
    <w:lvl w:ilvl="0" w:tentative="0">
      <w:start w:val="1"/>
      <w:numFmt w:val="decimal"/>
      <w:lvlText w:val="（%1）"/>
      <w:lvlJc w:val="left"/>
      <w:pPr>
        <w:ind w:left="636"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238" w:hanging="529"/>
      </w:pPr>
      <w:rPr>
        <w:rFonts w:hint="default"/>
        <w:lang w:val="en-US" w:eastAsia="zh-CN" w:bidi="ar-SA"/>
      </w:rPr>
    </w:lvl>
    <w:lvl w:ilvl="2" w:tentative="0">
      <w:start w:val="0"/>
      <w:numFmt w:val="bullet"/>
      <w:lvlText w:val="•"/>
      <w:lvlJc w:val="left"/>
      <w:pPr>
        <w:ind w:left="1837" w:hanging="529"/>
      </w:pPr>
      <w:rPr>
        <w:rFonts w:hint="default"/>
        <w:lang w:val="en-US" w:eastAsia="zh-CN" w:bidi="ar-SA"/>
      </w:rPr>
    </w:lvl>
    <w:lvl w:ilvl="3" w:tentative="0">
      <w:start w:val="0"/>
      <w:numFmt w:val="bullet"/>
      <w:lvlText w:val="•"/>
      <w:lvlJc w:val="left"/>
      <w:pPr>
        <w:ind w:left="2435" w:hanging="529"/>
      </w:pPr>
      <w:rPr>
        <w:rFonts w:hint="default"/>
        <w:lang w:val="en-US" w:eastAsia="zh-CN" w:bidi="ar-SA"/>
      </w:rPr>
    </w:lvl>
    <w:lvl w:ilvl="4" w:tentative="0">
      <w:start w:val="0"/>
      <w:numFmt w:val="bullet"/>
      <w:lvlText w:val="•"/>
      <w:lvlJc w:val="left"/>
      <w:pPr>
        <w:ind w:left="3034" w:hanging="529"/>
      </w:pPr>
      <w:rPr>
        <w:rFonts w:hint="default"/>
        <w:lang w:val="en-US" w:eastAsia="zh-CN" w:bidi="ar-SA"/>
      </w:rPr>
    </w:lvl>
    <w:lvl w:ilvl="5" w:tentative="0">
      <w:start w:val="0"/>
      <w:numFmt w:val="bullet"/>
      <w:lvlText w:val="•"/>
      <w:lvlJc w:val="left"/>
      <w:pPr>
        <w:ind w:left="3633" w:hanging="529"/>
      </w:pPr>
      <w:rPr>
        <w:rFonts w:hint="default"/>
        <w:lang w:val="en-US" w:eastAsia="zh-CN" w:bidi="ar-SA"/>
      </w:rPr>
    </w:lvl>
    <w:lvl w:ilvl="6" w:tentative="0">
      <w:start w:val="0"/>
      <w:numFmt w:val="bullet"/>
      <w:lvlText w:val="•"/>
      <w:lvlJc w:val="left"/>
      <w:pPr>
        <w:ind w:left="4231" w:hanging="529"/>
      </w:pPr>
      <w:rPr>
        <w:rFonts w:hint="default"/>
        <w:lang w:val="en-US" w:eastAsia="zh-CN" w:bidi="ar-SA"/>
      </w:rPr>
    </w:lvl>
    <w:lvl w:ilvl="7" w:tentative="0">
      <w:start w:val="0"/>
      <w:numFmt w:val="bullet"/>
      <w:lvlText w:val="•"/>
      <w:lvlJc w:val="left"/>
      <w:pPr>
        <w:ind w:left="4830" w:hanging="529"/>
      </w:pPr>
      <w:rPr>
        <w:rFonts w:hint="default"/>
        <w:lang w:val="en-US" w:eastAsia="zh-CN" w:bidi="ar-SA"/>
      </w:rPr>
    </w:lvl>
    <w:lvl w:ilvl="8" w:tentative="0">
      <w:start w:val="0"/>
      <w:numFmt w:val="bullet"/>
      <w:lvlText w:val="•"/>
      <w:lvlJc w:val="left"/>
      <w:pPr>
        <w:ind w:left="5428" w:hanging="529"/>
      </w:pPr>
      <w:rPr>
        <w:rFonts w:hint="default"/>
        <w:lang w:val="en-US" w:eastAsia="zh-CN" w:bidi="ar-SA"/>
      </w:rPr>
    </w:lvl>
  </w:abstractNum>
  <w:abstractNum w:abstractNumId="134">
    <w:nsid w:val="77ECEA79"/>
    <w:multiLevelType w:val="multilevel"/>
    <w:tmpl w:val="77ECEA79"/>
    <w:lvl w:ilvl="0" w:tentative="0">
      <w:start w:val="1"/>
      <w:numFmt w:val="decimal"/>
      <w:lvlText w:val="（%1）"/>
      <w:lvlJc w:val="left"/>
      <w:pPr>
        <w:ind w:left="720" w:hanging="530"/>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375" w:hanging="530"/>
      </w:pPr>
      <w:rPr>
        <w:rFonts w:hint="default"/>
        <w:lang w:val="en-US" w:eastAsia="zh-CN" w:bidi="ar-SA"/>
      </w:rPr>
    </w:lvl>
    <w:lvl w:ilvl="2" w:tentative="0">
      <w:start w:val="0"/>
      <w:numFmt w:val="bullet"/>
      <w:lvlText w:val="•"/>
      <w:lvlJc w:val="left"/>
      <w:pPr>
        <w:ind w:left="2031" w:hanging="530"/>
      </w:pPr>
      <w:rPr>
        <w:rFonts w:hint="default"/>
        <w:lang w:val="en-US" w:eastAsia="zh-CN" w:bidi="ar-SA"/>
      </w:rPr>
    </w:lvl>
    <w:lvl w:ilvl="3" w:tentative="0">
      <w:start w:val="0"/>
      <w:numFmt w:val="bullet"/>
      <w:lvlText w:val="•"/>
      <w:lvlJc w:val="left"/>
      <w:pPr>
        <w:ind w:left="2687" w:hanging="530"/>
      </w:pPr>
      <w:rPr>
        <w:rFonts w:hint="default"/>
        <w:lang w:val="en-US" w:eastAsia="zh-CN" w:bidi="ar-SA"/>
      </w:rPr>
    </w:lvl>
    <w:lvl w:ilvl="4" w:tentative="0">
      <w:start w:val="0"/>
      <w:numFmt w:val="bullet"/>
      <w:lvlText w:val="•"/>
      <w:lvlJc w:val="left"/>
      <w:pPr>
        <w:ind w:left="3343" w:hanging="530"/>
      </w:pPr>
      <w:rPr>
        <w:rFonts w:hint="default"/>
        <w:lang w:val="en-US" w:eastAsia="zh-CN" w:bidi="ar-SA"/>
      </w:rPr>
    </w:lvl>
    <w:lvl w:ilvl="5" w:tentative="0">
      <w:start w:val="0"/>
      <w:numFmt w:val="bullet"/>
      <w:lvlText w:val="•"/>
      <w:lvlJc w:val="left"/>
      <w:pPr>
        <w:ind w:left="3999" w:hanging="530"/>
      </w:pPr>
      <w:rPr>
        <w:rFonts w:hint="default"/>
        <w:lang w:val="en-US" w:eastAsia="zh-CN" w:bidi="ar-SA"/>
      </w:rPr>
    </w:lvl>
    <w:lvl w:ilvl="6" w:tentative="0">
      <w:start w:val="0"/>
      <w:numFmt w:val="bullet"/>
      <w:lvlText w:val="•"/>
      <w:lvlJc w:val="left"/>
      <w:pPr>
        <w:ind w:left="4655" w:hanging="530"/>
      </w:pPr>
      <w:rPr>
        <w:rFonts w:hint="default"/>
        <w:lang w:val="en-US" w:eastAsia="zh-CN" w:bidi="ar-SA"/>
      </w:rPr>
    </w:lvl>
    <w:lvl w:ilvl="7" w:tentative="0">
      <w:start w:val="0"/>
      <w:numFmt w:val="bullet"/>
      <w:lvlText w:val="•"/>
      <w:lvlJc w:val="left"/>
      <w:pPr>
        <w:ind w:left="5311" w:hanging="530"/>
      </w:pPr>
      <w:rPr>
        <w:rFonts w:hint="default"/>
        <w:lang w:val="en-US" w:eastAsia="zh-CN" w:bidi="ar-SA"/>
      </w:rPr>
    </w:lvl>
    <w:lvl w:ilvl="8" w:tentative="0">
      <w:start w:val="0"/>
      <w:numFmt w:val="bullet"/>
      <w:lvlText w:val="•"/>
      <w:lvlJc w:val="left"/>
      <w:pPr>
        <w:ind w:left="5967" w:hanging="530"/>
      </w:pPr>
      <w:rPr>
        <w:rFonts w:hint="default"/>
        <w:lang w:val="en-US" w:eastAsia="zh-CN" w:bidi="ar-SA"/>
      </w:rPr>
    </w:lvl>
  </w:abstractNum>
  <w:abstractNum w:abstractNumId="135">
    <w:nsid w:val="79AA4FA4"/>
    <w:multiLevelType w:val="multilevel"/>
    <w:tmpl w:val="79AA4FA4"/>
    <w:lvl w:ilvl="0" w:tentative="0">
      <w:start w:val="1"/>
      <w:numFmt w:val="decimal"/>
      <w:lvlText w:val="（%1）"/>
      <w:lvlJc w:val="left"/>
      <w:pPr>
        <w:ind w:left="636"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238" w:hanging="529"/>
      </w:pPr>
      <w:rPr>
        <w:rFonts w:hint="default"/>
        <w:lang w:val="en-US" w:eastAsia="zh-CN" w:bidi="ar-SA"/>
      </w:rPr>
    </w:lvl>
    <w:lvl w:ilvl="2" w:tentative="0">
      <w:start w:val="0"/>
      <w:numFmt w:val="bullet"/>
      <w:lvlText w:val="•"/>
      <w:lvlJc w:val="left"/>
      <w:pPr>
        <w:ind w:left="1837" w:hanging="529"/>
      </w:pPr>
      <w:rPr>
        <w:rFonts w:hint="default"/>
        <w:lang w:val="en-US" w:eastAsia="zh-CN" w:bidi="ar-SA"/>
      </w:rPr>
    </w:lvl>
    <w:lvl w:ilvl="3" w:tentative="0">
      <w:start w:val="0"/>
      <w:numFmt w:val="bullet"/>
      <w:lvlText w:val="•"/>
      <w:lvlJc w:val="left"/>
      <w:pPr>
        <w:ind w:left="2435" w:hanging="529"/>
      </w:pPr>
      <w:rPr>
        <w:rFonts w:hint="default"/>
        <w:lang w:val="en-US" w:eastAsia="zh-CN" w:bidi="ar-SA"/>
      </w:rPr>
    </w:lvl>
    <w:lvl w:ilvl="4" w:tentative="0">
      <w:start w:val="0"/>
      <w:numFmt w:val="bullet"/>
      <w:lvlText w:val="•"/>
      <w:lvlJc w:val="left"/>
      <w:pPr>
        <w:ind w:left="3034" w:hanging="529"/>
      </w:pPr>
      <w:rPr>
        <w:rFonts w:hint="default"/>
        <w:lang w:val="en-US" w:eastAsia="zh-CN" w:bidi="ar-SA"/>
      </w:rPr>
    </w:lvl>
    <w:lvl w:ilvl="5" w:tentative="0">
      <w:start w:val="0"/>
      <w:numFmt w:val="bullet"/>
      <w:lvlText w:val="•"/>
      <w:lvlJc w:val="left"/>
      <w:pPr>
        <w:ind w:left="3633" w:hanging="529"/>
      </w:pPr>
      <w:rPr>
        <w:rFonts w:hint="default"/>
        <w:lang w:val="en-US" w:eastAsia="zh-CN" w:bidi="ar-SA"/>
      </w:rPr>
    </w:lvl>
    <w:lvl w:ilvl="6" w:tentative="0">
      <w:start w:val="0"/>
      <w:numFmt w:val="bullet"/>
      <w:lvlText w:val="•"/>
      <w:lvlJc w:val="left"/>
      <w:pPr>
        <w:ind w:left="4231" w:hanging="529"/>
      </w:pPr>
      <w:rPr>
        <w:rFonts w:hint="default"/>
        <w:lang w:val="en-US" w:eastAsia="zh-CN" w:bidi="ar-SA"/>
      </w:rPr>
    </w:lvl>
    <w:lvl w:ilvl="7" w:tentative="0">
      <w:start w:val="0"/>
      <w:numFmt w:val="bullet"/>
      <w:lvlText w:val="•"/>
      <w:lvlJc w:val="left"/>
      <w:pPr>
        <w:ind w:left="4830" w:hanging="529"/>
      </w:pPr>
      <w:rPr>
        <w:rFonts w:hint="default"/>
        <w:lang w:val="en-US" w:eastAsia="zh-CN" w:bidi="ar-SA"/>
      </w:rPr>
    </w:lvl>
    <w:lvl w:ilvl="8" w:tentative="0">
      <w:start w:val="0"/>
      <w:numFmt w:val="bullet"/>
      <w:lvlText w:val="•"/>
      <w:lvlJc w:val="left"/>
      <w:pPr>
        <w:ind w:left="5428" w:hanging="529"/>
      </w:pPr>
      <w:rPr>
        <w:rFonts w:hint="default"/>
        <w:lang w:val="en-US" w:eastAsia="zh-CN" w:bidi="ar-SA"/>
      </w:rPr>
    </w:lvl>
  </w:abstractNum>
  <w:abstractNum w:abstractNumId="136">
    <w:nsid w:val="7C246926"/>
    <w:multiLevelType w:val="multilevel"/>
    <w:tmpl w:val="7C246926"/>
    <w:lvl w:ilvl="0" w:tentative="0">
      <w:start w:val="1"/>
      <w:numFmt w:val="decimal"/>
      <w:lvlText w:val="（%1）"/>
      <w:lvlJc w:val="left"/>
      <w:pPr>
        <w:ind w:left="720" w:hanging="530"/>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375" w:hanging="530"/>
      </w:pPr>
      <w:rPr>
        <w:rFonts w:hint="default"/>
        <w:lang w:val="en-US" w:eastAsia="zh-CN" w:bidi="ar-SA"/>
      </w:rPr>
    </w:lvl>
    <w:lvl w:ilvl="2" w:tentative="0">
      <w:start w:val="0"/>
      <w:numFmt w:val="bullet"/>
      <w:lvlText w:val="•"/>
      <w:lvlJc w:val="left"/>
      <w:pPr>
        <w:ind w:left="2031" w:hanging="530"/>
      </w:pPr>
      <w:rPr>
        <w:rFonts w:hint="default"/>
        <w:lang w:val="en-US" w:eastAsia="zh-CN" w:bidi="ar-SA"/>
      </w:rPr>
    </w:lvl>
    <w:lvl w:ilvl="3" w:tentative="0">
      <w:start w:val="0"/>
      <w:numFmt w:val="bullet"/>
      <w:lvlText w:val="•"/>
      <w:lvlJc w:val="left"/>
      <w:pPr>
        <w:ind w:left="2687" w:hanging="530"/>
      </w:pPr>
      <w:rPr>
        <w:rFonts w:hint="default"/>
        <w:lang w:val="en-US" w:eastAsia="zh-CN" w:bidi="ar-SA"/>
      </w:rPr>
    </w:lvl>
    <w:lvl w:ilvl="4" w:tentative="0">
      <w:start w:val="0"/>
      <w:numFmt w:val="bullet"/>
      <w:lvlText w:val="•"/>
      <w:lvlJc w:val="left"/>
      <w:pPr>
        <w:ind w:left="3343" w:hanging="530"/>
      </w:pPr>
      <w:rPr>
        <w:rFonts w:hint="default"/>
        <w:lang w:val="en-US" w:eastAsia="zh-CN" w:bidi="ar-SA"/>
      </w:rPr>
    </w:lvl>
    <w:lvl w:ilvl="5" w:tentative="0">
      <w:start w:val="0"/>
      <w:numFmt w:val="bullet"/>
      <w:lvlText w:val="•"/>
      <w:lvlJc w:val="left"/>
      <w:pPr>
        <w:ind w:left="3999" w:hanging="530"/>
      </w:pPr>
      <w:rPr>
        <w:rFonts w:hint="default"/>
        <w:lang w:val="en-US" w:eastAsia="zh-CN" w:bidi="ar-SA"/>
      </w:rPr>
    </w:lvl>
    <w:lvl w:ilvl="6" w:tentative="0">
      <w:start w:val="0"/>
      <w:numFmt w:val="bullet"/>
      <w:lvlText w:val="•"/>
      <w:lvlJc w:val="left"/>
      <w:pPr>
        <w:ind w:left="4655" w:hanging="530"/>
      </w:pPr>
      <w:rPr>
        <w:rFonts w:hint="default"/>
        <w:lang w:val="en-US" w:eastAsia="zh-CN" w:bidi="ar-SA"/>
      </w:rPr>
    </w:lvl>
    <w:lvl w:ilvl="7" w:tentative="0">
      <w:start w:val="0"/>
      <w:numFmt w:val="bullet"/>
      <w:lvlText w:val="•"/>
      <w:lvlJc w:val="left"/>
      <w:pPr>
        <w:ind w:left="5311" w:hanging="530"/>
      </w:pPr>
      <w:rPr>
        <w:rFonts w:hint="default"/>
        <w:lang w:val="en-US" w:eastAsia="zh-CN" w:bidi="ar-SA"/>
      </w:rPr>
    </w:lvl>
    <w:lvl w:ilvl="8" w:tentative="0">
      <w:start w:val="0"/>
      <w:numFmt w:val="bullet"/>
      <w:lvlText w:val="•"/>
      <w:lvlJc w:val="left"/>
      <w:pPr>
        <w:ind w:left="5967" w:hanging="530"/>
      </w:pPr>
      <w:rPr>
        <w:rFonts w:hint="default"/>
        <w:lang w:val="en-US" w:eastAsia="zh-CN" w:bidi="ar-SA"/>
      </w:rPr>
    </w:lvl>
  </w:abstractNum>
  <w:abstractNum w:abstractNumId="137">
    <w:nsid w:val="7DEC2089"/>
    <w:multiLevelType w:val="multilevel"/>
    <w:tmpl w:val="7DEC2089"/>
    <w:lvl w:ilvl="0" w:tentative="0">
      <w:start w:val="1"/>
      <w:numFmt w:val="decimal"/>
      <w:lvlText w:val="（%1）"/>
      <w:lvlJc w:val="left"/>
      <w:pPr>
        <w:ind w:left="636"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238" w:hanging="529"/>
      </w:pPr>
      <w:rPr>
        <w:rFonts w:hint="default"/>
        <w:lang w:val="en-US" w:eastAsia="zh-CN" w:bidi="ar-SA"/>
      </w:rPr>
    </w:lvl>
    <w:lvl w:ilvl="2" w:tentative="0">
      <w:start w:val="0"/>
      <w:numFmt w:val="bullet"/>
      <w:lvlText w:val="•"/>
      <w:lvlJc w:val="left"/>
      <w:pPr>
        <w:ind w:left="1837" w:hanging="529"/>
      </w:pPr>
      <w:rPr>
        <w:rFonts w:hint="default"/>
        <w:lang w:val="en-US" w:eastAsia="zh-CN" w:bidi="ar-SA"/>
      </w:rPr>
    </w:lvl>
    <w:lvl w:ilvl="3" w:tentative="0">
      <w:start w:val="0"/>
      <w:numFmt w:val="bullet"/>
      <w:lvlText w:val="•"/>
      <w:lvlJc w:val="left"/>
      <w:pPr>
        <w:ind w:left="2435" w:hanging="529"/>
      </w:pPr>
      <w:rPr>
        <w:rFonts w:hint="default"/>
        <w:lang w:val="en-US" w:eastAsia="zh-CN" w:bidi="ar-SA"/>
      </w:rPr>
    </w:lvl>
    <w:lvl w:ilvl="4" w:tentative="0">
      <w:start w:val="0"/>
      <w:numFmt w:val="bullet"/>
      <w:lvlText w:val="•"/>
      <w:lvlJc w:val="left"/>
      <w:pPr>
        <w:ind w:left="3034" w:hanging="529"/>
      </w:pPr>
      <w:rPr>
        <w:rFonts w:hint="default"/>
        <w:lang w:val="en-US" w:eastAsia="zh-CN" w:bidi="ar-SA"/>
      </w:rPr>
    </w:lvl>
    <w:lvl w:ilvl="5" w:tentative="0">
      <w:start w:val="0"/>
      <w:numFmt w:val="bullet"/>
      <w:lvlText w:val="•"/>
      <w:lvlJc w:val="left"/>
      <w:pPr>
        <w:ind w:left="3633" w:hanging="529"/>
      </w:pPr>
      <w:rPr>
        <w:rFonts w:hint="default"/>
        <w:lang w:val="en-US" w:eastAsia="zh-CN" w:bidi="ar-SA"/>
      </w:rPr>
    </w:lvl>
    <w:lvl w:ilvl="6" w:tentative="0">
      <w:start w:val="0"/>
      <w:numFmt w:val="bullet"/>
      <w:lvlText w:val="•"/>
      <w:lvlJc w:val="left"/>
      <w:pPr>
        <w:ind w:left="4231" w:hanging="529"/>
      </w:pPr>
      <w:rPr>
        <w:rFonts w:hint="default"/>
        <w:lang w:val="en-US" w:eastAsia="zh-CN" w:bidi="ar-SA"/>
      </w:rPr>
    </w:lvl>
    <w:lvl w:ilvl="7" w:tentative="0">
      <w:start w:val="0"/>
      <w:numFmt w:val="bullet"/>
      <w:lvlText w:val="•"/>
      <w:lvlJc w:val="left"/>
      <w:pPr>
        <w:ind w:left="4830" w:hanging="529"/>
      </w:pPr>
      <w:rPr>
        <w:rFonts w:hint="default"/>
        <w:lang w:val="en-US" w:eastAsia="zh-CN" w:bidi="ar-SA"/>
      </w:rPr>
    </w:lvl>
    <w:lvl w:ilvl="8" w:tentative="0">
      <w:start w:val="0"/>
      <w:numFmt w:val="bullet"/>
      <w:lvlText w:val="•"/>
      <w:lvlJc w:val="left"/>
      <w:pPr>
        <w:ind w:left="5428" w:hanging="529"/>
      </w:pPr>
      <w:rPr>
        <w:rFonts w:hint="default"/>
        <w:lang w:val="en-US" w:eastAsia="zh-CN" w:bidi="ar-SA"/>
      </w:rPr>
    </w:lvl>
  </w:abstractNum>
  <w:num w:numId="1">
    <w:abstractNumId w:val="64"/>
  </w:num>
  <w:num w:numId="2">
    <w:abstractNumId w:val="44"/>
  </w:num>
  <w:num w:numId="3">
    <w:abstractNumId w:val="118"/>
  </w:num>
  <w:num w:numId="4">
    <w:abstractNumId w:val="37"/>
  </w:num>
  <w:num w:numId="5">
    <w:abstractNumId w:val="29"/>
  </w:num>
  <w:num w:numId="6">
    <w:abstractNumId w:val="69"/>
  </w:num>
  <w:num w:numId="7">
    <w:abstractNumId w:val="91"/>
  </w:num>
  <w:num w:numId="8">
    <w:abstractNumId w:val="131"/>
  </w:num>
  <w:num w:numId="9">
    <w:abstractNumId w:val="66"/>
  </w:num>
  <w:num w:numId="10">
    <w:abstractNumId w:val="9"/>
  </w:num>
  <w:num w:numId="11">
    <w:abstractNumId w:val="92"/>
  </w:num>
  <w:num w:numId="12">
    <w:abstractNumId w:val="120"/>
  </w:num>
  <w:num w:numId="13">
    <w:abstractNumId w:val="41"/>
  </w:num>
  <w:num w:numId="14">
    <w:abstractNumId w:val="111"/>
  </w:num>
  <w:num w:numId="15">
    <w:abstractNumId w:val="59"/>
  </w:num>
  <w:num w:numId="16">
    <w:abstractNumId w:val="89"/>
  </w:num>
  <w:num w:numId="17">
    <w:abstractNumId w:val="49"/>
  </w:num>
  <w:num w:numId="18">
    <w:abstractNumId w:val="47"/>
  </w:num>
  <w:num w:numId="19">
    <w:abstractNumId w:val="16"/>
  </w:num>
  <w:num w:numId="20">
    <w:abstractNumId w:val="108"/>
  </w:num>
  <w:num w:numId="21">
    <w:abstractNumId w:val="124"/>
  </w:num>
  <w:num w:numId="22">
    <w:abstractNumId w:val="73"/>
  </w:num>
  <w:num w:numId="23">
    <w:abstractNumId w:val="106"/>
  </w:num>
  <w:num w:numId="24">
    <w:abstractNumId w:val="26"/>
  </w:num>
  <w:num w:numId="25">
    <w:abstractNumId w:val="136"/>
  </w:num>
  <w:num w:numId="26">
    <w:abstractNumId w:val="134"/>
  </w:num>
  <w:num w:numId="27">
    <w:abstractNumId w:val="36"/>
  </w:num>
  <w:num w:numId="28">
    <w:abstractNumId w:val="126"/>
  </w:num>
  <w:num w:numId="29">
    <w:abstractNumId w:val="10"/>
  </w:num>
  <w:num w:numId="30">
    <w:abstractNumId w:val="100"/>
  </w:num>
  <w:num w:numId="31">
    <w:abstractNumId w:val="4"/>
  </w:num>
  <w:num w:numId="32">
    <w:abstractNumId w:val="117"/>
  </w:num>
  <w:num w:numId="33">
    <w:abstractNumId w:val="137"/>
  </w:num>
  <w:num w:numId="34">
    <w:abstractNumId w:val="1"/>
  </w:num>
  <w:num w:numId="35">
    <w:abstractNumId w:val="88"/>
  </w:num>
  <w:num w:numId="36">
    <w:abstractNumId w:val="113"/>
  </w:num>
  <w:num w:numId="37">
    <w:abstractNumId w:val="62"/>
  </w:num>
  <w:num w:numId="38">
    <w:abstractNumId w:val="51"/>
  </w:num>
  <w:num w:numId="39">
    <w:abstractNumId w:val="96"/>
  </w:num>
  <w:num w:numId="40">
    <w:abstractNumId w:val="135"/>
  </w:num>
  <w:num w:numId="41">
    <w:abstractNumId w:val="32"/>
  </w:num>
  <w:num w:numId="42">
    <w:abstractNumId w:val="7"/>
  </w:num>
  <w:num w:numId="43">
    <w:abstractNumId w:val="31"/>
  </w:num>
  <w:num w:numId="44">
    <w:abstractNumId w:val="121"/>
  </w:num>
  <w:num w:numId="45">
    <w:abstractNumId w:val="3"/>
  </w:num>
  <w:num w:numId="46">
    <w:abstractNumId w:val="80"/>
  </w:num>
  <w:num w:numId="47">
    <w:abstractNumId w:val="6"/>
  </w:num>
  <w:num w:numId="48">
    <w:abstractNumId w:val="123"/>
  </w:num>
  <w:num w:numId="49">
    <w:abstractNumId w:val="132"/>
  </w:num>
  <w:num w:numId="50">
    <w:abstractNumId w:val="109"/>
  </w:num>
  <w:num w:numId="51">
    <w:abstractNumId w:val="97"/>
  </w:num>
  <w:num w:numId="52">
    <w:abstractNumId w:val="127"/>
  </w:num>
  <w:num w:numId="53">
    <w:abstractNumId w:val="70"/>
  </w:num>
  <w:num w:numId="54">
    <w:abstractNumId w:val="71"/>
  </w:num>
  <w:num w:numId="55">
    <w:abstractNumId w:val="46"/>
  </w:num>
  <w:num w:numId="56">
    <w:abstractNumId w:val="98"/>
  </w:num>
  <w:num w:numId="57">
    <w:abstractNumId w:val="83"/>
  </w:num>
  <w:num w:numId="58">
    <w:abstractNumId w:val="56"/>
  </w:num>
  <w:num w:numId="59">
    <w:abstractNumId w:val="87"/>
  </w:num>
  <w:num w:numId="60">
    <w:abstractNumId w:val="28"/>
  </w:num>
  <w:num w:numId="61">
    <w:abstractNumId w:val="104"/>
  </w:num>
  <w:num w:numId="62">
    <w:abstractNumId w:val="74"/>
  </w:num>
  <w:num w:numId="63">
    <w:abstractNumId w:val="99"/>
  </w:num>
  <w:num w:numId="64">
    <w:abstractNumId w:val="67"/>
  </w:num>
  <w:num w:numId="65">
    <w:abstractNumId w:val="39"/>
  </w:num>
  <w:num w:numId="66">
    <w:abstractNumId w:val="77"/>
  </w:num>
  <w:num w:numId="67">
    <w:abstractNumId w:val="27"/>
  </w:num>
  <w:num w:numId="68">
    <w:abstractNumId w:val="102"/>
  </w:num>
  <w:num w:numId="69">
    <w:abstractNumId w:val="22"/>
  </w:num>
  <w:num w:numId="70">
    <w:abstractNumId w:val="61"/>
  </w:num>
  <w:num w:numId="71">
    <w:abstractNumId w:val="95"/>
  </w:num>
  <w:num w:numId="72">
    <w:abstractNumId w:val="63"/>
  </w:num>
  <w:num w:numId="73">
    <w:abstractNumId w:val="79"/>
  </w:num>
  <w:num w:numId="74">
    <w:abstractNumId w:val="130"/>
  </w:num>
  <w:num w:numId="75">
    <w:abstractNumId w:val="53"/>
  </w:num>
  <w:num w:numId="76">
    <w:abstractNumId w:val="40"/>
  </w:num>
  <w:num w:numId="77">
    <w:abstractNumId w:val="21"/>
  </w:num>
  <w:num w:numId="78">
    <w:abstractNumId w:val="133"/>
  </w:num>
  <w:num w:numId="79">
    <w:abstractNumId w:val="48"/>
  </w:num>
  <w:num w:numId="80">
    <w:abstractNumId w:val="30"/>
  </w:num>
  <w:num w:numId="81">
    <w:abstractNumId w:val="94"/>
  </w:num>
  <w:num w:numId="82">
    <w:abstractNumId w:val="55"/>
  </w:num>
  <w:num w:numId="83">
    <w:abstractNumId w:val="13"/>
  </w:num>
  <w:num w:numId="84">
    <w:abstractNumId w:val="119"/>
  </w:num>
  <w:num w:numId="85">
    <w:abstractNumId w:val="34"/>
  </w:num>
  <w:num w:numId="86">
    <w:abstractNumId w:val="25"/>
  </w:num>
  <w:num w:numId="87">
    <w:abstractNumId w:val="11"/>
  </w:num>
  <w:num w:numId="88">
    <w:abstractNumId w:val="17"/>
  </w:num>
  <w:num w:numId="89">
    <w:abstractNumId w:val="24"/>
  </w:num>
  <w:num w:numId="90">
    <w:abstractNumId w:val="8"/>
  </w:num>
  <w:num w:numId="91">
    <w:abstractNumId w:val="82"/>
  </w:num>
  <w:num w:numId="92">
    <w:abstractNumId w:val="35"/>
  </w:num>
  <w:num w:numId="93">
    <w:abstractNumId w:val="78"/>
  </w:num>
  <w:num w:numId="94">
    <w:abstractNumId w:val="45"/>
  </w:num>
  <w:num w:numId="95">
    <w:abstractNumId w:val="128"/>
  </w:num>
  <w:num w:numId="96">
    <w:abstractNumId w:val="0"/>
  </w:num>
  <w:num w:numId="97">
    <w:abstractNumId w:val="33"/>
  </w:num>
  <w:num w:numId="98">
    <w:abstractNumId w:val="60"/>
  </w:num>
  <w:num w:numId="99">
    <w:abstractNumId w:val="110"/>
  </w:num>
  <w:num w:numId="100">
    <w:abstractNumId w:val="75"/>
  </w:num>
  <w:num w:numId="101">
    <w:abstractNumId w:val="14"/>
  </w:num>
  <w:num w:numId="102">
    <w:abstractNumId w:val="50"/>
  </w:num>
  <w:num w:numId="103">
    <w:abstractNumId w:val="81"/>
  </w:num>
  <w:num w:numId="104">
    <w:abstractNumId w:val="107"/>
  </w:num>
  <w:num w:numId="105">
    <w:abstractNumId w:val="23"/>
  </w:num>
  <w:num w:numId="106">
    <w:abstractNumId w:val="125"/>
  </w:num>
  <w:num w:numId="107">
    <w:abstractNumId w:val="2"/>
  </w:num>
  <w:num w:numId="108">
    <w:abstractNumId w:val="5"/>
  </w:num>
  <w:num w:numId="109">
    <w:abstractNumId w:val="65"/>
  </w:num>
  <w:num w:numId="110">
    <w:abstractNumId w:val="20"/>
  </w:num>
  <w:num w:numId="111">
    <w:abstractNumId w:val="38"/>
  </w:num>
  <w:num w:numId="112">
    <w:abstractNumId w:val="42"/>
  </w:num>
  <w:num w:numId="113">
    <w:abstractNumId w:val="58"/>
  </w:num>
  <w:num w:numId="114">
    <w:abstractNumId w:val="122"/>
  </w:num>
  <w:num w:numId="115">
    <w:abstractNumId w:val="57"/>
  </w:num>
  <w:num w:numId="116">
    <w:abstractNumId w:val="116"/>
  </w:num>
  <w:num w:numId="117">
    <w:abstractNumId w:val="85"/>
  </w:num>
  <w:num w:numId="118">
    <w:abstractNumId w:val="12"/>
  </w:num>
  <w:num w:numId="119">
    <w:abstractNumId w:val="68"/>
  </w:num>
  <w:num w:numId="120">
    <w:abstractNumId w:val="19"/>
  </w:num>
  <w:num w:numId="121">
    <w:abstractNumId w:val="93"/>
  </w:num>
  <w:num w:numId="122">
    <w:abstractNumId w:val="115"/>
  </w:num>
  <w:num w:numId="123">
    <w:abstractNumId w:val="43"/>
  </w:num>
  <w:num w:numId="124">
    <w:abstractNumId w:val="15"/>
  </w:num>
  <w:num w:numId="125">
    <w:abstractNumId w:val="90"/>
  </w:num>
  <w:num w:numId="126">
    <w:abstractNumId w:val="105"/>
  </w:num>
  <w:num w:numId="127">
    <w:abstractNumId w:val="76"/>
  </w:num>
  <w:num w:numId="128">
    <w:abstractNumId w:val="112"/>
  </w:num>
  <w:num w:numId="129">
    <w:abstractNumId w:val="114"/>
  </w:num>
  <w:num w:numId="130">
    <w:abstractNumId w:val="86"/>
  </w:num>
  <w:num w:numId="131">
    <w:abstractNumId w:val="54"/>
  </w:num>
  <w:num w:numId="132">
    <w:abstractNumId w:val="18"/>
  </w:num>
  <w:num w:numId="133">
    <w:abstractNumId w:val="101"/>
  </w:num>
  <w:num w:numId="134">
    <w:abstractNumId w:val="103"/>
  </w:num>
  <w:num w:numId="135">
    <w:abstractNumId w:val="72"/>
  </w:num>
  <w:num w:numId="136">
    <w:abstractNumId w:val="129"/>
  </w:num>
  <w:num w:numId="137">
    <w:abstractNumId w:val="52"/>
  </w:num>
  <w:num w:numId="138">
    <w:abstractNumId w:val="8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documentProtection w:enforcement="0"/>
  <w:defaultTabStop w:val="720"/>
  <w:drawingGridHorizontalSpacing w:val="110"/>
  <w:displayHorizontalDrawingGridEvery w:val="2"/>
  <w:characterSpacingControl w:val="doNotCompress"/>
  <w:hdrShapeDefaults>
    <o:shapelayout v:ext="edit">
      <o:idmap v:ext="edit" data="2"/>
    </o:shapelayout>
  </w:hdrShapeDefaults>
  <w:footnotePr>
    <w:footnote w:id="0"/>
    <w:footnote w:id="1"/>
  </w:footnotePr>
  <w:endnotePr>
    <w:endnote w:id="0"/>
    <w:endnote w:id="1"/>
  </w:endnotePr>
  <w:compat>
    <w:ulTrailSpace/>
    <w:shapeLayoutLikeWW8/>
    <w:useFELayout/>
    <w:compatSetting w:name="compatibilityMode" w:uri="http://schemas.microsoft.com/office/word" w:val="12"/>
  </w:compat>
  <w:docVars>
    <w:docVar w:name="commondata" w:val="eyJoZGlkIjoiNDA5YjcwNjgxNzNhYjExMDgzZWI2NGI0YmE1ODUyYmMifQ=="/>
  </w:docVars>
  <w:rsids>
    <w:rsidRoot w:val="00000000"/>
    <w:rsid w:val="520001C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zh-CN" w:bidi="ar-SA"/>
    </w:rPr>
  </w:style>
  <w:style w:type="paragraph" w:styleId="2">
    <w:name w:val="heading 1"/>
    <w:basedOn w:val="1"/>
    <w:next w:val="1"/>
    <w:qFormat/>
    <w:uiPriority w:val="1"/>
    <w:pPr>
      <w:spacing w:before="53"/>
      <w:ind w:left="220"/>
      <w:outlineLvl w:val="1"/>
    </w:pPr>
    <w:rPr>
      <w:rFonts w:ascii="宋体" w:hAnsi="宋体" w:eastAsia="宋体" w:cs="宋体"/>
      <w:b/>
      <w:bCs/>
      <w:sz w:val="24"/>
      <w:szCs w:val="24"/>
      <w:lang w:val="en-US" w:eastAsia="zh-CN" w:bidi="ar-SA"/>
    </w:rPr>
  </w:style>
  <w:style w:type="paragraph" w:styleId="3">
    <w:name w:val="heading 2"/>
    <w:basedOn w:val="1"/>
    <w:next w:val="1"/>
    <w:qFormat/>
    <w:uiPriority w:val="1"/>
    <w:pPr>
      <w:spacing w:before="71"/>
      <w:ind w:left="1178" w:right="38" w:hanging="959"/>
      <w:outlineLvl w:val="2"/>
    </w:pPr>
    <w:rPr>
      <w:rFonts w:ascii="宋体" w:hAnsi="宋体" w:eastAsia="宋体" w:cs="宋体"/>
      <w:b/>
      <w:bCs/>
      <w:sz w:val="21"/>
      <w:szCs w:val="21"/>
      <w:lang w:val="en-US" w:eastAsia="zh-CN" w:bidi="ar-SA"/>
    </w:rPr>
  </w:style>
  <w:style w:type="character" w:default="1" w:styleId="7">
    <w:name w:val="Default Paragraph Font"/>
    <w:semiHidden/>
    <w:unhideWhenUsed/>
    <w:uiPriority w:val="1"/>
  </w:style>
  <w:style w:type="table" w:default="1" w:styleId="6">
    <w:name w:val="Normal Table"/>
    <w:semiHidden/>
    <w:uiPriority w:val="0"/>
    <w:tblPr>
      <w:tblCellMar>
        <w:top w:w="0" w:type="dxa"/>
        <w:left w:w="108" w:type="dxa"/>
        <w:bottom w:w="0" w:type="dxa"/>
        <w:right w:w="108" w:type="dxa"/>
      </w:tblCellMar>
    </w:tblPr>
  </w:style>
  <w:style w:type="paragraph" w:styleId="4">
    <w:name w:val="Body Text"/>
    <w:basedOn w:val="1"/>
    <w:qFormat/>
    <w:uiPriority w:val="1"/>
    <w:rPr>
      <w:rFonts w:ascii="宋体" w:hAnsi="宋体" w:eastAsia="宋体" w:cs="宋体"/>
      <w:sz w:val="21"/>
      <w:szCs w:val="21"/>
      <w:lang w:val="en-US" w:eastAsia="zh-CN" w:bidi="ar-SA"/>
    </w:rPr>
  </w:style>
  <w:style w:type="paragraph" w:styleId="5">
    <w:name w:val="Title"/>
    <w:basedOn w:val="1"/>
    <w:qFormat/>
    <w:uiPriority w:val="1"/>
    <w:pPr>
      <w:ind w:left="3083" w:right="93"/>
      <w:jc w:val="center"/>
    </w:pPr>
    <w:rPr>
      <w:rFonts w:ascii="华文中宋" w:hAnsi="华文中宋" w:eastAsia="华文中宋" w:cs="华文中宋"/>
      <w:b/>
      <w:bCs/>
      <w:sz w:val="36"/>
      <w:szCs w:val="36"/>
      <w:lang w:val="en-US" w:eastAsia="zh-CN"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ind w:left="3038" w:hanging="2818"/>
    </w:pPr>
    <w:rPr>
      <w:rFonts w:ascii="宋体" w:hAnsi="宋体" w:eastAsia="宋体" w:cs="宋体"/>
      <w:lang w:val="en-US" w:eastAsia="zh-CN" w:bidi="ar-SA"/>
    </w:rPr>
  </w:style>
  <w:style w:type="paragraph" w:customStyle="1" w:styleId="10">
    <w:name w:val="Table Paragraph"/>
    <w:basedOn w:val="1"/>
    <w:qFormat/>
    <w:uiPriority w:val="1"/>
    <w:pPr>
      <w:spacing w:before="16"/>
      <w:ind w:left="107"/>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11.png"/><Relationship Id="rId16" Type="http://schemas.openxmlformats.org/officeDocument/2006/relationships/image" Target="media/image10.png"/><Relationship Id="rId15" Type="http://schemas.openxmlformats.org/officeDocument/2006/relationships/image" Target="media/image9.png"/><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1026"/>
    <customShpInfo spid="_x0000_s1027"/>
    <customShpInfo spid="_x0000_s1028"/>
    <customShpInfo spid="_x0000_s1029"/>
    <customShpInfo spid="_x0000_s1030"/>
    <customShpInfo spid="_x0000_s1031"/>
    <customShpInfo spid="_x0000_s1032"/>
    <customShpInfo spid="_x0000_s103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42</Pages>
  <Words>38861</Words>
  <Characters>40675</Characters>
  <TotalTime>0</TotalTime>
  <ScaleCrop>false</ScaleCrop>
  <LinksUpToDate>false</LinksUpToDate>
  <CharactersWithSpaces>42629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2023-06-05T06:44:00Z</dcterms:created>
  <dc:creator>木木</dc:creator>
  <cp:lastModifiedBy>木木</cp:lastModifiedBy>
  <dcterms:modified xsi:type="dcterms:W3CDTF">2023-06-05T07:06:35Z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2023-06-05T00:00:00Z</vt:filetime>
  </property>
  <property fmtid="{D5CDD505-2E9C-101B-9397-08002B2CF9AE}" pid="3" name="Creator">
    <vt:lpwstr>Aspose Ltd.</vt:lpwstr>
  </property>
  <property fmtid="{D5CDD505-2E9C-101B-9397-08002B2CF9AE}" pid="4" name="LastSaved">
    <vt:filetime>2023-06-05T00:00:00Z</vt:filetime>
  </property>
  <property fmtid="{D5CDD505-2E9C-101B-9397-08002B2CF9AE}" pid="5" name="KSOProductBuildVer">
    <vt:lpwstr>2052-11.1.0.14309</vt:lpwstr>
  </property>
  <property fmtid="{D5CDD505-2E9C-101B-9397-08002B2CF9AE}" pid="6" name="ICV">
    <vt:lpwstr>7A1008D34D69484A95D3752514085A59_12</vt:lpwstr>
  </property>
</Properties>
</file>