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57" w:after="4"/>
        <w:ind w:left="0" w:right="347" w:firstLine="0"/>
        <w:jc w:val="right"/>
        <w:rPr>
          <w:rFonts w:ascii="仿宋" w:eastAsia="仿宋"/>
          <w:sz w:val="18"/>
        </w:rPr>
      </w:pPr>
      <w:r>
        <w:rPr>
          <w:rFonts w:ascii="仿宋" w:eastAsia="仿宋"/>
          <w:sz w:val="18"/>
        </w:rPr>
        <w:t>光大永明人寿[2017]</w:t>
      </w:r>
      <w:r>
        <w:rPr>
          <w:rFonts w:ascii="仿宋" w:eastAsia="仿宋"/>
          <w:spacing w:val="-10"/>
          <w:sz w:val="18"/>
        </w:rPr>
        <w:t xml:space="preserve">年金保险 </w:t>
      </w:r>
      <w:r>
        <w:rPr>
          <w:rFonts w:ascii="仿宋" w:eastAsia="仿宋"/>
          <w:sz w:val="18"/>
        </w:rPr>
        <w:t>93</w:t>
      </w:r>
      <w:r>
        <w:rPr>
          <w:rFonts w:ascii="仿宋" w:eastAsia="仿宋"/>
          <w:spacing w:val="-5"/>
          <w:sz w:val="18"/>
        </w:rPr>
        <w:t xml:space="preserve"> 号</w:t>
      </w:r>
    </w:p>
    <w:p>
      <w:pPr>
        <w:pStyle w:val="4"/>
        <w:ind w:left="7365"/>
        <w:rPr>
          <w:rFonts w:ascii="仿宋"/>
          <w:sz w:val="20"/>
        </w:rPr>
      </w:pPr>
      <w:r>
        <w:rPr>
          <w:rFonts w:ascii="仿宋"/>
          <w:sz w:val="20"/>
        </w:rPr>
        <w:drawing>
          <wp:inline distT="0" distB="0" distL="0" distR="0">
            <wp:extent cx="723900"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900" cy="723900"/>
                    </a:xfrm>
                    <a:prstGeom prst="rect">
                      <a:avLst/>
                    </a:prstGeom>
                  </pic:spPr>
                </pic:pic>
              </a:graphicData>
            </a:graphic>
          </wp:inline>
        </w:drawing>
      </w:r>
    </w:p>
    <w:p>
      <w:pPr>
        <w:spacing w:after="0"/>
        <w:rPr>
          <w:rFonts w:ascii="仿宋"/>
          <w:sz w:val="20"/>
        </w:rPr>
        <w:sectPr>
          <w:type w:val="continuous"/>
          <w:pgSz w:w="11910" w:h="16840"/>
          <w:pgMar w:top="1020" w:right="1180" w:bottom="280" w:left="1080" w:header="720" w:footer="720" w:gutter="0"/>
          <w:cols w:space="720" w:num="1"/>
        </w:sectPr>
      </w:pPr>
    </w:p>
    <w:p>
      <w:pPr>
        <w:pStyle w:val="8"/>
        <w:spacing w:before="295"/>
        <w:ind w:left="2685"/>
      </w:pPr>
      <w:r>
        <w:rPr>
          <w:w w:val="95"/>
        </w:rPr>
        <w:t>光大永明人寿保险有限公</w:t>
      </w:r>
      <w:r>
        <w:rPr>
          <w:spacing w:val="-10"/>
          <w:w w:val="95"/>
        </w:rPr>
        <w:t>司</w:t>
      </w:r>
    </w:p>
    <w:p>
      <w:pPr>
        <w:spacing w:before="1"/>
        <w:ind w:left="-40" w:right="0" w:firstLine="0"/>
        <w:jc w:val="left"/>
        <w:rPr>
          <w:rFonts w:ascii="仿宋" w:eastAsia="仿宋"/>
          <w:sz w:val="18"/>
        </w:rPr>
      </w:pPr>
      <w:r>
        <w:br w:type="column"/>
      </w:r>
      <w:r>
        <w:rPr>
          <w:rFonts w:ascii="仿宋" w:eastAsia="仿宋"/>
          <w:spacing w:val="-1"/>
          <w:sz w:val="18"/>
        </w:rPr>
        <w:t>请扫描以查询验证条款</w:t>
      </w:r>
    </w:p>
    <w:p>
      <w:pPr>
        <w:spacing w:after="0"/>
        <w:jc w:val="left"/>
        <w:rPr>
          <w:rFonts w:ascii="仿宋" w:eastAsia="仿宋"/>
          <w:sz w:val="18"/>
        </w:rPr>
        <w:sectPr>
          <w:type w:val="continuous"/>
          <w:pgSz w:w="11910" w:h="16840"/>
          <w:pgMar w:top="1020" w:right="1180" w:bottom="280" w:left="1080" w:header="720" w:footer="720" w:gutter="0"/>
          <w:cols w:equalWidth="0" w:num="2">
            <w:col w:w="7020" w:space="40"/>
            <w:col w:w="2590"/>
          </w:cols>
        </w:sectPr>
      </w:pPr>
    </w:p>
    <w:p>
      <w:pPr>
        <w:pStyle w:val="4"/>
        <w:rPr>
          <w:rFonts w:ascii="仿宋"/>
          <w:sz w:val="20"/>
        </w:rPr>
      </w:pPr>
    </w:p>
    <w:p>
      <w:pPr>
        <w:pStyle w:val="8"/>
        <w:jc w:val="center"/>
      </w:pPr>
      <w:r>
        <w:rPr>
          <w:w w:val="95"/>
        </w:rPr>
        <w:t>光大永明增利宝年金保险(万能型)条</w:t>
      </w:r>
      <w:r>
        <w:rPr>
          <w:spacing w:val="-10"/>
          <w:w w:val="95"/>
        </w:rPr>
        <w:t>款</w:t>
      </w:r>
    </w:p>
    <w:p>
      <w:pPr>
        <w:pStyle w:val="4"/>
        <w:rPr>
          <w:b/>
          <w:sz w:val="36"/>
        </w:rPr>
      </w:pPr>
    </w:p>
    <w:p>
      <w:pPr>
        <w:spacing w:before="289" w:line="319" w:lineRule="auto"/>
        <w:ind w:left="337" w:right="275" w:firstLine="0"/>
        <w:jc w:val="left"/>
        <w:rPr>
          <w:b/>
          <w:sz w:val="21"/>
        </w:rPr>
      </w:pPr>
      <w:r>
        <w:rPr>
          <w:b/>
          <w:spacing w:val="-4"/>
          <w:w w:val="99"/>
          <w:sz w:val="21"/>
        </w:rPr>
        <w:t>感谢您选择了光大永明人寿。为了帮助您更好地理解本条款，在阅读本条款前，请您注意阅读提示</w:t>
      </w:r>
      <w:r>
        <w:rPr>
          <w:b/>
          <w:spacing w:val="1"/>
          <w:w w:val="99"/>
          <w:sz w:val="21"/>
        </w:rPr>
        <w:t>和说明。</w:t>
      </w:r>
    </w:p>
    <w:p>
      <w:pPr>
        <w:pStyle w:val="4"/>
        <w:spacing w:before="6"/>
        <w:rPr>
          <w:b/>
          <w:sz w:val="24"/>
        </w:rPr>
      </w:pPr>
    </w:p>
    <w:p>
      <w:pPr>
        <w:spacing w:before="0"/>
        <w:ind w:left="61" w:right="0" w:firstLine="0"/>
        <w:jc w:val="center"/>
        <w:rPr>
          <w:b/>
          <w:sz w:val="21"/>
        </w:rPr>
      </w:pPr>
      <w:r>
        <w:rPr>
          <w:b/>
          <w:w w:val="95"/>
          <w:sz w:val="21"/>
        </w:rPr>
        <w:t>阅读提</w:t>
      </w:r>
      <w:r>
        <w:rPr>
          <w:b/>
          <w:spacing w:val="-10"/>
          <w:w w:val="95"/>
          <w:sz w:val="21"/>
        </w:rPr>
        <w:t>示</w:t>
      </w:r>
    </w:p>
    <w:p>
      <w:pPr>
        <w:pStyle w:val="4"/>
        <w:rPr>
          <w:b/>
          <w:sz w:val="20"/>
        </w:rPr>
      </w:pPr>
    </w:p>
    <w:p>
      <w:pPr>
        <w:pStyle w:val="4"/>
        <w:spacing w:before="10"/>
        <w:rPr>
          <w:b/>
          <w:sz w:val="15"/>
        </w:rPr>
      </w:pPr>
    </w:p>
    <w:p>
      <w:pPr>
        <w:spacing w:before="0"/>
        <w:ind w:left="101" w:right="0" w:firstLine="0"/>
        <w:jc w:val="center"/>
        <w:rPr>
          <w:b/>
          <w:sz w:val="21"/>
        </w:rPr>
      </w:pPr>
      <w:r>
        <w:rPr>
          <w:b/>
          <w:w w:val="95"/>
          <w:sz w:val="21"/>
        </w:rPr>
        <w:t>您所享有的重要权</w:t>
      </w:r>
      <w:r>
        <w:rPr>
          <w:b/>
          <w:spacing w:val="-10"/>
          <w:w w:val="95"/>
          <w:sz w:val="21"/>
        </w:rPr>
        <w:t>益</w:t>
      </w:r>
    </w:p>
    <w:p>
      <w:pPr>
        <w:pStyle w:val="4"/>
        <w:spacing w:before="11"/>
        <w:rPr>
          <w:b/>
          <w:sz w:val="15"/>
        </w:rPr>
      </w:pPr>
    </w:p>
    <w:p>
      <w:pPr>
        <w:pStyle w:val="4"/>
        <w:tabs>
          <w:tab w:val="left" w:pos="8384"/>
          <w:tab w:val="left" w:pos="8961"/>
        </w:tabs>
        <w:ind w:left="100"/>
        <w:jc w:val="center"/>
        <w:rPr>
          <w:b/>
        </w:rPr>
      </w:pPr>
      <w:r>
        <w:t>本合同所提供的保障</w:t>
      </w:r>
      <w:r>
        <w:rPr>
          <w:spacing w:val="-33"/>
        </w:rPr>
        <w:t xml:space="preserve"> </w:t>
      </w:r>
      <w:r>
        <w:t>......................................................</w:t>
      </w:r>
      <w:r>
        <w:rPr>
          <w:spacing w:val="-63"/>
        </w:rPr>
        <w:t xml:space="preserve"> </w:t>
      </w:r>
      <w:r>
        <w:rPr>
          <w:b/>
          <w:spacing w:val="-10"/>
        </w:rPr>
        <w:t>第</w:t>
      </w:r>
      <w:r>
        <w:rPr>
          <w:b/>
        </w:rPr>
        <w:tab/>
      </w:r>
      <w:r>
        <w:rPr>
          <w:b/>
          <w:spacing w:val="-10"/>
        </w:rPr>
        <w:t>八</w:t>
      </w:r>
      <w:r>
        <w:rPr>
          <w:b/>
        </w:rPr>
        <w:tab/>
      </w:r>
      <w:r>
        <w:rPr>
          <w:b/>
          <w:spacing w:val="-10"/>
        </w:rPr>
        <w:t>条</w:t>
      </w:r>
    </w:p>
    <w:p>
      <w:pPr>
        <w:pStyle w:val="4"/>
        <w:spacing w:before="12"/>
        <w:rPr>
          <w:b/>
          <w:sz w:val="15"/>
        </w:rPr>
      </w:pPr>
    </w:p>
    <w:p>
      <w:pPr>
        <w:tabs>
          <w:tab w:val="left" w:leader="dot" w:pos="7807"/>
        </w:tabs>
        <w:spacing w:before="0"/>
        <w:ind w:left="100" w:right="0" w:firstLine="0"/>
        <w:jc w:val="center"/>
        <w:rPr>
          <w:b/>
          <w:sz w:val="21"/>
        </w:rPr>
      </w:pPr>
      <w:r>
        <w:rPr>
          <w:spacing w:val="-2"/>
          <w:sz w:val="21"/>
        </w:rPr>
        <w:t>您在犹豫期享有的权利</w:t>
      </w:r>
      <w:r>
        <w:rPr>
          <w:spacing w:val="-10"/>
          <w:sz w:val="21"/>
        </w:rPr>
        <w:t>.</w:t>
      </w:r>
      <w:r>
        <w:rPr>
          <w:rFonts w:ascii="Times New Roman" w:eastAsia="Times New Roman"/>
          <w:sz w:val="21"/>
        </w:rPr>
        <w:tab/>
      </w:r>
      <w:r>
        <w:rPr>
          <w:b/>
          <w:spacing w:val="79"/>
          <w:w w:val="95"/>
          <w:sz w:val="21"/>
        </w:rPr>
        <w:t>第</w:t>
      </w:r>
      <w:r>
        <w:rPr>
          <w:b/>
          <w:w w:val="95"/>
          <w:sz w:val="21"/>
        </w:rPr>
        <w:t>二</w:t>
      </w:r>
      <w:r>
        <w:rPr>
          <w:b/>
          <w:spacing w:val="-6"/>
          <w:w w:val="95"/>
          <w:sz w:val="21"/>
        </w:rPr>
        <w:t xml:space="preserve"> </w:t>
      </w:r>
      <w:r>
        <w:rPr>
          <w:b/>
          <w:spacing w:val="79"/>
          <w:w w:val="95"/>
          <w:sz w:val="21"/>
        </w:rPr>
        <w:t>十</w:t>
      </w:r>
      <w:r>
        <w:rPr>
          <w:b/>
          <w:w w:val="95"/>
          <w:sz w:val="21"/>
        </w:rPr>
        <w:t>三</w:t>
      </w:r>
      <w:r>
        <w:rPr>
          <w:b/>
          <w:spacing w:val="-6"/>
          <w:w w:val="95"/>
          <w:sz w:val="21"/>
        </w:rPr>
        <w:t xml:space="preserve"> </w:t>
      </w:r>
      <w:r>
        <w:rPr>
          <w:b/>
          <w:spacing w:val="-10"/>
          <w:w w:val="95"/>
          <w:sz w:val="21"/>
        </w:rPr>
        <w:t>条</w:t>
      </w:r>
    </w:p>
    <w:p>
      <w:pPr>
        <w:pStyle w:val="4"/>
        <w:spacing w:before="11"/>
        <w:rPr>
          <w:b/>
          <w:sz w:val="15"/>
        </w:rPr>
      </w:pPr>
    </w:p>
    <w:p>
      <w:pPr>
        <w:pStyle w:val="3"/>
        <w:ind w:left="102"/>
        <w:jc w:val="center"/>
      </w:pPr>
      <w:r>
        <w:rPr>
          <w:w w:val="95"/>
        </w:rPr>
        <w:t>您应当特别注意的事</w:t>
      </w:r>
      <w:r>
        <w:rPr>
          <w:spacing w:val="-10"/>
          <w:w w:val="95"/>
        </w:rPr>
        <w:t>项</w:t>
      </w:r>
    </w:p>
    <w:p>
      <w:pPr>
        <w:pStyle w:val="4"/>
        <w:spacing w:before="3"/>
        <w:rPr>
          <w:b/>
          <w:sz w:val="18"/>
        </w:rPr>
      </w:pPr>
    </w:p>
    <w:tbl>
      <w:tblPr>
        <w:tblStyle w:val="9"/>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054"/>
        <w:gridCol w:w="770"/>
        <w:gridCol w:w="3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1" w:hRule="atLeast"/>
        </w:trPr>
        <w:tc>
          <w:tcPr>
            <w:tcW w:w="8054" w:type="dxa"/>
          </w:tcPr>
          <w:p>
            <w:pPr>
              <w:pStyle w:val="13"/>
              <w:tabs>
                <w:tab w:val="left" w:leader="dot" w:pos="7706"/>
              </w:tabs>
              <w:spacing w:before="0" w:line="240" w:lineRule="exact"/>
              <w:ind w:right="35"/>
              <w:rPr>
                <w:b/>
                <w:sz w:val="21"/>
              </w:rPr>
            </w:pPr>
            <w:r>
              <w:rPr>
                <w:sz w:val="21"/>
              </w:rPr>
              <w:t>在某些情况下，我们不承担保险责</w:t>
            </w:r>
            <w:r>
              <w:rPr>
                <w:spacing w:val="-10"/>
                <w:sz w:val="21"/>
              </w:rPr>
              <w:t>任</w:t>
            </w:r>
            <w:r>
              <w:rPr>
                <w:rFonts w:ascii="Times New Roman" w:eastAsia="Times New Roman"/>
                <w:sz w:val="21"/>
              </w:rPr>
              <w:tab/>
            </w:r>
            <w:r>
              <w:rPr>
                <w:b/>
                <w:spacing w:val="-10"/>
                <w:sz w:val="21"/>
              </w:rPr>
              <w:t>第</w:t>
            </w:r>
          </w:p>
        </w:tc>
        <w:tc>
          <w:tcPr>
            <w:tcW w:w="770" w:type="dxa"/>
          </w:tcPr>
          <w:p>
            <w:pPr>
              <w:pStyle w:val="13"/>
              <w:spacing w:before="0" w:line="240" w:lineRule="exact"/>
              <w:rPr>
                <w:b/>
                <w:sz w:val="21"/>
              </w:rPr>
            </w:pPr>
            <w:r>
              <w:rPr>
                <w:b/>
                <w:w w:val="99"/>
                <w:sz w:val="21"/>
              </w:rPr>
              <w:t>九</w:t>
            </w:r>
          </w:p>
        </w:tc>
        <w:tc>
          <w:tcPr>
            <w:tcW w:w="347" w:type="dxa"/>
          </w:tcPr>
          <w:p>
            <w:pPr>
              <w:pStyle w:val="13"/>
              <w:spacing w:before="0" w:line="240" w:lineRule="exact"/>
              <w:ind w:left="36"/>
              <w:rPr>
                <w:b/>
                <w:sz w:val="21"/>
              </w:rPr>
            </w:pPr>
            <w:r>
              <w:rPr>
                <w:b/>
                <w:w w:val="99"/>
                <w:sz w:val="21"/>
              </w:rPr>
              <w:t>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8054" w:type="dxa"/>
          </w:tcPr>
          <w:p>
            <w:pPr>
              <w:pStyle w:val="13"/>
              <w:tabs>
                <w:tab w:val="left" w:leader="dot" w:pos="7706"/>
              </w:tabs>
              <w:spacing w:before="102"/>
              <w:ind w:right="35"/>
              <w:rPr>
                <w:b/>
                <w:sz w:val="21"/>
              </w:rPr>
            </w:pPr>
            <w:r>
              <w:rPr>
                <w:sz w:val="21"/>
              </w:rPr>
              <w:t>发生保险事故后，您应该及时通知我</w:t>
            </w:r>
            <w:r>
              <w:rPr>
                <w:spacing w:val="-10"/>
                <w:sz w:val="21"/>
              </w:rPr>
              <w:t>们</w:t>
            </w:r>
            <w:r>
              <w:rPr>
                <w:rFonts w:ascii="Times New Roman" w:eastAsia="Times New Roman"/>
                <w:sz w:val="21"/>
              </w:rPr>
              <w:tab/>
            </w:r>
            <w:r>
              <w:rPr>
                <w:b/>
                <w:spacing w:val="-10"/>
                <w:sz w:val="21"/>
              </w:rPr>
              <w:t>第</w:t>
            </w:r>
          </w:p>
        </w:tc>
        <w:tc>
          <w:tcPr>
            <w:tcW w:w="770" w:type="dxa"/>
          </w:tcPr>
          <w:p>
            <w:pPr>
              <w:pStyle w:val="13"/>
              <w:spacing w:before="102"/>
              <w:rPr>
                <w:b/>
                <w:sz w:val="21"/>
              </w:rPr>
            </w:pPr>
            <w:r>
              <w:rPr>
                <w:b/>
                <w:w w:val="99"/>
                <w:sz w:val="21"/>
              </w:rPr>
              <w:t>十</w:t>
            </w:r>
          </w:p>
        </w:tc>
        <w:tc>
          <w:tcPr>
            <w:tcW w:w="347" w:type="dxa"/>
          </w:tcPr>
          <w:p>
            <w:pPr>
              <w:pStyle w:val="13"/>
              <w:spacing w:before="102"/>
              <w:ind w:left="36"/>
              <w:rPr>
                <w:b/>
                <w:sz w:val="21"/>
              </w:rPr>
            </w:pPr>
            <w:r>
              <w:rPr>
                <w:b/>
                <w:w w:val="99"/>
                <w:sz w:val="21"/>
              </w:rPr>
              <w:t>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8054" w:type="dxa"/>
          </w:tcPr>
          <w:p>
            <w:pPr>
              <w:pStyle w:val="13"/>
              <w:tabs>
                <w:tab w:val="left" w:leader="dot" w:pos="7706"/>
              </w:tabs>
              <w:spacing w:before="102"/>
              <w:ind w:right="35"/>
              <w:rPr>
                <w:b/>
                <w:sz w:val="21"/>
              </w:rPr>
            </w:pPr>
            <w:r>
              <w:rPr>
                <w:sz w:val="21"/>
              </w:rPr>
              <w:t>如何申请保险</w:t>
            </w:r>
            <w:r>
              <w:rPr>
                <w:spacing w:val="-10"/>
                <w:sz w:val="21"/>
              </w:rPr>
              <w:t>金</w:t>
            </w:r>
            <w:r>
              <w:rPr>
                <w:rFonts w:ascii="Times New Roman" w:eastAsia="Times New Roman"/>
                <w:sz w:val="21"/>
              </w:rPr>
              <w:tab/>
            </w:r>
            <w:r>
              <w:rPr>
                <w:b/>
                <w:spacing w:val="-10"/>
                <w:sz w:val="21"/>
              </w:rPr>
              <w:t>第</w:t>
            </w:r>
          </w:p>
        </w:tc>
        <w:tc>
          <w:tcPr>
            <w:tcW w:w="770" w:type="dxa"/>
          </w:tcPr>
          <w:p>
            <w:pPr>
              <w:pStyle w:val="13"/>
              <w:spacing w:before="102"/>
              <w:ind w:left="75" w:right="75"/>
              <w:rPr>
                <w:b/>
                <w:sz w:val="21"/>
              </w:rPr>
            </w:pPr>
            <w:r>
              <w:rPr>
                <w:b/>
                <w:spacing w:val="17"/>
                <w:sz w:val="21"/>
              </w:rPr>
              <w:t>十 一</w:t>
            </w:r>
          </w:p>
        </w:tc>
        <w:tc>
          <w:tcPr>
            <w:tcW w:w="347" w:type="dxa"/>
          </w:tcPr>
          <w:p>
            <w:pPr>
              <w:pStyle w:val="13"/>
              <w:spacing w:before="102"/>
              <w:ind w:left="36"/>
              <w:rPr>
                <w:b/>
                <w:sz w:val="21"/>
              </w:rPr>
            </w:pPr>
            <w:r>
              <w:rPr>
                <w:b/>
                <w:w w:val="99"/>
                <w:sz w:val="21"/>
              </w:rPr>
              <w:t>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1" w:hRule="atLeast"/>
        </w:trPr>
        <w:tc>
          <w:tcPr>
            <w:tcW w:w="8054" w:type="dxa"/>
          </w:tcPr>
          <w:p>
            <w:pPr>
              <w:pStyle w:val="13"/>
              <w:tabs>
                <w:tab w:val="left" w:leader="dot" w:pos="7706"/>
              </w:tabs>
              <w:spacing w:before="102" w:line="220" w:lineRule="exact"/>
              <w:ind w:right="35"/>
              <w:rPr>
                <w:b/>
                <w:sz w:val="21"/>
              </w:rPr>
            </w:pPr>
            <w:r>
              <w:rPr>
                <w:sz w:val="21"/>
              </w:rPr>
              <w:t>如何给付保险</w:t>
            </w:r>
            <w:r>
              <w:rPr>
                <w:spacing w:val="-10"/>
                <w:sz w:val="21"/>
              </w:rPr>
              <w:t>金</w:t>
            </w:r>
            <w:r>
              <w:rPr>
                <w:rFonts w:ascii="Times New Roman" w:eastAsia="Times New Roman"/>
                <w:sz w:val="21"/>
              </w:rPr>
              <w:tab/>
            </w:r>
            <w:r>
              <w:rPr>
                <w:b/>
                <w:spacing w:val="-10"/>
                <w:sz w:val="21"/>
              </w:rPr>
              <w:t>第</w:t>
            </w:r>
          </w:p>
        </w:tc>
        <w:tc>
          <w:tcPr>
            <w:tcW w:w="770" w:type="dxa"/>
          </w:tcPr>
          <w:p>
            <w:pPr>
              <w:pStyle w:val="13"/>
              <w:spacing w:before="102" w:line="220" w:lineRule="exact"/>
              <w:ind w:left="75" w:right="75"/>
              <w:rPr>
                <w:b/>
                <w:sz w:val="21"/>
              </w:rPr>
            </w:pPr>
            <w:r>
              <w:rPr>
                <w:b/>
                <w:spacing w:val="17"/>
                <w:sz w:val="21"/>
              </w:rPr>
              <w:t>十 二</w:t>
            </w:r>
          </w:p>
        </w:tc>
        <w:tc>
          <w:tcPr>
            <w:tcW w:w="347" w:type="dxa"/>
          </w:tcPr>
          <w:p>
            <w:pPr>
              <w:pStyle w:val="13"/>
              <w:spacing w:before="102" w:line="220" w:lineRule="exact"/>
              <w:ind w:left="36"/>
              <w:rPr>
                <w:b/>
                <w:sz w:val="21"/>
              </w:rPr>
            </w:pPr>
            <w:r>
              <w:rPr>
                <w:b/>
                <w:w w:val="99"/>
                <w:sz w:val="21"/>
              </w:rPr>
              <w:t>条</w:t>
            </w:r>
          </w:p>
        </w:tc>
      </w:tr>
    </w:tbl>
    <w:p>
      <w:pPr>
        <w:pStyle w:val="4"/>
        <w:spacing w:before="5"/>
        <w:rPr>
          <w:b/>
          <w:sz w:val="18"/>
        </w:rPr>
      </w:pPr>
    </w:p>
    <w:p>
      <w:pPr>
        <w:tabs>
          <w:tab w:val="left" w:leader="dot" w:pos="7807"/>
        </w:tabs>
        <w:spacing w:before="0"/>
        <w:ind w:left="100" w:right="0" w:firstLine="0"/>
        <w:jc w:val="center"/>
        <w:rPr>
          <w:b/>
          <w:sz w:val="21"/>
        </w:rPr>
      </w:pPr>
      <w:r>
        <w:rPr>
          <w:sz w:val="21"/>
        </w:rPr>
        <w:t>您有解除合同的权利，请您慎重决</w:t>
      </w:r>
      <w:r>
        <w:rPr>
          <w:spacing w:val="-10"/>
          <w:sz w:val="21"/>
        </w:rPr>
        <w:t>定</w:t>
      </w:r>
      <w:r>
        <w:rPr>
          <w:rFonts w:ascii="Times New Roman" w:eastAsia="Times New Roman"/>
          <w:sz w:val="21"/>
        </w:rPr>
        <w:tab/>
      </w:r>
      <w:r>
        <w:rPr>
          <w:b/>
          <w:spacing w:val="79"/>
          <w:w w:val="95"/>
          <w:sz w:val="21"/>
        </w:rPr>
        <w:t>第</w:t>
      </w:r>
      <w:r>
        <w:rPr>
          <w:b/>
          <w:w w:val="95"/>
          <w:sz w:val="21"/>
        </w:rPr>
        <w:t>二</w:t>
      </w:r>
      <w:r>
        <w:rPr>
          <w:b/>
          <w:spacing w:val="-6"/>
          <w:w w:val="95"/>
          <w:sz w:val="21"/>
        </w:rPr>
        <w:t xml:space="preserve"> </w:t>
      </w:r>
      <w:r>
        <w:rPr>
          <w:b/>
          <w:spacing w:val="79"/>
          <w:w w:val="95"/>
          <w:sz w:val="21"/>
        </w:rPr>
        <w:t>十</w:t>
      </w:r>
      <w:r>
        <w:rPr>
          <w:b/>
          <w:w w:val="95"/>
          <w:sz w:val="21"/>
        </w:rPr>
        <w:t>三</w:t>
      </w:r>
      <w:r>
        <w:rPr>
          <w:b/>
          <w:spacing w:val="-6"/>
          <w:w w:val="95"/>
          <w:sz w:val="21"/>
        </w:rPr>
        <w:t xml:space="preserve"> </w:t>
      </w:r>
      <w:r>
        <w:rPr>
          <w:b/>
          <w:spacing w:val="-10"/>
          <w:w w:val="95"/>
          <w:sz w:val="21"/>
        </w:rPr>
        <w:t>条</w:t>
      </w:r>
    </w:p>
    <w:p>
      <w:pPr>
        <w:pStyle w:val="4"/>
        <w:spacing w:before="11"/>
        <w:rPr>
          <w:b/>
          <w:sz w:val="15"/>
        </w:rPr>
      </w:pPr>
    </w:p>
    <w:p>
      <w:pPr>
        <w:pStyle w:val="4"/>
        <w:ind w:left="100"/>
        <w:jc w:val="center"/>
        <w:rPr>
          <w:b/>
        </w:rPr>
      </w:pPr>
      <w:r>
        <w:rPr>
          <w:spacing w:val="-2"/>
        </w:rPr>
        <w:t xml:space="preserve">名词释义 ................................................................ </w:t>
      </w:r>
      <w:r>
        <w:rPr>
          <w:b/>
          <w:spacing w:val="25"/>
        </w:rPr>
        <w:t>第 七 部 分</w:t>
      </w:r>
    </w:p>
    <w:p>
      <w:pPr>
        <w:pStyle w:val="4"/>
        <w:rPr>
          <w:b/>
          <w:sz w:val="20"/>
        </w:rPr>
      </w:pPr>
    </w:p>
    <w:p>
      <w:pPr>
        <w:pStyle w:val="4"/>
        <w:spacing w:before="11"/>
        <w:rPr>
          <w:b/>
          <w:sz w:val="15"/>
        </w:rPr>
      </w:pPr>
    </w:p>
    <w:p>
      <w:pPr>
        <w:spacing w:before="0"/>
        <w:ind w:left="61" w:right="0" w:firstLine="0"/>
        <w:jc w:val="center"/>
        <w:rPr>
          <w:b/>
          <w:sz w:val="21"/>
        </w:rPr>
      </w:pPr>
      <w:r>
        <w:rPr>
          <w:b/>
          <w:w w:val="95"/>
          <w:sz w:val="21"/>
        </w:rPr>
        <w:t>说</w:t>
      </w:r>
      <w:r>
        <w:rPr>
          <w:b/>
          <w:spacing w:val="-10"/>
          <w:w w:val="95"/>
          <w:sz w:val="21"/>
        </w:rPr>
        <w:t>明</w:t>
      </w:r>
    </w:p>
    <w:p>
      <w:pPr>
        <w:pStyle w:val="4"/>
        <w:rPr>
          <w:b/>
          <w:sz w:val="20"/>
        </w:rPr>
      </w:pPr>
    </w:p>
    <w:p>
      <w:pPr>
        <w:pStyle w:val="4"/>
        <w:spacing w:before="8" w:after="1"/>
        <w:rPr>
          <w:b/>
          <w:sz w:val="13"/>
        </w:rPr>
      </w:pPr>
    </w:p>
    <w:tbl>
      <w:tblPr>
        <w:tblStyle w:val="9"/>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07"/>
        <w:gridCol w:w="830"/>
        <w:gridCol w:w="31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4" w:hRule="atLeast"/>
        </w:trPr>
        <w:tc>
          <w:tcPr>
            <w:tcW w:w="1407" w:type="dxa"/>
          </w:tcPr>
          <w:p>
            <w:pPr>
              <w:pStyle w:val="13"/>
              <w:spacing w:before="0" w:line="240" w:lineRule="exact"/>
              <w:ind w:left="50"/>
              <w:jc w:val="left"/>
              <w:rPr>
                <w:b/>
                <w:sz w:val="21"/>
              </w:rPr>
            </w:pPr>
            <w:r>
              <w:rPr>
                <w:b/>
                <w:w w:val="95"/>
                <w:sz w:val="21"/>
              </w:rPr>
              <w:t>我</w:t>
            </w:r>
            <w:r>
              <w:rPr>
                <w:b/>
                <w:spacing w:val="-10"/>
                <w:w w:val="95"/>
                <w:sz w:val="21"/>
              </w:rPr>
              <w:t>们</w:t>
            </w:r>
          </w:p>
        </w:tc>
        <w:tc>
          <w:tcPr>
            <w:tcW w:w="830" w:type="dxa"/>
          </w:tcPr>
          <w:p>
            <w:pPr>
              <w:pStyle w:val="13"/>
              <w:spacing w:before="0" w:line="240" w:lineRule="exact"/>
              <w:ind w:right="106"/>
              <w:jc w:val="right"/>
              <w:rPr>
                <w:b/>
                <w:sz w:val="21"/>
              </w:rPr>
            </w:pPr>
            <w:r>
              <w:rPr>
                <w:b/>
                <w:w w:val="99"/>
                <w:sz w:val="21"/>
              </w:rPr>
              <w:t>：</w:t>
            </w:r>
          </w:p>
        </w:tc>
        <w:tc>
          <w:tcPr>
            <w:tcW w:w="3110" w:type="dxa"/>
          </w:tcPr>
          <w:p>
            <w:pPr>
              <w:pStyle w:val="13"/>
              <w:spacing w:before="0" w:line="240" w:lineRule="exact"/>
              <w:ind w:left="107"/>
              <w:jc w:val="left"/>
              <w:rPr>
                <w:b/>
                <w:sz w:val="21"/>
              </w:rPr>
            </w:pPr>
            <w:r>
              <w:rPr>
                <w:b/>
                <w:w w:val="95"/>
                <w:sz w:val="21"/>
              </w:rPr>
              <w:t>指光大永明人寿保险有限公司</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8" w:hRule="atLeast"/>
        </w:trPr>
        <w:tc>
          <w:tcPr>
            <w:tcW w:w="1407" w:type="dxa"/>
          </w:tcPr>
          <w:p>
            <w:pPr>
              <w:pStyle w:val="13"/>
              <w:spacing w:before="45"/>
              <w:ind w:left="50"/>
              <w:jc w:val="left"/>
              <w:rPr>
                <w:b/>
                <w:sz w:val="21"/>
              </w:rPr>
            </w:pPr>
            <w:r>
              <w:rPr>
                <w:b/>
                <w:w w:val="99"/>
                <w:sz w:val="21"/>
              </w:rPr>
              <w:t>您</w:t>
            </w:r>
          </w:p>
        </w:tc>
        <w:tc>
          <w:tcPr>
            <w:tcW w:w="830" w:type="dxa"/>
          </w:tcPr>
          <w:p>
            <w:pPr>
              <w:pStyle w:val="13"/>
              <w:spacing w:before="45"/>
              <w:ind w:right="106"/>
              <w:jc w:val="right"/>
              <w:rPr>
                <w:b/>
                <w:sz w:val="21"/>
              </w:rPr>
            </w:pPr>
            <w:r>
              <w:rPr>
                <w:b/>
                <w:w w:val="99"/>
                <w:sz w:val="21"/>
              </w:rPr>
              <w:t>：</w:t>
            </w:r>
          </w:p>
        </w:tc>
        <w:tc>
          <w:tcPr>
            <w:tcW w:w="3110" w:type="dxa"/>
          </w:tcPr>
          <w:p>
            <w:pPr>
              <w:pStyle w:val="13"/>
              <w:spacing w:before="45"/>
              <w:ind w:left="107"/>
              <w:jc w:val="left"/>
              <w:rPr>
                <w:b/>
                <w:sz w:val="21"/>
              </w:rPr>
            </w:pPr>
            <w:r>
              <w:rPr>
                <w:b/>
                <w:w w:val="95"/>
                <w:sz w:val="21"/>
              </w:rPr>
              <w:t>指投保人</w:t>
            </w:r>
            <w:r>
              <w:rPr>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1407" w:type="dxa"/>
          </w:tcPr>
          <w:p>
            <w:pPr>
              <w:pStyle w:val="13"/>
              <w:spacing w:before="45" w:line="220" w:lineRule="exact"/>
              <w:ind w:left="50"/>
              <w:jc w:val="left"/>
              <w:rPr>
                <w:b/>
                <w:sz w:val="21"/>
              </w:rPr>
            </w:pPr>
            <w:r>
              <w:rPr>
                <w:b/>
                <w:w w:val="95"/>
                <w:sz w:val="21"/>
              </w:rPr>
              <w:t>保险条</w:t>
            </w:r>
            <w:r>
              <w:rPr>
                <w:b/>
                <w:spacing w:val="-10"/>
                <w:w w:val="95"/>
                <w:sz w:val="21"/>
              </w:rPr>
              <w:t>款</w:t>
            </w:r>
          </w:p>
        </w:tc>
        <w:tc>
          <w:tcPr>
            <w:tcW w:w="830" w:type="dxa"/>
          </w:tcPr>
          <w:p>
            <w:pPr>
              <w:pStyle w:val="13"/>
              <w:spacing w:before="45" w:line="220" w:lineRule="exact"/>
              <w:ind w:right="106"/>
              <w:jc w:val="right"/>
              <w:rPr>
                <w:b/>
                <w:sz w:val="21"/>
              </w:rPr>
            </w:pPr>
            <w:r>
              <w:rPr>
                <w:b/>
                <w:w w:val="99"/>
                <w:sz w:val="21"/>
              </w:rPr>
              <w:t>：</w:t>
            </w:r>
          </w:p>
        </w:tc>
        <w:tc>
          <w:tcPr>
            <w:tcW w:w="3110" w:type="dxa"/>
          </w:tcPr>
          <w:p>
            <w:pPr>
              <w:pStyle w:val="13"/>
              <w:spacing w:before="45" w:line="220" w:lineRule="exact"/>
              <w:ind w:left="107"/>
              <w:jc w:val="left"/>
              <w:rPr>
                <w:b/>
                <w:sz w:val="21"/>
              </w:rPr>
            </w:pPr>
            <w:r>
              <w:rPr>
                <w:b/>
                <w:w w:val="95"/>
                <w:sz w:val="21"/>
              </w:rPr>
              <w:t>指本条款</w:t>
            </w:r>
            <w:r>
              <w:rPr>
                <w:b/>
                <w:spacing w:val="-10"/>
                <w:w w:val="95"/>
                <w:sz w:val="21"/>
              </w:rPr>
              <w:t>。</w:t>
            </w:r>
          </w:p>
        </w:tc>
      </w:tr>
    </w:tbl>
    <w:p>
      <w:pPr>
        <w:spacing w:after="0" w:line="220" w:lineRule="exact"/>
        <w:jc w:val="left"/>
        <w:rPr>
          <w:sz w:val="21"/>
        </w:rPr>
        <w:sectPr>
          <w:type w:val="continuous"/>
          <w:pgSz w:w="11910" w:h="16840"/>
          <w:pgMar w:top="1020" w:right="1180" w:bottom="280" w:left="1080" w:header="720" w:footer="720" w:gutter="0"/>
          <w:cols w:space="720" w:num="1"/>
        </w:sectPr>
      </w:pPr>
    </w:p>
    <w:p>
      <w:pPr>
        <w:spacing w:before="41"/>
        <w:ind w:left="61" w:right="0" w:firstLine="0"/>
        <w:jc w:val="center"/>
        <w:rPr>
          <w:b/>
          <w:sz w:val="21"/>
        </w:rPr>
      </w:pPr>
      <w:r>
        <w:rPr>
          <w:b/>
          <w:w w:val="95"/>
          <w:sz w:val="21"/>
        </w:rPr>
        <w:t>条款目</w:t>
      </w:r>
      <w:r>
        <w:rPr>
          <w:b/>
          <w:spacing w:val="-10"/>
          <w:w w:val="95"/>
          <w:sz w:val="21"/>
        </w:rPr>
        <w:t>录</w:t>
      </w:r>
    </w:p>
    <w:sdt>
      <w:sdtPr>
        <w:id w:val="1"/>
        <w:docPartObj>
          <w:docPartGallery w:val="Table of Contents"/>
          <w:docPartUnique/>
        </w:docPartObj>
      </w:sdtPr>
      <w:sdtContent>
        <w:p>
          <w:pPr>
            <w:pStyle w:val="6"/>
            <w:tabs>
              <w:tab w:val="right" w:leader="dot" w:pos="9156"/>
            </w:tabs>
            <w:rPr>
              <w:rFonts w:ascii="Calibri" w:eastAsia="Calibri"/>
            </w:rPr>
          </w:pPr>
          <w:r>
            <w:fldChar w:fldCharType="begin"/>
          </w:r>
          <w:r>
            <w:instrText xml:space="preserve"> HYPERLINK \l "_TOC_250039" </w:instrText>
          </w:r>
          <w:r>
            <w:fldChar w:fldCharType="separate"/>
          </w:r>
          <w:r>
            <w:t>第一部分</w:t>
          </w:r>
          <w:r>
            <w:rPr>
              <w:spacing w:val="77"/>
              <w:w w:val="150"/>
            </w:rPr>
            <w:t xml:space="preserve"> </w:t>
          </w:r>
          <w:r>
            <w:t>您与我们的合</w:t>
          </w:r>
          <w:r>
            <w:rPr>
              <w:spacing w:val="-10"/>
              <w:w w:val="95"/>
            </w:rPr>
            <w:t>同</w:t>
          </w:r>
          <w:r>
            <w:rPr>
              <w:rFonts w:ascii="Times New Roman" w:eastAsia="Times New Roman"/>
              <w:b w:val="0"/>
            </w:rPr>
            <w:tab/>
          </w:r>
          <w:r>
            <w:rPr>
              <w:rFonts w:ascii="Calibri" w:eastAsia="Calibri"/>
              <w:spacing w:val="-10"/>
            </w:rPr>
            <w:t>1</w:t>
          </w:r>
          <w:r>
            <w:rPr>
              <w:rFonts w:ascii="Calibri" w:eastAsia="Calibri"/>
              <w:spacing w:val="-10"/>
            </w:rPr>
            <w:fldChar w:fldCharType="end"/>
          </w:r>
        </w:p>
        <w:p>
          <w:pPr>
            <w:pStyle w:val="5"/>
            <w:tabs>
              <w:tab w:val="right" w:leader="dot" w:pos="9400"/>
            </w:tabs>
            <w:spacing w:before="132"/>
            <w:rPr>
              <w:rFonts w:ascii="Calibri" w:eastAsia="Calibri"/>
            </w:rPr>
          </w:pPr>
          <w:r>
            <w:fldChar w:fldCharType="begin"/>
          </w:r>
          <w:r>
            <w:instrText xml:space="preserve"> HYPERLINK \l "_TOC_250038" </w:instrText>
          </w:r>
          <w:r>
            <w:fldChar w:fldCharType="separate"/>
          </w:r>
          <w:r>
            <w:t>第一条</w:t>
          </w:r>
          <w:r>
            <w:rPr>
              <w:spacing w:val="-25"/>
            </w:rPr>
            <w:t xml:space="preserve"> </w:t>
          </w:r>
          <w:r>
            <w:t>保险合同的构</w:t>
          </w:r>
          <w:r>
            <w:rPr>
              <w:spacing w:val="-10"/>
            </w:rPr>
            <w:t>成</w:t>
          </w:r>
          <w:r>
            <w:rPr>
              <w:rFonts w:ascii="Times New Roman" w:eastAsia="Times New Roman"/>
            </w:rPr>
            <w:tab/>
          </w:r>
          <w:r>
            <w:rPr>
              <w:rFonts w:ascii="Calibri" w:eastAsia="Calibri"/>
              <w:spacing w:val="-10"/>
            </w:rPr>
            <w:t>1</w:t>
          </w:r>
          <w:r>
            <w:rPr>
              <w:rFonts w:ascii="Calibri" w:eastAsia="Calibri"/>
              <w:spacing w:val="-10"/>
            </w:rPr>
            <w:fldChar w:fldCharType="end"/>
          </w:r>
        </w:p>
        <w:p>
          <w:pPr>
            <w:pStyle w:val="5"/>
            <w:tabs>
              <w:tab w:val="right" w:leader="dot" w:pos="9400"/>
            </w:tabs>
            <w:spacing w:before="55"/>
            <w:rPr>
              <w:rFonts w:ascii="Calibri" w:eastAsia="Calibri"/>
            </w:rPr>
          </w:pPr>
          <w:r>
            <w:fldChar w:fldCharType="begin"/>
          </w:r>
          <w:r>
            <w:instrText xml:space="preserve"> HYPERLINK \l "_TOC_250037" </w:instrText>
          </w:r>
          <w:r>
            <w:fldChar w:fldCharType="separate"/>
          </w:r>
          <w:r>
            <w:t>第二条</w:t>
          </w:r>
          <w:r>
            <w:rPr>
              <w:spacing w:val="-23"/>
            </w:rPr>
            <w:t xml:space="preserve"> </w:t>
          </w:r>
          <w:r>
            <w:t>投保年</w:t>
          </w:r>
          <w:r>
            <w:rPr>
              <w:spacing w:val="-10"/>
              <w:w w:val="95"/>
            </w:rPr>
            <w:t>龄</w:t>
          </w:r>
          <w:r>
            <w:rPr>
              <w:rFonts w:ascii="Times New Roman" w:eastAsia="Times New Roman"/>
            </w:rPr>
            <w:tab/>
          </w:r>
          <w:r>
            <w:rPr>
              <w:rFonts w:ascii="Calibri" w:eastAsia="Calibri"/>
              <w:spacing w:val="-10"/>
            </w:rPr>
            <w:t>1</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"_TOC_250036" </w:instrText>
          </w:r>
          <w:r>
            <w:fldChar w:fldCharType="separate"/>
          </w:r>
          <w:r>
            <w:rPr>
              <w:spacing w:val="-2"/>
            </w:rPr>
            <w:t>第三条</w:t>
          </w:r>
          <w:r>
            <w:rPr>
              <w:spacing w:val="-5"/>
            </w:rPr>
            <w:t xml:space="preserve"> </w:t>
          </w:r>
          <w:r>
            <w:rPr>
              <w:spacing w:val="-2"/>
            </w:rPr>
            <w:t>保险合同的成立与生</w:t>
          </w:r>
          <w:r>
            <w:rPr>
              <w:spacing w:val="-10"/>
            </w:rPr>
            <w:t>效</w:t>
          </w:r>
          <w:r>
            <w:rPr>
              <w:rFonts w:ascii="Times New Roman" w:eastAsia="Times New Roman"/>
            </w:rPr>
            <w:tab/>
          </w:r>
          <w:r>
            <w:rPr>
              <w:rFonts w:ascii="Calibri" w:eastAsia="Calibri"/>
              <w:spacing w:val="-10"/>
            </w:rPr>
            <w:t>1</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"_TOC_250035" </w:instrText>
          </w:r>
          <w:r>
            <w:fldChar w:fldCharType="separate"/>
          </w:r>
          <w:r>
            <w:t>第四条</w:t>
          </w:r>
          <w:r>
            <w:rPr>
              <w:spacing w:val="-23"/>
            </w:rPr>
            <w:t xml:space="preserve"> </w:t>
          </w:r>
          <w:r>
            <w:t>保险期</w:t>
          </w:r>
          <w:r>
            <w:rPr>
              <w:spacing w:val="-10"/>
              <w:w w:val="95"/>
            </w:rPr>
            <w:t>间</w:t>
          </w:r>
          <w:r>
            <w:rPr>
              <w:rFonts w:ascii="Times New Roman" w:eastAsia="Times New Roman"/>
            </w:rPr>
            <w:tab/>
          </w:r>
          <w:r>
            <w:rPr>
              <w:rFonts w:ascii="Calibri" w:eastAsia="Calibri"/>
              <w:spacing w:val="-10"/>
            </w:rPr>
            <w:t>1</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"_TOC_250034" </w:instrText>
          </w:r>
          <w:r>
            <w:fldChar w:fldCharType="separate"/>
          </w:r>
          <w:r>
            <w:t>第五条</w:t>
          </w:r>
          <w:r>
            <w:rPr>
              <w:spacing w:val="-23"/>
            </w:rPr>
            <w:t xml:space="preserve"> </w:t>
          </w:r>
          <w:r>
            <w:t>保险费的支</w:t>
          </w:r>
          <w:r>
            <w:rPr>
              <w:spacing w:val="-10"/>
            </w:rPr>
            <w:t>付</w:t>
          </w:r>
          <w:r>
            <w:rPr>
              <w:rFonts w:ascii="Times New Roman" w:eastAsia="Times New Roman"/>
            </w:rPr>
            <w:tab/>
          </w:r>
          <w:r>
            <w:rPr>
              <w:rFonts w:ascii="Calibri" w:eastAsia="Calibri"/>
              <w:spacing w:val="-10"/>
            </w:rPr>
            <w:t>1</w:t>
          </w:r>
          <w:r>
            <w:rPr>
              <w:rFonts w:ascii="Calibri" w:eastAsia="Calibri"/>
              <w:spacing w:val="-10"/>
            </w:rPr>
            <w:fldChar w:fldCharType="end"/>
          </w:r>
        </w:p>
        <w:p>
          <w:pPr>
            <w:pStyle w:val="5"/>
            <w:tabs>
              <w:tab w:val="right" w:leader="dot" w:pos="9400"/>
            </w:tabs>
            <w:spacing w:before="55"/>
            <w:rPr>
              <w:rFonts w:ascii="Calibri" w:eastAsia="Calibri"/>
            </w:rPr>
          </w:pPr>
          <w:r>
            <w:fldChar w:fldCharType="begin"/>
          </w:r>
          <w:r>
            <w:instrText xml:space="preserve"> HYPERLINK \l "_TOC_250033" </w:instrText>
          </w:r>
          <w:r>
            <w:fldChar w:fldCharType="separate"/>
          </w:r>
          <w:r>
            <w:t>第六条</w:t>
          </w:r>
          <w:r>
            <w:rPr>
              <w:spacing w:val="-25"/>
            </w:rPr>
            <w:t xml:space="preserve"> </w:t>
          </w:r>
          <w:r>
            <w:t>保险合同的中</w:t>
          </w:r>
          <w:r>
            <w:rPr>
              <w:spacing w:val="-10"/>
            </w:rPr>
            <w:t>止</w:t>
          </w:r>
          <w:r>
            <w:rPr>
              <w:rFonts w:ascii="Times New Roman" w:eastAsia="Times New Roman"/>
            </w:rPr>
            <w:tab/>
          </w:r>
          <w:r>
            <w:rPr>
              <w:rFonts w:ascii="Calibri" w:eastAsia="Calibri"/>
              <w:spacing w:val="-10"/>
            </w:rPr>
            <w:t>1</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"_TOC_250032" </w:instrText>
          </w:r>
          <w:r>
            <w:fldChar w:fldCharType="separate"/>
          </w:r>
          <w:r>
            <w:t>第七条</w:t>
          </w:r>
          <w:r>
            <w:rPr>
              <w:spacing w:val="-25"/>
            </w:rPr>
            <w:t xml:space="preserve"> </w:t>
          </w:r>
          <w:r>
            <w:t>保险合同的终</w:t>
          </w:r>
          <w:r>
            <w:rPr>
              <w:spacing w:val="-10"/>
            </w:rPr>
            <w:t>止</w:t>
          </w:r>
          <w:r>
            <w:rPr>
              <w:rFonts w:ascii="Times New Roman" w:eastAsia="Times New Roman"/>
            </w:rPr>
            <w:tab/>
          </w:r>
          <w:r>
            <w:rPr>
              <w:rFonts w:ascii="Calibri" w:eastAsia="Calibri"/>
              <w:spacing w:val="-10"/>
            </w:rPr>
            <w:t>1</w:t>
          </w:r>
          <w:r>
            <w:rPr>
              <w:rFonts w:ascii="Calibri" w:eastAsia="Calibri"/>
              <w:spacing w:val="-10"/>
            </w:rPr>
            <w:fldChar w:fldCharType="end"/>
          </w:r>
        </w:p>
        <w:p>
          <w:pPr>
            <w:pStyle w:val="7"/>
            <w:tabs>
              <w:tab w:val="right" w:leader="dot" w:pos="9400"/>
            </w:tabs>
            <w:rPr>
              <w:rFonts w:ascii="Calibri" w:eastAsia="Calibri"/>
            </w:rPr>
          </w:pPr>
          <w:r>
            <w:fldChar w:fldCharType="begin"/>
          </w:r>
          <w:r>
            <w:instrText xml:space="preserve"> HYPERLINK \l "_TOC_250031" </w:instrText>
          </w:r>
          <w:r>
            <w:fldChar w:fldCharType="separate"/>
          </w:r>
          <w:r>
            <w:t>第二部分</w:t>
          </w:r>
          <w:r>
            <w:rPr>
              <w:spacing w:val="77"/>
              <w:w w:val="150"/>
            </w:rPr>
            <w:t xml:space="preserve"> </w:t>
          </w:r>
          <w:r>
            <w:t>我们提供的保</w:t>
          </w:r>
          <w:r>
            <w:rPr>
              <w:spacing w:val="-10"/>
              <w:w w:val="95"/>
            </w:rPr>
            <w:t>障</w:t>
          </w:r>
          <w:r>
            <w:rPr>
              <w:rFonts w:ascii="Times New Roman" w:eastAsia="Times New Roman"/>
              <w:b w:val="0"/>
            </w:rPr>
            <w:tab/>
          </w:r>
          <w:r>
            <w:rPr>
              <w:rFonts w:ascii="Calibri" w:eastAsia="Calibri"/>
              <w:spacing w:val="-10"/>
            </w:rPr>
            <w:t>2</w:t>
          </w:r>
          <w:r>
            <w:rPr>
              <w:rFonts w:ascii="Calibri" w:eastAsia="Calibri"/>
              <w:spacing w:val="-10"/>
            </w:rPr>
            <w:fldChar w:fldCharType="end"/>
          </w:r>
        </w:p>
        <w:p>
          <w:pPr>
            <w:pStyle w:val="5"/>
            <w:tabs>
              <w:tab w:val="right" w:leader="dot" w:pos="9400"/>
            </w:tabs>
            <w:spacing w:before="133"/>
            <w:rPr>
              <w:rFonts w:ascii="Calibri" w:eastAsia="Calibri"/>
            </w:rPr>
          </w:pPr>
          <w:r>
            <w:fldChar w:fldCharType="begin"/>
          </w:r>
          <w:r>
            <w:instrText xml:space="preserve"> HYPERLINK \l "_TOC_250030" </w:instrText>
          </w:r>
          <w:r>
            <w:fldChar w:fldCharType="separate"/>
          </w:r>
          <w:r>
            <w:t>第八条</w:t>
          </w:r>
          <w:r>
            <w:rPr>
              <w:spacing w:val="-23"/>
            </w:rPr>
            <w:t xml:space="preserve"> </w:t>
          </w:r>
          <w:r>
            <w:t>保险责</w:t>
          </w:r>
          <w:r>
            <w:rPr>
              <w:spacing w:val="-10"/>
              <w:w w:val="95"/>
            </w:rPr>
            <w:t>任</w:t>
          </w:r>
          <w:r>
            <w:rPr>
              <w:rFonts w:ascii="Times New Roman" w:eastAsia="Times New Roman"/>
            </w:rPr>
            <w:tab/>
          </w:r>
          <w:r>
            <w:rPr>
              <w:rFonts w:ascii="Calibri" w:eastAsia="Calibri"/>
              <w:spacing w:val="-10"/>
            </w:rPr>
            <w:t>2</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"_TOC_250029" </w:instrText>
          </w:r>
          <w:r>
            <w:fldChar w:fldCharType="separate"/>
          </w:r>
          <w:r>
            <w:t>第九条</w:t>
          </w:r>
          <w:r>
            <w:rPr>
              <w:spacing w:val="-23"/>
            </w:rPr>
            <w:t xml:space="preserve"> </w:t>
          </w:r>
          <w:r>
            <w:t>责任免</w:t>
          </w:r>
          <w:r>
            <w:rPr>
              <w:spacing w:val="-10"/>
              <w:w w:val="95"/>
            </w:rPr>
            <w:t>除</w:t>
          </w:r>
          <w:r>
            <w:rPr>
              <w:rFonts w:ascii="Times New Roman" w:eastAsia="Times New Roman"/>
            </w:rPr>
            <w:tab/>
          </w:r>
          <w:r>
            <w:rPr>
              <w:rFonts w:ascii="Calibri" w:eastAsia="Calibri"/>
              <w:spacing w:val="-10"/>
            </w:rPr>
            <w:t>2</w:t>
          </w:r>
          <w:r>
            <w:rPr>
              <w:rFonts w:ascii="Calibri" w:eastAsia="Calibri"/>
              <w:spacing w:val="-10"/>
            </w:rPr>
            <w:fldChar w:fldCharType="end"/>
          </w:r>
        </w:p>
        <w:p>
          <w:pPr>
            <w:pStyle w:val="7"/>
            <w:tabs>
              <w:tab w:val="right" w:leader="dot" w:pos="9400"/>
            </w:tabs>
            <w:rPr>
              <w:rFonts w:ascii="Calibri" w:eastAsia="Calibri"/>
            </w:rPr>
          </w:pPr>
          <w:r>
            <w:fldChar w:fldCharType="begin"/>
          </w:r>
          <w:r>
            <w:instrText xml:space="preserve"> HYPERLINK \l "_TOC_250028" </w:instrText>
          </w:r>
          <w:r>
            <w:fldChar w:fldCharType="separate"/>
          </w:r>
          <w:r>
            <w:t>第三部分</w:t>
          </w:r>
          <w:r>
            <w:rPr>
              <w:spacing w:val="74"/>
              <w:w w:val="150"/>
            </w:rPr>
            <w:t xml:space="preserve"> </w:t>
          </w:r>
          <w:r>
            <w:t>如何申请领取保险</w:t>
          </w:r>
          <w:r>
            <w:rPr>
              <w:spacing w:val="-10"/>
            </w:rPr>
            <w:t>金</w:t>
          </w:r>
          <w:r>
            <w:rPr>
              <w:rFonts w:ascii="Times New Roman" w:eastAsia="Times New Roman"/>
              <w:b w:val="0"/>
            </w:rPr>
            <w:tab/>
          </w:r>
          <w:r>
            <w:rPr>
              <w:rFonts w:ascii="Calibri" w:eastAsia="Calibri"/>
              <w:spacing w:val="-10"/>
            </w:rPr>
            <w:t>2</w:t>
          </w:r>
          <w:r>
            <w:rPr>
              <w:rFonts w:ascii="Calibri" w:eastAsia="Calibri"/>
              <w:spacing w:val="-10"/>
            </w:rPr>
            <w:fldChar w:fldCharType="end"/>
          </w:r>
        </w:p>
        <w:p>
          <w:pPr>
            <w:pStyle w:val="5"/>
            <w:tabs>
              <w:tab w:val="right" w:leader="dot" w:pos="9400"/>
            </w:tabs>
            <w:spacing w:before="133"/>
            <w:rPr>
              <w:rFonts w:ascii="Calibri" w:eastAsia="Calibri"/>
            </w:rPr>
          </w:pPr>
          <w:r>
            <w:fldChar w:fldCharType="begin"/>
          </w:r>
          <w:r>
            <w:instrText xml:space="preserve"> HYPERLINK \l "_TOC_250027" </w:instrText>
          </w:r>
          <w:r>
            <w:fldChar w:fldCharType="separate"/>
          </w:r>
          <w:r>
            <w:t>第十条</w:t>
          </w:r>
          <w:r>
            <w:rPr>
              <w:spacing w:val="-23"/>
            </w:rPr>
            <w:t xml:space="preserve"> </w:t>
          </w:r>
          <w:r>
            <w:t>保险事故通</w:t>
          </w:r>
          <w:r>
            <w:rPr>
              <w:spacing w:val="-10"/>
            </w:rPr>
            <w:t>知</w:t>
          </w:r>
          <w:r>
            <w:rPr>
              <w:rFonts w:ascii="Times New Roman" w:eastAsia="Times New Roman"/>
            </w:rPr>
            <w:tab/>
          </w:r>
          <w:r>
            <w:rPr>
              <w:rFonts w:ascii="Calibri" w:eastAsia="Calibri"/>
              <w:spacing w:val="-10"/>
            </w:rPr>
            <w:t>2</w:t>
          </w:r>
          <w:r>
            <w:rPr>
              <w:rFonts w:ascii="Calibri" w:eastAsia="Calibri"/>
              <w:spacing w:val="-10"/>
            </w:rPr>
            <w:fldChar w:fldCharType="end"/>
          </w:r>
        </w:p>
        <w:p>
          <w:pPr>
            <w:pStyle w:val="5"/>
            <w:tabs>
              <w:tab w:val="right" w:leader="dot" w:pos="9400"/>
            </w:tabs>
            <w:spacing w:before="55"/>
            <w:rPr>
              <w:rFonts w:ascii="Calibri" w:eastAsia="Calibri"/>
            </w:rPr>
          </w:pPr>
          <w:r>
            <w:fldChar w:fldCharType="begin"/>
          </w:r>
          <w:r>
            <w:instrText xml:space="preserve"> HYPERLINK \l "_TOC_250026" </w:instrText>
          </w:r>
          <w:r>
            <w:fldChar w:fldCharType="separate"/>
          </w:r>
          <w:r>
            <w:t>第十一条</w:t>
          </w:r>
          <w:r>
            <w:rPr>
              <w:spacing w:val="-23"/>
            </w:rPr>
            <w:t xml:space="preserve"> </w:t>
          </w:r>
          <w:r>
            <w:t>保险金申</w:t>
          </w:r>
          <w:r>
            <w:rPr>
              <w:spacing w:val="-10"/>
            </w:rPr>
            <w:t>请</w:t>
          </w:r>
          <w:r>
            <w:rPr>
              <w:rFonts w:ascii="Times New Roman" w:eastAsia="Times New Roman"/>
            </w:rPr>
            <w:tab/>
          </w:r>
          <w:r>
            <w:rPr>
              <w:rFonts w:ascii="Calibri" w:eastAsia="Calibri"/>
              <w:spacing w:val="-10"/>
            </w:rPr>
            <w:t>3</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"_TOC_250025" </w:instrText>
          </w:r>
          <w:r>
            <w:fldChar w:fldCharType="separate"/>
          </w:r>
          <w:r>
            <w:t>第十二条</w:t>
          </w:r>
          <w:r>
            <w:rPr>
              <w:spacing w:val="-23"/>
            </w:rPr>
            <w:t xml:space="preserve"> </w:t>
          </w:r>
          <w:r>
            <w:t>保险金给</w:t>
          </w:r>
          <w:r>
            <w:rPr>
              <w:spacing w:val="-10"/>
            </w:rPr>
            <w:t>付</w:t>
          </w:r>
          <w:r>
            <w:rPr>
              <w:rFonts w:ascii="Times New Roman" w:eastAsia="Times New Roman"/>
            </w:rPr>
            <w:tab/>
          </w:r>
          <w:r>
            <w:rPr>
              <w:rFonts w:ascii="Calibri" w:eastAsia="Calibri"/>
              <w:spacing w:val="-10"/>
            </w:rPr>
            <w:t>3</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"_TOC_250024" </w:instrText>
          </w:r>
          <w:r>
            <w:fldChar w:fldCharType="separate"/>
          </w:r>
          <w:r>
            <w:t>第十三条</w:t>
          </w:r>
          <w:r>
            <w:rPr>
              <w:spacing w:val="-23"/>
            </w:rPr>
            <w:t xml:space="preserve"> </w:t>
          </w:r>
          <w:r>
            <w:t>欠款的扣</w:t>
          </w:r>
          <w:r>
            <w:rPr>
              <w:spacing w:val="-10"/>
            </w:rPr>
            <w:t>除</w:t>
          </w:r>
          <w:r>
            <w:rPr>
              <w:rFonts w:ascii="Times New Roman" w:eastAsia="Times New Roman"/>
            </w:rPr>
            <w:tab/>
          </w:r>
          <w:r>
            <w:rPr>
              <w:rFonts w:ascii="Calibri" w:eastAsia="Calibri"/>
              <w:spacing w:val="-10"/>
            </w:rPr>
            <w:t>3</w:t>
          </w:r>
          <w:r>
            <w:rPr>
              <w:rFonts w:ascii="Calibri" w:eastAsia="Calibri"/>
              <w:spacing w:val="-10"/>
            </w:rPr>
            <w:fldChar w:fldCharType="end"/>
          </w:r>
        </w:p>
        <w:p>
          <w:pPr>
            <w:pStyle w:val="7"/>
            <w:tabs>
              <w:tab w:val="right" w:leader="dot" w:pos="9400"/>
            </w:tabs>
            <w:rPr>
              <w:rFonts w:ascii="Calibri" w:eastAsia="Calibri"/>
            </w:rPr>
          </w:pPr>
          <w:r>
            <w:fldChar w:fldCharType="begin"/>
          </w:r>
          <w:r>
            <w:instrText xml:space="preserve"> HYPERLINK \l "_TOC_250023" </w:instrText>
          </w:r>
          <w:r>
            <w:fldChar w:fldCharType="separate"/>
          </w:r>
          <w:r>
            <w:t>第四部分</w:t>
          </w:r>
          <w:r>
            <w:rPr>
              <w:spacing w:val="76"/>
              <w:w w:val="150"/>
            </w:rPr>
            <w:t xml:space="preserve"> </w:t>
          </w:r>
          <w:r>
            <w:t>保险费和个人账</w:t>
          </w:r>
          <w:r>
            <w:rPr>
              <w:spacing w:val="-10"/>
            </w:rPr>
            <w:t>户</w:t>
          </w:r>
          <w:r>
            <w:rPr>
              <w:rFonts w:ascii="Times New Roman" w:eastAsia="Times New Roman"/>
              <w:b w:val="0"/>
            </w:rPr>
            <w:tab/>
          </w:r>
          <w:r>
            <w:rPr>
              <w:rFonts w:ascii="Calibri" w:eastAsia="Calibri"/>
              <w:spacing w:val="-10"/>
            </w:rPr>
            <w:t>4</w:t>
          </w:r>
          <w:r>
            <w:rPr>
              <w:rFonts w:ascii="Calibri" w:eastAsia="Calibri"/>
              <w:spacing w:val="-10"/>
            </w:rPr>
            <w:fldChar w:fldCharType="end"/>
          </w:r>
        </w:p>
        <w:p>
          <w:pPr>
            <w:pStyle w:val="5"/>
            <w:tabs>
              <w:tab w:val="right" w:leader="dot" w:pos="9400"/>
            </w:tabs>
            <w:spacing w:before="132"/>
            <w:rPr>
              <w:rFonts w:ascii="Calibri" w:eastAsia="Calibri"/>
            </w:rPr>
          </w:pPr>
          <w:r>
            <w:fldChar w:fldCharType="begin"/>
          </w:r>
          <w:r>
            <w:instrText xml:space="preserve"> HYPERLINK \l "_TOC_250022" </w:instrText>
          </w:r>
          <w:r>
            <w:fldChar w:fldCharType="separate"/>
          </w:r>
          <w:r>
            <w:t>第十四条</w:t>
          </w:r>
          <w:r>
            <w:rPr>
              <w:spacing w:val="-25"/>
            </w:rPr>
            <w:t xml:space="preserve"> </w:t>
          </w:r>
          <w:r>
            <w:t>保险费的分</w:t>
          </w:r>
          <w:r>
            <w:rPr>
              <w:spacing w:val="-10"/>
            </w:rPr>
            <w:t>配</w:t>
          </w:r>
          <w:r>
            <w:rPr>
              <w:rFonts w:ascii="Times New Roman" w:eastAsia="Times New Roman"/>
            </w:rPr>
            <w:tab/>
          </w:r>
          <w:r>
            <w:rPr>
              <w:rFonts w:ascii="Calibri" w:eastAsia="Calibri"/>
              <w:spacing w:val="-10"/>
            </w:rPr>
            <w:t>4</w:t>
          </w:r>
          <w:r>
            <w:rPr>
              <w:rFonts w:ascii="Calibri" w:eastAsia="Calibri"/>
              <w:spacing w:val="-10"/>
            </w:rPr>
            <w:fldChar w:fldCharType="end"/>
          </w:r>
        </w:p>
        <w:p>
          <w:pPr>
            <w:pStyle w:val="5"/>
            <w:tabs>
              <w:tab w:val="right" w:leader="dot" w:pos="9400"/>
            </w:tabs>
            <w:spacing w:before="55"/>
            <w:rPr>
              <w:rFonts w:ascii="Calibri" w:eastAsia="Calibri"/>
            </w:rPr>
          </w:pPr>
          <w:r>
            <w:fldChar w:fldCharType="begin"/>
          </w:r>
          <w:r>
            <w:instrText xml:space="preserve"> HYPERLINK \l "_TOC_250021" </w:instrText>
          </w:r>
          <w:r>
            <w:fldChar w:fldCharType="separate"/>
          </w:r>
          <w:r>
            <w:t>第十五条</w:t>
          </w:r>
          <w:r>
            <w:rPr>
              <w:spacing w:val="-23"/>
            </w:rPr>
            <w:t xml:space="preserve"> </w:t>
          </w:r>
          <w:r>
            <w:t>个人账</w:t>
          </w:r>
          <w:r>
            <w:rPr>
              <w:spacing w:val="-10"/>
            </w:rPr>
            <w:t>户</w:t>
          </w:r>
          <w:r>
            <w:rPr>
              <w:rFonts w:ascii="Times New Roman" w:eastAsia="Times New Roman"/>
            </w:rPr>
            <w:tab/>
          </w:r>
          <w:r>
            <w:rPr>
              <w:rFonts w:ascii="Calibri" w:eastAsia="Calibri"/>
              <w:spacing w:val="-10"/>
            </w:rPr>
            <w:t>4</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"_TOC_250020" </w:instrText>
          </w:r>
          <w:r>
            <w:fldChar w:fldCharType="separate"/>
          </w:r>
          <w:r>
            <w:rPr>
              <w:spacing w:val="-2"/>
            </w:rPr>
            <w:t>第十六条</w:t>
          </w:r>
          <w:r>
            <w:rPr>
              <w:spacing w:val="-5"/>
            </w:rPr>
            <w:t xml:space="preserve"> </w:t>
          </w:r>
          <w:r>
            <w:rPr>
              <w:spacing w:val="-2"/>
            </w:rPr>
            <w:t>个人账户价值的计</w:t>
          </w:r>
          <w:r>
            <w:rPr>
              <w:spacing w:val="-10"/>
            </w:rPr>
            <w:t>算</w:t>
          </w:r>
          <w:r>
            <w:rPr>
              <w:rFonts w:ascii="Times New Roman" w:eastAsia="Times New Roman"/>
            </w:rPr>
            <w:tab/>
          </w:r>
          <w:r>
            <w:rPr>
              <w:rFonts w:ascii="Calibri" w:eastAsia="Calibri"/>
              <w:spacing w:val="-10"/>
            </w:rPr>
            <w:t>4</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"_TOC_250019" </w:instrText>
          </w:r>
          <w:r>
            <w:fldChar w:fldCharType="separate"/>
          </w:r>
          <w:r>
            <w:t>第十七条</w:t>
          </w:r>
          <w:r>
            <w:rPr>
              <w:spacing w:val="-23"/>
            </w:rPr>
            <w:t xml:space="preserve"> </w:t>
          </w:r>
          <w:r>
            <w:t>结算利</w:t>
          </w:r>
          <w:r>
            <w:rPr>
              <w:spacing w:val="-10"/>
            </w:rPr>
            <w:t>率</w:t>
          </w:r>
          <w:r>
            <w:rPr>
              <w:rFonts w:ascii="Times New Roman" w:eastAsia="Times New Roman"/>
            </w:rPr>
            <w:tab/>
          </w:r>
          <w:r>
            <w:rPr>
              <w:rFonts w:ascii="Calibri" w:eastAsia="Calibri"/>
              <w:spacing w:val="-10"/>
            </w:rPr>
            <w:t>4</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"_TOC_250018" </w:instrText>
          </w:r>
          <w:r>
            <w:fldChar w:fldCharType="separate"/>
          </w:r>
          <w:r>
            <w:t>第十八条</w:t>
          </w:r>
          <w:r>
            <w:rPr>
              <w:spacing w:val="-23"/>
            </w:rPr>
            <w:t xml:space="preserve"> </w:t>
          </w:r>
          <w:r>
            <w:t>保证利</w:t>
          </w:r>
          <w:r>
            <w:rPr>
              <w:spacing w:val="-10"/>
            </w:rPr>
            <w:t>率</w:t>
          </w:r>
          <w:r>
            <w:rPr>
              <w:rFonts w:ascii="Times New Roman" w:eastAsia="Times New Roman"/>
            </w:rPr>
            <w:tab/>
          </w:r>
          <w:r>
            <w:rPr>
              <w:rFonts w:ascii="Calibri" w:eastAsia="Calibri"/>
              <w:spacing w:val="-10"/>
            </w:rPr>
            <w:t>4</w:t>
          </w:r>
          <w:r>
            <w:rPr>
              <w:rFonts w:ascii="Calibri" w:eastAsia="Calibri"/>
              <w:spacing w:val="-10"/>
            </w:rPr>
            <w:fldChar w:fldCharType="end"/>
          </w:r>
        </w:p>
        <w:p>
          <w:pPr>
            <w:pStyle w:val="7"/>
            <w:tabs>
              <w:tab w:val="right" w:leader="dot" w:pos="9400"/>
            </w:tabs>
            <w:rPr>
              <w:rFonts w:ascii="Calibri" w:eastAsia="Calibri"/>
            </w:rPr>
          </w:pPr>
          <w:r>
            <w:fldChar w:fldCharType="begin"/>
          </w:r>
          <w:r>
            <w:instrText xml:space="preserve"> HYPERLINK \l "_TOC_250017" </w:instrText>
          </w:r>
          <w:r>
            <w:fldChar w:fldCharType="separate"/>
          </w:r>
          <w:r>
            <w:t>第五部分</w:t>
          </w:r>
          <w:r>
            <w:rPr>
              <w:spacing w:val="74"/>
              <w:w w:val="150"/>
            </w:rPr>
            <w:t xml:space="preserve"> </w:t>
          </w:r>
          <w:r>
            <w:t>您所拥有的重要权</w:t>
          </w:r>
          <w:r>
            <w:rPr>
              <w:spacing w:val="-10"/>
            </w:rPr>
            <w:t>益</w:t>
          </w:r>
          <w:r>
            <w:rPr>
              <w:rFonts w:ascii="Times New Roman" w:eastAsia="Times New Roman"/>
              <w:b w:val="0"/>
            </w:rPr>
            <w:tab/>
          </w:r>
          <w:r>
            <w:rPr>
              <w:rFonts w:ascii="Calibri" w:eastAsia="Calibri"/>
              <w:spacing w:val="-10"/>
            </w:rPr>
            <w:t>4</w:t>
          </w:r>
          <w:r>
            <w:rPr>
              <w:rFonts w:ascii="Calibri" w:eastAsia="Calibri"/>
              <w:spacing w:val="-10"/>
            </w:rPr>
            <w:fldChar w:fldCharType="end"/>
          </w:r>
        </w:p>
        <w:p>
          <w:pPr>
            <w:pStyle w:val="5"/>
            <w:tabs>
              <w:tab w:val="right" w:leader="dot" w:pos="9400"/>
            </w:tabs>
            <w:spacing w:before="132"/>
            <w:rPr>
              <w:rFonts w:ascii="Calibri" w:eastAsia="Calibri"/>
            </w:rPr>
          </w:pPr>
          <w:r>
            <w:fldChar w:fldCharType="begin"/>
          </w:r>
          <w:r>
            <w:instrText xml:space="preserve"> HYPERLINK \l "_TOC_250016" </w:instrText>
          </w:r>
          <w:r>
            <w:fldChar w:fldCharType="separate"/>
          </w:r>
          <w:r>
            <w:rPr>
              <w:spacing w:val="-2"/>
            </w:rPr>
            <w:t>第十九条</w:t>
          </w:r>
          <w:r>
            <w:rPr>
              <w:spacing w:val="-1"/>
            </w:rPr>
            <w:t xml:space="preserve"> </w:t>
          </w:r>
          <w:r>
            <w:rPr>
              <w:spacing w:val="-2"/>
            </w:rPr>
            <w:t>个人账户价值的部分领</w:t>
          </w:r>
          <w:r>
            <w:rPr>
              <w:spacing w:val="-10"/>
            </w:rPr>
            <w:t>取</w:t>
          </w:r>
          <w:r>
            <w:rPr>
              <w:rFonts w:ascii="Times New Roman" w:eastAsia="Times New Roman"/>
            </w:rPr>
            <w:tab/>
          </w:r>
          <w:r>
            <w:rPr>
              <w:rFonts w:ascii="Calibri" w:eastAsia="Calibri"/>
              <w:spacing w:val="-10"/>
            </w:rPr>
            <w:t>4</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"_TOC_250015" </w:instrText>
          </w:r>
          <w:r>
            <w:fldChar w:fldCharType="separate"/>
          </w:r>
          <w:r>
            <w:t>第二十条</w:t>
          </w:r>
          <w:r>
            <w:rPr>
              <w:spacing w:val="-23"/>
            </w:rPr>
            <w:t xml:space="preserve"> </w:t>
          </w:r>
          <w:r>
            <w:t>保险单借</w:t>
          </w:r>
          <w:r>
            <w:rPr>
              <w:spacing w:val="-10"/>
            </w:rPr>
            <w:t>款</w:t>
          </w:r>
          <w:r>
            <w:rPr>
              <w:rFonts w:ascii="Times New Roman" w:eastAsia="Times New Roman"/>
            </w:rPr>
            <w:tab/>
          </w:r>
          <w:r>
            <w:rPr>
              <w:rFonts w:ascii="Calibri" w:eastAsia="Calibri"/>
              <w:spacing w:val="-10"/>
            </w:rPr>
            <w:t>5</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"_TOC_250014" </w:instrText>
          </w:r>
          <w:r>
            <w:fldChar w:fldCharType="separate"/>
          </w:r>
          <w:r>
            <w:rPr>
              <w:spacing w:val="-2"/>
            </w:rPr>
            <w:t>第二十一条</w:t>
          </w:r>
          <w:r>
            <w:rPr>
              <w:spacing w:val="-7"/>
            </w:rPr>
            <w:t xml:space="preserve"> </w:t>
          </w:r>
          <w:r>
            <w:rPr>
              <w:spacing w:val="-2"/>
            </w:rPr>
            <w:t>合同效力的恢</w:t>
          </w:r>
          <w:r>
            <w:rPr>
              <w:spacing w:val="-10"/>
            </w:rPr>
            <w:t>复</w:t>
          </w:r>
          <w:r>
            <w:rPr>
              <w:rFonts w:ascii="Times New Roman" w:eastAsia="Times New Roman"/>
            </w:rPr>
            <w:tab/>
          </w:r>
          <w:r>
            <w:rPr>
              <w:rFonts w:ascii="Calibri" w:eastAsia="Calibri"/>
              <w:spacing w:val="-10"/>
            </w:rPr>
            <w:t>5</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"_TOC_250013" </w:instrText>
          </w:r>
          <w:r>
            <w:fldChar w:fldCharType="separate"/>
          </w:r>
          <w:r>
            <w:rPr>
              <w:spacing w:val="-2"/>
            </w:rPr>
            <w:t>第二十二条</w:t>
          </w:r>
          <w:r>
            <w:rPr>
              <w:spacing w:val="-7"/>
            </w:rPr>
            <w:t xml:space="preserve"> </w:t>
          </w:r>
          <w:r>
            <w:rPr>
              <w:spacing w:val="-2"/>
            </w:rPr>
            <w:t>合同内容变更</w:t>
          </w:r>
          <w:r>
            <w:rPr>
              <w:spacing w:val="-10"/>
            </w:rPr>
            <w:t>权</w:t>
          </w:r>
          <w:r>
            <w:rPr>
              <w:rFonts w:ascii="Times New Roman" w:eastAsia="Times New Roman"/>
            </w:rPr>
            <w:tab/>
          </w:r>
          <w:r>
            <w:rPr>
              <w:rFonts w:ascii="Calibri" w:eastAsia="Calibri"/>
              <w:spacing w:val="-10"/>
            </w:rPr>
            <w:t>5</w:t>
          </w:r>
          <w:r>
            <w:rPr>
              <w:rFonts w:ascii="Calibri" w:eastAsia="Calibri"/>
              <w:spacing w:val="-10"/>
            </w:rPr>
            <w:fldChar w:fldCharType="end"/>
          </w:r>
        </w:p>
        <w:p>
          <w:pPr>
            <w:pStyle w:val="5"/>
            <w:tabs>
              <w:tab w:val="right" w:leader="dot" w:pos="9400"/>
            </w:tabs>
            <w:spacing w:before="55"/>
            <w:rPr>
              <w:rFonts w:ascii="Calibri" w:eastAsia="Calibri"/>
            </w:rPr>
          </w:pPr>
          <w:r>
            <w:fldChar w:fldCharType="begin"/>
          </w:r>
          <w:r>
            <w:instrText xml:space="preserve"> HYPERLINK \l "_TOC_250012" </w:instrText>
          </w:r>
          <w:r>
            <w:fldChar w:fldCharType="separate"/>
          </w:r>
          <w:r>
            <w:rPr>
              <w:spacing w:val="-2"/>
            </w:rPr>
            <w:t>第二十三条</w:t>
          </w:r>
          <w:r>
            <w:rPr>
              <w:spacing w:val="-3"/>
            </w:rPr>
            <w:t xml:space="preserve"> </w:t>
          </w:r>
          <w:r>
            <w:rPr>
              <w:spacing w:val="-2"/>
            </w:rPr>
            <w:t>犹豫期及合同解除</w:t>
          </w:r>
          <w:r>
            <w:rPr>
              <w:spacing w:val="-10"/>
            </w:rPr>
            <w:t>权</w:t>
          </w:r>
          <w:r>
            <w:rPr>
              <w:rFonts w:ascii="Times New Roman" w:eastAsia="Times New Roman"/>
            </w:rPr>
            <w:tab/>
          </w:r>
          <w:r>
            <w:rPr>
              <w:rFonts w:ascii="Calibri" w:eastAsia="Calibri"/>
              <w:spacing w:val="-10"/>
            </w:rPr>
            <w:t>5</w:t>
          </w:r>
          <w:r>
            <w:rPr>
              <w:rFonts w:ascii="Calibri" w:eastAsia="Calibri"/>
              <w:spacing w:val="-10"/>
            </w:rPr>
            <w:fldChar w:fldCharType="end"/>
          </w:r>
        </w:p>
        <w:p>
          <w:pPr>
            <w:pStyle w:val="7"/>
            <w:tabs>
              <w:tab w:val="right" w:leader="dot" w:pos="9400"/>
            </w:tabs>
            <w:spacing w:before="108"/>
            <w:rPr>
              <w:rFonts w:ascii="Calibri" w:eastAsia="Calibri"/>
            </w:rPr>
          </w:pPr>
          <w:r>
            <w:fldChar w:fldCharType="begin"/>
          </w:r>
          <w:r>
            <w:instrText xml:space="preserve"> HYPERLINK \l "_TOC_250011" </w:instrText>
          </w:r>
          <w:r>
            <w:fldChar w:fldCharType="separate"/>
          </w:r>
          <w:r>
            <w:t>第六部分</w:t>
          </w:r>
          <w:r>
            <w:rPr>
              <w:spacing w:val="76"/>
              <w:w w:val="150"/>
            </w:rPr>
            <w:t xml:space="preserve"> </w:t>
          </w:r>
          <w:r>
            <w:t>您必须了解的事</w:t>
          </w:r>
          <w:r>
            <w:rPr>
              <w:spacing w:val="-10"/>
            </w:rPr>
            <w:t>项</w:t>
          </w:r>
          <w:r>
            <w:rPr>
              <w:rFonts w:ascii="Times New Roman" w:eastAsia="Times New Roman"/>
              <w:b w:val="0"/>
            </w:rPr>
            <w:tab/>
          </w:r>
          <w:r>
            <w:rPr>
              <w:rFonts w:ascii="Calibri" w:eastAsia="Calibri"/>
              <w:spacing w:val="-10"/>
            </w:rPr>
            <w:t>6</w:t>
          </w:r>
          <w:r>
            <w:rPr>
              <w:rFonts w:ascii="Calibri" w:eastAsia="Calibri"/>
              <w:spacing w:val="-10"/>
            </w:rPr>
            <w:fldChar w:fldCharType="end"/>
          </w:r>
        </w:p>
        <w:p>
          <w:pPr>
            <w:pStyle w:val="5"/>
            <w:tabs>
              <w:tab w:val="right" w:leader="dot" w:pos="9400"/>
            </w:tabs>
            <w:spacing w:before="132"/>
            <w:rPr>
              <w:rFonts w:ascii="Calibri" w:eastAsia="Calibri"/>
            </w:rPr>
          </w:pPr>
          <w:r>
            <w:fldChar w:fldCharType="begin"/>
          </w:r>
          <w:r>
            <w:instrText xml:space="preserve"> HYPERLINK \l "_TOC_250010" </w:instrText>
          </w:r>
          <w:r>
            <w:fldChar w:fldCharType="separate"/>
          </w:r>
          <w:r>
            <w:rPr>
              <w:spacing w:val="-2"/>
            </w:rPr>
            <w:t>第二十四条</w:t>
          </w:r>
          <w:r>
            <w:rPr>
              <w:spacing w:val="-1"/>
            </w:rPr>
            <w:t xml:space="preserve"> </w:t>
          </w:r>
          <w:r>
            <w:rPr>
              <w:spacing w:val="-2"/>
            </w:rPr>
            <w:t>明确说明和如实告知义</w:t>
          </w:r>
          <w:r>
            <w:rPr>
              <w:spacing w:val="-10"/>
            </w:rPr>
            <w:t>务</w:t>
          </w:r>
          <w:r>
            <w:rPr>
              <w:rFonts w:ascii="Times New Roman" w:eastAsia="Times New Roman"/>
            </w:rPr>
            <w:tab/>
          </w:r>
          <w:r>
            <w:rPr>
              <w:rFonts w:ascii="Calibri" w:eastAsia="Calibri"/>
              <w:spacing w:val="-10"/>
            </w:rPr>
            <w:t>6</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"_TOC_250009" </w:instrText>
          </w:r>
          <w:r>
            <w:fldChar w:fldCharType="separate"/>
          </w:r>
          <w:r>
            <w:rPr>
              <w:spacing w:val="-2"/>
            </w:rPr>
            <w:t>第二十五条</w:t>
          </w:r>
          <w:r>
            <w:rPr>
              <w:spacing w:val="-3"/>
            </w:rPr>
            <w:t xml:space="preserve"> </w:t>
          </w:r>
          <w:r>
            <w:rPr>
              <w:spacing w:val="-2"/>
            </w:rPr>
            <w:t>年龄计算及错误处</w:t>
          </w:r>
          <w:r>
            <w:rPr>
              <w:spacing w:val="-10"/>
            </w:rPr>
            <w:t>理</w:t>
          </w:r>
          <w:r>
            <w:rPr>
              <w:rFonts w:ascii="Times New Roman" w:eastAsia="Times New Roman"/>
            </w:rPr>
            <w:tab/>
          </w:r>
          <w:r>
            <w:rPr>
              <w:rFonts w:ascii="Calibri" w:eastAsia="Calibri"/>
              <w:spacing w:val="-10"/>
            </w:rPr>
            <w:t>6</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"_TOC_250008" </w:instrText>
          </w:r>
          <w:r>
            <w:fldChar w:fldCharType="separate"/>
          </w:r>
          <w:r>
            <w:rPr>
              <w:spacing w:val="-2"/>
            </w:rPr>
            <w:t>第二十六条</w:t>
          </w:r>
          <w:r>
            <w:rPr>
              <w:spacing w:val="-1"/>
            </w:rPr>
            <w:t xml:space="preserve"> </w:t>
          </w:r>
          <w:r>
            <w:rPr>
              <w:spacing w:val="-2"/>
            </w:rPr>
            <w:t>本公司合同解除权的限</w:t>
          </w:r>
          <w:r>
            <w:rPr>
              <w:spacing w:val="-10"/>
            </w:rPr>
            <w:t>制</w:t>
          </w:r>
          <w:r>
            <w:rPr>
              <w:rFonts w:ascii="Times New Roman" w:eastAsia="Times New Roman"/>
            </w:rPr>
            <w:tab/>
          </w:r>
          <w:r>
            <w:rPr>
              <w:rFonts w:ascii="Calibri" w:eastAsia="Calibri"/>
              <w:spacing w:val="-10"/>
            </w:rPr>
            <w:t>7</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"_TOC_250007" </w:instrText>
          </w:r>
          <w:r>
            <w:fldChar w:fldCharType="separate"/>
          </w:r>
          <w:r>
            <w:rPr>
              <w:spacing w:val="-2"/>
            </w:rPr>
            <w:t>第二十七条</w:t>
          </w:r>
          <w:r>
            <w:rPr>
              <w:spacing w:val="-3"/>
            </w:rPr>
            <w:t xml:space="preserve"> </w:t>
          </w:r>
          <w:r>
            <w:rPr>
              <w:spacing w:val="-2"/>
            </w:rPr>
            <w:t>受益人的指定与变</w:t>
          </w:r>
          <w:r>
            <w:rPr>
              <w:spacing w:val="-10"/>
            </w:rPr>
            <w:t>更</w:t>
          </w:r>
          <w:r>
            <w:rPr>
              <w:rFonts w:ascii="Times New Roman" w:eastAsia="Times New Roman"/>
            </w:rPr>
            <w:tab/>
          </w:r>
          <w:r>
            <w:rPr>
              <w:rFonts w:ascii="Calibri" w:eastAsia="Calibri"/>
              <w:spacing w:val="-10"/>
            </w:rPr>
            <w:t>7</w:t>
          </w:r>
          <w:r>
            <w:rPr>
              <w:rFonts w:ascii="Calibri" w:eastAsia="Calibri"/>
              <w:spacing w:val="-10"/>
            </w:rPr>
            <w:fldChar w:fldCharType="end"/>
          </w:r>
        </w:p>
        <w:p>
          <w:pPr>
            <w:pStyle w:val="5"/>
            <w:tabs>
              <w:tab w:val="right" w:leader="dot" w:pos="9400"/>
            </w:tabs>
            <w:spacing w:before="55"/>
            <w:rPr>
              <w:rFonts w:ascii="Calibri" w:eastAsia="Calibri"/>
            </w:rPr>
          </w:pPr>
          <w:r>
            <w:fldChar w:fldCharType="begin"/>
          </w:r>
          <w:r>
            <w:instrText xml:space="preserve"> HYPERLINK \l "_TOC_250006" </w:instrText>
          </w:r>
          <w:r>
            <w:fldChar w:fldCharType="separate"/>
          </w:r>
          <w:r>
            <w:rPr>
              <w:spacing w:val="-2"/>
            </w:rPr>
            <w:t>第二十八条</w:t>
          </w:r>
          <w:r>
            <w:rPr>
              <w:spacing w:val="-1"/>
            </w:rPr>
            <w:t xml:space="preserve"> </w:t>
          </w:r>
          <w:r>
            <w:rPr>
              <w:spacing w:val="-2"/>
            </w:rPr>
            <w:t>未成年人身故保险金限</w:t>
          </w:r>
          <w:r>
            <w:rPr>
              <w:spacing w:val="-10"/>
            </w:rPr>
            <w:t>制</w:t>
          </w:r>
          <w:r>
            <w:rPr>
              <w:rFonts w:ascii="Times New Roman" w:eastAsia="Times New Roman"/>
            </w:rPr>
            <w:tab/>
          </w:r>
          <w:r>
            <w:rPr>
              <w:rFonts w:ascii="Calibri" w:eastAsia="Calibri"/>
              <w:spacing w:val="-10"/>
            </w:rPr>
            <w:t>7</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"_TOC_250005" </w:instrText>
          </w:r>
          <w:r>
            <w:fldChar w:fldCharType="separate"/>
          </w:r>
          <w:r>
            <w:t>第二十九条</w:t>
          </w:r>
          <w:r>
            <w:rPr>
              <w:spacing w:val="-25"/>
            </w:rPr>
            <w:t xml:space="preserve"> </w:t>
          </w:r>
          <w:r>
            <w:t>宣告死亡处</w:t>
          </w:r>
          <w:r>
            <w:rPr>
              <w:spacing w:val="-10"/>
            </w:rPr>
            <w:t>理</w:t>
          </w:r>
          <w:r>
            <w:rPr>
              <w:rFonts w:ascii="Times New Roman" w:eastAsia="Times New Roman"/>
            </w:rPr>
            <w:tab/>
          </w:r>
          <w:r>
            <w:rPr>
              <w:rFonts w:ascii="Calibri" w:eastAsia="Calibri"/>
              <w:spacing w:val="-10"/>
            </w:rPr>
            <w:t>7</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"_TOC_250004" </w:instrText>
          </w:r>
          <w:r>
            <w:fldChar w:fldCharType="separate"/>
          </w:r>
          <w:r>
            <w:t>第三十条</w:t>
          </w:r>
          <w:r>
            <w:rPr>
              <w:spacing w:val="-23"/>
            </w:rPr>
            <w:t xml:space="preserve"> </w:t>
          </w:r>
          <w:r>
            <w:t>司法鉴</w:t>
          </w:r>
          <w:r>
            <w:rPr>
              <w:spacing w:val="-10"/>
            </w:rPr>
            <w:t>定</w:t>
          </w:r>
          <w:r>
            <w:rPr>
              <w:rFonts w:ascii="Times New Roman" w:eastAsia="Times New Roman"/>
            </w:rPr>
            <w:tab/>
          </w:r>
          <w:r>
            <w:rPr>
              <w:rFonts w:ascii="Calibri" w:eastAsia="Calibri"/>
              <w:spacing w:val="-10"/>
            </w:rPr>
            <w:t>7</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"_TOC_250003" </w:instrText>
          </w:r>
          <w:r>
            <w:fldChar w:fldCharType="separate"/>
          </w:r>
          <w:r>
            <w:rPr>
              <w:spacing w:val="-2"/>
            </w:rPr>
            <w:t>第三十一条</w:t>
          </w:r>
          <w:r>
            <w:rPr>
              <w:spacing w:val="-3"/>
            </w:rPr>
            <w:t xml:space="preserve"> </w:t>
          </w:r>
          <w:r>
            <w:rPr>
              <w:spacing w:val="-2"/>
            </w:rPr>
            <w:t>争议处理与法律适</w:t>
          </w:r>
          <w:r>
            <w:rPr>
              <w:spacing w:val="-10"/>
            </w:rPr>
            <w:t>用</w:t>
          </w:r>
          <w:r>
            <w:rPr>
              <w:rFonts w:ascii="Times New Roman" w:eastAsia="Times New Roman"/>
            </w:rPr>
            <w:tab/>
          </w:r>
          <w:r>
            <w:rPr>
              <w:rFonts w:ascii="Calibri" w:eastAsia="Calibri"/>
              <w:spacing w:val="-10"/>
            </w:rPr>
            <w:t>7</w:t>
          </w:r>
          <w:r>
            <w:rPr>
              <w:rFonts w:ascii="Calibri" w:eastAsia="Calibri"/>
              <w:spacing w:val="-10"/>
            </w:rPr>
            <w:fldChar w:fldCharType="end"/>
          </w:r>
        </w:p>
        <w:p>
          <w:pPr>
            <w:pStyle w:val="5"/>
            <w:tabs>
              <w:tab w:val="right" w:leader="dot" w:pos="9400"/>
            </w:tabs>
            <w:spacing w:before="55"/>
            <w:rPr>
              <w:rFonts w:ascii="Calibri" w:eastAsia="Calibri"/>
            </w:rPr>
          </w:pPr>
          <w:r>
            <w:fldChar w:fldCharType="begin"/>
          </w:r>
          <w:r>
            <w:instrText xml:space="preserve"> HYPERLINK \l "_TOC_250002" </w:instrText>
          </w:r>
          <w:r>
            <w:fldChar w:fldCharType="separate"/>
          </w:r>
          <w:r>
            <w:t>第三十二条</w:t>
          </w:r>
          <w:r>
            <w:rPr>
              <w:spacing w:val="-23"/>
            </w:rPr>
            <w:t xml:space="preserve"> </w:t>
          </w:r>
          <w:r>
            <w:t>诉讼时</w:t>
          </w:r>
          <w:r>
            <w:rPr>
              <w:spacing w:val="-10"/>
            </w:rPr>
            <w:t>效</w:t>
          </w:r>
          <w:r>
            <w:rPr>
              <w:rFonts w:ascii="Times New Roman" w:eastAsia="Times New Roman"/>
            </w:rPr>
            <w:tab/>
          </w:r>
          <w:r>
            <w:rPr>
              <w:rFonts w:ascii="Calibri" w:eastAsia="Calibri"/>
              <w:spacing w:val="-10"/>
            </w:rPr>
            <w:t>8</w:t>
          </w:r>
          <w:r>
            <w:rPr>
              <w:rFonts w:ascii="Calibri" w:eastAsia="Calibri"/>
              <w:spacing w:val="-10"/>
            </w:rPr>
            <w:fldChar w:fldCharType="end"/>
          </w:r>
        </w:p>
        <w:p>
          <w:pPr>
            <w:pStyle w:val="5"/>
            <w:tabs>
              <w:tab w:val="right" w:leader="dot" w:pos="9400"/>
            </w:tabs>
            <w:rPr>
              <w:rFonts w:ascii="Calibri" w:eastAsia="Calibri"/>
            </w:rPr>
          </w:pPr>
          <w:r>
            <w:fldChar w:fldCharType="begin"/>
          </w:r>
          <w:r>
            <w:instrText xml:space="preserve"> HYPERLINK \l "_TOC_250001" </w:instrText>
          </w:r>
          <w:r>
            <w:fldChar w:fldCharType="separate"/>
          </w:r>
          <w:r>
            <w:t>第三十三条</w:t>
          </w:r>
          <w:r>
            <w:rPr>
              <w:spacing w:val="-25"/>
            </w:rPr>
            <w:t xml:space="preserve"> </w:t>
          </w:r>
          <w:r>
            <w:t>联系方式变</w:t>
          </w:r>
          <w:r>
            <w:rPr>
              <w:spacing w:val="-10"/>
            </w:rPr>
            <w:t>更</w:t>
          </w:r>
          <w:r>
            <w:rPr>
              <w:rFonts w:ascii="Times New Roman" w:eastAsia="Times New Roman"/>
            </w:rPr>
            <w:tab/>
          </w:r>
          <w:r>
            <w:rPr>
              <w:rFonts w:ascii="Calibri" w:eastAsia="Calibri"/>
              <w:spacing w:val="-10"/>
            </w:rPr>
            <w:t>8</w:t>
          </w:r>
          <w:r>
            <w:rPr>
              <w:rFonts w:ascii="Calibri" w:eastAsia="Calibri"/>
              <w:spacing w:val="-10"/>
            </w:rPr>
            <w:fldChar w:fldCharType="end"/>
          </w:r>
        </w:p>
        <w:p>
          <w:pPr>
            <w:pStyle w:val="7"/>
            <w:tabs>
              <w:tab w:val="right" w:leader="dot" w:pos="9400"/>
            </w:tabs>
            <w:rPr>
              <w:rFonts w:ascii="Calibri" w:eastAsia="Calibri"/>
            </w:rPr>
          </w:pPr>
          <w:r>
            <w:fldChar w:fldCharType="begin"/>
          </w:r>
          <w:r>
            <w:instrText xml:space="preserve"> HYPERLINK \l "_TOC_250000" </w:instrText>
          </w:r>
          <w:r>
            <w:fldChar w:fldCharType="separate"/>
          </w:r>
          <w:r>
            <w:t>第七部分</w:t>
          </w:r>
          <w:r>
            <w:rPr>
              <w:spacing w:val="16"/>
            </w:rPr>
            <w:t xml:space="preserve">  </w:t>
          </w:r>
          <w:r>
            <w:t>名词释</w:t>
          </w:r>
          <w:r>
            <w:rPr>
              <w:spacing w:val="-10"/>
            </w:rPr>
            <w:t>义</w:t>
          </w:r>
          <w:r>
            <w:rPr>
              <w:rFonts w:ascii="Times New Roman" w:eastAsia="Times New Roman"/>
              <w:b w:val="0"/>
            </w:rPr>
            <w:tab/>
          </w:r>
          <w:r>
            <w:rPr>
              <w:rFonts w:ascii="Calibri" w:eastAsia="Calibri"/>
              <w:spacing w:val="-10"/>
            </w:rPr>
            <w:t>8</w:t>
          </w:r>
          <w:r>
            <w:rPr>
              <w:rFonts w:ascii="Calibri" w:eastAsia="Calibri"/>
              <w:spacing w:val="-10"/>
            </w:rPr>
            <w:fldChar w:fldCharType="end"/>
          </w:r>
        </w:p>
      </w:sdtContent>
    </w:sdt>
    <w:p>
      <w:pPr>
        <w:spacing w:after="0"/>
        <w:rPr>
          <w:rFonts w:ascii="Calibri" w:eastAsia="Calibri"/>
        </w:rPr>
        <w:sectPr>
          <w:pgSz w:w="11910" w:h="16840"/>
          <w:pgMar w:top="1420" w:right="1180" w:bottom="280" w:left="1080" w:header="720" w:footer="720" w:gutter="0"/>
          <w:cols w:space="720" w:num="1"/>
        </w:sectPr>
      </w:pPr>
    </w:p>
    <w:p>
      <w:pPr>
        <w:pStyle w:val="4"/>
        <w:spacing w:before="4"/>
        <w:rPr>
          <w:rFonts w:ascii="Calibri"/>
          <w:b/>
        </w:rPr>
      </w:pPr>
    </w:p>
    <w:p>
      <w:pPr>
        <w:pStyle w:val="2"/>
      </w:pPr>
      <w:bookmarkStart w:id="0" w:name="_TOC_250039"/>
      <w:r>
        <w:t>第一部</w:t>
      </w:r>
      <w:r>
        <w:rPr>
          <w:spacing w:val="-8"/>
        </w:rPr>
        <w:t>分 您</w:t>
      </w:r>
      <w:r>
        <w:t>与我们的合</w:t>
      </w:r>
      <w:bookmarkEnd w:id="0"/>
      <w:r>
        <w:rPr>
          <w:spacing w:val="-10"/>
        </w:rPr>
        <w:t>同</w:t>
      </w:r>
    </w:p>
    <w:p>
      <w:pPr>
        <w:pStyle w:val="4"/>
        <w:spacing w:before="3"/>
        <w:rPr>
          <w:b/>
          <w:sz w:val="38"/>
        </w:rPr>
      </w:pPr>
    </w:p>
    <w:p>
      <w:pPr>
        <w:pStyle w:val="3"/>
      </w:pPr>
      <w:bookmarkStart w:id="1" w:name="_TOC_250038"/>
      <w:r>
        <w:t>第一</w:t>
      </w:r>
      <w:r>
        <w:rPr>
          <w:spacing w:val="-5"/>
        </w:rPr>
        <w:t>条 保</w:t>
      </w:r>
      <w:r>
        <w:t>险合同的</w:t>
      </w:r>
      <w:bookmarkEnd w:id="1"/>
      <w:r>
        <w:rPr>
          <w:spacing w:val="-5"/>
        </w:rPr>
        <w:t>构成</w:t>
      </w:r>
    </w:p>
    <w:p>
      <w:pPr>
        <w:pStyle w:val="4"/>
        <w:spacing w:before="76" w:line="319" w:lineRule="auto"/>
        <w:ind w:left="337" w:right="272" w:firstLine="420"/>
      </w:pPr>
      <w:r>
        <w:rPr>
          <w:spacing w:val="-4"/>
        </w:rPr>
        <w:t>本保险合同（</w:t>
      </w:r>
      <w:r>
        <w:rPr>
          <w:spacing w:val="-11"/>
        </w:rPr>
        <w:t>以下简称“本合同”</w:t>
      </w:r>
      <w:r>
        <w:rPr>
          <w:spacing w:val="-61"/>
        </w:rPr>
        <w:t>）</w:t>
      </w:r>
      <w:r>
        <w:rPr>
          <w:spacing w:val="-4"/>
        </w:rPr>
        <w:t>由保险单、保险条款、投保单、投保提示以及与本合同有关</w:t>
      </w:r>
      <w:r>
        <w:rPr>
          <w:spacing w:val="-2"/>
        </w:rPr>
        <w:t>的投保文件、合法有效的声明、批注和其他书面协议共同构成。</w:t>
      </w:r>
    </w:p>
    <w:p>
      <w:pPr>
        <w:pStyle w:val="4"/>
        <w:spacing w:before="7"/>
        <w:rPr>
          <w:sz w:val="25"/>
        </w:rPr>
      </w:pPr>
    </w:p>
    <w:p>
      <w:pPr>
        <w:pStyle w:val="3"/>
        <w:spacing w:before="1"/>
      </w:pPr>
      <w:bookmarkStart w:id="2" w:name="_TOC_250037"/>
      <w:r>
        <w:t>第二</w:t>
      </w:r>
      <w:r>
        <w:rPr>
          <w:spacing w:val="-3"/>
        </w:rPr>
        <w:t>条 投</w:t>
      </w:r>
      <w:r>
        <w:t>保年</w:t>
      </w:r>
      <w:bookmarkEnd w:id="2"/>
      <w:r>
        <w:rPr>
          <w:spacing w:val="-10"/>
        </w:rPr>
        <w:t>龄</w:t>
      </w:r>
    </w:p>
    <w:p>
      <w:pPr>
        <w:pStyle w:val="4"/>
        <w:spacing w:before="75" w:line="319" w:lineRule="auto"/>
        <w:ind w:left="337" w:right="273" w:firstLine="420"/>
      </w:pPr>
      <w:r>
        <w:t>指投保时被保险人的年龄，投保年龄以</w:t>
      </w:r>
      <w:r>
        <w:rPr>
          <w:b/>
        </w:rPr>
        <w:t>周岁</w:t>
      </w:r>
      <w:r>
        <w:t>（</w:t>
      </w:r>
      <w:r>
        <w:rPr>
          <w:spacing w:val="-9"/>
        </w:rPr>
        <w:t xml:space="preserve">见释义 </w:t>
      </w:r>
      <w:r>
        <w:t>1）</w:t>
      </w:r>
      <w:r>
        <w:rPr>
          <w:spacing w:val="-3"/>
        </w:rPr>
        <w:t xml:space="preserve">计算。本合同接受的投保年龄为 </w:t>
      </w:r>
      <w:r>
        <w:t>0</w:t>
      </w:r>
      <w:r>
        <w:rPr>
          <w:spacing w:val="-18"/>
        </w:rPr>
        <w:t xml:space="preserve"> 周</w:t>
      </w:r>
      <w:r>
        <w:t>岁（</w:t>
      </w:r>
      <w:r>
        <w:rPr>
          <w:spacing w:val="-4"/>
        </w:rPr>
        <w:t xml:space="preserve">指出生满 </w:t>
      </w:r>
      <w:r>
        <w:t>30</w:t>
      </w:r>
      <w:r>
        <w:rPr>
          <w:spacing w:val="-4"/>
        </w:rPr>
        <w:t xml:space="preserve"> 日且已健康出院的婴儿</w:t>
      </w:r>
      <w:r>
        <w:t>）</w:t>
      </w:r>
      <w:r>
        <w:rPr>
          <w:spacing w:val="-10"/>
        </w:rPr>
        <w:t xml:space="preserve">至 </w:t>
      </w:r>
      <w:r>
        <w:t>70</w:t>
      </w:r>
      <w:r>
        <w:rPr>
          <w:spacing w:val="-6"/>
        </w:rPr>
        <w:t xml:space="preserve"> 周岁。</w:t>
      </w:r>
    </w:p>
    <w:p>
      <w:pPr>
        <w:pStyle w:val="4"/>
        <w:spacing w:before="8"/>
        <w:rPr>
          <w:sz w:val="25"/>
        </w:rPr>
      </w:pPr>
    </w:p>
    <w:p>
      <w:pPr>
        <w:pStyle w:val="3"/>
      </w:pPr>
      <w:bookmarkStart w:id="3" w:name="_TOC_250036"/>
      <w:r>
        <w:t>第三</w:t>
      </w:r>
      <w:r>
        <w:rPr>
          <w:spacing w:val="-7"/>
        </w:rPr>
        <w:t>条 保</w:t>
      </w:r>
      <w:r>
        <w:t>险合同的成立与生</w:t>
      </w:r>
      <w:bookmarkEnd w:id="3"/>
      <w:r>
        <w:rPr>
          <w:spacing w:val="-10"/>
        </w:rPr>
        <w:t>效</w:t>
      </w:r>
    </w:p>
    <w:p>
      <w:pPr>
        <w:pStyle w:val="4"/>
        <w:spacing w:before="75"/>
        <w:ind w:left="757"/>
      </w:pPr>
      <w:r>
        <w:rPr>
          <w:spacing w:val="-1"/>
        </w:rPr>
        <w:t>您向我们提出投保申请且我们同意承保，本合同成立。</w:t>
      </w:r>
    </w:p>
    <w:p>
      <w:pPr>
        <w:pStyle w:val="4"/>
        <w:spacing w:before="90" w:line="319" w:lineRule="auto"/>
        <w:ind w:left="337" w:right="275" w:firstLine="420"/>
      </w:pPr>
      <w:r>
        <w:rPr>
          <w:spacing w:val="-2"/>
        </w:rPr>
        <w:t>自本合同成立且签发保险单后，本合同生效。本合同的生效时间以保险单载明的日期为准，我们自本合同生效日的零时起开始承担保险责任。</w:t>
      </w:r>
    </w:p>
    <w:p>
      <w:pPr>
        <w:pStyle w:val="4"/>
        <w:spacing w:before="2" w:line="319" w:lineRule="auto"/>
        <w:ind w:left="337" w:right="273" w:firstLine="419"/>
      </w:pPr>
      <w:r>
        <w:t>本合同的</w:t>
      </w:r>
      <w:r>
        <w:rPr>
          <w:b/>
        </w:rPr>
        <w:t>保险单周年日</w:t>
      </w:r>
      <w:r>
        <w:t>（</w:t>
      </w:r>
      <w:r>
        <w:rPr>
          <w:spacing w:val="-5"/>
        </w:rPr>
        <w:t xml:space="preserve">见释义 </w:t>
      </w:r>
      <w:r>
        <w:t>2</w:t>
      </w:r>
      <w:r>
        <w:rPr>
          <w:spacing w:val="-106"/>
        </w:rPr>
        <w:t>）</w:t>
      </w:r>
      <w:r>
        <w:t>、</w:t>
      </w:r>
      <w:r>
        <w:rPr>
          <w:b/>
        </w:rPr>
        <w:t>保险单年度</w:t>
      </w:r>
      <w:r>
        <w:t>（</w:t>
      </w:r>
      <w:r>
        <w:rPr>
          <w:spacing w:val="-5"/>
        </w:rPr>
        <w:t xml:space="preserve">见释义 </w:t>
      </w:r>
      <w:r>
        <w:t>3</w:t>
      </w:r>
      <w:r>
        <w:rPr>
          <w:spacing w:val="-105"/>
        </w:rPr>
        <w:t>）</w:t>
      </w:r>
      <w:r>
        <w:t>、保险单月份和保险单满期日均</w:t>
      </w:r>
      <w:r>
        <w:rPr>
          <w:spacing w:val="-2"/>
        </w:rPr>
        <w:t>以本合同生效日为基础计算。</w:t>
      </w:r>
    </w:p>
    <w:p>
      <w:pPr>
        <w:pStyle w:val="4"/>
        <w:spacing w:before="8"/>
        <w:rPr>
          <w:sz w:val="25"/>
        </w:rPr>
      </w:pPr>
    </w:p>
    <w:p>
      <w:pPr>
        <w:pStyle w:val="3"/>
      </w:pPr>
      <w:bookmarkStart w:id="4" w:name="_TOC_250035"/>
      <w:r>
        <w:t>第四条</w:t>
      </w:r>
      <w:r>
        <w:rPr>
          <w:spacing w:val="-7"/>
        </w:rPr>
        <w:t xml:space="preserve"> 保</w:t>
      </w:r>
      <w:r>
        <w:t>险期</w:t>
      </w:r>
      <w:bookmarkEnd w:id="4"/>
      <w:r>
        <w:rPr>
          <w:spacing w:val="-10"/>
        </w:rPr>
        <w:t>间</w:t>
      </w:r>
    </w:p>
    <w:p>
      <w:pPr>
        <w:pStyle w:val="4"/>
        <w:spacing w:before="75"/>
        <w:ind w:left="757"/>
      </w:pPr>
      <w:r>
        <w:rPr>
          <w:spacing w:val="-1"/>
        </w:rPr>
        <w:t>本合同的保险期间为被保险人终身，自本合同生效之日的零时起计算。</w:t>
      </w:r>
    </w:p>
    <w:p>
      <w:pPr>
        <w:pStyle w:val="4"/>
        <w:rPr>
          <w:sz w:val="20"/>
        </w:rPr>
      </w:pPr>
    </w:p>
    <w:p>
      <w:pPr>
        <w:pStyle w:val="3"/>
        <w:spacing w:before="160"/>
      </w:pPr>
      <w:bookmarkStart w:id="5" w:name="_TOC_250034"/>
      <w:r>
        <w:t>第五</w:t>
      </w:r>
      <w:r>
        <w:rPr>
          <w:spacing w:val="-4"/>
        </w:rPr>
        <w:t>条 保</w:t>
      </w:r>
      <w:r>
        <w:t>险费的支</w:t>
      </w:r>
      <w:bookmarkEnd w:id="5"/>
      <w:r>
        <w:rPr>
          <w:spacing w:val="-10"/>
        </w:rPr>
        <w:t>付</w:t>
      </w:r>
    </w:p>
    <w:p>
      <w:pPr>
        <w:pStyle w:val="4"/>
        <w:spacing w:before="76"/>
        <w:ind w:left="757"/>
      </w:pPr>
      <w:r>
        <w:rPr>
          <w:spacing w:val="-1"/>
        </w:rPr>
        <w:t>本合同的保险费支付方式为一次性支付且可追加。</w:t>
      </w:r>
    </w:p>
    <w:p>
      <w:pPr>
        <w:pStyle w:val="4"/>
        <w:rPr>
          <w:sz w:val="20"/>
        </w:rPr>
      </w:pPr>
    </w:p>
    <w:p>
      <w:pPr>
        <w:pStyle w:val="3"/>
        <w:spacing w:before="159"/>
      </w:pPr>
      <w:bookmarkStart w:id="6" w:name="_TOC_250033"/>
      <w:r>
        <w:t>第六</w:t>
      </w:r>
      <w:r>
        <w:rPr>
          <w:spacing w:val="-5"/>
        </w:rPr>
        <w:t>条 保</w:t>
      </w:r>
      <w:r>
        <w:t>险合同的</w:t>
      </w:r>
      <w:bookmarkEnd w:id="6"/>
      <w:r>
        <w:rPr>
          <w:spacing w:val="-5"/>
        </w:rPr>
        <w:t>中止</w:t>
      </w:r>
    </w:p>
    <w:p>
      <w:pPr>
        <w:pStyle w:val="4"/>
        <w:spacing w:before="76"/>
        <w:ind w:left="757"/>
      </w:pPr>
      <w:r>
        <w:rPr>
          <w:spacing w:val="-1"/>
        </w:rPr>
        <w:t>发生下列情况之一时，本合同中止：</w:t>
      </w:r>
    </w:p>
    <w:p>
      <w:pPr>
        <w:pStyle w:val="4"/>
        <w:spacing w:before="104" w:line="319" w:lineRule="auto"/>
        <w:ind w:left="757" w:right="1837"/>
      </w:pPr>
      <w:r>
        <w:rPr>
          <w:spacing w:val="-7"/>
        </w:rPr>
        <w:t>一、 保险单借款后，本合同</w:t>
      </w:r>
      <w:r>
        <w:rPr>
          <w:b/>
          <w:spacing w:val="-2"/>
        </w:rPr>
        <w:t>个人账户现金价值净额</w:t>
      </w:r>
      <w:r>
        <w:rPr>
          <w:spacing w:val="-2"/>
        </w:rPr>
        <w:t>（</w:t>
      </w:r>
      <w:r>
        <w:rPr>
          <w:spacing w:val="-11"/>
        </w:rPr>
        <w:t xml:space="preserve">见释义 </w:t>
      </w:r>
      <w:r>
        <w:rPr>
          <w:spacing w:val="-2"/>
        </w:rPr>
        <w:t>4、5）为零时；</w:t>
      </w:r>
      <w:r>
        <w:rPr>
          <w:spacing w:val="-6"/>
        </w:rPr>
        <w:t>二、 本合同条款所列其他中止情形。</w:t>
      </w:r>
    </w:p>
    <w:p>
      <w:pPr>
        <w:pStyle w:val="3"/>
        <w:spacing w:before="2"/>
        <w:ind w:left="759"/>
        <w:rPr>
          <w:rFonts w:hint="eastAsia" w:ascii="黑体" w:eastAsia="黑体"/>
        </w:rPr>
      </w:pPr>
      <w:r>
        <w:rPr>
          <w:rFonts w:hint="eastAsia" w:ascii="黑体" w:eastAsia="黑体"/>
          <w:w w:val="95"/>
        </w:rPr>
        <w:t>特别提示与说明：在本合同效力中止期间，我们不承担保险责任</w:t>
      </w:r>
      <w:r>
        <w:rPr>
          <w:rFonts w:hint="eastAsia" w:ascii="黑体" w:eastAsia="黑体"/>
          <w:spacing w:val="-10"/>
          <w:w w:val="95"/>
        </w:rPr>
        <w:t>。</w:t>
      </w:r>
    </w:p>
    <w:p>
      <w:pPr>
        <w:pStyle w:val="4"/>
        <w:rPr>
          <w:rFonts w:ascii="黑体"/>
          <w:b/>
          <w:sz w:val="20"/>
        </w:rPr>
      </w:pPr>
    </w:p>
    <w:p>
      <w:pPr>
        <w:pStyle w:val="3"/>
        <w:spacing w:before="145"/>
      </w:pPr>
      <w:bookmarkStart w:id="7" w:name="_TOC_250032"/>
      <w:r>
        <w:t>第七</w:t>
      </w:r>
      <w:r>
        <w:rPr>
          <w:spacing w:val="-5"/>
        </w:rPr>
        <w:t>条 保</w:t>
      </w:r>
      <w:r>
        <w:t>险合同的</w:t>
      </w:r>
      <w:bookmarkEnd w:id="7"/>
      <w:r>
        <w:rPr>
          <w:spacing w:val="-5"/>
        </w:rPr>
        <w:t>终止</w:t>
      </w:r>
    </w:p>
    <w:p>
      <w:pPr>
        <w:pStyle w:val="4"/>
        <w:spacing w:before="90" w:line="319" w:lineRule="auto"/>
        <w:ind w:left="757" w:right="5525"/>
      </w:pPr>
      <w:r>
        <w:rPr>
          <w:spacing w:val="-2"/>
        </w:rPr>
        <w:t>发生下列情形之一时，本合同终止：</w:t>
      </w:r>
      <w:r>
        <w:t>一、 被保险人身故；</w:t>
      </w:r>
    </w:p>
    <w:p>
      <w:pPr>
        <w:pStyle w:val="4"/>
        <w:spacing w:before="2"/>
        <w:ind w:left="757"/>
      </w:pPr>
      <w:r>
        <w:rPr>
          <w:spacing w:val="-1"/>
        </w:rPr>
        <w:t>二、 您申请解除本合同；</w:t>
      </w:r>
    </w:p>
    <w:p>
      <w:pPr>
        <w:pStyle w:val="4"/>
        <w:spacing w:before="90" w:line="319" w:lineRule="auto"/>
        <w:ind w:left="757" w:right="169"/>
      </w:pPr>
      <w:r>
        <w:rPr>
          <w:spacing w:val="-8"/>
        </w:rPr>
        <w:t xml:space="preserve">三、 因本合同条款所列情形而效力中止，且在 </w:t>
      </w:r>
      <w:r>
        <w:rPr>
          <w:rFonts w:ascii="Times New Roman" w:eastAsia="Times New Roman"/>
        </w:rPr>
        <w:t>2</w:t>
      </w:r>
      <w:r>
        <w:rPr>
          <w:rFonts w:ascii="Times New Roman" w:eastAsia="Times New Roman"/>
          <w:spacing w:val="-8"/>
        </w:rPr>
        <w:t xml:space="preserve"> </w:t>
      </w:r>
      <w:r>
        <w:t>年内未按【合同效力的恢复】条款办理复效；四、 本合同条款所列其他终止情形。</w:t>
      </w:r>
    </w:p>
    <w:p>
      <w:pPr>
        <w:spacing w:after="0" w:line="319" w:lineRule="auto"/>
        <w:sectPr>
          <w:footerReference r:id="rId5" w:type="default"/>
          <w:pgSz w:w="11910" w:h="16840"/>
          <w:pgMar w:top="1600" w:right="1180" w:bottom="1620" w:left="1080" w:header="0" w:footer="1422" w:gutter="0"/>
          <w:pgNumType w:start="1"/>
          <w:cols w:space="720" w:num="1"/>
        </w:sectPr>
      </w:pPr>
    </w:p>
    <w:p>
      <w:pPr>
        <w:pStyle w:val="2"/>
        <w:spacing w:before="48"/>
      </w:pPr>
      <w:bookmarkStart w:id="8" w:name="_TOC_250031"/>
      <w:r>
        <w:t>第二部</w:t>
      </w:r>
      <w:r>
        <w:rPr>
          <w:spacing w:val="-8"/>
        </w:rPr>
        <w:t>分 我</w:t>
      </w:r>
      <w:r>
        <w:t>们提供的保</w:t>
      </w:r>
      <w:bookmarkEnd w:id="8"/>
      <w:r>
        <w:rPr>
          <w:spacing w:val="-10"/>
        </w:rPr>
        <w:t>障</w:t>
      </w:r>
    </w:p>
    <w:p>
      <w:pPr>
        <w:pStyle w:val="4"/>
        <w:spacing w:before="3"/>
        <w:rPr>
          <w:b/>
          <w:sz w:val="38"/>
        </w:rPr>
      </w:pPr>
    </w:p>
    <w:p>
      <w:pPr>
        <w:pStyle w:val="3"/>
        <w:spacing w:before="1"/>
      </w:pPr>
      <w:bookmarkStart w:id="9" w:name="_TOC_250030"/>
      <w:r>
        <w:t>第八</w:t>
      </w:r>
      <w:r>
        <w:rPr>
          <w:spacing w:val="-3"/>
        </w:rPr>
        <w:t>条 保</w:t>
      </w:r>
      <w:r>
        <w:t>险责</w:t>
      </w:r>
      <w:bookmarkEnd w:id="9"/>
      <w:r>
        <w:rPr>
          <w:spacing w:val="-10"/>
        </w:rPr>
        <w:t>任</w:t>
      </w:r>
    </w:p>
    <w:p>
      <w:pPr>
        <w:pStyle w:val="4"/>
        <w:spacing w:before="75"/>
        <w:ind w:left="757"/>
      </w:pPr>
      <w:r>
        <w:rPr>
          <w:spacing w:val="-1"/>
        </w:rPr>
        <w:t>在本合同有效期内，我们承担下列保险责任：</w:t>
      </w:r>
    </w:p>
    <w:p>
      <w:pPr>
        <w:spacing w:before="90"/>
        <w:ind w:left="621" w:right="0" w:firstLine="0"/>
        <w:jc w:val="left"/>
        <w:rPr>
          <w:rFonts w:hint="eastAsia" w:ascii="黑体" w:eastAsia="黑体"/>
          <w:b/>
          <w:sz w:val="21"/>
        </w:rPr>
      </w:pPr>
      <w:r>
        <w:rPr>
          <w:rFonts w:ascii="黑体" w:eastAsia="黑体"/>
          <w:spacing w:val="-3"/>
          <w:sz w:val="21"/>
        </w:rPr>
        <w:t xml:space="preserve">一、 </w:t>
      </w:r>
      <w:r>
        <w:rPr>
          <w:rFonts w:hint="eastAsia" w:ascii="黑体" w:eastAsia="黑体"/>
          <w:b/>
          <w:sz w:val="21"/>
        </w:rPr>
        <w:t>身故保险</w:t>
      </w:r>
      <w:r>
        <w:rPr>
          <w:rFonts w:hint="eastAsia" w:ascii="黑体" w:eastAsia="黑体"/>
          <w:b/>
          <w:spacing w:val="-10"/>
          <w:sz w:val="21"/>
        </w:rPr>
        <w:t>金</w:t>
      </w:r>
    </w:p>
    <w:p>
      <w:pPr>
        <w:pStyle w:val="4"/>
        <w:spacing w:before="65" w:line="278" w:lineRule="auto"/>
        <w:ind w:left="337" w:right="275" w:firstLine="420"/>
      </w:pPr>
      <w:r>
        <w:rPr>
          <w:spacing w:val="-2"/>
        </w:rPr>
        <w:t>若被保险人身故，我们将按以下两项金额中的较大者向身故保险金受益人给付身故保险金，本合同终止：</w:t>
      </w:r>
    </w:p>
    <w:p>
      <w:pPr>
        <w:pStyle w:val="4"/>
        <w:spacing w:line="269" w:lineRule="exact"/>
        <w:ind w:left="757"/>
      </w:pPr>
      <w:r>
        <w:rPr>
          <w:spacing w:val="-2"/>
        </w:rPr>
        <w:t>1</w:t>
      </w:r>
      <w:r>
        <w:rPr>
          <w:spacing w:val="-3"/>
        </w:rPr>
        <w:t>、被保险人身故时本合同的个人账户价值；</w:t>
      </w:r>
    </w:p>
    <w:p>
      <w:pPr>
        <w:pStyle w:val="4"/>
        <w:spacing w:before="43"/>
        <w:ind w:left="757"/>
      </w:pPr>
      <w:r>
        <w:rPr>
          <w:spacing w:val="-2"/>
        </w:rPr>
        <w:t>2</w:t>
      </w:r>
      <w:r>
        <w:rPr>
          <w:spacing w:val="-3"/>
        </w:rPr>
        <w:t>、被保险人身故时本合同已交保险费与累计部分领取金额的差值。</w:t>
      </w:r>
    </w:p>
    <w:p>
      <w:pPr>
        <w:spacing w:before="67"/>
        <w:ind w:left="621" w:right="0" w:firstLine="0"/>
        <w:jc w:val="left"/>
        <w:rPr>
          <w:rFonts w:hint="eastAsia" w:ascii="黑体" w:eastAsia="黑体"/>
          <w:b/>
          <w:sz w:val="21"/>
        </w:rPr>
      </w:pPr>
      <w:r>
        <w:rPr>
          <w:rFonts w:ascii="黑体" w:eastAsia="黑体"/>
          <w:spacing w:val="-1"/>
          <w:sz w:val="21"/>
        </w:rPr>
        <w:t xml:space="preserve">二、 </w:t>
      </w:r>
      <w:r>
        <w:rPr>
          <w:rFonts w:hint="eastAsia" w:ascii="黑体" w:eastAsia="黑体"/>
          <w:b/>
          <w:sz w:val="21"/>
        </w:rPr>
        <w:t>年</w:t>
      </w:r>
      <w:r>
        <w:rPr>
          <w:rFonts w:hint="eastAsia" w:ascii="黑体" w:eastAsia="黑体"/>
          <w:b/>
          <w:spacing w:val="-10"/>
          <w:sz w:val="21"/>
        </w:rPr>
        <w:t>金</w:t>
      </w:r>
    </w:p>
    <w:p>
      <w:pPr>
        <w:pStyle w:val="4"/>
        <w:spacing w:before="104" w:line="319" w:lineRule="auto"/>
        <w:ind w:left="337" w:right="169" w:firstLine="420"/>
      </w:pPr>
      <w:r>
        <w:rPr>
          <w:spacing w:val="-6"/>
        </w:rPr>
        <w:t xml:space="preserve">本合同生效满 </w:t>
      </w:r>
      <w:r>
        <w:rPr>
          <w:spacing w:val="-2"/>
        </w:rPr>
        <w:t>10</w:t>
      </w:r>
      <w:r>
        <w:rPr>
          <w:spacing w:val="-7"/>
        </w:rPr>
        <w:t xml:space="preserve"> 年后，被保险人可申请年金领取，我们于审核通过日后的每个保险单周年日，</w:t>
      </w:r>
      <w:r>
        <w:t>按照本合同当时个人账户价值的 10%向被保险人给付年金。个人账户价值则按给付的金额作相应的</w:t>
      </w:r>
      <w:r>
        <w:rPr>
          <w:spacing w:val="-4"/>
        </w:rPr>
        <w:t>减少。</w:t>
      </w:r>
    </w:p>
    <w:p>
      <w:pPr>
        <w:spacing w:before="0" w:line="234" w:lineRule="exact"/>
        <w:ind w:left="759" w:right="0" w:firstLine="0"/>
        <w:jc w:val="left"/>
        <w:rPr>
          <w:rFonts w:hint="eastAsia" w:ascii="黑体" w:eastAsia="黑体"/>
          <w:b/>
          <w:sz w:val="21"/>
        </w:rPr>
      </w:pPr>
      <w:r>
        <w:rPr>
          <w:rFonts w:hint="eastAsia" w:ascii="黑体" w:eastAsia="黑体"/>
          <w:b/>
          <w:w w:val="95"/>
          <w:sz w:val="21"/>
        </w:rPr>
        <w:t>在同一保险单年度内，本合同的年金累计领取和部分领取金额之和以本合同已交保险费的</w:t>
      </w:r>
      <w:r>
        <w:rPr>
          <w:rFonts w:hint="eastAsia" w:ascii="黑体" w:eastAsia="黑体"/>
          <w:b/>
          <w:spacing w:val="-5"/>
          <w:w w:val="95"/>
          <w:sz w:val="21"/>
        </w:rPr>
        <w:t>20%</w:t>
      </w:r>
    </w:p>
    <w:p>
      <w:pPr>
        <w:spacing w:before="43"/>
        <w:ind w:left="337" w:right="0" w:firstLine="0"/>
        <w:jc w:val="left"/>
        <w:rPr>
          <w:rFonts w:hint="eastAsia" w:ascii="黑体" w:eastAsia="黑体"/>
          <w:b/>
          <w:sz w:val="21"/>
        </w:rPr>
      </w:pPr>
      <w:r>
        <w:rPr>
          <w:rFonts w:hint="eastAsia" w:ascii="黑体" w:eastAsia="黑体"/>
          <w:b/>
          <w:w w:val="95"/>
          <w:sz w:val="21"/>
        </w:rPr>
        <w:t>为限</w:t>
      </w:r>
      <w:r>
        <w:rPr>
          <w:rFonts w:hint="eastAsia" w:ascii="黑体" w:eastAsia="黑体"/>
          <w:b/>
          <w:spacing w:val="-10"/>
          <w:w w:val="95"/>
          <w:sz w:val="21"/>
        </w:rPr>
        <w:t>。</w:t>
      </w:r>
    </w:p>
    <w:p>
      <w:pPr>
        <w:pStyle w:val="4"/>
        <w:rPr>
          <w:rFonts w:ascii="黑体"/>
          <w:b/>
          <w:sz w:val="20"/>
        </w:rPr>
      </w:pPr>
    </w:p>
    <w:p>
      <w:pPr>
        <w:pStyle w:val="3"/>
        <w:spacing w:before="138"/>
      </w:pPr>
      <w:bookmarkStart w:id="10" w:name="_TOC_250029"/>
      <w:r>
        <w:t>第九</w:t>
      </w:r>
      <w:r>
        <w:rPr>
          <w:spacing w:val="-3"/>
        </w:rPr>
        <w:t>条 责</w:t>
      </w:r>
      <w:r>
        <w:t>任免</w:t>
      </w:r>
      <w:bookmarkEnd w:id="10"/>
      <w:r>
        <w:rPr>
          <w:spacing w:val="-10"/>
        </w:rPr>
        <w:t>除</w:t>
      </w:r>
    </w:p>
    <w:p>
      <w:pPr>
        <w:spacing w:before="70" w:line="280" w:lineRule="auto"/>
        <w:ind w:left="1061" w:right="1625" w:hanging="245"/>
        <w:jc w:val="left"/>
        <w:rPr>
          <w:rFonts w:ascii="黑体" w:eastAsia="黑体"/>
          <w:sz w:val="24"/>
        </w:rPr>
      </w:pPr>
      <w:r>
        <w:rPr>
          <w:rFonts w:ascii="黑体" w:eastAsia="黑体"/>
          <w:spacing w:val="-2"/>
          <w:sz w:val="24"/>
        </w:rPr>
        <w:t>在下列情形下被保险人身故的，我们不承担给付身故保险金的责任：一、您对被保险人的故意杀害、故意伤害；</w:t>
      </w:r>
    </w:p>
    <w:p>
      <w:pPr>
        <w:spacing w:before="0" w:line="306" w:lineRule="exact"/>
        <w:ind w:left="1061" w:right="0" w:firstLine="0"/>
        <w:jc w:val="left"/>
        <w:rPr>
          <w:rFonts w:ascii="黑体" w:eastAsia="黑体"/>
          <w:sz w:val="24"/>
        </w:rPr>
      </w:pPr>
      <w:r>
        <w:rPr>
          <w:rFonts w:ascii="黑体" w:eastAsia="黑体"/>
          <w:spacing w:val="-1"/>
          <w:sz w:val="24"/>
        </w:rPr>
        <w:t>二、被保险人故意犯罪或者抗拒依法采取的刑事强制措施；</w:t>
      </w:r>
    </w:p>
    <w:p>
      <w:pPr>
        <w:spacing w:before="51" w:line="280" w:lineRule="auto"/>
        <w:ind w:left="1061" w:right="275" w:firstLine="0"/>
        <w:jc w:val="left"/>
        <w:rPr>
          <w:rFonts w:ascii="黑体" w:eastAsia="黑体"/>
          <w:sz w:val="24"/>
        </w:rPr>
      </w:pPr>
      <w:r>
        <w:rPr>
          <w:rFonts w:ascii="黑体" w:eastAsia="黑体"/>
          <w:spacing w:val="-7"/>
          <w:sz w:val="24"/>
        </w:rPr>
        <w:t xml:space="preserve">三、被保险人自本合同成立或者合同效力恢复之日起 </w:t>
      </w:r>
      <w:r>
        <w:rPr>
          <w:rFonts w:ascii="黑体" w:eastAsia="黑体"/>
          <w:spacing w:val="-4"/>
          <w:sz w:val="24"/>
        </w:rPr>
        <w:t>2</w:t>
      </w:r>
      <w:r>
        <w:rPr>
          <w:rFonts w:ascii="黑体" w:eastAsia="黑体"/>
          <w:spacing w:val="-12"/>
          <w:sz w:val="24"/>
        </w:rPr>
        <w:t xml:space="preserve"> 年内自杀，但被保险人自</w:t>
      </w:r>
      <w:r>
        <w:rPr>
          <w:rFonts w:ascii="黑体" w:eastAsia="黑体"/>
          <w:spacing w:val="-2"/>
          <w:sz w:val="24"/>
        </w:rPr>
        <w:t>杀时为无民事行为能力人的除外；</w:t>
      </w:r>
    </w:p>
    <w:p>
      <w:pPr>
        <w:spacing w:before="0" w:line="306" w:lineRule="exact"/>
        <w:ind w:left="1061" w:right="0" w:firstLine="0"/>
        <w:jc w:val="left"/>
        <w:rPr>
          <w:rFonts w:ascii="黑体" w:eastAsia="黑体"/>
          <w:sz w:val="24"/>
        </w:rPr>
      </w:pPr>
      <w:r>
        <w:rPr>
          <w:rFonts w:ascii="黑体" w:eastAsia="黑体"/>
          <w:w w:val="95"/>
          <w:sz w:val="24"/>
        </w:rPr>
        <w:t>四、被保险人服用、吸食或注射</w:t>
      </w:r>
      <w:r>
        <w:rPr>
          <w:rFonts w:hint="eastAsia" w:ascii="黑体" w:eastAsia="黑体"/>
          <w:b/>
          <w:w w:val="95"/>
          <w:sz w:val="24"/>
        </w:rPr>
        <w:t>毒品</w:t>
      </w:r>
      <w:r>
        <w:rPr>
          <w:rFonts w:ascii="黑体" w:eastAsia="黑体"/>
          <w:w w:val="95"/>
          <w:sz w:val="24"/>
        </w:rPr>
        <w:t>（见释义</w:t>
      </w:r>
      <w:r>
        <w:rPr>
          <w:rFonts w:ascii="黑体" w:eastAsia="黑体"/>
          <w:spacing w:val="28"/>
          <w:sz w:val="24"/>
        </w:rPr>
        <w:t xml:space="preserve">  </w:t>
      </w:r>
      <w:r>
        <w:rPr>
          <w:rFonts w:ascii="黑体" w:eastAsia="黑体"/>
          <w:spacing w:val="-5"/>
          <w:w w:val="95"/>
          <w:sz w:val="24"/>
        </w:rPr>
        <w:t>6）；</w:t>
      </w:r>
    </w:p>
    <w:p>
      <w:pPr>
        <w:spacing w:before="52" w:line="280" w:lineRule="auto"/>
        <w:ind w:left="1062" w:right="275" w:firstLine="0"/>
        <w:jc w:val="left"/>
        <w:rPr>
          <w:rFonts w:ascii="黑体" w:eastAsia="黑体"/>
          <w:sz w:val="24"/>
        </w:rPr>
      </w:pPr>
      <w:r>
        <w:rPr>
          <w:rFonts w:ascii="黑体" w:eastAsia="黑体"/>
          <w:spacing w:val="-2"/>
          <w:sz w:val="24"/>
        </w:rPr>
        <w:t>五、被保险人</w:t>
      </w:r>
      <w:r>
        <w:rPr>
          <w:rFonts w:hint="eastAsia" w:ascii="黑体" w:eastAsia="黑体"/>
          <w:b/>
          <w:spacing w:val="-2"/>
          <w:sz w:val="24"/>
        </w:rPr>
        <w:t>酒后驾驶</w:t>
      </w:r>
      <w:r>
        <w:rPr>
          <w:rFonts w:ascii="黑体" w:eastAsia="黑体"/>
          <w:spacing w:val="-2"/>
          <w:sz w:val="24"/>
        </w:rPr>
        <w:t>（</w:t>
      </w:r>
      <w:r>
        <w:rPr>
          <w:rFonts w:ascii="黑体" w:eastAsia="黑体"/>
          <w:spacing w:val="-11"/>
          <w:sz w:val="24"/>
        </w:rPr>
        <w:t xml:space="preserve">见释义 </w:t>
      </w:r>
      <w:r>
        <w:rPr>
          <w:rFonts w:ascii="黑体" w:eastAsia="黑体"/>
          <w:spacing w:val="-2"/>
          <w:sz w:val="24"/>
        </w:rPr>
        <w:t>7）、</w:t>
      </w:r>
      <w:r>
        <w:rPr>
          <w:rFonts w:hint="eastAsia" w:ascii="黑体" w:eastAsia="黑体"/>
          <w:b/>
          <w:spacing w:val="-2"/>
          <w:sz w:val="24"/>
        </w:rPr>
        <w:t>无合法有效驾驶证驾驶</w:t>
      </w:r>
      <w:r>
        <w:rPr>
          <w:rFonts w:ascii="黑体" w:eastAsia="黑体"/>
          <w:spacing w:val="-2"/>
          <w:sz w:val="24"/>
        </w:rPr>
        <w:t>（</w:t>
      </w:r>
      <w:r>
        <w:rPr>
          <w:rFonts w:ascii="黑体" w:eastAsia="黑体"/>
          <w:spacing w:val="-11"/>
          <w:sz w:val="24"/>
        </w:rPr>
        <w:t xml:space="preserve">见释义 </w:t>
      </w:r>
      <w:r>
        <w:rPr>
          <w:rFonts w:ascii="黑体" w:eastAsia="黑体"/>
          <w:spacing w:val="-2"/>
          <w:sz w:val="24"/>
        </w:rPr>
        <w:t>8）或驾</w:t>
      </w:r>
      <w:r>
        <w:rPr>
          <w:rFonts w:ascii="黑体" w:eastAsia="黑体"/>
          <w:sz w:val="24"/>
        </w:rPr>
        <w:t>驶</w:t>
      </w:r>
      <w:r>
        <w:rPr>
          <w:rFonts w:hint="eastAsia" w:ascii="黑体" w:eastAsia="黑体"/>
          <w:b/>
          <w:sz w:val="24"/>
        </w:rPr>
        <w:t>无有效行驶证</w:t>
      </w:r>
      <w:r>
        <w:rPr>
          <w:rFonts w:ascii="黑体" w:eastAsia="黑体"/>
          <w:sz w:val="24"/>
        </w:rPr>
        <w:t>（</w:t>
      </w:r>
      <w:r>
        <w:rPr>
          <w:rFonts w:ascii="黑体" w:eastAsia="黑体"/>
          <w:spacing w:val="-6"/>
          <w:sz w:val="24"/>
        </w:rPr>
        <w:t xml:space="preserve">见释义 </w:t>
      </w:r>
      <w:r>
        <w:rPr>
          <w:rFonts w:ascii="黑体" w:eastAsia="黑体"/>
          <w:sz w:val="24"/>
        </w:rPr>
        <w:t>9）的</w:t>
      </w:r>
      <w:r>
        <w:rPr>
          <w:rFonts w:hint="eastAsia" w:ascii="黑体" w:eastAsia="黑体"/>
          <w:b/>
          <w:sz w:val="24"/>
        </w:rPr>
        <w:t>机动车</w:t>
      </w:r>
      <w:r>
        <w:rPr>
          <w:rFonts w:ascii="黑体" w:eastAsia="黑体"/>
          <w:sz w:val="24"/>
        </w:rPr>
        <w:t>（</w:t>
      </w:r>
      <w:r>
        <w:rPr>
          <w:rFonts w:ascii="黑体" w:eastAsia="黑体"/>
          <w:spacing w:val="-6"/>
          <w:sz w:val="24"/>
        </w:rPr>
        <w:t xml:space="preserve">见释义 </w:t>
      </w:r>
      <w:r>
        <w:rPr>
          <w:rFonts w:ascii="黑体" w:eastAsia="黑体"/>
          <w:sz w:val="24"/>
        </w:rPr>
        <w:t>10）；</w:t>
      </w:r>
    </w:p>
    <w:p>
      <w:pPr>
        <w:spacing w:before="0" w:line="280" w:lineRule="auto"/>
        <w:ind w:left="1062" w:right="4260" w:firstLine="0"/>
        <w:jc w:val="left"/>
        <w:rPr>
          <w:rFonts w:ascii="黑体" w:eastAsia="黑体"/>
          <w:sz w:val="24"/>
        </w:rPr>
      </w:pPr>
      <w:r>
        <w:rPr>
          <w:rFonts w:ascii="黑体" w:eastAsia="黑体"/>
          <w:spacing w:val="-2"/>
          <w:sz w:val="24"/>
        </w:rPr>
        <w:t>六、战争、军事冲突、暴乱或武装叛乱；七、核爆炸、核辐射或核污染。</w:t>
      </w:r>
    </w:p>
    <w:p>
      <w:pPr>
        <w:spacing w:before="0" w:line="280" w:lineRule="auto"/>
        <w:ind w:left="337" w:right="275" w:firstLine="480"/>
        <w:jc w:val="left"/>
        <w:rPr>
          <w:rFonts w:ascii="黑体" w:eastAsia="黑体"/>
          <w:sz w:val="24"/>
        </w:rPr>
      </w:pPr>
      <w:r>
        <w:rPr>
          <w:rFonts w:ascii="黑体" w:eastAsia="黑体"/>
          <w:spacing w:val="-6"/>
          <w:sz w:val="24"/>
        </w:rPr>
        <w:t xml:space="preserve">发生上述第一项情形导致被保险人身故的，本合同终止。若您已交足 </w:t>
      </w:r>
      <w:r>
        <w:rPr>
          <w:rFonts w:ascii="黑体" w:eastAsia="黑体"/>
          <w:spacing w:val="-4"/>
          <w:sz w:val="24"/>
        </w:rPr>
        <w:t>2</w:t>
      </w:r>
      <w:r>
        <w:rPr>
          <w:rFonts w:ascii="黑体" w:eastAsia="黑体"/>
          <w:spacing w:val="-13"/>
          <w:sz w:val="24"/>
        </w:rPr>
        <w:t xml:space="preserve"> 年以上保险</w:t>
      </w:r>
      <w:r>
        <w:rPr>
          <w:rFonts w:ascii="黑体" w:eastAsia="黑体"/>
          <w:spacing w:val="-2"/>
          <w:sz w:val="24"/>
        </w:rPr>
        <w:t>费的，我们向身故保险金受益人退还本合同终止时的个人账户现金价值。</w:t>
      </w:r>
    </w:p>
    <w:p>
      <w:pPr>
        <w:spacing w:before="0" w:line="280" w:lineRule="auto"/>
        <w:ind w:left="337" w:right="275" w:firstLine="480"/>
        <w:jc w:val="left"/>
        <w:rPr>
          <w:rFonts w:ascii="黑体" w:eastAsia="黑体"/>
          <w:sz w:val="24"/>
        </w:rPr>
      </w:pPr>
      <w:r>
        <w:rPr>
          <w:rFonts w:ascii="黑体" w:eastAsia="黑体"/>
          <w:spacing w:val="-4"/>
          <w:sz w:val="24"/>
        </w:rPr>
        <w:t>发生上述第二至七项情形导致被保险人身故的，本合同终止。我们将于收到下列证</w:t>
      </w:r>
      <w:r>
        <w:rPr>
          <w:rFonts w:ascii="黑体" w:eastAsia="黑体"/>
          <w:spacing w:val="-5"/>
          <w:sz w:val="24"/>
        </w:rPr>
        <w:t xml:space="preserve">明材料后 </w:t>
      </w:r>
      <w:r>
        <w:rPr>
          <w:rFonts w:ascii="黑体" w:eastAsia="黑体"/>
          <w:sz w:val="24"/>
        </w:rPr>
        <w:t>30</w:t>
      </w:r>
      <w:r>
        <w:rPr>
          <w:rFonts w:ascii="黑体" w:eastAsia="黑体"/>
          <w:spacing w:val="-5"/>
          <w:sz w:val="24"/>
        </w:rPr>
        <w:t xml:space="preserve"> 日内向您退还本合同终止时的个人账户现金价值。</w:t>
      </w:r>
    </w:p>
    <w:p>
      <w:pPr>
        <w:pStyle w:val="12"/>
        <w:numPr>
          <w:ilvl w:val="0"/>
          <w:numId w:val="1"/>
        </w:numPr>
        <w:tabs>
          <w:tab w:val="left" w:pos="1065"/>
        </w:tabs>
        <w:spacing w:before="0" w:after="0" w:line="306" w:lineRule="exact"/>
        <w:ind w:left="1064" w:right="0" w:hanging="308"/>
        <w:jc w:val="left"/>
        <w:rPr>
          <w:rFonts w:ascii="黑体" w:eastAsia="黑体"/>
          <w:sz w:val="24"/>
        </w:rPr>
      </w:pPr>
      <w:r>
        <w:rPr>
          <w:rFonts w:ascii="黑体" w:eastAsia="黑体"/>
          <w:spacing w:val="-3"/>
          <w:sz w:val="24"/>
        </w:rPr>
        <w:t>本合同；</w:t>
      </w:r>
    </w:p>
    <w:p>
      <w:pPr>
        <w:pStyle w:val="12"/>
        <w:numPr>
          <w:ilvl w:val="0"/>
          <w:numId w:val="1"/>
        </w:numPr>
        <w:tabs>
          <w:tab w:val="left" w:pos="1065"/>
        </w:tabs>
        <w:spacing w:before="45" w:after="0" w:line="240" w:lineRule="auto"/>
        <w:ind w:left="1064" w:right="0" w:hanging="308"/>
        <w:jc w:val="left"/>
        <w:rPr>
          <w:rFonts w:ascii="黑体" w:eastAsia="黑体"/>
          <w:sz w:val="24"/>
        </w:rPr>
      </w:pPr>
      <w:r>
        <w:rPr>
          <w:rFonts w:ascii="黑体" w:eastAsia="黑体"/>
          <w:w w:val="95"/>
          <w:sz w:val="24"/>
        </w:rPr>
        <w:t>您的</w:t>
      </w:r>
      <w:r>
        <w:rPr>
          <w:rFonts w:hint="eastAsia" w:ascii="黑体" w:eastAsia="黑体"/>
          <w:b/>
          <w:w w:val="95"/>
          <w:sz w:val="24"/>
        </w:rPr>
        <w:t>有效身份证件</w:t>
      </w:r>
      <w:r>
        <w:rPr>
          <w:rFonts w:ascii="黑体" w:eastAsia="黑体"/>
          <w:w w:val="95"/>
          <w:sz w:val="24"/>
        </w:rPr>
        <w:t>（见释义</w:t>
      </w:r>
      <w:r>
        <w:rPr>
          <w:rFonts w:ascii="黑体" w:eastAsia="黑体"/>
          <w:spacing w:val="32"/>
          <w:w w:val="150"/>
          <w:sz w:val="24"/>
        </w:rPr>
        <w:t xml:space="preserve"> </w:t>
      </w:r>
      <w:r>
        <w:rPr>
          <w:rFonts w:ascii="黑体" w:eastAsia="黑体"/>
          <w:w w:val="95"/>
          <w:sz w:val="24"/>
        </w:rPr>
        <w:t>11）</w:t>
      </w:r>
      <w:r>
        <w:rPr>
          <w:rFonts w:ascii="黑体" w:eastAsia="黑体"/>
          <w:spacing w:val="-10"/>
          <w:w w:val="95"/>
          <w:sz w:val="24"/>
        </w:rPr>
        <w:t>。</w:t>
      </w:r>
    </w:p>
    <w:p>
      <w:pPr>
        <w:pStyle w:val="4"/>
        <w:rPr>
          <w:rFonts w:ascii="黑体"/>
          <w:sz w:val="24"/>
        </w:rPr>
      </w:pPr>
    </w:p>
    <w:p>
      <w:pPr>
        <w:pStyle w:val="2"/>
        <w:spacing w:before="162"/>
        <w:ind w:left="60"/>
      </w:pPr>
      <w:bookmarkStart w:id="11" w:name="_TOC_250028"/>
      <w:r>
        <w:rPr>
          <w:w w:val="95"/>
        </w:rPr>
        <w:t>第三部分</w:t>
      </w:r>
      <w:r>
        <w:rPr>
          <w:spacing w:val="70"/>
          <w:w w:val="150"/>
        </w:rPr>
        <w:t xml:space="preserve"> </w:t>
      </w:r>
      <w:r>
        <w:rPr>
          <w:w w:val="95"/>
        </w:rPr>
        <w:t>如何申请领取保险</w:t>
      </w:r>
      <w:bookmarkEnd w:id="11"/>
      <w:r>
        <w:rPr>
          <w:spacing w:val="-10"/>
          <w:w w:val="95"/>
        </w:rPr>
        <w:t>金</w:t>
      </w:r>
    </w:p>
    <w:p>
      <w:pPr>
        <w:pStyle w:val="4"/>
        <w:spacing w:before="3"/>
        <w:rPr>
          <w:b/>
          <w:sz w:val="38"/>
        </w:rPr>
      </w:pPr>
    </w:p>
    <w:p>
      <w:pPr>
        <w:pStyle w:val="3"/>
      </w:pPr>
      <w:bookmarkStart w:id="12" w:name="_TOC_250027"/>
      <w:r>
        <w:t>第十</w:t>
      </w:r>
      <w:r>
        <w:rPr>
          <w:spacing w:val="-5"/>
        </w:rPr>
        <w:t>条 保</w:t>
      </w:r>
      <w:r>
        <w:t>险事故通</w:t>
      </w:r>
      <w:bookmarkEnd w:id="12"/>
      <w:r>
        <w:rPr>
          <w:spacing w:val="-10"/>
        </w:rPr>
        <w:t>知</w:t>
      </w:r>
    </w:p>
    <w:p>
      <w:pPr>
        <w:pStyle w:val="4"/>
        <w:spacing w:before="76"/>
        <w:ind w:left="757"/>
      </w:pPr>
      <w:r>
        <w:rPr>
          <w:spacing w:val="-6"/>
        </w:rPr>
        <w:t xml:space="preserve">您、被保险人或受益人应于知道保险事故发生之日起 </w:t>
      </w:r>
      <w:r>
        <w:rPr>
          <w:spacing w:val="-4"/>
        </w:rPr>
        <w:t>10</w:t>
      </w:r>
      <w:r>
        <w:rPr>
          <w:spacing w:val="-10"/>
        </w:rPr>
        <w:t xml:space="preserve"> 日内通知我们，如果您、被保险人或受</w:t>
      </w:r>
    </w:p>
    <w:p>
      <w:pPr>
        <w:spacing w:after="0"/>
        <w:sectPr>
          <w:pgSz w:w="11910" w:h="16840"/>
          <w:pgMar w:top="1500" w:right="1180" w:bottom="1620" w:left="1080" w:header="0" w:footer="1422" w:gutter="0"/>
          <w:cols w:space="720" w:num="1"/>
        </w:sectPr>
      </w:pPr>
    </w:p>
    <w:p>
      <w:pPr>
        <w:pStyle w:val="4"/>
        <w:spacing w:before="47" w:line="319" w:lineRule="auto"/>
        <w:ind w:left="337" w:right="275"/>
        <w:jc w:val="both"/>
      </w:pPr>
      <w:r>
        <w:rPr>
          <w:spacing w:val="-2"/>
        </w:rPr>
        <w:t>益人故意或者因重大过失未及时通知，致使保险事故的性质、原因、损失程度等难以确定的，我们对无法确定的部分，不承担给付保险金的责任，但我们通过其他途径已经及时知道或者应当及时知</w:t>
      </w:r>
      <w:r>
        <w:rPr>
          <w:spacing w:val="-1"/>
        </w:rPr>
        <w:t>道保险事故发生，或者虽未及时通知但不影响我们确定保险事故的性质、原因、损失程度的除外。</w:t>
      </w:r>
    </w:p>
    <w:p>
      <w:pPr>
        <w:pStyle w:val="4"/>
        <w:spacing w:before="9"/>
        <w:rPr>
          <w:sz w:val="25"/>
        </w:rPr>
      </w:pPr>
    </w:p>
    <w:p>
      <w:pPr>
        <w:pStyle w:val="3"/>
      </w:pPr>
      <w:bookmarkStart w:id="13" w:name="_TOC_250026"/>
      <w:r>
        <w:t>第十一</w:t>
      </w:r>
      <w:r>
        <w:rPr>
          <w:spacing w:val="-4"/>
        </w:rPr>
        <w:t>条 保</w:t>
      </w:r>
      <w:r>
        <w:t>险金申</w:t>
      </w:r>
      <w:bookmarkEnd w:id="13"/>
      <w:r>
        <w:rPr>
          <w:spacing w:val="-10"/>
        </w:rPr>
        <w:t>请</w:t>
      </w:r>
    </w:p>
    <w:p>
      <w:pPr>
        <w:pStyle w:val="4"/>
        <w:spacing w:before="90" w:line="319" w:lineRule="auto"/>
        <w:ind w:left="757" w:right="5105"/>
      </w:pPr>
      <w:r>
        <w:rPr>
          <w:spacing w:val="-2"/>
        </w:rPr>
        <w:t>在申请保险金时，应依据下列方式办理：一、身故保险金的申请</w:t>
      </w:r>
    </w:p>
    <w:p>
      <w:pPr>
        <w:pStyle w:val="4"/>
        <w:spacing w:before="1" w:line="319" w:lineRule="auto"/>
        <w:ind w:left="337" w:right="275" w:firstLine="420"/>
      </w:pPr>
      <w:r>
        <w:rPr>
          <w:spacing w:val="-2"/>
        </w:rPr>
        <w:t>若被保险人身故，身故保险金申请人需填写保险金给付申请书，并凭下列证明材料向我们申请</w:t>
      </w:r>
      <w:r>
        <w:rPr>
          <w:spacing w:val="-4"/>
        </w:rPr>
        <w:t>理赔：</w:t>
      </w:r>
    </w:p>
    <w:p>
      <w:pPr>
        <w:pStyle w:val="12"/>
        <w:numPr>
          <w:ilvl w:val="0"/>
          <w:numId w:val="2"/>
        </w:numPr>
        <w:tabs>
          <w:tab w:val="left" w:pos="1026"/>
        </w:tabs>
        <w:spacing w:before="2" w:after="0" w:line="240" w:lineRule="auto"/>
        <w:ind w:left="1026" w:right="0" w:hanging="269"/>
        <w:jc w:val="left"/>
        <w:rPr>
          <w:sz w:val="21"/>
        </w:rPr>
      </w:pPr>
      <w:r>
        <w:rPr>
          <w:spacing w:val="-3"/>
          <w:sz w:val="21"/>
        </w:rPr>
        <w:t>本合同；</w:t>
      </w:r>
    </w:p>
    <w:p>
      <w:pPr>
        <w:pStyle w:val="12"/>
        <w:numPr>
          <w:ilvl w:val="0"/>
          <w:numId w:val="2"/>
        </w:numPr>
        <w:tabs>
          <w:tab w:val="left" w:pos="1026"/>
        </w:tabs>
        <w:spacing w:before="90" w:after="0" w:line="319" w:lineRule="auto"/>
        <w:ind w:left="1024" w:right="273" w:hanging="268"/>
        <w:jc w:val="left"/>
        <w:rPr>
          <w:sz w:val="21"/>
        </w:rPr>
      </w:pPr>
      <w:r>
        <w:rPr>
          <w:spacing w:val="-2"/>
          <w:sz w:val="21"/>
        </w:rPr>
        <w:t>身故保险金申请人的有效身份证件。当身故保险金申请人为监护人时，还须提供能够证明监护关系的证明文件；</w:t>
      </w:r>
    </w:p>
    <w:p>
      <w:pPr>
        <w:pStyle w:val="12"/>
        <w:numPr>
          <w:ilvl w:val="0"/>
          <w:numId w:val="2"/>
        </w:numPr>
        <w:tabs>
          <w:tab w:val="left" w:pos="1026"/>
        </w:tabs>
        <w:spacing w:before="2" w:after="0" w:line="319" w:lineRule="auto"/>
        <w:ind w:left="1024" w:right="274" w:hanging="268"/>
        <w:jc w:val="left"/>
        <w:rPr>
          <w:sz w:val="21"/>
        </w:rPr>
      </w:pPr>
      <w:r>
        <w:rPr>
          <w:spacing w:val="-6"/>
          <w:sz w:val="21"/>
        </w:rPr>
        <w:t>国家卫生行政部门认定的医疗机构、公安部门或其他相关机构出具的被保险人的死亡证明或</w:t>
      </w:r>
      <w:r>
        <w:rPr>
          <w:spacing w:val="-2"/>
          <w:sz w:val="21"/>
        </w:rPr>
        <w:t>人民法院出具的宣告死亡的裁判文书；</w:t>
      </w:r>
    </w:p>
    <w:p>
      <w:pPr>
        <w:pStyle w:val="12"/>
        <w:numPr>
          <w:ilvl w:val="0"/>
          <w:numId w:val="2"/>
        </w:numPr>
        <w:tabs>
          <w:tab w:val="left" w:pos="1026"/>
        </w:tabs>
        <w:spacing w:before="2" w:after="0" w:line="319" w:lineRule="auto"/>
        <w:ind w:left="757" w:right="2526" w:firstLine="0"/>
        <w:jc w:val="left"/>
        <w:rPr>
          <w:sz w:val="21"/>
        </w:rPr>
      </w:pPr>
      <w:r>
        <w:rPr>
          <w:spacing w:val="-2"/>
          <w:sz w:val="21"/>
        </w:rPr>
        <w:t>所能提供的与确认保险事故的性质、原因有关的其他证明和资料。二、年金的申请</w:t>
      </w:r>
    </w:p>
    <w:p>
      <w:pPr>
        <w:pStyle w:val="4"/>
        <w:spacing w:before="2"/>
        <w:ind w:left="757"/>
      </w:pPr>
      <w:r>
        <w:rPr>
          <w:spacing w:val="-15"/>
        </w:rPr>
        <w:t>在申请年金时，年金申请人需填写保险金给付申请书，并凭下列证明材料向我们申请给付年金：</w:t>
      </w:r>
    </w:p>
    <w:p>
      <w:pPr>
        <w:pStyle w:val="12"/>
        <w:numPr>
          <w:ilvl w:val="0"/>
          <w:numId w:val="3"/>
        </w:numPr>
        <w:tabs>
          <w:tab w:val="left" w:pos="1073"/>
        </w:tabs>
        <w:spacing w:before="90" w:after="0" w:line="240" w:lineRule="auto"/>
        <w:ind w:left="1072" w:right="0" w:hanging="316"/>
        <w:jc w:val="left"/>
        <w:rPr>
          <w:sz w:val="21"/>
        </w:rPr>
      </w:pPr>
      <w:r>
        <w:rPr>
          <w:spacing w:val="-3"/>
          <w:sz w:val="21"/>
        </w:rPr>
        <w:t>本合同；</w:t>
      </w:r>
    </w:p>
    <w:p>
      <w:pPr>
        <w:pStyle w:val="12"/>
        <w:numPr>
          <w:ilvl w:val="0"/>
          <w:numId w:val="3"/>
        </w:numPr>
        <w:tabs>
          <w:tab w:val="left" w:pos="1073"/>
        </w:tabs>
        <w:spacing w:before="89" w:after="0" w:line="319" w:lineRule="auto"/>
        <w:ind w:left="1045" w:right="273" w:hanging="288"/>
        <w:jc w:val="left"/>
        <w:rPr>
          <w:sz w:val="21"/>
        </w:rPr>
      </w:pPr>
      <w:r>
        <w:rPr>
          <w:spacing w:val="-8"/>
          <w:sz w:val="21"/>
        </w:rPr>
        <w:t>年金申请人的有效身份证件。当年金申请人为监护人时，还须提供能够证明监护关系的证明</w:t>
      </w:r>
      <w:r>
        <w:rPr>
          <w:spacing w:val="-4"/>
          <w:sz w:val="21"/>
        </w:rPr>
        <w:t>文件；</w:t>
      </w:r>
    </w:p>
    <w:p>
      <w:pPr>
        <w:pStyle w:val="12"/>
        <w:numPr>
          <w:ilvl w:val="0"/>
          <w:numId w:val="3"/>
        </w:numPr>
        <w:tabs>
          <w:tab w:val="left" w:pos="969"/>
        </w:tabs>
        <w:spacing w:before="2" w:after="0" w:line="240" w:lineRule="auto"/>
        <w:ind w:left="968" w:right="0" w:hanging="212"/>
        <w:jc w:val="left"/>
        <w:rPr>
          <w:sz w:val="21"/>
        </w:rPr>
      </w:pPr>
      <w:r>
        <w:rPr>
          <w:spacing w:val="-3"/>
          <w:sz w:val="21"/>
        </w:rPr>
        <w:t>被保险人的有效身份证件。</w:t>
      </w:r>
    </w:p>
    <w:p>
      <w:pPr>
        <w:pStyle w:val="4"/>
        <w:spacing w:before="90"/>
        <w:ind w:left="757"/>
      </w:pPr>
      <w:r>
        <w:rPr>
          <w:spacing w:val="-1"/>
        </w:rPr>
        <w:t>保险金作为被保险人遗产时，必须提供可证明合法继承权的相关权利文件。</w:t>
      </w:r>
    </w:p>
    <w:p>
      <w:pPr>
        <w:pStyle w:val="4"/>
        <w:spacing w:before="90"/>
        <w:ind w:left="757"/>
      </w:pPr>
      <w:r>
        <w:rPr>
          <w:spacing w:val="-1"/>
        </w:rPr>
        <w:t>以上证明和资料不完整的，我们将及时一次性通知申请人补充提供有关证明和资料。</w:t>
      </w:r>
    </w:p>
    <w:p>
      <w:pPr>
        <w:pStyle w:val="4"/>
        <w:rPr>
          <w:sz w:val="20"/>
        </w:rPr>
      </w:pPr>
    </w:p>
    <w:p>
      <w:pPr>
        <w:pStyle w:val="3"/>
        <w:spacing w:before="145"/>
      </w:pPr>
      <w:bookmarkStart w:id="14" w:name="_TOC_250025"/>
      <w:r>
        <w:t>第十二</w:t>
      </w:r>
      <w:r>
        <w:rPr>
          <w:spacing w:val="-4"/>
        </w:rPr>
        <w:t>条 保</w:t>
      </w:r>
      <w:r>
        <w:t>险金给</w:t>
      </w:r>
      <w:bookmarkEnd w:id="14"/>
      <w:r>
        <w:rPr>
          <w:spacing w:val="-10"/>
        </w:rPr>
        <w:t>付</w:t>
      </w:r>
    </w:p>
    <w:p>
      <w:pPr>
        <w:pStyle w:val="4"/>
        <w:spacing w:before="90"/>
        <w:ind w:right="273"/>
        <w:jc w:val="right"/>
      </w:pPr>
      <w:r>
        <w:rPr>
          <w:spacing w:val="-2"/>
        </w:rPr>
        <w:t xml:space="preserve">我们在收到保险金给付申请书及本合同约定的证明和资料后，将在 </w:t>
      </w:r>
      <w:r>
        <w:t>3</w:t>
      </w:r>
      <w:r>
        <w:rPr>
          <w:spacing w:val="-9"/>
        </w:rPr>
        <w:t xml:space="preserve"> 日内作出核定；情形复杂</w:t>
      </w:r>
    </w:p>
    <w:p>
      <w:pPr>
        <w:pStyle w:val="4"/>
        <w:spacing w:before="90"/>
        <w:ind w:right="273"/>
        <w:jc w:val="right"/>
      </w:pPr>
      <w:r>
        <w:rPr>
          <w:spacing w:val="-9"/>
        </w:rPr>
        <w:t xml:space="preserve">的，在 </w:t>
      </w:r>
      <w:r>
        <w:rPr>
          <w:spacing w:val="-4"/>
        </w:rPr>
        <w:t>30</w:t>
      </w:r>
      <w:r>
        <w:rPr>
          <w:spacing w:val="-9"/>
        </w:rPr>
        <w:t xml:space="preserve"> 日内作出核定。对属于保险责任的，我们在与被保险人或者受益人达成给付保险金的协议</w:t>
      </w:r>
    </w:p>
    <w:p>
      <w:pPr>
        <w:pStyle w:val="4"/>
        <w:spacing w:before="89"/>
        <w:ind w:left="337"/>
      </w:pPr>
      <w:r>
        <w:rPr>
          <w:spacing w:val="-22"/>
        </w:rPr>
        <w:t xml:space="preserve">后 </w:t>
      </w:r>
      <w:r>
        <w:rPr>
          <w:spacing w:val="-2"/>
        </w:rPr>
        <w:t>10</w:t>
      </w:r>
      <w:r>
        <w:rPr>
          <w:spacing w:val="-9"/>
        </w:rPr>
        <w:t xml:space="preserve"> 日内，履行给付保险金义务。</w:t>
      </w:r>
    </w:p>
    <w:p>
      <w:pPr>
        <w:pStyle w:val="4"/>
        <w:spacing w:before="90" w:line="319" w:lineRule="auto"/>
        <w:ind w:left="337" w:right="275" w:firstLine="420"/>
      </w:pPr>
      <w:r>
        <w:rPr>
          <w:spacing w:val="-2"/>
        </w:rPr>
        <w:t>我们未及时履行前款约定义务的，除支付保险金外，应当赔偿被保险人或者受益人因此受到的</w:t>
      </w:r>
      <w:r>
        <w:rPr>
          <w:spacing w:val="-4"/>
        </w:rPr>
        <w:t>损失。</w:t>
      </w:r>
    </w:p>
    <w:p>
      <w:pPr>
        <w:pStyle w:val="4"/>
        <w:spacing w:before="2" w:line="319" w:lineRule="auto"/>
        <w:ind w:left="337" w:right="273" w:firstLine="420"/>
      </w:pPr>
      <w:r>
        <w:rPr>
          <w:spacing w:val="-3"/>
        </w:rPr>
        <w:t xml:space="preserve">对不属于保险责任的，我们自作出核定之日起 </w:t>
      </w:r>
      <w:r>
        <w:t>3</w:t>
      </w:r>
      <w:r>
        <w:rPr>
          <w:spacing w:val="-8"/>
        </w:rPr>
        <w:t xml:space="preserve"> 日内向被保险人或者受益人发出拒绝给付保险</w:t>
      </w:r>
      <w:r>
        <w:rPr>
          <w:spacing w:val="-2"/>
        </w:rPr>
        <w:t>金通知书并说明理由。</w:t>
      </w:r>
    </w:p>
    <w:p>
      <w:pPr>
        <w:pStyle w:val="4"/>
        <w:spacing w:before="2" w:line="319" w:lineRule="auto"/>
        <w:ind w:left="337" w:right="275" w:firstLine="420"/>
        <w:jc w:val="both"/>
      </w:pPr>
      <w:r>
        <w:rPr>
          <w:spacing w:val="-4"/>
        </w:rPr>
        <w:t xml:space="preserve">我们在收到保险金给付申请书及有关证明和资料之日起 </w:t>
      </w:r>
      <w:r>
        <w:rPr>
          <w:spacing w:val="-1"/>
        </w:rPr>
        <w:t>6</w:t>
      </w:r>
      <w:r>
        <w:t>0</w:t>
      </w:r>
      <w:r>
        <w:rPr>
          <w:spacing w:val="-14"/>
        </w:rPr>
        <w:t xml:space="preserve"> 日内，对给付保险金的数额不能确定</w:t>
      </w:r>
      <w:r>
        <w:rPr>
          <w:spacing w:val="-15"/>
        </w:rPr>
        <w:t>的，根据已有证明和资料按可以确定的数额先予支付，我们最终确定给付保险金的数额后，给付相</w:t>
      </w:r>
      <w:r>
        <w:t>应的差额。</w:t>
      </w:r>
    </w:p>
    <w:p>
      <w:pPr>
        <w:pStyle w:val="4"/>
        <w:spacing w:before="7"/>
        <w:rPr>
          <w:sz w:val="24"/>
        </w:rPr>
      </w:pPr>
    </w:p>
    <w:p>
      <w:pPr>
        <w:pStyle w:val="3"/>
      </w:pPr>
      <w:bookmarkStart w:id="15" w:name="_TOC_250024"/>
      <w:r>
        <w:t>第十三</w:t>
      </w:r>
      <w:r>
        <w:rPr>
          <w:spacing w:val="-4"/>
        </w:rPr>
        <w:t>条 欠</w:t>
      </w:r>
      <w:r>
        <w:t>款的扣</w:t>
      </w:r>
      <w:bookmarkEnd w:id="15"/>
      <w:r>
        <w:rPr>
          <w:spacing w:val="-10"/>
        </w:rPr>
        <w:t>除</w:t>
      </w:r>
    </w:p>
    <w:p>
      <w:pPr>
        <w:pStyle w:val="4"/>
        <w:spacing w:before="90"/>
        <w:ind w:left="757"/>
      </w:pPr>
      <w:r>
        <w:rPr>
          <w:spacing w:val="-1"/>
        </w:rPr>
        <w:t>我们在给付各项保险金或退还个人账户现金价值时，如果您有尚未偿还的保险单借款，我们将</w:t>
      </w:r>
    </w:p>
    <w:p>
      <w:pPr>
        <w:spacing w:after="0"/>
        <w:sectPr>
          <w:pgSz w:w="11910" w:h="16840"/>
          <w:pgMar w:top="1400" w:right="1180" w:bottom="1620" w:left="1080" w:header="0" w:footer="1422" w:gutter="0"/>
          <w:cols w:space="720" w:num="1"/>
        </w:sectPr>
      </w:pPr>
    </w:p>
    <w:p>
      <w:pPr>
        <w:pStyle w:val="4"/>
        <w:spacing w:before="41"/>
        <w:ind w:left="337"/>
      </w:pPr>
      <w:r>
        <w:rPr>
          <w:spacing w:val="-1"/>
        </w:rPr>
        <w:t>在扣除上述欠款及利息后再行给付。</w:t>
      </w:r>
    </w:p>
    <w:p>
      <w:pPr>
        <w:pStyle w:val="4"/>
        <w:rPr>
          <w:sz w:val="20"/>
        </w:rPr>
      </w:pPr>
    </w:p>
    <w:p>
      <w:pPr>
        <w:pStyle w:val="4"/>
        <w:spacing w:before="2"/>
        <w:rPr>
          <w:sz w:val="18"/>
        </w:rPr>
      </w:pPr>
    </w:p>
    <w:p>
      <w:pPr>
        <w:pStyle w:val="2"/>
      </w:pPr>
      <w:bookmarkStart w:id="16" w:name="_TOC_250023"/>
      <w:r>
        <w:t>第四部</w:t>
      </w:r>
      <w:r>
        <w:rPr>
          <w:spacing w:val="-9"/>
        </w:rPr>
        <w:t>分 保</w:t>
      </w:r>
      <w:r>
        <w:t>险费和个人账</w:t>
      </w:r>
      <w:bookmarkEnd w:id="16"/>
      <w:r>
        <w:rPr>
          <w:spacing w:val="-10"/>
        </w:rPr>
        <w:t>户</w:t>
      </w:r>
    </w:p>
    <w:p>
      <w:pPr>
        <w:pStyle w:val="4"/>
        <w:spacing w:before="3"/>
        <w:rPr>
          <w:b/>
          <w:sz w:val="38"/>
        </w:rPr>
      </w:pPr>
    </w:p>
    <w:p>
      <w:pPr>
        <w:pStyle w:val="3"/>
        <w:spacing w:before="1"/>
      </w:pPr>
      <w:bookmarkStart w:id="17" w:name="_TOC_250022"/>
      <w:r>
        <w:t>第十四</w:t>
      </w:r>
      <w:r>
        <w:rPr>
          <w:spacing w:val="-5"/>
        </w:rPr>
        <w:t>条 保</w:t>
      </w:r>
      <w:r>
        <w:t>险费的分</w:t>
      </w:r>
      <w:bookmarkEnd w:id="17"/>
      <w:r>
        <w:rPr>
          <w:spacing w:val="-10"/>
        </w:rPr>
        <w:t>配</w:t>
      </w:r>
    </w:p>
    <w:p>
      <w:pPr>
        <w:pStyle w:val="4"/>
        <w:spacing w:before="65"/>
        <w:ind w:left="757"/>
      </w:pPr>
      <w:r>
        <w:rPr>
          <w:spacing w:val="-2"/>
        </w:rPr>
        <w:t>您支付的保险费，我们按 1%</w:t>
      </w:r>
      <w:r>
        <w:rPr>
          <w:spacing w:val="-3"/>
        </w:rPr>
        <w:t>的比例扣除初始费用后进入您的个人账户。</w:t>
      </w:r>
    </w:p>
    <w:p>
      <w:pPr>
        <w:pStyle w:val="4"/>
        <w:spacing w:before="7"/>
        <w:rPr>
          <w:sz w:val="29"/>
        </w:rPr>
      </w:pPr>
    </w:p>
    <w:p>
      <w:pPr>
        <w:pStyle w:val="3"/>
        <w:spacing w:before="1"/>
      </w:pPr>
      <w:bookmarkStart w:id="18" w:name="_TOC_250021"/>
      <w:r>
        <w:t>第十五</w:t>
      </w:r>
      <w:r>
        <w:rPr>
          <w:spacing w:val="-4"/>
        </w:rPr>
        <w:t>条 个</w:t>
      </w:r>
      <w:r>
        <w:t>人账</w:t>
      </w:r>
      <w:bookmarkEnd w:id="18"/>
      <w:r>
        <w:rPr>
          <w:spacing w:val="-10"/>
        </w:rPr>
        <w:t>户</w:t>
      </w:r>
    </w:p>
    <w:p>
      <w:pPr>
        <w:pStyle w:val="4"/>
        <w:spacing w:before="65"/>
        <w:ind w:left="757"/>
      </w:pPr>
      <w:r>
        <w:rPr>
          <w:spacing w:val="-1"/>
        </w:rPr>
        <w:t>个人账户是我们为履行本合同的保险责任及明确您的权益而为您设立的账户。</w:t>
      </w:r>
    </w:p>
    <w:p>
      <w:pPr>
        <w:pStyle w:val="4"/>
        <w:spacing w:before="8"/>
        <w:rPr>
          <w:sz w:val="29"/>
        </w:rPr>
      </w:pPr>
    </w:p>
    <w:p>
      <w:pPr>
        <w:pStyle w:val="3"/>
      </w:pPr>
      <w:bookmarkStart w:id="19" w:name="_TOC_250020"/>
      <w:r>
        <w:t>第十六</w:t>
      </w:r>
      <w:r>
        <w:rPr>
          <w:spacing w:val="-6"/>
        </w:rPr>
        <w:t>条 个</w:t>
      </w:r>
      <w:r>
        <w:t>人账户价值的计</w:t>
      </w:r>
      <w:bookmarkEnd w:id="19"/>
      <w:r>
        <w:rPr>
          <w:spacing w:val="-10"/>
        </w:rPr>
        <w:t>算</w:t>
      </w:r>
    </w:p>
    <w:p>
      <w:pPr>
        <w:pStyle w:val="4"/>
        <w:spacing w:before="65"/>
        <w:ind w:left="757"/>
      </w:pPr>
      <w:r>
        <w:rPr>
          <w:spacing w:val="-3"/>
        </w:rPr>
        <w:t>在本合同有效期内，个人账户价值按如下方法计算：</w:t>
      </w:r>
    </w:p>
    <w:p>
      <w:pPr>
        <w:pStyle w:val="4"/>
        <w:spacing w:before="43" w:line="278" w:lineRule="auto"/>
        <w:ind w:left="904" w:right="169"/>
        <w:jc w:val="both"/>
      </w:pPr>
      <w:r>
        <w:rPr>
          <w:spacing w:val="-6"/>
        </w:rPr>
        <w:t>一、本合同生效时，个人账户价值等于您投保时一次性支付的保险费减去初始费用后的金额；</w:t>
      </w:r>
      <w:r>
        <w:rPr>
          <w:spacing w:val="-5"/>
        </w:rPr>
        <w:t>二、您每次追加保险费后，个人账户价值按该次追加的保险费扣除初始费用后作相应的增加；</w:t>
      </w:r>
      <w:r>
        <w:t>三、我们在每月的</w:t>
      </w:r>
      <w:r>
        <w:rPr>
          <w:b/>
        </w:rPr>
        <w:t>结算日</w:t>
      </w:r>
      <w:r>
        <w:t xml:space="preserve">（见释义 </w:t>
      </w:r>
      <w:r>
        <w:rPr>
          <w:spacing w:val="26"/>
        </w:rPr>
        <w:t>12</w:t>
      </w:r>
      <w:r>
        <w:rPr>
          <w:spacing w:val="-79"/>
        </w:rPr>
        <w:t>）</w:t>
      </w:r>
      <w:r>
        <w:rPr>
          <w:spacing w:val="27"/>
        </w:rPr>
        <w:t>（</w:t>
      </w:r>
      <w:r>
        <w:t>或保单终止时）按照日结算利率结算利息，个人账</w:t>
      </w:r>
    </w:p>
    <w:p>
      <w:pPr>
        <w:pStyle w:val="4"/>
        <w:spacing w:line="269" w:lineRule="exact"/>
        <w:ind w:left="1336"/>
      </w:pPr>
      <w:r>
        <w:rPr>
          <w:spacing w:val="-1"/>
        </w:rPr>
        <w:t>户价值按结算的利息额作相应的增加；</w:t>
      </w:r>
    </w:p>
    <w:p>
      <w:pPr>
        <w:pStyle w:val="4"/>
        <w:spacing w:before="43" w:line="278" w:lineRule="auto"/>
        <w:ind w:left="904" w:right="1795"/>
      </w:pPr>
      <w:r>
        <w:t>四、您部分领取个人账户价值后，个人账户价值按领取额度作相应的减少；五、给付年金后，个人账户价值按我们所给付的年金数额作相应的减少； 六、我们给付身故保险金后，个人账户价值为零，本合同终止；</w:t>
      </w:r>
    </w:p>
    <w:p>
      <w:pPr>
        <w:pStyle w:val="4"/>
        <w:spacing w:line="269" w:lineRule="exact"/>
        <w:ind w:left="757"/>
      </w:pPr>
      <w:r>
        <w:rPr>
          <w:spacing w:val="-1"/>
        </w:rPr>
        <w:t>在本合同有效期内，我们每年会向您提供一份保险单状态报告。</w:t>
      </w:r>
    </w:p>
    <w:p>
      <w:pPr>
        <w:pStyle w:val="4"/>
        <w:spacing w:before="8"/>
        <w:rPr>
          <w:sz w:val="29"/>
        </w:rPr>
      </w:pPr>
    </w:p>
    <w:p>
      <w:pPr>
        <w:pStyle w:val="3"/>
      </w:pPr>
      <w:bookmarkStart w:id="20" w:name="_TOC_250019"/>
      <w:r>
        <w:t>第十七</w:t>
      </w:r>
      <w:r>
        <w:rPr>
          <w:spacing w:val="-4"/>
        </w:rPr>
        <w:t>条 结</w:t>
      </w:r>
      <w:r>
        <w:t>算利</w:t>
      </w:r>
      <w:bookmarkEnd w:id="20"/>
      <w:r>
        <w:rPr>
          <w:spacing w:val="-10"/>
        </w:rPr>
        <w:t>率</w:t>
      </w:r>
    </w:p>
    <w:p>
      <w:pPr>
        <w:pStyle w:val="4"/>
        <w:spacing w:before="65" w:line="278" w:lineRule="auto"/>
        <w:ind w:left="337" w:right="169" w:firstLine="423"/>
      </w:pPr>
      <w:r>
        <w:rPr>
          <w:spacing w:val="-2"/>
        </w:rPr>
        <w:t>我们根据个人账户的实际投资状况确定并公布各月的结算利率。每月公布的结算利率为年结算</w:t>
      </w:r>
      <w:r>
        <w:t>利率（按复利折算为日结算利率进行个人账户价值的结算</w:t>
      </w:r>
      <w:r>
        <w:rPr>
          <w:spacing w:val="-106"/>
        </w:rPr>
        <w:t>）</w:t>
      </w:r>
      <w:r>
        <w:rPr>
          <w:spacing w:val="-1"/>
        </w:rPr>
        <w:t>，公布的结算利率保证不低于保证利率。</w:t>
      </w:r>
    </w:p>
    <w:p>
      <w:pPr>
        <w:pStyle w:val="4"/>
        <w:spacing w:before="3"/>
        <w:rPr>
          <w:sz w:val="26"/>
        </w:rPr>
      </w:pPr>
    </w:p>
    <w:p>
      <w:pPr>
        <w:pStyle w:val="3"/>
      </w:pPr>
      <w:bookmarkStart w:id="21" w:name="_TOC_250018"/>
      <w:r>
        <w:t>第十八</w:t>
      </w:r>
      <w:r>
        <w:rPr>
          <w:spacing w:val="-4"/>
        </w:rPr>
        <w:t>条 保</w:t>
      </w:r>
      <w:r>
        <w:t>证利</w:t>
      </w:r>
      <w:bookmarkEnd w:id="21"/>
      <w:r>
        <w:rPr>
          <w:spacing w:val="-10"/>
        </w:rPr>
        <w:t>率</w:t>
      </w:r>
    </w:p>
    <w:p>
      <w:pPr>
        <w:pStyle w:val="4"/>
        <w:spacing w:before="66"/>
        <w:ind w:left="757"/>
      </w:pPr>
      <w:r>
        <w:rPr>
          <w:spacing w:val="-3"/>
        </w:rPr>
        <w:t xml:space="preserve">自本合同生效日起，每个保险单年度的保证利率为 </w:t>
      </w:r>
      <w:r>
        <w:t>2.50%</w:t>
      </w:r>
      <w:r>
        <w:rPr>
          <w:spacing w:val="-10"/>
        </w:rPr>
        <w:t>。</w:t>
      </w:r>
    </w:p>
    <w:p>
      <w:pPr>
        <w:pStyle w:val="4"/>
        <w:rPr>
          <w:sz w:val="20"/>
        </w:rPr>
      </w:pPr>
    </w:p>
    <w:p>
      <w:pPr>
        <w:pStyle w:val="4"/>
        <w:spacing w:before="5"/>
        <w:rPr>
          <w:sz w:val="16"/>
        </w:rPr>
      </w:pPr>
    </w:p>
    <w:p>
      <w:pPr>
        <w:pStyle w:val="2"/>
        <w:ind w:left="60"/>
      </w:pPr>
      <w:bookmarkStart w:id="22" w:name="_TOC_250017"/>
      <w:r>
        <w:rPr>
          <w:w w:val="95"/>
        </w:rPr>
        <w:t>第五部分</w:t>
      </w:r>
      <w:r>
        <w:rPr>
          <w:spacing w:val="70"/>
          <w:w w:val="150"/>
        </w:rPr>
        <w:t xml:space="preserve"> </w:t>
      </w:r>
      <w:r>
        <w:rPr>
          <w:w w:val="95"/>
        </w:rPr>
        <w:t>您所拥有的重要权</w:t>
      </w:r>
      <w:bookmarkEnd w:id="22"/>
      <w:r>
        <w:rPr>
          <w:spacing w:val="-10"/>
          <w:w w:val="95"/>
        </w:rPr>
        <w:t>益</w:t>
      </w:r>
    </w:p>
    <w:p>
      <w:pPr>
        <w:pStyle w:val="4"/>
        <w:spacing w:before="3"/>
        <w:rPr>
          <w:b/>
          <w:sz w:val="38"/>
        </w:rPr>
      </w:pPr>
    </w:p>
    <w:p>
      <w:pPr>
        <w:pStyle w:val="3"/>
      </w:pPr>
      <w:bookmarkStart w:id="23" w:name="_TOC_250016"/>
      <w:r>
        <w:rPr>
          <w:w w:val="95"/>
        </w:rPr>
        <w:t>第十九条</w:t>
      </w:r>
      <w:r>
        <w:rPr>
          <w:spacing w:val="74"/>
          <w:w w:val="150"/>
        </w:rPr>
        <w:t xml:space="preserve"> </w:t>
      </w:r>
      <w:r>
        <w:rPr>
          <w:w w:val="95"/>
        </w:rPr>
        <w:t>个人账户价值的部分领</w:t>
      </w:r>
      <w:bookmarkEnd w:id="23"/>
      <w:r>
        <w:rPr>
          <w:spacing w:val="-10"/>
          <w:w w:val="95"/>
        </w:rPr>
        <w:t>取</w:t>
      </w:r>
    </w:p>
    <w:p>
      <w:pPr>
        <w:pStyle w:val="4"/>
        <w:spacing w:before="90"/>
        <w:ind w:left="757"/>
      </w:pPr>
      <w:r>
        <w:rPr>
          <w:spacing w:val="-1"/>
        </w:rPr>
        <w:t>在本合同有效期内且犹豫期满后，您可随时申请并经我们同意后提取部分个人账户价值。</w:t>
      </w:r>
    </w:p>
    <w:p>
      <w:pPr>
        <w:pStyle w:val="3"/>
        <w:spacing w:before="89" w:line="319" w:lineRule="auto"/>
        <w:ind w:right="274" w:firstLine="422"/>
        <w:rPr>
          <w:rFonts w:hint="eastAsia" w:ascii="黑体" w:eastAsia="黑体"/>
        </w:rPr>
      </w:pPr>
      <w:r>
        <w:rPr>
          <w:rFonts w:hint="eastAsia" w:ascii="黑体" w:eastAsia="黑体"/>
          <w:w w:val="99"/>
        </w:rPr>
        <w:t>在同一保险单年度内，本合同的累计年金领取和部分领取金额之和以本合同已交保险费的</w:t>
      </w:r>
      <w:r>
        <w:rPr>
          <w:rFonts w:hint="eastAsia" w:ascii="黑体" w:eastAsia="黑体"/>
          <w:spacing w:val="-36"/>
        </w:rPr>
        <w:t xml:space="preserve"> </w:t>
      </w:r>
      <w:r>
        <w:rPr>
          <w:rFonts w:hint="eastAsia" w:ascii="黑体" w:eastAsia="黑体"/>
          <w:spacing w:val="-3"/>
          <w:w w:val="99"/>
        </w:rPr>
        <w:t>20%</w:t>
      </w:r>
      <w:r>
        <w:rPr>
          <w:rFonts w:hint="eastAsia" w:ascii="黑体" w:eastAsia="黑体"/>
          <w:spacing w:val="1"/>
          <w:w w:val="99"/>
        </w:rPr>
        <w:t>为限。</w:t>
      </w:r>
    </w:p>
    <w:p>
      <w:pPr>
        <w:pStyle w:val="4"/>
        <w:spacing w:before="2"/>
        <w:ind w:left="757"/>
      </w:pPr>
      <w:r>
        <w:rPr>
          <w:spacing w:val="-1"/>
        </w:rPr>
        <w:t>一、个人账户价值的部分领取费用：</w:t>
      </w:r>
    </w:p>
    <w:p>
      <w:pPr>
        <w:pStyle w:val="4"/>
        <w:spacing w:before="90" w:line="319" w:lineRule="auto"/>
        <w:ind w:left="337" w:right="275" w:firstLine="420"/>
      </w:pPr>
      <w:r>
        <w:pict>
          <v:shape id="docshape2" o:spid="_x0000_s1026" o:spt="202" type="#_x0000_t202" style="position:absolute;left:0pt;margin-left:186.85pt;margin-top:38.15pt;height:37.35pt;width:221.6pt;mso-position-horizontal-relative:page;z-index:251659264;mso-width-relative:page;mso-height-relative:page;" filled="f" stroked="f" coordsize="21600,21600">
            <v:path/>
            <v:fill on="f" focussize="0,0"/>
            <v:stroke on="f" joinstyle="miter"/>
            <v:imagedata o:title=""/>
            <o:lock v:ext="edit"/>
            <v:textbox inset="0mm,0mm,0mm,0mm">
              <w:txbxContent>
                <w:tbl>
                  <w:tblPr>
                    <w:tblStyle w:val="9"/>
                    <w:tblW w:w="45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79"/>
                    <w:gridCol w:w="22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2279" w:type="dxa"/>
                        <w:tcBorders>
                          <w:top w:val="single" w:color="auto" w:sz="4" w:space="0"/>
                          <w:left w:val="single" w:color="auto" w:sz="4" w:space="0"/>
                        </w:tcBorders>
                      </w:tcPr>
                      <w:p>
                        <w:pPr>
                          <w:pStyle w:val="13"/>
                          <w:spacing w:before="44"/>
                          <w:ind w:left="564" w:right="556"/>
                          <w:rPr>
                            <w:sz w:val="21"/>
                          </w:rPr>
                        </w:pPr>
                        <w:r>
                          <w:rPr>
                            <w:spacing w:val="-2"/>
                            <w:sz w:val="21"/>
                          </w:rPr>
                          <w:t>保险单年度</w:t>
                        </w:r>
                      </w:p>
                    </w:tc>
                    <w:tc>
                      <w:tcPr>
                        <w:tcW w:w="2280" w:type="dxa"/>
                        <w:tcBorders>
                          <w:top w:val="single" w:color="auto" w:sz="4" w:space="0"/>
                          <w:right w:val="single" w:color="auto" w:sz="4" w:space="0"/>
                        </w:tcBorders>
                      </w:tcPr>
                      <w:p>
                        <w:pPr>
                          <w:pStyle w:val="13"/>
                          <w:spacing w:before="44"/>
                          <w:ind w:left="253" w:right="244"/>
                          <w:rPr>
                            <w:sz w:val="21"/>
                          </w:rPr>
                        </w:pPr>
                        <w:r>
                          <w:rPr>
                            <w:spacing w:val="-2"/>
                            <w:sz w:val="21"/>
                          </w:rPr>
                          <w:t>部分领取费用比例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2279" w:type="dxa"/>
                        <w:tcBorders>
                          <w:left w:val="single" w:color="auto" w:sz="4" w:space="0"/>
                          <w:bottom w:val="nil"/>
                        </w:tcBorders>
                      </w:tcPr>
                      <w:p>
                        <w:pPr>
                          <w:pStyle w:val="13"/>
                          <w:spacing w:before="44"/>
                          <w:ind w:left="564" w:right="556"/>
                          <w:rPr>
                            <w:sz w:val="21"/>
                          </w:rPr>
                        </w:pPr>
                        <w:r>
                          <w:rPr>
                            <w:spacing w:val="-4"/>
                            <w:sz w:val="21"/>
                          </w:rPr>
                          <w:t>第一年</w:t>
                        </w:r>
                      </w:p>
                    </w:tc>
                    <w:tc>
                      <w:tcPr>
                        <w:tcW w:w="2280" w:type="dxa"/>
                        <w:tcBorders>
                          <w:bottom w:val="nil"/>
                          <w:right w:val="single" w:color="auto" w:sz="4" w:space="0"/>
                        </w:tcBorders>
                      </w:tcPr>
                      <w:p>
                        <w:pPr>
                          <w:pStyle w:val="13"/>
                          <w:spacing w:before="44"/>
                          <w:ind w:left="253" w:right="243"/>
                          <w:rPr>
                            <w:sz w:val="21"/>
                          </w:rPr>
                        </w:pPr>
                        <w:r>
                          <w:rPr>
                            <w:spacing w:val="-5"/>
                            <w:sz w:val="21"/>
                          </w:rPr>
                          <w:t>5%</w:t>
                        </w:r>
                      </w:p>
                    </w:tc>
                  </w:tr>
                </w:tbl>
                <w:p>
                  <w:pPr>
                    <w:pStyle w:val="4"/>
                  </w:pPr>
                </w:p>
              </w:txbxContent>
            </v:textbox>
          </v:shape>
        </w:pict>
      </w:r>
      <w:r>
        <w:rPr>
          <w:spacing w:val="-2"/>
        </w:rPr>
        <w:t>您在前五个保险单年度内申请部分领取个人账户价值的，我们将按您领取的个人账户价值的如下比例收取部分领取费用：</w:t>
      </w:r>
    </w:p>
    <w:p>
      <w:pPr>
        <w:spacing w:after="0" w:line="319" w:lineRule="auto"/>
        <w:sectPr>
          <w:pgSz w:w="11910" w:h="16840"/>
          <w:pgMar w:top="1420" w:right="1180" w:bottom="1620" w:left="1080" w:header="0" w:footer="1422" w:gutter="0"/>
          <w:cols w:space="720" w:num="1"/>
        </w:sectPr>
      </w:pPr>
    </w:p>
    <w:tbl>
      <w:tblPr>
        <w:tblStyle w:val="9"/>
        <w:tblW w:w="0" w:type="auto"/>
        <w:tblInd w:w="26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0"/>
        <w:gridCol w:w="22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2210" w:type="dxa"/>
          </w:tcPr>
          <w:p>
            <w:pPr>
              <w:pStyle w:val="13"/>
              <w:ind w:right="778"/>
              <w:jc w:val="right"/>
              <w:rPr>
                <w:sz w:val="21"/>
              </w:rPr>
            </w:pPr>
            <w:r>
              <w:rPr>
                <w:spacing w:val="-4"/>
                <w:sz w:val="21"/>
              </w:rPr>
              <w:t>第二年</w:t>
            </w:r>
          </w:p>
        </w:tc>
        <w:tc>
          <w:tcPr>
            <w:tcW w:w="2211" w:type="dxa"/>
          </w:tcPr>
          <w:p>
            <w:pPr>
              <w:pStyle w:val="13"/>
              <w:ind w:right="988"/>
              <w:jc w:val="right"/>
              <w:rPr>
                <w:sz w:val="21"/>
              </w:rPr>
            </w:pPr>
            <w:r>
              <w:rPr>
                <w:spacing w:val="-5"/>
                <w:sz w:val="21"/>
              </w:rPr>
              <w:t>4</w:t>
            </w:r>
            <w:bookmarkStart w:id="40" w:name="_GoBack"/>
            <w:bookmarkEnd w:id="40"/>
            <w:r>
              <w:rPr>
                <w:spacing w:val="-5"/>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2210" w:type="dxa"/>
          </w:tcPr>
          <w:p>
            <w:pPr>
              <w:pStyle w:val="13"/>
              <w:ind w:right="778"/>
              <w:jc w:val="right"/>
              <w:rPr>
                <w:sz w:val="21"/>
              </w:rPr>
            </w:pPr>
            <w:r>
              <w:rPr>
                <w:spacing w:val="-4"/>
                <w:sz w:val="21"/>
              </w:rPr>
              <w:t>第三年</w:t>
            </w:r>
          </w:p>
        </w:tc>
        <w:tc>
          <w:tcPr>
            <w:tcW w:w="2211" w:type="dxa"/>
          </w:tcPr>
          <w:p>
            <w:pPr>
              <w:pStyle w:val="13"/>
              <w:ind w:right="988"/>
              <w:jc w:val="right"/>
              <w:rPr>
                <w:sz w:val="21"/>
              </w:rPr>
            </w:pPr>
            <w:r>
              <w:rPr>
                <w:spacing w:val="-5"/>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210" w:type="dxa"/>
          </w:tcPr>
          <w:p>
            <w:pPr>
              <w:pStyle w:val="13"/>
              <w:spacing w:before="42"/>
              <w:ind w:right="778"/>
              <w:jc w:val="right"/>
              <w:rPr>
                <w:sz w:val="21"/>
              </w:rPr>
            </w:pPr>
            <w:r>
              <w:rPr>
                <w:spacing w:val="-4"/>
                <w:sz w:val="21"/>
              </w:rPr>
              <w:t>第四年</w:t>
            </w:r>
          </w:p>
        </w:tc>
        <w:tc>
          <w:tcPr>
            <w:tcW w:w="2211" w:type="dxa"/>
          </w:tcPr>
          <w:p>
            <w:pPr>
              <w:pStyle w:val="13"/>
              <w:spacing w:before="42"/>
              <w:ind w:right="988"/>
              <w:jc w:val="right"/>
              <w:rPr>
                <w:sz w:val="21"/>
              </w:rPr>
            </w:pPr>
            <w:r>
              <w:rPr>
                <w:spacing w:val="-5"/>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2210" w:type="dxa"/>
          </w:tcPr>
          <w:p>
            <w:pPr>
              <w:pStyle w:val="13"/>
              <w:ind w:right="778"/>
              <w:jc w:val="right"/>
              <w:rPr>
                <w:sz w:val="21"/>
              </w:rPr>
            </w:pPr>
            <w:r>
              <w:rPr>
                <w:spacing w:val="-4"/>
                <w:sz w:val="21"/>
              </w:rPr>
              <w:t>第五年</w:t>
            </w:r>
          </w:p>
        </w:tc>
        <w:tc>
          <w:tcPr>
            <w:tcW w:w="2211" w:type="dxa"/>
          </w:tcPr>
          <w:p>
            <w:pPr>
              <w:pStyle w:val="13"/>
              <w:ind w:right="988"/>
              <w:jc w:val="right"/>
              <w:rPr>
                <w:sz w:val="21"/>
              </w:rPr>
            </w:pPr>
            <w:r>
              <w:rPr>
                <w:spacing w:val="-5"/>
                <w:sz w:val="21"/>
              </w:rPr>
              <w:t>1%</w:t>
            </w:r>
          </w:p>
        </w:tc>
      </w:tr>
    </w:tbl>
    <w:p>
      <w:pPr>
        <w:pStyle w:val="4"/>
        <w:spacing w:before="43" w:line="319" w:lineRule="auto"/>
        <w:ind w:left="757" w:right="2986"/>
      </w:pPr>
      <w:r>
        <w:rPr>
          <w:spacing w:val="-2"/>
        </w:rPr>
        <w:t>二、您要求部分领取个人账户价值时，应提供下列证明和资料： 1、本合同；</w:t>
      </w:r>
    </w:p>
    <w:p>
      <w:pPr>
        <w:pStyle w:val="4"/>
        <w:spacing w:before="2"/>
        <w:ind w:left="757"/>
      </w:pPr>
      <w:r>
        <w:rPr>
          <w:spacing w:val="-2"/>
        </w:rPr>
        <w:t>2</w:t>
      </w:r>
      <w:r>
        <w:rPr>
          <w:spacing w:val="-3"/>
        </w:rPr>
        <w:t>、部分领取申请书；</w:t>
      </w:r>
    </w:p>
    <w:p>
      <w:pPr>
        <w:pStyle w:val="4"/>
        <w:spacing w:before="89"/>
        <w:ind w:left="757"/>
      </w:pPr>
      <w:r>
        <w:rPr>
          <w:spacing w:val="-2"/>
        </w:rPr>
        <w:t>3</w:t>
      </w:r>
      <w:r>
        <w:rPr>
          <w:spacing w:val="-3"/>
        </w:rPr>
        <w:t>、您的有效身份证件。</w:t>
      </w:r>
    </w:p>
    <w:p>
      <w:pPr>
        <w:pStyle w:val="4"/>
        <w:spacing w:before="90"/>
        <w:ind w:left="757"/>
      </w:pPr>
      <w:r>
        <w:rPr>
          <w:spacing w:val="-1"/>
        </w:rPr>
        <w:t>在保险单借款期间，我们不允许进行部分领取。</w:t>
      </w:r>
    </w:p>
    <w:p>
      <w:pPr>
        <w:pStyle w:val="4"/>
        <w:rPr>
          <w:sz w:val="20"/>
        </w:rPr>
      </w:pPr>
    </w:p>
    <w:p>
      <w:pPr>
        <w:pStyle w:val="3"/>
        <w:spacing w:before="146"/>
      </w:pPr>
      <w:bookmarkStart w:id="24" w:name="_TOC_250015"/>
      <w:r>
        <w:t>第二十</w:t>
      </w:r>
      <w:r>
        <w:rPr>
          <w:spacing w:val="-4"/>
        </w:rPr>
        <w:t>条 保</w:t>
      </w:r>
      <w:r>
        <w:t>险单借</w:t>
      </w:r>
      <w:bookmarkEnd w:id="24"/>
      <w:r>
        <w:rPr>
          <w:spacing w:val="-10"/>
        </w:rPr>
        <w:t>款</w:t>
      </w:r>
    </w:p>
    <w:p>
      <w:pPr>
        <w:pStyle w:val="4"/>
        <w:spacing w:before="89" w:line="319" w:lineRule="auto"/>
        <w:ind w:left="337" w:right="275" w:firstLine="420"/>
      </w:pPr>
      <w:r>
        <w:rPr>
          <w:spacing w:val="-2"/>
        </w:rPr>
        <w:t>在本合同有效期内且在犹豫期满后，您可以书面形式向我们申请保险单借款，您提供的借款材</w:t>
      </w:r>
      <w:r>
        <w:rPr>
          <w:spacing w:val="-1"/>
        </w:rPr>
        <w:t>料及借款额度经我们同意后，向您发放保险单借款。累积借款金额最高不得超过本合同及附加合同</w:t>
      </w:r>
    </w:p>
    <w:p>
      <w:pPr>
        <w:pStyle w:val="4"/>
        <w:spacing w:before="2" w:line="319" w:lineRule="auto"/>
        <w:ind w:left="337" w:right="273"/>
      </w:pPr>
      <w:r>
        <w:t>（如果有附加合同）</w:t>
      </w:r>
      <w:r>
        <w:rPr>
          <w:spacing w:val="-3"/>
        </w:rPr>
        <w:t xml:space="preserve">当时个人账户现金价值净额的 </w:t>
      </w:r>
      <w:r>
        <w:t>80%，</w:t>
      </w:r>
      <w:r>
        <w:rPr>
          <w:spacing w:val="-4"/>
        </w:rPr>
        <w:t xml:space="preserve">每次借款期限最长为 </w:t>
      </w:r>
      <w:r>
        <w:t>180</w:t>
      </w:r>
      <w:r>
        <w:rPr>
          <w:spacing w:val="-6"/>
        </w:rPr>
        <w:t xml:space="preserve"> 天。在保险单借</w:t>
      </w:r>
      <w:r>
        <w:rPr>
          <w:spacing w:val="-2"/>
        </w:rPr>
        <w:t>款期间，将按我们公布的保险单借款利率计算保险单借款利息。</w:t>
      </w:r>
    </w:p>
    <w:p>
      <w:pPr>
        <w:pStyle w:val="3"/>
        <w:spacing w:before="2"/>
        <w:ind w:left="759"/>
        <w:rPr>
          <w:rFonts w:hint="eastAsia" w:ascii="黑体" w:eastAsia="黑体"/>
        </w:rPr>
      </w:pPr>
      <w:r>
        <w:rPr>
          <w:rFonts w:hint="eastAsia" w:ascii="黑体" w:eastAsia="黑体"/>
          <w:w w:val="95"/>
        </w:rPr>
        <w:t>特别提示与说明：当本合同个人账户现金价值净额为零时，本合同效力中止</w:t>
      </w:r>
      <w:r>
        <w:rPr>
          <w:rFonts w:hint="eastAsia" w:ascii="黑体" w:eastAsia="黑体"/>
          <w:spacing w:val="-10"/>
          <w:w w:val="95"/>
        </w:rPr>
        <w:t>。</w:t>
      </w:r>
    </w:p>
    <w:p>
      <w:pPr>
        <w:pStyle w:val="4"/>
        <w:rPr>
          <w:rFonts w:ascii="黑体"/>
          <w:b/>
          <w:sz w:val="20"/>
        </w:rPr>
      </w:pPr>
    </w:p>
    <w:p>
      <w:pPr>
        <w:pStyle w:val="3"/>
        <w:spacing w:before="146"/>
      </w:pPr>
      <w:bookmarkStart w:id="25" w:name="_TOC_250014"/>
      <w:r>
        <w:t>第二十一条</w:t>
      </w:r>
      <w:r>
        <w:rPr>
          <w:spacing w:val="-9"/>
        </w:rPr>
        <w:t xml:space="preserve"> 合</w:t>
      </w:r>
      <w:r>
        <w:t>同效力的</w:t>
      </w:r>
      <w:bookmarkEnd w:id="25"/>
      <w:r>
        <w:rPr>
          <w:spacing w:val="-5"/>
        </w:rPr>
        <w:t>恢复</w:t>
      </w:r>
    </w:p>
    <w:p>
      <w:pPr>
        <w:pStyle w:val="4"/>
        <w:spacing w:before="89" w:line="319" w:lineRule="auto"/>
        <w:ind w:left="337" w:right="274" w:firstLine="420"/>
      </w:pPr>
      <w:r>
        <w:rPr>
          <w:spacing w:val="-5"/>
        </w:rPr>
        <w:t xml:space="preserve">本合同效力中止后 </w:t>
      </w:r>
      <w:r>
        <w:rPr>
          <w:spacing w:val="-2"/>
        </w:rPr>
        <w:t>2</w:t>
      </w:r>
      <w:r>
        <w:rPr>
          <w:spacing w:val="-7"/>
        </w:rPr>
        <w:t xml:space="preserve"> 年内，您可以申请恢复合同效力。经我们与您协商并达成协议，自您补交</w:t>
      </w:r>
      <w:r>
        <w:rPr>
          <w:spacing w:val="-2"/>
        </w:rPr>
        <w:t>所欠借款及利息的次日零时起，本合同效力恢复。</w:t>
      </w:r>
    </w:p>
    <w:p>
      <w:pPr>
        <w:pStyle w:val="4"/>
        <w:spacing w:before="2" w:line="319" w:lineRule="auto"/>
        <w:ind w:left="337" w:right="274" w:firstLine="420"/>
      </w:pPr>
      <w:r>
        <w:rPr>
          <w:spacing w:val="-4"/>
        </w:rPr>
        <w:t xml:space="preserve">您与我们在本合同效力中止之日起满 </w:t>
      </w:r>
      <w:r>
        <w:rPr>
          <w:spacing w:val="-2"/>
        </w:rPr>
        <w:t>2</w:t>
      </w:r>
      <w:r>
        <w:rPr>
          <w:spacing w:val="-7"/>
        </w:rPr>
        <w:t xml:space="preserve"> 年，仍未达成复效协议的，本合同即自行终止，我们向</w:t>
      </w:r>
      <w:r>
        <w:rPr>
          <w:spacing w:val="-2"/>
        </w:rPr>
        <w:t>您退还合同效力中止时保险单的个人账户现金价值。</w:t>
      </w:r>
    </w:p>
    <w:p>
      <w:pPr>
        <w:pStyle w:val="4"/>
        <w:spacing w:before="6"/>
        <w:rPr>
          <w:sz w:val="24"/>
        </w:rPr>
      </w:pPr>
    </w:p>
    <w:p>
      <w:pPr>
        <w:pStyle w:val="3"/>
        <w:spacing w:before="1"/>
      </w:pPr>
      <w:bookmarkStart w:id="26" w:name="_TOC_250013"/>
      <w:r>
        <w:t>第二十二条</w:t>
      </w:r>
      <w:r>
        <w:rPr>
          <w:spacing w:val="-9"/>
        </w:rPr>
        <w:t xml:space="preserve"> 合</w:t>
      </w:r>
      <w:r>
        <w:t>同内容变</w:t>
      </w:r>
      <w:bookmarkEnd w:id="26"/>
      <w:r>
        <w:rPr>
          <w:spacing w:val="-5"/>
        </w:rPr>
        <w:t>更权</w:t>
      </w:r>
    </w:p>
    <w:p>
      <w:pPr>
        <w:pStyle w:val="4"/>
        <w:spacing w:before="89" w:line="319" w:lineRule="auto"/>
        <w:ind w:left="337" w:right="275" w:firstLine="420"/>
      </w:pPr>
      <w:r>
        <w:rPr>
          <w:spacing w:val="-2"/>
        </w:rPr>
        <w:t>您在本合同有效期内，经您与我们协商一致，可申请变更本合同内容。变更本合同的，应当由我们在保险单或者其他凭证上批注或者附贴批单，或者由您与我们订立书面的变更协议。</w:t>
      </w:r>
    </w:p>
    <w:p>
      <w:pPr>
        <w:pStyle w:val="4"/>
        <w:spacing w:before="2"/>
        <w:ind w:left="757"/>
      </w:pPr>
      <w:r>
        <w:rPr>
          <w:spacing w:val="-1"/>
        </w:rPr>
        <w:t>被保险人身故后，对合同内容的任何变更无效。</w:t>
      </w:r>
    </w:p>
    <w:p>
      <w:pPr>
        <w:pStyle w:val="4"/>
        <w:rPr>
          <w:sz w:val="20"/>
        </w:rPr>
      </w:pPr>
    </w:p>
    <w:p>
      <w:pPr>
        <w:pStyle w:val="3"/>
        <w:spacing w:before="146"/>
      </w:pPr>
      <w:bookmarkStart w:id="27" w:name="_TOC_250012"/>
      <w:r>
        <w:rPr>
          <w:w w:val="95"/>
        </w:rPr>
        <w:t>第二十三条</w:t>
      </w:r>
      <w:r>
        <w:rPr>
          <w:spacing w:val="65"/>
          <w:w w:val="150"/>
        </w:rPr>
        <w:t xml:space="preserve"> </w:t>
      </w:r>
      <w:r>
        <w:rPr>
          <w:w w:val="95"/>
        </w:rPr>
        <w:t>犹豫期及合同解除</w:t>
      </w:r>
      <w:bookmarkEnd w:id="27"/>
      <w:r>
        <w:rPr>
          <w:spacing w:val="-10"/>
          <w:w w:val="95"/>
        </w:rPr>
        <w:t>权</w:t>
      </w:r>
    </w:p>
    <w:p>
      <w:pPr>
        <w:pStyle w:val="4"/>
        <w:spacing w:before="90" w:line="319" w:lineRule="auto"/>
        <w:ind w:left="337" w:right="275" w:firstLine="420"/>
      </w:pPr>
      <w:r>
        <w:rPr>
          <w:spacing w:val="-2"/>
        </w:rPr>
        <w:t>在本合同有效期内，您可随时申请解除本合同。我们收到解除合同申请书时，本合同终止。为</w:t>
      </w:r>
      <w:r>
        <w:rPr>
          <w:spacing w:val="-1"/>
        </w:rPr>
        <w:t>了让您能够更清楚地了解相关的保险条款和内容，以及有更多的考虑时间，自您签收本合同次日起</w:t>
      </w:r>
    </w:p>
    <w:p>
      <w:pPr>
        <w:pStyle w:val="4"/>
        <w:spacing w:before="1"/>
        <w:ind w:left="337"/>
      </w:pPr>
      <w:r>
        <w:rPr>
          <w:spacing w:val="-2"/>
        </w:rPr>
        <w:t>（含该日）15</w:t>
      </w:r>
      <w:r>
        <w:rPr>
          <w:spacing w:val="-10"/>
        </w:rPr>
        <w:t xml:space="preserve"> 天内为犹豫期。</w:t>
      </w:r>
    </w:p>
    <w:p>
      <w:pPr>
        <w:pStyle w:val="4"/>
        <w:spacing w:before="90" w:line="319" w:lineRule="auto"/>
        <w:ind w:left="337" w:right="272" w:firstLine="420"/>
        <w:jc w:val="both"/>
      </w:pPr>
      <w:r>
        <w:rPr>
          <w:spacing w:val="-14"/>
        </w:rPr>
        <w:t xml:space="preserve">一、若您在犹豫期内要求解除本合同，我们将于收到本条第三款所列的证明材料并扣除 </w:t>
      </w:r>
      <w:r>
        <w:rPr>
          <w:rFonts w:ascii="Times New Roman" w:eastAsia="Times New Roman"/>
          <w:spacing w:val="-2"/>
        </w:rPr>
        <w:t>10</w:t>
      </w:r>
      <w:r>
        <w:rPr>
          <w:rFonts w:ascii="Times New Roman" w:eastAsia="Times New Roman"/>
          <w:spacing w:val="22"/>
        </w:rPr>
        <w:t xml:space="preserve"> </w:t>
      </w:r>
      <w:r>
        <w:rPr>
          <w:spacing w:val="-2"/>
        </w:rPr>
        <w:t>元工本费后无息退还已收的全部保险费，本合同自始无效。</w:t>
      </w:r>
    </w:p>
    <w:p>
      <w:pPr>
        <w:pStyle w:val="4"/>
        <w:spacing w:before="2" w:line="319" w:lineRule="auto"/>
        <w:ind w:left="337" w:right="273" w:firstLine="420"/>
        <w:jc w:val="both"/>
      </w:pPr>
      <w:r>
        <w:rPr>
          <w:spacing w:val="-26"/>
          <w:w w:val="95"/>
        </w:rPr>
        <w:t>二、</w:t>
      </w:r>
      <w:r>
        <w:rPr>
          <w:w w:val="95"/>
        </w:rPr>
        <w:t>若您在犹豫期后要求解除本合同</w:t>
      </w:r>
      <w:r>
        <w:rPr>
          <w:spacing w:val="-52"/>
          <w:w w:val="95"/>
        </w:rPr>
        <w:t>，</w:t>
      </w:r>
      <w:r>
        <w:rPr>
          <w:w w:val="95"/>
        </w:rPr>
        <w:t>我们在收到本条第三款所列证明材料后</w:t>
      </w:r>
      <w:r>
        <w:rPr>
          <w:spacing w:val="15"/>
        </w:rPr>
        <w:t xml:space="preserve"> </w:t>
      </w:r>
      <w:r>
        <w:rPr>
          <w:w w:val="95"/>
        </w:rPr>
        <w:t>30</w:t>
      </w:r>
      <w:r>
        <w:rPr>
          <w:spacing w:val="17"/>
        </w:rPr>
        <w:t xml:space="preserve"> </w:t>
      </w:r>
      <w:r>
        <w:rPr>
          <w:w w:val="95"/>
        </w:rPr>
        <w:t>日内,</w:t>
      </w:r>
      <w:r>
        <w:rPr>
          <w:spacing w:val="80"/>
          <w:w w:val="150"/>
        </w:rPr>
        <w:t xml:space="preserve"> </w:t>
      </w:r>
      <w:r>
        <w:rPr>
          <w:w w:val="95"/>
        </w:rPr>
        <w:t>按照以</w:t>
      </w:r>
      <w:r>
        <w:rPr>
          <w:spacing w:val="-2"/>
        </w:rPr>
        <w:t>下约定从个人账户价值中扣除相应的解除合同费用后，向您退还本合同终止时的保险单个人账户现</w:t>
      </w:r>
      <w:r>
        <w:rPr>
          <w:spacing w:val="-4"/>
        </w:rPr>
        <w:t>金价值：</w:t>
      </w:r>
    </w:p>
    <w:p>
      <w:pPr>
        <w:spacing w:after="0" w:line="319" w:lineRule="auto"/>
        <w:jc w:val="both"/>
        <w:sectPr>
          <w:pgSz w:w="11910" w:h="16840"/>
          <w:pgMar w:top="1420" w:right="1180" w:bottom="1620" w:left="1080" w:header="0" w:footer="1422" w:gutter="0"/>
          <w:cols w:space="720" w:num="1"/>
        </w:sectPr>
      </w:pPr>
    </w:p>
    <w:tbl>
      <w:tblPr>
        <w:tblStyle w:val="9"/>
        <w:tblW w:w="0" w:type="auto"/>
        <w:tblInd w:w="25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4"/>
        <w:gridCol w:w="24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2314" w:type="dxa"/>
          </w:tcPr>
          <w:p>
            <w:pPr>
              <w:pStyle w:val="13"/>
              <w:ind w:left="518" w:right="509"/>
              <w:rPr>
                <w:sz w:val="21"/>
              </w:rPr>
            </w:pPr>
            <w:r>
              <w:rPr>
                <w:spacing w:val="-3"/>
                <w:sz w:val="21"/>
              </w:rPr>
              <w:t>保单年度</w:t>
            </w:r>
          </w:p>
        </w:tc>
        <w:tc>
          <w:tcPr>
            <w:tcW w:w="2415" w:type="dxa"/>
          </w:tcPr>
          <w:p>
            <w:pPr>
              <w:pStyle w:val="13"/>
              <w:ind w:left="325" w:right="320"/>
              <w:rPr>
                <w:sz w:val="21"/>
              </w:rPr>
            </w:pPr>
            <w:r>
              <w:rPr>
                <w:spacing w:val="-2"/>
                <w:sz w:val="21"/>
              </w:rPr>
              <w:t>解除合同费用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2314" w:type="dxa"/>
          </w:tcPr>
          <w:p>
            <w:pPr>
              <w:pStyle w:val="13"/>
              <w:ind w:left="518" w:right="510"/>
              <w:rPr>
                <w:sz w:val="21"/>
              </w:rPr>
            </w:pPr>
            <w:r>
              <w:rPr>
                <w:spacing w:val="-4"/>
                <w:sz w:val="21"/>
              </w:rPr>
              <w:t>第一年</w:t>
            </w:r>
          </w:p>
        </w:tc>
        <w:tc>
          <w:tcPr>
            <w:tcW w:w="2415" w:type="dxa"/>
          </w:tcPr>
          <w:p>
            <w:pPr>
              <w:pStyle w:val="13"/>
              <w:ind w:left="325" w:right="320"/>
              <w:rPr>
                <w:sz w:val="21"/>
              </w:rPr>
            </w:pPr>
            <w:r>
              <w:rPr>
                <w:spacing w:val="-7"/>
                <w:sz w:val="21"/>
              </w:rPr>
              <w:t xml:space="preserve">个人账户价值的 </w:t>
            </w:r>
            <w:r>
              <w:rPr>
                <w:spacing w:val="-5"/>
                <w:sz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314" w:type="dxa"/>
          </w:tcPr>
          <w:p>
            <w:pPr>
              <w:pStyle w:val="13"/>
              <w:spacing w:before="42"/>
              <w:ind w:left="518" w:right="510"/>
              <w:rPr>
                <w:sz w:val="21"/>
              </w:rPr>
            </w:pPr>
            <w:r>
              <w:rPr>
                <w:spacing w:val="-4"/>
                <w:sz w:val="21"/>
              </w:rPr>
              <w:t>第二年</w:t>
            </w:r>
          </w:p>
        </w:tc>
        <w:tc>
          <w:tcPr>
            <w:tcW w:w="2415" w:type="dxa"/>
          </w:tcPr>
          <w:p>
            <w:pPr>
              <w:pStyle w:val="13"/>
              <w:spacing w:before="42"/>
              <w:ind w:left="325" w:right="320"/>
              <w:rPr>
                <w:sz w:val="21"/>
              </w:rPr>
            </w:pPr>
            <w:r>
              <w:rPr>
                <w:spacing w:val="-7"/>
                <w:sz w:val="21"/>
              </w:rPr>
              <w:t xml:space="preserve">个人账户价值的 </w:t>
            </w:r>
            <w:r>
              <w:rPr>
                <w:spacing w:val="-5"/>
                <w:sz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2314" w:type="dxa"/>
          </w:tcPr>
          <w:p>
            <w:pPr>
              <w:pStyle w:val="13"/>
              <w:ind w:left="518" w:right="510"/>
              <w:rPr>
                <w:sz w:val="21"/>
              </w:rPr>
            </w:pPr>
            <w:r>
              <w:rPr>
                <w:spacing w:val="-4"/>
                <w:sz w:val="21"/>
              </w:rPr>
              <w:t>第三年</w:t>
            </w:r>
          </w:p>
        </w:tc>
        <w:tc>
          <w:tcPr>
            <w:tcW w:w="2415" w:type="dxa"/>
          </w:tcPr>
          <w:p>
            <w:pPr>
              <w:pStyle w:val="13"/>
              <w:ind w:left="325" w:right="320"/>
              <w:rPr>
                <w:sz w:val="21"/>
              </w:rPr>
            </w:pPr>
            <w:r>
              <w:rPr>
                <w:spacing w:val="-7"/>
                <w:sz w:val="21"/>
              </w:rPr>
              <w:t xml:space="preserve">个人账户价值的 </w:t>
            </w:r>
            <w:r>
              <w:rPr>
                <w:spacing w:val="-5"/>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2314" w:type="dxa"/>
          </w:tcPr>
          <w:p>
            <w:pPr>
              <w:pStyle w:val="13"/>
              <w:ind w:left="518" w:right="510"/>
              <w:rPr>
                <w:sz w:val="21"/>
              </w:rPr>
            </w:pPr>
            <w:r>
              <w:rPr>
                <w:spacing w:val="-4"/>
                <w:sz w:val="21"/>
              </w:rPr>
              <w:t>第四年</w:t>
            </w:r>
          </w:p>
        </w:tc>
        <w:tc>
          <w:tcPr>
            <w:tcW w:w="2415" w:type="dxa"/>
          </w:tcPr>
          <w:p>
            <w:pPr>
              <w:pStyle w:val="13"/>
              <w:ind w:left="325" w:right="320"/>
              <w:rPr>
                <w:sz w:val="21"/>
              </w:rPr>
            </w:pPr>
            <w:r>
              <w:rPr>
                <w:spacing w:val="-7"/>
                <w:sz w:val="21"/>
              </w:rPr>
              <w:t xml:space="preserve">个人账户价值的 </w:t>
            </w:r>
            <w:r>
              <w:rPr>
                <w:spacing w:val="-5"/>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314" w:type="dxa"/>
          </w:tcPr>
          <w:p>
            <w:pPr>
              <w:pStyle w:val="13"/>
              <w:spacing w:before="42"/>
              <w:ind w:left="518" w:right="510"/>
              <w:rPr>
                <w:sz w:val="21"/>
              </w:rPr>
            </w:pPr>
            <w:r>
              <w:rPr>
                <w:spacing w:val="-4"/>
                <w:sz w:val="21"/>
              </w:rPr>
              <w:t>第五年</w:t>
            </w:r>
          </w:p>
        </w:tc>
        <w:tc>
          <w:tcPr>
            <w:tcW w:w="2415" w:type="dxa"/>
          </w:tcPr>
          <w:p>
            <w:pPr>
              <w:pStyle w:val="13"/>
              <w:spacing w:before="42"/>
              <w:ind w:left="325" w:right="320"/>
              <w:rPr>
                <w:sz w:val="21"/>
              </w:rPr>
            </w:pPr>
            <w:r>
              <w:rPr>
                <w:spacing w:val="-7"/>
                <w:sz w:val="21"/>
              </w:rPr>
              <w:t xml:space="preserve">个人账户价值的 </w:t>
            </w:r>
            <w:r>
              <w:rPr>
                <w:spacing w:val="-5"/>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2314" w:type="dxa"/>
          </w:tcPr>
          <w:p>
            <w:pPr>
              <w:pStyle w:val="13"/>
              <w:ind w:left="518" w:right="510"/>
              <w:rPr>
                <w:sz w:val="21"/>
              </w:rPr>
            </w:pPr>
            <w:r>
              <w:rPr>
                <w:spacing w:val="-4"/>
                <w:sz w:val="21"/>
              </w:rPr>
              <w:t>第六年及以后</w:t>
            </w:r>
          </w:p>
        </w:tc>
        <w:tc>
          <w:tcPr>
            <w:tcW w:w="2415" w:type="dxa"/>
          </w:tcPr>
          <w:p>
            <w:pPr>
              <w:pStyle w:val="13"/>
              <w:ind w:left="3"/>
              <w:rPr>
                <w:sz w:val="21"/>
              </w:rPr>
            </w:pPr>
            <w:r>
              <w:rPr>
                <w:sz w:val="21"/>
              </w:rPr>
              <w:t>0</w:t>
            </w:r>
          </w:p>
        </w:tc>
      </w:tr>
    </w:tbl>
    <w:p>
      <w:pPr>
        <w:pStyle w:val="4"/>
        <w:spacing w:before="12"/>
        <w:rPr>
          <w:sz w:val="25"/>
        </w:rPr>
      </w:pPr>
    </w:p>
    <w:p>
      <w:pPr>
        <w:pStyle w:val="4"/>
        <w:spacing w:before="71"/>
        <w:ind w:left="757"/>
      </w:pPr>
      <w:r>
        <w:rPr>
          <w:spacing w:val="-1"/>
        </w:rPr>
        <w:t>三、您要求解除本合同时，应提供下列证明材料：</w:t>
      </w:r>
    </w:p>
    <w:p>
      <w:pPr>
        <w:pStyle w:val="12"/>
        <w:numPr>
          <w:ilvl w:val="0"/>
          <w:numId w:val="4"/>
        </w:numPr>
        <w:tabs>
          <w:tab w:val="left" w:pos="1025"/>
        </w:tabs>
        <w:spacing w:before="89" w:after="0" w:line="240" w:lineRule="auto"/>
        <w:ind w:left="1024" w:right="0" w:hanging="265"/>
        <w:jc w:val="left"/>
        <w:rPr>
          <w:sz w:val="21"/>
        </w:rPr>
      </w:pPr>
      <w:r>
        <w:rPr>
          <w:spacing w:val="-3"/>
          <w:sz w:val="21"/>
        </w:rPr>
        <w:t>本合同；</w:t>
      </w:r>
    </w:p>
    <w:p>
      <w:pPr>
        <w:pStyle w:val="12"/>
        <w:numPr>
          <w:ilvl w:val="0"/>
          <w:numId w:val="4"/>
        </w:numPr>
        <w:tabs>
          <w:tab w:val="left" w:pos="1025"/>
        </w:tabs>
        <w:spacing w:before="90" w:after="0" w:line="240" w:lineRule="auto"/>
        <w:ind w:left="1024" w:right="0" w:hanging="265"/>
        <w:jc w:val="left"/>
        <w:rPr>
          <w:sz w:val="21"/>
        </w:rPr>
      </w:pPr>
      <w:r>
        <w:rPr>
          <w:spacing w:val="-4"/>
          <w:sz w:val="21"/>
        </w:rPr>
        <w:t>解除合同申请书；</w:t>
      </w:r>
    </w:p>
    <w:p>
      <w:pPr>
        <w:pStyle w:val="12"/>
        <w:numPr>
          <w:ilvl w:val="0"/>
          <w:numId w:val="4"/>
        </w:numPr>
        <w:tabs>
          <w:tab w:val="left" w:pos="1022"/>
        </w:tabs>
        <w:spacing w:before="90" w:after="0" w:line="240" w:lineRule="auto"/>
        <w:ind w:left="1021" w:right="0" w:hanging="265"/>
        <w:jc w:val="left"/>
        <w:rPr>
          <w:sz w:val="21"/>
        </w:rPr>
      </w:pPr>
      <w:r>
        <w:rPr>
          <w:spacing w:val="-3"/>
          <w:sz w:val="21"/>
        </w:rPr>
        <w:t>您的有效身份证件。</w:t>
      </w:r>
    </w:p>
    <w:p>
      <w:pPr>
        <w:spacing w:before="90"/>
        <w:ind w:left="759" w:right="0" w:firstLine="0"/>
        <w:jc w:val="left"/>
        <w:rPr>
          <w:rFonts w:hint="eastAsia" w:ascii="黑体" w:eastAsia="黑体"/>
          <w:b/>
          <w:sz w:val="21"/>
        </w:rPr>
      </w:pPr>
      <w:r>
        <w:rPr>
          <w:rFonts w:hint="eastAsia" w:ascii="黑体" w:eastAsia="黑体"/>
          <w:b/>
          <w:w w:val="95"/>
          <w:sz w:val="21"/>
        </w:rPr>
        <w:t>特别提示与说明：您在犹豫期后解除合同可能会受到一定的损失</w:t>
      </w:r>
      <w:r>
        <w:rPr>
          <w:rFonts w:hint="eastAsia" w:ascii="黑体" w:eastAsia="黑体"/>
          <w:b/>
          <w:spacing w:val="-10"/>
          <w:w w:val="95"/>
          <w:sz w:val="21"/>
        </w:rPr>
        <w:t>。</w:t>
      </w:r>
    </w:p>
    <w:p>
      <w:pPr>
        <w:pStyle w:val="4"/>
        <w:rPr>
          <w:rFonts w:ascii="黑体"/>
          <w:b/>
          <w:sz w:val="20"/>
        </w:rPr>
      </w:pPr>
    </w:p>
    <w:p>
      <w:pPr>
        <w:pStyle w:val="4"/>
        <w:spacing w:before="1"/>
        <w:rPr>
          <w:rFonts w:ascii="黑体"/>
          <w:b/>
          <w:sz w:val="18"/>
        </w:rPr>
      </w:pPr>
    </w:p>
    <w:p>
      <w:pPr>
        <w:pStyle w:val="2"/>
        <w:spacing w:before="1"/>
      </w:pPr>
      <w:bookmarkStart w:id="28" w:name="_TOC_250011"/>
      <w:r>
        <w:t>第六部</w:t>
      </w:r>
      <w:r>
        <w:rPr>
          <w:spacing w:val="-9"/>
        </w:rPr>
        <w:t>分 您</w:t>
      </w:r>
      <w:r>
        <w:t>必须了解的事</w:t>
      </w:r>
      <w:bookmarkEnd w:id="28"/>
      <w:r>
        <w:rPr>
          <w:spacing w:val="-10"/>
        </w:rPr>
        <w:t>项</w:t>
      </w:r>
    </w:p>
    <w:p>
      <w:pPr>
        <w:pStyle w:val="4"/>
        <w:spacing w:before="3"/>
        <w:rPr>
          <w:b/>
          <w:sz w:val="38"/>
        </w:rPr>
      </w:pPr>
    </w:p>
    <w:p>
      <w:pPr>
        <w:pStyle w:val="3"/>
      </w:pPr>
      <w:bookmarkStart w:id="29" w:name="_TOC_250010"/>
      <w:r>
        <w:rPr>
          <w:w w:val="95"/>
        </w:rPr>
        <w:t>第二十四条</w:t>
      </w:r>
      <w:r>
        <w:rPr>
          <w:spacing w:val="14"/>
        </w:rPr>
        <w:t xml:space="preserve">  </w:t>
      </w:r>
      <w:r>
        <w:rPr>
          <w:w w:val="95"/>
        </w:rPr>
        <w:t>明确说明和如实告知义</w:t>
      </w:r>
      <w:bookmarkEnd w:id="29"/>
      <w:r>
        <w:rPr>
          <w:spacing w:val="-10"/>
          <w:w w:val="95"/>
        </w:rPr>
        <w:t>务</w:t>
      </w:r>
    </w:p>
    <w:p>
      <w:pPr>
        <w:pStyle w:val="4"/>
        <w:spacing w:before="90"/>
        <w:ind w:left="757"/>
      </w:pPr>
      <w:r>
        <w:rPr>
          <w:spacing w:val="-1"/>
        </w:rPr>
        <w:t>订立本合同时，我们应向您说明本合同的内容。</w:t>
      </w:r>
    </w:p>
    <w:p>
      <w:pPr>
        <w:pStyle w:val="4"/>
        <w:spacing w:before="89" w:line="319" w:lineRule="auto"/>
        <w:ind w:left="337" w:right="275" w:firstLine="420"/>
        <w:jc w:val="both"/>
      </w:pPr>
      <w:r>
        <w:rPr>
          <w:spacing w:val="-2"/>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4"/>
        <w:spacing w:before="3"/>
        <w:ind w:left="757"/>
      </w:pPr>
      <w:r>
        <w:rPr>
          <w:spacing w:val="-1"/>
        </w:rPr>
        <w:t>我们就您和被保险人的有关情况提出询问，您应当如实告知。</w:t>
      </w:r>
    </w:p>
    <w:p>
      <w:pPr>
        <w:pStyle w:val="4"/>
        <w:spacing w:before="90" w:line="319" w:lineRule="auto"/>
        <w:ind w:left="337" w:right="275" w:firstLine="420"/>
        <w:rPr>
          <w:rFonts w:ascii="黑体" w:eastAsia="黑体"/>
        </w:rPr>
      </w:pPr>
      <w:r>
        <w:rPr>
          <w:rFonts w:ascii="黑体" w:eastAsia="黑体"/>
          <w:spacing w:val="-2"/>
        </w:rPr>
        <w:t>如果您故意或者因重大过失未履行前款规定的如实告知义务，足以影响我们决定是否同意承保或者提高保险费率的，我们有权解除本合同。</w:t>
      </w:r>
    </w:p>
    <w:p>
      <w:pPr>
        <w:pStyle w:val="4"/>
        <w:spacing w:before="2" w:line="319" w:lineRule="auto"/>
        <w:ind w:left="337" w:right="275" w:firstLine="420"/>
        <w:rPr>
          <w:rFonts w:ascii="黑体" w:eastAsia="黑体"/>
        </w:rPr>
      </w:pPr>
      <w:r>
        <w:rPr>
          <w:rFonts w:ascii="黑体" w:eastAsia="黑体"/>
          <w:spacing w:val="-2"/>
        </w:rPr>
        <w:t>如果您故意不履行如实告知义务，对于本合同解除前发生的保险事故，我们不承担给付保险金的责任，并不退还保险费。</w:t>
      </w:r>
    </w:p>
    <w:p>
      <w:pPr>
        <w:pStyle w:val="4"/>
        <w:spacing w:before="2" w:line="319" w:lineRule="auto"/>
        <w:ind w:left="337" w:right="275" w:firstLine="420"/>
        <w:rPr>
          <w:rFonts w:ascii="黑体" w:eastAsia="黑体"/>
        </w:rPr>
      </w:pPr>
      <w:r>
        <w:rPr>
          <w:rFonts w:ascii="黑体" w:eastAsia="黑体"/>
          <w:spacing w:val="-2"/>
        </w:rPr>
        <w:t>如果您因重大过失未履行如实告知义务，对保险事故的发生有严重影响的，对于本合同解除前发生的保险事故，我们不承担给付保险金的责任，但应当退还保险费。</w:t>
      </w:r>
    </w:p>
    <w:p>
      <w:pPr>
        <w:pStyle w:val="4"/>
        <w:spacing w:before="2" w:line="319" w:lineRule="auto"/>
        <w:ind w:left="337" w:right="275" w:firstLine="420"/>
      </w:pPr>
      <w:r>
        <w:rPr>
          <w:spacing w:val="-2"/>
        </w:rPr>
        <w:t>我们在合同订立时已经知道您未如实告知的情况的，我们不得解除合同；发生保险事故的，我们承担给付保险金的责任。</w:t>
      </w:r>
    </w:p>
    <w:p>
      <w:pPr>
        <w:pStyle w:val="4"/>
        <w:spacing w:before="6"/>
        <w:rPr>
          <w:sz w:val="24"/>
        </w:rPr>
      </w:pPr>
    </w:p>
    <w:p>
      <w:pPr>
        <w:pStyle w:val="3"/>
        <w:jc w:val="both"/>
      </w:pPr>
      <w:bookmarkStart w:id="30" w:name="_TOC_250009"/>
      <w:r>
        <w:rPr>
          <w:w w:val="95"/>
        </w:rPr>
        <w:t>第二十五条</w:t>
      </w:r>
      <w:r>
        <w:rPr>
          <w:spacing w:val="65"/>
          <w:w w:val="150"/>
        </w:rPr>
        <w:t xml:space="preserve"> </w:t>
      </w:r>
      <w:r>
        <w:rPr>
          <w:w w:val="95"/>
        </w:rPr>
        <w:t>年龄计算及错误处</w:t>
      </w:r>
      <w:bookmarkEnd w:id="30"/>
      <w:r>
        <w:rPr>
          <w:spacing w:val="-10"/>
          <w:w w:val="95"/>
        </w:rPr>
        <w:t>理</w:t>
      </w:r>
    </w:p>
    <w:p>
      <w:pPr>
        <w:pStyle w:val="4"/>
        <w:spacing w:before="90" w:line="319" w:lineRule="auto"/>
        <w:ind w:left="337" w:right="275" w:firstLine="420"/>
        <w:jc w:val="both"/>
      </w:pPr>
      <w:r>
        <w:rPr>
          <w:spacing w:val="-2"/>
        </w:rPr>
        <w:t>被保险人的投保年龄为以有效身份证件载明的出生日期为基础计算的周岁年龄。您在申请投保时，应将被保险人的真实年龄在投保书上填明，若您申报的被保险人年龄不真实，且真实投保年龄不符合本合同约定的投保年龄限制的，在保险事故发生之前我们有权解除合同，并向您退还解除保险合同时保险单的个人账户现金价值。我们行使合同解除权适用“本公司合同解除权的限制”的规</w:t>
      </w:r>
      <w:r>
        <w:rPr>
          <w:spacing w:val="-6"/>
        </w:rPr>
        <w:t>定。</w:t>
      </w:r>
    </w:p>
    <w:p>
      <w:pPr>
        <w:spacing w:after="0" w:line="319" w:lineRule="auto"/>
        <w:jc w:val="both"/>
        <w:sectPr>
          <w:pgSz w:w="11910" w:h="16840"/>
          <w:pgMar w:top="1420" w:right="1180" w:bottom="1620" w:left="1080" w:header="0" w:footer="1422" w:gutter="0"/>
          <w:cols w:space="720" w:num="1"/>
        </w:sectPr>
      </w:pPr>
    </w:p>
    <w:p>
      <w:pPr>
        <w:pStyle w:val="3"/>
        <w:spacing w:before="41"/>
      </w:pPr>
      <w:bookmarkStart w:id="31" w:name="_TOC_250008"/>
      <w:r>
        <w:rPr>
          <w:w w:val="95"/>
        </w:rPr>
        <w:t>第二十六条</w:t>
      </w:r>
      <w:r>
        <w:rPr>
          <w:spacing w:val="14"/>
        </w:rPr>
        <w:t xml:space="preserve">  </w:t>
      </w:r>
      <w:r>
        <w:rPr>
          <w:w w:val="95"/>
        </w:rPr>
        <w:t>本公司合同解除权的限</w:t>
      </w:r>
      <w:bookmarkEnd w:id="31"/>
      <w:r>
        <w:rPr>
          <w:spacing w:val="-10"/>
          <w:w w:val="95"/>
        </w:rPr>
        <w:t>制</w:t>
      </w:r>
    </w:p>
    <w:p>
      <w:pPr>
        <w:pStyle w:val="4"/>
        <w:spacing w:before="90"/>
        <w:ind w:left="757"/>
      </w:pPr>
      <w:r>
        <w:t>本合同第二十四条和第二十五条所指的合同解除权，自我们知道有解除事由之日起，超过</w:t>
      </w:r>
      <w:r>
        <w:rPr>
          <w:spacing w:val="33"/>
          <w:w w:val="150"/>
        </w:rPr>
        <w:t xml:space="preserve"> </w:t>
      </w:r>
      <w:r>
        <w:rPr>
          <w:spacing w:val="-5"/>
        </w:rPr>
        <w:t>30</w:t>
      </w:r>
    </w:p>
    <w:p>
      <w:pPr>
        <w:pStyle w:val="4"/>
        <w:spacing w:before="90" w:line="319" w:lineRule="auto"/>
        <w:ind w:left="337" w:right="274"/>
      </w:pPr>
      <w:r>
        <w:rPr>
          <w:spacing w:val="-4"/>
        </w:rPr>
        <w:t xml:space="preserve">日不行使而消灭。自本合同成立之日起超过 </w:t>
      </w:r>
      <w:r>
        <w:rPr>
          <w:spacing w:val="-2"/>
        </w:rPr>
        <w:t>2</w:t>
      </w:r>
      <w:r>
        <w:rPr>
          <w:spacing w:val="-7"/>
        </w:rPr>
        <w:t xml:space="preserve"> 年的，我们不得解除合同；发生保险事故的，我们承</w:t>
      </w:r>
      <w:r>
        <w:rPr>
          <w:spacing w:val="-2"/>
        </w:rPr>
        <w:t>担给付保险金的责任。</w:t>
      </w:r>
    </w:p>
    <w:p>
      <w:pPr>
        <w:pStyle w:val="4"/>
        <w:spacing w:before="6"/>
        <w:rPr>
          <w:sz w:val="24"/>
        </w:rPr>
      </w:pPr>
    </w:p>
    <w:p>
      <w:pPr>
        <w:pStyle w:val="3"/>
      </w:pPr>
      <w:bookmarkStart w:id="32" w:name="_TOC_250007"/>
      <w:r>
        <w:rPr>
          <w:w w:val="95"/>
        </w:rPr>
        <w:t>第二十七条</w:t>
      </w:r>
      <w:r>
        <w:rPr>
          <w:spacing w:val="65"/>
          <w:w w:val="150"/>
        </w:rPr>
        <w:t xml:space="preserve"> </w:t>
      </w:r>
      <w:r>
        <w:rPr>
          <w:w w:val="95"/>
        </w:rPr>
        <w:t>受益人的指定与变</w:t>
      </w:r>
      <w:bookmarkEnd w:id="32"/>
      <w:r>
        <w:rPr>
          <w:spacing w:val="-10"/>
          <w:w w:val="95"/>
        </w:rPr>
        <w:t>更</w:t>
      </w:r>
    </w:p>
    <w:p>
      <w:pPr>
        <w:pStyle w:val="4"/>
        <w:spacing w:before="90" w:line="319" w:lineRule="auto"/>
        <w:ind w:left="337" w:right="273" w:firstLine="420"/>
        <w:jc w:val="right"/>
      </w:pPr>
      <w:r>
        <w:rPr>
          <w:spacing w:val="-2"/>
        </w:rPr>
        <w:t>您或被保险人可指定一人或数人为保险金受益人，但您指定受益人须征得被保险人同意。受益人为数人时，应确定受益顺序和受益份额；未确定受益顺序和受益份额的，各受益人按照相等份额</w:t>
      </w:r>
      <w:r>
        <w:rPr>
          <w:spacing w:val="-16"/>
        </w:rPr>
        <w:t>享有受益权。被保险人为无民事行为能力人或限制民事行为能力人的，可以由其监护人指定受益人。</w:t>
      </w:r>
      <w:r>
        <w:rPr>
          <w:spacing w:val="-2"/>
        </w:rPr>
        <w:t>在本合同有效期内，您或被保险人可以变更受益人并书面通知我们，我们在收到变更受益人的</w:t>
      </w:r>
    </w:p>
    <w:p>
      <w:pPr>
        <w:pStyle w:val="4"/>
        <w:spacing w:before="4"/>
        <w:ind w:left="337"/>
      </w:pPr>
      <w:r>
        <w:rPr>
          <w:spacing w:val="-1"/>
        </w:rPr>
        <w:t>书面通知后，应当做出批注或附贴批单。但您变更受益人须征得被保险人同意。</w:t>
      </w:r>
    </w:p>
    <w:p>
      <w:pPr>
        <w:pStyle w:val="4"/>
        <w:spacing w:before="89" w:line="319" w:lineRule="auto"/>
        <w:ind w:left="337" w:right="275" w:firstLine="420"/>
      </w:pPr>
      <w:r>
        <w:rPr>
          <w:spacing w:val="-2"/>
        </w:rPr>
        <w:t>被保险人身故后，有下列情形之一的，保险金作为被保险人的遗产，由我们依照《中华人民共和国继承法》的规定履行给付保险金的义务：</w:t>
      </w:r>
    </w:p>
    <w:p>
      <w:pPr>
        <w:pStyle w:val="4"/>
        <w:spacing w:before="2" w:line="319" w:lineRule="auto"/>
        <w:ind w:left="757" w:right="3529"/>
      </w:pPr>
      <w:r>
        <w:rPr>
          <w:spacing w:val="-5"/>
        </w:rPr>
        <w:t>一、 没有指定受益人，或者受益人指定不明无法确定的；</w:t>
      </w:r>
      <w:r>
        <w:t>二、 受益人先于被保险人死亡，没有其他受益人的；</w:t>
      </w:r>
    </w:p>
    <w:p>
      <w:pPr>
        <w:pStyle w:val="4"/>
        <w:spacing w:before="2"/>
        <w:ind w:left="757"/>
      </w:pPr>
      <w:r>
        <w:rPr>
          <w:spacing w:val="-1"/>
        </w:rPr>
        <w:t>三、 受益人依法丧失受益权或者放弃受益权，没有其他受益人的。</w:t>
      </w:r>
    </w:p>
    <w:p>
      <w:pPr>
        <w:pStyle w:val="4"/>
        <w:spacing w:before="90"/>
        <w:ind w:left="757"/>
      </w:pPr>
      <w:r>
        <w:rPr>
          <w:spacing w:val="-1"/>
        </w:rPr>
        <w:t>受益人与被保险人在同一事件中死亡，且不能确定死亡先后顺序的，推定受益人死亡在先。</w:t>
      </w:r>
    </w:p>
    <w:p>
      <w:pPr>
        <w:pStyle w:val="4"/>
        <w:spacing w:before="90" w:line="319" w:lineRule="auto"/>
        <w:ind w:left="337" w:right="275" w:firstLine="420"/>
        <w:rPr>
          <w:rFonts w:ascii="黑体" w:eastAsia="黑体"/>
        </w:rPr>
      </w:pPr>
      <w:r>
        <w:rPr>
          <w:rFonts w:ascii="黑体" w:eastAsia="黑体"/>
          <w:spacing w:val="-2"/>
        </w:rPr>
        <w:t>受益人故意造成被保险人身故、伤残、疾病的，或者故意杀害被保险人未遂的，该受益人丧失</w:t>
      </w:r>
      <w:r>
        <w:rPr>
          <w:rFonts w:ascii="黑体" w:eastAsia="黑体"/>
          <w:spacing w:val="-4"/>
        </w:rPr>
        <w:t>受益权。</w:t>
      </w:r>
    </w:p>
    <w:p>
      <w:pPr>
        <w:pStyle w:val="4"/>
        <w:spacing w:before="2"/>
        <w:ind w:left="757"/>
      </w:pPr>
      <w:r>
        <w:rPr>
          <w:spacing w:val="-1"/>
        </w:rPr>
        <w:t>除另有约定外，本合同的年金受益人为被保险人本人。</w:t>
      </w:r>
    </w:p>
    <w:p>
      <w:pPr>
        <w:pStyle w:val="4"/>
        <w:rPr>
          <w:sz w:val="20"/>
        </w:rPr>
      </w:pPr>
    </w:p>
    <w:p>
      <w:pPr>
        <w:pStyle w:val="3"/>
        <w:spacing w:before="145"/>
      </w:pPr>
      <w:bookmarkStart w:id="33" w:name="_TOC_250006"/>
      <w:r>
        <w:rPr>
          <w:w w:val="95"/>
        </w:rPr>
        <w:t>第二十八条</w:t>
      </w:r>
      <w:r>
        <w:rPr>
          <w:spacing w:val="14"/>
        </w:rPr>
        <w:t xml:space="preserve">  </w:t>
      </w:r>
      <w:r>
        <w:rPr>
          <w:w w:val="95"/>
        </w:rPr>
        <w:t>未成年人身故保险金限</w:t>
      </w:r>
      <w:bookmarkEnd w:id="33"/>
      <w:r>
        <w:rPr>
          <w:spacing w:val="-10"/>
          <w:w w:val="95"/>
        </w:rPr>
        <w:t>制</w:t>
      </w:r>
    </w:p>
    <w:p>
      <w:pPr>
        <w:pStyle w:val="4"/>
        <w:spacing w:before="90" w:line="319" w:lineRule="auto"/>
        <w:ind w:left="337" w:right="275" w:firstLine="420"/>
      </w:pPr>
      <w:r>
        <w:rPr>
          <w:spacing w:val="-2"/>
        </w:rPr>
        <w:t>为未成年子女投保的人身保险，因被保险人身故给付的保险金总和不得超过国务院保险监督管理机构规定的限额，身故给付的保险金额总和约定也不得超过前述限额。</w:t>
      </w:r>
    </w:p>
    <w:p>
      <w:pPr>
        <w:pStyle w:val="4"/>
        <w:spacing w:before="6"/>
        <w:rPr>
          <w:sz w:val="24"/>
        </w:rPr>
      </w:pPr>
    </w:p>
    <w:p>
      <w:pPr>
        <w:pStyle w:val="3"/>
        <w:jc w:val="both"/>
      </w:pPr>
      <w:bookmarkStart w:id="34" w:name="_TOC_250005"/>
      <w:r>
        <w:t>第二十九条</w:t>
      </w:r>
      <w:r>
        <w:rPr>
          <w:spacing w:val="-8"/>
        </w:rPr>
        <w:t xml:space="preserve"> 宣</w:t>
      </w:r>
      <w:r>
        <w:t>告死亡处</w:t>
      </w:r>
      <w:bookmarkEnd w:id="34"/>
      <w:r>
        <w:rPr>
          <w:spacing w:val="-10"/>
        </w:rPr>
        <w:t>理</w:t>
      </w:r>
    </w:p>
    <w:p>
      <w:pPr>
        <w:pStyle w:val="4"/>
        <w:spacing w:before="90" w:line="319" w:lineRule="auto"/>
        <w:ind w:left="337" w:right="275" w:firstLine="420"/>
        <w:jc w:val="both"/>
      </w:pPr>
      <w:r>
        <w:rPr>
          <w:spacing w:val="-2"/>
        </w:rPr>
        <w:t>如果被保险人在本合同有效期内下落不明，后经法院宣告死亡，如果被保险人被宣告死亡之日在保险责任期间内，或者有证据证明下落不明之日在保险责任期间之内的，我们按照本合同的约定给付身故保险金，本合同终止。</w:t>
      </w:r>
    </w:p>
    <w:p>
      <w:pPr>
        <w:pStyle w:val="4"/>
        <w:spacing w:line="248" w:lineRule="exact"/>
        <w:ind w:left="757"/>
      </w:pPr>
      <w:r>
        <w:rPr>
          <w:spacing w:val="-1"/>
        </w:rPr>
        <w:t>如果被保险人重新出现或确知其没有死亡的，身故保险金受益人应于知道或应当知道被保险人</w:t>
      </w:r>
    </w:p>
    <w:p>
      <w:pPr>
        <w:pStyle w:val="4"/>
        <w:spacing w:before="43"/>
        <w:ind w:left="337"/>
      </w:pPr>
      <w:r>
        <w:rPr>
          <w:spacing w:val="-12"/>
        </w:rPr>
        <w:t xml:space="preserve">生还后 </w:t>
      </w:r>
      <w:r>
        <w:rPr>
          <w:spacing w:val="-2"/>
        </w:rPr>
        <w:t>30</w:t>
      </w:r>
      <w:r>
        <w:rPr>
          <w:spacing w:val="-9"/>
        </w:rPr>
        <w:t xml:space="preserve"> 天内将领取的身故保险金退还给我们，本合同的效力依法确定。</w:t>
      </w:r>
    </w:p>
    <w:p>
      <w:pPr>
        <w:pStyle w:val="4"/>
        <w:spacing w:before="7"/>
        <w:rPr>
          <w:sz w:val="29"/>
        </w:rPr>
      </w:pPr>
    </w:p>
    <w:p>
      <w:pPr>
        <w:pStyle w:val="3"/>
      </w:pPr>
      <w:bookmarkStart w:id="35" w:name="_TOC_250004"/>
      <w:r>
        <w:t>第三十</w:t>
      </w:r>
      <w:r>
        <w:rPr>
          <w:spacing w:val="-4"/>
        </w:rPr>
        <w:t>条 司</w:t>
      </w:r>
      <w:r>
        <w:t>法鉴</w:t>
      </w:r>
      <w:bookmarkEnd w:id="35"/>
      <w:r>
        <w:rPr>
          <w:spacing w:val="-10"/>
        </w:rPr>
        <w:t>定</w:t>
      </w:r>
    </w:p>
    <w:p>
      <w:pPr>
        <w:pStyle w:val="4"/>
        <w:spacing w:before="90" w:line="319" w:lineRule="auto"/>
        <w:ind w:left="337" w:right="275" w:firstLine="420"/>
      </w:pPr>
      <w:r>
        <w:rPr>
          <w:spacing w:val="-2"/>
        </w:rPr>
        <w:t>如果被保险人与我们就是否达到本合同约定的理赔程度或条件发生争议时，被保险人和我们均有权申请司法鉴定机构进行相关鉴定，以确定其原因及程度等。</w:t>
      </w:r>
    </w:p>
    <w:p>
      <w:pPr>
        <w:pStyle w:val="4"/>
        <w:spacing w:before="6"/>
        <w:rPr>
          <w:sz w:val="24"/>
        </w:rPr>
      </w:pPr>
    </w:p>
    <w:p>
      <w:pPr>
        <w:pStyle w:val="3"/>
        <w:spacing w:before="1"/>
      </w:pPr>
      <w:bookmarkStart w:id="36" w:name="_TOC_250003"/>
      <w:r>
        <w:rPr>
          <w:w w:val="95"/>
        </w:rPr>
        <w:t>第三十一条</w:t>
      </w:r>
      <w:r>
        <w:rPr>
          <w:spacing w:val="65"/>
          <w:w w:val="150"/>
        </w:rPr>
        <w:t xml:space="preserve"> </w:t>
      </w:r>
      <w:r>
        <w:rPr>
          <w:w w:val="95"/>
        </w:rPr>
        <w:t>争议处理与法律适</w:t>
      </w:r>
      <w:bookmarkEnd w:id="36"/>
      <w:r>
        <w:rPr>
          <w:spacing w:val="-10"/>
          <w:w w:val="95"/>
        </w:rPr>
        <w:t>用</w:t>
      </w:r>
    </w:p>
    <w:p>
      <w:pPr>
        <w:pStyle w:val="4"/>
        <w:spacing w:before="89" w:line="319" w:lineRule="auto"/>
        <w:ind w:left="337" w:right="275" w:firstLine="420"/>
      </w:pPr>
      <w:r>
        <w:rPr>
          <w:spacing w:val="-2"/>
        </w:rPr>
        <w:t>本合同履行过程中发生任何争议，双方首先通过协商加以解决。若双方协商未达成协议的，可依法向有管辖权的人民法院提起诉讼。</w:t>
      </w:r>
    </w:p>
    <w:p>
      <w:pPr>
        <w:spacing w:after="0" w:line="319" w:lineRule="auto"/>
        <w:sectPr>
          <w:pgSz w:w="11910" w:h="16840"/>
          <w:pgMar w:top="1420" w:right="1180" w:bottom="1620" w:left="1080" w:header="0" w:footer="1422" w:gutter="0"/>
          <w:cols w:space="720" w:num="1"/>
        </w:sectPr>
      </w:pPr>
    </w:p>
    <w:p>
      <w:pPr>
        <w:pStyle w:val="4"/>
        <w:spacing w:before="41" w:line="319" w:lineRule="auto"/>
        <w:ind w:left="337" w:right="275" w:firstLine="420"/>
      </w:pPr>
      <w:r>
        <w:rPr>
          <w:spacing w:val="-2"/>
        </w:rPr>
        <w:t>与本合同有关的以及履行本合同产生的一切争议处理适用中华人民共和国法律（不包括港澳台地区法律</w:t>
      </w:r>
      <w:r>
        <w:rPr>
          <w:spacing w:val="-105"/>
        </w:rPr>
        <w:t>）</w:t>
      </w:r>
      <w:r>
        <w:rPr>
          <w:spacing w:val="-2"/>
        </w:rPr>
        <w:t>。</w:t>
      </w:r>
    </w:p>
    <w:p>
      <w:pPr>
        <w:pStyle w:val="4"/>
        <w:spacing w:before="7"/>
        <w:rPr>
          <w:sz w:val="24"/>
        </w:rPr>
      </w:pPr>
    </w:p>
    <w:p>
      <w:pPr>
        <w:pStyle w:val="3"/>
        <w:jc w:val="both"/>
      </w:pPr>
      <w:bookmarkStart w:id="37" w:name="_TOC_250002"/>
      <w:r>
        <w:t>第三十二条</w:t>
      </w:r>
      <w:r>
        <w:rPr>
          <w:spacing w:val="-6"/>
        </w:rPr>
        <w:t xml:space="preserve"> 诉</w:t>
      </w:r>
      <w:r>
        <w:t>讼时</w:t>
      </w:r>
      <w:bookmarkEnd w:id="37"/>
      <w:r>
        <w:rPr>
          <w:spacing w:val="-10"/>
        </w:rPr>
        <w:t>效</w:t>
      </w:r>
    </w:p>
    <w:p>
      <w:pPr>
        <w:pStyle w:val="4"/>
        <w:spacing w:before="89" w:line="319" w:lineRule="auto"/>
        <w:ind w:left="337" w:right="274" w:firstLine="420"/>
      </w:pPr>
      <w:r>
        <w:rPr>
          <w:spacing w:val="-3"/>
        </w:rPr>
        <w:t xml:space="preserve">本合同的被保险人或者受益人向我们请求给付保险金的诉讼时效期间为 </w:t>
      </w:r>
      <w:r>
        <w:rPr>
          <w:spacing w:val="-2"/>
        </w:rPr>
        <w:t>5</w:t>
      </w:r>
      <w:r>
        <w:rPr>
          <w:spacing w:val="-7"/>
        </w:rPr>
        <w:t xml:space="preserve"> 年，自其知道或应当</w:t>
      </w:r>
      <w:r>
        <w:rPr>
          <w:spacing w:val="-2"/>
        </w:rPr>
        <w:t>知道保险事故发生之日起计算。</w:t>
      </w:r>
    </w:p>
    <w:p>
      <w:pPr>
        <w:pStyle w:val="4"/>
        <w:spacing w:before="7"/>
        <w:rPr>
          <w:sz w:val="24"/>
        </w:rPr>
      </w:pPr>
    </w:p>
    <w:p>
      <w:pPr>
        <w:pStyle w:val="3"/>
        <w:jc w:val="both"/>
      </w:pPr>
      <w:bookmarkStart w:id="38" w:name="_TOC_250001"/>
      <w:r>
        <w:t>第三十三条</w:t>
      </w:r>
      <w:r>
        <w:rPr>
          <w:spacing w:val="-8"/>
        </w:rPr>
        <w:t xml:space="preserve"> 联</w:t>
      </w:r>
      <w:r>
        <w:t>系方式变</w:t>
      </w:r>
      <w:bookmarkEnd w:id="38"/>
      <w:r>
        <w:rPr>
          <w:spacing w:val="-10"/>
        </w:rPr>
        <w:t>更</w:t>
      </w:r>
    </w:p>
    <w:p>
      <w:pPr>
        <w:pStyle w:val="4"/>
        <w:spacing w:before="90" w:line="319" w:lineRule="auto"/>
        <w:ind w:left="337" w:right="273" w:firstLine="420"/>
        <w:jc w:val="both"/>
      </w:pPr>
      <w:r>
        <w:rPr>
          <w:spacing w:val="-2"/>
        </w:rPr>
        <w:t>您的住所、通讯地址、邮箱或电话等联系方式变更时，请您及时以书面形式或双方认可的其他</w:t>
      </w:r>
      <w:r>
        <w:rPr>
          <w:spacing w:val="-17"/>
        </w:rPr>
        <w:t>形式通知我们。若您未以书面形式或双方认可的其他形式通知我们，我们按本合同载明的最后住所、</w:t>
      </w:r>
      <w:r>
        <w:rPr>
          <w:spacing w:val="-2"/>
        </w:rPr>
        <w:t>通讯地址、电子邮箱发送有关通知，均视为已送达给您。</w:t>
      </w:r>
    </w:p>
    <w:p>
      <w:pPr>
        <w:pStyle w:val="4"/>
        <w:rPr>
          <w:sz w:val="20"/>
        </w:rPr>
      </w:pPr>
    </w:p>
    <w:p>
      <w:pPr>
        <w:pStyle w:val="2"/>
        <w:spacing w:before="145"/>
        <w:ind w:left="60"/>
      </w:pPr>
      <w:bookmarkStart w:id="39" w:name="_TOC_250000"/>
      <w:r>
        <w:t>第七部</w:t>
      </w:r>
      <w:r>
        <w:rPr>
          <w:spacing w:val="-7"/>
        </w:rPr>
        <w:t>分 名</w:t>
      </w:r>
      <w:r>
        <w:t>词释</w:t>
      </w:r>
      <w:bookmarkEnd w:id="39"/>
      <w:r>
        <w:rPr>
          <w:spacing w:val="-10"/>
        </w:rPr>
        <w:t>义</w:t>
      </w:r>
    </w:p>
    <w:p>
      <w:pPr>
        <w:pStyle w:val="4"/>
        <w:spacing w:before="1"/>
        <w:rPr>
          <w:b/>
          <w:sz w:val="27"/>
        </w:rPr>
      </w:pPr>
    </w:p>
    <w:p>
      <w:pPr>
        <w:pStyle w:val="12"/>
        <w:numPr>
          <w:ilvl w:val="0"/>
          <w:numId w:val="5"/>
        </w:numPr>
        <w:tabs>
          <w:tab w:val="left" w:pos="481"/>
          <w:tab w:val="left" w:pos="2432"/>
        </w:tabs>
        <w:spacing w:before="1" w:after="0" w:line="319" w:lineRule="auto"/>
        <w:ind w:left="2432" w:right="113" w:hanging="2326"/>
        <w:jc w:val="left"/>
        <w:rPr>
          <w:sz w:val="21"/>
        </w:rPr>
      </w:pPr>
      <w:r>
        <w:rPr>
          <w:b/>
          <w:spacing w:val="-6"/>
          <w:sz w:val="21"/>
        </w:rPr>
        <w:t>周岁</w:t>
      </w:r>
      <w:r>
        <w:rPr>
          <w:b/>
          <w:sz w:val="21"/>
        </w:rPr>
        <w:tab/>
      </w:r>
      <w:r>
        <w:rPr>
          <w:spacing w:val="-2"/>
          <w:sz w:val="21"/>
        </w:rPr>
        <w:t>指按有效身份证件中记载的出生日期计算的年龄，自出生之日起为零周岁，每经过一年增加一岁，不足一年的不计。</w:t>
      </w:r>
    </w:p>
    <w:p>
      <w:pPr>
        <w:pStyle w:val="4"/>
        <w:spacing w:before="12"/>
        <w:rPr>
          <w:sz w:val="17"/>
        </w:rPr>
      </w:pPr>
    </w:p>
    <w:p>
      <w:pPr>
        <w:pStyle w:val="12"/>
        <w:numPr>
          <w:ilvl w:val="0"/>
          <w:numId w:val="5"/>
        </w:numPr>
        <w:tabs>
          <w:tab w:val="left" w:pos="481"/>
          <w:tab w:val="left" w:pos="2432"/>
        </w:tabs>
        <w:spacing w:before="0" w:after="0" w:line="319" w:lineRule="auto"/>
        <w:ind w:left="2432" w:right="113" w:hanging="2326"/>
        <w:jc w:val="left"/>
        <w:rPr>
          <w:sz w:val="21"/>
        </w:rPr>
      </w:pPr>
      <w:r>
        <w:rPr>
          <w:b/>
          <w:spacing w:val="-2"/>
          <w:sz w:val="21"/>
        </w:rPr>
        <w:t>保险单周年日</w:t>
      </w:r>
      <w:r>
        <w:rPr>
          <w:b/>
          <w:sz w:val="21"/>
        </w:rPr>
        <w:tab/>
      </w:r>
      <w:r>
        <w:rPr>
          <w:spacing w:val="-2"/>
          <w:sz w:val="21"/>
        </w:rPr>
        <w:t>指在本合同有效期内的每一个保险单年度内本合同生效日的对应日。第一个保险单周年日是指保险单生效一年后的本合同生效日期的对应日。</w:t>
      </w:r>
    </w:p>
    <w:p>
      <w:pPr>
        <w:pStyle w:val="4"/>
        <w:spacing w:before="10"/>
        <w:rPr>
          <w:sz w:val="17"/>
        </w:rPr>
      </w:pPr>
    </w:p>
    <w:p>
      <w:pPr>
        <w:pStyle w:val="12"/>
        <w:numPr>
          <w:ilvl w:val="0"/>
          <w:numId w:val="5"/>
        </w:numPr>
        <w:tabs>
          <w:tab w:val="left" w:pos="481"/>
          <w:tab w:val="left" w:pos="2432"/>
        </w:tabs>
        <w:spacing w:before="1" w:after="0" w:line="319" w:lineRule="auto"/>
        <w:ind w:left="2432" w:right="112" w:hanging="2326"/>
        <w:jc w:val="left"/>
        <w:rPr>
          <w:sz w:val="21"/>
        </w:rPr>
      </w:pPr>
      <w:r>
        <w:rPr>
          <w:b/>
          <w:w w:val="99"/>
          <w:sz w:val="21"/>
        </w:rPr>
        <w:t>保险单年度</w:t>
      </w:r>
      <w:r>
        <w:rPr>
          <w:b/>
          <w:sz w:val="21"/>
        </w:rPr>
        <w:tab/>
      </w:r>
      <w:r>
        <w:rPr>
          <w:spacing w:val="4"/>
          <w:sz w:val="21"/>
        </w:rPr>
        <w:t>从本合</w:t>
      </w:r>
      <w:r>
        <w:rPr>
          <w:spacing w:val="6"/>
          <w:sz w:val="21"/>
        </w:rPr>
        <w:t>同生</w:t>
      </w:r>
      <w:r>
        <w:rPr>
          <w:spacing w:val="4"/>
          <w:sz w:val="21"/>
        </w:rPr>
        <w:t>效日或</w:t>
      </w:r>
      <w:r>
        <w:rPr>
          <w:spacing w:val="6"/>
          <w:sz w:val="21"/>
        </w:rPr>
        <w:t>保险</w:t>
      </w:r>
      <w:r>
        <w:rPr>
          <w:spacing w:val="4"/>
          <w:sz w:val="21"/>
        </w:rPr>
        <w:t>单周年</w:t>
      </w:r>
      <w:r>
        <w:rPr>
          <w:spacing w:val="6"/>
          <w:sz w:val="21"/>
        </w:rPr>
        <w:t>日零</w:t>
      </w:r>
      <w:r>
        <w:rPr>
          <w:spacing w:val="4"/>
          <w:sz w:val="21"/>
        </w:rPr>
        <w:t>时起至</w:t>
      </w:r>
      <w:r>
        <w:rPr>
          <w:spacing w:val="6"/>
          <w:sz w:val="21"/>
        </w:rPr>
        <w:t>下一</w:t>
      </w:r>
      <w:r>
        <w:rPr>
          <w:spacing w:val="4"/>
          <w:sz w:val="21"/>
        </w:rPr>
        <w:t>年度的</w:t>
      </w:r>
      <w:r>
        <w:rPr>
          <w:spacing w:val="6"/>
          <w:sz w:val="21"/>
        </w:rPr>
        <w:t>保险</w:t>
      </w:r>
      <w:r>
        <w:rPr>
          <w:spacing w:val="4"/>
          <w:sz w:val="21"/>
        </w:rPr>
        <w:t>单周年</w:t>
      </w:r>
      <w:r>
        <w:rPr>
          <w:spacing w:val="6"/>
          <w:sz w:val="21"/>
        </w:rPr>
        <w:t>日零</w:t>
      </w:r>
      <w:r>
        <w:rPr>
          <w:spacing w:val="4"/>
          <w:sz w:val="21"/>
        </w:rPr>
        <w:t>时</w:t>
      </w:r>
      <w:r>
        <w:rPr>
          <w:spacing w:val="3"/>
          <w:sz w:val="21"/>
        </w:rPr>
        <w:t>止</w:t>
      </w:r>
      <w:r>
        <w:rPr>
          <w:sz w:val="21"/>
        </w:rPr>
        <w:t>为一个保险单年度。</w:t>
      </w:r>
    </w:p>
    <w:p>
      <w:pPr>
        <w:pStyle w:val="4"/>
        <w:rPr>
          <w:sz w:val="9"/>
        </w:rPr>
      </w:pPr>
    </w:p>
    <w:p>
      <w:pPr>
        <w:spacing w:after="0"/>
        <w:rPr>
          <w:sz w:val="9"/>
        </w:rPr>
        <w:sectPr>
          <w:pgSz w:w="11910" w:h="16840"/>
          <w:pgMar w:top="1420" w:right="1180" w:bottom="1620" w:left="1080" w:header="0" w:footer="1422" w:gutter="0"/>
          <w:cols w:space="720" w:num="1"/>
        </w:sectPr>
      </w:pPr>
    </w:p>
    <w:p>
      <w:pPr>
        <w:pStyle w:val="3"/>
        <w:numPr>
          <w:ilvl w:val="0"/>
          <w:numId w:val="5"/>
        </w:numPr>
        <w:tabs>
          <w:tab w:val="left" w:pos="481"/>
        </w:tabs>
        <w:spacing w:before="71" w:after="0" w:line="319" w:lineRule="auto"/>
        <w:ind w:left="479" w:right="38" w:hanging="374"/>
        <w:jc w:val="left"/>
      </w:pPr>
      <w:r>
        <w:rPr>
          <w:spacing w:val="-2"/>
        </w:rPr>
        <w:t>个人账户现金价值</w:t>
      </w:r>
      <w:r>
        <w:rPr>
          <w:spacing w:val="-6"/>
        </w:rPr>
        <w:t>净额</w:t>
      </w:r>
    </w:p>
    <w:p>
      <w:pPr>
        <w:pStyle w:val="4"/>
        <w:spacing w:before="71"/>
        <w:ind w:left="106"/>
      </w:pPr>
      <w:r>
        <w:br w:type="column"/>
      </w:r>
      <w:r>
        <w:rPr>
          <w:spacing w:val="-1"/>
        </w:rPr>
        <w:t>指个人账户现金价值扣除未还清款项及其利息后的余额。</w:t>
      </w:r>
    </w:p>
    <w:p>
      <w:pPr>
        <w:spacing w:after="0"/>
        <w:sectPr>
          <w:type w:val="continuous"/>
          <w:pgSz w:w="11910" w:h="16840"/>
          <w:pgMar w:top="1020" w:right="1180" w:bottom="280" w:left="1080" w:header="0" w:footer="1422" w:gutter="0"/>
          <w:cols w:equalWidth="0" w:num="2">
            <w:col w:w="2207" w:space="118"/>
            <w:col w:w="7325"/>
          </w:cols>
        </w:sectPr>
      </w:pPr>
    </w:p>
    <w:p>
      <w:pPr>
        <w:pStyle w:val="4"/>
        <w:spacing w:before="8"/>
        <w:rPr>
          <w:sz w:val="22"/>
        </w:rPr>
      </w:pPr>
    </w:p>
    <w:p>
      <w:pPr>
        <w:pStyle w:val="12"/>
        <w:numPr>
          <w:ilvl w:val="0"/>
          <w:numId w:val="5"/>
        </w:numPr>
        <w:tabs>
          <w:tab w:val="left" w:pos="481"/>
          <w:tab w:val="left" w:pos="2432"/>
        </w:tabs>
        <w:spacing w:before="71" w:after="0" w:line="240" w:lineRule="auto"/>
        <w:ind w:left="480" w:right="0" w:hanging="375"/>
        <w:jc w:val="left"/>
        <w:rPr>
          <w:sz w:val="21"/>
        </w:rPr>
      </w:pPr>
      <w:r>
        <w:rPr>
          <w:b/>
          <w:w w:val="95"/>
          <w:sz w:val="21"/>
        </w:rPr>
        <w:t>个人账户现金价</w:t>
      </w:r>
      <w:r>
        <w:rPr>
          <w:b/>
          <w:spacing w:val="-10"/>
          <w:w w:val="95"/>
          <w:sz w:val="21"/>
        </w:rPr>
        <w:t>值</w:t>
      </w:r>
      <w:r>
        <w:rPr>
          <w:b/>
          <w:sz w:val="21"/>
        </w:rPr>
        <w:tab/>
      </w:r>
      <w:r>
        <w:rPr>
          <w:sz w:val="21"/>
        </w:rPr>
        <w:t>指个人账户价值与解除合同费用之间的差额</w:t>
      </w:r>
      <w:r>
        <w:rPr>
          <w:spacing w:val="-10"/>
          <w:sz w:val="21"/>
        </w:rPr>
        <w:t>。</w:t>
      </w:r>
    </w:p>
    <w:p>
      <w:pPr>
        <w:pStyle w:val="4"/>
        <w:spacing w:before="9"/>
        <w:rPr>
          <w:sz w:val="24"/>
        </w:rPr>
      </w:pPr>
    </w:p>
    <w:p>
      <w:pPr>
        <w:pStyle w:val="12"/>
        <w:numPr>
          <w:ilvl w:val="0"/>
          <w:numId w:val="5"/>
        </w:numPr>
        <w:tabs>
          <w:tab w:val="left" w:pos="480"/>
          <w:tab w:val="left" w:pos="2432"/>
        </w:tabs>
        <w:spacing w:before="0" w:after="0" w:line="319" w:lineRule="auto"/>
        <w:ind w:left="2432" w:right="108" w:hanging="2326"/>
        <w:jc w:val="both"/>
        <w:rPr>
          <w:sz w:val="21"/>
        </w:rPr>
      </w:pPr>
      <w:r>
        <w:rPr>
          <w:b/>
          <w:w w:val="99"/>
          <w:sz w:val="21"/>
        </w:rPr>
        <w:t>毒品</w:t>
      </w:r>
      <w:r>
        <w:rPr>
          <w:b/>
          <w:sz w:val="21"/>
        </w:rPr>
        <w:tab/>
      </w:r>
      <w:r>
        <w:rPr>
          <w:spacing w:val="2"/>
          <w:sz w:val="21"/>
        </w:rPr>
        <w:t>指中</w:t>
      </w:r>
      <w:r>
        <w:rPr>
          <w:spacing w:val="1"/>
          <w:sz w:val="21"/>
        </w:rPr>
        <w:t>华</w:t>
      </w:r>
      <w:r>
        <w:rPr>
          <w:spacing w:val="2"/>
          <w:sz w:val="21"/>
        </w:rPr>
        <w:t>人</w:t>
      </w:r>
      <w:r>
        <w:rPr>
          <w:spacing w:val="1"/>
          <w:sz w:val="21"/>
        </w:rPr>
        <w:t>民</w:t>
      </w:r>
      <w:r>
        <w:rPr>
          <w:spacing w:val="2"/>
          <w:sz w:val="21"/>
        </w:rPr>
        <w:t>共和</w:t>
      </w:r>
      <w:r>
        <w:rPr>
          <w:spacing w:val="1"/>
          <w:sz w:val="21"/>
        </w:rPr>
        <w:t>国</w:t>
      </w:r>
      <w:r>
        <w:rPr>
          <w:spacing w:val="2"/>
          <w:sz w:val="21"/>
        </w:rPr>
        <w:t>刑</w:t>
      </w:r>
      <w:r>
        <w:rPr>
          <w:spacing w:val="1"/>
          <w:sz w:val="21"/>
        </w:rPr>
        <w:t>法</w:t>
      </w:r>
      <w:r>
        <w:rPr>
          <w:spacing w:val="2"/>
          <w:sz w:val="21"/>
        </w:rPr>
        <w:t>规定</w:t>
      </w:r>
      <w:r>
        <w:rPr>
          <w:spacing w:val="1"/>
          <w:sz w:val="21"/>
        </w:rPr>
        <w:t>的</w:t>
      </w:r>
      <w:r>
        <w:rPr>
          <w:spacing w:val="2"/>
          <w:sz w:val="21"/>
        </w:rPr>
        <w:t>鸦</w:t>
      </w:r>
      <w:r>
        <w:rPr>
          <w:spacing w:val="1"/>
          <w:sz w:val="21"/>
        </w:rPr>
        <w:t>片</w:t>
      </w:r>
      <w:r>
        <w:rPr>
          <w:spacing w:val="2"/>
          <w:sz w:val="21"/>
        </w:rPr>
        <w:t>、海</w:t>
      </w:r>
      <w:r>
        <w:rPr>
          <w:spacing w:val="1"/>
          <w:sz w:val="21"/>
        </w:rPr>
        <w:t>洛</w:t>
      </w:r>
      <w:r>
        <w:rPr>
          <w:spacing w:val="2"/>
          <w:sz w:val="21"/>
        </w:rPr>
        <w:t>因</w:t>
      </w:r>
      <w:r>
        <w:rPr>
          <w:spacing w:val="1"/>
          <w:sz w:val="21"/>
        </w:rPr>
        <w:t>、</w:t>
      </w:r>
      <w:r>
        <w:rPr>
          <w:spacing w:val="2"/>
          <w:sz w:val="21"/>
        </w:rPr>
        <w:t>甲基</w:t>
      </w:r>
      <w:r>
        <w:rPr>
          <w:spacing w:val="1"/>
          <w:sz w:val="21"/>
        </w:rPr>
        <w:t>苯</w:t>
      </w:r>
      <w:r>
        <w:rPr>
          <w:spacing w:val="2"/>
          <w:sz w:val="21"/>
        </w:rPr>
        <w:t>丙</w:t>
      </w:r>
      <w:r>
        <w:rPr>
          <w:spacing w:val="1"/>
          <w:sz w:val="21"/>
        </w:rPr>
        <w:t>胺</w:t>
      </w:r>
      <w:r>
        <w:rPr>
          <w:spacing w:val="2"/>
          <w:sz w:val="21"/>
        </w:rPr>
        <w:t>（冰毒</w:t>
      </w:r>
      <w:r>
        <w:rPr>
          <w:spacing w:val="-105"/>
          <w:sz w:val="21"/>
        </w:rPr>
        <w:t>）</w:t>
      </w:r>
      <w:r>
        <w:rPr>
          <w:spacing w:val="2"/>
          <w:sz w:val="21"/>
        </w:rPr>
        <w:t>、</w:t>
      </w:r>
      <w:r>
        <w:rPr>
          <w:spacing w:val="1"/>
          <w:sz w:val="21"/>
        </w:rPr>
        <w:t>吗</w:t>
      </w:r>
      <w:r>
        <w:rPr>
          <w:spacing w:val="2"/>
          <w:sz w:val="21"/>
        </w:rPr>
        <w:t>啡、大</w:t>
      </w:r>
      <w:r>
        <w:rPr>
          <w:spacing w:val="4"/>
          <w:sz w:val="21"/>
        </w:rPr>
        <w:t>麻、可</w:t>
      </w:r>
      <w:r>
        <w:rPr>
          <w:spacing w:val="6"/>
          <w:sz w:val="21"/>
        </w:rPr>
        <w:t>卡因</w:t>
      </w:r>
      <w:r>
        <w:rPr>
          <w:spacing w:val="4"/>
          <w:sz w:val="21"/>
        </w:rPr>
        <w:t>以及国</w:t>
      </w:r>
      <w:r>
        <w:rPr>
          <w:spacing w:val="6"/>
          <w:sz w:val="21"/>
        </w:rPr>
        <w:t>家规</w:t>
      </w:r>
      <w:r>
        <w:rPr>
          <w:spacing w:val="4"/>
          <w:sz w:val="21"/>
        </w:rPr>
        <w:t>定管制</w:t>
      </w:r>
      <w:r>
        <w:rPr>
          <w:spacing w:val="6"/>
          <w:sz w:val="21"/>
        </w:rPr>
        <w:t>的其</w:t>
      </w:r>
      <w:r>
        <w:rPr>
          <w:spacing w:val="4"/>
          <w:sz w:val="21"/>
        </w:rPr>
        <w:t>他能够</w:t>
      </w:r>
      <w:r>
        <w:rPr>
          <w:spacing w:val="6"/>
          <w:sz w:val="21"/>
        </w:rPr>
        <w:t>使人</w:t>
      </w:r>
      <w:r>
        <w:rPr>
          <w:spacing w:val="4"/>
          <w:sz w:val="21"/>
        </w:rPr>
        <w:t>形成瘾</w:t>
      </w:r>
      <w:r>
        <w:rPr>
          <w:spacing w:val="6"/>
          <w:sz w:val="21"/>
        </w:rPr>
        <w:t>癖的</w:t>
      </w:r>
      <w:r>
        <w:rPr>
          <w:spacing w:val="4"/>
          <w:sz w:val="21"/>
        </w:rPr>
        <w:t>麻醉药</w:t>
      </w:r>
      <w:r>
        <w:rPr>
          <w:spacing w:val="6"/>
          <w:sz w:val="21"/>
        </w:rPr>
        <w:t>品和</w:t>
      </w:r>
      <w:r>
        <w:rPr>
          <w:spacing w:val="4"/>
          <w:sz w:val="21"/>
        </w:rPr>
        <w:t>精</w:t>
      </w:r>
      <w:r>
        <w:rPr>
          <w:spacing w:val="3"/>
          <w:sz w:val="21"/>
        </w:rPr>
        <w:t>神</w:t>
      </w:r>
      <w:r>
        <w:rPr>
          <w:sz w:val="21"/>
        </w:rPr>
        <w:t>药品</w:t>
      </w:r>
      <w:r>
        <w:rPr>
          <w:spacing w:val="-44"/>
          <w:sz w:val="21"/>
        </w:rPr>
        <w:t>，</w:t>
      </w:r>
      <w:r>
        <w:rPr>
          <w:sz w:val="21"/>
        </w:rPr>
        <w:t>但不包括由医生开具并遵医嘱使用的用于治疗疾病但含有毒品成分的处</w:t>
      </w:r>
      <w:r>
        <w:rPr>
          <w:spacing w:val="-12"/>
          <w:sz w:val="21"/>
        </w:rPr>
        <w:t>方</w:t>
      </w:r>
      <w:r>
        <w:rPr>
          <w:sz w:val="21"/>
        </w:rPr>
        <w:t>药品。</w:t>
      </w:r>
    </w:p>
    <w:p>
      <w:pPr>
        <w:pStyle w:val="4"/>
        <w:spacing w:before="1"/>
        <w:rPr>
          <w:sz w:val="18"/>
        </w:rPr>
      </w:pPr>
    </w:p>
    <w:p>
      <w:pPr>
        <w:pStyle w:val="12"/>
        <w:numPr>
          <w:ilvl w:val="0"/>
          <w:numId w:val="5"/>
        </w:numPr>
        <w:tabs>
          <w:tab w:val="left" w:pos="481"/>
        </w:tabs>
        <w:spacing w:before="0" w:after="0" w:line="319" w:lineRule="auto"/>
        <w:ind w:left="2432" w:right="113" w:hanging="2326"/>
        <w:jc w:val="both"/>
        <w:rPr>
          <w:sz w:val="21"/>
        </w:rPr>
      </w:pPr>
      <w:r>
        <w:rPr>
          <w:b/>
          <w:sz w:val="21"/>
        </w:rPr>
        <w:t>酒后驾驶</w:t>
      </w:r>
      <w:r>
        <w:rPr>
          <w:b/>
          <w:spacing w:val="926"/>
          <w:sz w:val="21"/>
        </w:rPr>
        <w:t xml:space="preserve"> </w:t>
      </w:r>
      <w:r>
        <w:rPr>
          <w:sz w:val="21"/>
        </w:rPr>
        <w:t>指经检测或者鉴定，发生事故时车辆驾驶人员每百毫升血液中的酒精含量达到</w:t>
      </w:r>
      <w:r>
        <w:rPr>
          <w:spacing w:val="-2"/>
          <w:sz w:val="21"/>
        </w:rPr>
        <w:t>或者超过一定的标准，公安机关交通管理部门依据《道路交通安全法》的规定认定为饮酒后驾驶或者醉酒后驾驶。</w:t>
      </w:r>
    </w:p>
    <w:p>
      <w:pPr>
        <w:pStyle w:val="4"/>
        <w:spacing w:before="5"/>
        <w:rPr>
          <w:sz w:val="12"/>
        </w:rPr>
      </w:pPr>
    </w:p>
    <w:p>
      <w:pPr>
        <w:spacing w:after="0"/>
        <w:rPr>
          <w:sz w:val="12"/>
        </w:rPr>
        <w:sectPr>
          <w:type w:val="continuous"/>
          <w:pgSz w:w="11910" w:h="16840"/>
          <w:pgMar w:top="1020" w:right="1180" w:bottom="280" w:left="1080" w:header="0" w:footer="1422" w:gutter="0"/>
          <w:cols w:space="720" w:num="1"/>
        </w:sectPr>
      </w:pPr>
    </w:p>
    <w:p>
      <w:pPr>
        <w:pStyle w:val="3"/>
        <w:numPr>
          <w:ilvl w:val="0"/>
          <w:numId w:val="5"/>
        </w:numPr>
        <w:tabs>
          <w:tab w:val="left" w:pos="481"/>
        </w:tabs>
        <w:spacing w:before="71" w:after="0" w:line="319" w:lineRule="auto"/>
        <w:ind w:left="479" w:right="38" w:hanging="374"/>
        <w:jc w:val="left"/>
      </w:pPr>
      <w:r>
        <w:rPr>
          <w:spacing w:val="-2"/>
        </w:rPr>
        <w:t>无合法有效驾驶证</w:t>
      </w:r>
      <w:r>
        <w:rPr>
          <w:spacing w:val="-6"/>
        </w:rPr>
        <w:t>驾驶</w:t>
      </w:r>
    </w:p>
    <w:p>
      <w:pPr>
        <w:pStyle w:val="4"/>
        <w:spacing w:before="71"/>
        <w:ind w:left="106"/>
      </w:pPr>
      <w:r>
        <w:br w:type="column"/>
      </w:r>
      <w:r>
        <w:rPr>
          <w:spacing w:val="-2"/>
        </w:rPr>
        <w:t>指下列情形之一：</w:t>
      </w:r>
    </w:p>
    <w:p>
      <w:pPr>
        <w:pStyle w:val="12"/>
        <w:numPr>
          <w:ilvl w:val="0"/>
          <w:numId w:val="6"/>
        </w:numPr>
        <w:tabs>
          <w:tab w:val="left" w:pos="634"/>
        </w:tabs>
        <w:spacing w:before="90" w:after="0" w:line="240" w:lineRule="auto"/>
        <w:ind w:left="633" w:right="0" w:hanging="528"/>
        <w:jc w:val="left"/>
        <w:rPr>
          <w:sz w:val="21"/>
        </w:rPr>
      </w:pPr>
      <w:r>
        <w:rPr>
          <w:spacing w:val="-2"/>
          <w:sz w:val="21"/>
        </w:rPr>
        <w:t>没有取得驾驶资格；</w:t>
      </w:r>
    </w:p>
    <w:p>
      <w:pPr>
        <w:pStyle w:val="12"/>
        <w:numPr>
          <w:ilvl w:val="0"/>
          <w:numId w:val="6"/>
        </w:numPr>
        <w:tabs>
          <w:tab w:val="left" w:pos="634"/>
        </w:tabs>
        <w:spacing w:before="89" w:after="0" w:line="240" w:lineRule="auto"/>
        <w:ind w:left="633" w:right="0" w:hanging="528"/>
        <w:jc w:val="left"/>
        <w:rPr>
          <w:sz w:val="21"/>
        </w:rPr>
      </w:pPr>
      <w:r>
        <w:rPr>
          <w:spacing w:val="-1"/>
          <w:sz w:val="21"/>
        </w:rPr>
        <w:t>驾驶与驾驶证准驾车型不相符合的车辆；</w:t>
      </w:r>
    </w:p>
    <w:p>
      <w:pPr>
        <w:spacing w:after="0" w:line="240" w:lineRule="auto"/>
        <w:jc w:val="left"/>
        <w:rPr>
          <w:sz w:val="21"/>
        </w:rPr>
        <w:sectPr>
          <w:type w:val="continuous"/>
          <w:pgSz w:w="11910" w:h="16840"/>
          <w:pgMar w:top="1020" w:right="1180" w:bottom="280" w:left="1080" w:header="0" w:footer="1422" w:gutter="0"/>
          <w:cols w:equalWidth="0" w:num="2">
            <w:col w:w="2207" w:space="118"/>
            <w:col w:w="7325"/>
          </w:cols>
        </w:sectPr>
      </w:pPr>
    </w:p>
    <w:p>
      <w:pPr>
        <w:pStyle w:val="12"/>
        <w:numPr>
          <w:ilvl w:val="0"/>
          <w:numId w:val="6"/>
        </w:numPr>
        <w:tabs>
          <w:tab w:val="left" w:pos="2959"/>
        </w:tabs>
        <w:spacing w:before="61" w:after="0" w:line="240" w:lineRule="auto"/>
        <w:ind w:left="2959" w:right="0" w:hanging="527"/>
        <w:jc w:val="left"/>
        <w:rPr>
          <w:sz w:val="21"/>
        </w:rPr>
      </w:pPr>
      <w:r>
        <w:rPr>
          <w:spacing w:val="-1"/>
          <w:sz w:val="21"/>
        </w:rPr>
        <w:t>持审验不合格的驾驶证驾驶；</w:t>
      </w:r>
    </w:p>
    <w:p>
      <w:pPr>
        <w:pStyle w:val="12"/>
        <w:numPr>
          <w:ilvl w:val="0"/>
          <w:numId w:val="6"/>
        </w:numPr>
        <w:tabs>
          <w:tab w:val="left" w:pos="2959"/>
        </w:tabs>
        <w:spacing w:before="90" w:after="0" w:line="319" w:lineRule="auto"/>
        <w:ind w:left="2958" w:right="111" w:hanging="526"/>
        <w:jc w:val="left"/>
        <w:rPr>
          <w:sz w:val="21"/>
        </w:rPr>
      </w:pPr>
      <w:r>
        <w:rPr>
          <w:spacing w:val="-2"/>
          <w:sz w:val="21"/>
        </w:rPr>
        <w:t>持学习驾驶证学习驾车时，无教练员随车指导，或者不按指定时间、路线学习驾车。</w:t>
      </w:r>
    </w:p>
    <w:p>
      <w:pPr>
        <w:pStyle w:val="4"/>
        <w:spacing w:before="11"/>
        <w:rPr>
          <w:sz w:val="17"/>
        </w:rPr>
      </w:pPr>
    </w:p>
    <w:p>
      <w:pPr>
        <w:pStyle w:val="12"/>
        <w:numPr>
          <w:ilvl w:val="0"/>
          <w:numId w:val="5"/>
        </w:numPr>
        <w:tabs>
          <w:tab w:val="left" w:pos="480"/>
          <w:tab w:val="left" w:pos="2432"/>
        </w:tabs>
        <w:spacing w:before="0" w:after="0" w:line="240" w:lineRule="auto"/>
        <w:ind w:left="479" w:right="0" w:hanging="374"/>
        <w:jc w:val="left"/>
        <w:rPr>
          <w:sz w:val="21"/>
        </w:rPr>
      </w:pPr>
      <w:r>
        <w:rPr>
          <w:b/>
          <w:w w:val="95"/>
          <w:sz w:val="21"/>
        </w:rPr>
        <w:t>无有效行驶</w:t>
      </w:r>
      <w:r>
        <w:rPr>
          <w:b/>
          <w:spacing w:val="-10"/>
          <w:w w:val="95"/>
          <w:sz w:val="21"/>
        </w:rPr>
        <w:t>证</w:t>
      </w:r>
      <w:r>
        <w:rPr>
          <w:b/>
          <w:sz w:val="21"/>
        </w:rPr>
        <w:tab/>
      </w:r>
      <w:r>
        <w:rPr>
          <w:sz w:val="21"/>
        </w:rPr>
        <w:t>指下列情形之一</w:t>
      </w:r>
      <w:r>
        <w:rPr>
          <w:spacing w:val="-10"/>
          <w:sz w:val="21"/>
        </w:rPr>
        <w:t>：</w:t>
      </w:r>
    </w:p>
    <w:p>
      <w:pPr>
        <w:pStyle w:val="12"/>
        <w:numPr>
          <w:ilvl w:val="1"/>
          <w:numId w:val="5"/>
        </w:numPr>
        <w:tabs>
          <w:tab w:val="left" w:pos="2960"/>
        </w:tabs>
        <w:spacing w:before="90" w:after="0" w:line="240" w:lineRule="auto"/>
        <w:ind w:left="2959" w:right="0" w:hanging="528"/>
        <w:jc w:val="left"/>
        <w:rPr>
          <w:sz w:val="21"/>
        </w:rPr>
      </w:pPr>
      <w:r>
        <w:rPr>
          <w:spacing w:val="-1"/>
          <w:sz w:val="21"/>
        </w:rPr>
        <w:t>机动车被依法注销登记的；</w:t>
      </w:r>
    </w:p>
    <w:p>
      <w:pPr>
        <w:pStyle w:val="12"/>
        <w:numPr>
          <w:ilvl w:val="1"/>
          <w:numId w:val="5"/>
        </w:numPr>
        <w:tabs>
          <w:tab w:val="left" w:pos="2960"/>
        </w:tabs>
        <w:spacing w:before="89" w:after="0" w:line="240" w:lineRule="auto"/>
        <w:ind w:left="2959" w:right="0" w:hanging="528"/>
        <w:jc w:val="left"/>
        <w:rPr>
          <w:sz w:val="21"/>
        </w:rPr>
      </w:pPr>
      <w:r>
        <w:rPr>
          <w:spacing w:val="-1"/>
          <w:sz w:val="21"/>
        </w:rPr>
        <w:t>未依法按时进行或者通过机动车安全技术检验。</w:t>
      </w:r>
    </w:p>
    <w:p>
      <w:pPr>
        <w:pStyle w:val="12"/>
        <w:numPr>
          <w:ilvl w:val="0"/>
          <w:numId w:val="5"/>
        </w:numPr>
        <w:tabs>
          <w:tab w:val="left" w:pos="481"/>
          <w:tab w:val="left" w:pos="2432"/>
        </w:tabs>
        <w:spacing w:before="171" w:after="0" w:line="319" w:lineRule="auto"/>
        <w:ind w:left="2432" w:right="113" w:hanging="2326"/>
        <w:jc w:val="left"/>
        <w:rPr>
          <w:sz w:val="21"/>
        </w:rPr>
      </w:pPr>
      <w:r>
        <w:rPr>
          <w:b/>
          <w:spacing w:val="-4"/>
          <w:sz w:val="21"/>
        </w:rPr>
        <w:t>机动车</w:t>
      </w:r>
      <w:r>
        <w:rPr>
          <w:b/>
          <w:sz w:val="21"/>
        </w:rPr>
        <w:tab/>
      </w:r>
      <w:r>
        <w:rPr>
          <w:spacing w:val="-2"/>
          <w:sz w:val="21"/>
        </w:rPr>
        <w:t>指以动力装置驱动或者牵引，上道路行驶的供人员乘用或者用于运送物品以及进行工程专项作业的轮式车辆。</w:t>
      </w:r>
    </w:p>
    <w:p>
      <w:pPr>
        <w:pStyle w:val="4"/>
        <w:spacing w:before="10"/>
        <w:rPr>
          <w:sz w:val="17"/>
        </w:rPr>
      </w:pPr>
    </w:p>
    <w:p>
      <w:pPr>
        <w:pStyle w:val="12"/>
        <w:numPr>
          <w:ilvl w:val="0"/>
          <w:numId w:val="5"/>
        </w:numPr>
        <w:tabs>
          <w:tab w:val="left" w:pos="481"/>
          <w:tab w:val="left" w:pos="2432"/>
        </w:tabs>
        <w:spacing w:before="0" w:after="0" w:line="319" w:lineRule="auto"/>
        <w:ind w:left="2432" w:right="113" w:hanging="2326"/>
        <w:jc w:val="left"/>
        <w:rPr>
          <w:sz w:val="21"/>
        </w:rPr>
      </w:pPr>
      <w:r>
        <w:rPr>
          <w:b/>
          <w:spacing w:val="-2"/>
          <w:sz w:val="21"/>
        </w:rPr>
        <w:t>有效身份证件</w:t>
      </w:r>
      <w:r>
        <w:rPr>
          <w:b/>
          <w:sz w:val="21"/>
        </w:rPr>
        <w:tab/>
      </w:r>
      <w:r>
        <w:rPr>
          <w:spacing w:val="-2"/>
          <w:sz w:val="21"/>
        </w:rPr>
        <w:t>指由中华人民共和国政府主管部门规定的能够证明其身份的证件，如：居民身份证、按规定可使用的有效护照、户口簿等证件。</w:t>
      </w:r>
    </w:p>
    <w:p>
      <w:pPr>
        <w:pStyle w:val="4"/>
        <w:spacing w:before="11"/>
        <w:rPr>
          <w:sz w:val="17"/>
        </w:rPr>
      </w:pPr>
    </w:p>
    <w:p>
      <w:pPr>
        <w:pStyle w:val="12"/>
        <w:numPr>
          <w:ilvl w:val="0"/>
          <w:numId w:val="5"/>
        </w:numPr>
        <w:tabs>
          <w:tab w:val="left" w:pos="481"/>
          <w:tab w:val="left" w:pos="2432"/>
        </w:tabs>
        <w:spacing w:before="0" w:after="0" w:line="319" w:lineRule="auto"/>
        <w:ind w:left="2432" w:right="113" w:hanging="2326"/>
        <w:jc w:val="left"/>
        <w:rPr>
          <w:sz w:val="21"/>
        </w:rPr>
      </w:pPr>
      <w:r>
        <w:rPr>
          <w:b/>
          <w:spacing w:val="-4"/>
          <w:sz w:val="21"/>
        </w:rPr>
        <w:t>结算日</w:t>
      </w:r>
      <w:r>
        <w:rPr>
          <w:b/>
          <w:sz w:val="21"/>
        </w:rPr>
        <w:tab/>
      </w:r>
      <w:r>
        <w:rPr>
          <w:spacing w:val="-2"/>
          <w:sz w:val="21"/>
        </w:rPr>
        <w:t>我公司每月公布万能账户结算利率，结算万能账户利息。每月结算日请查询公</w:t>
      </w:r>
      <w:r>
        <w:rPr>
          <w:spacing w:val="-4"/>
          <w:sz w:val="21"/>
        </w:rPr>
        <w:t>司官网。</w:t>
      </w:r>
    </w:p>
    <w:sectPr>
      <w:pgSz w:w="11910" w:h="16840"/>
      <w:pgMar w:top="1400" w:right="1180" w:bottom="1620" w:left="1080" w:header="0" w:footer="142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docshape1" o:spid="_x0000_s2049" o:spt="202" type="#_x0000_t202" style="position:absolute;left:0pt;margin-left:268.5pt;margin-top:759.85pt;height:12pt;width:58.2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w:t>
                </w:r>
                <w:r>
                  <w:rPr>
                    <w:rFonts w:ascii="Times New Roman" w:eastAsia="Times New Roman"/>
                    <w:sz w:val="18"/>
                  </w:rPr>
                  <w:fldChar w:fldCharType="end"/>
                </w:r>
                <w:r>
                  <w:rPr>
                    <w:rFonts w:ascii="Times New Roman" w:eastAsia="Times New Roman"/>
                    <w:spacing w:val="-1"/>
                    <w:sz w:val="18"/>
                  </w:rPr>
                  <w:t xml:space="preserve"> </w:t>
                </w:r>
                <w:r>
                  <w:rPr>
                    <w:sz w:val="18"/>
                  </w:rPr>
                  <w:t>页</w:t>
                </w:r>
                <w:r>
                  <w:rPr>
                    <w:rFonts w:ascii="Times New Roman" w:eastAsia="Times New Roman"/>
                    <w:sz w:val="18"/>
                  </w:rPr>
                  <w:t>,</w:t>
                </w:r>
                <w:r>
                  <w:rPr>
                    <w:spacing w:val="-23"/>
                    <w:sz w:val="18"/>
                  </w:rPr>
                  <w:t xml:space="preserve">共 </w:t>
                </w:r>
                <w:r>
                  <w:rPr>
                    <w:rFonts w:ascii="Times New Roman" w:eastAsia="Times New Roman"/>
                    <w:sz w:val="18"/>
                  </w:rPr>
                  <w:t>9</w:t>
                </w:r>
                <w:r>
                  <w:rPr>
                    <w:rFonts w:ascii="Times New Roman" w:eastAsia="Times New Roman"/>
                    <w:spacing w:val="-1"/>
                    <w:sz w:val="18"/>
                  </w:rPr>
                  <w:t xml:space="preserve"> </w:t>
                </w:r>
                <w:r>
                  <w:rPr>
                    <w:spacing w:val="-10"/>
                    <w:sz w:val="18"/>
                  </w:rPr>
                  <w:t>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2432" w:hanging="374"/>
        <w:jc w:val="left"/>
      </w:pPr>
      <w:rPr>
        <w:rFonts w:hint="default" w:ascii="宋体" w:hAnsi="宋体" w:eastAsia="宋体" w:cs="宋体"/>
        <w:b/>
        <w:bCs/>
        <w:i w:val="0"/>
        <w:iCs w:val="0"/>
        <w:spacing w:val="0"/>
        <w:w w:val="99"/>
        <w:sz w:val="21"/>
        <w:szCs w:val="21"/>
        <w:lang w:val="en-US" w:eastAsia="zh-CN" w:bidi="ar-SA"/>
      </w:rPr>
    </w:lvl>
    <w:lvl w:ilvl="1" w:tentative="0">
      <w:start w:val="1"/>
      <w:numFmt w:val="decimal"/>
      <w:lvlText w:val="（%2）"/>
      <w:lvlJc w:val="left"/>
      <w:pPr>
        <w:ind w:left="2959" w:hanging="527"/>
        <w:jc w:val="left"/>
      </w:pPr>
      <w:rPr>
        <w:rFonts w:hint="default" w:ascii="宋体" w:hAnsi="宋体" w:eastAsia="宋体" w:cs="宋体"/>
        <w:b w:val="0"/>
        <w:bCs w:val="0"/>
        <w:i w:val="0"/>
        <w:iCs w:val="0"/>
        <w:w w:val="100"/>
        <w:sz w:val="19"/>
        <w:szCs w:val="19"/>
        <w:lang w:val="en-US" w:eastAsia="zh-CN" w:bidi="ar-SA"/>
      </w:rPr>
    </w:lvl>
    <w:lvl w:ilvl="2" w:tentative="0">
      <w:start w:val="0"/>
      <w:numFmt w:val="bullet"/>
      <w:lvlText w:val="•"/>
      <w:lvlJc w:val="left"/>
      <w:pPr>
        <w:ind w:left="3702" w:hanging="527"/>
      </w:pPr>
      <w:rPr>
        <w:rFonts w:hint="default"/>
        <w:lang w:val="en-US" w:eastAsia="zh-CN" w:bidi="ar-SA"/>
      </w:rPr>
    </w:lvl>
    <w:lvl w:ilvl="3" w:tentative="0">
      <w:start w:val="0"/>
      <w:numFmt w:val="bullet"/>
      <w:lvlText w:val="•"/>
      <w:lvlJc w:val="left"/>
      <w:pPr>
        <w:ind w:left="4445" w:hanging="527"/>
      </w:pPr>
      <w:rPr>
        <w:rFonts w:hint="default"/>
        <w:lang w:val="en-US" w:eastAsia="zh-CN" w:bidi="ar-SA"/>
      </w:rPr>
    </w:lvl>
    <w:lvl w:ilvl="4" w:tentative="0">
      <w:start w:val="0"/>
      <w:numFmt w:val="bullet"/>
      <w:lvlText w:val="•"/>
      <w:lvlJc w:val="left"/>
      <w:pPr>
        <w:ind w:left="5188" w:hanging="527"/>
      </w:pPr>
      <w:rPr>
        <w:rFonts w:hint="default"/>
        <w:lang w:val="en-US" w:eastAsia="zh-CN" w:bidi="ar-SA"/>
      </w:rPr>
    </w:lvl>
    <w:lvl w:ilvl="5" w:tentative="0">
      <w:start w:val="0"/>
      <w:numFmt w:val="bullet"/>
      <w:lvlText w:val="•"/>
      <w:lvlJc w:val="left"/>
      <w:pPr>
        <w:ind w:left="5930" w:hanging="527"/>
      </w:pPr>
      <w:rPr>
        <w:rFonts w:hint="default"/>
        <w:lang w:val="en-US" w:eastAsia="zh-CN" w:bidi="ar-SA"/>
      </w:rPr>
    </w:lvl>
    <w:lvl w:ilvl="6" w:tentative="0">
      <w:start w:val="0"/>
      <w:numFmt w:val="bullet"/>
      <w:lvlText w:val="•"/>
      <w:lvlJc w:val="left"/>
      <w:pPr>
        <w:ind w:left="6673" w:hanging="527"/>
      </w:pPr>
      <w:rPr>
        <w:rFonts w:hint="default"/>
        <w:lang w:val="en-US" w:eastAsia="zh-CN" w:bidi="ar-SA"/>
      </w:rPr>
    </w:lvl>
    <w:lvl w:ilvl="7" w:tentative="0">
      <w:start w:val="0"/>
      <w:numFmt w:val="bullet"/>
      <w:lvlText w:val="•"/>
      <w:lvlJc w:val="left"/>
      <w:pPr>
        <w:ind w:left="7416" w:hanging="527"/>
      </w:pPr>
      <w:rPr>
        <w:rFonts w:hint="default"/>
        <w:lang w:val="en-US" w:eastAsia="zh-CN" w:bidi="ar-SA"/>
      </w:rPr>
    </w:lvl>
    <w:lvl w:ilvl="8" w:tentative="0">
      <w:start w:val="0"/>
      <w:numFmt w:val="bullet"/>
      <w:lvlText w:val="•"/>
      <w:lvlJc w:val="left"/>
      <w:pPr>
        <w:ind w:left="8158" w:hanging="527"/>
      </w:pPr>
      <w:rPr>
        <w:rFonts w:hint="default"/>
        <w:lang w:val="en-US" w:eastAsia="zh-CN" w:bidi="ar-SA"/>
      </w:rPr>
    </w:lvl>
  </w:abstractNum>
  <w:abstractNum w:abstractNumId="1">
    <w:nsid w:val="BF205925"/>
    <w:multiLevelType w:val="multilevel"/>
    <w:tmpl w:val="BF205925"/>
    <w:lvl w:ilvl="0" w:tentative="0">
      <w:start w:val="1"/>
      <w:numFmt w:val="decimal"/>
      <w:lvlText w:val="%1."/>
      <w:lvlJc w:val="left"/>
      <w:pPr>
        <w:ind w:left="1024"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1882" w:hanging="264"/>
      </w:pPr>
      <w:rPr>
        <w:rFonts w:hint="default"/>
        <w:lang w:val="en-US" w:eastAsia="zh-CN" w:bidi="ar-SA"/>
      </w:rPr>
    </w:lvl>
    <w:lvl w:ilvl="2" w:tentative="0">
      <w:start w:val="0"/>
      <w:numFmt w:val="bullet"/>
      <w:lvlText w:val="•"/>
      <w:lvlJc w:val="left"/>
      <w:pPr>
        <w:ind w:left="2744" w:hanging="264"/>
      </w:pPr>
      <w:rPr>
        <w:rFonts w:hint="default"/>
        <w:lang w:val="en-US" w:eastAsia="zh-CN" w:bidi="ar-SA"/>
      </w:rPr>
    </w:lvl>
    <w:lvl w:ilvl="3" w:tentative="0">
      <w:start w:val="0"/>
      <w:numFmt w:val="bullet"/>
      <w:lvlText w:val="•"/>
      <w:lvlJc w:val="left"/>
      <w:pPr>
        <w:ind w:left="3607" w:hanging="264"/>
      </w:pPr>
      <w:rPr>
        <w:rFonts w:hint="default"/>
        <w:lang w:val="en-US" w:eastAsia="zh-CN" w:bidi="ar-SA"/>
      </w:rPr>
    </w:lvl>
    <w:lvl w:ilvl="4" w:tentative="0">
      <w:start w:val="0"/>
      <w:numFmt w:val="bullet"/>
      <w:lvlText w:val="•"/>
      <w:lvlJc w:val="left"/>
      <w:pPr>
        <w:ind w:left="4469" w:hanging="264"/>
      </w:pPr>
      <w:rPr>
        <w:rFonts w:hint="default"/>
        <w:lang w:val="en-US" w:eastAsia="zh-CN" w:bidi="ar-SA"/>
      </w:rPr>
    </w:lvl>
    <w:lvl w:ilvl="5" w:tentative="0">
      <w:start w:val="0"/>
      <w:numFmt w:val="bullet"/>
      <w:lvlText w:val="•"/>
      <w:lvlJc w:val="left"/>
      <w:pPr>
        <w:ind w:left="5332" w:hanging="264"/>
      </w:pPr>
      <w:rPr>
        <w:rFonts w:hint="default"/>
        <w:lang w:val="en-US" w:eastAsia="zh-CN" w:bidi="ar-SA"/>
      </w:rPr>
    </w:lvl>
    <w:lvl w:ilvl="6" w:tentative="0">
      <w:start w:val="0"/>
      <w:numFmt w:val="bullet"/>
      <w:lvlText w:val="•"/>
      <w:lvlJc w:val="left"/>
      <w:pPr>
        <w:ind w:left="6194" w:hanging="264"/>
      </w:pPr>
      <w:rPr>
        <w:rFonts w:hint="default"/>
        <w:lang w:val="en-US" w:eastAsia="zh-CN" w:bidi="ar-SA"/>
      </w:rPr>
    </w:lvl>
    <w:lvl w:ilvl="7" w:tentative="0">
      <w:start w:val="0"/>
      <w:numFmt w:val="bullet"/>
      <w:lvlText w:val="•"/>
      <w:lvlJc w:val="left"/>
      <w:pPr>
        <w:ind w:left="7057" w:hanging="264"/>
      </w:pPr>
      <w:rPr>
        <w:rFonts w:hint="default"/>
        <w:lang w:val="en-US" w:eastAsia="zh-CN" w:bidi="ar-SA"/>
      </w:rPr>
    </w:lvl>
    <w:lvl w:ilvl="8" w:tentative="0">
      <w:start w:val="0"/>
      <w:numFmt w:val="bullet"/>
      <w:lvlText w:val="•"/>
      <w:lvlJc w:val="left"/>
      <w:pPr>
        <w:ind w:left="7919" w:hanging="264"/>
      </w:pPr>
      <w:rPr>
        <w:rFonts w:hint="default"/>
        <w:lang w:val="en-US" w:eastAsia="zh-CN" w:bidi="ar-SA"/>
      </w:rPr>
    </w:lvl>
  </w:abstractNum>
  <w:abstractNum w:abstractNumId="2">
    <w:nsid w:val="CF092B84"/>
    <w:multiLevelType w:val="multilevel"/>
    <w:tmpl w:val="CF092B84"/>
    <w:lvl w:ilvl="0" w:tentative="0">
      <w:start w:val="1"/>
      <w:numFmt w:val="decimal"/>
      <w:lvlText w:val="%1."/>
      <w:lvlJc w:val="left"/>
      <w:pPr>
        <w:ind w:left="1026"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882" w:hanging="269"/>
      </w:pPr>
      <w:rPr>
        <w:rFonts w:hint="default"/>
        <w:lang w:val="en-US" w:eastAsia="zh-CN" w:bidi="ar-SA"/>
      </w:rPr>
    </w:lvl>
    <w:lvl w:ilvl="2" w:tentative="0">
      <w:start w:val="0"/>
      <w:numFmt w:val="bullet"/>
      <w:lvlText w:val="•"/>
      <w:lvlJc w:val="left"/>
      <w:pPr>
        <w:ind w:left="2744" w:hanging="269"/>
      </w:pPr>
      <w:rPr>
        <w:rFonts w:hint="default"/>
        <w:lang w:val="en-US" w:eastAsia="zh-CN" w:bidi="ar-SA"/>
      </w:rPr>
    </w:lvl>
    <w:lvl w:ilvl="3" w:tentative="0">
      <w:start w:val="0"/>
      <w:numFmt w:val="bullet"/>
      <w:lvlText w:val="•"/>
      <w:lvlJc w:val="left"/>
      <w:pPr>
        <w:ind w:left="3607" w:hanging="269"/>
      </w:pPr>
      <w:rPr>
        <w:rFonts w:hint="default"/>
        <w:lang w:val="en-US" w:eastAsia="zh-CN" w:bidi="ar-SA"/>
      </w:rPr>
    </w:lvl>
    <w:lvl w:ilvl="4" w:tentative="0">
      <w:start w:val="0"/>
      <w:numFmt w:val="bullet"/>
      <w:lvlText w:val="•"/>
      <w:lvlJc w:val="left"/>
      <w:pPr>
        <w:ind w:left="4469" w:hanging="269"/>
      </w:pPr>
      <w:rPr>
        <w:rFonts w:hint="default"/>
        <w:lang w:val="en-US" w:eastAsia="zh-CN" w:bidi="ar-SA"/>
      </w:rPr>
    </w:lvl>
    <w:lvl w:ilvl="5" w:tentative="0">
      <w:start w:val="0"/>
      <w:numFmt w:val="bullet"/>
      <w:lvlText w:val="•"/>
      <w:lvlJc w:val="left"/>
      <w:pPr>
        <w:ind w:left="5332" w:hanging="269"/>
      </w:pPr>
      <w:rPr>
        <w:rFonts w:hint="default"/>
        <w:lang w:val="en-US" w:eastAsia="zh-CN" w:bidi="ar-SA"/>
      </w:rPr>
    </w:lvl>
    <w:lvl w:ilvl="6" w:tentative="0">
      <w:start w:val="0"/>
      <w:numFmt w:val="bullet"/>
      <w:lvlText w:val="•"/>
      <w:lvlJc w:val="left"/>
      <w:pPr>
        <w:ind w:left="6194" w:hanging="269"/>
      </w:pPr>
      <w:rPr>
        <w:rFonts w:hint="default"/>
        <w:lang w:val="en-US" w:eastAsia="zh-CN" w:bidi="ar-SA"/>
      </w:rPr>
    </w:lvl>
    <w:lvl w:ilvl="7" w:tentative="0">
      <w:start w:val="0"/>
      <w:numFmt w:val="bullet"/>
      <w:lvlText w:val="•"/>
      <w:lvlJc w:val="left"/>
      <w:pPr>
        <w:ind w:left="7057" w:hanging="269"/>
      </w:pPr>
      <w:rPr>
        <w:rFonts w:hint="default"/>
        <w:lang w:val="en-US" w:eastAsia="zh-CN" w:bidi="ar-SA"/>
      </w:rPr>
    </w:lvl>
    <w:lvl w:ilvl="8" w:tentative="0">
      <w:start w:val="0"/>
      <w:numFmt w:val="bullet"/>
      <w:lvlText w:val="•"/>
      <w:lvlJc w:val="left"/>
      <w:pPr>
        <w:ind w:left="7919" w:hanging="269"/>
      </w:pPr>
      <w:rPr>
        <w:rFonts w:hint="default"/>
        <w:lang w:val="en-US" w:eastAsia="zh-CN" w:bidi="ar-SA"/>
      </w:rPr>
    </w:lvl>
  </w:abstractNum>
  <w:abstractNum w:abstractNumId="3">
    <w:nsid w:val="0053208E"/>
    <w:multiLevelType w:val="multilevel"/>
    <w:tmpl w:val="0053208E"/>
    <w:lvl w:ilvl="0" w:tentative="0">
      <w:start w:val="1"/>
      <w:numFmt w:val="decimal"/>
      <w:lvlText w:val="%1."/>
      <w:lvlJc w:val="left"/>
      <w:pPr>
        <w:ind w:left="1064" w:hanging="308"/>
        <w:jc w:val="left"/>
      </w:pPr>
      <w:rPr>
        <w:rFonts w:hint="default" w:ascii="黑体" w:hAnsi="黑体" w:eastAsia="黑体" w:cs="黑体"/>
        <w:b w:val="0"/>
        <w:bCs w:val="0"/>
        <w:i w:val="0"/>
        <w:iCs w:val="0"/>
        <w:w w:val="100"/>
        <w:sz w:val="24"/>
        <w:szCs w:val="24"/>
        <w:lang w:val="en-US" w:eastAsia="zh-CN" w:bidi="ar-SA"/>
      </w:rPr>
    </w:lvl>
    <w:lvl w:ilvl="1" w:tentative="0">
      <w:start w:val="0"/>
      <w:numFmt w:val="bullet"/>
      <w:lvlText w:val="•"/>
      <w:lvlJc w:val="left"/>
      <w:pPr>
        <w:ind w:left="1918" w:hanging="308"/>
      </w:pPr>
      <w:rPr>
        <w:rFonts w:hint="default"/>
        <w:lang w:val="en-US" w:eastAsia="zh-CN" w:bidi="ar-SA"/>
      </w:rPr>
    </w:lvl>
    <w:lvl w:ilvl="2" w:tentative="0">
      <w:start w:val="0"/>
      <w:numFmt w:val="bullet"/>
      <w:lvlText w:val="•"/>
      <w:lvlJc w:val="left"/>
      <w:pPr>
        <w:ind w:left="2776" w:hanging="308"/>
      </w:pPr>
      <w:rPr>
        <w:rFonts w:hint="default"/>
        <w:lang w:val="en-US" w:eastAsia="zh-CN" w:bidi="ar-SA"/>
      </w:rPr>
    </w:lvl>
    <w:lvl w:ilvl="3" w:tentative="0">
      <w:start w:val="0"/>
      <w:numFmt w:val="bullet"/>
      <w:lvlText w:val="•"/>
      <w:lvlJc w:val="left"/>
      <w:pPr>
        <w:ind w:left="3635" w:hanging="308"/>
      </w:pPr>
      <w:rPr>
        <w:rFonts w:hint="default"/>
        <w:lang w:val="en-US" w:eastAsia="zh-CN" w:bidi="ar-SA"/>
      </w:rPr>
    </w:lvl>
    <w:lvl w:ilvl="4" w:tentative="0">
      <w:start w:val="0"/>
      <w:numFmt w:val="bullet"/>
      <w:lvlText w:val="•"/>
      <w:lvlJc w:val="left"/>
      <w:pPr>
        <w:ind w:left="4493" w:hanging="308"/>
      </w:pPr>
      <w:rPr>
        <w:rFonts w:hint="default"/>
        <w:lang w:val="en-US" w:eastAsia="zh-CN" w:bidi="ar-SA"/>
      </w:rPr>
    </w:lvl>
    <w:lvl w:ilvl="5" w:tentative="0">
      <w:start w:val="0"/>
      <w:numFmt w:val="bullet"/>
      <w:lvlText w:val="•"/>
      <w:lvlJc w:val="left"/>
      <w:pPr>
        <w:ind w:left="5352" w:hanging="308"/>
      </w:pPr>
      <w:rPr>
        <w:rFonts w:hint="default"/>
        <w:lang w:val="en-US" w:eastAsia="zh-CN" w:bidi="ar-SA"/>
      </w:rPr>
    </w:lvl>
    <w:lvl w:ilvl="6" w:tentative="0">
      <w:start w:val="0"/>
      <w:numFmt w:val="bullet"/>
      <w:lvlText w:val="•"/>
      <w:lvlJc w:val="left"/>
      <w:pPr>
        <w:ind w:left="6210" w:hanging="308"/>
      </w:pPr>
      <w:rPr>
        <w:rFonts w:hint="default"/>
        <w:lang w:val="en-US" w:eastAsia="zh-CN" w:bidi="ar-SA"/>
      </w:rPr>
    </w:lvl>
    <w:lvl w:ilvl="7" w:tentative="0">
      <w:start w:val="0"/>
      <w:numFmt w:val="bullet"/>
      <w:lvlText w:val="•"/>
      <w:lvlJc w:val="left"/>
      <w:pPr>
        <w:ind w:left="7069" w:hanging="308"/>
      </w:pPr>
      <w:rPr>
        <w:rFonts w:hint="default"/>
        <w:lang w:val="en-US" w:eastAsia="zh-CN" w:bidi="ar-SA"/>
      </w:rPr>
    </w:lvl>
    <w:lvl w:ilvl="8" w:tentative="0">
      <w:start w:val="0"/>
      <w:numFmt w:val="bullet"/>
      <w:lvlText w:val="•"/>
      <w:lvlJc w:val="left"/>
      <w:pPr>
        <w:ind w:left="7927" w:hanging="308"/>
      </w:pPr>
      <w:rPr>
        <w:rFonts w:hint="default"/>
        <w:lang w:val="en-US" w:eastAsia="zh-CN" w:bidi="ar-SA"/>
      </w:rPr>
    </w:lvl>
  </w:abstractNum>
  <w:abstractNum w:abstractNumId="4">
    <w:nsid w:val="03D62ECE"/>
    <w:multiLevelType w:val="multilevel"/>
    <w:tmpl w:val="03D62ECE"/>
    <w:lvl w:ilvl="0" w:tentative="0">
      <w:start w:val="1"/>
      <w:numFmt w:val="decimal"/>
      <w:lvlText w:val="（%1）"/>
      <w:lvlJc w:val="left"/>
      <w:pPr>
        <w:ind w:left="633" w:hanging="527"/>
        <w:jc w:val="righ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307" w:hanging="527"/>
      </w:pPr>
      <w:rPr>
        <w:rFonts w:hint="default"/>
        <w:lang w:val="en-US" w:eastAsia="zh-CN" w:bidi="ar-SA"/>
      </w:rPr>
    </w:lvl>
    <w:lvl w:ilvl="2" w:tentative="0">
      <w:start w:val="0"/>
      <w:numFmt w:val="bullet"/>
      <w:lvlText w:val="•"/>
      <w:lvlJc w:val="left"/>
      <w:pPr>
        <w:ind w:left="1975" w:hanging="527"/>
      </w:pPr>
      <w:rPr>
        <w:rFonts w:hint="default"/>
        <w:lang w:val="en-US" w:eastAsia="zh-CN" w:bidi="ar-SA"/>
      </w:rPr>
    </w:lvl>
    <w:lvl w:ilvl="3" w:tentative="0">
      <w:start w:val="0"/>
      <w:numFmt w:val="bullet"/>
      <w:lvlText w:val="•"/>
      <w:lvlJc w:val="left"/>
      <w:pPr>
        <w:ind w:left="2643" w:hanging="527"/>
      </w:pPr>
      <w:rPr>
        <w:rFonts w:hint="default"/>
        <w:lang w:val="en-US" w:eastAsia="zh-CN" w:bidi="ar-SA"/>
      </w:rPr>
    </w:lvl>
    <w:lvl w:ilvl="4" w:tentative="0">
      <w:start w:val="0"/>
      <w:numFmt w:val="bullet"/>
      <w:lvlText w:val="•"/>
      <w:lvlJc w:val="left"/>
      <w:pPr>
        <w:ind w:left="3311" w:hanging="527"/>
      </w:pPr>
      <w:rPr>
        <w:rFonts w:hint="default"/>
        <w:lang w:val="en-US" w:eastAsia="zh-CN" w:bidi="ar-SA"/>
      </w:rPr>
    </w:lvl>
    <w:lvl w:ilvl="5" w:tentative="0">
      <w:start w:val="0"/>
      <w:numFmt w:val="bullet"/>
      <w:lvlText w:val="•"/>
      <w:lvlJc w:val="left"/>
      <w:pPr>
        <w:ind w:left="3979" w:hanging="527"/>
      </w:pPr>
      <w:rPr>
        <w:rFonts w:hint="default"/>
        <w:lang w:val="en-US" w:eastAsia="zh-CN" w:bidi="ar-SA"/>
      </w:rPr>
    </w:lvl>
    <w:lvl w:ilvl="6" w:tentative="0">
      <w:start w:val="0"/>
      <w:numFmt w:val="bullet"/>
      <w:lvlText w:val="•"/>
      <w:lvlJc w:val="left"/>
      <w:pPr>
        <w:ind w:left="4647" w:hanging="527"/>
      </w:pPr>
      <w:rPr>
        <w:rFonts w:hint="default"/>
        <w:lang w:val="en-US" w:eastAsia="zh-CN" w:bidi="ar-SA"/>
      </w:rPr>
    </w:lvl>
    <w:lvl w:ilvl="7" w:tentative="0">
      <w:start w:val="0"/>
      <w:numFmt w:val="bullet"/>
      <w:lvlText w:val="•"/>
      <w:lvlJc w:val="left"/>
      <w:pPr>
        <w:ind w:left="5315" w:hanging="527"/>
      </w:pPr>
      <w:rPr>
        <w:rFonts w:hint="default"/>
        <w:lang w:val="en-US" w:eastAsia="zh-CN" w:bidi="ar-SA"/>
      </w:rPr>
    </w:lvl>
    <w:lvl w:ilvl="8" w:tentative="0">
      <w:start w:val="0"/>
      <w:numFmt w:val="bullet"/>
      <w:lvlText w:val="•"/>
      <w:lvlJc w:val="left"/>
      <w:pPr>
        <w:ind w:left="5983" w:hanging="527"/>
      </w:pPr>
      <w:rPr>
        <w:rFonts w:hint="default"/>
        <w:lang w:val="en-US" w:eastAsia="zh-CN" w:bidi="ar-SA"/>
      </w:rPr>
    </w:lvl>
  </w:abstractNum>
  <w:abstractNum w:abstractNumId="5">
    <w:nsid w:val="59ADCABA"/>
    <w:multiLevelType w:val="multilevel"/>
    <w:tmpl w:val="59ADCABA"/>
    <w:lvl w:ilvl="0" w:tentative="0">
      <w:start w:val="1"/>
      <w:numFmt w:val="decimal"/>
      <w:lvlText w:val="%1."/>
      <w:lvlJc w:val="left"/>
      <w:pPr>
        <w:ind w:left="1072" w:hanging="316"/>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936" w:hanging="316"/>
      </w:pPr>
      <w:rPr>
        <w:rFonts w:hint="default"/>
        <w:lang w:val="en-US" w:eastAsia="zh-CN" w:bidi="ar-SA"/>
      </w:rPr>
    </w:lvl>
    <w:lvl w:ilvl="2" w:tentative="0">
      <w:start w:val="0"/>
      <w:numFmt w:val="bullet"/>
      <w:lvlText w:val="•"/>
      <w:lvlJc w:val="left"/>
      <w:pPr>
        <w:ind w:left="2792" w:hanging="316"/>
      </w:pPr>
      <w:rPr>
        <w:rFonts w:hint="default"/>
        <w:lang w:val="en-US" w:eastAsia="zh-CN" w:bidi="ar-SA"/>
      </w:rPr>
    </w:lvl>
    <w:lvl w:ilvl="3" w:tentative="0">
      <w:start w:val="0"/>
      <w:numFmt w:val="bullet"/>
      <w:lvlText w:val="•"/>
      <w:lvlJc w:val="left"/>
      <w:pPr>
        <w:ind w:left="3649" w:hanging="316"/>
      </w:pPr>
      <w:rPr>
        <w:rFonts w:hint="default"/>
        <w:lang w:val="en-US" w:eastAsia="zh-CN" w:bidi="ar-SA"/>
      </w:rPr>
    </w:lvl>
    <w:lvl w:ilvl="4" w:tentative="0">
      <w:start w:val="0"/>
      <w:numFmt w:val="bullet"/>
      <w:lvlText w:val="•"/>
      <w:lvlJc w:val="left"/>
      <w:pPr>
        <w:ind w:left="4505" w:hanging="316"/>
      </w:pPr>
      <w:rPr>
        <w:rFonts w:hint="default"/>
        <w:lang w:val="en-US" w:eastAsia="zh-CN" w:bidi="ar-SA"/>
      </w:rPr>
    </w:lvl>
    <w:lvl w:ilvl="5" w:tentative="0">
      <w:start w:val="0"/>
      <w:numFmt w:val="bullet"/>
      <w:lvlText w:val="•"/>
      <w:lvlJc w:val="left"/>
      <w:pPr>
        <w:ind w:left="5362" w:hanging="316"/>
      </w:pPr>
      <w:rPr>
        <w:rFonts w:hint="default"/>
        <w:lang w:val="en-US" w:eastAsia="zh-CN" w:bidi="ar-SA"/>
      </w:rPr>
    </w:lvl>
    <w:lvl w:ilvl="6" w:tentative="0">
      <w:start w:val="0"/>
      <w:numFmt w:val="bullet"/>
      <w:lvlText w:val="•"/>
      <w:lvlJc w:val="left"/>
      <w:pPr>
        <w:ind w:left="6218" w:hanging="316"/>
      </w:pPr>
      <w:rPr>
        <w:rFonts w:hint="default"/>
        <w:lang w:val="en-US" w:eastAsia="zh-CN" w:bidi="ar-SA"/>
      </w:rPr>
    </w:lvl>
    <w:lvl w:ilvl="7" w:tentative="0">
      <w:start w:val="0"/>
      <w:numFmt w:val="bullet"/>
      <w:lvlText w:val="•"/>
      <w:lvlJc w:val="left"/>
      <w:pPr>
        <w:ind w:left="7075" w:hanging="316"/>
      </w:pPr>
      <w:rPr>
        <w:rFonts w:hint="default"/>
        <w:lang w:val="en-US" w:eastAsia="zh-CN" w:bidi="ar-SA"/>
      </w:rPr>
    </w:lvl>
    <w:lvl w:ilvl="8" w:tentative="0">
      <w:start w:val="0"/>
      <w:numFmt w:val="bullet"/>
      <w:lvlText w:val="•"/>
      <w:lvlJc w:val="left"/>
      <w:pPr>
        <w:ind w:left="7931" w:hanging="316"/>
      </w:pPr>
      <w:rPr>
        <w:rFonts w:hint="default"/>
        <w:lang w:val="en-US" w:eastAsia="zh-CN" w:bidi="ar-SA"/>
      </w:rPr>
    </w:lvl>
  </w:abstractNum>
  <w:num w:numId="1">
    <w:abstractNumId w:val="3"/>
  </w:num>
  <w:num w:numId="2">
    <w:abstractNumId w:val="2"/>
  </w:num>
  <w:num w:numId="3">
    <w:abstractNumId w:val="5"/>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7674544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61"/>
      <w:jc w:val="center"/>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ind w:left="337"/>
      <w:outlineLvl w:val="2"/>
    </w:pPr>
    <w:rPr>
      <w:rFonts w:ascii="宋体" w:hAnsi="宋体" w:eastAsia="宋体" w:cs="宋体"/>
      <w:b/>
      <w:bCs/>
      <w:sz w:val="21"/>
      <w:szCs w:val="21"/>
      <w:lang w:val="en-US" w:eastAsia="zh-CN" w:bidi="ar-SA"/>
    </w:rPr>
  </w:style>
  <w:style w:type="character" w:default="1" w:styleId="10">
    <w:name w:val="Default Paragraph Font"/>
    <w:semiHidden/>
    <w:unhideWhenUsed/>
    <w:qFormat/>
    <w:uiPriority w:val="1"/>
  </w:style>
  <w:style w:type="table" w:default="1" w:styleId="9">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paragraph" w:styleId="5">
    <w:name w:val="toc 3"/>
    <w:basedOn w:val="1"/>
    <w:next w:val="1"/>
    <w:qFormat/>
    <w:uiPriority w:val="1"/>
    <w:pPr>
      <w:spacing w:before="56"/>
      <w:ind w:left="547"/>
    </w:pPr>
    <w:rPr>
      <w:rFonts w:ascii="宋体" w:hAnsi="宋体" w:eastAsia="宋体" w:cs="宋体"/>
      <w:sz w:val="20"/>
      <w:szCs w:val="20"/>
      <w:lang w:val="en-US" w:eastAsia="zh-CN" w:bidi="ar-SA"/>
    </w:rPr>
  </w:style>
  <w:style w:type="paragraph" w:styleId="6">
    <w:name w:val="toc 1"/>
    <w:basedOn w:val="1"/>
    <w:next w:val="1"/>
    <w:qFormat/>
    <w:uiPriority w:val="1"/>
    <w:pPr>
      <w:spacing w:before="125"/>
      <w:ind w:left="93"/>
      <w:jc w:val="center"/>
    </w:pPr>
    <w:rPr>
      <w:rFonts w:ascii="宋体" w:hAnsi="宋体" w:eastAsia="宋体" w:cs="宋体"/>
      <w:b/>
      <w:bCs/>
      <w:sz w:val="20"/>
      <w:szCs w:val="20"/>
      <w:lang w:val="en-US" w:eastAsia="zh-CN" w:bidi="ar-SA"/>
    </w:rPr>
  </w:style>
  <w:style w:type="paragraph" w:styleId="7">
    <w:name w:val="toc 2"/>
    <w:basedOn w:val="1"/>
    <w:next w:val="1"/>
    <w:qFormat/>
    <w:uiPriority w:val="1"/>
    <w:pPr>
      <w:spacing w:before="107"/>
      <w:ind w:left="337"/>
    </w:pPr>
    <w:rPr>
      <w:rFonts w:ascii="宋体" w:hAnsi="宋体" w:eastAsia="宋体" w:cs="宋体"/>
      <w:b/>
      <w:bCs/>
      <w:sz w:val="20"/>
      <w:szCs w:val="20"/>
      <w:lang w:val="en-US" w:eastAsia="zh-CN" w:bidi="ar-SA"/>
    </w:rPr>
  </w:style>
  <w:style w:type="paragraph" w:styleId="8">
    <w:name w:val="Title"/>
    <w:basedOn w:val="1"/>
    <w:qFormat/>
    <w:uiPriority w:val="1"/>
    <w:pPr>
      <w:spacing w:before="218"/>
      <w:ind w:left="60"/>
    </w:pPr>
    <w:rPr>
      <w:rFonts w:ascii="宋体" w:hAnsi="宋体" w:eastAsia="宋体" w:cs="宋体"/>
      <w:b/>
      <w:bCs/>
      <w:sz w:val="36"/>
      <w:szCs w:val="36"/>
      <w:lang w:val="en-US" w:eastAsia="zh-CN" w:bidi="ar-SA"/>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ind w:left="2432" w:hanging="2326"/>
    </w:pPr>
    <w:rPr>
      <w:rFonts w:ascii="宋体" w:hAnsi="宋体" w:eastAsia="宋体" w:cs="宋体"/>
      <w:lang w:val="en-US" w:eastAsia="zh-CN" w:bidi="ar-SA"/>
    </w:rPr>
  </w:style>
  <w:style w:type="paragraph" w:customStyle="1" w:styleId="13">
    <w:name w:val="Table Paragraph"/>
    <w:basedOn w:val="1"/>
    <w:qFormat/>
    <w:uiPriority w:val="1"/>
    <w:pPr>
      <w:spacing w:before="41"/>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7169</Words>
  <Characters>7331</Characters>
  <TotalTime>0</TotalTime>
  <ScaleCrop>false</ScaleCrop>
  <LinksUpToDate>false</LinksUpToDate>
  <CharactersWithSpaces>7650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2023-06-02T01:55:00Z</dcterms:created>
  <dc:creator>木木</dc:creator>
  <cp:lastModifiedBy>木木</cp:lastModifiedBy>
  <dcterms:modified xsi:type="dcterms:W3CDTF">2023-06-02T02:08:37Z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A54C9B845B404BB6B46FADEDADD3FBBD_12</vt:lpwstr>
  </property>
</Properties>
</file>