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2"/>
        <w:ind w:left="0" w:right="101" w:firstLine="0"/>
        <w:jc w:val="right"/>
        <w:rPr>
          <w:sz w:val="18"/>
        </w:rPr>
      </w:pPr>
      <w:r>
        <w:rPr/>
        <w:drawing>
          <wp:anchor distT="0" distB="0" distL="0" distR="0" allowOverlap="1" layoutInCell="1" locked="0" behindDoc="0" simplePos="0" relativeHeight="15728640">
            <wp:simplePos x="0" y="0"/>
            <wp:positionH relativeFrom="page">
              <wp:posOffset>6026150</wp:posOffset>
            </wp:positionH>
            <wp:positionV relativeFrom="paragraph">
              <wp:posOffset>246507</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sz w:val="18"/>
        </w:rPr>
        <w:t>弘康人寿[2020</w:t>
      </w:r>
      <w:r>
        <w:rPr>
          <w:spacing w:val="-8"/>
          <w:sz w:val="18"/>
        </w:rPr>
        <w:t>]疾病保险 </w:t>
      </w:r>
      <w:r>
        <w:rPr>
          <w:spacing w:val="-2"/>
          <w:sz w:val="18"/>
        </w:rPr>
        <w:t>040</w:t>
      </w:r>
      <w:r>
        <w:rPr>
          <w:spacing w:val="-21"/>
          <w:sz w:val="18"/>
        </w:rPr>
        <w:t> 号</w:t>
      </w:r>
    </w:p>
    <w:p>
      <w:pPr>
        <w:pStyle w:val="BodyText"/>
        <w:rPr>
          <w:sz w:val="20"/>
        </w:rPr>
      </w:pPr>
    </w:p>
    <w:p>
      <w:pPr>
        <w:pStyle w:val="BodyText"/>
        <w:rPr>
          <w:sz w:val="20"/>
        </w:rPr>
      </w:pPr>
    </w:p>
    <w:p>
      <w:pPr>
        <w:pStyle w:val="BodyText"/>
        <w:rPr>
          <w:sz w:val="20"/>
        </w:rPr>
      </w:pPr>
    </w:p>
    <w:p>
      <w:pPr>
        <w:pStyle w:val="BodyText"/>
        <w:spacing w:before="3"/>
        <w:rPr>
          <w:sz w:val="19"/>
        </w:rPr>
      </w:pPr>
    </w:p>
    <w:p>
      <w:pPr>
        <w:spacing w:after="0"/>
        <w:rPr>
          <w:sz w:val="19"/>
        </w:rPr>
        <w:sectPr>
          <w:type w:val="continuous"/>
          <w:pgSz w:w="11910" w:h="16840"/>
          <w:pgMar w:top="140" w:bottom="280" w:left="560" w:right="480"/>
        </w:sectPr>
      </w:pPr>
    </w:p>
    <w:p>
      <w:pPr>
        <w:spacing w:before="38"/>
        <w:ind w:left="2742" w:right="0" w:firstLine="0"/>
        <w:jc w:val="left"/>
        <w:rPr>
          <w:b/>
          <w:sz w:val="44"/>
        </w:rPr>
      </w:pPr>
      <w:r>
        <w:rPr>
          <w:b/>
          <w:w w:val="95"/>
          <w:sz w:val="44"/>
        </w:rPr>
        <w:t>弘</w:t>
      </w:r>
      <w:r>
        <w:rPr>
          <w:b/>
          <w:w w:val="95"/>
          <w:sz w:val="44"/>
        </w:rPr>
        <w:t>康</w:t>
      </w:r>
      <w:r>
        <w:rPr>
          <w:b/>
          <w:w w:val="95"/>
          <w:sz w:val="44"/>
        </w:rPr>
        <w:t>人</w:t>
      </w:r>
      <w:r>
        <w:rPr>
          <w:b/>
          <w:w w:val="95"/>
          <w:sz w:val="44"/>
        </w:rPr>
        <w:t>寿</w:t>
      </w:r>
      <w:r>
        <w:rPr>
          <w:b/>
          <w:w w:val="95"/>
          <w:sz w:val="44"/>
        </w:rPr>
        <w:t>保</w:t>
      </w:r>
      <w:r>
        <w:rPr>
          <w:b/>
          <w:w w:val="95"/>
          <w:sz w:val="44"/>
        </w:rPr>
        <w:t>险</w:t>
      </w:r>
      <w:r>
        <w:rPr>
          <w:b/>
          <w:w w:val="95"/>
          <w:sz w:val="44"/>
        </w:rPr>
        <w:t>股</w:t>
      </w:r>
      <w:r>
        <w:rPr>
          <w:b/>
          <w:w w:val="95"/>
          <w:sz w:val="44"/>
        </w:rPr>
        <w:t>份</w:t>
      </w:r>
      <w:r>
        <w:rPr>
          <w:b/>
          <w:w w:val="95"/>
          <w:sz w:val="44"/>
        </w:rPr>
        <w:t>有</w:t>
      </w:r>
      <w:r>
        <w:rPr>
          <w:b/>
          <w:w w:val="95"/>
          <w:sz w:val="44"/>
        </w:rPr>
        <w:t>限</w:t>
      </w:r>
      <w:r>
        <w:rPr>
          <w:b/>
          <w:w w:val="95"/>
          <w:sz w:val="44"/>
        </w:rPr>
        <w:t>公</w:t>
      </w:r>
      <w:r>
        <w:rPr>
          <w:b/>
          <w:spacing w:val="-10"/>
          <w:w w:val="95"/>
          <w:sz w:val="44"/>
        </w:rPr>
        <w:t>司</w:t>
      </w:r>
    </w:p>
    <w:p>
      <w:pPr>
        <w:spacing w:line="240" w:lineRule="auto" w:before="7"/>
        <w:rPr>
          <w:b/>
          <w:sz w:val="24"/>
        </w:rPr>
      </w:pPr>
      <w:r>
        <w:rPr/>
        <w:br w:type="column"/>
      </w:r>
      <w:r>
        <w:rPr>
          <w:b/>
          <w:sz w:val="24"/>
        </w:rPr>
      </w:r>
    </w:p>
    <w:p>
      <w:pPr>
        <w:spacing w:before="0"/>
        <w:ind w:left="520" w:right="0" w:firstLine="0"/>
        <w:jc w:val="left"/>
        <w:rPr>
          <w:sz w:val="18"/>
        </w:rPr>
      </w:pPr>
      <w:r>
        <w:rPr>
          <w:spacing w:val="-1"/>
          <w:sz w:val="18"/>
        </w:rPr>
        <w:t>请扫描以查询验证条款</w:t>
      </w:r>
    </w:p>
    <w:p>
      <w:pPr>
        <w:spacing w:after="0"/>
        <w:jc w:val="left"/>
        <w:rPr>
          <w:sz w:val="18"/>
        </w:rPr>
        <w:sectPr>
          <w:type w:val="continuous"/>
          <w:pgSz w:w="11910" w:h="16840"/>
          <w:pgMar w:top="140" w:bottom="280" w:left="560" w:right="480"/>
          <w:cols w:num="2" w:equalWidth="0">
            <w:col w:w="8043" w:space="40"/>
            <w:col w:w="2787"/>
          </w:cols>
        </w:sectPr>
      </w:pPr>
    </w:p>
    <w:p>
      <w:pPr>
        <w:spacing w:line="331" w:lineRule="auto" w:before="60"/>
        <w:ind w:left="1250" w:right="1328" w:firstLine="0"/>
        <w:jc w:val="center"/>
        <w:rPr>
          <w:b/>
          <w:sz w:val="44"/>
        </w:rPr>
      </w:pPr>
      <w:r>
        <w:rPr>
          <w:b/>
          <w:w w:val="95"/>
          <w:sz w:val="44"/>
        </w:rPr>
        <w:t>弘</w:t>
      </w:r>
      <w:r>
        <w:rPr>
          <w:b/>
          <w:w w:val="95"/>
          <w:sz w:val="44"/>
        </w:rPr>
        <w:t>康</w:t>
      </w:r>
      <w:r>
        <w:rPr>
          <w:b/>
          <w:w w:val="95"/>
          <w:sz w:val="44"/>
        </w:rPr>
        <w:t>哆</w:t>
      </w:r>
      <w:r>
        <w:rPr>
          <w:b/>
          <w:w w:val="95"/>
          <w:sz w:val="44"/>
        </w:rPr>
        <w:t>啦 A </w:t>
      </w:r>
      <w:r>
        <w:rPr>
          <w:b/>
          <w:w w:val="95"/>
          <w:sz w:val="44"/>
        </w:rPr>
        <w:t>保</w:t>
      </w:r>
      <w:r>
        <w:rPr>
          <w:b/>
          <w:w w:val="95"/>
          <w:sz w:val="44"/>
        </w:rPr>
        <w:t>重</w:t>
      </w:r>
      <w:r>
        <w:rPr>
          <w:b/>
          <w:w w:val="95"/>
          <w:sz w:val="44"/>
        </w:rPr>
        <w:t>大</w:t>
      </w:r>
      <w:r>
        <w:rPr>
          <w:b/>
          <w:w w:val="95"/>
          <w:sz w:val="44"/>
        </w:rPr>
        <w:t>疾</w:t>
      </w:r>
      <w:r>
        <w:rPr>
          <w:b/>
          <w:w w:val="95"/>
          <w:sz w:val="44"/>
        </w:rPr>
        <w:t>病</w:t>
      </w:r>
      <w:r>
        <w:rPr>
          <w:b/>
          <w:w w:val="95"/>
          <w:sz w:val="44"/>
        </w:rPr>
        <w:t>保</w:t>
      </w:r>
      <w:r>
        <w:rPr>
          <w:b/>
          <w:w w:val="95"/>
          <w:sz w:val="44"/>
        </w:rPr>
        <w:t>险</w:t>
      </w:r>
      <w:r>
        <w:rPr>
          <w:b/>
          <w:w w:val="95"/>
          <w:sz w:val="44"/>
        </w:rPr>
        <w:t>（2.0 版）条款</w:t>
      </w:r>
      <w:r>
        <w:rPr>
          <w:b/>
          <w:spacing w:val="-4"/>
          <w:sz w:val="44"/>
        </w:rPr>
        <w:t>阅</w:t>
      </w:r>
      <w:r>
        <w:rPr>
          <w:b/>
          <w:spacing w:val="-4"/>
          <w:sz w:val="44"/>
        </w:rPr>
        <w:t>读</w:t>
      </w:r>
      <w:r>
        <w:rPr>
          <w:b/>
          <w:spacing w:val="-4"/>
          <w:sz w:val="44"/>
        </w:rPr>
        <w:t>指</w:t>
      </w:r>
      <w:r>
        <w:rPr>
          <w:b/>
          <w:spacing w:val="-4"/>
          <w:sz w:val="44"/>
        </w:rPr>
        <w:t>引</w:t>
      </w:r>
    </w:p>
    <w:p>
      <w:pPr>
        <w:pStyle w:val="BodyText"/>
        <w:spacing w:line="232" w:lineRule="auto"/>
        <w:ind w:left="1250" w:right="1268"/>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2"/>
        </w:rPr>
        <w:t>您</w:t>
      </w:r>
      <w:r>
        <w:rPr>
          <w:spacing w:val="-63"/>
          <w:position w:val="-7"/>
        </w:rPr>
        <w:t>．</w:t>
      </w:r>
      <w:r>
        <w:rPr>
          <w:spacing w:val="-149"/>
        </w:rPr>
        <w:t>理</w:t>
      </w:r>
      <w:r>
        <w:rPr>
          <w:spacing w:val="-63"/>
          <w:position w:val="-7"/>
        </w:rPr>
        <w:t>．</w:t>
      </w:r>
      <w:r>
        <w:rPr>
          <w:spacing w:val="-152"/>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50"/>
        </w:rPr>
        <w:t>准</w:t>
      </w:r>
      <w:r>
        <w:rPr>
          <w:spacing w:val="-63"/>
          <w:position w:val="-7"/>
        </w:rPr>
        <w:t>．</w:t>
      </w:r>
      <w:r>
        <w:rPr>
          <w:spacing w:val="-151"/>
        </w:rPr>
        <w:t>。</w:t>
      </w:r>
      <w:r>
        <w:rPr>
          <w:spacing w:val="-10"/>
          <w:position w:val="-7"/>
        </w:rPr>
        <w:t>．</w:t>
      </w:r>
    </w:p>
    <w:p>
      <w:pPr>
        <w:pStyle w:val="BodyText"/>
        <w:spacing w:before="8"/>
        <w:rPr>
          <w:sz w:val="20"/>
        </w:rPr>
      </w:pPr>
    </w:p>
    <w:p>
      <w:pPr>
        <w:tabs>
          <w:tab w:pos="1396" w:val="left" w:leader="none"/>
        </w:tabs>
        <w:spacing w:before="0"/>
        <w:ind w:left="383" w:right="0" w:firstLine="0"/>
        <w:jc w:val="left"/>
        <w:rPr>
          <w:b/>
          <w:sz w:val="21"/>
        </w:rPr>
      </w:pPr>
      <w:r>
        <w:rPr/>
        <w:drawing>
          <wp:anchor distT="0" distB="0" distL="0" distR="0" allowOverlap="1" layoutInCell="1" locked="0" behindDoc="1" simplePos="0" relativeHeight="485906432">
            <wp:simplePos x="0" y="0"/>
            <wp:positionH relativeFrom="page">
              <wp:posOffset>527304</wp:posOffset>
            </wp:positionH>
            <wp:positionV relativeFrom="paragraph">
              <wp:posOffset>-59883</wp:posOffset>
            </wp:positionV>
            <wp:extent cx="6505701" cy="7075373"/>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05701" cy="7075373"/>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ListParagraph"/>
        <w:numPr>
          <w:ilvl w:val="0"/>
          <w:numId w:val="1"/>
        </w:numPr>
        <w:tabs>
          <w:tab w:pos="1775" w:val="left" w:leader="none"/>
          <w:tab w:pos="1776" w:val="left" w:leader="none"/>
          <w:tab w:pos="9658" w:val="right" w:leader="dot"/>
        </w:tabs>
        <w:spacing w:line="240" w:lineRule="auto" w:before="65" w:after="0"/>
        <w:ind w:left="1775" w:right="0" w:hanging="421"/>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扣</w:t>
      </w:r>
      <w:r>
        <w:rPr>
          <w:spacing w:val="-2"/>
          <w:sz w:val="21"/>
        </w:rPr>
        <w:t>除工本费外的全部保</w:t>
      </w:r>
      <w:r>
        <w:rPr>
          <w:spacing w:val="-2"/>
          <w:sz w:val="21"/>
        </w:rPr>
        <w:t>险</w:t>
      </w:r>
      <w:r>
        <w:rPr>
          <w:spacing w:val="-2"/>
          <w:sz w:val="21"/>
        </w:rPr>
        <w:t>费</w:t>
      </w:r>
      <w:r>
        <w:rPr>
          <w:spacing w:val="-10"/>
          <w:sz w:val="21"/>
        </w:rPr>
        <w:t>…</w:t>
      </w:r>
      <w:r>
        <w:rPr>
          <w:rFonts w:ascii="Times New Roman" w:hAnsi="Times New Roman" w:eastAsia="Times New Roman"/>
          <w:sz w:val="21"/>
        </w:rPr>
        <w:tab/>
      </w:r>
      <w:r>
        <w:rPr>
          <w:spacing w:val="-5"/>
          <w:sz w:val="21"/>
        </w:rPr>
        <w:t>1.4</w:t>
      </w:r>
    </w:p>
    <w:p>
      <w:pPr>
        <w:pStyle w:val="ListParagraph"/>
        <w:numPr>
          <w:ilvl w:val="0"/>
          <w:numId w:val="1"/>
        </w:numPr>
        <w:tabs>
          <w:tab w:pos="1775" w:val="left" w:leader="none"/>
          <w:tab w:pos="1776" w:val="left" w:leader="none"/>
          <w:tab w:pos="9658" w:val="right" w:leader="dot"/>
        </w:tabs>
        <w:spacing w:line="240" w:lineRule="auto" w:before="43" w:after="0"/>
        <w:ind w:left="1775" w:right="0" w:hanging="421"/>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0"/>
          <w:numId w:val="1"/>
        </w:numPr>
        <w:tabs>
          <w:tab w:pos="1794" w:val="left" w:leader="none"/>
          <w:tab w:pos="1795" w:val="left" w:leader="none"/>
          <w:tab w:pos="9675" w:val="right" w:leader="dot"/>
        </w:tabs>
        <w:spacing w:line="240" w:lineRule="auto" w:before="43" w:after="0"/>
        <w:ind w:left="1794" w:right="0" w:hanging="440"/>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5"/>
          <w:sz w:val="21"/>
        </w:rPr>
        <w:t>7.1</w:t>
      </w:r>
    </w:p>
    <w:p>
      <w:pPr>
        <w:tabs>
          <w:tab w:pos="1396" w:val="left" w:leader="none"/>
        </w:tabs>
        <w:spacing w:before="105"/>
        <w:ind w:left="383"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您应当特别注意的事项</w:t>
      </w:r>
    </w:p>
    <w:p>
      <w:pPr>
        <w:pStyle w:val="ListParagraph"/>
        <w:numPr>
          <w:ilvl w:val="0"/>
          <w:numId w:val="1"/>
        </w:numPr>
        <w:tabs>
          <w:tab w:pos="1794" w:val="left" w:leader="none"/>
          <w:tab w:pos="1795" w:val="left" w:leader="none"/>
          <w:tab w:pos="8938" w:val="left" w:leader="dot"/>
        </w:tabs>
        <w:spacing w:line="240" w:lineRule="auto" w:before="64" w:after="0"/>
        <w:ind w:left="1794" w:right="0" w:hanging="440"/>
        <w:jc w:val="left"/>
        <w:rPr>
          <w:sz w:val="21"/>
        </w:rPr>
      </w:pPr>
      <w:r>
        <w:rPr>
          <w:spacing w:val="-2"/>
          <w:sz w:val="21"/>
        </w:rPr>
        <w:t>在某些情况下，我们不承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2.4;2.5</w:t>
      </w:r>
    </w:p>
    <w:p>
      <w:pPr>
        <w:pStyle w:val="ListParagraph"/>
        <w:numPr>
          <w:ilvl w:val="0"/>
          <w:numId w:val="1"/>
        </w:numPr>
        <w:tabs>
          <w:tab w:pos="1794" w:val="left" w:leader="none"/>
          <w:tab w:pos="1795" w:val="left" w:leader="none"/>
          <w:tab w:pos="9675" w:val="right" w:leader="dot"/>
        </w:tabs>
        <w:spacing w:line="240" w:lineRule="auto" w:before="43" w:after="0"/>
        <w:ind w:left="1794" w:right="0" w:hanging="440"/>
        <w:jc w:val="left"/>
        <w:rPr>
          <w:sz w:val="21"/>
        </w:rPr>
      </w:pPr>
      <w:r>
        <w:rPr>
          <w:spacing w:val="-2"/>
          <w:sz w:val="21"/>
        </w:rPr>
        <w:t>保险事故发生后请您及时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94" w:val="left" w:leader="none"/>
          <w:tab w:pos="1795" w:val="left" w:leader="none"/>
          <w:tab w:pos="9675" w:val="right" w:leader="dot"/>
        </w:tabs>
        <w:spacing w:line="240" w:lineRule="auto" w:before="43" w:after="0"/>
        <w:ind w:left="1794" w:right="0" w:hanging="440"/>
        <w:jc w:val="left"/>
        <w:rPr>
          <w:sz w:val="21"/>
        </w:rPr>
      </w:pPr>
      <w:r>
        <w:rPr>
          <w:spacing w:val="-2"/>
          <w:sz w:val="21"/>
        </w:rPr>
        <w:t>您应当按时交纳保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94" w:val="left" w:leader="none"/>
          <w:tab w:pos="1795" w:val="left" w:leader="none"/>
          <w:tab w:pos="9675" w:val="right" w:leader="dot"/>
        </w:tabs>
        <w:spacing w:line="240" w:lineRule="auto" w:before="43" w:after="0"/>
        <w:ind w:left="1794" w:right="0" w:hanging="440"/>
        <w:jc w:val="left"/>
        <w:rPr>
          <w:sz w:val="21"/>
        </w:rPr>
      </w:pPr>
      <w:r>
        <w:rPr>
          <w:spacing w:val="-2"/>
          <w:sz w:val="21"/>
        </w:rPr>
        <w:t>解除合同会给您造成一定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94" w:val="left" w:leader="none"/>
          <w:tab w:pos="1795" w:val="left" w:leader="none"/>
          <w:tab w:pos="9675" w:val="right" w:leader="dot"/>
        </w:tabs>
        <w:spacing w:line="240" w:lineRule="auto" w:before="43" w:after="0"/>
        <w:ind w:left="1794" w:right="0" w:hanging="440"/>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8.2</w:t>
      </w:r>
    </w:p>
    <w:p>
      <w:pPr>
        <w:pStyle w:val="ListParagraph"/>
        <w:numPr>
          <w:ilvl w:val="0"/>
          <w:numId w:val="1"/>
        </w:numPr>
        <w:tabs>
          <w:tab w:pos="1794" w:val="left" w:leader="none"/>
          <w:tab w:pos="1795" w:val="left" w:leader="none"/>
          <w:tab w:pos="9569" w:val="right" w:leader="dot"/>
        </w:tabs>
        <w:spacing w:line="240" w:lineRule="auto" w:before="43" w:after="0"/>
        <w:ind w:left="1794" w:right="0" w:hanging="440"/>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tabs>
          <w:tab w:pos="1396" w:val="left" w:leader="none"/>
        </w:tabs>
        <w:spacing w:before="105"/>
        <w:ind w:left="383"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396" w:val="left" w:leader="none"/>
        </w:tabs>
        <w:spacing w:before="127"/>
        <w:ind w:left="383"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jc w:val="left"/>
        <w:rPr>
          <w:sz w:val="21"/>
        </w:rPr>
        <w:sectPr>
          <w:type w:val="continuous"/>
          <w:pgSz w:w="11910" w:h="16840"/>
          <w:pgMar w:top="140" w:bottom="280" w:left="560" w:right="480"/>
        </w:sectPr>
      </w:pPr>
    </w:p>
    <w:p>
      <w:pPr>
        <w:pStyle w:val="ListParagraph"/>
        <w:numPr>
          <w:ilvl w:val="0"/>
          <w:numId w:val="2"/>
        </w:numPr>
        <w:tabs>
          <w:tab w:pos="1285" w:val="left" w:leader="none"/>
        </w:tabs>
        <w:spacing w:line="240" w:lineRule="auto" w:before="64" w:after="0"/>
        <w:ind w:left="1284" w:right="0" w:hanging="213"/>
        <w:jc w:val="left"/>
        <w:rPr>
          <w:b/>
          <w:sz w:val="21"/>
        </w:rPr>
      </w:pPr>
      <w:r>
        <w:rPr>
          <w:b/>
          <w:spacing w:val="-3"/>
          <w:sz w:val="21"/>
        </w:rPr>
        <w:t>您与我们订立的合同</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合同构成</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合同成立与生效</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投保年龄</w:t>
      </w:r>
    </w:p>
    <w:p>
      <w:pPr>
        <w:pStyle w:val="ListParagraph"/>
        <w:numPr>
          <w:ilvl w:val="1"/>
          <w:numId w:val="2"/>
        </w:numPr>
        <w:tabs>
          <w:tab w:pos="1706" w:val="left" w:leader="none"/>
        </w:tabs>
        <w:spacing w:line="240" w:lineRule="auto" w:before="43" w:after="0"/>
        <w:ind w:left="1706" w:right="0" w:hanging="423"/>
        <w:jc w:val="left"/>
        <w:rPr>
          <w:sz w:val="21"/>
        </w:rPr>
      </w:pPr>
      <w:r>
        <w:rPr>
          <w:spacing w:val="-5"/>
          <w:sz w:val="21"/>
        </w:rPr>
        <w:t>犹豫期</w:t>
      </w:r>
    </w:p>
    <w:p>
      <w:pPr>
        <w:pStyle w:val="ListParagraph"/>
        <w:numPr>
          <w:ilvl w:val="0"/>
          <w:numId w:val="2"/>
        </w:numPr>
        <w:tabs>
          <w:tab w:pos="1285" w:val="left" w:leader="none"/>
        </w:tabs>
        <w:spacing w:line="240" w:lineRule="auto" w:before="43" w:after="0"/>
        <w:ind w:left="1284" w:right="0" w:hanging="213"/>
        <w:jc w:val="left"/>
        <w:rPr>
          <w:b/>
          <w:sz w:val="21"/>
        </w:rPr>
      </w:pPr>
      <w:r>
        <w:rPr>
          <w:b/>
          <w:spacing w:val="-2"/>
          <w:sz w:val="21"/>
        </w:rPr>
        <w:t>我们提供的保障</w:t>
      </w:r>
    </w:p>
    <w:p>
      <w:pPr>
        <w:pStyle w:val="ListParagraph"/>
        <w:numPr>
          <w:ilvl w:val="1"/>
          <w:numId w:val="2"/>
        </w:numPr>
        <w:tabs>
          <w:tab w:pos="1706" w:val="left" w:leader="none"/>
        </w:tabs>
        <w:spacing w:line="240" w:lineRule="auto" w:before="42" w:after="0"/>
        <w:ind w:left="1706" w:right="0" w:hanging="423"/>
        <w:jc w:val="left"/>
        <w:rPr>
          <w:sz w:val="21"/>
        </w:rPr>
      </w:pPr>
      <w:r>
        <w:rPr>
          <w:spacing w:val="-4"/>
          <w:sz w:val="21"/>
        </w:rPr>
        <w:t>基本保险金额</w:t>
      </w:r>
    </w:p>
    <w:p>
      <w:pPr>
        <w:pStyle w:val="ListParagraph"/>
        <w:numPr>
          <w:ilvl w:val="1"/>
          <w:numId w:val="2"/>
        </w:numPr>
        <w:tabs>
          <w:tab w:pos="1706" w:val="left" w:leader="none"/>
        </w:tabs>
        <w:spacing w:line="240" w:lineRule="auto" w:before="43" w:after="0"/>
        <w:ind w:left="1706" w:right="0" w:hanging="423"/>
        <w:jc w:val="left"/>
        <w:rPr>
          <w:sz w:val="21"/>
        </w:rPr>
      </w:pPr>
      <w:r>
        <w:rPr>
          <w:spacing w:val="-5"/>
          <w:sz w:val="21"/>
        </w:rPr>
        <w:t>等待期</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保险责任</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责任免除</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其他免责条款</w:t>
      </w:r>
    </w:p>
    <w:p>
      <w:pPr>
        <w:pStyle w:val="ListParagraph"/>
        <w:numPr>
          <w:ilvl w:val="1"/>
          <w:numId w:val="2"/>
        </w:numPr>
        <w:tabs>
          <w:tab w:pos="1706" w:val="left" w:leader="none"/>
        </w:tabs>
        <w:spacing w:line="240" w:lineRule="auto" w:before="44" w:after="0"/>
        <w:ind w:left="1706" w:right="0" w:hanging="423"/>
        <w:jc w:val="left"/>
        <w:rPr>
          <w:sz w:val="21"/>
        </w:rPr>
      </w:pPr>
      <w:r>
        <w:rPr>
          <w:spacing w:val="-3"/>
          <w:sz w:val="21"/>
        </w:rPr>
        <w:t>未成年人身故保险金限制</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保险期间</w:t>
      </w:r>
    </w:p>
    <w:p>
      <w:pPr>
        <w:pStyle w:val="ListParagraph"/>
        <w:numPr>
          <w:ilvl w:val="0"/>
          <w:numId w:val="2"/>
        </w:numPr>
        <w:tabs>
          <w:tab w:pos="1285" w:val="left" w:leader="none"/>
        </w:tabs>
        <w:spacing w:line="240" w:lineRule="auto" w:before="43" w:after="0"/>
        <w:ind w:left="1284" w:right="0" w:hanging="213"/>
        <w:jc w:val="left"/>
        <w:rPr>
          <w:b/>
          <w:sz w:val="21"/>
        </w:rPr>
      </w:pPr>
      <w:r>
        <w:rPr>
          <w:b/>
          <w:spacing w:val="-2"/>
          <w:sz w:val="21"/>
        </w:rPr>
        <w:t>保险金的申请</w:t>
      </w:r>
    </w:p>
    <w:p>
      <w:pPr>
        <w:pStyle w:val="ListParagraph"/>
        <w:numPr>
          <w:ilvl w:val="1"/>
          <w:numId w:val="2"/>
        </w:numPr>
        <w:tabs>
          <w:tab w:pos="1706" w:val="left" w:leader="none"/>
        </w:tabs>
        <w:spacing w:line="240" w:lineRule="auto" w:before="43" w:after="0"/>
        <w:ind w:left="1706" w:right="0" w:hanging="423"/>
        <w:jc w:val="left"/>
        <w:rPr>
          <w:sz w:val="21"/>
        </w:rPr>
      </w:pPr>
      <w:r>
        <w:rPr>
          <w:spacing w:val="-5"/>
          <w:sz w:val="21"/>
        </w:rPr>
        <w:t>受益人</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保险事故通知</w:t>
      </w:r>
    </w:p>
    <w:p>
      <w:pPr>
        <w:pStyle w:val="ListParagraph"/>
        <w:numPr>
          <w:ilvl w:val="1"/>
          <w:numId w:val="2"/>
        </w:numPr>
        <w:tabs>
          <w:tab w:pos="1706" w:val="left" w:leader="none"/>
        </w:tabs>
        <w:spacing w:line="240" w:lineRule="auto" w:before="42" w:after="0"/>
        <w:ind w:left="1706" w:right="0" w:hanging="423"/>
        <w:jc w:val="left"/>
        <w:rPr>
          <w:sz w:val="21"/>
        </w:rPr>
      </w:pPr>
      <w:r>
        <w:rPr>
          <w:spacing w:val="-4"/>
          <w:sz w:val="21"/>
        </w:rPr>
        <w:t>保险金申请</w:t>
      </w:r>
    </w:p>
    <w:p>
      <w:pPr>
        <w:pStyle w:val="ListParagraph"/>
        <w:numPr>
          <w:ilvl w:val="1"/>
          <w:numId w:val="2"/>
        </w:numPr>
        <w:tabs>
          <w:tab w:pos="1706" w:val="left" w:leader="none"/>
        </w:tabs>
        <w:spacing w:line="240" w:lineRule="auto" w:before="43" w:after="0"/>
        <w:ind w:left="1706" w:right="0" w:hanging="423"/>
        <w:jc w:val="left"/>
        <w:rPr>
          <w:sz w:val="21"/>
        </w:rPr>
      </w:pPr>
      <w:r>
        <w:rPr>
          <w:spacing w:val="-4"/>
          <w:sz w:val="21"/>
        </w:rPr>
        <w:t>宣告死亡处理</w:t>
      </w:r>
    </w:p>
    <w:p>
      <w:pPr>
        <w:pStyle w:val="ListParagraph"/>
        <w:numPr>
          <w:ilvl w:val="1"/>
          <w:numId w:val="2"/>
        </w:numPr>
        <w:tabs>
          <w:tab w:pos="909" w:val="left" w:leader="none"/>
        </w:tabs>
        <w:spacing w:line="240" w:lineRule="auto" w:before="64" w:after="0"/>
        <w:ind w:left="908" w:right="0" w:hanging="424"/>
        <w:jc w:val="left"/>
        <w:rPr>
          <w:sz w:val="21"/>
        </w:rPr>
      </w:pPr>
      <w:r>
        <w:rPr>
          <w:spacing w:val="-3"/>
          <w:sz w:val="21"/>
        </w:rPr>
        <w:br w:type="column"/>
      </w:r>
      <w:r>
        <w:rPr>
          <w:spacing w:val="-4"/>
          <w:sz w:val="21"/>
        </w:rPr>
        <w:t>保险金给付</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诉讼时效</w:t>
      </w:r>
    </w:p>
    <w:p>
      <w:pPr>
        <w:pStyle w:val="ListParagraph"/>
        <w:numPr>
          <w:ilvl w:val="0"/>
          <w:numId w:val="2"/>
        </w:numPr>
        <w:tabs>
          <w:tab w:pos="487" w:val="left" w:leader="none"/>
        </w:tabs>
        <w:spacing w:line="240" w:lineRule="auto" w:before="43" w:after="0"/>
        <w:ind w:left="486" w:right="0" w:hanging="213"/>
        <w:jc w:val="left"/>
        <w:rPr>
          <w:b/>
          <w:sz w:val="21"/>
        </w:rPr>
      </w:pPr>
      <w:r>
        <w:rPr>
          <w:b/>
          <w:spacing w:val="-2"/>
          <w:sz w:val="21"/>
        </w:rPr>
        <w:t>保险费的交纳</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保险费交纳</w:t>
      </w:r>
    </w:p>
    <w:p>
      <w:pPr>
        <w:pStyle w:val="ListParagraph"/>
        <w:numPr>
          <w:ilvl w:val="1"/>
          <w:numId w:val="2"/>
        </w:numPr>
        <w:tabs>
          <w:tab w:pos="909" w:val="left" w:leader="none"/>
        </w:tabs>
        <w:spacing w:line="240" w:lineRule="auto" w:before="43" w:after="0"/>
        <w:ind w:left="908" w:right="0" w:hanging="424"/>
        <w:jc w:val="left"/>
        <w:rPr>
          <w:sz w:val="21"/>
        </w:rPr>
      </w:pPr>
      <w:r>
        <w:rPr>
          <w:spacing w:val="-5"/>
          <w:sz w:val="21"/>
        </w:rPr>
        <w:t>宽限期</w:t>
      </w:r>
    </w:p>
    <w:p>
      <w:pPr>
        <w:pStyle w:val="ListParagraph"/>
        <w:numPr>
          <w:ilvl w:val="0"/>
          <w:numId w:val="2"/>
        </w:numPr>
        <w:tabs>
          <w:tab w:pos="487" w:val="left" w:leader="none"/>
        </w:tabs>
        <w:spacing w:line="240" w:lineRule="auto" w:before="43" w:after="0"/>
        <w:ind w:left="486" w:right="0" w:hanging="213"/>
        <w:jc w:val="left"/>
        <w:rPr>
          <w:b/>
          <w:sz w:val="21"/>
        </w:rPr>
      </w:pPr>
      <w:r>
        <w:rPr>
          <w:b/>
          <w:spacing w:val="-2"/>
          <w:sz w:val="21"/>
        </w:rPr>
        <w:t>现金价值权益</w:t>
      </w:r>
    </w:p>
    <w:p>
      <w:pPr>
        <w:pStyle w:val="ListParagraph"/>
        <w:numPr>
          <w:ilvl w:val="1"/>
          <w:numId w:val="2"/>
        </w:numPr>
        <w:tabs>
          <w:tab w:pos="909" w:val="left" w:leader="none"/>
        </w:tabs>
        <w:spacing w:line="240" w:lineRule="auto" w:before="42" w:after="0"/>
        <w:ind w:left="908" w:right="0" w:hanging="424"/>
        <w:jc w:val="left"/>
        <w:rPr>
          <w:sz w:val="21"/>
        </w:rPr>
      </w:pPr>
      <w:r>
        <w:rPr>
          <w:spacing w:val="-4"/>
          <w:sz w:val="21"/>
        </w:rPr>
        <w:t>现金价值</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保单贷款</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保险费自动垫交</w:t>
      </w:r>
    </w:p>
    <w:p>
      <w:pPr>
        <w:pStyle w:val="ListParagraph"/>
        <w:numPr>
          <w:ilvl w:val="0"/>
          <w:numId w:val="2"/>
        </w:numPr>
        <w:tabs>
          <w:tab w:pos="487" w:val="left" w:leader="none"/>
        </w:tabs>
        <w:spacing w:line="240" w:lineRule="auto" w:before="43" w:after="0"/>
        <w:ind w:left="486" w:right="0" w:hanging="213"/>
        <w:jc w:val="left"/>
        <w:rPr>
          <w:b/>
          <w:sz w:val="21"/>
        </w:rPr>
      </w:pPr>
      <w:r>
        <w:rPr>
          <w:b/>
          <w:spacing w:val="-1"/>
          <w:sz w:val="21"/>
        </w:rPr>
        <w:t>合同效力的中止与恢复</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合同效力中止</w:t>
      </w:r>
    </w:p>
    <w:p>
      <w:pPr>
        <w:pStyle w:val="ListParagraph"/>
        <w:numPr>
          <w:ilvl w:val="1"/>
          <w:numId w:val="2"/>
        </w:numPr>
        <w:tabs>
          <w:tab w:pos="909" w:val="left" w:leader="none"/>
        </w:tabs>
        <w:spacing w:line="240" w:lineRule="auto" w:before="44" w:after="0"/>
        <w:ind w:left="908" w:right="0" w:hanging="424"/>
        <w:jc w:val="left"/>
        <w:rPr>
          <w:sz w:val="21"/>
        </w:rPr>
      </w:pPr>
      <w:r>
        <w:rPr>
          <w:spacing w:val="-4"/>
          <w:sz w:val="21"/>
        </w:rPr>
        <w:t>合同效力恢复</w:t>
      </w:r>
    </w:p>
    <w:p>
      <w:pPr>
        <w:pStyle w:val="ListParagraph"/>
        <w:numPr>
          <w:ilvl w:val="0"/>
          <w:numId w:val="2"/>
        </w:numPr>
        <w:tabs>
          <w:tab w:pos="487" w:val="left" w:leader="none"/>
        </w:tabs>
        <w:spacing w:line="240" w:lineRule="auto" w:before="43" w:after="0"/>
        <w:ind w:left="486" w:right="0" w:hanging="213"/>
        <w:jc w:val="left"/>
        <w:rPr>
          <w:b/>
          <w:sz w:val="21"/>
        </w:rPr>
      </w:pPr>
      <w:r>
        <w:rPr>
          <w:b/>
          <w:spacing w:val="-3"/>
          <w:sz w:val="21"/>
        </w:rPr>
        <w:t>合同解除</w:t>
      </w:r>
    </w:p>
    <w:p>
      <w:pPr>
        <w:pStyle w:val="ListParagraph"/>
        <w:numPr>
          <w:ilvl w:val="1"/>
          <w:numId w:val="2"/>
        </w:numPr>
        <w:tabs>
          <w:tab w:pos="909" w:val="left" w:leader="none"/>
        </w:tabs>
        <w:spacing w:line="240" w:lineRule="auto" w:before="43" w:after="0"/>
        <w:ind w:left="908" w:right="0" w:hanging="424"/>
        <w:jc w:val="left"/>
        <w:rPr>
          <w:sz w:val="21"/>
        </w:rPr>
      </w:pPr>
      <w:r>
        <w:rPr>
          <w:spacing w:val="-3"/>
          <w:sz w:val="21"/>
        </w:rPr>
        <w:t>您解除合同的手续及风险</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合同内容变更</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联系方式变更</w:t>
      </w:r>
    </w:p>
    <w:p>
      <w:pPr>
        <w:pStyle w:val="ListParagraph"/>
        <w:numPr>
          <w:ilvl w:val="0"/>
          <w:numId w:val="2"/>
        </w:numPr>
        <w:tabs>
          <w:tab w:pos="487" w:val="left" w:leader="none"/>
        </w:tabs>
        <w:spacing w:line="240" w:lineRule="auto" w:before="42" w:after="0"/>
        <w:ind w:left="486" w:right="0" w:hanging="213"/>
        <w:jc w:val="left"/>
        <w:rPr>
          <w:b/>
          <w:sz w:val="21"/>
        </w:rPr>
      </w:pPr>
      <w:r>
        <w:rPr>
          <w:b/>
          <w:spacing w:val="-2"/>
          <w:sz w:val="21"/>
        </w:rPr>
        <w:t>明确说明与如实告知</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明确说明</w:t>
      </w:r>
    </w:p>
    <w:p>
      <w:pPr>
        <w:pStyle w:val="ListParagraph"/>
        <w:numPr>
          <w:ilvl w:val="1"/>
          <w:numId w:val="2"/>
        </w:numPr>
        <w:tabs>
          <w:tab w:pos="909" w:val="left" w:leader="none"/>
        </w:tabs>
        <w:spacing w:line="240" w:lineRule="auto" w:before="64" w:after="0"/>
        <w:ind w:left="908" w:right="0" w:hanging="424"/>
        <w:jc w:val="left"/>
        <w:rPr>
          <w:sz w:val="21"/>
        </w:rPr>
      </w:pPr>
      <w:r>
        <w:rPr>
          <w:spacing w:val="-3"/>
          <w:sz w:val="21"/>
        </w:rPr>
        <w:br w:type="column"/>
      </w:r>
      <w:r>
        <w:rPr>
          <w:spacing w:val="-4"/>
          <w:sz w:val="21"/>
        </w:rPr>
        <w:t>如实告知</w:t>
      </w:r>
    </w:p>
    <w:p>
      <w:pPr>
        <w:pStyle w:val="ListParagraph"/>
        <w:numPr>
          <w:ilvl w:val="1"/>
          <w:numId w:val="2"/>
        </w:numPr>
        <w:tabs>
          <w:tab w:pos="909" w:val="left" w:leader="none"/>
        </w:tabs>
        <w:spacing w:line="278" w:lineRule="auto" w:before="43" w:after="0"/>
        <w:ind w:left="905" w:right="747" w:hanging="420"/>
        <w:jc w:val="left"/>
        <w:rPr>
          <w:sz w:val="21"/>
        </w:rPr>
      </w:pPr>
      <w:r>
        <w:rPr>
          <w:spacing w:val="-2"/>
          <w:sz w:val="21"/>
        </w:rPr>
        <w:t>本公司合同解除权的</w:t>
      </w:r>
      <w:r>
        <w:rPr>
          <w:spacing w:val="-6"/>
          <w:sz w:val="21"/>
        </w:rPr>
        <w:t>限制</w:t>
      </w:r>
    </w:p>
    <w:p>
      <w:pPr>
        <w:pStyle w:val="ListParagraph"/>
        <w:numPr>
          <w:ilvl w:val="0"/>
          <w:numId w:val="2"/>
        </w:numPr>
        <w:tabs>
          <w:tab w:pos="487" w:val="left" w:leader="none"/>
        </w:tabs>
        <w:spacing w:line="269" w:lineRule="exact" w:before="0" w:after="0"/>
        <w:ind w:left="486" w:right="0" w:hanging="213"/>
        <w:jc w:val="left"/>
        <w:rPr>
          <w:b/>
          <w:sz w:val="21"/>
        </w:rPr>
      </w:pPr>
      <w:r>
        <w:rPr>
          <w:b/>
          <w:spacing w:val="-2"/>
          <w:sz w:val="21"/>
        </w:rPr>
        <w:t>其他需要关注的事项</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年龄性别错误</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合同效力终止</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未还款项</w:t>
      </w:r>
    </w:p>
    <w:p>
      <w:pPr>
        <w:pStyle w:val="ListParagraph"/>
        <w:numPr>
          <w:ilvl w:val="1"/>
          <w:numId w:val="2"/>
        </w:numPr>
        <w:tabs>
          <w:tab w:pos="909" w:val="left" w:leader="none"/>
        </w:tabs>
        <w:spacing w:line="240" w:lineRule="auto" w:before="43" w:after="0"/>
        <w:ind w:left="908" w:right="0" w:hanging="424"/>
        <w:jc w:val="left"/>
        <w:rPr>
          <w:sz w:val="21"/>
        </w:rPr>
      </w:pPr>
      <w:r>
        <w:rPr>
          <w:spacing w:val="-4"/>
          <w:sz w:val="21"/>
        </w:rPr>
        <w:t>争议处理</w:t>
      </w:r>
    </w:p>
    <w:p>
      <w:pPr>
        <w:pStyle w:val="ListParagraph"/>
        <w:numPr>
          <w:ilvl w:val="0"/>
          <w:numId w:val="2"/>
        </w:numPr>
        <w:tabs>
          <w:tab w:pos="593" w:val="left" w:leader="none"/>
        </w:tabs>
        <w:spacing w:line="240" w:lineRule="auto" w:before="42" w:after="0"/>
        <w:ind w:left="592" w:right="0" w:hanging="319"/>
        <w:jc w:val="left"/>
        <w:rPr>
          <w:b/>
          <w:sz w:val="21"/>
        </w:rPr>
      </w:pPr>
      <w:r>
        <w:rPr>
          <w:b/>
          <w:spacing w:val="-5"/>
          <w:sz w:val="21"/>
        </w:rPr>
        <w:t>释义</w:t>
      </w:r>
    </w:p>
    <w:p>
      <w:pPr>
        <w:spacing w:after="0" w:line="240" w:lineRule="auto"/>
        <w:jc w:val="left"/>
        <w:rPr>
          <w:sz w:val="21"/>
        </w:rPr>
        <w:sectPr>
          <w:type w:val="continuous"/>
          <w:pgSz w:w="11910" w:h="16840"/>
          <w:pgMar w:top="140" w:bottom="280" w:left="560" w:right="480"/>
          <w:cols w:num="3" w:equalWidth="0">
            <w:col w:w="4018" w:space="40"/>
            <w:col w:w="3220" w:space="39"/>
            <w:col w:w="3553"/>
          </w:cols>
        </w:sectPr>
      </w:pPr>
    </w:p>
    <w:p>
      <w:pPr>
        <w:spacing w:before="19"/>
        <w:ind w:left="1249" w:right="1328" w:firstLine="0"/>
        <w:jc w:val="center"/>
        <w:rPr>
          <w:b/>
          <w:sz w:val="44"/>
        </w:rPr>
      </w:pPr>
      <w:r>
        <w:rPr>
          <w:b/>
          <w:w w:val="95"/>
          <w:sz w:val="44"/>
        </w:rPr>
        <w:t>弘</w:t>
      </w:r>
      <w:r>
        <w:rPr>
          <w:b/>
          <w:w w:val="95"/>
          <w:sz w:val="44"/>
        </w:rPr>
        <w:t>康</w:t>
      </w:r>
      <w:r>
        <w:rPr>
          <w:b/>
          <w:w w:val="95"/>
          <w:sz w:val="44"/>
        </w:rPr>
        <w:t>人</w:t>
      </w:r>
      <w:r>
        <w:rPr>
          <w:b/>
          <w:w w:val="95"/>
          <w:sz w:val="44"/>
        </w:rPr>
        <w:t>寿</w:t>
      </w:r>
      <w:r>
        <w:rPr>
          <w:b/>
          <w:w w:val="95"/>
          <w:sz w:val="44"/>
        </w:rPr>
        <w:t>保</w:t>
      </w:r>
      <w:r>
        <w:rPr>
          <w:b/>
          <w:w w:val="95"/>
          <w:sz w:val="44"/>
        </w:rPr>
        <w:t>险</w:t>
      </w:r>
      <w:r>
        <w:rPr>
          <w:b/>
          <w:w w:val="95"/>
          <w:sz w:val="44"/>
        </w:rPr>
        <w:t>股</w:t>
      </w:r>
      <w:r>
        <w:rPr>
          <w:b/>
          <w:w w:val="95"/>
          <w:sz w:val="44"/>
        </w:rPr>
        <w:t>份</w:t>
      </w:r>
      <w:r>
        <w:rPr>
          <w:b/>
          <w:w w:val="95"/>
          <w:sz w:val="44"/>
        </w:rPr>
        <w:t>有</w:t>
      </w:r>
      <w:r>
        <w:rPr>
          <w:b/>
          <w:w w:val="95"/>
          <w:sz w:val="44"/>
        </w:rPr>
        <w:t>限</w:t>
      </w:r>
      <w:r>
        <w:rPr>
          <w:b/>
          <w:w w:val="95"/>
          <w:sz w:val="44"/>
        </w:rPr>
        <w:t>公</w:t>
      </w:r>
      <w:r>
        <w:rPr>
          <w:b/>
          <w:spacing w:val="-10"/>
          <w:w w:val="95"/>
          <w:sz w:val="44"/>
        </w:rPr>
        <w:t>司</w:t>
      </w:r>
    </w:p>
    <w:p>
      <w:pPr>
        <w:spacing w:before="34"/>
        <w:ind w:left="1250" w:right="1327" w:firstLine="0"/>
        <w:jc w:val="center"/>
        <w:rPr>
          <w:b/>
          <w:sz w:val="44"/>
        </w:rPr>
      </w:pPr>
      <w:r>
        <w:rPr>
          <w:b/>
          <w:w w:val="95"/>
          <w:sz w:val="44"/>
        </w:rPr>
        <w:t>弘</w:t>
      </w:r>
      <w:r>
        <w:rPr>
          <w:b/>
          <w:w w:val="95"/>
          <w:sz w:val="44"/>
        </w:rPr>
        <w:t>康</w:t>
      </w:r>
      <w:r>
        <w:rPr>
          <w:b/>
          <w:w w:val="95"/>
          <w:sz w:val="44"/>
        </w:rPr>
        <w:t>哆</w:t>
      </w:r>
      <w:r>
        <w:rPr>
          <w:b/>
          <w:w w:val="95"/>
          <w:sz w:val="44"/>
        </w:rPr>
        <w:t>啦</w:t>
      </w:r>
      <w:r>
        <w:rPr>
          <w:b/>
          <w:spacing w:val="1"/>
          <w:sz w:val="44"/>
        </w:rPr>
        <w:t> </w:t>
      </w:r>
      <w:r>
        <w:rPr>
          <w:b/>
          <w:w w:val="95"/>
          <w:sz w:val="44"/>
        </w:rPr>
        <w:t>A</w:t>
      </w:r>
      <w:r>
        <w:rPr>
          <w:b/>
          <w:spacing w:val="4"/>
          <w:sz w:val="44"/>
        </w:rPr>
        <w:t> </w:t>
      </w:r>
      <w:r>
        <w:rPr>
          <w:b/>
          <w:w w:val="95"/>
          <w:sz w:val="44"/>
        </w:rPr>
        <w:t>保</w:t>
      </w:r>
      <w:r>
        <w:rPr>
          <w:b/>
          <w:w w:val="95"/>
          <w:sz w:val="44"/>
        </w:rPr>
        <w:t>重</w:t>
      </w:r>
      <w:r>
        <w:rPr>
          <w:b/>
          <w:w w:val="95"/>
          <w:sz w:val="44"/>
        </w:rPr>
        <w:t>大</w:t>
      </w:r>
      <w:r>
        <w:rPr>
          <w:b/>
          <w:w w:val="95"/>
          <w:sz w:val="44"/>
        </w:rPr>
        <w:t>疾</w:t>
      </w:r>
      <w:r>
        <w:rPr>
          <w:b/>
          <w:w w:val="95"/>
          <w:sz w:val="44"/>
        </w:rPr>
        <w:t>病</w:t>
      </w:r>
      <w:r>
        <w:rPr>
          <w:b/>
          <w:w w:val="95"/>
          <w:sz w:val="44"/>
        </w:rPr>
        <w:t>保</w:t>
      </w:r>
      <w:r>
        <w:rPr>
          <w:b/>
          <w:w w:val="95"/>
          <w:sz w:val="44"/>
        </w:rPr>
        <w:t>险</w:t>
      </w:r>
      <w:r>
        <w:rPr>
          <w:b/>
          <w:w w:val="95"/>
          <w:sz w:val="44"/>
        </w:rPr>
        <w:t>（2.0</w:t>
      </w:r>
      <w:r>
        <w:rPr>
          <w:b/>
          <w:spacing w:val="1"/>
          <w:sz w:val="44"/>
        </w:rPr>
        <w:t> </w:t>
      </w:r>
      <w:r>
        <w:rPr>
          <w:b/>
          <w:w w:val="95"/>
          <w:sz w:val="44"/>
        </w:rPr>
        <w:t>版）</w:t>
      </w:r>
      <w:r>
        <w:rPr>
          <w:b/>
          <w:w w:val="95"/>
          <w:sz w:val="44"/>
        </w:rPr>
        <w:t>条</w:t>
      </w:r>
      <w:r>
        <w:rPr>
          <w:b/>
          <w:spacing w:val="-10"/>
          <w:w w:val="95"/>
          <w:sz w:val="44"/>
        </w:rPr>
        <w:t>款</w:t>
      </w:r>
    </w:p>
    <w:p>
      <w:pPr>
        <w:pStyle w:val="BodyText"/>
        <w:spacing w:before="10"/>
        <w:rPr>
          <w:b/>
          <w:sz w:val="52"/>
        </w:rPr>
      </w:pPr>
    </w:p>
    <w:p>
      <w:pPr>
        <w:pStyle w:val="BodyText"/>
        <w:spacing w:line="278" w:lineRule="auto" w:before="1"/>
        <w:ind w:left="248" w:right="422"/>
      </w:pPr>
      <w:r>
        <w:rPr>
          <w:spacing w:val="-5"/>
        </w:rPr>
        <w:t>在本条款中，“您”指投保人，“我们”和“本公司”指弘康人寿保险股份有限公司，“本合同”指您与我们之</w:t>
      </w:r>
      <w:r>
        <w:rPr>
          <w:spacing w:val="-2"/>
        </w:rPr>
        <w:t>间订立的 “弘康哆啦 </w:t>
      </w:r>
      <w:r>
        <w:rPr/>
        <w:t>A</w:t>
      </w:r>
      <w:r>
        <w:rPr>
          <w:spacing w:val="-5"/>
        </w:rPr>
        <w:t> 保重大疾病保险</w:t>
      </w:r>
      <w:r>
        <w:rPr/>
        <w:t>（2.0</w:t>
      </w:r>
      <w:r>
        <w:rPr>
          <w:spacing w:val="-12"/>
        </w:rPr>
        <w:t> 版</w:t>
      </w:r>
      <w:r>
        <w:rPr/>
        <w:t>）</w:t>
      </w:r>
      <w:r>
        <w:rPr>
          <w:spacing w:val="-27"/>
        </w:rPr>
        <w:t>合同”。</w:t>
      </w:r>
    </w:p>
    <w:p>
      <w:pPr>
        <w:pStyle w:val="BodyText"/>
        <w:spacing w:before="9"/>
        <w:rPr>
          <w:sz w:val="28"/>
        </w:rPr>
      </w:pPr>
    </w:p>
    <w:p>
      <w:pPr>
        <w:pStyle w:val="Heading1"/>
        <w:tabs>
          <w:tab w:pos="1132" w:val="left" w:leader="none"/>
        </w:tabs>
        <w:spacing w:before="0"/>
        <w:ind w:left="392"/>
        <w:rPr>
          <w:rFonts w:ascii="宋体" w:hAnsi="宋体" w:eastAsia="宋体" w:hint="eastAsia"/>
        </w:rPr>
      </w:pPr>
      <w:r>
        <w:rPr>
          <w:rFonts w:ascii="Wingdings 2" w:hAnsi="Wingdings 2" w:eastAsia="Wingdings 2"/>
          <w:spacing w:val="-10"/>
          <w:position w:val="-3"/>
          <w:sz w:val="40"/>
        </w:rPr>
        <w:t></w:t>
      </w:r>
      <w:r>
        <w:rPr>
          <w:rFonts w:ascii="Times New Roman" w:hAnsi="Times New Roman" w:eastAsia="Times New Roman"/>
          <w:b w:val="0"/>
          <w:position w:val="-3"/>
          <w:sz w:val="40"/>
        </w:rPr>
        <w:tab/>
      </w:r>
      <w:r>
        <w:rPr>
          <w:rFonts w:ascii="宋体" w:hAnsi="宋体" w:eastAsia="宋体" w:hint="eastAsia"/>
          <w:w w:val="95"/>
        </w:rPr>
        <w:t>您与我</w:t>
      </w:r>
      <w:r>
        <w:rPr>
          <w:rFonts w:ascii="宋体" w:hAnsi="宋体" w:eastAsia="宋体" w:hint="eastAsia"/>
          <w:w w:val="95"/>
        </w:rPr>
        <w:t>们</w:t>
      </w:r>
      <w:r>
        <w:rPr>
          <w:rFonts w:ascii="宋体" w:hAnsi="宋体" w:eastAsia="宋体" w:hint="eastAsia"/>
          <w:w w:val="95"/>
        </w:rPr>
        <w:t>订</w:t>
      </w:r>
      <w:r>
        <w:rPr>
          <w:rFonts w:ascii="宋体" w:hAnsi="宋体" w:eastAsia="宋体" w:hint="eastAsia"/>
          <w:spacing w:val="-3"/>
          <w:w w:val="95"/>
        </w:rPr>
        <w:t>立的合同</w:t>
      </w:r>
    </w:p>
    <w:p>
      <w:pPr>
        <w:pStyle w:val="BodyText"/>
        <w:rPr>
          <w:b/>
          <w:sz w:val="6"/>
        </w:rPr>
      </w:pPr>
      <w:r>
        <w:rPr/>
        <w:drawing>
          <wp:anchor distT="0" distB="0" distL="0" distR="0" allowOverlap="1" layoutInCell="1" locked="0" behindDoc="0" simplePos="0" relativeHeight="2">
            <wp:simplePos x="0" y="0"/>
            <wp:positionH relativeFrom="page">
              <wp:posOffset>431291</wp:posOffset>
            </wp:positionH>
            <wp:positionV relativeFrom="paragraph">
              <wp:posOffset>64639</wp:posOffset>
            </wp:positionV>
            <wp:extent cx="6736030"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736030" cy="12287"/>
                    </a:xfrm>
                    <a:prstGeom prst="rect">
                      <a:avLst/>
                    </a:prstGeom>
                  </pic:spPr>
                </pic:pic>
              </a:graphicData>
            </a:graphic>
          </wp:anchor>
        </w:drawing>
      </w:r>
    </w:p>
    <w:p>
      <w:pPr>
        <w:pStyle w:val="ListParagraph"/>
        <w:numPr>
          <w:ilvl w:val="1"/>
          <w:numId w:val="3"/>
        </w:numPr>
        <w:tabs>
          <w:tab w:pos="1132" w:val="left" w:leader="none"/>
          <w:tab w:pos="1133" w:val="left" w:leader="none"/>
          <w:tab w:pos="3081" w:val="left" w:leader="none"/>
        </w:tabs>
        <w:spacing w:line="278" w:lineRule="auto" w:before="229" w:after="0"/>
        <w:ind w:left="3081" w:right="216" w:hanging="2852"/>
        <w:jc w:val="left"/>
        <w:rPr>
          <w:sz w:val="21"/>
        </w:rPr>
      </w:pPr>
      <w:r>
        <w:rPr>
          <w:b/>
          <w:spacing w:val="-4"/>
          <w:sz w:val="21"/>
        </w:rPr>
        <w:t>合</w:t>
      </w:r>
      <w:r>
        <w:rPr>
          <w:b/>
          <w:spacing w:val="-4"/>
          <w:sz w:val="21"/>
        </w:rPr>
        <w:t>同</w:t>
      </w:r>
      <w:r>
        <w:rPr>
          <w:b/>
          <w:spacing w:val="-4"/>
          <w:sz w:val="21"/>
        </w:rPr>
        <w:t>构</w:t>
      </w:r>
      <w:r>
        <w:rPr>
          <w:b/>
          <w:spacing w:val="-4"/>
          <w:sz w:val="21"/>
        </w:rPr>
        <w:t>成</w:t>
      </w:r>
      <w:r>
        <w:rPr>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56"/>
          <w:sz w:val="21"/>
        </w:rPr>
        <w:t>，</w:t>
      </w:r>
      <w:r>
        <w:rPr>
          <w:spacing w:val="-2"/>
          <w:sz w:val="21"/>
        </w:rPr>
        <w:t>包</w:t>
      </w:r>
      <w:r>
        <w:rPr>
          <w:spacing w:val="-2"/>
          <w:sz w:val="21"/>
        </w:rPr>
        <w:t>括</w:t>
      </w:r>
      <w:r>
        <w:rPr>
          <w:spacing w:val="-2"/>
          <w:sz w:val="21"/>
        </w:rPr>
        <w:t>本保险条款</w:t>
      </w:r>
      <w:r>
        <w:rPr>
          <w:spacing w:val="-53"/>
          <w:sz w:val="21"/>
        </w:rPr>
        <w:t>、</w:t>
      </w:r>
      <w:r>
        <w:rPr>
          <w:spacing w:val="-2"/>
          <w:sz w:val="21"/>
        </w:rPr>
        <w:t>保险单或其他</w:t>
      </w:r>
      <w:r>
        <w:rPr>
          <w:spacing w:val="-2"/>
          <w:sz w:val="21"/>
        </w:rPr>
        <w:t>保</w:t>
      </w:r>
      <w:r>
        <w:rPr>
          <w:spacing w:val="-2"/>
          <w:sz w:val="21"/>
        </w:rPr>
        <w:t>险</w:t>
      </w:r>
      <w:r>
        <w:rPr>
          <w:spacing w:val="-2"/>
          <w:sz w:val="21"/>
        </w:rPr>
        <w:t>凭证、投保单、与保</w:t>
      </w:r>
      <w:r>
        <w:rPr>
          <w:spacing w:val="-2"/>
          <w:sz w:val="21"/>
        </w:rPr>
        <w:t>险</w:t>
      </w:r>
      <w:r>
        <w:rPr>
          <w:spacing w:val="-2"/>
          <w:sz w:val="21"/>
        </w:rPr>
        <w:t>合</w:t>
      </w:r>
      <w:r>
        <w:rPr>
          <w:spacing w:val="-2"/>
          <w:sz w:val="21"/>
        </w:rPr>
        <w:t>同有关的投保文件、</w:t>
      </w:r>
      <w:r>
        <w:rPr>
          <w:spacing w:val="-2"/>
          <w:sz w:val="21"/>
        </w:rPr>
        <w:t>合</w:t>
      </w:r>
      <w:r>
        <w:rPr>
          <w:spacing w:val="-2"/>
          <w:sz w:val="21"/>
        </w:rPr>
        <w:t>法</w:t>
      </w:r>
      <w:r>
        <w:rPr>
          <w:spacing w:val="-2"/>
          <w:sz w:val="21"/>
        </w:rPr>
        <w:t>有效的声明、健康告知书、</w:t>
      </w:r>
      <w:r>
        <w:rPr>
          <w:spacing w:val="-2"/>
          <w:sz w:val="21"/>
        </w:rPr>
        <w:t>变</w:t>
      </w:r>
      <w:r>
        <w:rPr>
          <w:spacing w:val="-2"/>
          <w:sz w:val="21"/>
        </w:rPr>
        <w:t>更</w:t>
      </w:r>
      <w:r>
        <w:rPr>
          <w:spacing w:val="-2"/>
          <w:sz w:val="21"/>
        </w:rPr>
        <w:t>申请书、批注、批单</w:t>
      </w:r>
      <w:r>
        <w:rPr>
          <w:spacing w:val="-2"/>
          <w:sz w:val="21"/>
        </w:rPr>
        <w:t>及</w:t>
      </w:r>
      <w:r>
        <w:rPr>
          <w:spacing w:val="-2"/>
          <w:sz w:val="21"/>
        </w:rPr>
        <w:t>其</w:t>
      </w:r>
      <w:r>
        <w:rPr>
          <w:spacing w:val="-2"/>
          <w:sz w:val="21"/>
        </w:rPr>
        <w:t>他您与我们共同认可</w:t>
      </w:r>
      <w:r>
        <w:rPr>
          <w:spacing w:val="-2"/>
          <w:sz w:val="21"/>
        </w:rPr>
        <w:t>的</w:t>
      </w:r>
      <w:r>
        <w:rPr>
          <w:spacing w:val="-2"/>
          <w:sz w:val="21"/>
        </w:rPr>
        <w:t>书</w:t>
      </w:r>
      <w:r>
        <w:rPr>
          <w:spacing w:val="-2"/>
          <w:sz w:val="21"/>
        </w:rPr>
        <w:t>面协议。</w:t>
      </w:r>
    </w:p>
    <w:p>
      <w:pPr>
        <w:pStyle w:val="BodyText"/>
        <w:spacing w:before="10"/>
        <w:rPr>
          <w:sz w:val="17"/>
        </w:rPr>
      </w:pPr>
    </w:p>
    <w:p>
      <w:pPr>
        <w:pStyle w:val="ListParagraph"/>
        <w:numPr>
          <w:ilvl w:val="1"/>
          <w:numId w:val="3"/>
        </w:numPr>
        <w:tabs>
          <w:tab w:pos="1133" w:val="left" w:leader="none"/>
        </w:tabs>
        <w:spacing w:line="240" w:lineRule="auto" w:before="0" w:after="0"/>
        <w:ind w:left="1132" w:right="0" w:hanging="904"/>
        <w:jc w:val="both"/>
        <w:rPr>
          <w:sz w:val="21"/>
        </w:rPr>
      </w:pPr>
      <w:r>
        <w:rPr>
          <w:b/>
          <w:sz w:val="21"/>
        </w:rPr>
        <w:t>合同成立与生效</w:t>
      </w:r>
      <w:r>
        <w:rPr>
          <w:b/>
          <w:spacing w:val="61"/>
          <w:w w:val="150"/>
          <w:sz w:val="21"/>
        </w:rPr>
        <w:t>  </w:t>
      </w:r>
      <w:r>
        <w:rPr>
          <w:spacing w:val="-1"/>
          <w:sz w:val="21"/>
        </w:rPr>
        <w:t>一、您提出保险申请、我们同意承保，本合同成立。</w:t>
      </w:r>
    </w:p>
    <w:p>
      <w:pPr>
        <w:pStyle w:val="BodyText"/>
        <w:spacing w:line="278" w:lineRule="auto" w:before="43"/>
        <w:ind w:left="3501" w:right="324" w:hanging="421"/>
        <w:jc w:val="both"/>
      </w:pPr>
      <w:r>
        <w:rPr>
          <w:spacing w:val="-11"/>
        </w:rPr>
        <w:t>二、除另有约定外，自本合同成立、本公司收取保险费并签发保险单后次日零时起</w:t>
      </w:r>
      <w:r>
        <w:rPr>
          <w:spacing w:val="-12"/>
        </w:rPr>
        <w:t>本合同生效，生效日应载于保险单上。本公司自生效日的零时起开始承担本合</w:t>
      </w:r>
      <w:r>
        <w:rPr>
          <w:spacing w:val="-2"/>
        </w:rPr>
        <w:t>同约定的保险责任。</w:t>
      </w:r>
    </w:p>
    <w:p>
      <w:pPr>
        <w:spacing w:line="268" w:lineRule="auto" w:before="0"/>
        <w:ind w:left="3501" w:right="322" w:hanging="421"/>
        <w:jc w:val="both"/>
        <w:rPr>
          <w:sz w:val="21"/>
        </w:rPr>
      </w:pPr>
      <w:r>
        <w:rPr>
          <w:w w:val="95"/>
          <w:sz w:val="21"/>
        </w:rPr>
        <w:t>三、</w:t>
      </w:r>
      <w:r>
        <w:rPr>
          <w:b/>
          <w:spacing w:val="-149"/>
          <w:w w:val="95"/>
          <w:sz w:val="21"/>
        </w:rPr>
        <w:t>保</w:t>
      </w:r>
      <w:r>
        <w:rPr>
          <w:spacing w:val="-63"/>
          <w:w w:val="95"/>
          <w:position w:val="-7"/>
          <w:sz w:val="21"/>
        </w:rPr>
        <w:t>．</w:t>
      </w:r>
      <w:r>
        <w:rPr>
          <w:b/>
          <w:spacing w:val="-149"/>
          <w:w w:val="95"/>
          <w:sz w:val="21"/>
        </w:rPr>
        <w:t>单</w:t>
      </w:r>
      <w:r>
        <w:rPr>
          <w:spacing w:val="-63"/>
          <w:w w:val="95"/>
          <w:position w:val="-7"/>
          <w:sz w:val="21"/>
        </w:rPr>
        <w:t>．</w:t>
      </w:r>
      <w:r>
        <w:rPr>
          <w:b/>
          <w:spacing w:val="-149"/>
          <w:w w:val="95"/>
          <w:sz w:val="21"/>
        </w:rPr>
        <w:t>年</w:t>
      </w:r>
      <w:r>
        <w:rPr>
          <w:spacing w:val="-63"/>
          <w:w w:val="95"/>
          <w:position w:val="-7"/>
          <w:sz w:val="21"/>
        </w:rPr>
        <w:t>．</w:t>
      </w:r>
      <w:r>
        <w:rPr>
          <w:b/>
          <w:spacing w:val="-149"/>
          <w:w w:val="95"/>
          <w:sz w:val="21"/>
        </w:rPr>
        <w:t>度</w:t>
      </w:r>
      <w:r>
        <w:rPr>
          <w:w w:val="95"/>
          <w:position w:val="-7"/>
          <w:sz w:val="21"/>
        </w:rPr>
        <w:t>．</w:t>
      </w:r>
      <w:r>
        <w:rPr>
          <w:w w:val="95"/>
          <w:sz w:val="21"/>
        </w:rPr>
        <w:t>(</w:t>
      </w:r>
      <w:r>
        <w:rPr>
          <w:w w:val="95"/>
          <w:sz w:val="21"/>
        </w:rPr>
        <w:t>见</w:t>
      </w:r>
      <w:r>
        <w:rPr>
          <w:w w:val="95"/>
          <w:sz w:val="21"/>
        </w:rPr>
        <w:t> 10.1)、</w:t>
      </w:r>
      <w:r>
        <w:rPr>
          <w:b/>
          <w:spacing w:val="-149"/>
          <w:w w:val="95"/>
          <w:sz w:val="21"/>
        </w:rPr>
        <w:t>保</w:t>
      </w:r>
      <w:r>
        <w:rPr>
          <w:spacing w:val="-63"/>
          <w:w w:val="95"/>
          <w:position w:val="-7"/>
          <w:sz w:val="21"/>
        </w:rPr>
        <w:t>．</w:t>
      </w:r>
      <w:r>
        <w:rPr>
          <w:b/>
          <w:spacing w:val="-149"/>
          <w:w w:val="95"/>
          <w:sz w:val="21"/>
        </w:rPr>
        <w:t>单</w:t>
      </w:r>
      <w:r>
        <w:rPr>
          <w:spacing w:val="-63"/>
          <w:w w:val="95"/>
          <w:position w:val="-7"/>
          <w:sz w:val="21"/>
        </w:rPr>
        <w:t>．</w:t>
      </w:r>
      <w:r>
        <w:rPr>
          <w:b/>
          <w:spacing w:val="-149"/>
          <w:w w:val="95"/>
          <w:sz w:val="21"/>
        </w:rPr>
        <w:t>周</w:t>
      </w:r>
      <w:r>
        <w:rPr>
          <w:spacing w:val="-63"/>
          <w:w w:val="95"/>
          <w:position w:val="-7"/>
          <w:sz w:val="21"/>
        </w:rPr>
        <w:t>．</w:t>
      </w:r>
      <w:r>
        <w:rPr>
          <w:b/>
          <w:spacing w:val="-149"/>
          <w:w w:val="95"/>
          <w:sz w:val="21"/>
        </w:rPr>
        <w:t>年</w:t>
      </w:r>
      <w:r>
        <w:rPr>
          <w:spacing w:val="-63"/>
          <w:w w:val="95"/>
          <w:position w:val="-7"/>
          <w:sz w:val="21"/>
        </w:rPr>
        <w:t>．</w:t>
      </w:r>
      <w:r>
        <w:rPr>
          <w:b/>
          <w:spacing w:val="-149"/>
          <w:w w:val="95"/>
          <w:sz w:val="21"/>
        </w:rPr>
        <w:t>日</w:t>
      </w:r>
      <w:r>
        <w:rPr>
          <w:w w:val="95"/>
          <w:position w:val="-7"/>
          <w:sz w:val="21"/>
        </w:rPr>
        <w:t>．</w:t>
      </w:r>
      <w:r>
        <w:rPr>
          <w:w w:val="95"/>
          <w:sz w:val="21"/>
        </w:rPr>
        <w:t>(</w:t>
      </w:r>
      <w:r>
        <w:rPr>
          <w:w w:val="95"/>
          <w:sz w:val="21"/>
        </w:rPr>
        <w:t>见</w:t>
      </w:r>
      <w:r>
        <w:rPr>
          <w:w w:val="95"/>
          <w:sz w:val="21"/>
        </w:rPr>
        <w:t> 10.2)、</w:t>
      </w:r>
      <w:r>
        <w:rPr>
          <w:b/>
          <w:spacing w:val="-149"/>
          <w:w w:val="95"/>
          <w:sz w:val="21"/>
        </w:rPr>
        <w:t>保</w:t>
      </w:r>
      <w:r>
        <w:rPr>
          <w:spacing w:val="-63"/>
          <w:w w:val="95"/>
          <w:position w:val="-7"/>
          <w:sz w:val="21"/>
        </w:rPr>
        <w:t>．</w:t>
      </w:r>
      <w:r>
        <w:rPr>
          <w:b/>
          <w:spacing w:val="-149"/>
          <w:w w:val="95"/>
          <w:sz w:val="21"/>
        </w:rPr>
        <w:t>险</w:t>
      </w:r>
      <w:r>
        <w:rPr>
          <w:spacing w:val="-63"/>
          <w:w w:val="95"/>
          <w:position w:val="-7"/>
          <w:sz w:val="21"/>
        </w:rPr>
        <w:t>．</w:t>
      </w:r>
      <w:r>
        <w:rPr>
          <w:b/>
          <w:spacing w:val="-149"/>
          <w:w w:val="95"/>
          <w:sz w:val="21"/>
        </w:rPr>
        <w:t>费</w:t>
      </w:r>
      <w:r>
        <w:rPr>
          <w:spacing w:val="-63"/>
          <w:w w:val="95"/>
          <w:position w:val="-7"/>
          <w:sz w:val="21"/>
        </w:rPr>
        <w:t>．</w:t>
      </w:r>
      <w:r>
        <w:rPr>
          <w:b/>
          <w:spacing w:val="-149"/>
          <w:w w:val="95"/>
          <w:sz w:val="21"/>
        </w:rPr>
        <w:t>应</w:t>
      </w:r>
      <w:r>
        <w:rPr>
          <w:spacing w:val="-63"/>
          <w:w w:val="95"/>
          <w:position w:val="-7"/>
          <w:sz w:val="21"/>
        </w:rPr>
        <w:t>．</w:t>
      </w:r>
      <w:r>
        <w:rPr>
          <w:b/>
          <w:spacing w:val="-149"/>
          <w:w w:val="95"/>
          <w:sz w:val="21"/>
        </w:rPr>
        <w:t>交</w:t>
      </w:r>
      <w:r>
        <w:rPr>
          <w:spacing w:val="-63"/>
          <w:w w:val="95"/>
          <w:position w:val="-7"/>
          <w:sz w:val="21"/>
        </w:rPr>
        <w:t>．</w:t>
      </w:r>
      <w:r>
        <w:rPr>
          <w:b/>
          <w:spacing w:val="-149"/>
          <w:w w:val="95"/>
          <w:sz w:val="21"/>
        </w:rPr>
        <w:t>日</w:t>
      </w:r>
      <w:r>
        <w:rPr>
          <w:w w:val="95"/>
          <w:position w:val="-7"/>
          <w:sz w:val="21"/>
        </w:rPr>
        <w:t>．</w:t>
      </w:r>
      <w:r>
        <w:rPr>
          <w:w w:val="95"/>
          <w:sz w:val="21"/>
        </w:rPr>
        <w:t>（</w:t>
      </w:r>
      <w:r>
        <w:rPr>
          <w:w w:val="95"/>
          <w:sz w:val="21"/>
        </w:rPr>
        <w:t>见</w:t>
      </w:r>
      <w:r>
        <w:rPr>
          <w:w w:val="95"/>
          <w:sz w:val="21"/>
        </w:rPr>
        <w:t> 10.3）均</w:t>
      </w:r>
      <w:r>
        <w:rPr>
          <w:w w:val="95"/>
          <w:sz w:val="21"/>
        </w:rPr>
        <w:t>以</w:t>
      </w:r>
      <w:r>
        <w:rPr>
          <w:w w:val="95"/>
          <w:sz w:val="21"/>
        </w:rPr>
        <w:t>生</w:t>
      </w:r>
      <w:r>
        <w:rPr>
          <w:spacing w:val="-2"/>
          <w:sz w:val="21"/>
        </w:rPr>
        <w:t>效日进行计算。</w:t>
      </w:r>
    </w:p>
    <w:p>
      <w:pPr>
        <w:pStyle w:val="BodyText"/>
        <w:spacing w:before="5"/>
        <w:rPr>
          <w:sz w:val="18"/>
        </w:rPr>
      </w:pPr>
    </w:p>
    <w:p>
      <w:pPr>
        <w:pStyle w:val="ListParagraph"/>
        <w:numPr>
          <w:ilvl w:val="1"/>
          <w:numId w:val="3"/>
        </w:numPr>
        <w:tabs>
          <w:tab w:pos="1133" w:val="left" w:leader="none"/>
        </w:tabs>
        <w:spacing w:line="240" w:lineRule="auto" w:before="1" w:after="0"/>
        <w:ind w:left="1132" w:right="0" w:hanging="904"/>
        <w:jc w:val="both"/>
        <w:rPr>
          <w:sz w:val="21"/>
        </w:rPr>
      </w:pPr>
      <w:r>
        <w:rPr>
          <w:b/>
          <w:sz w:val="21"/>
        </w:rPr>
        <w:t>投保年龄</w:t>
      </w:r>
      <w:r>
        <w:rPr>
          <w:b/>
          <w:spacing w:val="902"/>
          <w:sz w:val="21"/>
        </w:rPr>
        <w:t> </w:t>
      </w:r>
      <w:r>
        <w:rPr>
          <w:sz w:val="21"/>
        </w:rPr>
        <w:t>指投保时被保险人的年龄，投保年龄以</w:t>
      </w:r>
      <w:r>
        <w:rPr>
          <w:b/>
          <w:spacing w:val="-149"/>
          <w:sz w:val="21"/>
        </w:rPr>
        <w:t>周</w:t>
      </w:r>
      <w:r>
        <w:rPr>
          <w:spacing w:val="-63"/>
          <w:position w:val="-7"/>
          <w:sz w:val="21"/>
        </w:rPr>
        <w:t>．</w:t>
      </w:r>
      <w:r>
        <w:rPr>
          <w:b/>
          <w:spacing w:val="-149"/>
          <w:sz w:val="21"/>
        </w:rPr>
        <w:t>岁</w:t>
      </w:r>
      <w:r>
        <w:rPr>
          <w:position w:val="-7"/>
          <w:sz w:val="21"/>
        </w:rPr>
        <w:t>．</w:t>
      </w:r>
      <w:r>
        <w:rPr>
          <w:spacing w:val="-18"/>
          <w:sz w:val="21"/>
        </w:rPr>
        <w:t>(见 </w:t>
      </w:r>
      <w:r>
        <w:rPr>
          <w:sz w:val="21"/>
        </w:rPr>
        <w:t>10.4)</w:t>
      </w:r>
      <w:r>
        <w:rPr>
          <w:spacing w:val="-4"/>
          <w:sz w:val="21"/>
        </w:rPr>
        <w:t>计算。</w:t>
      </w:r>
    </w:p>
    <w:p>
      <w:pPr>
        <w:pStyle w:val="BodyText"/>
        <w:spacing w:before="1"/>
        <w:rPr>
          <w:sz w:val="20"/>
        </w:rPr>
      </w:pPr>
    </w:p>
    <w:p>
      <w:pPr>
        <w:pStyle w:val="ListParagraph"/>
        <w:numPr>
          <w:ilvl w:val="1"/>
          <w:numId w:val="3"/>
        </w:numPr>
        <w:tabs>
          <w:tab w:pos="1133" w:val="left" w:leader="none"/>
          <w:tab w:pos="3081" w:val="left" w:leader="none"/>
        </w:tabs>
        <w:spacing w:line="240" w:lineRule="auto" w:before="1" w:after="0"/>
        <w:ind w:left="1132" w:right="0" w:hanging="904"/>
        <w:jc w:val="both"/>
        <w:rPr>
          <w:sz w:val="21"/>
        </w:rPr>
      </w:pPr>
      <w:r>
        <w:rPr>
          <w:b/>
          <w:sz w:val="21"/>
        </w:rPr>
        <w:t>犹豫</w:t>
      </w:r>
      <w:r>
        <w:rPr>
          <w:b/>
          <w:spacing w:val="-10"/>
          <w:sz w:val="21"/>
        </w:rPr>
        <w:t>期</w:t>
      </w:r>
      <w:r>
        <w:rPr>
          <w:b/>
          <w:sz w:val="21"/>
        </w:rPr>
        <w:tab/>
      </w:r>
      <w:r>
        <w:rPr>
          <w:sz w:val="21"/>
        </w:rPr>
        <w:t>一、</w:t>
      </w:r>
      <w:r>
        <w:rPr>
          <w:sz w:val="21"/>
        </w:rPr>
        <w:t>您</w:t>
      </w:r>
      <w:r>
        <w:rPr>
          <w:sz w:val="21"/>
        </w:rPr>
        <w:t>收</w:t>
      </w:r>
      <w:r>
        <w:rPr>
          <w:sz w:val="21"/>
        </w:rPr>
        <w:t>到</w:t>
      </w:r>
      <w:r>
        <w:rPr>
          <w:sz w:val="21"/>
        </w:rPr>
        <w:t>本</w:t>
      </w:r>
      <w:r>
        <w:rPr>
          <w:sz w:val="21"/>
        </w:rPr>
        <w:t>合</w:t>
      </w:r>
      <w:r>
        <w:rPr>
          <w:sz w:val="21"/>
        </w:rPr>
        <w:t>同</w:t>
      </w:r>
      <w:r>
        <w:rPr>
          <w:sz w:val="21"/>
        </w:rPr>
        <w:t>并</w:t>
      </w:r>
      <w:r>
        <w:rPr>
          <w:sz w:val="21"/>
        </w:rPr>
        <w:t>书</w:t>
      </w:r>
      <w:r>
        <w:rPr>
          <w:sz w:val="21"/>
        </w:rPr>
        <w:t>面签收或按照本公司要求的其他方式对</w:t>
      </w:r>
      <w:r>
        <w:rPr>
          <w:sz w:val="21"/>
        </w:rPr>
        <w:t>本</w:t>
      </w:r>
      <w:r>
        <w:rPr>
          <w:sz w:val="21"/>
        </w:rPr>
        <w:t>合</w:t>
      </w:r>
      <w:r>
        <w:rPr>
          <w:sz w:val="21"/>
        </w:rPr>
        <w:t>同</w:t>
      </w:r>
      <w:r>
        <w:rPr>
          <w:sz w:val="21"/>
        </w:rPr>
        <w:t>进行确</w:t>
      </w:r>
      <w:r>
        <w:rPr>
          <w:sz w:val="21"/>
        </w:rPr>
        <w:t>认</w:t>
      </w:r>
      <w:r>
        <w:rPr>
          <w:spacing w:val="-10"/>
          <w:sz w:val="21"/>
        </w:rPr>
        <w:t>之</w:t>
      </w:r>
    </w:p>
    <w:p>
      <w:pPr>
        <w:pStyle w:val="BodyText"/>
        <w:spacing w:line="278" w:lineRule="auto" w:before="43"/>
        <w:ind w:left="3501" w:right="322"/>
        <w:jc w:val="both"/>
      </w:pPr>
      <w:r>
        <w:rPr>
          <w:w w:val="95"/>
        </w:rPr>
        <w:t>日</w:t>
      </w:r>
      <w:r>
        <w:rPr>
          <w:w w:val="95"/>
        </w:rPr>
        <w:t>起</w:t>
      </w:r>
      <w:r>
        <w:rPr>
          <w:w w:val="95"/>
        </w:rPr>
        <w:t> 15 日内（含第 15 日）</w:t>
      </w:r>
      <w:r>
        <w:rPr>
          <w:w w:val="95"/>
        </w:rPr>
        <w:t>为</w:t>
      </w:r>
      <w:r>
        <w:rPr>
          <w:w w:val="95"/>
        </w:rPr>
        <w:t>犹</w:t>
      </w:r>
      <w:r>
        <w:rPr>
          <w:w w:val="95"/>
        </w:rPr>
        <w:t>豫期。在此期间请您</w:t>
      </w:r>
      <w:r>
        <w:rPr>
          <w:w w:val="95"/>
        </w:rPr>
        <w:t>仔</w:t>
      </w:r>
      <w:r>
        <w:rPr>
          <w:w w:val="95"/>
        </w:rPr>
        <w:t>细</w:t>
      </w:r>
      <w:r>
        <w:rPr>
          <w:w w:val="95"/>
        </w:rPr>
        <w:t>审阅本合同的各</w:t>
      </w:r>
      <w:r>
        <w:rPr>
          <w:w w:val="95"/>
        </w:rPr>
        <w:t>项</w:t>
      </w:r>
      <w:r>
        <w:rPr>
          <w:w w:val="95"/>
        </w:rPr>
        <w:t>内</w:t>
      </w:r>
      <w:r>
        <w:rPr>
          <w:spacing w:val="-4"/>
        </w:rPr>
        <w:t>容，特别是责任免除条款、合同解除条款以及如实告知条款等内容。若您认为</w:t>
      </w:r>
      <w:r>
        <w:rPr>
          <w:spacing w:val="-9"/>
        </w:rPr>
        <w:t>本合同与您的需求不相符，您可以在此期间提出解除本合同，我们将在扣除不</w:t>
      </w:r>
      <w:r>
        <w:rPr>
          <w:spacing w:val="-10"/>
        </w:rPr>
        <w:t>超过 </w:t>
      </w:r>
      <w:r>
        <w:rPr>
          <w:spacing w:val="-2"/>
        </w:rPr>
        <w:t>10</w:t>
      </w:r>
      <w:r>
        <w:rPr>
          <w:spacing w:val="-7"/>
        </w:rPr>
        <w:t> 元的工本费后无息退还您所交纳的保险费。但经本公司体检的，本公</w:t>
      </w:r>
      <w:r>
        <w:rPr>
          <w:spacing w:val="-2"/>
        </w:rPr>
        <w:t>司有权扣除体检费。</w:t>
      </w:r>
    </w:p>
    <w:p>
      <w:pPr>
        <w:pStyle w:val="BodyText"/>
        <w:spacing w:line="269" w:lineRule="exact"/>
        <w:ind w:left="3081"/>
      </w:pPr>
      <w:r>
        <w:rPr>
          <w:spacing w:val="-7"/>
        </w:rPr>
        <w:t>二、您在犹豫期内提出解除合同时需填写解除合同申请书，并提供保险合同及您的</w:t>
      </w:r>
    </w:p>
    <w:p>
      <w:pPr>
        <w:pStyle w:val="BodyText"/>
        <w:spacing w:before="5"/>
        <w:rPr>
          <w:sz w:val="5"/>
        </w:rPr>
      </w:pPr>
    </w:p>
    <w:tbl>
      <w:tblPr>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2"/>
        <w:gridCol w:w="2009"/>
        <w:gridCol w:w="7695"/>
      </w:tblGrid>
      <w:tr>
        <w:trPr>
          <w:trHeight w:val="1493" w:hRule="atLeast"/>
        </w:trPr>
        <w:tc>
          <w:tcPr>
            <w:tcW w:w="822" w:type="dxa"/>
            <w:tcBorders>
              <w:bottom w:val="single" w:sz="8" w:space="0" w:color="000000"/>
            </w:tcBorders>
          </w:tcPr>
          <w:p>
            <w:pPr>
              <w:pStyle w:val="TableParagraph"/>
              <w:ind w:left="0"/>
              <w:rPr>
                <w:sz w:val="42"/>
              </w:rPr>
            </w:pPr>
          </w:p>
          <w:p>
            <w:pPr>
              <w:pStyle w:val="TableParagraph"/>
              <w:spacing w:before="11"/>
              <w:ind w:left="0"/>
              <w:rPr>
                <w:sz w:val="33"/>
              </w:rPr>
            </w:pPr>
          </w:p>
          <w:p>
            <w:pPr>
              <w:pStyle w:val="TableParagraph"/>
              <w:ind w:left="273"/>
              <w:rPr>
                <w:rFonts w:ascii="Wingdings 2" w:hAnsi="Wingdings 2"/>
                <w:b/>
                <w:sz w:val="40"/>
              </w:rPr>
            </w:pPr>
            <w:r>
              <w:rPr>
                <w:rFonts w:ascii="Wingdings 2" w:hAnsi="Wingdings 2"/>
                <w:b/>
                <w:w w:val="100"/>
                <w:sz w:val="40"/>
              </w:rPr>
              <w:t></w:t>
            </w:r>
          </w:p>
        </w:tc>
        <w:tc>
          <w:tcPr>
            <w:tcW w:w="2009" w:type="dxa"/>
            <w:tcBorders>
              <w:bottom w:val="single" w:sz="8" w:space="0" w:color="000000"/>
            </w:tcBorders>
          </w:tcPr>
          <w:p>
            <w:pPr>
              <w:pStyle w:val="TableParagraph"/>
              <w:ind w:left="0"/>
              <w:rPr>
                <w:sz w:val="24"/>
              </w:rPr>
            </w:pPr>
          </w:p>
          <w:p>
            <w:pPr>
              <w:pStyle w:val="TableParagraph"/>
              <w:ind w:left="0"/>
              <w:rPr>
                <w:sz w:val="24"/>
              </w:rPr>
            </w:pPr>
          </w:p>
          <w:p>
            <w:pPr>
              <w:pStyle w:val="TableParagraph"/>
              <w:spacing w:before="3"/>
              <w:ind w:left="0"/>
              <w:rPr>
                <w:sz w:val="32"/>
              </w:rPr>
            </w:pPr>
          </w:p>
          <w:p>
            <w:pPr>
              <w:pStyle w:val="TableParagraph"/>
              <w:ind w:left="191"/>
              <w:rPr>
                <w:b/>
                <w:sz w:val="24"/>
              </w:rPr>
            </w:pPr>
            <w:r>
              <w:rPr>
                <w:b/>
                <w:w w:val="95"/>
                <w:sz w:val="24"/>
              </w:rPr>
              <w:t>我们提</w:t>
            </w:r>
            <w:r>
              <w:rPr>
                <w:b/>
                <w:w w:val="95"/>
                <w:sz w:val="24"/>
              </w:rPr>
              <w:t>供</w:t>
            </w:r>
            <w:r>
              <w:rPr>
                <w:b/>
                <w:w w:val="95"/>
                <w:sz w:val="24"/>
              </w:rPr>
              <w:t>的</w:t>
            </w:r>
            <w:r>
              <w:rPr>
                <w:b/>
                <w:spacing w:val="-5"/>
                <w:w w:val="95"/>
                <w:sz w:val="24"/>
              </w:rPr>
              <w:t>保障</w:t>
            </w:r>
          </w:p>
        </w:tc>
        <w:tc>
          <w:tcPr>
            <w:tcW w:w="7695" w:type="dxa"/>
            <w:tcBorders>
              <w:bottom w:val="single" w:sz="8" w:space="0" w:color="000000"/>
            </w:tcBorders>
          </w:tcPr>
          <w:p>
            <w:pPr>
              <w:pStyle w:val="TableParagraph"/>
              <w:spacing w:line="206" w:lineRule="auto"/>
              <w:ind w:left="551" w:right="-15"/>
              <w:rPr>
                <w:rFonts w:ascii="黑体" w:eastAsia="黑体" w:hint="eastAsia"/>
                <w:b/>
                <w:sz w:val="21"/>
              </w:rPr>
            </w:pPr>
            <w:r>
              <w:rPr>
                <w:b/>
                <w:spacing w:val="-149"/>
                <w:sz w:val="21"/>
              </w:rPr>
              <w:t>有</w:t>
            </w:r>
            <w:r>
              <w:rPr>
                <w:spacing w:val="-63"/>
                <w:position w:val="-7"/>
                <w:sz w:val="21"/>
              </w:rPr>
              <w:t>．</w:t>
            </w:r>
            <w:r>
              <w:rPr>
                <w:b/>
                <w:spacing w:val="-149"/>
                <w:sz w:val="21"/>
              </w:rPr>
              <w:t>效</w:t>
            </w:r>
            <w:r>
              <w:rPr>
                <w:spacing w:val="-63"/>
                <w:position w:val="-7"/>
                <w:sz w:val="21"/>
              </w:rPr>
              <w:t>．</w:t>
            </w:r>
            <w:r>
              <w:rPr>
                <w:b/>
                <w:spacing w:val="-149"/>
                <w:sz w:val="21"/>
              </w:rPr>
              <w:t>身</w:t>
            </w:r>
            <w:r>
              <w:rPr>
                <w:spacing w:val="-63"/>
                <w:position w:val="-7"/>
                <w:sz w:val="21"/>
              </w:rPr>
              <w:t>．</w:t>
            </w:r>
            <w:r>
              <w:rPr>
                <w:b/>
                <w:spacing w:val="-149"/>
                <w:sz w:val="21"/>
              </w:rPr>
              <w:t>份</w:t>
            </w:r>
            <w:r>
              <w:rPr>
                <w:spacing w:val="-63"/>
                <w:position w:val="-7"/>
                <w:sz w:val="21"/>
              </w:rPr>
              <w:t>．</w:t>
            </w:r>
            <w:r>
              <w:rPr>
                <w:b/>
                <w:spacing w:val="-149"/>
                <w:sz w:val="21"/>
              </w:rPr>
              <w:t>证</w:t>
            </w:r>
            <w:r>
              <w:rPr>
                <w:spacing w:val="-63"/>
                <w:position w:val="-7"/>
                <w:sz w:val="21"/>
              </w:rPr>
              <w:t>．</w:t>
            </w:r>
            <w:r>
              <w:rPr>
                <w:b/>
                <w:spacing w:val="-149"/>
                <w:sz w:val="21"/>
              </w:rPr>
              <w:t>件</w:t>
            </w:r>
            <w:r>
              <w:rPr>
                <w:spacing w:val="-6"/>
                <w:position w:val="-7"/>
                <w:sz w:val="21"/>
              </w:rPr>
              <w:t>．</w:t>
            </w:r>
            <w:r>
              <w:rPr>
                <w:spacing w:val="-13"/>
                <w:sz w:val="21"/>
              </w:rPr>
              <w:t>(见 </w:t>
            </w:r>
            <w:r>
              <w:rPr>
                <w:spacing w:val="-6"/>
                <w:sz w:val="21"/>
              </w:rPr>
              <w:t>10.5)。</w:t>
            </w:r>
            <w:r>
              <w:rPr>
                <w:rFonts w:ascii="黑体" w:eastAsia="黑体" w:hint="eastAsia"/>
                <w:b/>
                <w:spacing w:val="-7"/>
                <w:sz w:val="21"/>
              </w:rPr>
              <w:t>自我们收到解除合同申请书时起，本合同效力终止，</w:t>
            </w:r>
          </w:p>
          <w:p>
            <w:pPr>
              <w:pStyle w:val="TableParagraph"/>
              <w:spacing w:before="41"/>
              <w:ind w:left="551"/>
              <w:rPr>
                <w:rFonts w:ascii="黑体" w:eastAsia="黑体" w:hint="eastAsia"/>
                <w:b/>
                <w:sz w:val="21"/>
              </w:rPr>
            </w:pPr>
            <w:r>
              <w:rPr>
                <w:rFonts w:ascii="黑体" w:eastAsia="黑体" w:hint="eastAsia"/>
                <w:b/>
                <w:spacing w:val="-3"/>
                <w:sz w:val="21"/>
              </w:rPr>
              <w:t>我们自本合同生效日起不承担保险责任。</w:t>
            </w:r>
          </w:p>
        </w:tc>
      </w:tr>
      <w:tr>
        <w:trPr>
          <w:trHeight w:val="538" w:hRule="atLeast"/>
        </w:trPr>
        <w:tc>
          <w:tcPr>
            <w:tcW w:w="822" w:type="dxa"/>
            <w:tcBorders>
              <w:top w:val="single" w:sz="8" w:space="0" w:color="000000"/>
            </w:tcBorders>
          </w:tcPr>
          <w:p>
            <w:pPr>
              <w:pStyle w:val="TableParagraph"/>
              <w:spacing w:before="5"/>
              <w:ind w:left="0"/>
              <w:rPr>
                <w:sz w:val="19"/>
              </w:rPr>
            </w:pPr>
          </w:p>
          <w:p>
            <w:pPr>
              <w:pStyle w:val="TableParagraph"/>
              <w:ind w:left="110"/>
              <w:rPr>
                <w:b/>
                <w:sz w:val="21"/>
              </w:rPr>
            </w:pPr>
            <w:r>
              <w:rPr>
                <w:b/>
                <w:spacing w:val="-5"/>
                <w:sz w:val="21"/>
              </w:rPr>
              <w:t>2.1</w:t>
            </w:r>
          </w:p>
        </w:tc>
        <w:tc>
          <w:tcPr>
            <w:tcW w:w="2009" w:type="dxa"/>
            <w:tcBorders>
              <w:top w:val="single" w:sz="8" w:space="0" w:color="000000"/>
            </w:tcBorders>
          </w:tcPr>
          <w:p>
            <w:pPr>
              <w:pStyle w:val="TableParagraph"/>
              <w:spacing w:before="5"/>
              <w:ind w:left="0"/>
              <w:rPr>
                <w:sz w:val="19"/>
              </w:rPr>
            </w:pPr>
          </w:p>
          <w:p>
            <w:pPr>
              <w:pStyle w:val="TableParagraph"/>
              <w:ind w:left="191"/>
              <w:rPr>
                <w:b/>
                <w:sz w:val="21"/>
              </w:rPr>
            </w:pPr>
            <w:r>
              <w:rPr>
                <w:b/>
                <w:spacing w:val="-2"/>
                <w:sz w:val="21"/>
              </w:rPr>
              <w:t>基本保险金额</w:t>
            </w:r>
          </w:p>
        </w:tc>
        <w:tc>
          <w:tcPr>
            <w:tcW w:w="7695" w:type="dxa"/>
            <w:tcBorders>
              <w:top w:val="single" w:sz="8" w:space="0" w:color="000000"/>
            </w:tcBorders>
          </w:tcPr>
          <w:p>
            <w:pPr>
              <w:pStyle w:val="TableParagraph"/>
              <w:spacing w:before="5"/>
              <w:ind w:left="0"/>
              <w:rPr>
                <w:sz w:val="19"/>
              </w:rPr>
            </w:pPr>
          </w:p>
          <w:p>
            <w:pPr>
              <w:pStyle w:val="TableParagraph"/>
              <w:ind w:left="131"/>
              <w:rPr>
                <w:sz w:val="21"/>
              </w:rPr>
            </w:pPr>
            <w:r>
              <w:rPr>
                <w:spacing w:val="-8"/>
                <w:sz w:val="21"/>
              </w:rPr>
              <w:t>本合同的基本保险金额由您在投保时与我们约定，并在保险单中载明。投保时的基</w:t>
            </w:r>
          </w:p>
        </w:tc>
      </w:tr>
      <w:tr>
        <w:trPr>
          <w:trHeight w:val="468" w:hRule="atLeast"/>
        </w:trPr>
        <w:tc>
          <w:tcPr>
            <w:tcW w:w="822" w:type="dxa"/>
          </w:tcPr>
          <w:p>
            <w:pPr>
              <w:pStyle w:val="TableParagraph"/>
              <w:ind w:left="0"/>
              <w:rPr>
                <w:rFonts w:ascii="Times New Roman"/>
                <w:sz w:val="20"/>
              </w:rPr>
            </w:pPr>
          </w:p>
        </w:tc>
        <w:tc>
          <w:tcPr>
            <w:tcW w:w="2009" w:type="dxa"/>
          </w:tcPr>
          <w:p>
            <w:pPr>
              <w:pStyle w:val="TableParagraph"/>
              <w:ind w:left="0"/>
              <w:rPr>
                <w:rFonts w:ascii="Times New Roman"/>
                <w:sz w:val="20"/>
              </w:rPr>
            </w:pPr>
          </w:p>
        </w:tc>
        <w:tc>
          <w:tcPr>
            <w:tcW w:w="7695" w:type="dxa"/>
          </w:tcPr>
          <w:p>
            <w:pPr>
              <w:pStyle w:val="TableParagraph"/>
              <w:spacing w:before="22"/>
              <w:ind w:left="131"/>
              <w:rPr>
                <w:sz w:val="21"/>
              </w:rPr>
            </w:pPr>
            <w:r>
              <w:rPr>
                <w:spacing w:val="-3"/>
                <w:sz w:val="21"/>
              </w:rPr>
              <w:t>本保险金额须符合我们当时的投保规则。</w:t>
            </w:r>
          </w:p>
        </w:tc>
      </w:tr>
      <w:tr>
        <w:trPr>
          <w:trHeight w:val="466" w:hRule="atLeast"/>
        </w:trPr>
        <w:tc>
          <w:tcPr>
            <w:tcW w:w="822" w:type="dxa"/>
          </w:tcPr>
          <w:p>
            <w:pPr>
              <w:pStyle w:val="TableParagraph"/>
              <w:spacing w:before="178"/>
              <w:ind w:left="110"/>
              <w:rPr>
                <w:b/>
                <w:sz w:val="21"/>
              </w:rPr>
            </w:pPr>
            <w:r>
              <w:rPr>
                <w:b/>
                <w:spacing w:val="-5"/>
                <w:sz w:val="21"/>
              </w:rPr>
              <w:t>2.2</w:t>
            </w:r>
          </w:p>
        </w:tc>
        <w:tc>
          <w:tcPr>
            <w:tcW w:w="2009" w:type="dxa"/>
          </w:tcPr>
          <w:p>
            <w:pPr>
              <w:pStyle w:val="TableParagraph"/>
              <w:spacing w:before="178"/>
              <w:ind w:left="191"/>
              <w:rPr>
                <w:b/>
                <w:sz w:val="21"/>
              </w:rPr>
            </w:pPr>
            <w:r>
              <w:rPr>
                <w:b/>
                <w:spacing w:val="-4"/>
                <w:sz w:val="21"/>
              </w:rPr>
              <w:t>等待期</w:t>
            </w:r>
          </w:p>
        </w:tc>
        <w:tc>
          <w:tcPr>
            <w:tcW w:w="7695" w:type="dxa"/>
          </w:tcPr>
          <w:p>
            <w:pPr>
              <w:pStyle w:val="TableParagraph"/>
              <w:spacing w:before="178"/>
              <w:ind w:left="131"/>
              <w:rPr>
                <w:sz w:val="21"/>
              </w:rPr>
            </w:pPr>
            <w:r>
              <w:rPr>
                <w:spacing w:val="-9"/>
                <w:sz w:val="21"/>
              </w:rPr>
              <w:t>本合同生效或最后复效之日起 </w:t>
            </w:r>
            <w:r>
              <w:rPr>
                <w:spacing w:val="-6"/>
                <w:sz w:val="21"/>
              </w:rPr>
              <w:t>180</w:t>
            </w:r>
            <w:r>
              <w:rPr>
                <w:spacing w:val="-21"/>
                <w:sz w:val="21"/>
              </w:rPr>
              <w:t> 天</w:t>
            </w:r>
            <w:r>
              <w:rPr>
                <w:spacing w:val="-6"/>
                <w:sz w:val="21"/>
              </w:rPr>
              <w:t>（</w:t>
            </w:r>
            <w:r>
              <w:rPr>
                <w:spacing w:val="-13"/>
                <w:sz w:val="21"/>
              </w:rPr>
              <w:t>包括第 </w:t>
            </w:r>
            <w:r>
              <w:rPr>
                <w:spacing w:val="-6"/>
                <w:sz w:val="21"/>
              </w:rPr>
              <w:t>180</w:t>
            </w:r>
            <w:r>
              <w:rPr>
                <w:spacing w:val="-22"/>
                <w:sz w:val="21"/>
              </w:rPr>
              <w:t> 天</w:t>
            </w:r>
            <w:r>
              <w:rPr>
                <w:spacing w:val="-6"/>
                <w:sz w:val="21"/>
              </w:rPr>
              <w:t>）</w:t>
            </w:r>
            <w:r>
              <w:rPr>
                <w:spacing w:val="-7"/>
                <w:sz w:val="21"/>
              </w:rPr>
              <w:t>为等待期，等待期是指本合</w:t>
            </w:r>
          </w:p>
        </w:tc>
      </w:tr>
      <w:tr>
        <w:trPr>
          <w:trHeight w:val="1023" w:hRule="atLeast"/>
        </w:trPr>
        <w:tc>
          <w:tcPr>
            <w:tcW w:w="822" w:type="dxa"/>
          </w:tcPr>
          <w:p>
            <w:pPr>
              <w:pStyle w:val="TableParagraph"/>
              <w:ind w:left="0"/>
              <w:rPr>
                <w:rFonts w:ascii="Times New Roman"/>
                <w:sz w:val="20"/>
              </w:rPr>
            </w:pPr>
          </w:p>
        </w:tc>
        <w:tc>
          <w:tcPr>
            <w:tcW w:w="2009" w:type="dxa"/>
          </w:tcPr>
          <w:p>
            <w:pPr>
              <w:pStyle w:val="TableParagraph"/>
              <w:ind w:left="0"/>
              <w:rPr>
                <w:rFonts w:ascii="Times New Roman"/>
                <w:sz w:val="20"/>
              </w:rPr>
            </w:pPr>
          </w:p>
        </w:tc>
        <w:tc>
          <w:tcPr>
            <w:tcW w:w="7695" w:type="dxa"/>
          </w:tcPr>
          <w:p>
            <w:pPr>
              <w:pStyle w:val="TableParagraph"/>
              <w:spacing w:before="20"/>
              <w:ind w:left="131" w:right="-15"/>
              <w:rPr>
                <w:sz w:val="21"/>
              </w:rPr>
            </w:pPr>
            <w:r>
              <w:rPr>
                <w:sz w:val="21"/>
              </w:rPr>
              <w:t>同生效后本公司不承担保险责任的一段时间。等待期内被保险人身故、</w:t>
            </w:r>
            <w:r>
              <w:rPr>
                <w:b/>
                <w:spacing w:val="-149"/>
                <w:sz w:val="21"/>
              </w:rPr>
              <w:t>首</w:t>
            </w:r>
            <w:r>
              <w:rPr>
                <w:spacing w:val="-60"/>
                <w:position w:val="-7"/>
                <w:sz w:val="21"/>
              </w:rPr>
              <w:t>．</w:t>
            </w:r>
            <w:r>
              <w:rPr>
                <w:b/>
                <w:spacing w:val="-149"/>
                <w:sz w:val="21"/>
              </w:rPr>
              <w:t>次</w:t>
            </w:r>
            <w:r>
              <w:rPr>
                <w:spacing w:val="-60"/>
                <w:position w:val="-7"/>
                <w:sz w:val="21"/>
              </w:rPr>
              <w:t>．</w:t>
            </w:r>
            <w:r>
              <w:rPr>
                <w:b/>
                <w:spacing w:val="-149"/>
                <w:sz w:val="21"/>
              </w:rPr>
              <w:t>患</w:t>
            </w:r>
            <w:r>
              <w:rPr>
                <w:spacing w:val="-60"/>
                <w:position w:val="-7"/>
                <w:sz w:val="21"/>
              </w:rPr>
              <w:t>．</w:t>
            </w:r>
            <w:r>
              <w:rPr>
                <w:b/>
                <w:spacing w:val="-149"/>
                <w:sz w:val="21"/>
              </w:rPr>
              <w:t>本</w:t>
            </w:r>
            <w:r>
              <w:rPr>
                <w:spacing w:val="-10"/>
                <w:position w:val="-7"/>
                <w:sz w:val="21"/>
              </w:rPr>
              <w:t>．</w:t>
            </w:r>
          </w:p>
          <w:p>
            <w:pPr>
              <w:pStyle w:val="TableParagraph"/>
              <w:spacing w:line="300" w:lineRule="atLeast" w:before="13"/>
              <w:ind w:left="131" w:right="-15"/>
              <w:rPr>
                <w:sz w:val="21"/>
              </w:rPr>
            </w:pPr>
            <w:r>
              <w:rPr>
                <w:b/>
                <w:spacing w:val="-149"/>
                <w:sz w:val="21"/>
              </w:rPr>
              <w:t>合</w:t>
            </w:r>
            <w:r>
              <w:rPr>
                <w:spacing w:val="-63"/>
                <w:position w:val="-7"/>
                <w:sz w:val="21"/>
              </w:rPr>
              <w:t>．</w:t>
            </w:r>
            <w:r>
              <w:rPr>
                <w:b/>
                <w:spacing w:val="-149"/>
                <w:sz w:val="21"/>
              </w:rPr>
              <w:t>同</w:t>
            </w:r>
            <w:r>
              <w:rPr>
                <w:spacing w:val="-63"/>
                <w:position w:val="-7"/>
                <w:sz w:val="21"/>
              </w:rPr>
              <w:t>．</w:t>
            </w:r>
            <w:r>
              <w:rPr>
                <w:b/>
                <w:spacing w:val="-149"/>
                <w:sz w:val="21"/>
              </w:rPr>
              <w:t>约</w:t>
            </w:r>
            <w:r>
              <w:rPr>
                <w:spacing w:val="-63"/>
                <w:position w:val="-7"/>
                <w:sz w:val="21"/>
              </w:rPr>
              <w:t>．</w:t>
            </w:r>
            <w:r>
              <w:rPr>
                <w:b/>
                <w:spacing w:val="-149"/>
                <w:sz w:val="21"/>
              </w:rPr>
              <w:t>定</w:t>
            </w:r>
            <w:r>
              <w:rPr>
                <w:spacing w:val="-63"/>
                <w:position w:val="-7"/>
                <w:sz w:val="21"/>
              </w:rPr>
              <w:t>．</w:t>
            </w:r>
            <w:r>
              <w:rPr>
                <w:b/>
                <w:spacing w:val="-149"/>
                <w:sz w:val="21"/>
              </w:rPr>
              <w:t>的</w:t>
            </w:r>
            <w:r>
              <w:rPr>
                <w:spacing w:val="-63"/>
                <w:position w:val="-7"/>
                <w:sz w:val="21"/>
              </w:rPr>
              <w:t>．</w:t>
            </w:r>
            <w:r>
              <w:rPr>
                <w:b/>
                <w:spacing w:val="-149"/>
                <w:sz w:val="21"/>
              </w:rPr>
              <w:t>重</w:t>
            </w:r>
            <w:r>
              <w:rPr>
                <w:spacing w:val="-63"/>
                <w:position w:val="-7"/>
                <w:sz w:val="21"/>
              </w:rPr>
              <w:t>．</w:t>
            </w:r>
            <w:r>
              <w:rPr>
                <w:b/>
                <w:spacing w:val="-149"/>
                <w:sz w:val="21"/>
              </w:rPr>
              <w:t>大</w:t>
            </w:r>
            <w:r>
              <w:rPr>
                <w:spacing w:val="-63"/>
                <w:position w:val="-7"/>
                <w:sz w:val="21"/>
              </w:rPr>
              <w:t>．</w:t>
            </w:r>
            <w:r>
              <w:rPr>
                <w:b/>
                <w:spacing w:val="-149"/>
                <w:sz w:val="21"/>
              </w:rPr>
              <w:t>疾</w:t>
            </w:r>
            <w:r>
              <w:rPr>
                <w:spacing w:val="-63"/>
                <w:position w:val="-7"/>
                <w:sz w:val="21"/>
              </w:rPr>
              <w:t>．</w:t>
            </w:r>
            <w:r>
              <w:rPr>
                <w:b/>
                <w:spacing w:val="-149"/>
                <w:sz w:val="21"/>
              </w:rPr>
              <w:t>病</w:t>
            </w:r>
            <w:r>
              <w:rPr>
                <w:spacing w:val="-10"/>
                <w:position w:val="-7"/>
                <w:sz w:val="21"/>
              </w:rPr>
              <w:t>．</w:t>
            </w:r>
            <w:r>
              <w:rPr>
                <w:spacing w:val="-10"/>
                <w:sz w:val="21"/>
              </w:rPr>
              <w:t>（</w:t>
            </w:r>
            <w:r>
              <w:rPr>
                <w:spacing w:val="-31"/>
                <w:sz w:val="21"/>
              </w:rPr>
              <w:t>见 </w:t>
            </w:r>
            <w:r>
              <w:rPr>
                <w:spacing w:val="1"/>
                <w:sz w:val="21"/>
              </w:rPr>
              <w:t>10.6</w:t>
            </w:r>
            <w:r>
              <w:rPr>
                <w:spacing w:val="-7"/>
                <w:sz w:val="21"/>
              </w:rPr>
              <w:t>；</w:t>
            </w:r>
            <w:r>
              <w:rPr>
                <w:spacing w:val="1"/>
                <w:sz w:val="21"/>
              </w:rPr>
              <w:t>10.</w:t>
            </w:r>
            <w:r>
              <w:rPr>
                <w:spacing w:val="-2"/>
                <w:sz w:val="21"/>
              </w:rPr>
              <w:t>7</w:t>
            </w:r>
            <w:r>
              <w:rPr>
                <w:spacing w:val="-105"/>
                <w:sz w:val="21"/>
              </w:rPr>
              <w:t>）</w:t>
            </w:r>
            <w:r>
              <w:rPr>
                <w:spacing w:val="-10"/>
                <w:sz w:val="21"/>
              </w:rPr>
              <w:t>、</w:t>
            </w:r>
            <w:r>
              <w:rPr>
                <w:b/>
                <w:spacing w:val="-149"/>
                <w:sz w:val="21"/>
              </w:rPr>
              <w:t>首</w:t>
            </w:r>
            <w:r>
              <w:rPr>
                <w:spacing w:val="-63"/>
                <w:position w:val="-7"/>
                <w:sz w:val="21"/>
              </w:rPr>
              <w:t>．</w:t>
            </w:r>
            <w:r>
              <w:rPr>
                <w:b/>
                <w:spacing w:val="-149"/>
                <w:sz w:val="21"/>
              </w:rPr>
              <w:t>次</w:t>
            </w:r>
            <w:r>
              <w:rPr>
                <w:spacing w:val="-63"/>
                <w:position w:val="-7"/>
                <w:sz w:val="21"/>
              </w:rPr>
              <w:t>．</w:t>
            </w:r>
            <w:r>
              <w:rPr>
                <w:b/>
                <w:spacing w:val="-149"/>
                <w:sz w:val="21"/>
              </w:rPr>
              <w:t>患</w:t>
            </w:r>
            <w:r>
              <w:rPr>
                <w:spacing w:val="-63"/>
                <w:position w:val="-7"/>
                <w:sz w:val="21"/>
              </w:rPr>
              <w:t>．</w:t>
            </w:r>
            <w:r>
              <w:rPr>
                <w:b/>
                <w:spacing w:val="-149"/>
                <w:sz w:val="21"/>
              </w:rPr>
              <w:t>本</w:t>
            </w:r>
            <w:r>
              <w:rPr>
                <w:spacing w:val="-63"/>
                <w:position w:val="-7"/>
                <w:sz w:val="21"/>
              </w:rPr>
              <w:t>．</w:t>
            </w:r>
            <w:r>
              <w:rPr>
                <w:b/>
                <w:spacing w:val="-152"/>
                <w:sz w:val="21"/>
              </w:rPr>
              <w:t>合</w:t>
            </w:r>
            <w:r>
              <w:rPr>
                <w:spacing w:val="-63"/>
                <w:position w:val="-7"/>
                <w:sz w:val="21"/>
              </w:rPr>
              <w:t>．</w:t>
            </w:r>
            <w:r>
              <w:rPr>
                <w:b/>
                <w:spacing w:val="-149"/>
                <w:sz w:val="21"/>
              </w:rPr>
              <w:t>同</w:t>
            </w:r>
            <w:r>
              <w:rPr>
                <w:spacing w:val="-63"/>
                <w:position w:val="-7"/>
                <w:sz w:val="21"/>
              </w:rPr>
              <w:t>．</w:t>
            </w:r>
            <w:r>
              <w:rPr>
                <w:b/>
                <w:spacing w:val="-149"/>
                <w:sz w:val="21"/>
              </w:rPr>
              <w:t>约</w:t>
            </w:r>
            <w:r>
              <w:rPr>
                <w:spacing w:val="-63"/>
                <w:position w:val="-7"/>
                <w:sz w:val="21"/>
              </w:rPr>
              <w:t>．</w:t>
            </w:r>
            <w:r>
              <w:rPr>
                <w:b/>
                <w:spacing w:val="-149"/>
                <w:sz w:val="21"/>
              </w:rPr>
              <w:t>定</w:t>
            </w:r>
            <w:r>
              <w:rPr>
                <w:spacing w:val="-63"/>
                <w:position w:val="-7"/>
                <w:sz w:val="21"/>
              </w:rPr>
              <w:t>．</w:t>
            </w:r>
            <w:r>
              <w:rPr>
                <w:b/>
                <w:spacing w:val="-149"/>
                <w:sz w:val="21"/>
              </w:rPr>
              <w:t>的</w:t>
            </w:r>
            <w:r>
              <w:rPr>
                <w:spacing w:val="-63"/>
                <w:position w:val="-7"/>
                <w:sz w:val="21"/>
              </w:rPr>
              <w:t>．</w:t>
            </w:r>
            <w:r>
              <w:rPr>
                <w:b/>
                <w:spacing w:val="-149"/>
                <w:sz w:val="21"/>
              </w:rPr>
              <w:t>轻</w:t>
            </w:r>
            <w:r>
              <w:rPr>
                <w:spacing w:val="-63"/>
                <w:position w:val="-7"/>
                <w:sz w:val="21"/>
              </w:rPr>
              <w:t>．</w:t>
            </w:r>
            <w:r>
              <w:rPr>
                <w:b/>
                <w:spacing w:val="-149"/>
                <w:sz w:val="21"/>
              </w:rPr>
              <w:t>症</w:t>
            </w:r>
            <w:r>
              <w:rPr>
                <w:spacing w:val="-63"/>
                <w:position w:val="-7"/>
                <w:sz w:val="21"/>
              </w:rPr>
              <w:t>．</w:t>
            </w:r>
            <w:r>
              <w:rPr>
                <w:b/>
                <w:spacing w:val="-149"/>
                <w:sz w:val="21"/>
              </w:rPr>
              <w:t>疾</w:t>
            </w:r>
            <w:r>
              <w:rPr>
                <w:spacing w:val="-63"/>
                <w:position w:val="-7"/>
                <w:sz w:val="21"/>
              </w:rPr>
              <w:t>．</w:t>
            </w:r>
            <w:r>
              <w:rPr>
                <w:b/>
                <w:spacing w:val="-149"/>
                <w:sz w:val="21"/>
              </w:rPr>
              <w:t>病</w:t>
            </w:r>
            <w:r>
              <w:rPr>
                <w:spacing w:val="-10"/>
                <w:position w:val="-7"/>
                <w:sz w:val="21"/>
              </w:rPr>
              <w:t>．</w:t>
            </w:r>
            <w:r>
              <w:rPr>
                <w:spacing w:val="-10"/>
                <w:sz w:val="21"/>
              </w:rPr>
              <w:t>（</w:t>
            </w:r>
            <w:r>
              <w:rPr>
                <w:spacing w:val="-30"/>
                <w:sz w:val="21"/>
              </w:rPr>
              <w:t>见 </w:t>
            </w:r>
            <w:r>
              <w:rPr>
                <w:spacing w:val="-10"/>
                <w:sz w:val="21"/>
              </w:rPr>
              <w:t>10.8； </w:t>
            </w:r>
            <w:r>
              <w:rPr>
                <w:spacing w:val="16"/>
                <w:sz w:val="21"/>
              </w:rPr>
              <w:t>10.9</w:t>
            </w:r>
            <w:r>
              <w:rPr>
                <w:spacing w:val="-92"/>
                <w:sz w:val="21"/>
              </w:rPr>
              <w:t>）</w:t>
            </w:r>
            <w:r>
              <w:rPr>
                <w:spacing w:val="-2"/>
                <w:sz w:val="21"/>
              </w:rPr>
              <w:t>，本公司不承担保险责任，并向您无息返还累计已交保险费，本合同效力终</w:t>
            </w:r>
          </w:p>
        </w:tc>
      </w:tr>
    </w:tbl>
    <w:p>
      <w:pPr>
        <w:spacing w:after="0" w:line="300" w:lineRule="atLeast"/>
        <w:rPr>
          <w:sz w:val="21"/>
        </w:rPr>
        <w:sectPr>
          <w:footerReference w:type="default" r:id="rId7"/>
          <w:pgSz w:w="11910" w:h="16840"/>
          <w:pgMar w:footer="655" w:header="0" w:top="1440" w:bottom="840" w:left="560" w:right="480"/>
          <w:pgNumType w:start="1"/>
        </w:sectPr>
      </w:pPr>
    </w:p>
    <w:p>
      <w:pPr>
        <w:pStyle w:val="BodyText"/>
        <w:spacing w:before="58"/>
        <w:ind w:left="3081"/>
      </w:pPr>
      <w:r>
        <w:rPr>
          <w:spacing w:val="-5"/>
        </w:rPr>
        <w:t>止。</w:t>
      </w:r>
    </w:p>
    <w:p>
      <w:pPr>
        <w:pStyle w:val="BodyText"/>
        <w:spacing w:before="7"/>
        <w:rPr>
          <w:sz w:val="27"/>
        </w:rPr>
      </w:pPr>
    </w:p>
    <w:p>
      <w:pPr>
        <w:pStyle w:val="BodyText"/>
        <w:ind w:left="3081"/>
      </w:pPr>
      <w:r>
        <w:rPr>
          <w:spacing w:val="-4"/>
        </w:rPr>
        <w:t>因</w:t>
      </w:r>
      <w:r>
        <w:rPr>
          <w:b/>
          <w:spacing w:val="-149"/>
        </w:rPr>
        <w:t>意</w:t>
      </w:r>
      <w:r>
        <w:rPr>
          <w:spacing w:val="-63"/>
          <w:position w:val="-7"/>
        </w:rPr>
        <w:t>．</w:t>
      </w:r>
      <w:r>
        <w:rPr>
          <w:b/>
          <w:spacing w:val="-149"/>
        </w:rPr>
        <w:t>外</w:t>
      </w:r>
      <w:r>
        <w:rPr>
          <w:spacing w:val="-63"/>
          <w:position w:val="-7"/>
        </w:rPr>
        <w:t>．</w:t>
      </w:r>
      <w:r>
        <w:rPr>
          <w:b/>
          <w:spacing w:val="-149"/>
        </w:rPr>
        <w:t>伤</w:t>
      </w:r>
      <w:r>
        <w:rPr>
          <w:spacing w:val="-63"/>
          <w:position w:val="-7"/>
        </w:rPr>
        <w:t>．</w:t>
      </w:r>
      <w:r>
        <w:rPr>
          <w:b/>
          <w:spacing w:val="-149"/>
        </w:rPr>
        <w:t>害</w:t>
      </w:r>
      <w:r>
        <w:rPr>
          <w:spacing w:val="-4"/>
          <w:position w:val="-7"/>
        </w:rPr>
        <w:t>．</w:t>
      </w:r>
      <w:r>
        <w:rPr>
          <w:spacing w:val="-4"/>
        </w:rPr>
        <w:t>（</w:t>
      </w:r>
      <w:r>
        <w:rPr>
          <w:spacing w:val="-29"/>
        </w:rPr>
        <w:t>见 </w:t>
      </w:r>
      <w:r>
        <w:rPr>
          <w:spacing w:val="-4"/>
        </w:rPr>
        <w:t>10.10）</w:t>
      </w:r>
      <w:r>
        <w:rPr>
          <w:spacing w:val="-5"/>
        </w:rPr>
        <w:t>发生上述情形之一的，无等待期。</w:t>
      </w:r>
    </w:p>
    <w:p>
      <w:pPr>
        <w:pStyle w:val="BodyText"/>
        <w:spacing w:before="1"/>
        <w:rPr>
          <w:sz w:val="27"/>
        </w:rPr>
      </w:pPr>
    </w:p>
    <w:p>
      <w:pPr>
        <w:pStyle w:val="ListParagraph"/>
        <w:numPr>
          <w:ilvl w:val="1"/>
          <w:numId w:val="4"/>
        </w:numPr>
        <w:tabs>
          <w:tab w:pos="1133" w:val="left" w:leader="none"/>
        </w:tabs>
        <w:spacing w:line="240" w:lineRule="auto" w:before="0" w:after="0"/>
        <w:ind w:left="1132" w:right="0" w:hanging="904"/>
        <w:jc w:val="both"/>
        <w:rPr>
          <w:sz w:val="21"/>
        </w:rPr>
      </w:pPr>
      <w:r>
        <w:rPr>
          <w:b/>
          <w:sz w:val="21"/>
        </w:rPr>
        <w:t>保险责任</w:t>
      </w:r>
      <w:r>
        <w:rPr>
          <w:b/>
          <w:spacing w:val="967"/>
          <w:sz w:val="21"/>
        </w:rPr>
        <w:t> </w:t>
      </w:r>
      <w:r>
        <w:rPr>
          <w:spacing w:val="-1"/>
          <w:sz w:val="21"/>
        </w:rPr>
        <w:t>在本合同有效期间内，我们按照以下约定承担保险责任：</w:t>
      </w:r>
    </w:p>
    <w:p>
      <w:pPr>
        <w:pStyle w:val="BodyText"/>
        <w:spacing w:line="278" w:lineRule="auto" w:before="43"/>
        <w:ind w:left="3081" w:right="322"/>
        <w:jc w:val="both"/>
      </w:pPr>
      <w:r>
        <w:rPr>
          <w:spacing w:val="-8"/>
        </w:rPr>
        <w:t>本合同的保险责任分为必选责任和可选责任，必选责任为投保人在投保时必须选择</w:t>
      </w:r>
      <w:r>
        <w:rPr>
          <w:spacing w:val="-4"/>
        </w:rPr>
        <w:t>的部分，可选责任可由投保人决定是否投保，并载明于保险单或批单上，但不能单</w:t>
      </w:r>
      <w:r>
        <w:rPr>
          <w:spacing w:val="-2"/>
        </w:rPr>
        <w:t>独投保可选责任。</w:t>
      </w:r>
    </w:p>
    <w:p>
      <w:pPr>
        <w:pStyle w:val="BodyText"/>
        <w:spacing w:before="6"/>
        <w:rPr>
          <w:sz w:val="23"/>
        </w:rPr>
      </w:pPr>
    </w:p>
    <w:p>
      <w:pPr>
        <w:pStyle w:val="Heading1"/>
        <w:spacing w:before="1"/>
      </w:pPr>
      <w:r>
        <w:rPr>
          <w:w w:val="95"/>
        </w:rPr>
        <w:t>一、必选</w:t>
      </w:r>
      <w:r>
        <w:rPr>
          <w:w w:val="95"/>
        </w:rPr>
        <w:t>责</w:t>
      </w:r>
      <w:r>
        <w:rPr>
          <w:spacing w:val="-10"/>
          <w:w w:val="95"/>
        </w:rPr>
        <w:t>任</w:t>
      </w:r>
    </w:p>
    <w:p>
      <w:pPr>
        <w:pStyle w:val="BodyText"/>
        <w:spacing w:before="1"/>
        <w:rPr>
          <w:rFonts w:ascii="华文新魏"/>
          <w:b/>
          <w:sz w:val="15"/>
        </w:rPr>
      </w:pPr>
    </w:p>
    <w:p>
      <w:pPr>
        <w:pStyle w:val="BodyText"/>
        <w:tabs>
          <w:tab w:pos="3081" w:val="left" w:leader="none"/>
        </w:tabs>
        <w:spacing w:line="218" w:lineRule="auto"/>
        <w:ind w:left="3081" w:right="322" w:hanging="1949"/>
      </w:pPr>
      <w:r>
        <w:rPr>
          <w:b/>
          <w:spacing w:val="-2"/>
          <w:position w:val="-1"/>
          <w:sz w:val="24"/>
        </w:rPr>
        <w:t>(</w:t>
      </w:r>
      <w:r>
        <w:rPr>
          <w:rFonts w:ascii="华文新魏" w:eastAsia="华文新魏" w:hint="eastAsia"/>
          <w:b/>
          <w:spacing w:val="-2"/>
          <w:position w:val="-1"/>
          <w:sz w:val="24"/>
        </w:rPr>
        <w:t>一</w:t>
      </w:r>
      <w:r>
        <w:rPr>
          <w:b/>
          <w:spacing w:val="-2"/>
          <w:position w:val="-1"/>
          <w:sz w:val="24"/>
        </w:rPr>
        <w:t>)</w:t>
      </w:r>
      <w:r>
        <w:rPr>
          <w:rFonts w:ascii="华文新魏" w:eastAsia="华文新魏" w:hint="eastAsia"/>
          <w:b/>
          <w:spacing w:val="-2"/>
          <w:position w:val="-1"/>
          <w:sz w:val="24"/>
        </w:rPr>
        <w:t>身</w:t>
      </w:r>
      <w:r>
        <w:rPr>
          <w:rFonts w:ascii="华文新魏" w:eastAsia="华文新魏" w:hint="eastAsia"/>
          <w:b/>
          <w:spacing w:val="-2"/>
          <w:position w:val="-1"/>
          <w:sz w:val="24"/>
        </w:rPr>
        <w:t>故</w:t>
      </w:r>
      <w:r>
        <w:rPr>
          <w:rFonts w:ascii="华文新魏" w:eastAsia="华文新魏" w:hint="eastAsia"/>
          <w:b/>
          <w:spacing w:val="-2"/>
          <w:position w:val="-1"/>
          <w:sz w:val="24"/>
        </w:rPr>
        <w:t>保</w:t>
      </w:r>
      <w:r>
        <w:rPr>
          <w:rFonts w:ascii="华文新魏" w:eastAsia="华文新魏" w:hint="eastAsia"/>
          <w:b/>
          <w:spacing w:val="-2"/>
          <w:position w:val="-1"/>
          <w:sz w:val="24"/>
        </w:rPr>
        <w:t>险</w:t>
      </w:r>
      <w:r>
        <w:rPr>
          <w:rFonts w:ascii="华文新魏" w:eastAsia="华文新魏" w:hint="eastAsia"/>
          <w:b/>
          <w:spacing w:val="-2"/>
          <w:position w:val="-1"/>
          <w:sz w:val="24"/>
        </w:rPr>
        <w:t>金</w:t>
      </w:r>
      <w:r>
        <w:rPr>
          <w:rFonts w:ascii="华文新魏" w:eastAsia="华文新魏" w:hint="eastAsia"/>
          <w:b/>
          <w:position w:val="-1"/>
          <w:sz w:val="24"/>
        </w:rPr>
        <w:tab/>
      </w:r>
      <w:r>
        <w:rPr>
          <w:spacing w:val="-2"/>
        </w:rPr>
        <w:t>若</w:t>
      </w:r>
      <w:r>
        <w:rPr>
          <w:spacing w:val="-2"/>
        </w:rPr>
        <w:t>被</w:t>
      </w:r>
      <w:r>
        <w:rPr>
          <w:spacing w:val="-2"/>
        </w:rPr>
        <w:t>保险人因意外伤害或</w:t>
      </w:r>
      <w:r>
        <w:rPr>
          <w:spacing w:val="-2"/>
        </w:rPr>
        <w:t>于</w:t>
      </w:r>
      <w:r>
        <w:rPr>
          <w:spacing w:val="-2"/>
        </w:rPr>
        <w:t>等</w:t>
      </w:r>
      <w:r>
        <w:rPr>
          <w:spacing w:val="-2"/>
        </w:rPr>
        <w:t>待期后因非意外伤害</w:t>
      </w:r>
      <w:r>
        <w:rPr>
          <w:spacing w:val="-2"/>
        </w:rPr>
        <w:t>导</w:t>
      </w:r>
      <w:r>
        <w:rPr>
          <w:spacing w:val="-2"/>
        </w:rPr>
        <w:t>致</w:t>
      </w:r>
      <w:r>
        <w:rPr>
          <w:spacing w:val="-2"/>
        </w:rPr>
        <w:t>身故</w:t>
      </w:r>
      <w:r>
        <w:rPr>
          <w:spacing w:val="-108"/>
        </w:rPr>
        <w:t>，</w:t>
      </w:r>
      <w:r>
        <w:rPr>
          <w:spacing w:val="-2"/>
        </w:rPr>
        <w:t>且身故时未</w:t>
      </w:r>
      <w:r>
        <w:rPr>
          <w:spacing w:val="-2"/>
        </w:rPr>
        <w:t>满</w:t>
      </w:r>
      <w:r>
        <w:rPr>
          <w:spacing w:val="-2"/>
        </w:rPr>
        <w:t>十</w:t>
      </w:r>
      <w:r>
        <w:rPr>
          <w:spacing w:val="-2"/>
        </w:rPr>
        <w:t>八</w:t>
      </w:r>
      <w:r>
        <w:rPr>
          <w:spacing w:val="-2"/>
        </w:rPr>
        <w:t>周</w:t>
      </w:r>
      <w:r>
        <w:rPr>
          <w:spacing w:val="-2"/>
        </w:rPr>
        <w:t>岁</w:t>
      </w:r>
      <w:r>
        <w:rPr>
          <w:spacing w:val="-53"/>
        </w:rPr>
        <w:t>，</w:t>
      </w:r>
      <w:r>
        <w:rPr>
          <w:spacing w:val="-2"/>
        </w:rPr>
        <w:t>我们将按被保险人身</w:t>
      </w:r>
      <w:r>
        <w:rPr>
          <w:spacing w:val="-2"/>
        </w:rPr>
        <w:t>故</w:t>
      </w:r>
      <w:r>
        <w:rPr>
          <w:spacing w:val="-2"/>
        </w:rPr>
        <w:t>时</w:t>
      </w:r>
      <w:r>
        <w:rPr>
          <w:spacing w:val="-2"/>
        </w:rPr>
        <w:t>累计已交纳的保险费</w:t>
      </w:r>
      <w:r>
        <w:rPr>
          <w:spacing w:val="-2"/>
        </w:rPr>
        <w:t>给</w:t>
      </w:r>
      <w:r>
        <w:rPr>
          <w:spacing w:val="-2"/>
        </w:rPr>
        <w:t>付</w:t>
      </w:r>
      <w:r>
        <w:rPr>
          <w:spacing w:val="-2"/>
        </w:rPr>
        <w:t>身故保险金</w:t>
      </w:r>
      <w:r>
        <w:rPr>
          <w:spacing w:val="-53"/>
        </w:rPr>
        <w:t>，</w:t>
      </w:r>
      <w:r>
        <w:rPr>
          <w:spacing w:val="-2"/>
        </w:rPr>
        <w:t>本合同效力</w:t>
      </w:r>
      <w:r>
        <w:rPr>
          <w:spacing w:val="-10"/>
        </w:rPr>
        <w:t>终</w:t>
      </w:r>
    </w:p>
    <w:p>
      <w:pPr>
        <w:pStyle w:val="BodyText"/>
        <w:spacing w:before="49"/>
        <w:ind w:left="3081"/>
      </w:pPr>
      <w:r>
        <w:rPr>
          <w:spacing w:val="-5"/>
        </w:rPr>
        <w:t>止。</w:t>
      </w:r>
    </w:p>
    <w:p>
      <w:pPr>
        <w:pStyle w:val="BodyText"/>
        <w:spacing w:before="9"/>
        <w:rPr>
          <w:sz w:val="27"/>
        </w:rPr>
      </w:pPr>
    </w:p>
    <w:p>
      <w:pPr>
        <w:pStyle w:val="BodyText"/>
        <w:spacing w:line="278" w:lineRule="auto"/>
        <w:ind w:left="3081" w:right="322"/>
        <w:jc w:val="both"/>
      </w:pPr>
      <w:r>
        <w:rPr>
          <w:spacing w:val="-7"/>
          <w:w w:val="100"/>
        </w:rPr>
        <w:t>若被保险人因意外伤害或于等待期后因非意外伤害导致身故，且身故时年满十八周</w:t>
      </w:r>
      <w:r>
        <w:rPr>
          <w:w w:val="100"/>
        </w:rPr>
        <w:t>岁，我们将按被保险人身故时本合同的基本保险金额与被保险人身故时本合同的</w:t>
      </w:r>
      <w:r>
        <w:rPr>
          <w:b/>
          <w:spacing w:val="-149"/>
          <w:w w:val="100"/>
        </w:rPr>
        <w:t>现</w:t>
      </w:r>
      <w:r>
        <w:rPr>
          <w:spacing w:val="-63"/>
          <w:w w:val="100"/>
          <w:position w:val="-7"/>
        </w:rPr>
        <w:t>．</w:t>
      </w:r>
      <w:r>
        <w:rPr>
          <w:b/>
          <w:spacing w:val="-149"/>
          <w:w w:val="100"/>
        </w:rPr>
        <w:t>金</w:t>
      </w:r>
      <w:r>
        <w:rPr>
          <w:spacing w:val="-63"/>
          <w:w w:val="100"/>
          <w:position w:val="-7"/>
        </w:rPr>
        <w:t>．</w:t>
      </w:r>
      <w:r>
        <w:rPr>
          <w:b/>
          <w:spacing w:val="-149"/>
          <w:w w:val="100"/>
        </w:rPr>
        <w:t>价</w:t>
      </w:r>
      <w:r>
        <w:rPr>
          <w:spacing w:val="-63"/>
          <w:w w:val="100"/>
          <w:position w:val="-7"/>
        </w:rPr>
        <w:t>．</w:t>
      </w:r>
      <w:r>
        <w:rPr>
          <w:b/>
          <w:spacing w:val="-149"/>
          <w:w w:val="100"/>
        </w:rPr>
        <w:t>值</w:t>
      </w:r>
      <w:r>
        <w:rPr>
          <w:spacing w:val="-63"/>
          <w:w w:val="100"/>
          <w:position w:val="-7"/>
        </w:rPr>
        <w:t>．</w:t>
      </w:r>
      <w:r>
        <w:rPr>
          <w:spacing w:val="-3"/>
          <w:w w:val="100"/>
        </w:rPr>
        <w:t>（</w:t>
      </w:r>
      <w:r>
        <w:rPr>
          <w:w w:val="100"/>
        </w:rPr>
        <w:t>见</w:t>
      </w:r>
      <w:r>
        <w:rPr>
          <w:spacing w:val="-53"/>
        </w:rPr>
        <w:t> </w:t>
      </w:r>
      <w:r>
        <w:rPr>
          <w:w w:val="100"/>
        </w:rPr>
        <w:t>10</w:t>
      </w:r>
      <w:r>
        <w:rPr>
          <w:spacing w:val="-3"/>
          <w:w w:val="100"/>
        </w:rPr>
        <w:t>.</w:t>
      </w:r>
      <w:r>
        <w:rPr>
          <w:spacing w:val="-1"/>
          <w:w w:val="100"/>
        </w:rPr>
        <w:t>1</w:t>
      </w:r>
      <w:r>
        <w:rPr>
          <w:w w:val="100"/>
        </w:rPr>
        <w:t>1</w:t>
      </w:r>
      <w:r>
        <w:rPr>
          <w:spacing w:val="-3"/>
          <w:w w:val="100"/>
        </w:rPr>
        <w:t>）的较大者给付身故保险金，本合同效力终止。</w:t>
      </w:r>
    </w:p>
    <w:p>
      <w:pPr>
        <w:pStyle w:val="BodyText"/>
        <w:spacing w:before="7"/>
        <w:rPr>
          <w:sz w:val="17"/>
        </w:rPr>
      </w:pPr>
    </w:p>
    <w:p>
      <w:pPr>
        <w:spacing w:after="0"/>
        <w:rPr>
          <w:sz w:val="17"/>
        </w:rPr>
        <w:sectPr>
          <w:pgSz w:w="11910" w:h="16840"/>
          <w:pgMar w:header="0" w:footer="655" w:top="1420" w:bottom="840" w:left="560" w:right="480"/>
        </w:sectPr>
      </w:pPr>
    </w:p>
    <w:p>
      <w:pPr>
        <w:pStyle w:val="Heading1"/>
        <w:spacing w:line="213" w:lineRule="auto" w:before="91"/>
      </w:pPr>
      <w:r>
        <w:rPr>
          <w:rFonts w:ascii="宋体" w:eastAsia="宋体" w:hint="eastAsia"/>
          <w:spacing w:val="-2"/>
        </w:rPr>
        <w:t>(</w:t>
      </w:r>
      <w:r>
        <w:rPr>
          <w:spacing w:val="-2"/>
        </w:rPr>
        <w:t>二</w:t>
      </w:r>
      <w:r>
        <w:rPr>
          <w:rFonts w:ascii="宋体" w:eastAsia="宋体" w:hint="eastAsia"/>
          <w:spacing w:val="-2"/>
        </w:rPr>
        <w:t>)</w:t>
      </w:r>
      <w:r>
        <w:rPr>
          <w:spacing w:val="-2"/>
        </w:rPr>
        <w:t>重</w:t>
      </w:r>
      <w:r>
        <w:rPr>
          <w:spacing w:val="-2"/>
        </w:rPr>
        <w:t>大</w:t>
      </w:r>
      <w:r>
        <w:rPr>
          <w:spacing w:val="-2"/>
        </w:rPr>
        <w:t>疾</w:t>
      </w:r>
      <w:r>
        <w:rPr>
          <w:spacing w:val="-2"/>
        </w:rPr>
        <w:t>病</w:t>
      </w:r>
      <w:r>
        <w:rPr>
          <w:spacing w:val="-2"/>
        </w:rPr>
        <w:t>保</w:t>
      </w:r>
      <w:r>
        <w:rPr>
          <w:spacing w:val="-6"/>
        </w:rPr>
        <w:t>险</w:t>
      </w:r>
      <w:r>
        <w:rPr>
          <w:spacing w:val="-6"/>
        </w:rPr>
        <w:t>金</w:t>
      </w:r>
    </w:p>
    <w:p>
      <w:pPr>
        <w:pStyle w:val="BodyText"/>
        <w:spacing w:line="268" w:lineRule="auto" w:before="72"/>
        <w:ind w:left="226" w:right="264"/>
      </w:pPr>
      <w:r>
        <w:rPr/>
        <w:br w:type="column"/>
      </w:r>
      <w:r>
        <w:rPr>
          <w:spacing w:val="-1"/>
        </w:rPr>
        <w:t>本合同约定的重大疾病分为 </w:t>
      </w:r>
      <w:r>
        <w:rPr>
          <w:rFonts w:ascii="黑体" w:eastAsia="黑体"/>
        </w:rPr>
        <w:t>A、B、C、D、E</w:t>
      </w:r>
      <w:r>
        <w:rPr>
          <w:rFonts w:ascii="黑体" w:eastAsia="黑体"/>
          <w:spacing w:val="-15"/>
        </w:rPr>
        <w:t> </w:t>
      </w:r>
      <w:r>
        <w:rPr/>
        <w:t>五组，详细疾病分组信息请见</w:t>
      </w:r>
      <w:r>
        <w:rPr>
          <w:b/>
          <w:spacing w:val="-149"/>
        </w:rPr>
        <w:t>重</w:t>
      </w:r>
      <w:r>
        <w:rPr>
          <w:spacing w:val="-63"/>
          <w:position w:val="-7"/>
        </w:rPr>
        <w:t>．</w:t>
      </w:r>
      <w:r>
        <w:rPr>
          <w:b/>
          <w:spacing w:val="-149"/>
        </w:rPr>
        <w:t>大</w:t>
      </w:r>
      <w:r>
        <w:rPr>
          <w:spacing w:val="-63"/>
          <w:position w:val="-7"/>
        </w:rPr>
        <w:t>．</w:t>
      </w:r>
      <w:r>
        <w:rPr>
          <w:b/>
          <w:spacing w:val="-152"/>
        </w:rPr>
        <w:t>疾</w:t>
      </w:r>
      <w:r>
        <w:rPr>
          <w:position w:val="-7"/>
        </w:rPr>
        <w:t>．</w:t>
      </w:r>
      <w:r>
        <w:rPr>
          <w:b/>
          <w:spacing w:val="-149"/>
        </w:rPr>
        <w:t>病</w:t>
      </w:r>
      <w:r>
        <w:rPr>
          <w:spacing w:val="-63"/>
          <w:position w:val="-7"/>
        </w:rPr>
        <w:t>．</w:t>
      </w:r>
      <w:r>
        <w:rPr>
          <w:b/>
          <w:spacing w:val="-149"/>
        </w:rPr>
        <w:t>分</w:t>
      </w:r>
      <w:r>
        <w:rPr>
          <w:spacing w:val="-63"/>
          <w:position w:val="-7"/>
        </w:rPr>
        <w:t>．</w:t>
      </w:r>
      <w:r>
        <w:rPr>
          <w:b/>
          <w:spacing w:val="-149"/>
        </w:rPr>
        <w:t>组</w:t>
      </w:r>
      <w:r>
        <w:rPr>
          <w:position w:val="-7"/>
        </w:rPr>
        <w:t>．</w:t>
      </w:r>
      <w:r>
        <w:rPr/>
        <w:t>（</w:t>
      </w:r>
      <w:r>
        <w:rPr>
          <w:spacing w:val="-27"/>
        </w:rPr>
        <w:t>见 </w:t>
      </w:r>
      <w:r>
        <w:rPr>
          <w:spacing w:val="18"/>
        </w:rPr>
        <w:t>10</w:t>
      </w:r>
      <w:r>
        <w:rPr>
          <w:spacing w:val="15"/>
        </w:rPr>
        <w:t>.</w:t>
      </w:r>
      <w:r>
        <w:rPr>
          <w:spacing w:val="18"/>
        </w:rPr>
        <w:t>12</w:t>
      </w:r>
      <w:r>
        <w:rPr>
          <w:spacing w:val="-90"/>
        </w:rPr>
        <w:t>）</w:t>
      </w:r>
      <w:r>
        <w:rPr>
          <w:spacing w:val="-108"/>
        </w:rPr>
        <w:t>。</w:t>
      </w:r>
    </w:p>
    <w:p>
      <w:pPr>
        <w:pStyle w:val="BodyText"/>
        <w:spacing w:before="4"/>
        <w:rPr>
          <w:sz w:val="24"/>
        </w:rPr>
      </w:pPr>
    </w:p>
    <w:p>
      <w:pPr>
        <w:spacing w:line="278" w:lineRule="auto" w:before="1"/>
        <w:ind w:left="226" w:right="221" w:firstLine="0"/>
        <w:jc w:val="left"/>
        <w:rPr>
          <w:rFonts w:ascii="黑体" w:eastAsia="黑体" w:hint="eastAsia"/>
          <w:b/>
          <w:sz w:val="21"/>
        </w:rPr>
      </w:pPr>
      <w:r>
        <w:rPr>
          <w:rFonts w:ascii="黑体" w:eastAsia="黑体" w:hint="eastAsia"/>
          <w:b/>
          <w:w w:val="100"/>
          <w:sz w:val="21"/>
        </w:rPr>
        <w:t>每组重大疾病保险金的给付次数以一次为限，给付后该组重大疾病的保险责任终</w:t>
      </w:r>
      <w:r>
        <w:rPr>
          <w:rFonts w:ascii="黑体" w:eastAsia="黑体" w:hint="eastAsia"/>
          <w:b/>
          <w:spacing w:val="-6"/>
          <w:w w:val="100"/>
          <w:sz w:val="21"/>
        </w:rPr>
        <w:t>止。本合同重大疾病保险金的累计给付次数以四次为限，当累计给付达到四次时，</w:t>
      </w:r>
      <w:r>
        <w:rPr>
          <w:rFonts w:ascii="黑体" w:eastAsia="黑体" w:hint="eastAsia"/>
          <w:b/>
          <w:w w:val="100"/>
          <w:sz w:val="21"/>
        </w:rPr>
        <w:t>本合同效力终止。</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15" w:space="40"/>
            <w:col w:w="8015"/>
          </w:cols>
        </w:sectPr>
      </w:pPr>
    </w:p>
    <w:p>
      <w:pPr>
        <w:pStyle w:val="BodyText"/>
        <w:spacing w:before="10"/>
        <w:rPr>
          <w:rFonts w:ascii="黑体"/>
          <w:b/>
          <w:sz w:val="11"/>
        </w:rPr>
      </w:pPr>
    </w:p>
    <w:p>
      <w:pPr>
        <w:spacing w:after="0"/>
        <w:rPr>
          <w:rFonts w:ascii="黑体"/>
          <w:sz w:val="11"/>
        </w:rPr>
        <w:sectPr>
          <w:type w:val="continuous"/>
          <w:pgSz w:w="11910" w:h="16840"/>
          <w:pgMar w:header="0" w:footer="655" w:top="140" w:bottom="280" w:left="560" w:right="480"/>
        </w:sectPr>
      </w:pPr>
    </w:p>
    <w:p>
      <w:pPr>
        <w:pStyle w:val="Heading1"/>
        <w:numPr>
          <w:ilvl w:val="2"/>
          <w:numId w:val="4"/>
        </w:numPr>
        <w:tabs>
          <w:tab w:pos="1376" w:val="left" w:leader="none"/>
        </w:tabs>
        <w:spacing w:line="216" w:lineRule="auto" w:before="89" w:after="0"/>
        <w:ind w:left="1132" w:right="0" w:firstLine="0"/>
        <w:jc w:val="left"/>
      </w:pPr>
      <w:r>
        <w:rPr>
          <w:spacing w:val="-4"/>
        </w:rPr>
        <w:t>首</w:t>
      </w:r>
      <w:r>
        <w:rPr>
          <w:spacing w:val="-4"/>
        </w:rPr>
        <w:t>次</w:t>
      </w:r>
      <w:r>
        <w:rPr>
          <w:spacing w:val="-4"/>
        </w:rPr>
        <w:t>重</w:t>
      </w:r>
      <w:r>
        <w:rPr>
          <w:spacing w:val="-4"/>
        </w:rPr>
        <w:t>大</w:t>
      </w:r>
      <w:r>
        <w:rPr>
          <w:spacing w:val="-4"/>
        </w:rPr>
        <w:t>疾</w:t>
      </w:r>
      <w:r>
        <w:rPr>
          <w:spacing w:val="-4"/>
        </w:rPr>
        <w:t>病</w:t>
      </w:r>
      <w:r>
        <w:rPr>
          <w:spacing w:val="-4"/>
        </w:rPr>
        <w:t>保</w:t>
      </w:r>
      <w:r>
        <w:rPr>
          <w:spacing w:val="-4"/>
        </w:rPr>
        <w:t>险</w:t>
      </w:r>
      <w:r>
        <w:rPr>
          <w:spacing w:val="-4"/>
        </w:rPr>
        <w:t>金</w:t>
      </w:r>
    </w:p>
    <w:p>
      <w:pPr>
        <w:pStyle w:val="BodyText"/>
        <w:spacing w:line="271" w:lineRule="auto" w:before="72"/>
        <w:ind w:left="226" w:right="322"/>
        <w:jc w:val="both"/>
      </w:pPr>
      <w:r>
        <w:rPr/>
        <w:br w:type="column"/>
      </w:r>
      <w:r>
        <w:rPr>
          <w:spacing w:val="-4"/>
        </w:rPr>
        <w:t>若被保险人因意外伤害或于等待期后初次发生并经</w:t>
      </w:r>
      <w:r>
        <w:rPr>
          <w:b/>
          <w:spacing w:val="-149"/>
        </w:rPr>
        <w:t>专</w:t>
      </w:r>
      <w:r>
        <w:rPr>
          <w:spacing w:val="-63"/>
          <w:position w:val="-7"/>
        </w:rPr>
        <w:t>．</w:t>
      </w:r>
      <w:r>
        <w:rPr>
          <w:b/>
          <w:spacing w:val="-149"/>
        </w:rPr>
        <w:t>科</w:t>
      </w:r>
      <w:r>
        <w:rPr>
          <w:spacing w:val="-63"/>
          <w:position w:val="-7"/>
        </w:rPr>
        <w:t>．</w:t>
      </w:r>
      <w:r>
        <w:rPr>
          <w:b/>
          <w:spacing w:val="-149"/>
        </w:rPr>
        <w:t>医</w:t>
      </w:r>
      <w:r>
        <w:rPr>
          <w:spacing w:val="-63"/>
          <w:position w:val="-7"/>
        </w:rPr>
        <w:t>．</w:t>
      </w:r>
      <w:r>
        <w:rPr>
          <w:b/>
          <w:spacing w:val="-149"/>
        </w:rPr>
        <w:t>生</w:t>
      </w:r>
      <w:r>
        <w:rPr>
          <w:spacing w:val="-4"/>
          <w:position w:val="-7"/>
        </w:rPr>
        <w:t>．</w:t>
      </w:r>
      <w:r>
        <w:rPr>
          <w:spacing w:val="-4"/>
        </w:rPr>
        <w:t>（</w:t>
      </w:r>
      <w:r>
        <w:rPr>
          <w:spacing w:val="-14"/>
        </w:rPr>
        <w:t>见 </w:t>
      </w:r>
      <w:r>
        <w:rPr>
          <w:spacing w:val="-4"/>
        </w:rPr>
        <w:t>10.13）确诊首次</w:t>
      </w:r>
      <w:r>
        <w:rPr>
          <w:spacing w:val="-11"/>
        </w:rPr>
        <w:t>患本合同约定的重大疾病，我们将按本合同基本保险金额给付首次重大疾病保险金</w:t>
      </w:r>
    </w:p>
    <w:p>
      <w:pPr>
        <w:spacing w:line="278" w:lineRule="auto" w:before="8"/>
        <w:ind w:left="226" w:right="324" w:firstLine="0"/>
        <w:jc w:val="both"/>
        <w:rPr>
          <w:sz w:val="21"/>
        </w:rPr>
      </w:pPr>
      <w:r>
        <w:rPr>
          <w:rFonts w:ascii="黑体" w:eastAsia="黑体" w:hint="eastAsia"/>
          <w:b/>
          <w:spacing w:val="-2"/>
          <w:sz w:val="21"/>
        </w:rPr>
        <w:t>（若被保险人因同一疾病原因、同次医疗行为或同次意外伤害事故导致首次患本</w:t>
      </w:r>
      <w:r>
        <w:rPr>
          <w:rFonts w:ascii="黑体" w:eastAsia="黑体" w:hint="eastAsia"/>
          <w:b/>
          <w:spacing w:val="-2"/>
          <w:sz w:val="21"/>
        </w:rPr>
        <w:t>合同约定的一项以上重大疾病时，该给付以一次为限</w:t>
      </w:r>
      <w:r>
        <w:rPr>
          <w:rFonts w:ascii="黑体" w:eastAsia="黑体" w:hint="eastAsia"/>
          <w:b/>
          <w:spacing w:val="-58"/>
          <w:sz w:val="21"/>
        </w:rPr>
        <w:t>）</w:t>
      </w:r>
      <w:r>
        <w:rPr>
          <w:spacing w:val="-10"/>
          <w:sz w:val="21"/>
        </w:rPr>
        <w:t>，给付后该重大疾病所属组</w:t>
      </w:r>
      <w:r>
        <w:rPr>
          <w:spacing w:val="-2"/>
          <w:sz w:val="21"/>
        </w:rPr>
        <w:t>别的保险责任终止。</w:t>
      </w:r>
    </w:p>
    <w:p>
      <w:pPr>
        <w:pStyle w:val="BodyText"/>
        <w:spacing w:before="7"/>
        <w:rPr>
          <w:sz w:val="29"/>
        </w:rPr>
      </w:pPr>
    </w:p>
    <w:p>
      <w:pPr>
        <w:spacing w:line="278" w:lineRule="auto" w:before="0"/>
        <w:ind w:left="226" w:right="325" w:firstLine="0"/>
        <w:jc w:val="both"/>
        <w:rPr>
          <w:rFonts w:ascii="黑体" w:eastAsia="黑体" w:hint="eastAsia"/>
          <w:b/>
          <w:sz w:val="21"/>
        </w:rPr>
      </w:pPr>
      <w:r>
        <w:rPr>
          <w:rFonts w:ascii="黑体" w:eastAsia="黑体" w:hint="eastAsia"/>
          <w:b/>
          <w:sz w:val="21"/>
        </w:rPr>
        <w:t>若我们已按照上述约定给付首次重大疾病保险金，则本合同的现金价值自首次重</w:t>
      </w:r>
      <w:r>
        <w:rPr>
          <w:rFonts w:ascii="黑体" w:eastAsia="黑体" w:hint="eastAsia"/>
          <w:b/>
          <w:spacing w:val="-2"/>
          <w:sz w:val="21"/>
        </w:rPr>
        <w:t>大疾病确诊之日起降低为零，同时，身故保险金、轻症疾病保险金的保险责任均</w:t>
      </w:r>
      <w:r>
        <w:rPr>
          <w:rFonts w:ascii="黑体" w:eastAsia="黑体" w:hint="eastAsia"/>
          <w:b/>
          <w:spacing w:val="-2"/>
          <w:sz w:val="21"/>
        </w:rPr>
        <w:t>终止，我们仅继续承担除首次重大疾病所属组别以外其他组别的重大疾病保险金</w:t>
      </w:r>
      <w:r>
        <w:rPr>
          <w:rFonts w:ascii="黑体" w:eastAsia="黑体" w:hint="eastAsia"/>
          <w:b/>
          <w:spacing w:val="-2"/>
          <w:sz w:val="21"/>
        </w:rPr>
        <w:t>及恶性肿瘤关爱保险金（如选）的保险责任。</w:t>
      </w:r>
    </w:p>
    <w:p>
      <w:pPr>
        <w:spacing w:after="0" w:line="278" w:lineRule="auto"/>
        <w:jc w:val="both"/>
        <w:rPr>
          <w:rFonts w:ascii="黑体" w:eastAsia="黑体" w:hint="eastAsia"/>
          <w:sz w:val="21"/>
        </w:rPr>
        <w:sectPr>
          <w:type w:val="continuous"/>
          <w:pgSz w:w="11910" w:h="16840"/>
          <w:pgMar w:header="0" w:footer="655" w:top="140" w:bottom="280" w:left="560" w:right="480"/>
          <w:cols w:num="2" w:equalWidth="0">
            <w:col w:w="2815" w:space="40"/>
            <w:col w:w="8015"/>
          </w:cols>
        </w:sectPr>
      </w:pPr>
    </w:p>
    <w:p>
      <w:pPr>
        <w:pStyle w:val="BodyText"/>
        <w:spacing w:before="6"/>
        <w:rPr>
          <w:rFonts w:ascii="黑体"/>
          <w:b/>
          <w:sz w:val="19"/>
        </w:rPr>
      </w:pPr>
    </w:p>
    <w:p>
      <w:pPr>
        <w:spacing w:after="0"/>
        <w:rPr>
          <w:rFonts w:ascii="黑体"/>
          <w:sz w:val="19"/>
        </w:rPr>
        <w:sectPr>
          <w:type w:val="continuous"/>
          <w:pgSz w:w="11910" w:h="16840"/>
          <w:pgMar w:header="0" w:footer="655" w:top="140" w:bottom="280" w:left="560" w:right="480"/>
        </w:sectPr>
      </w:pPr>
    </w:p>
    <w:p>
      <w:pPr>
        <w:pStyle w:val="Heading1"/>
        <w:numPr>
          <w:ilvl w:val="2"/>
          <w:numId w:val="4"/>
        </w:numPr>
        <w:tabs>
          <w:tab w:pos="1376" w:val="left" w:leader="none"/>
        </w:tabs>
        <w:spacing w:line="213" w:lineRule="auto" w:before="89" w:after="0"/>
        <w:ind w:left="1132" w:right="0" w:firstLine="0"/>
        <w:jc w:val="left"/>
      </w:pPr>
      <w:r>
        <w:rPr>
          <w:spacing w:val="-4"/>
        </w:rPr>
        <w:t>第</w:t>
      </w:r>
      <w:r>
        <w:rPr>
          <w:spacing w:val="-4"/>
        </w:rPr>
        <w:t>二</w:t>
      </w:r>
      <w:r>
        <w:rPr>
          <w:spacing w:val="-4"/>
        </w:rPr>
        <w:t>次</w:t>
      </w:r>
      <w:r>
        <w:rPr>
          <w:spacing w:val="-4"/>
        </w:rPr>
        <w:t>重</w:t>
      </w:r>
      <w:r>
        <w:rPr>
          <w:spacing w:val="-4"/>
        </w:rPr>
        <w:t>大</w:t>
      </w:r>
      <w:r>
        <w:rPr>
          <w:spacing w:val="-4"/>
        </w:rPr>
        <w:t>疾</w:t>
      </w:r>
      <w:r>
        <w:rPr>
          <w:spacing w:val="-4"/>
        </w:rPr>
        <w:t>病</w:t>
      </w:r>
      <w:r>
        <w:rPr>
          <w:spacing w:val="-4"/>
        </w:rPr>
        <w:t>保</w:t>
      </w:r>
      <w:r>
        <w:rPr>
          <w:spacing w:val="-4"/>
        </w:rPr>
        <w:t>险</w:t>
      </w:r>
      <w:r>
        <w:rPr>
          <w:spacing w:val="-4"/>
        </w:rPr>
        <w:t>金</w:t>
      </w:r>
    </w:p>
    <w:p>
      <w:pPr>
        <w:spacing w:line="278" w:lineRule="auto" w:before="72"/>
        <w:ind w:left="226" w:right="322" w:firstLine="0"/>
        <w:jc w:val="both"/>
        <w:rPr>
          <w:sz w:val="21"/>
        </w:rPr>
      </w:pPr>
      <w:r>
        <w:rPr/>
        <w:br w:type="column"/>
      </w:r>
      <w:r>
        <w:rPr>
          <w:spacing w:val="-7"/>
          <w:sz w:val="21"/>
        </w:rPr>
        <w:t>在我们已按本合同的约定给付首次重大疾病保险金后，若被保险人自首次重大疾病</w:t>
      </w:r>
      <w:r>
        <w:rPr>
          <w:sz w:val="21"/>
        </w:rPr>
        <w:t>确诊之日起</w:t>
      </w:r>
      <w:r>
        <w:rPr>
          <w:rFonts w:ascii="黑体" w:eastAsia="黑体" w:hint="eastAsia"/>
          <w:b/>
          <w:spacing w:val="-9"/>
          <w:sz w:val="21"/>
        </w:rPr>
        <w:t>满 </w:t>
      </w:r>
      <w:r>
        <w:rPr>
          <w:rFonts w:ascii="黑体" w:eastAsia="黑体" w:hint="eastAsia"/>
          <w:b/>
          <w:sz w:val="21"/>
        </w:rPr>
        <w:t>180</w:t>
      </w:r>
      <w:r>
        <w:rPr>
          <w:rFonts w:ascii="黑体" w:eastAsia="黑体" w:hint="eastAsia"/>
          <w:b/>
          <w:spacing w:val="-7"/>
          <w:sz w:val="21"/>
        </w:rPr>
        <w:t> 天后</w:t>
      </w:r>
      <w:r>
        <w:rPr>
          <w:sz w:val="21"/>
        </w:rPr>
        <w:t>，经专科医生确诊首次患本合同约定的除首次重大疾病所</w:t>
      </w:r>
      <w:r>
        <w:rPr>
          <w:spacing w:val="-8"/>
          <w:sz w:val="21"/>
        </w:rPr>
        <w:t>属组别以外其他组别中的任何一种重大疾病，我们将按本合同基本保险金额给付第</w:t>
      </w:r>
      <w:r>
        <w:rPr>
          <w:spacing w:val="-2"/>
          <w:sz w:val="21"/>
        </w:rPr>
        <w:t>二次重大疾病保险金</w:t>
      </w:r>
      <w:r>
        <w:rPr>
          <w:rFonts w:ascii="黑体" w:eastAsia="黑体" w:hint="eastAsia"/>
          <w:b/>
          <w:spacing w:val="-2"/>
          <w:sz w:val="21"/>
        </w:rPr>
        <w:t>（若被保险人因同一疾病原因、同次医疗行为或同次意外伤</w:t>
      </w:r>
      <w:r>
        <w:rPr>
          <w:rFonts w:ascii="黑体" w:eastAsia="黑体" w:hint="eastAsia"/>
          <w:b/>
          <w:spacing w:val="-2"/>
          <w:sz w:val="21"/>
        </w:rPr>
        <w:t>害事故导致首次患本合同约定的一项以上重大疾病时，该给付以一次为限</w:t>
      </w:r>
      <w:r>
        <w:rPr>
          <w:rFonts w:ascii="黑体" w:eastAsia="黑体" w:hint="eastAsia"/>
          <w:b/>
          <w:spacing w:val="-61"/>
          <w:sz w:val="21"/>
        </w:rPr>
        <w:t>）</w:t>
      </w:r>
      <w:r>
        <w:rPr>
          <w:spacing w:val="-22"/>
          <w:sz w:val="21"/>
        </w:rPr>
        <w:t>，给付</w:t>
      </w:r>
      <w:r>
        <w:rPr>
          <w:spacing w:val="-2"/>
          <w:sz w:val="21"/>
        </w:rPr>
        <w:t>后该重大疾病所属组别的保险责任终止。</w:t>
      </w:r>
    </w:p>
    <w:p>
      <w:pPr>
        <w:spacing w:after="0" w:line="278" w:lineRule="auto"/>
        <w:jc w:val="both"/>
        <w:rPr>
          <w:sz w:val="21"/>
        </w:rPr>
        <w:sectPr>
          <w:type w:val="continuous"/>
          <w:pgSz w:w="11910" w:h="16840"/>
          <w:pgMar w:header="0" w:footer="655" w:top="140" w:bottom="280" w:left="560" w:right="480"/>
          <w:cols w:num="2" w:equalWidth="0">
            <w:col w:w="2815" w:space="40"/>
            <w:col w:w="8015"/>
          </w:cols>
        </w:sectPr>
      </w:pPr>
    </w:p>
    <w:p>
      <w:pPr>
        <w:pStyle w:val="Heading1"/>
        <w:numPr>
          <w:ilvl w:val="2"/>
          <w:numId w:val="4"/>
        </w:numPr>
        <w:tabs>
          <w:tab w:pos="1376" w:val="left" w:leader="none"/>
        </w:tabs>
        <w:spacing w:line="213" w:lineRule="auto" w:before="74" w:after="0"/>
        <w:ind w:left="1132" w:right="0" w:firstLine="0"/>
        <w:jc w:val="left"/>
      </w:pPr>
      <w:r>
        <w:rPr>
          <w:spacing w:val="-4"/>
        </w:rPr>
        <w:t>第</w:t>
      </w:r>
      <w:r>
        <w:rPr>
          <w:spacing w:val="-4"/>
        </w:rPr>
        <w:t>三</w:t>
      </w:r>
      <w:r>
        <w:rPr>
          <w:spacing w:val="-4"/>
        </w:rPr>
        <w:t>次</w:t>
      </w:r>
      <w:r>
        <w:rPr>
          <w:spacing w:val="-4"/>
        </w:rPr>
        <w:t>重</w:t>
      </w:r>
      <w:r>
        <w:rPr>
          <w:spacing w:val="-4"/>
        </w:rPr>
        <w:t>大</w:t>
      </w:r>
      <w:r>
        <w:rPr>
          <w:spacing w:val="-4"/>
        </w:rPr>
        <w:t>疾</w:t>
      </w:r>
      <w:r>
        <w:rPr>
          <w:spacing w:val="-4"/>
        </w:rPr>
        <w:t>病</w:t>
      </w:r>
      <w:r>
        <w:rPr>
          <w:spacing w:val="-4"/>
        </w:rPr>
        <w:t>保</w:t>
      </w:r>
      <w:r>
        <w:rPr>
          <w:spacing w:val="-4"/>
        </w:rPr>
        <w:t>险</w:t>
      </w:r>
      <w:r>
        <w:rPr>
          <w:spacing w:val="-4"/>
        </w:rPr>
        <w:t>金</w:t>
      </w:r>
    </w:p>
    <w:p>
      <w:pPr>
        <w:spacing w:line="278" w:lineRule="auto" w:before="58"/>
        <w:ind w:left="226" w:right="322" w:firstLine="0"/>
        <w:jc w:val="both"/>
        <w:rPr>
          <w:sz w:val="21"/>
        </w:rPr>
      </w:pPr>
      <w:r>
        <w:rPr/>
        <w:br w:type="column"/>
      </w:r>
      <w:r>
        <w:rPr>
          <w:spacing w:val="-7"/>
          <w:sz w:val="21"/>
        </w:rPr>
        <w:t>在我们已按本合同的约定给付第二次重大疾病保险金后，若被保险人自第二次重大</w:t>
      </w:r>
      <w:r>
        <w:rPr>
          <w:sz w:val="21"/>
        </w:rPr>
        <w:t>疾病确诊之日起</w:t>
      </w:r>
      <w:r>
        <w:rPr>
          <w:rFonts w:ascii="黑体" w:eastAsia="黑体" w:hint="eastAsia"/>
          <w:b/>
          <w:spacing w:val="-9"/>
          <w:sz w:val="21"/>
        </w:rPr>
        <w:t>满 </w:t>
      </w:r>
      <w:r>
        <w:rPr>
          <w:rFonts w:ascii="黑体" w:eastAsia="黑体" w:hint="eastAsia"/>
          <w:b/>
          <w:sz w:val="21"/>
        </w:rPr>
        <w:t>180</w:t>
      </w:r>
      <w:r>
        <w:rPr>
          <w:rFonts w:ascii="黑体" w:eastAsia="黑体" w:hint="eastAsia"/>
          <w:b/>
          <w:spacing w:val="-7"/>
          <w:sz w:val="21"/>
        </w:rPr>
        <w:t> 天后</w:t>
      </w:r>
      <w:r>
        <w:rPr>
          <w:sz w:val="21"/>
        </w:rPr>
        <w:t>，经专科医生确诊首次患本合同约定的除前述二次重</w:t>
      </w:r>
      <w:r>
        <w:rPr>
          <w:spacing w:val="-7"/>
          <w:sz w:val="21"/>
        </w:rPr>
        <w:t>大疾病所属组别以外其他组别中的任何一种重大疾病，我们将按本合同基本保险金</w:t>
      </w:r>
      <w:r>
        <w:rPr>
          <w:spacing w:val="-2"/>
          <w:sz w:val="21"/>
        </w:rPr>
        <w:t>额给付第三次重大疾病保险金</w:t>
      </w:r>
      <w:r>
        <w:rPr>
          <w:rFonts w:ascii="黑体" w:eastAsia="黑体" w:hint="eastAsia"/>
          <w:b/>
          <w:spacing w:val="-2"/>
          <w:sz w:val="21"/>
        </w:rPr>
        <w:t>（若被保险人因同一疾病原因、同次医疗行为或同</w:t>
      </w:r>
      <w:r>
        <w:rPr>
          <w:rFonts w:ascii="黑体" w:eastAsia="黑体" w:hint="eastAsia"/>
          <w:b/>
          <w:spacing w:val="-2"/>
          <w:sz w:val="21"/>
        </w:rPr>
        <w:t>次意外伤害事故导致首次患本合同约定的一项以上重大疾病时，该给付以一次为</w:t>
      </w:r>
      <w:r>
        <w:rPr>
          <w:rFonts w:ascii="黑体" w:eastAsia="黑体" w:hint="eastAsia"/>
          <w:b/>
          <w:spacing w:val="-2"/>
          <w:sz w:val="21"/>
        </w:rPr>
        <w:t>限</w:t>
      </w:r>
      <w:r>
        <w:rPr>
          <w:rFonts w:ascii="黑体" w:eastAsia="黑体" w:hint="eastAsia"/>
          <w:b/>
          <w:spacing w:val="-105"/>
          <w:sz w:val="21"/>
        </w:rPr>
        <w:t>）</w:t>
      </w:r>
      <w:r>
        <w:rPr>
          <w:spacing w:val="-2"/>
          <w:sz w:val="21"/>
        </w:rPr>
        <w:t>，给付后该重大疾病所属组别的保险责任终止。</w:t>
      </w:r>
    </w:p>
    <w:p>
      <w:pPr>
        <w:spacing w:after="0" w:line="278" w:lineRule="auto"/>
        <w:jc w:val="both"/>
        <w:rPr>
          <w:sz w:val="21"/>
        </w:rPr>
        <w:sectPr>
          <w:pgSz w:w="11910" w:h="16840"/>
          <w:pgMar w:header="0" w:footer="655" w:top="1420" w:bottom="840" w:left="560" w:right="480"/>
          <w:cols w:num="2" w:equalWidth="0">
            <w:col w:w="2815" w:space="40"/>
            <w:col w:w="8015"/>
          </w:cols>
        </w:sectPr>
      </w:pPr>
    </w:p>
    <w:p>
      <w:pPr>
        <w:pStyle w:val="BodyText"/>
        <w:spacing w:before="8"/>
        <w:rPr>
          <w:sz w:val="18"/>
        </w:rPr>
      </w:pPr>
    </w:p>
    <w:p>
      <w:pPr>
        <w:spacing w:after="0"/>
        <w:rPr>
          <w:sz w:val="18"/>
        </w:rPr>
        <w:sectPr>
          <w:type w:val="continuous"/>
          <w:pgSz w:w="11910" w:h="16840"/>
          <w:pgMar w:header="0" w:footer="655" w:top="140" w:bottom="280" w:left="560" w:right="480"/>
        </w:sectPr>
      </w:pPr>
    </w:p>
    <w:p>
      <w:pPr>
        <w:pStyle w:val="Heading1"/>
        <w:numPr>
          <w:ilvl w:val="2"/>
          <w:numId w:val="4"/>
        </w:numPr>
        <w:tabs>
          <w:tab w:pos="1376" w:val="left" w:leader="none"/>
        </w:tabs>
        <w:spacing w:line="213" w:lineRule="auto" w:before="90" w:after="0"/>
        <w:ind w:left="1132" w:right="0" w:firstLine="0"/>
        <w:jc w:val="left"/>
      </w:pPr>
      <w:r>
        <w:rPr>
          <w:spacing w:val="-4"/>
        </w:rPr>
        <w:t>第</w:t>
      </w:r>
      <w:r>
        <w:rPr>
          <w:spacing w:val="-4"/>
        </w:rPr>
        <w:t>四</w:t>
      </w:r>
      <w:r>
        <w:rPr>
          <w:spacing w:val="-4"/>
        </w:rPr>
        <w:t>次</w:t>
      </w:r>
      <w:r>
        <w:rPr>
          <w:spacing w:val="-4"/>
        </w:rPr>
        <w:t>重</w:t>
      </w:r>
      <w:r>
        <w:rPr>
          <w:spacing w:val="-4"/>
        </w:rPr>
        <w:t>大</w:t>
      </w:r>
      <w:r>
        <w:rPr>
          <w:spacing w:val="-4"/>
        </w:rPr>
        <w:t>疾</w:t>
      </w:r>
      <w:r>
        <w:rPr>
          <w:spacing w:val="-4"/>
        </w:rPr>
        <w:t>病</w:t>
      </w:r>
      <w:r>
        <w:rPr>
          <w:spacing w:val="-4"/>
        </w:rPr>
        <w:t>保</w:t>
      </w:r>
      <w:r>
        <w:rPr>
          <w:spacing w:val="-4"/>
        </w:rPr>
        <w:t>险</w:t>
      </w:r>
      <w:r>
        <w:rPr>
          <w:spacing w:val="-4"/>
        </w:rPr>
        <w:t>金</w:t>
      </w:r>
    </w:p>
    <w:p>
      <w:pPr>
        <w:spacing w:line="278" w:lineRule="auto" w:before="73"/>
        <w:ind w:left="226" w:right="322" w:firstLine="0"/>
        <w:jc w:val="both"/>
        <w:rPr>
          <w:sz w:val="21"/>
        </w:rPr>
      </w:pPr>
      <w:r>
        <w:rPr/>
        <w:br w:type="column"/>
      </w:r>
      <w:r>
        <w:rPr>
          <w:spacing w:val="-7"/>
          <w:sz w:val="21"/>
        </w:rPr>
        <w:t>在我们已按本合同的约定给付第三次重大疾病保险金后，若被保险人自第三次重大</w:t>
      </w:r>
      <w:r>
        <w:rPr>
          <w:sz w:val="21"/>
        </w:rPr>
        <w:t>疾病确诊之日起</w:t>
      </w:r>
      <w:r>
        <w:rPr>
          <w:rFonts w:ascii="黑体" w:eastAsia="黑体" w:hint="eastAsia"/>
          <w:b/>
          <w:spacing w:val="-9"/>
          <w:sz w:val="21"/>
        </w:rPr>
        <w:t>满 </w:t>
      </w:r>
      <w:r>
        <w:rPr>
          <w:rFonts w:ascii="黑体" w:eastAsia="黑体" w:hint="eastAsia"/>
          <w:b/>
          <w:sz w:val="21"/>
        </w:rPr>
        <w:t>180</w:t>
      </w:r>
      <w:r>
        <w:rPr>
          <w:rFonts w:ascii="黑体" w:eastAsia="黑体" w:hint="eastAsia"/>
          <w:b/>
          <w:spacing w:val="-7"/>
          <w:sz w:val="21"/>
        </w:rPr>
        <w:t> 天后</w:t>
      </w:r>
      <w:r>
        <w:rPr>
          <w:sz w:val="21"/>
        </w:rPr>
        <w:t>，经专科医生确诊首次患本合同约定的除前述三次重</w:t>
      </w:r>
      <w:r>
        <w:rPr>
          <w:spacing w:val="-7"/>
          <w:sz w:val="21"/>
        </w:rPr>
        <w:t>大疾病所属组别以外其他组别中的任何一种重大疾病，我们将按本合同基本保险金</w:t>
      </w:r>
      <w:r>
        <w:rPr>
          <w:spacing w:val="-2"/>
          <w:sz w:val="21"/>
        </w:rPr>
        <w:t>额给付第四次重大疾病保险金</w:t>
      </w:r>
      <w:r>
        <w:rPr>
          <w:rFonts w:ascii="黑体" w:eastAsia="黑体" w:hint="eastAsia"/>
          <w:b/>
          <w:spacing w:val="-2"/>
          <w:sz w:val="21"/>
        </w:rPr>
        <w:t>（若被保险人因同一疾病原因、同次医疗行为或同</w:t>
      </w:r>
      <w:r>
        <w:rPr>
          <w:rFonts w:ascii="黑体" w:eastAsia="黑体" w:hint="eastAsia"/>
          <w:b/>
          <w:spacing w:val="-2"/>
          <w:sz w:val="21"/>
        </w:rPr>
        <w:t>次意外伤害事故导致首次患本合同约定的一项以上重大疾病时，该给付以一次为</w:t>
      </w:r>
      <w:r>
        <w:rPr>
          <w:rFonts w:ascii="黑体" w:eastAsia="黑体" w:hint="eastAsia"/>
          <w:b/>
          <w:spacing w:val="-2"/>
          <w:sz w:val="21"/>
        </w:rPr>
        <w:t>限</w:t>
      </w:r>
      <w:r>
        <w:rPr>
          <w:rFonts w:ascii="黑体" w:eastAsia="黑体" w:hint="eastAsia"/>
          <w:b/>
          <w:spacing w:val="-105"/>
          <w:sz w:val="21"/>
        </w:rPr>
        <w:t>）</w:t>
      </w:r>
      <w:r>
        <w:rPr>
          <w:spacing w:val="-2"/>
          <w:sz w:val="21"/>
        </w:rPr>
        <w:t>，给付后本合同效力终止。</w:t>
      </w:r>
    </w:p>
    <w:p>
      <w:pPr>
        <w:spacing w:after="0" w:line="278" w:lineRule="auto"/>
        <w:jc w:val="both"/>
        <w:rPr>
          <w:sz w:val="21"/>
        </w:rPr>
        <w:sectPr>
          <w:type w:val="continuous"/>
          <w:pgSz w:w="11910" w:h="16840"/>
          <w:pgMar w:header="0" w:footer="655" w:top="140" w:bottom="280" w:left="560" w:right="480"/>
          <w:cols w:num="2" w:equalWidth="0">
            <w:col w:w="2815" w:space="40"/>
            <w:col w:w="8015"/>
          </w:cols>
        </w:sectPr>
      </w:pPr>
    </w:p>
    <w:p>
      <w:pPr>
        <w:pStyle w:val="BodyText"/>
        <w:spacing w:before="5"/>
        <w:rPr>
          <w:sz w:val="16"/>
        </w:rPr>
      </w:pPr>
    </w:p>
    <w:p>
      <w:pPr>
        <w:spacing w:after="0"/>
        <w:rPr>
          <w:sz w:val="16"/>
        </w:rPr>
        <w:sectPr>
          <w:type w:val="continuous"/>
          <w:pgSz w:w="11910" w:h="16840"/>
          <w:pgMar w:header="0" w:footer="655" w:top="140" w:bottom="280" w:left="560" w:right="480"/>
        </w:sectPr>
      </w:pPr>
    </w:p>
    <w:p>
      <w:pPr>
        <w:pStyle w:val="Heading1"/>
        <w:spacing w:line="213" w:lineRule="auto" w:before="90"/>
      </w:pPr>
      <w:r>
        <w:rPr>
          <w:rFonts w:ascii="宋体" w:eastAsia="宋体" w:hint="eastAsia"/>
          <w:spacing w:val="-2"/>
        </w:rPr>
        <w:t>(</w:t>
      </w:r>
      <w:r>
        <w:rPr>
          <w:spacing w:val="-2"/>
        </w:rPr>
        <w:t>三</w:t>
      </w:r>
      <w:r>
        <w:rPr>
          <w:rFonts w:ascii="宋体" w:eastAsia="宋体" w:hint="eastAsia"/>
          <w:spacing w:val="-2"/>
        </w:rPr>
        <w:t>)</w:t>
      </w:r>
      <w:r>
        <w:rPr>
          <w:spacing w:val="-2"/>
        </w:rPr>
        <w:t>轻</w:t>
      </w:r>
      <w:r>
        <w:rPr>
          <w:spacing w:val="-2"/>
        </w:rPr>
        <w:t>症</w:t>
      </w:r>
      <w:r>
        <w:rPr>
          <w:spacing w:val="-2"/>
        </w:rPr>
        <w:t>疾</w:t>
      </w:r>
      <w:r>
        <w:rPr>
          <w:spacing w:val="-2"/>
        </w:rPr>
        <w:t>病</w:t>
      </w:r>
      <w:r>
        <w:rPr>
          <w:spacing w:val="-2"/>
        </w:rPr>
        <w:t>保</w:t>
      </w:r>
      <w:r>
        <w:rPr>
          <w:spacing w:val="-6"/>
        </w:rPr>
        <w:t>险</w:t>
      </w:r>
      <w:r>
        <w:rPr>
          <w:spacing w:val="-6"/>
        </w:rPr>
        <w:t>金</w:t>
      </w:r>
    </w:p>
    <w:p>
      <w:pPr>
        <w:pStyle w:val="BodyText"/>
        <w:spacing w:line="278" w:lineRule="auto" w:before="73"/>
        <w:ind w:left="226" w:right="324"/>
      </w:pPr>
      <w:r>
        <w:rPr/>
        <w:br w:type="column"/>
      </w:r>
      <w:r>
        <w:rPr>
          <w:spacing w:val="-5"/>
        </w:rPr>
        <w:t>本合同约定的轻症疾病分为 </w:t>
      </w:r>
      <w:r>
        <w:rPr>
          <w:rFonts w:ascii="黑体" w:eastAsia="黑体"/>
          <w:spacing w:val="-2"/>
        </w:rPr>
        <w:t>A、B、C、D</w:t>
      </w:r>
      <w:r>
        <w:rPr>
          <w:rFonts w:ascii="黑体" w:eastAsia="黑体"/>
          <w:spacing w:val="-35"/>
        </w:rPr>
        <w:t> </w:t>
      </w:r>
      <w:r>
        <w:rPr>
          <w:spacing w:val="-2"/>
        </w:rPr>
        <w:t>四组，详细疾病分组信息请见</w:t>
      </w:r>
      <w:r>
        <w:rPr>
          <w:b/>
          <w:spacing w:val="-2"/>
        </w:rPr>
        <w:t>轻症疾病分</w:t>
      </w:r>
      <w:r>
        <w:rPr>
          <w:b/>
        </w:rPr>
        <w:t>组</w:t>
      </w:r>
      <w:r>
        <w:rPr/>
        <w:t>（</w:t>
      </w:r>
      <w:r>
        <w:rPr>
          <w:spacing w:val="-23"/>
        </w:rPr>
        <w:t>见 </w:t>
      </w:r>
      <w:r>
        <w:rPr>
          <w:spacing w:val="18"/>
        </w:rPr>
        <w:t>10.1</w:t>
      </w:r>
      <w:r>
        <w:rPr>
          <w:spacing w:val="15"/>
        </w:rPr>
        <w:t>4</w:t>
      </w:r>
      <w:r>
        <w:rPr>
          <w:spacing w:val="-88"/>
        </w:rPr>
        <w:t>）</w:t>
      </w:r>
      <w:r>
        <w:rPr>
          <w:spacing w:val="-106"/>
        </w:rPr>
        <w:t>。</w:t>
      </w:r>
    </w:p>
    <w:p>
      <w:pPr>
        <w:pStyle w:val="BodyText"/>
        <w:spacing w:before="9"/>
        <w:rPr>
          <w:sz w:val="18"/>
        </w:rPr>
      </w:pPr>
    </w:p>
    <w:p>
      <w:pPr>
        <w:spacing w:line="278" w:lineRule="auto" w:before="0"/>
        <w:ind w:left="226" w:right="221" w:firstLine="0"/>
        <w:jc w:val="left"/>
        <w:rPr>
          <w:rFonts w:ascii="黑体" w:eastAsia="黑体" w:hint="eastAsia"/>
          <w:b/>
          <w:sz w:val="21"/>
        </w:rPr>
      </w:pPr>
      <w:r>
        <w:rPr>
          <w:rFonts w:ascii="黑体" w:eastAsia="黑体" w:hint="eastAsia"/>
          <w:b/>
          <w:w w:val="100"/>
          <w:sz w:val="21"/>
        </w:rPr>
        <w:t>每组轻症疾病保险金的给付次数以一次为限，给付后该组轻症疾病的保险责任终</w:t>
      </w:r>
      <w:r>
        <w:rPr>
          <w:rFonts w:ascii="黑体" w:eastAsia="黑体" w:hint="eastAsia"/>
          <w:b/>
          <w:spacing w:val="-6"/>
          <w:w w:val="100"/>
          <w:sz w:val="21"/>
        </w:rPr>
        <w:t>止。本合同轻症疾病保险金的累计给付次数以两次为限，当累计给付达到两次时，</w:t>
      </w:r>
      <w:r>
        <w:rPr>
          <w:rFonts w:ascii="黑体" w:eastAsia="黑体" w:hint="eastAsia"/>
          <w:b/>
          <w:w w:val="100"/>
          <w:sz w:val="21"/>
        </w:rPr>
        <w:t>本项保险责任终止。</w:t>
      </w:r>
    </w:p>
    <w:p>
      <w:pPr>
        <w:pStyle w:val="BodyText"/>
        <w:spacing w:before="9"/>
        <w:rPr>
          <w:rFonts w:ascii="黑体"/>
          <w:b/>
          <w:sz w:val="18"/>
        </w:rPr>
      </w:pPr>
    </w:p>
    <w:p>
      <w:pPr>
        <w:spacing w:line="278" w:lineRule="auto" w:before="0"/>
        <w:ind w:left="226" w:right="334" w:firstLine="0"/>
        <w:jc w:val="left"/>
        <w:rPr>
          <w:rFonts w:ascii="黑体" w:eastAsia="黑体" w:hint="eastAsia"/>
          <w:b/>
          <w:sz w:val="21"/>
        </w:rPr>
      </w:pPr>
      <w:r>
        <w:rPr>
          <w:rFonts w:ascii="黑体" w:eastAsia="黑体" w:hint="eastAsia"/>
          <w:b/>
          <w:spacing w:val="-2"/>
          <w:sz w:val="21"/>
        </w:rPr>
        <w:t>若被保险人同时符合本合同约定的重大疾病定义和轻症疾病定义的，我们仅承担</w:t>
      </w:r>
      <w:r>
        <w:rPr>
          <w:rFonts w:ascii="黑体" w:eastAsia="黑体" w:hint="eastAsia"/>
          <w:b/>
          <w:spacing w:val="-2"/>
          <w:sz w:val="21"/>
        </w:rPr>
        <w:t>给付重大疾病保险金的保险责任。</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15" w:space="40"/>
            <w:col w:w="8015"/>
          </w:cols>
        </w:sectPr>
      </w:pPr>
    </w:p>
    <w:p>
      <w:pPr>
        <w:pStyle w:val="BodyText"/>
        <w:spacing w:before="9"/>
        <w:rPr>
          <w:rFonts w:ascii="黑体"/>
          <w:b/>
          <w:sz w:val="18"/>
        </w:rPr>
      </w:pPr>
    </w:p>
    <w:p>
      <w:pPr>
        <w:spacing w:after="0"/>
        <w:rPr>
          <w:rFonts w:ascii="黑体"/>
          <w:sz w:val="18"/>
        </w:rPr>
        <w:sectPr>
          <w:type w:val="continuous"/>
          <w:pgSz w:w="11910" w:h="16840"/>
          <w:pgMar w:header="0" w:footer="655" w:top="140" w:bottom="280" w:left="560" w:right="480"/>
        </w:sectPr>
      </w:pPr>
    </w:p>
    <w:p>
      <w:pPr>
        <w:pStyle w:val="Heading1"/>
        <w:numPr>
          <w:ilvl w:val="0"/>
          <w:numId w:val="5"/>
        </w:numPr>
        <w:tabs>
          <w:tab w:pos="1376" w:val="left" w:leader="none"/>
        </w:tabs>
        <w:spacing w:line="213" w:lineRule="auto" w:before="89" w:after="0"/>
        <w:ind w:left="1132" w:right="0" w:firstLine="0"/>
        <w:jc w:val="left"/>
      </w:pPr>
      <w:r>
        <w:rPr>
          <w:spacing w:val="-4"/>
        </w:rPr>
        <w:t>首次</w:t>
      </w:r>
      <w:r>
        <w:rPr>
          <w:spacing w:val="-4"/>
        </w:rPr>
        <w:t>轻</w:t>
      </w:r>
      <w:r>
        <w:rPr>
          <w:spacing w:val="-4"/>
        </w:rPr>
        <w:t>症</w:t>
      </w:r>
      <w:r>
        <w:rPr>
          <w:spacing w:val="-4"/>
        </w:rPr>
        <w:t>疾</w:t>
      </w:r>
      <w:r>
        <w:rPr>
          <w:spacing w:val="-4"/>
        </w:rPr>
        <w:t>病</w:t>
      </w:r>
      <w:r>
        <w:rPr>
          <w:spacing w:val="-4"/>
        </w:rPr>
        <w:t>保</w:t>
      </w:r>
      <w:r>
        <w:rPr>
          <w:spacing w:val="-4"/>
        </w:rPr>
        <w:t>险</w:t>
      </w:r>
      <w:r>
        <w:rPr>
          <w:spacing w:val="-4"/>
        </w:rPr>
        <w:t>金</w:t>
      </w:r>
    </w:p>
    <w:p>
      <w:pPr>
        <w:spacing w:line="278" w:lineRule="auto" w:before="72"/>
        <w:ind w:left="226" w:right="322" w:firstLine="0"/>
        <w:jc w:val="both"/>
        <w:rPr>
          <w:sz w:val="21"/>
        </w:rPr>
      </w:pPr>
      <w:r>
        <w:rPr/>
        <w:br w:type="column"/>
      </w:r>
      <w:r>
        <w:rPr>
          <w:spacing w:val="-2"/>
          <w:sz w:val="21"/>
        </w:rPr>
        <w:t>若被保险人因意外伤害或于等待期后首次发病并经专科医生确诊首次患有本合同</w:t>
      </w:r>
      <w:r>
        <w:rPr>
          <w:spacing w:val="-4"/>
          <w:sz w:val="21"/>
        </w:rPr>
        <w:t>约定的轻症疾病，我们将按本合同基本保险金额的 30%给付轻症疾病保险金</w:t>
      </w:r>
      <w:r>
        <w:rPr>
          <w:rFonts w:ascii="黑体" w:eastAsia="黑体" w:hint="eastAsia"/>
          <w:b/>
          <w:spacing w:val="-4"/>
          <w:sz w:val="21"/>
        </w:rPr>
        <w:t>（若被</w:t>
      </w:r>
      <w:r>
        <w:rPr>
          <w:rFonts w:ascii="黑体" w:eastAsia="黑体" w:hint="eastAsia"/>
          <w:b/>
          <w:spacing w:val="-2"/>
          <w:sz w:val="21"/>
        </w:rPr>
        <w:t>保险人因同一疾病原因、同次医疗行为或同次意外伤害事故导致首次患本合同约</w:t>
      </w:r>
      <w:r>
        <w:rPr>
          <w:rFonts w:ascii="黑体" w:eastAsia="黑体" w:hint="eastAsia"/>
          <w:b/>
          <w:spacing w:val="-2"/>
          <w:sz w:val="21"/>
        </w:rPr>
        <w:t>定的一项以上轻症疾病时，该给付以一次为限</w:t>
      </w:r>
      <w:r>
        <w:rPr>
          <w:rFonts w:ascii="黑体" w:eastAsia="黑体" w:hint="eastAsia"/>
          <w:b/>
          <w:spacing w:val="-58"/>
          <w:sz w:val="21"/>
        </w:rPr>
        <w:t>）</w:t>
      </w:r>
      <w:r>
        <w:rPr>
          <w:spacing w:val="-10"/>
          <w:sz w:val="21"/>
        </w:rPr>
        <w:t>，给付后该轻症疾病所属组别的保</w:t>
      </w:r>
      <w:r>
        <w:rPr>
          <w:spacing w:val="-2"/>
          <w:sz w:val="21"/>
        </w:rPr>
        <w:t>险责任终止。</w:t>
      </w:r>
    </w:p>
    <w:p>
      <w:pPr>
        <w:spacing w:after="0" w:line="278" w:lineRule="auto"/>
        <w:jc w:val="both"/>
        <w:rPr>
          <w:sz w:val="21"/>
        </w:rPr>
        <w:sectPr>
          <w:type w:val="continuous"/>
          <w:pgSz w:w="11910" w:h="16840"/>
          <w:pgMar w:header="0" w:footer="655" w:top="140" w:bottom="280" w:left="560" w:right="480"/>
          <w:cols w:num="2" w:equalWidth="0">
            <w:col w:w="2815" w:space="40"/>
            <w:col w:w="8015"/>
          </w:cols>
        </w:sectPr>
      </w:pPr>
    </w:p>
    <w:p>
      <w:pPr>
        <w:pStyle w:val="BodyText"/>
        <w:spacing w:before="3"/>
        <w:rPr>
          <w:sz w:val="19"/>
        </w:rPr>
      </w:pPr>
    </w:p>
    <w:p>
      <w:pPr>
        <w:spacing w:after="0"/>
        <w:rPr>
          <w:sz w:val="19"/>
        </w:rPr>
        <w:sectPr>
          <w:type w:val="continuous"/>
          <w:pgSz w:w="11910" w:h="16840"/>
          <w:pgMar w:header="0" w:footer="655" w:top="140" w:bottom="280" w:left="560" w:right="480"/>
        </w:sectPr>
      </w:pPr>
    </w:p>
    <w:p>
      <w:pPr>
        <w:pStyle w:val="Heading1"/>
        <w:numPr>
          <w:ilvl w:val="0"/>
          <w:numId w:val="5"/>
        </w:numPr>
        <w:tabs>
          <w:tab w:pos="1376" w:val="left" w:leader="none"/>
        </w:tabs>
        <w:spacing w:line="216" w:lineRule="auto" w:before="87" w:after="0"/>
        <w:ind w:left="1132" w:right="0" w:firstLine="0"/>
        <w:jc w:val="left"/>
      </w:pPr>
      <w:r>
        <w:rPr>
          <w:spacing w:val="-4"/>
        </w:rPr>
        <w:t>第</w:t>
      </w:r>
      <w:r>
        <w:rPr>
          <w:spacing w:val="-4"/>
        </w:rPr>
        <w:t>二</w:t>
      </w:r>
      <w:r>
        <w:rPr>
          <w:spacing w:val="-4"/>
        </w:rPr>
        <w:t>次</w:t>
      </w:r>
      <w:r>
        <w:rPr>
          <w:spacing w:val="-4"/>
        </w:rPr>
        <w:t>轻</w:t>
      </w:r>
      <w:r>
        <w:rPr>
          <w:spacing w:val="-4"/>
        </w:rPr>
        <w:t>症</w:t>
      </w:r>
      <w:r>
        <w:rPr>
          <w:spacing w:val="-4"/>
        </w:rPr>
        <w:t>疾</w:t>
      </w:r>
      <w:r>
        <w:rPr>
          <w:spacing w:val="-4"/>
        </w:rPr>
        <w:t>病</w:t>
      </w:r>
      <w:r>
        <w:rPr>
          <w:spacing w:val="-4"/>
        </w:rPr>
        <w:t>保</w:t>
      </w:r>
      <w:r>
        <w:rPr>
          <w:spacing w:val="-4"/>
        </w:rPr>
        <w:t>险</w:t>
      </w:r>
      <w:r>
        <w:rPr>
          <w:spacing w:val="-4"/>
        </w:rPr>
        <w:t>金</w:t>
      </w:r>
    </w:p>
    <w:p>
      <w:pPr>
        <w:spacing w:line="278" w:lineRule="auto" w:before="73"/>
        <w:ind w:left="226" w:right="322" w:firstLine="0"/>
        <w:jc w:val="both"/>
        <w:rPr>
          <w:sz w:val="21"/>
        </w:rPr>
      </w:pPr>
      <w:r>
        <w:rPr/>
        <w:br w:type="column"/>
      </w:r>
      <w:r>
        <w:rPr>
          <w:spacing w:val="-6"/>
          <w:sz w:val="21"/>
        </w:rPr>
        <w:t>在我们已按本合同的约定给付首次轻症疾病保险金的情况下，若被保险人自首次轻</w:t>
      </w:r>
      <w:r>
        <w:rPr>
          <w:spacing w:val="-5"/>
          <w:sz w:val="21"/>
        </w:rPr>
        <w:t>症疾病确诊之日起满 </w:t>
      </w:r>
      <w:r>
        <w:rPr>
          <w:spacing w:val="-2"/>
          <w:sz w:val="21"/>
        </w:rPr>
        <w:t>180</w:t>
      </w:r>
      <w:r>
        <w:rPr>
          <w:spacing w:val="-14"/>
          <w:sz w:val="21"/>
        </w:rPr>
        <w:t> 天后，经专科医生确诊首次患有本合同约定的除首次轻症</w:t>
      </w:r>
      <w:r>
        <w:rPr>
          <w:spacing w:val="-7"/>
          <w:sz w:val="21"/>
        </w:rPr>
        <w:t>疾病所属组别以外其它组别中的任何一种轻症疾病，我们将按本合同基本保险金额</w:t>
      </w:r>
      <w:r>
        <w:rPr>
          <w:spacing w:val="-4"/>
          <w:sz w:val="21"/>
        </w:rPr>
        <w:t>的 30%给付第二次轻症疾病保险金</w:t>
      </w:r>
      <w:r>
        <w:rPr>
          <w:rFonts w:ascii="黑体" w:eastAsia="黑体" w:hint="eastAsia"/>
          <w:b/>
          <w:spacing w:val="-4"/>
          <w:sz w:val="21"/>
        </w:rPr>
        <w:t>（若被保险人因同一疾病原因、同次医疗行为或</w:t>
      </w:r>
      <w:r>
        <w:rPr>
          <w:rFonts w:ascii="黑体" w:eastAsia="黑体" w:hint="eastAsia"/>
          <w:b/>
          <w:spacing w:val="-2"/>
          <w:sz w:val="21"/>
        </w:rPr>
        <w:t>同次意外伤害事故导致首次患本合同约定的一项以上轻症疾病时，该给付以一次</w:t>
      </w:r>
      <w:r>
        <w:rPr>
          <w:rFonts w:ascii="黑体" w:eastAsia="黑体" w:hint="eastAsia"/>
          <w:b/>
          <w:spacing w:val="-2"/>
          <w:sz w:val="21"/>
        </w:rPr>
        <w:t>为限</w:t>
      </w:r>
      <w:r>
        <w:rPr>
          <w:rFonts w:ascii="黑体" w:eastAsia="黑体" w:hint="eastAsia"/>
          <w:b/>
          <w:spacing w:val="-105"/>
          <w:sz w:val="21"/>
        </w:rPr>
        <w:t>）</w:t>
      </w:r>
      <w:r>
        <w:rPr>
          <w:spacing w:val="-2"/>
          <w:sz w:val="21"/>
        </w:rPr>
        <w:t>，轻症疾病保险金的保险责任终止。</w:t>
      </w:r>
    </w:p>
    <w:p>
      <w:pPr>
        <w:spacing w:after="0" w:line="278" w:lineRule="auto"/>
        <w:jc w:val="both"/>
        <w:rPr>
          <w:sz w:val="21"/>
        </w:rPr>
        <w:sectPr>
          <w:type w:val="continuous"/>
          <w:pgSz w:w="11910" w:h="16840"/>
          <w:pgMar w:header="0" w:footer="655" w:top="140" w:bottom="280" w:left="560" w:right="480"/>
          <w:cols w:num="2" w:equalWidth="0">
            <w:col w:w="2815" w:space="40"/>
            <w:col w:w="8015"/>
          </w:cols>
        </w:sectPr>
      </w:pPr>
    </w:p>
    <w:p>
      <w:pPr>
        <w:pStyle w:val="BodyText"/>
        <w:spacing w:before="6"/>
        <w:rPr>
          <w:sz w:val="19"/>
        </w:rPr>
      </w:pPr>
    </w:p>
    <w:p>
      <w:pPr>
        <w:spacing w:after="0"/>
        <w:rPr>
          <w:sz w:val="19"/>
        </w:rPr>
        <w:sectPr>
          <w:type w:val="continuous"/>
          <w:pgSz w:w="11910" w:h="16840"/>
          <w:pgMar w:header="0" w:footer="655" w:top="140" w:bottom="280" w:left="560" w:right="480"/>
        </w:sectPr>
      </w:pPr>
    </w:p>
    <w:p>
      <w:pPr>
        <w:pStyle w:val="Heading1"/>
        <w:spacing w:line="213" w:lineRule="auto"/>
        <w:jc w:val="both"/>
      </w:pPr>
      <w:r>
        <w:rPr>
          <w:rFonts w:ascii="宋体" w:eastAsia="宋体" w:hint="eastAsia"/>
          <w:spacing w:val="-2"/>
        </w:rPr>
        <w:t>(</w:t>
      </w:r>
      <w:r>
        <w:rPr>
          <w:spacing w:val="-2"/>
        </w:rPr>
        <w:t>四</w:t>
      </w:r>
      <w:r>
        <w:rPr>
          <w:rFonts w:ascii="宋体" w:eastAsia="宋体" w:hint="eastAsia"/>
          <w:spacing w:val="-2"/>
        </w:rPr>
        <w:t>)</w:t>
      </w:r>
      <w:r>
        <w:rPr>
          <w:spacing w:val="-2"/>
        </w:rPr>
        <w:t>重</w:t>
      </w:r>
      <w:r>
        <w:rPr>
          <w:spacing w:val="-2"/>
        </w:rPr>
        <w:t>大</w:t>
      </w:r>
      <w:r>
        <w:rPr>
          <w:spacing w:val="-2"/>
        </w:rPr>
        <w:t>疾</w:t>
      </w:r>
      <w:r>
        <w:rPr>
          <w:spacing w:val="-2"/>
        </w:rPr>
        <w:t>病</w:t>
      </w:r>
      <w:r>
        <w:rPr>
          <w:spacing w:val="-2"/>
        </w:rPr>
        <w:t>、</w:t>
      </w:r>
      <w:r>
        <w:rPr>
          <w:spacing w:val="-2"/>
        </w:rPr>
        <w:t>轻</w:t>
      </w:r>
      <w:r>
        <w:rPr>
          <w:spacing w:val="-2"/>
        </w:rPr>
        <w:t>症</w:t>
      </w:r>
      <w:r>
        <w:rPr>
          <w:spacing w:val="-2"/>
        </w:rPr>
        <w:t>疾</w:t>
      </w:r>
      <w:r>
        <w:rPr>
          <w:spacing w:val="-2"/>
        </w:rPr>
        <w:t>病</w:t>
      </w:r>
      <w:r>
        <w:rPr>
          <w:spacing w:val="-2"/>
        </w:rPr>
        <w:t>豁</w:t>
      </w:r>
      <w:r>
        <w:rPr>
          <w:spacing w:val="-2"/>
        </w:rPr>
        <w:t>免</w:t>
      </w:r>
      <w:r>
        <w:rPr>
          <w:spacing w:val="-2"/>
        </w:rPr>
        <w:t>保</w:t>
      </w:r>
      <w:r>
        <w:rPr>
          <w:spacing w:val="-6"/>
        </w:rPr>
        <w:t>险</w:t>
      </w:r>
      <w:r>
        <w:rPr>
          <w:spacing w:val="-6"/>
        </w:rPr>
        <w:t>费</w:t>
      </w:r>
    </w:p>
    <w:p>
      <w:pPr>
        <w:pStyle w:val="BodyText"/>
        <w:spacing w:line="278" w:lineRule="auto" w:before="72"/>
        <w:ind w:left="226" w:right="322"/>
        <w:jc w:val="both"/>
      </w:pPr>
      <w:r>
        <w:rPr/>
        <w:br w:type="column"/>
      </w:r>
      <w:r>
        <w:rPr>
          <w:spacing w:val="-7"/>
        </w:rPr>
        <w:t>若被保险人符合上述首次重大疾病保险金、轻症疾病保险金的给付条件，则我们自</w:t>
      </w:r>
      <w:r>
        <w:rPr>
          <w:spacing w:val="-7"/>
        </w:rPr>
        <w:t>被保险人经专科医生确诊首次患本合同约定的重大疾病、轻症疾病的下一个保险费</w:t>
      </w:r>
      <w:r>
        <w:rPr>
          <w:spacing w:val="-2"/>
        </w:rPr>
        <w:t>应交日开始，豁免本合同应交纳的各期保险费至交费期限届满为止。</w:t>
      </w:r>
    </w:p>
    <w:p>
      <w:pPr>
        <w:pStyle w:val="BodyText"/>
        <w:spacing w:before="4"/>
        <w:rPr>
          <w:sz w:val="24"/>
        </w:rPr>
      </w:pPr>
    </w:p>
    <w:p>
      <w:pPr>
        <w:spacing w:line="278" w:lineRule="auto" w:before="0"/>
        <w:ind w:left="226" w:right="325" w:firstLine="0"/>
        <w:jc w:val="left"/>
        <w:rPr>
          <w:rFonts w:ascii="黑体" w:eastAsia="黑体" w:hint="eastAsia"/>
          <w:b/>
          <w:sz w:val="21"/>
        </w:rPr>
      </w:pPr>
      <w:r>
        <w:rPr>
          <w:spacing w:val="-2"/>
          <w:sz w:val="21"/>
        </w:rPr>
        <w:t>被豁免的保险费视为已交纳，同时本合同继续有效。</w:t>
      </w:r>
      <w:r>
        <w:rPr>
          <w:rFonts w:ascii="黑体" w:eastAsia="黑体" w:hint="eastAsia"/>
          <w:b/>
          <w:spacing w:val="-2"/>
          <w:sz w:val="21"/>
        </w:rPr>
        <w:t>在豁免保险费期间，我们不</w:t>
      </w:r>
      <w:r>
        <w:rPr>
          <w:rFonts w:ascii="黑体" w:eastAsia="黑体" w:hint="eastAsia"/>
          <w:b/>
          <w:spacing w:val="-2"/>
          <w:sz w:val="21"/>
        </w:rPr>
        <w:t>接受本合同基本保险金额以及交费方式的变更。</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15" w:space="40"/>
            <w:col w:w="8015"/>
          </w:cols>
        </w:sectPr>
      </w:pPr>
    </w:p>
    <w:p>
      <w:pPr>
        <w:pStyle w:val="Heading1"/>
        <w:spacing w:before="28"/>
      </w:pPr>
      <w:r>
        <w:rPr>
          <w:w w:val="95"/>
        </w:rPr>
        <w:t>二、可选</w:t>
      </w:r>
      <w:r>
        <w:rPr>
          <w:w w:val="95"/>
        </w:rPr>
        <w:t>责</w:t>
      </w:r>
      <w:r>
        <w:rPr>
          <w:spacing w:val="-10"/>
          <w:w w:val="95"/>
        </w:rPr>
        <w:t>任</w:t>
      </w:r>
    </w:p>
    <w:p>
      <w:pPr>
        <w:pStyle w:val="BodyText"/>
        <w:spacing w:before="11"/>
        <w:rPr>
          <w:rFonts w:ascii="华文新魏"/>
          <w:b/>
          <w:sz w:val="9"/>
        </w:rPr>
      </w:pPr>
    </w:p>
    <w:p>
      <w:pPr>
        <w:spacing w:after="0"/>
        <w:rPr>
          <w:rFonts w:ascii="华文新魏"/>
          <w:sz w:val="9"/>
        </w:rPr>
        <w:sectPr>
          <w:pgSz w:w="11910" w:h="16840"/>
          <w:pgMar w:header="0" w:footer="655" w:top="1440" w:bottom="840" w:left="560" w:right="480"/>
        </w:sectPr>
      </w:pPr>
    </w:p>
    <w:p>
      <w:pPr>
        <w:spacing w:line="216" w:lineRule="auto" w:before="86"/>
        <w:ind w:left="1132" w:right="0" w:firstLine="0"/>
        <w:jc w:val="left"/>
        <w:rPr>
          <w:rFonts w:ascii="华文新魏" w:eastAsia="华文新魏" w:hint="eastAsia"/>
          <w:b/>
          <w:sz w:val="24"/>
        </w:rPr>
      </w:pPr>
      <w:r>
        <w:rPr>
          <w:rFonts w:ascii="华文新魏" w:eastAsia="华文新魏" w:hint="eastAsia"/>
          <w:b/>
          <w:spacing w:val="-2"/>
          <w:sz w:val="24"/>
        </w:rPr>
        <w:t>恶</w:t>
      </w:r>
      <w:r>
        <w:rPr>
          <w:rFonts w:ascii="华文新魏" w:eastAsia="华文新魏" w:hint="eastAsia"/>
          <w:b/>
          <w:spacing w:val="-2"/>
          <w:sz w:val="24"/>
        </w:rPr>
        <w:t>性</w:t>
      </w:r>
      <w:r>
        <w:rPr>
          <w:rFonts w:ascii="华文新魏" w:eastAsia="华文新魏" w:hint="eastAsia"/>
          <w:b/>
          <w:spacing w:val="-2"/>
          <w:sz w:val="24"/>
        </w:rPr>
        <w:t>肿</w:t>
      </w:r>
      <w:r>
        <w:rPr>
          <w:rFonts w:ascii="华文新魏" w:eastAsia="华文新魏" w:hint="eastAsia"/>
          <w:b/>
          <w:spacing w:val="-2"/>
          <w:sz w:val="24"/>
        </w:rPr>
        <w:t>瘤</w:t>
      </w:r>
      <w:r>
        <w:rPr>
          <w:rFonts w:ascii="华文新魏" w:eastAsia="华文新魏" w:hint="eastAsia"/>
          <w:b/>
          <w:spacing w:val="-2"/>
          <w:sz w:val="24"/>
        </w:rPr>
        <w:t>关</w:t>
      </w:r>
      <w:r>
        <w:rPr>
          <w:rFonts w:ascii="华文新魏" w:eastAsia="华文新魏" w:hint="eastAsia"/>
          <w:b/>
          <w:spacing w:val="-2"/>
          <w:sz w:val="24"/>
        </w:rPr>
        <w:t>爱</w:t>
      </w:r>
      <w:r>
        <w:rPr>
          <w:rFonts w:ascii="华文新魏" w:eastAsia="华文新魏" w:hint="eastAsia"/>
          <w:b/>
          <w:spacing w:val="-2"/>
          <w:sz w:val="24"/>
        </w:rPr>
        <w:t>保</w:t>
      </w:r>
      <w:r>
        <w:rPr>
          <w:rFonts w:ascii="华文新魏" w:eastAsia="华文新魏" w:hint="eastAsia"/>
          <w:b/>
          <w:spacing w:val="-6"/>
          <w:sz w:val="24"/>
        </w:rPr>
        <w:t>险</w:t>
      </w:r>
      <w:r>
        <w:rPr>
          <w:rFonts w:ascii="华文新魏" w:eastAsia="华文新魏" w:hint="eastAsia"/>
          <w:b/>
          <w:spacing w:val="-6"/>
          <w:sz w:val="24"/>
        </w:rPr>
        <w:t>金</w:t>
      </w:r>
    </w:p>
    <w:p>
      <w:pPr>
        <w:pStyle w:val="BodyText"/>
        <w:spacing w:before="72"/>
        <w:ind w:left="226"/>
      </w:pPr>
      <w:r>
        <w:rPr/>
        <w:br w:type="column"/>
      </w:r>
      <w:r>
        <w:rPr>
          <w:spacing w:val="-3"/>
        </w:rPr>
        <w:t>若您投保时选择了恶性肿瘤关爱保险金责任，我们还将承担如下责任：</w:t>
      </w:r>
    </w:p>
    <w:p>
      <w:pPr>
        <w:pStyle w:val="BodyText"/>
        <w:spacing w:before="1"/>
        <w:rPr>
          <w:sz w:val="22"/>
        </w:rPr>
      </w:pPr>
    </w:p>
    <w:p>
      <w:pPr>
        <w:pStyle w:val="BodyText"/>
        <w:spacing w:line="278" w:lineRule="auto"/>
        <w:ind w:left="226" w:right="216"/>
        <w:jc w:val="both"/>
      </w:pPr>
      <w:r>
        <w:rPr>
          <w:w w:val="100"/>
        </w:rPr>
        <w:t>被保险人因意外伤害或于等待期后初次发生并经专科医生确诊“恶性肿瘤——重</w:t>
      </w:r>
      <w:r>
        <w:rPr>
          <w:spacing w:val="-53"/>
          <w:w w:val="100"/>
        </w:rPr>
        <w:t>度”</w:t>
      </w:r>
      <w:r>
        <w:rPr>
          <w:spacing w:val="-3"/>
          <w:w w:val="100"/>
        </w:rPr>
        <w:t>（</w:t>
      </w:r>
      <w:r>
        <w:rPr>
          <w:w w:val="100"/>
        </w:rPr>
        <w:t>见</w:t>
      </w:r>
      <w:r>
        <w:rPr>
          <w:spacing w:val="-53"/>
        </w:rPr>
        <w:t> </w:t>
      </w:r>
      <w:r>
        <w:rPr>
          <w:w w:val="100"/>
        </w:rPr>
        <w:t>1</w:t>
      </w:r>
      <w:r>
        <w:rPr>
          <w:spacing w:val="-3"/>
          <w:w w:val="100"/>
        </w:rPr>
        <w:t>0</w:t>
      </w:r>
      <w:r>
        <w:rPr>
          <w:w w:val="100"/>
        </w:rPr>
        <w:t>.7</w:t>
      </w:r>
      <w:r>
        <w:rPr>
          <w:spacing w:val="-55"/>
        </w:rPr>
        <w:t> </w:t>
      </w:r>
      <w:r>
        <w:rPr>
          <w:w w:val="100"/>
        </w:rPr>
        <w:t>中</w:t>
      </w:r>
      <w:r>
        <w:rPr>
          <w:spacing w:val="-53"/>
        </w:rPr>
        <w:t> </w:t>
      </w:r>
      <w:r>
        <w:rPr>
          <w:w w:val="100"/>
        </w:rPr>
        <w:t>1</w:t>
      </w:r>
      <w:r>
        <w:rPr>
          <w:spacing w:val="-53"/>
        </w:rPr>
        <w:t> </w:t>
      </w:r>
      <w:r>
        <w:rPr>
          <w:spacing w:val="-3"/>
          <w:w w:val="100"/>
        </w:rPr>
        <w:t>所定义疾病）且我们已按本合同约定承担重大疾病保险责任的，</w:t>
      </w:r>
    </w:p>
    <w:p>
      <w:pPr>
        <w:spacing w:line="278" w:lineRule="auto" w:before="0"/>
        <w:ind w:left="226" w:right="322" w:firstLine="0"/>
        <w:jc w:val="both"/>
        <w:rPr>
          <w:sz w:val="21"/>
        </w:rPr>
      </w:pPr>
      <w:r>
        <w:rPr>
          <w:spacing w:val="-7"/>
          <w:sz w:val="21"/>
        </w:rPr>
        <w:t>若其自“恶性肿瘤——重度”首次确诊之日起满 </w:t>
      </w:r>
      <w:r>
        <w:rPr>
          <w:spacing w:val="-6"/>
          <w:sz w:val="21"/>
        </w:rPr>
        <w:t>5</w:t>
      </w:r>
      <w:r>
        <w:rPr>
          <w:spacing w:val="-9"/>
          <w:sz w:val="21"/>
        </w:rPr>
        <w:t> 年后，第二次经专科医生确诊发</w:t>
      </w:r>
      <w:r>
        <w:rPr>
          <w:spacing w:val="-9"/>
          <w:sz w:val="21"/>
        </w:rPr>
        <w:t>生本合同约定的“恶性肿瘤——重度”，我们按本合同基本保险金额给付恶性肿瘤</w:t>
      </w:r>
      <w:r>
        <w:rPr>
          <w:spacing w:val="-2"/>
          <w:sz w:val="21"/>
        </w:rPr>
        <w:t>关爱保险金</w:t>
      </w:r>
      <w:r>
        <w:rPr>
          <w:rFonts w:ascii="黑体" w:hAnsi="黑体" w:eastAsia="黑体" w:hint="eastAsia"/>
          <w:b/>
          <w:spacing w:val="-2"/>
          <w:sz w:val="21"/>
        </w:rPr>
        <w:t>（若被保险人同时符合一项以上“恶性肿瘤——重度”时，该给付以</w:t>
      </w:r>
      <w:r>
        <w:rPr>
          <w:rFonts w:ascii="黑体" w:hAnsi="黑体" w:eastAsia="黑体" w:hint="eastAsia"/>
          <w:b/>
          <w:spacing w:val="-2"/>
          <w:sz w:val="21"/>
        </w:rPr>
        <w:t>一次为限</w:t>
      </w:r>
      <w:r>
        <w:rPr>
          <w:rFonts w:ascii="黑体" w:hAnsi="黑体" w:eastAsia="黑体" w:hint="eastAsia"/>
          <w:b/>
          <w:spacing w:val="-105"/>
          <w:sz w:val="21"/>
        </w:rPr>
        <w:t>）</w:t>
      </w:r>
      <w:r>
        <w:rPr>
          <w:spacing w:val="-3"/>
          <w:sz w:val="21"/>
        </w:rPr>
        <w:t>，恶性肿瘤关爱保险金的保险责任终止。</w:t>
      </w:r>
    </w:p>
    <w:p>
      <w:pPr>
        <w:pStyle w:val="BodyText"/>
        <w:spacing w:before="3"/>
        <w:rPr>
          <w:sz w:val="24"/>
        </w:rPr>
      </w:pPr>
    </w:p>
    <w:p>
      <w:pPr>
        <w:pStyle w:val="BodyText"/>
        <w:spacing w:before="1"/>
        <w:ind w:left="226"/>
      </w:pPr>
      <w:r>
        <w:rPr>
          <w:spacing w:val="-3"/>
        </w:rPr>
        <w:t>第二次确诊的“恶性肿瘤——重度”包括下列情形：</w:t>
      </w:r>
    </w:p>
    <w:p>
      <w:pPr>
        <w:pStyle w:val="ListParagraph"/>
        <w:numPr>
          <w:ilvl w:val="0"/>
          <w:numId w:val="6"/>
        </w:numPr>
        <w:tabs>
          <w:tab w:pos="757" w:val="left" w:leader="none"/>
        </w:tabs>
        <w:spacing w:line="240" w:lineRule="auto" w:before="43" w:after="0"/>
        <w:ind w:left="756" w:right="0" w:hanging="531"/>
        <w:jc w:val="left"/>
        <w:rPr>
          <w:sz w:val="21"/>
        </w:rPr>
      </w:pPr>
      <w:r>
        <w:rPr>
          <w:spacing w:val="-2"/>
          <w:sz w:val="21"/>
        </w:rPr>
        <w:t>与首次确诊的“恶性肿瘤——重度”无关的新发“恶性肿瘤——重度</w:t>
      </w:r>
      <w:r>
        <w:rPr>
          <w:spacing w:val="-59"/>
          <w:sz w:val="21"/>
        </w:rPr>
        <w:t>”；</w:t>
      </w:r>
    </w:p>
    <w:p>
      <w:pPr>
        <w:pStyle w:val="ListParagraph"/>
        <w:numPr>
          <w:ilvl w:val="0"/>
          <w:numId w:val="6"/>
        </w:numPr>
        <w:tabs>
          <w:tab w:pos="757" w:val="left" w:leader="none"/>
        </w:tabs>
        <w:spacing w:line="240" w:lineRule="auto" w:before="43" w:after="0"/>
        <w:ind w:left="756" w:right="0" w:hanging="531"/>
        <w:jc w:val="left"/>
        <w:rPr>
          <w:sz w:val="21"/>
        </w:rPr>
      </w:pPr>
      <w:r>
        <w:rPr>
          <w:spacing w:val="-3"/>
          <w:sz w:val="21"/>
        </w:rPr>
        <w:t>首次确诊的“恶性肿瘤——重度”复发、转移；</w:t>
      </w:r>
    </w:p>
    <w:p>
      <w:pPr>
        <w:pStyle w:val="ListParagraph"/>
        <w:numPr>
          <w:ilvl w:val="0"/>
          <w:numId w:val="6"/>
        </w:numPr>
        <w:tabs>
          <w:tab w:pos="757" w:val="left" w:leader="none"/>
        </w:tabs>
        <w:spacing w:line="240" w:lineRule="auto" w:before="43" w:after="0"/>
        <w:ind w:left="756" w:right="0" w:hanging="531"/>
        <w:jc w:val="left"/>
        <w:rPr>
          <w:sz w:val="21"/>
        </w:rPr>
      </w:pPr>
      <w:r>
        <w:rPr>
          <w:spacing w:val="-3"/>
          <w:sz w:val="21"/>
        </w:rPr>
        <w:t>首次确诊的“恶性肿瘤——重度”仍持续存在。</w:t>
      </w:r>
    </w:p>
    <w:p>
      <w:pPr>
        <w:spacing w:after="0" w:line="240" w:lineRule="auto"/>
        <w:jc w:val="left"/>
        <w:rPr>
          <w:sz w:val="21"/>
        </w:rPr>
        <w:sectPr>
          <w:type w:val="continuous"/>
          <w:pgSz w:w="11910" w:h="16840"/>
          <w:pgMar w:header="0" w:footer="655" w:top="140" w:bottom="280" w:left="560" w:right="480"/>
          <w:cols w:num="2" w:equalWidth="0">
            <w:col w:w="2815" w:space="40"/>
            <w:col w:w="8015"/>
          </w:cols>
        </w:sectPr>
      </w:pPr>
    </w:p>
    <w:p>
      <w:pPr>
        <w:pStyle w:val="BodyText"/>
        <w:spacing w:before="7"/>
        <w:rPr>
          <w:sz w:val="15"/>
        </w:rPr>
      </w:pPr>
    </w:p>
    <w:p>
      <w:pPr>
        <w:pStyle w:val="ListParagraph"/>
        <w:numPr>
          <w:ilvl w:val="1"/>
          <w:numId w:val="4"/>
        </w:numPr>
        <w:tabs>
          <w:tab w:pos="1133" w:val="left" w:leader="none"/>
        </w:tabs>
        <w:spacing w:line="278" w:lineRule="auto" w:before="72" w:after="0"/>
        <w:ind w:left="3081" w:right="324" w:hanging="2852"/>
        <w:jc w:val="both"/>
        <w:rPr>
          <w:rFonts w:ascii="黑体" w:hAnsi="黑体" w:eastAsia="黑体" w:hint="eastAsia"/>
          <w:b/>
          <w:sz w:val="21"/>
        </w:rPr>
      </w:pPr>
      <w:r>
        <w:rPr>
          <w:b/>
          <w:sz w:val="21"/>
        </w:rPr>
        <w:t>责任免除</w:t>
      </w:r>
      <w:r>
        <w:rPr>
          <w:b/>
          <w:spacing w:val="69"/>
          <w:w w:val="150"/>
          <w:sz w:val="21"/>
        </w:rPr>
        <w:t>     </w:t>
      </w:r>
      <w:r>
        <w:rPr>
          <w:rFonts w:ascii="黑体" w:hAnsi="黑体" w:eastAsia="黑体" w:hint="eastAsia"/>
          <w:b/>
          <w:sz w:val="21"/>
        </w:rPr>
        <w:t>一、因下列情形之一导致被保险人患本合同约定的重大疾病、轻症疾病或“恶性</w:t>
      </w:r>
      <w:r>
        <w:rPr>
          <w:rFonts w:ascii="黑体" w:hAnsi="黑体" w:eastAsia="黑体" w:hint="eastAsia"/>
          <w:b/>
          <w:spacing w:val="-2"/>
          <w:sz w:val="21"/>
        </w:rPr>
        <w:t>肿瘤——重度”的，我们不承担给付重大疾病保险金、轻症疾病保险金、重大疾</w:t>
      </w:r>
      <w:r>
        <w:rPr>
          <w:rFonts w:ascii="黑体" w:hAnsi="黑体" w:eastAsia="黑体" w:hint="eastAsia"/>
          <w:b/>
          <w:spacing w:val="-2"/>
          <w:sz w:val="21"/>
        </w:rPr>
        <w:t>病、轻症疾病豁免保险费及恶性肿瘤关爱保险金的责任：</w:t>
      </w:r>
    </w:p>
    <w:p>
      <w:pPr>
        <w:spacing w:line="269" w:lineRule="exact" w:before="0"/>
        <w:ind w:left="3293" w:right="0" w:firstLine="0"/>
        <w:jc w:val="both"/>
        <w:rPr>
          <w:rFonts w:ascii="黑体" w:eastAsia="黑体" w:hint="eastAsia"/>
          <w:b/>
          <w:sz w:val="21"/>
        </w:rPr>
      </w:pPr>
      <w:r>
        <w:rPr>
          <w:rFonts w:ascii="黑体" w:eastAsia="黑体" w:hint="eastAsia"/>
          <w:b/>
          <w:spacing w:val="-1"/>
          <w:sz w:val="21"/>
        </w:rPr>
        <w:t>(一) 投保人对被保险人的故意杀害、故意伤害；</w:t>
      </w:r>
    </w:p>
    <w:p>
      <w:pPr>
        <w:spacing w:before="43"/>
        <w:ind w:left="3293" w:right="0" w:firstLine="0"/>
        <w:jc w:val="both"/>
        <w:rPr>
          <w:rFonts w:ascii="黑体" w:eastAsia="黑体" w:hint="eastAsia"/>
          <w:b/>
          <w:sz w:val="21"/>
        </w:rPr>
      </w:pPr>
      <w:r>
        <w:rPr>
          <w:rFonts w:ascii="黑体" w:eastAsia="黑体" w:hint="eastAsia"/>
          <w:b/>
          <w:spacing w:val="-1"/>
          <w:sz w:val="21"/>
        </w:rPr>
        <w:t>(二) 被保险人故意犯罪或抗拒依法采取的刑事强制措施；</w:t>
      </w:r>
    </w:p>
    <w:p>
      <w:pPr>
        <w:spacing w:line="278" w:lineRule="auto" w:before="43"/>
        <w:ind w:left="3905" w:right="322" w:hanging="612"/>
        <w:jc w:val="both"/>
        <w:rPr>
          <w:rFonts w:ascii="黑体" w:eastAsia="黑体" w:hint="eastAsia"/>
          <w:b/>
          <w:sz w:val="21"/>
        </w:rPr>
      </w:pPr>
      <w:r>
        <w:rPr>
          <w:rFonts w:ascii="黑体" w:eastAsia="黑体" w:hint="eastAsia"/>
          <w:b/>
          <w:spacing w:val="-1"/>
          <w:sz w:val="21"/>
        </w:rPr>
        <w:t>(三) 被保险人故意自伤、或自本合同成立或者本合同效力恢复之日起 </w:t>
      </w:r>
      <w:r>
        <w:rPr>
          <w:rFonts w:ascii="黑体" w:eastAsia="黑体" w:hint="eastAsia"/>
          <w:b/>
          <w:sz w:val="21"/>
        </w:rPr>
        <w:t>2</w:t>
      </w:r>
      <w:r>
        <w:rPr>
          <w:rFonts w:ascii="黑体" w:eastAsia="黑体" w:hint="eastAsia"/>
          <w:b/>
          <w:spacing w:val="-4"/>
          <w:sz w:val="21"/>
        </w:rPr>
        <w:t> 年内</w:t>
      </w:r>
      <w:r>
        <w:rPr>
          <w:rFonts w:ascii="黑体" w:eastAsia="黑体" w:hint="eastAsia"/>
          <w:b/>
          <w:spacing w:val="-2"/>
          <w:sz w:val="21"/>
        </w:rPr>
        <w:t>自杀，但被保险人自杀时为无民事行为能力人的除外；</w:t>
      </w:r>
    </w:p>
    <w:p>
      <w:pPr>
        <w:spacing w:line="235" w:lineRule="auto" w:before="0"/>
        <w:ind w:left="3293" w:right="0" w:firstLine="0"/>
        <w:jc w:val="both"/>
        <w:rPr>
          <w:rFonts w:ascii="黑体" w:eastAsia="黑体" w:hint="eastAsia"/>
          <w:b/>
          <w:sz w:val="21"/>
        </w:rPr>
      </w:pPr>
      <w:r>
        <w:rPr>
          <w:rFonts w:ascii="黑体" w:eastAsia="黑体" w:hint="eastAsia"/>
          <w:b/>
          <w:spacing w:val="-2"/>
          <w:sz w:val="21"/>
        </w:rPr>
        <w:t>(四) 被保险人服用、吸食或注射</w:t>
      </w:r>
      <w:r>
        <w:rPr>
          <w:rFonts w:ascii="黑体" w:eastAsia="黑体" w:hint="eastAsia"/>
          <w:b/>
          <w:spacing w:val="-149"/>
          <w:sz w:val="21"/>
        </w:rPr>
        <w:t>毒</w:t>
      </w:r>
      <w:r>
        <w:rPr>
          <w:spacing w:val="-63"/>
          <w:position w:val="-7"/>
          <w:sz w:val="21"/>
        </w:rPr>
        <w:t>．</w:t>
      </w:r>
      <w:r>
        <w:rPr>
          <w:rFonts w:ascii="黑体" w:eastAsia="黑体" w:hint="eastAsia"/>
          <w:b/>
          <w:spacing w:val="-149"/>
          <w:sz w:val="21"/>
        </w:rPr>
        <w:t>品</w:t>
      </w:r>
      <w:r>
        <w:rPr>
          <w:spacing w:val="-2"/>
          <w:position w:val="-7"/>
          <w:sz w:val="21"/>
        </w:rPr>
        <w:t>．</w:t>
      </w:r>
      <w:r>
        <w:rPr>
          <w:spacing w:val="-2"/>
          <w:sz w:val="21"/>
        </w:rPr>
        <w:t>（</w:t>
      </w:r>
      <w:r>
        <w:rPr>
          <w:spacing w:val="-28"/>
          <w:sz w:val="21"/>
        </w:rPr>
        <w:t>见 </w:t>
      </w:r>
      <w:r>
        <w:rPr>
          <w:spacing w:val="13"/>
          <w:sz w:val="21"/>
        </w:rPr>
        <w:t>10</w:t>
      </w:r>
      <w:r>
        <w:rPr>
          <w:spacing w:val="10"/>
          <w:sz w:val="21"/>
        </w:rPr>
        <w:t>.</w:t>
      </w:r>
      <w:r>
        <w:rPr>
          <w:spacing w:val="13"/>
          <w:sz w:val="21"/>
        </w:rPr>
        <w:t>15</w:t>
      </w:r>
      <w:r>
        <w:rPr>
          <w:spacing w:val="-95"/>
          <w:sz w:val="21"/>
        </w:rPr>
        <w:t>）</w:t>
      </w:r>
      <w:r>
        <w:rPr>
          <w:rFonts w:ascii="黑体" w:eastAsia="黑体" w:hint="eastAsia"/>
          <w:b/>
          <w:spacing w:val="13"/>
          <w:sz w:val="21"/>
        </w:rPr>
        <w:t>；</w:t>
      </w:r>
    </w:p>
    <w:p>
      <w:pPr>
        <w:spacing w:line="266" w:lineRule="auto" w:before="30"/>
        <w:ind w:left="3905" w:right="324" w:hanging="612"/>
        <w:jc w:val="both"/>
        <w:rPr>
          <w:rFonts w:ascii="黑体" w:eastAsia="黑体" w:hint="eastAsia"/>
          <w:b/>
          <w:sz w:val="21"/>
        </w:rPr>
      </w:pPr>
      <w:r>
        <w:rPr>
          <w:rFonts w:ascii="黑体" w:eastAsia="黑体" w:hint="eastAsia"/>
          <w:b/>
          <w:spacing w:val="-12"/>
          <w:sz w:val="21"/>
        </w:rPr>
        <w:t>(五) 被保险人</w:t>
      </w:r>
      <w:r>
        <w:rPr>
          <w:rFonts w:ascii="黑体" w:eastAsia="黑体" w:hint="eastAsia"/>
          <w:b/>
          <w:spacing w:val="-149"/>
          <w:sz w:val="21"/>
        </w:rPr>
        <w:t>酒</w:t>
      </w:r>
      <w:r>
        <w:rPr>
          <w:spacing w:val="-63"/>
          <w:position w:val="-7"/>
          <w:sz w:val="21"/>
        </w:rPr>
        <w:t>．</w:t>
      </w:r>
      <w:r>
        <w:rPr>
          <w:rFonts w:ascii="黑体" w:eastAsia="黑体" w:hint="eastAsia"/>
          <w:b/>
          <w:spacing w:val="-149"/>
          <w:sz w:val="21"/>
        </w:rPr>
        <w:t>后</w:t>
      </w:r>
      <w:r>
        <w:rPr>
          <w:spacing w:val="-63"/>
          <w:position w:val="-7"/>
          <w:sz w:val="21"/>
        </w:rPr>
        <w:t>．</w:t>
      </w:r>
      <w:r>
        <w:rPr>
          <w:rFonts w:ascii="黑体" w:eastAsia="黑体" w:hint="eastAsia"/>
          <w:b/>
          <w:spacing w:val="-149"/>
          <w:sz w:val="21"/>
        </w:rPr>
        <w:t>驾</w:t>
      </w:r>
      <w:r>
        <w:rPr>
          <w:spacing w:val="-63"/>
          <w:position w:val="-7"/>
          <w:sz w:val="21"/>
        </w:rPr>
        <w:t>．</w:t>
      </w:r>
      <w:r>
        <w:rPr>
          <w:rFonts w:ascii="黑体" w:eastAsia="黑体" w:hint="eastAsia"/>
          <w:b/>
          <w:spacing w:val="-149"/>
          <w:sz w:val="21"/>
        </w:rPr>
        <w:t>驶</w:t>
      </w:r>
      <w:r>
        <w:rPr>
          <w:spacing w:val="-10"/>
          <w:position w:val="-7"/>
          <w:sz w:val="21"/>
        </w:rPr>
        <w:t>．</w:t>
      </w:r>
      <w:r>
        <w:rPr>
          <w:spacing w:val="-10"/>
          <w:sz w:val="21"/>
        </w:rPr>
        <w:t>（</w:t>
      </w:r>
      <w:r>
        <w:rPr>
          <w:spacing w:val="-13"/>
          <w:sz w:val="21"/>
        </w:rPr>
        <w:t>见 </w:t>
      </w:r>
      <w:r>
        <w:rPr>
          <w:spacing w:val="6"/>
          <w:sz w:val="21"/>
        </w:rPr>
        <w:t>10</w:t>
      </w:r>
      <w:r>
        <w:rPr>
          <w:spacing w:val="9"/>
          <w:sz w:val="21"/>
        </w:rPr>
        <w:t>.</w:t>
      </w:r>
      <w:r>
        <w:rPr>
          <w:spacing w:val="8"/>
          <w:sz w:val="21"/>
        </w:rPr>
        <w:t>1</w:t>
      </w:r>
      <w:r>
        <w:rPr>
          <w:spacing w:val="9"/>
          <w:sz w:val="21"/>
        </w:rPr>
        <w:t>6</w:t>
      </w:r>
      <w:r>
        <w:rPr>
          <w:spacing w:val="-99"/>
          <w:sz w:val="21"/>
        </w:rPr>
        <w:t>）</w:t>
      </w:r>
      <w:r>
        <w:rPr>
          <w:rFonts w:ascii="黑体" w:eastAsia="黑体" w:hint="eastAsia"/>
          <w:b/>
          <w:spacing w:val="-80"/>
          <w:sz w:val="21"/>
        </w:rPr>
        <w:t>、无</w:t>
      </w:r>
      <w:r>
        <w:rPr>
          <w:spacing w:val="-63"/>
          <w:position w:val="-7"/>
          <w:sz w:val="21"/>
        </w:rPr>
        <w:t>．</w:t>
      </w:r>
      <w:r>
        <w:rPr>
          <w:rFonts w:ascii="黑体" w:eastAsia="黑体" w:hint="eastAsia"/>
          <w:b/>
          <w:spacing w:val="-149"/>
          <w:sz w:val="21"/>
        </w:rPr>
        <w:t>合</w:t>
      </w:r>
      <w:r>
        <w:rPr>
          <w:spacing w:val="-63"/>
          <w:position w:val="-7"/>
          <w:sz w:val="21"/>
        </w:rPr>
        <w:t>．</w:t>
      </w:r>
      <w:r>
        <w:rPr>
          <w:rFonts w:ascii="黑体" w:eastAsia="黑体" w:hint="eastAsia"/>
          <w:b/>
          <w:spacing w:val="-149"/>
          <w:sz w:val="21"/>
        </w:rPr>
        <w:t>法</w:t>
      </w:r>
      <w:r>
        <w:rPr>
          <w:spacing w:val="-63"/>
          <w:position w:val="-7"/>
          <w:sz w:val="21"/>
        </w:rPr>
        <w:t>．</w:t>
      </w:r>
      <w:r>
        <w:rPr>
          <w:rFonts w:ascii="黑体" w:eastAsia="黑体" w:hint="eastAsia"/>
          <w:b/>
          <w:spacing w:val="-149"/>
          <w:sz w:val="21"/>
        </w:rPr>
        <w:t>有</w:t>
      </w:r>
      <w:r>
        <w:rPr>
          <w:spacing w:val="-63"/>
          <w:position w:val="-7"/>
          <w:sz w:val="21"/>
        </w:rPr>
        <w:t>．</w:t>
      </w:r>
      <w:r>
        <w:rPr>
          <w:rFonts w:ascii="黑体" w:eastAsia="黑体" w:hint="eastAsia"/>
          <w:b/>
          <w:spacing w:val="-149"/>
          <w:sz w:val="21"/>
        </w:rPr>
        <w:t>效</w:t>
      </w:r>
      <w:r>
        <w:rPr>
          <w:spacing w:val="-63"/>
          <w:position w:val="-7"/>
          <w:sz w:val="21"/>
        </w:rPr>
        <w:t>．</w:t>
      </w:r>
      <w:r>
        <w:rPr>
          <w:rFonts w:ascii="黑体" w:eastAsia="黑体" w:hint="eastAsia"/>
          <w:b/>
          <w:spacing w:val="-149"/>
          <w:sz w:val="21"/>
        </w:rPr>
        <w:t>驾</w:t>
      </w:r>
      <w:r>
        <w:rPr>
          <w:spacing w:val="-63"/>
          <w:position w:val="-7"/>
          <w:sz w:val="21"/>
        </w:rPr>
        <w:t>．</w:t>
      </w:r>
      <w:r>
        <w:rPr>
          <w:rFonts w:ascii="黑体" w:eastAsia="黑体" w:hint="eastAsia"/>
          <w:b/>
          <w:spacing w:val="-149"/>
          <w:sz w:val="21"/>
        </w:rPr>
        <w:t>驶</w:t>
      </w:r>
      <w:r>
        <w:rPr>
          <w:spacing w:val="-63"/>
          <w:position w:val="-7"/>
          <w:sz w:val="21"/>
        </w:rPr>
        <w:t>．</w:t>
      </w:r>
      <w:r>
        <w:rPr>
          <w:rFonts w:ascii="黑体" w:eastAsia="黑体" w:hint="eastAsia"/>
          <w:b/>
          <w:spacing w:val="-151"/>
          <w:sz w:val="21"/>
        </w:rPr>
        <w:t>证</w:t>
      </w:r>
      <w:r>
        <w:rPr>
          <w:spacing w:val="-63"/>
          <w:position w:val="-7"/>
          <w:sz w:val="21"/>
        </w:rPr>
        <w:t>．</w:t>
      </w:r>
      <w:r>
        <w:rPr>
          <w:rFonts w:ascii="黑体" w:eastAsia="黑体" w:hint="eastAsia"/>
          <w:b/>
          <w:spacing w:val="-149"/>
          <w:sz w:val="21"/>
        </w:rPr>
        <w:t>驾</w:t>
      </w:r>
      <w:r>
        <w:rPr>
          <w:spacing w:val="-63"/>
          <w:position w:val="-7"/>
          <w:sz w:val="21"/>
        </w:rPr>
        <w:t>．</w:t>
      </w:r>
      <w:r>
        <w:rPr>
          <w:rFonts w:ascii="黑体" w:eastAsia="黑体" w:hint="eastAsia"/>
          <w:b/>
          <w:spacing w:val="-149"/>
          <w:sz w:val="21"/>
        </w:rPr>
        <w:t>驶</w:t>
      </w:r>
      <w:r>
        <w:rPr>
          <w:spacing w:val="-10"/>
          <w:position w:val="-7"/>
          <w:sz w:val="21"/>
        </w:rPr>
        <w:t>．</w:t>
      </w:r>
      <w:r>
        <w:rPr>
          <w:spacing w:val="-10"/>
          <w:sz w:val="21"/>
        </w:rPr>
        <w:t>（</w:t>
      </w:r>
      <w:r>
        <w:rPr>
          <w:spacing w:val="-13"/>
          <w:sz w:val="21"/>
        </w:rPr>
        <w:t>见 </w:t>
      </w:r>
      <w:r>
        <w:rPr>
          <w:spacing w:val="3"/>
          <w:sz w:val="21"/>
        </w:rPr>
        <w:t>1</w:t>
      </w:r>
      <w:r>
        <w:rPr>
          <w:spacing w:val="6"/>
          <w:sz w:val="21"/>
        </w:rPr>
        <w:t>0.</w:t>
      </w:r>
      <w:r>
        <w:rPr>
          <w:spacing w:val="5"/>
          <w:sz w:val="21"/>
        </w:rPr>
        <w:t>1</w:t>
      </w:r>
      <w:r>
        <w:rPr>
          <w:spacing w:val="3"/>
          <w:sz w:val="21"/>
        </w:rPr>
        <w:t>7</w:t>
      </w:r>
      <w:r>
        <w:rPr>
          <w:spacing w:val="-102"/>
          <w:sz w:val="21"/>
        </w:rPr>
        <w:t>）</w:t>
      </w:r>
      <w:r>
        <w:rPr>
          <w:rFonts w:ascii="黑体" w:eastAsia="黑体" w:hint="eastAsia"/>
          <w:b/>
          <w:spacing w:val="-2"/>
          <w:sz w:val="21"/>
        </w:rPr>
        <w:t>，或</w:t>
      </w:r>
      <w:r>
        <w:rPr>
          <w:rFonts w:ascii="黑体" w:eastAsia="黑体" w:hint="eastAsia"/>
          <w:b/>
          <w:spacing w:val="-52"/>
          <w:sz w:val="21"/>
        </w:rPr>
        <w:t>驾驶无</w:t>
      </w:r>
      <w:r>
        <w:rPr>
          <w:spacing w:val="-63"/>
          <w:position w:val="-7"/>
          <w:sz w:val="21"/>
        </w:rPr>
        <w:t>．</w:t>
      </w:r>
      <w:r>
        <w:rPr>
          <w:rFonts w:ascii="黑体" w:eastAsia="黑体" w:hint="eastAsia"/>
          <w:b/>
          <w:spacing w:val="-149"/>
          <w:sz w:val="21"/>
        </w:rPr>
        <w:t>合</w:t>
      </w:r>
      <w:r>
        <w:rPr>
          <w:spacing w:val="-63"/>
          <w:position w:val="-7"/>
          <w:sz w:val="21"/>
        </w:rPr>
        <w:t>．</w:t>
      </w:r>
      <w:r>
        <w:rPr>
          <w:rFonts w:ascii="黑体" w:eastAsia="黑体" w:hint="eastAsia"/>
          <w:b/>
          <w:spacing w:val="-149"/>
          <w:sz w:val="21"/>
        </w:rPr>
        <w:t>法</w:t>
      </w:r>
      <w:r>
        <w:rPr>
          <w:spacing w:val="-63"/>
          <w:position w:val="-7"/>
          <w:sz w:val="21"/>
        </w:rPr>
        <w:t>．</w:t>
      </w:r>
      <w:r>
        <w:rPr>
          <w:rFonts w:ascii="黑体" w:eastAsia="黑体" w:hint="eastAsia"/>
          <w:b/>
          <w:spacing w:val="-149"/>
          <w:sz w:val="21"/>
        </w:rPr>
        <w:t>有</w:t>
      </w:r>
      <w:r>
        <w:rPr>
          <w:spacing w:val="-63"/>
          <w:position w:val="-7"/>
          <w:sz w:val="21"/>
        </w:rPr>
        <w:t>．</w:t>
      </w:r>
      <w:r>
        <w:rPr>
          <w:rFonts w:ascii="黑体" w:eastAsia="黑体" w:hint="eastAsia"/>
          <w:b/>
          <w:spacing w:val="-149"/>
          <w:sz w:val="21"/>
        </w:rPr>
        <w:t>效</w:t>
      </w:r>
      <w:r>
        <w:rPr>
          <w:spacing w:val="-63"/>
          <w:position w:val="-7"/>
          <w:sz w:val="21"/>
        </w:rPr>
        <w:t>．</w:t>
      </w:r>
      <w:r>
        <w:rPr>
          <w:rFonts w:ascii="黑体" w:eastAsia="黑体" w:hint="eastAsia"/>
          <w:b/>
          <w:spacing w:val="-149"/>
          <w:sz w:val="21"/>
        </w:rPr>
        <w:t>行</w:t>
      </w:r>
      <w:r>
        <w:rPr>
          <w:spacing w:val="-63"/>
          <w:position w:val="-7"/>
          <w:sz w:val="21"/>
        </w:rPr>
        <w:t>．</w:t>
      </w:r>
      <w:r>
        <w:rPr>
          <w:rFonts w:ascii="黑体" w:eastAsia="黑体" w:hint="eastAsia"/>
          <w:b/>
          <w:spacing w:val="-152"/>
          <w:sz w:val="21"/>
        </w:rPr>
        <w:t>驶</w:t>
      </w:r>
      <w:r>
        <w:rPr>
          <w:spacing w:val="-63"/>
          <w:position w:val="-7"/>
          <w:sz w:val="21"/>
        </w:rPr>
        <w:t>．</w:t>
      </w:r>
      <w:r>
        <w:rPr>
          <w:rFonts w:ascii="黑体" w:eastAsia="黑体" w:hint="eastAsia"/>
          <w:b/>
          <w:spacing w:val="-149"/>
          <w:sz w:val="21"/>
        </w:rPr>
        <w:t>证</w:t>
      </w:r>
      <w:r>
        <w:rPr>
          <w:spacing w:val="-2"/>
          <w:position w:val="-7"/>
          <w:sz w:val="21"/>
        </w:rPr>
        <w:t>．</w:t>
      </w:r>
      <w:r>
        <w:rPr>
          <w:spacing w:val="-2"/>
          <w:sz w:val="21"/>
        </w:rPr>
        <w:t>（</w:t>
      </w:r>
      <w:r>
        <w:rPr>
          <w:spacing w:val="-28"/>
          <w:sz w:val="21"/>
        </w:rPr>
        <w:t>见 </w:t>
      </w:r>
      <w:r>
        <w:rPr>
          <w:spacing w:val="-2"/>
          <w:sz w:val="21"/>
        </w:rPr>
        <w:t>10.18）</w:t>
      </w:r>
      <w:r>
        <w:rPr>
          <w:rFonts w:ascii="黑体" w:eastAsia="黑体" w:hint="eastAsia"/>
          <w:b/>
          <w:spacing w:val="-76"/>
          <w:sz w:val="21"/>
        </w:rPr>
        <w:t>的机</w:t>
      </w:r>
      <w:r>
        <w:rPr>
          <w:spacing w:val="-63"/>
          <w:position w:val="-7"/>
          <w:sz w:val="21"/>
        </w:rPr>
        <w:t>．</w:t>
      </w:r>
      <w:r>
        <w:rPr>
          <w:rFonts w:ascii="黑体" w:eastAsia="黑体" w:hint="eastAsia"/>
          <w:b/>
          <w:spacing w:val="-149"/>
          <w:sz w:val="21"/>
        </w:rPr>
        <w:t>动</w:t>
      </w:r>
      <w:r>
        <w:rPr>
          <w:spacing w:val="-63"/>
          <w:position w:val="-7"/>
          <w:sz w:val="21"/>
        </w:rPr>
        <w:t>．</w:t>
      </w:r>
      <w:r>
        <w:rPr>
          <w:rFonts w:ascii="黑体" w:eastAsia="黑体" w:hint="eastAsia"/>
          <w:b/>
          <w:spacing w:val="-149"/>
          <w:sz w:val="21"/>
        </w:rPr>
        <w:t>车</w:t>
      </w:r>
      <w:r>
        <w:rPr>
          <w:spacing w:val="-2"/>
          <w:position w:val="-7"/>
          <w:sz w:val="21"/>
        </w:rPr>
        <w:t>．</w:t>
      </w:r>
      <w:r>
        <w:rPr>
          <w:spacing w:val="-2"/>
          <w:sz w:val="21"/>
        </w:rPr>
        <w:t>（</w:t>
      </w:r>
      <w:r>
        <w:rPr>
          <w:spacing w:val="-27"/>
          <w:sz w:val="21"/>
        </w:rPr>
        <w:t>见 </w:t>
      </w:r>
      <w:r>
        <w:rPr>
          <w:spacing w:val="11"/>
          <w:sz w:val="21"/>
        </w:rPr>
        <w:t>1</w:t>
      </w:r>
      <w:r>
        <w:rPr>
          <w:spacing w:val="14"/>
          <w:sz w:val="21"/>
        </w:rPr>
        <w:t>0</w:t>
      </w:r>
      <w:r>
        <w:rPr>
          <w:spacing w:val="13"/>
          <w:sz w:val="21"/>
        </w:rPr>
        <w:t>.</w:t>
      </w:r>
      <w:r>
        <w:rPr>
          <w:spacing w:val="14"/>
          <w:sz w:val="21"/>
        </w:rPr>
        <w:t>19</w:t>
      </w:r>
      <w:r>
        <w:rPr>
          <w:spacing w:val="-94"/>
          <w:sz w:val="21"/>
        </w:rPr>
        <w:t>）</w:t>
      </w:r>
      <w:r>
        <w:rPr>
          <w:rFonts w:ascii="黑体" w:eastAsia="黑体" w:hint="eastAsia"/>
          <w:b/>
          <w:spacing w:val="14"/>
          <w:sz w:val="21"/>
        </w:rPr>
        <w:t>；</w:t>
      </w:r>
    </w:p>
    <w:p>
      <w:pPr>
        <w:spacing w:line="268" w:lineRule="auto" w:before="4"/>
        <w:ind w:left="3905" w:right="322" w:hanging="612"/>
        <w:jc w:val="left"/>
        <w:rPr>
          <w:rFonts w:ascii="黑体" w:eastAsia="黑体" w:hint="eastAsia"/>
          <w:b/>
          <w:sz w:val="21"/>
        </w:rPr>
      </w:pPr>
      <w:r>
        <w:rPr>
          <w:rFonts w:ascii="黑体" w:eastAsia="黑体" w:hint="eastAsia"/>
          <w:b/>
          <w:spacing w:val="-8"/>
          <w:sz w:val="21"/>
        </w:rPr>
        <w:t>(六) 被保险人感染</w:t>
      </w:r>
      <w:r>
        <w:rPr>
          <w:rFonts w:ascii="黑体" w:eastAsia="黑体" w:hint="eastAsia"/>
          <w:b/>
          <w:spacing w:val="-149"/>
          <w:sz w:val="21"/>
        </w:rPr>
        <w:t>艾</w:t>
      </w:r>
      <w:r>
        <w:rPr>
          <w:spacing w:val="-63"/>
          <w:position w:val="-7"/>
          <w:sz w:val="21"/>
        </w:rPr>
        <w:t>．</w:t>
      </w:r>
      <w:r>
        <w:rPr>
          <w:rFonts w:ascii="黑体" w:eastAsia="黑体" w:hint="eastAsia"/>
          <w:b/>
          <w:spacing w:val="-149"/>
          <w:sz w:val="21"/>
        </w:rPr>
        <w:t>滋</w:t>
      </w:r>
      <w:r>
        <w:rPr>
          <w:spacing w:val="-63"/>
          <w:position w:val="-7"/>
          <w:sz w:val="21"/>
        </w:rPr>
        <w:t>．</w:t>
      </w:r>
      <w:r>
        <w:rPr>
          <w:rFonts w:ascii="黑体" w:eastAsia="黑体" w:hint="eastAsia"/>
          <w:b/>
          <w:spacing w:val="-152"/>
          <w:sz w:val="21"/>
        </w:rPr>
        <w:t>病</w:t>
      </w:r>
      <w:r>
        <w:rPr>
          <w:spacing w:val="-63"/>
          <w:position w:val="-7"/>
          <w:sz w:val="21"/>
        </w:rPr>
        <w:t>．</w:t>
      </w:r>
      <w:r>
        <w:rPr>
          <w:rFonts w:ascii="黑体" w:eastAsia="黑体" w:hint="eastAsia"/>
          <w:b/>
          <w:spacing w:val="-149"/>
          <w:sz w:val="21"/>
        </w:rPr>
        <w:t>病</w:t>
      </w:r>
      <w:r>
        <w:rPr>
          <w:spacing w:val="-63"/>
          <w:position w:val="-7"/>
          <w:sz w:val="21"/>
        </w:rPr>
        <w:t>．</w:t>
      </w:r>
      <w:r>
        <w:rPr>
          <w:rFonts w:ascii="黑体" w:eastAsia="黑体" w:hint="eastAsia"/>
          <w:b/>
          <w:spacing w:val="-151"/>
          <w:sz w:val="21"/>
        </w:rPr>
        <w:t>毒</w:t>
      </w:r>
      <w:r>
        <w:rPr>
          <w:spacing w:val="-8"/>
          <w:position w:val="-7"/>
          <w:sz w:val="21"/>
        </w:rPr>
        <w:t>．</w:t>
      </w:r>
      <w:r>
        <w:rPr>
          <w:spacing w:val="-8"/>
          <w:sz w:val="21"/>
        </w:rPr>
        <w:t>（</w:t>
      </w:r>
      <w:r>
        <w:rPr>
          <w:spacing w:val="-31"/>
          <w:sz w:val="21"/>
        </w:rPr>
        <w:t>见 </w:t>
      </w:r>
      <w:r>
        <w:rPr>
          <w:spacing w:val="-8"/>
          <w:sz w:val="21"/>
        </w:rPr>
        <w:t>10.20）</w:t>
      </w:r>
      <w:r>
        <w:rPr>
          <w:rFonts w:ascii="黑体" w:eastAsia="黑体" w:hint="eastAsia"/>
          <w:b/>
          <w:spacing w:val="-55"/>
          <w:sz w:val="21"/>
        </w:rPr>
        <w:t>或患艾</w:t>
      </w:r>
      <w:r>
        <w:rPr>
          <w:spacing w:val="-63"/>
          <w:position w:val="-7"/>
          <w:sz w:val="21"/>
        </w:rPr>
        <w:t>．</w:t>
      </w:r>
      <w:r>
        <w:rPr>
          <w:rFonts w:ascii="黑体" w:eastAsia="黑体" w:hint="eastAsia"/>
          <w:b/>
          <w:spacing w:val="-149"/>
          <w:sz w:val="21"/>
        </w:rPr>
        <w:t>滋</w:t>
      </w:r>
      <w:r>
        <w:rPr>
          <w:spacing w:val="-63"/>
          <w:position w:val="-7"/>
          <w:sz w:val="21"/>
        </w:rPr>
        <w:t>．</w:t>
      </w:r>
      <w:r>
        <w:rPr>
          <w:rFonts w:ascii="黑体" w:eastAsia="黑体" w:hint="eastAsia"/>
          <w:b/>
          <w:spacing w:val="-149"/>
          <w:sz w:val="21"/>
        </w:rPr>
        <w:t>病</w:t>
      </w:r>
      <w:r>
        <w:rPr>
          <w:spacing w:val="-8"/>
          <w:position w:val="-7"/>
          <w:sz w:val="21"/>
        </w:rPr>
        <w:t>．</w:t>
      </w:r>
      <w:r>
        <w:rPr>
          <w:spacing w:val="-8"/>
          <w:sz w:val="21"/>
        </w:rPr>
        <w:t>（</w:t>
      </w:r>
      <w:r>
        <w:rPr>
          <w:spacing w:val="-31"/>
          <w:sz w:val="21"/>
        </w:rPr>
        <w:t>见 </w:t>
      </w:r>
      <w:r>
        <w:rPr>
          <w:spacing w:val="11"/>
          <w:sz w:val="21"/>
        </w:rPr>
        <w:t>10</w:t>
      </w:r>
      <w:r>
        <w:rPr>
          <w:spacing w:val="8"/>
          <w:sz w:val="21"/>
        </w:rPr>
        <w:t>.</w:t>
      </w:r>
      <w:r>
        <w:rPr>
          <w:spacing w:val="11"/>
          <w:sz w:val="21"/>
        </w:rPr>
        <w:t>21</w:t>
      </w:r>
      <w:r>
        <w:rPr>
          <w:spacing w:val="-121"/>
          <w:sz w:val="21"/>
        </w:rPr>
        <w:t>）</w:t>
      </w:r>
      <w:r>
        <w:rPr>
          <w:spacing w:val="8"/>
          <w:sz w:val="21"/>
        </w:rPr>
        <w:t>（</w:t>
      </w:r>
      <w:r>
        <w:rPr>
          <w:rFonts w:ascii="黑体" w:eastAsia="黑体" w:hint="eastAsia"/>
          <w:b/>
          <w:spacing w:val="-8"/>
          <w:sz w:val="21"/>
        </w:rPr>
        <w:t>本合同约</w:t>
      </w:r>
      <w:r>
        <w:rPr>
          <w:rFonts w:ascii="黑体" w:eastAsia="黑体" w:hint="eastAsia"/>
          <w:b/>
          <w:spacing w:val="-2"/>
          <w:sz w:val="21"/>
        </w:rPr>
        <w:t>定的疾病除外</w:t>
      </w:r>
      <w:r>
        <w:rPr>
          <w:spacing w:val="-108"/>
          <w:sz w:val="21"/>
        </w:rPr>
        <w:t>）</w:t>
      </w:r>
      <w:r>
        <w:rPr>
          <w:rFonts w:ascii="黑体" w:eastAsia="黑体" w:hint="eastAsia"/>
          <w:b/>
          <w:sz w:val="21"/>
        </w:rPr>
        <w:t>；</w:t>
      </w:r>
    </w:p>
    <w:p>
      <w:pPr>
        <w:spacing w:before="11"/>
        <w:ind w:left="3293" w:right="0" w:firstLine="0"/>
        <w:jc w:val="left"/>
        <w:rPr>
          <w:rFonts w:ascii="黑体" w:eastAsia="黑体" w:hint="eastAsia"/>
          <w:b/>
          <w:sz w:val="21"/>
        </w:rPr>
      </w:pPr>
      <w:r>
        <w:rPr>
          <w:rFonts w:ascii="黑体" w:eastAsia="黑体" w:hint="eastAsia"/>
          <w:b/>
          <w:spacing w:val="-1"/>
          <w:sz w:val="21"/>
        </w:rPr>
        <w:t>(七) 战争、军事冲突、暴乱或武装叛乱；</w:t>
      </w:r>
    </w:p>
    <w:p>
      <w:pPr>
        <w:spacing w:before="43"/>
        <w:ind w:left="3293" w:right="0" w:firstLine="0"/>
        <w:jc w:val="left"/>
        <w:rPr>
          <w:rFonts w:ascii="黑体" w:eastAsia="黑体" w:hint="eastAsia"/>
          <w:b/>
          <w:sz w:val="21"/>
        </w:rPr>
      </w:pPr>
      <w:r>
        <w:rPr>
          <w:rFonts w:ascii="黑体" w:eastAsia="黑体" w:hint="eastAsia"/>
          <w:b/>
          <w:spacing w:val="-1"/>
          <w:sz w:val="21"/>
        </w:rPr>
        <w:t>(八) 核爆炸、核辐射或核污染；</w:t>
      </w:r>
    </w:p>
    <w:p>
      <w:pPr>
        <w:spacing w:line="271" w:lineRule="auto" w:before="40"/>
        <w:ind w:left="3905" w:right="324" w:hanging="612"/>
        <w:jc w:val="left"/>
        <w:rPr>
          <w:rFonts w:ascii="黑体" w:eastAsia="黑体" w:hint="eastAsia"/>
          <w:b/>
          <w:sz w:val="21"/>
        </w:rPr>
      </w:pPr>
      <w:r>
        <w:rPr>
          <w:rFonts w:ascii="黑体" w:eastAsia="黑体" w:hint="eastAsia"/>
          <w:b/>
          <w:spacing w:val="-5"/>
          <w:sz w:val="21"/>
        </w:rPr>
        <w:t>(九) </w:t>
      </w:r>
      <w:r>
        <w:rPr>
          <w:rFonts w:ascii="黑体" w:eastAsia="黑体" w:hint="eastAsia"/>
          <w:b/>
          <w:spacing w:val="-149"/>
          <w:sz w:val="21"/>
        </w:rPr>
        <w:t>遗</w:t>
      </w:r>
      <w:r>
        <w:rPr>
          <w:spacing w:val="-63"/>
          <w:position w:val="-7"/>
          <w:sz w:val="21"/>
        </w:rPr>
        <w:t>．</w:t>
      </w:r>
      <w:r>
        <w:rPr>
          <w:rFonts w:ascii="黑体" w:eastAsia="黑体" w:hint="eastAsia"/>
          <w:b/>
          <w:spacing w:val="-149"/>
          <w:sz w:val="21"/>
        </w:rPr>
        <w:t>传</w:t>
      </w:r>
      <w:r>
        <w:rPr>
          <w:spacing w:val="-63"/>
          <w:position w:val="-7"/>
          <w:sz w:val="21"/>
        </w:rPr>
        <w:t>．</w:t>
      </w:r>
      <w:r>
        <w:rPr>
          <w:rFonts w:ascii="黑体" w:eastAsia="黑体" w:hint="eastAsia"/>
          <w:b/>
          <w:spacing w:val="-149"/>
          <w:sz w:val="21"/>
        </w:rPr>
        <w:t>性</w:t>
      </w:r>
      <w:r>
        <w:rPr>
          <w:spacing w:val="-63"/>
          <w:position w:val="-7"/>
          <w:sz w:val="21"/>
        </w:rPr>
        <w:t>．</w:t>
      </w:r>
      <w:r>
        <w:rPr>
          <w:rFonts w:ascii="黑体" w:eastAsia="黑体" w:hint="eastAsia"/>
          <w:b/>
          <w:spacing w:val="-149"/>
          <w:sz w:val="21"/>
        </w:rPr>
        <w:t>疾</w:t>
      </w:r>
      <w:r>
        <w:rPr>
          <w:spacing w:val="-63"/>
          <w:position w:val="-7"/>
          <w:sz w:val="21"/>
        </w:rPr>
        <w:t>．</w:t>
      </w:r>
      <w:r>
        <w:rPr>
          <w:rFonts w:ascii="黑体" w:eastAsia="黑体" w:hint="eastAsia"/>
          <w:b/>
          <w:spacing w:val="-149"/>
          <w:sz w:val="21"/>
        </w:rPr>
        <w:t>病</w:t>
      </w:r>
      <w:r>
        <w:rPr>
          <w:spacing w:val="-104"/>
          <w:position w:val="-7"/>
          <w:sz w:val="21"/>
        </w:rPr>
        <w:t>．</w:t>
      </w:r>
      <w:r>
        <w:rPr>
          <w:spacing w:val="-3"/>
          <w:sz w:val="21"/>
        </w:rPr>
        <w:t>（</w:t>
      </w:r>
      <w:r>
        <w:rPr>
          <w:spacing w:val="-33"/>
          <w:sz w:val="21"/>
        </w:rPr>
        <w:t>见 </w:t>
      </w:r>
      <w:r>
        <w:rPr>
          <w:spacing w:val="3"/>
          <w:sz w:val="21"/>
        </w:rPr>
        <w:t>1</w:t>
      </w:r>
      <w:r>
        <w:rPr>
          <w:spacing w:val="6"/>
          <w:sz w:val="21"/>
        </w:rPr>
        <w:t>0.2</w:t>
      </w:r>
      <w:r>
        <w:rPr>
          <w:spacing w:val="3"/>
          <w:sz w:val="21"/>
        </w:rPr>
        <w:t>2</w:t>
      </w:r>
      <w:r>
        <w:rPr>
          <w:spacing w:val="-100"/>
          <w:sz w:val="21"/>
        </w:rPr>
        <w:t>）</w:t>
      </w:r>
      <w:r>
        <w:rPr>
          <w:rFonts w:ascii="黑体" w:eastAsia="黑体" w:hint="eastAsia"/>
          <w:b/>
          <w:spacing w:val="-81"/>
          <w:sz w:val="21"/>
        </w:rPr>
        <w:t>、先</w:t>
      </w:r>
      <w:r>
        <w:rPr>
          <w:spacing w:val="-63"/>
          <w:position w:val="-7"/>
          <w:sz w:val="21"/>
        </w:rPr>
        <w:t>．</w:t>
      </w:r>
      <w:r>
        <w:rPr>
          <w:rFonts w:ascii="黑体" w:eastAsia="黑体" w:hint="eastAsia"/>
          <w:b/>
          <w:spacing w:val="-149"/>
          <w:sz w:val="21"/>
        </w:rPr>
        <w:t>天</w:t>
      </w:r>
      <w:r>
        <w:rPr>
          <w:spacing w:val="-63"/>
          <w:position w:val="-7"/>
          <w:sz w:val="21"/>
        </w:rPr>
        <w:t>．</w:t>
      </w:r>
      <w:r>
        <w:rPr>
          <w:rFonts w:ascii="黑体" w:eastAsia="黑体" w:hint="eastAsia"/>
          <w:b/>
          <w:spacing w:val="-149"/>
          <w:sz w:val="21"/>
        </w:rPr>
        <w:t>性</w:t>
      </w:r>
      <w:r>
        <w:rPr>
          <w:spacing w:val="-63"/>
          <w:position w:val="-7"/>
          <w:sz w:val="21"/>
        </w:rPr>
        <w:t>．</w:t>
      </w:r>
      <w:r>
        <w:rPr>
          <w:rFonts w:ascii="黑体" w:eastAsia="黑体" w:hint="eastAsia"/>
          <w:b/>
          <w:spacing w:val="-149"/>
          <w:sz w:val="21"/>
        </w:rPr>
        <w:t>畸</w:t>
      </w:r>
      <w:r>
        <w:rPr>
          <w:spacing w:val="-63"/>
          <w:position w:val="-7"/>
          <w:sz w:val="21"/>
        </w:rPr>
        <w:t>．</w:t>
      </w:r>
      <w:r>
        <w:rPr>
          <w:rFonts w:ascii="黑体" w:eastAsia="黑体" w:hint="eastAsia"/>
          <w:b/>
          <w:spacing w:val="-149"/>
          <w:sz w:val="21"/>
        </w:rPr>
        <w:t>形</w:t>
      </w:r>
      <w:r>
        <w:rPr>
          <w:spacing w:val="-63"/>
          <w:position w:val="-7"/>
          <w:sz w:val="21"/>
        </w:rPr>
        <w:t>．</w:t>
      </w:r>
      <w:r>
        <w:rPr>
          <w:rFonts w:ascii="黑体" w:eastAsia="黑体" w:hint="eastAsia"/>
          <w:b/>
          <w:spacing w:val="-81"/>
          <w:sz w:val="21"/>
        </w:rPr>
        <w:t>、变</w:t>
      </w:r>
      <w:r>
        <w:rPr>
          <w:spacing w:val="-63"/>
          <w:position w:val="-7"/>
          <w:sz w:val="21"/>
        </w:rPr>
        <w:t>．</w:t>
      </w:r>
      <w:r>
        <w:rPr>
          <w:rFonts w:ascii="黑体" w:eastAsia="黑体" w:hint="eastAsia"/>
          <w:b/>
          <w:spacing w:val="-149"/>
          <w:sz w:val="21"/>
        </w:rPr>
        <w:t>形</w:t>
      </w:r>
      <w:r>
        <w:rPr>
          <w:spacing w:val="-63"/>
          <w:position w:val="-7"/>
          <w:sz w:val="21"/>
        </w:rPr>
        <w:t>．</w:t>
      </w:r>
      <w:r>
        <w:rPr>
          <w:rFonts w:ascii="黑体" w:eastAsia="黑体" w:hint="eastAsia"/>
          <w:b/>
          <w:spacing w:val="-149"/>
          <w:sz w:val="21"/>
        </w:rPr>
        <w:t>或</w:t>
      </w:r>
      <w:r>
        <w:rPr>
          <w:spacing w:val="-63"/>
          <w:position w:val="-7"/>
          <w:sz w:val="21"/>
        </w:rPr>
        <w:t>．</w:t>
      </w:r>
      <w:r>
        <w:rPr>
          <w:rFonts w:ascii="黑体" w:eastAsia="黑体" w:hint="eastAsia"/>
          <w:b/>
          <w:spacing w:val="-149"/>
          <w:sz w:val="21"/>
        </w:rPr>
        <w:t>染</w:t>
      </w:r>
      <w:r>
        <w:rPr>
          <w:spacing w:val="-63"/>
          <w:position w:val="-7"/>
          <w:sz w:val="21"/>
        </w:rPr>
        <w:t>．</w:t>
      </w:r>
      <w:r>
        <w:rPr>
          <w:rFonts w:ascii="黑体" w:eastAsia="黑体" w:hint="eastAsia"/>
          <w:b/>
          <w:spacing w:val="-151"/>
          <w:sz w:val="21"/>
        </w:rPr>
        <w:t>色</w:t>
      </w:r>
      <w:r>
        <w:rPr>
          <w:spacing w:val="-63"/>
          <w:position w:val="-7"/>
          <w:sz w:val="21"/>
        </w:rPr>
        <w:t>．</w:t>
      </w:r>
      <w:r>
        <w:rPr>
          <w:rFonts w:ascii="黑体" w:eastAsia="黑体" w:hint="eastAsia"/>
          <w:b/>
          <w:spacing w:val="-149"/>
          <w:sz w:val="21"/>
        </w:rPr>
        <w:t>体</w:t>
      </w:r>
      <w:r>
        <w:rPr>
          <w:spacing w:val="-63"/>
          <w:position w:val="-7"/>
          <w:sz w:val="21"/>
        </w:rPr>
        <w:t>．</w:t>
      </w:r>
      <w:r>
        <w:rPr>
          <w:rFonts w:ascii="黑体" w:eastAsia="黑体" w:hint="eastAsia"/>
          <w:b/>
          <w:spacing w:val="-149"/>
          <w:sz w:val="21"/>
        </w:rPr>
        <w:t>异</w:t>
      </w:r>
      <w:r>
        <w:rPr>
          <w:spacing w:val="-63"/>
          <w:position w:val="-7"/>
          <w:sz w:val="21"/>
        </w:rPr>
        <w:t>．</w:t>
      </w:r>
      <w:r>
        <w:rPr>
          <w:rFonts w:ascii="黑体" w:eastAsia="黑体" w:hint="eastAsia"/>
          <w:b/>
          <w:spacing w:val="-149"/>
          <w:sz w:val="21"/>
        </w:rPr>
        <w:t>常</w:t>
      </w:r>
      <w:r>
        <w:rPr>
          <w:spacing w:val="-104"/>
          <w:position w:val="-7"/>
          <w:sz w:val="21"/>
        </w:rPr>
        <w:t>．</w:t>
      </w:r>
      <w:r>
        <w:rPr>
          <w:spacing w:val="-3"/>
          <w:sz w:val="21"/>
        </w:rPr>
        <w:t>（</w:t>
      </w:r>
      <w:r>
        <w:rPr>
          <w:spacing w:val="-33"/>
          <w:sz w:val="21"/>
        </w:rPr>
        <w:t>见 </w:t>
      </w:r>
      <w:r>
        <w:rPr>
          <w:spacing w:val="10"/>
          <w:sz w:val="21"/>
        </w:rPr>
        <w:t>1</w:t>
      </w:r>
      <w:r>
        <w:rPr>
          <w:spacing w:val="7"/>
          <w:sz w:val="21"/>
        </w:rPr>
        <w:t>0</w:t>
      </w:r>
      <w:r>
        <w:rPr>
          <w:spacing w:val="10"/>
          <w:sz w:val="21"/>
        </w:rPr>
        <w:t>.23</w:t>
      </w:r>
      <w:r>
        <w:rPr>
          <w:spacing w:val="-139"/>
          <w:sz w:val="21"/>
        </w:rPr>
        <w:t>）</w:t>
      </w:r>
      <w:r>
        <w:rPr>
          <w:spacing w:val="5"/>
          <w:sz w:val="21"/>
        </w:rPr>
        <w:t>（</w:t>
      </w:r>
      <w:r>
        <w:rPr>
          <w:rFonts w:ascii="黑体" w:eastAsia="黑体" w:hint="eastAsia"/>
          <w:b/>
          <w:spacing w:val="-12"/>
          <w:sz w:val="21"/>
        </w:rPr>
        <w:t>本</w:t>
      </w:r>
      <w:r>
        <w:rPr>
          <w:rFonts w:ascii="黑体" w:eastAsia="黑体" w:hint="eastAsia"/>
          <w:b/>
          <w:spacing w:val="-2"/>
          <w:sz w:val="21"/>
        </w:rPr>
        <w:t>合同约定的疾病除外</w:t>
      </w:r>
      <w:r>
        <w:rPr>
          <w:spacing w:val="-108"/>
          <w:sz w:val="21"/>
        </w:rPr>
        <w:t>）</w:t>
      </w:r>
      <w:r>
        <w:rPr>
          <w:rFonts w:ascii="黑体" w:eastAsia="黑体" w:hint="eastAsia"/>
          <w:b/>
          <w:spacing w:val="-2"/>
          <w:sz w:val="21"/>
        </w:rPr>
        <w:t>。</w:t>
      </w:r>
    </w:p>
    <w:p>
      <w:pPr>
        <w:spacing w:line="278" w:lineRule="auto" w:before="8"/>
        <w:ind w:left="3081" w:right="322" w:firstLine="423"/>
        <w:jc w:val="both"/>
        <w:rPr>
          <w:rFonts w:ascii="黑体" w:hAnsi="黑体" w:eastAsia="黑体" w:hint="eastAsia"/>
          <w:b/>
          <w:sz w:val="21"/>
        </w:rPr>
      </w:pPr>
      <w:r>
        <w:rPr>
          <w:rFonts w:ascii="黑体" w:hAnsi="黑体" w:eastAsia="黑体" w:hint="eastAsia"/>
          <w:b/>
          <w:spacing w:val="-2"/>
          <w:sz w:val="21"/>
        </w:rPr>
        <w:t>发生上述第（一）项情形导致被保险人患本合同约定的重大疾病、轻症疾病</w:t>
      </w:r>
      <w:r>
        <w:rPr>
          <w:rFonts w:ascii="黑体" w:hAnsi="黑体" w:eastAsia="黑体" w:hint="eastAsia"/>
          <w:b/>
          <w:spacing w:val="-2"/>
          <w:sz w:val="21"/>
        </w:rPr>
        <w:t>或“恶性肿瘤——重度”的，本合同效力终止，我们向其他权利人退还本合同当</w:t>
      </w:r>
      <w:r>
        <w:rPr>
          <w:rFonts w:ascii="黑体" w:hAnsi="黑体" w:eastAsia="黑体" w:hint="eastAsia"/>
          <w:b/>
          <w:spacing w:val="-2"/>
          <w:sz w:val="21"/>
        </w:rPr>
        <w:t>时的现金价值，其他权利人按照被保险人、被保险人第一顺序法定继承人、第二</w:t>
      </w:r>
      <w:r>
        <w:rPr>
          <w:rFonts w:ascii="黑体" w:hAnsi="黑体" w:eastAsia="黑体" w:hint="eastAsia"/>
          <w:b/>
          <w:spacing w:val="-2"/>
          <w:sz w:val="21"/>
        </w:rPr>
        <w:t>顺序法定继承人的顺序确定。</w:t>
      </w:r>
    </w:p>
    <w:p>
      <w:pPr>
        <w:spacing w:line="278" w:lineRule="auto" w:before="0"/>
        <w:ind w:left="3081" w:right="324" w:firstLine="423"/>
        <w:jc w:val="both"/>
        <w:rPr>
          <w:rFonts w:ascii="黑体" w:hAnsi="黑体" w:eastAsia="黑体" w:hint="eastAsia"/>
          <w:b/>
          <w:sz w:val="21"/>
        </w:rPr>
      </w:pPr>
      <w:r>
        <w:rPr>
          <w:rFonts w:ascii="黑体" w:hAnsi="黑体" w:eastAsia="黑体" w:hint="eastAsia"/>
          <w:b/>
          <w:spacing w:val="-2"/>
          <w:sz w:val="21"/>
        </w:rPr>
        <w:t>发生上述第（二）至（九）项情形导致被保险人患本合同约定的重大疾病、轻症疾病或“恶性肿瘤——重度”的，本合同效力终止，我们向您退还本合同当</w:t>
      </w:r>
      <w:r>
        <w:rPr>
          <w:rFonts w:ascii="黑体" w:hAnsi="黑体" w:eastAsia="黑体" w:hint="eastAsia"/>
          <w:b/>
          <w:spacing w:val="-2"/>
          <w:sz w:val="21"/>
        </w:rPr>
        <w:t>时的现金价值。</w:t>
      </w:r>
    </w:p>
    <w:p>
      <w:pPr>
        <w:pStyle w:val="BodyText"/>
        <w:spacing w:before="4"/>
        <w:rPr>
          <w:rFonts w:ascii="黑体"/>
          <w:b/>
          <w:sz w:val="24"/>
        </w:rPr>
      </w:pPr>
    </w:p>
    <w:p>
      <w:pPr>
        <w:spacing w:before="0"/>
        <w:ind w:left="3081" w:right="0" w:firstLine="0"/>
        <w:jc w:val="left"/>
        <w:rPr>
          <w:rFonts w:ascii="黑体" w:eastAsia="黑体" w:hint="eastAsia"/>
          <w:b/>
          <w:sz w:val="21"/>
        </w:rPr>
      </w:pPr>
      <w:r>
        <w:rPr>
          <w:rFonts w:ascii="黑体" w:eastAsia="黑体" w:hint="eastAsia"/>
          <w:b/>
          <w:spacing w:val="-3"/>
          <w:sz w:val="21"/>
        </w:rPr>
        <w:t>二、因下列情形之一，导致被保险人身故的，我们不承担给付身故保险金的责任：</w:t>
      </w:r>
    </w:p>
    <w:p>
      <w:pPr>
        <w:spacing w:before="43"/>
        <w:ind w:left="3293" w:right="0" w:firstLine="0"/>
        <w:jc w:val="left"/>
        <w:rPr>
          <w:rFonts w:ascii="黑体" w:eastAsia="黑体" w:hint="eastAsia"/>
          <w:b/>
          <w:sz w:val="21"/>
        </w:rPr>
      </w:pPr>
      <w:r>
        <w:rPr>
          <w:rFonts w:ascii="黑体" w:eastAsia="黑体" w:hint="eastAsia"/>
          <w:b/>
          <w:spacing w:val="-1"/>
          <w:sz w:val="21"/>
        </w:rPr>
        <w:t>(一) 投保人对被保险人的故意杀害、故意伤害；</w:t>
      </w:r>
    </w:p>
    <w:p>
      <w:pPr>
        <w:spacing w:before="43"/>
        <w:ind w:left="3293" w:right="0" w:firstLine="0"/>
        <w:jc w:val="left"/>
        <w:rPr>
          <w:rFonts w:ascii="黑体" w:eastAsia="黑体" w:hint="eastAsia"/>
          <w:b/>
          <w:sz w:val="21"/>
        </w:rPr>
      </w:pPr>
      <w:r>
        <w:rPr>
          <w:rFonts w:ascii="黑体" w:eastAsia="黑体" w:hint="eastAsia"/>
          <w:b/>
          <w:spacing w:val="-1"/>
          <w:sz w:val="21"/>
        </w:rPr>
        <w:t>(二) 被保险人故意犯罪或抗拒依法采取的刑事强制措施；</w:t>
      </w:r>
    </w:p>
    <w:p>
      <w:pPr>
        <w:spacing w:before="43"/>
        <w:ind w:left="3293" w:right="0" w:firstLine="0"/>
        <w:jc w:val="left"/>
        <w:rPr>
          <w:rFonts w:ascii="黑体" w:eastAsia="黑体" w:hint="eastAsia"/>
          <w:b/>
          <w:sz w:val="21"/>
        </w:rPr>
      </w:pPr>
      <w:r>
        <w:rPr>
          <w:rFonts w:ascii="黑体" w:eastAsia="黑体" w:hint="eastAsia"/>
          <w:b/>
          <w:spacing w:val="-1"/>
          <w:sz w:val="21"/>
        </w:rPr>
        <w:t>(三) 被保险人自本主险合同成立或者合同效力恢复之日起 </w:t>
      </w:r>
      <w:r>
        <w:rPr>
          <w:rFonts w:ascii="黑体" w:eastAsia="黑体" w:hint="eastAsia"/>
          <w:b/>
          <w:sz w:val="21"/>
        </w:rPr>
        <w:t>2</w:t>
      </w:r>
      <w:r>
        <w:rPr>
          <w:rFonts w:ascii="黑体" w:eastAsia="黑体" w:hint="eastAsia"/>
          <w:b/>
          <w:spacing w:val="-4"/>
          <w:sz w:val="21"/>
        </w:rPr>
        <w:t> 年内自杀，但被</w:t>
      </w:r>
    </w:p>
    <w:p>
      <w:pPr>
        <w:spacing w:after="0"/>
        <w:jc w:val="left"/>
        <w:rPr>
          <w:rFonts w:ascii="黑体" w:eastAsia="黑体" w:hint="eastAsia"/>
          <w:sz w:val="21"/>
        </w:rPr>
        <w:sectPr>
          <w:type w:val="continuous"/>
          <w:pgSz w:w="11910" w:h="16840"/>
          <w:pgMar w:header="0" w:footer="655" w:top="140" w:bottom="280" w:left="560" w:right="480"/>
        </w:sectPr>
      </w:pPr>
    </w:p>
    <w:p>
      <w:pPr>
        <w:spacing w:before="58"/>
        <w:ind w:left="3905" w:right="0" w:firstLine="0"/>
        <w:jc w:val="left"/>
        <w:rPr>
          <w:rFonts w:ascii="黑体" w:eastAsia="黑体" w:hint="eastAsia"/>
          <w:b/>
          <w:sz w:val="21"/>
        </w:rPr>
      </w:pPr>
      <w:r>
        <w:rPr>
          <w:rFonts w:ascii="黑体" w:eastAsia="黑体" w:hint="eastAsia"/>
          <w:b/>
          <w:spacing w:val="-3"/>
          <w:sz w:val="21"/>
        </w:rPr>
        <w:t>保险人自杀时为无民事行为能力人的除外；</w:t>
      </w:r>
    </w:p>
    <w:p>
      <w:pPr>
        <w:spacing w:before="43"/>
        <w:ind w:left="3293" w:right="0" w:firstLine="0"/>
        <w:jc w:val="left"/>
        <w:rPr>
          <w:rFonts w:ascii="黑体" w:eastAsia="黑体" w:hint="eastAsia"/>
          <w:b/>
          <w:sz w:val="21"/>
        </w:rPr>
      </w:pPr>
      <w:r>
        <w:rPr>
          <w:rFonts w:ascii="黑体" w:eastAsia="黑体" w:hint="eastAsia"/>
          <w:b/>
          <w:spacing w:val="-1"/>
          <w:sz w:val="21"/>
        </w:rPr>
        <w:t>(四) 被保险人主动吸食或注射毒品；</w:t>
      </w:r>
    </w:p>
    <w:p>
      <w:pPr>
        <w:spacing w:line="278" w:lineRule="auto" w:before="43"/>
        <w:ind w:left="3905" w:right="326" w:hanging="612"/>
        <w:jc w:val="left"/>
        <w:rPr>
          <w:rFonts w:ascii="黑体" w:eastAsia="黑体" w:hint="eastAsia"/>
          <w:b/>
          <w:sz w:val="21"/>
        </w:rPr>
      </w:pPr>
      <w:r>
        <w:rPr>
          <w:rFonts w:ascii="黑体" w:eastAsia="黑体" w:hint="eastAsia"/>
          <w:b/>
          <w:sz w:val="21"/>
        </w:rPr>
        <w:t>(五) 被保险人酒后驾驶、无合法有效驾驶证驾驶，或驾驶无合法有效行驶证</w:t>
      </w:r>
      <w:r>
        <w:rPr>
          <w:rFonts w:ascii="黑体" w:eastAsia="黑体" w:hint="eastAsia"/>
          <w:b/>
          <w:spacing w:val="-4"/>
          <w:sz w:val="21"/>
        </w:rPr>
        <w:t>的机动车；</w:t>
      </w:r>
    </w:p>
    <w:p>
      <w:pPr>
        <w:spacing w:line="269" w:lineRule="exact" w:before="0"/>
        <w:ind w:left="3293" w:right="0" w:firstLine="0"/>
        <w:jc w:val="left"/>
        <w:rPr>
          <w:rFonts w:ascii="黑体" w:eastAsia="黑体" w:hint="eastAsia"/>
          <w:b/>
          <w:sz w:val="21"/>
        </w:rPr>
      </w:pPr>
      <w:r>
        <w:rPr>
          <w:rFonts w:ascii="黑体" w:eastAsia="黑体" w:hint="eastAsia"/>
          <w:b/>
          <w:spacing w:val="-1"/>
          <w:sz w:val="21"/>
        </w:rPr>
        <w:t>(六) 战争、军事冲突、暴乱或武装叛乱；</w:t>
      </w:r>
    </w:p>
    <w:p>
      <w:pPr>
        <w:spacing w:before="43"/>
        <w:ind w:left="3293" w:right="0" w:firstLine="0"/>
        <w:jc w:val="left"/>
        <w:rPr>
          <w:rFonts w:ascii="黑体" w:eastAsia="黑体" w:hint="eastAsia"/>
          <w:b/>
          <w:sz w:val="21"/>
        </w:rPr>
      </w:pPr>
      <w:r>
        <w:rPr>
          <w:rFonts w:ascii="黑体" w:eastAsia="黑体" w:hint="eastAsia"/>
          <w:b/>
          <w:spacing w:val="-1"/>
          <w:sz w:val="21"/>
        </w:rPr>
        <w:t>(七) 核爆炸、核辐射或核污染。</w:t>
      </w:r>
    </w:p>
    <w:p>
      <w:pPr>
        <w:spacing w:line="278" w:lineRule="auto" w:before="43"/>
        <w:ind w:left="3081" w:right="325" w:firstLine="423"/>
        <w:jc w:val="both"/>
        <w:rPr>
          <w:rFonts w:ascii="黑体" w:eastAsia="黑体" w:hint="eastAsia"/>
          <w:b/>
          <w:sz w:val="21"/>
        </w:rPr>
      </w:pPr>
      <w:r>
        <w:rPr>
          <w:rFonts w:ascii="黑体" w:eastAsia="黑体" w:hint="eastAsia"/>
          <w:b/>
          <w:spacing w:val="-2"/>
          <w:sz w:val="21"/>
        </w:rPr>
        <w:t>发生上述第（一）项情形导致被保险人身故的，本合同效力终止，我们向其</w:t>
      </w:r>
      <w:r>
        <w:rPr>
          <w:rFonts w:ascii="黑体" w:eastAsia="黑体" w:hint="eastAsia"/>
          <w:b/>
          <w:spacing w:val="-2"/>
          <w:sz w:val="21"/>
        </w:rPr>
        <w:t>他权利人退还本合同当时的现金价值，其他权利人按照被保险人第一顺序法定继</w:t>
      </w:r>
      <w:r>
        <w:rPr>
          <w:rFonts w:ascii="黑体" w:eastAsia="黑体" w:hint="eastAsia"/>
          <w:b/>
          <w:spacing w:val="-2"/>
          <w:sz w:val="21"/>
        </w:rPr>
        <w:t>承人、第二顺序法定继承人的顺序确定。</w:t>
      </w:r>
    </w:p>
    <w:p>
      <w:pPr>
        <w:spacing w:line="278" w:lineRule="auto" w:before="0"/>
        <w:ind w:left="3081" w:right="325" w:firstLine="423"/>
        <w:jc w:val="left"/>
        <w:rPr>
          <w:rFonts w:ascii="黑体" w:eastAsia="黑体" w:hint="eastAsia"/>
          <w:b/>
          <w:sz w:val="21"/>
        </w:rPr>
      </w:pPr>
      <w:r>
        <w:rPr>
          <w:rFonts w:ascii="黑体" w:eastAsia="黑体" w:hint="eastAsia"/>
          <w:b/>
          <w:spacing w:val="-2"/>
          <w:sz w:val="21"/>
        </w:rPr>
        <w:t>发生上述第（二）至（七）项情形导致被保险人身故的，本合同效力终止，</w:t>
      </w:r>
      <w:r>
        <w:rPr>
          <w:rFonts w:ascii="黑体" w:eastAsia="黑体" w:hint="eastAsia"/>
          <w:b/>
          <w:spacing w:val="-2"/>
          <w:sz w:val="21"/>
        </w:rPr>
        <w:t>我们向您退还本合同当时的现金价值。</w:t>
      </w:r>
    </w:p>
    <w:p>
      <w:pPr>
        <w:pStyle w:val="BodyText"/>
        <w:spacing w:before="4"/>
        <w:rPr>
          <w:rFonts w:ascii="黑体"/>
          <w:b/>
          <w:sz w:val="20"/>
        </w:rPr>
      </w:pPr>
    </w:p>
    <w:p>
      <w:pPr>
        <w:pStyle w:val="ListParagraph"/>
        <w:numPr>
          <w:ilvl w:val="1"/>
          <w:numId w:val="4"/>
        </w:numPr>
        <w:tabs>
          <w:tab w:pos="1133" w:val="left" w:leader="none"/>
        </w:tabs>
        <w:spacing w:line="278" w:lineRule="auto" w:before="1" w:after="0"/>
        <w:ind w:left="3081" w:right="322" w:hanging="2852"/>
        <w:jc w:val="both"/>
        <w:rPr>
          <w:sz w:val="21"/>
        </w:rPr>
      </w:pPr>
      <w:r>
        <w:rPr>
          <w:b/>
          <w:spacing w:val="20"/>
          <w:sz w:val="21"/>
        </w:rPr>
        <w:t>其他免责条款  </w:t>
      </w:r>
      <w:r>
        <w:rPr>
          <w:sz w:val="21"/>
        </w:rPr>
        <w:t>除“2.4</w:t>
      </w:r>
      <w:r>
        <w:rPr>
          <w:spacing w:val="-6"/>
          <w:sz w:val="21"/>
        </w:rPr>
        <w:t> 责任免除”外，本主险合同中还有一些免除保险人责任的条款，详见</w:t>
      </w:r>
      <w:r>
        <w:rPr>
          <w:sz w:val="21"/>
        </w:rPr>
        <w:t>“1.4</w:t>
      </w:r>
      <w:r>
        <w:rPr>
          <w:w w:val="95"/>
          <w:sz w:val="21"/>
        </w:rPr>
        <w:t>犹</w:t>
      </w:r>
      <w:r>
        <w:rPr>
          <w:w w:val="95"/>
          <w:sz w:val="21"/>
        </w:rPr>
        <w:t>豫</w:t>
      </w:r>
      <w:r>
        <w:rPr>
          <w:spacing w:val="-60"/>
          <w:w w:val="95"/>
          <w:sz w:val="21"/>
        </w:rPr>
        <w:t>期”、“</w:t>
      </w:r>
      <w:r>
        <w:rPr>
          <w:w w:val="95"/>
          <w:sz w:val="21"/>
        </w:rPr>
        <w:t>2.3</w:t>
      </w:r>
      <w:r>
        <w:rPr>
          <w:spacing w:val="40"/>
          <w:sz w:val="21"/>
        </w:rPr>
        <w:t> </w:t>
      </w:r>
      <w:r>
        <w:rPr>
          <w:w w:val="95"/>
          <w:sz w:val="21"/>
        </w:rPr>
        <w:t>保险</w:t>
      </w:r>
      <w:r>
        <w:rPr>
          <w:w w:val="95"/>
          <w:sz w:val="21"/>
        </w:rPr>
        <w:t>责</w:t>
      </w:r>
      <w:r>
        <w:rPr>
          <w:w w:val="95"/>
          <w:sz w:val="21"/>
        </w:rPr>
        <w:t>任</w:t>
      </w:r>
      <w:r>
        <w:rPr>
          <w:spacing w:val="-122"/>
          <w:w w:val="95"/>
          <w:sz w:val="21"/>
        </w:rPr>
        <w:t>”、</w:t>
      </w:r>
      <w:r>
        <w:rPr>
          <w:w w:val="95"/>
          <w:sz w:val="21"/>
        </w:rPr>
        <w:t>“3.2</w:t>
      </w:r>
      <w:r>
        <w:rPr>
          <w:spacing w:val="40"/>
          <w:sz w:val="21"/>
        </w:rPr>
        <w:t> </w:t>
      </w:r>
      <w:r>
        <w:rPr>
          <w:spacing w:val="-28"/>
          <w:w w:val="95"/>
          <w:sz w:val="21"/>
        </w:rPr>
        <w:t>保险事故通知”、“</w:t>
      </w:r>
      <w:r>
        <w:rPr>
          <w:w w:val="95"/>
          <w:sz w:val="21"/>
        </w:rPr>
        <w:t>6.1</w:t>
      </w:r>
      <w:r>
        <w:rPr>
          <w:spacing w:val="40"/>
          <w:sz w:val="21"/>
        </w:rPr>
        <w:t> </w:t>
      </w:r>
      <w:r>
        <w:rPr>
          <w:spacing w:val="-28"/>
          <w:w w:val="95"/>
          <w:sz w:val="21"/>
        </w:rPr>
        <w:t>合同效力中止”、“</w:t>
      </w:r>
      <w:r>
        <w:rPr>
          <w:w w:val="95"/>
          <w:sz w:val="21"/>
        </w:rPr>
        <w:t>8.2</w:t>
      </w:r>
      <w:r>
        <w:rPr>
          <w:spacing w:val="40"/>
          <w:sz w:val="21"/>
        </w:rPr>
        <w:t> </w:t>
      </w:r>
      <w:r>
        <w:rPr>
          <w:w w:val="95"/>
          <w:sz w:val="21"/>
        </w:rPr>
        <w:t>如</w:t>
      </w:r>
      <w:r>
        <w:rPr>
          <w:w w:val="95"/>
          <w:sz w:val="21"/>
        </w:rPr>
        <w:t>实</w:t>
      </w:r>
      <w:r>
        <w:rPr>
          <w:spacing w:val="-54"/>
          <w:sz w:val="21"/>
        </w:rPr>
        <w:t>告知”、</w:t>
      </w:r>
      <w:r>
        <w:rPr>
          <w:sz w:val="21"/>
        </w:rPr>
        <w:t>“10.7</w:t>
      </w:r>
      <w:r>
        <w:rPr>
          <w:spacing w:val="-32"/>
          <w:sz w:val="21"/>
        </w:rPr>
        <w:t> 重大疾病”、“</w:t>
      </w:r>
      <w:r>
        <w:rPr>
          <w:sz w:val="21"/>
        </w:rPr>
        <w:t>10.9</w:t>
      </w:r>
      <w:r>
        <w:rPr>
          <w:spacing w:val="-5"/>
          <w:sz w:val="21"/>
        </w:rPr>
        <w:t> 轻症疾病”中字体突出显示的内容。</w:t>
      </w:r>
    </w:p>
    <w:p>
      <w:pPr>
        <w:pStyle w:val="BodyText"/>
        <w:rPr>
          <w:sz w:val="12"/>
        </w:rPr>
      </w:pPr>
    </w:p>
    <w:p>
      <w:pPr>
        <w:spacing w:after="0"/>
        <w:rPr>
          <w:sz w:val="12"/>
        </w:rPr>
        <w:sectPr>
          <w:pgSz w:w="11910" w:h="16840"/>
          <w:pgMar w:header="0" w:footer="655" w:top="1420" w:bottom="840" w:left="560" w:right="480"/>
        </w:sectPr>
      </w:pPr>
    </w:p>
    <w:p>
      <w:pPr>
        <w:pStyle w:val="ListParagraph"/>
        <w:numPr>
          <w:ilvl w:val="1"/>
          <w:numId w:val="4"/>
        </w:numPr>
        <w:tabs>
          <w:tab w:pos="1132" w:val="left" w:leader="none"/>
          <w:tab w:pos="1133" w:val="left" w:leader="none"/>
        </w:tabs>
        <w:spacing w:line="278" w:lineRule="auto" w:before="72" w:after="0"/>
        <w:ind w:left="1132" w:right="0" w:hanging="903"/>
        <w:jc w:val="left"/>
        <w:rPr>
          <w:b/>
          <w:sz w:val="21"/>
        </w:rPr>
      </w:pPr>
      <w:r>
        <w:rPr>
          <w:b/>
          <w:spacing w:val="-2"/>
          <w:sz w:val="21"/>
        </w:rPr>
        <w:t>未成年人身故保险</w:t>
      </w:r>
      <w:r>
        <w:rPr>
          <w:b/>
          <w:spacing w:val="-4"/>
          <w:sz w:val="21"/>
        </w:rPr>
        <w:t>金限制</w:t>
      </w:r>
    </w:p>
    <w:p>
      <w:pPr>
        <w:pStyle w:val="BodyText"/>
        <w:spacing w:line="278" w:lineRule="auto" w:before="72"/>
        <w:ind w:left="219" w:right="322"/>
        <w:jc w:val="both"/>
      </w:pPr>
      <w:r>
        <w:rPr/>
        <w:br w:type="column"/>
      </w:r>
      <w:r>
        <w:rPr>
          <w:spacing w:val="-10"/>
        </w:rPr>
        <w:t>为未成年人投保的人身保险，因被保险人身故给付的保险金总和不得超过国务院保</w:t>
      </w:r>
      <w:r>
        <w:rPr>
          <w:spacing w:val="-2"/>
        </w:rPr>
        <w:t>险监督管理机构规定的限额。对身故给付保险金额总和的约定也不得超过前述限</w:t>
      </w:r>
      <w:r>
        <w:rPr>
          <w:spacing w:val="-6"/>
        </w:rPr>
        <w:t>额。</w:t>
      </w:r>
    </w:p>
    <w:p>
      <w:pPr>
        <w:spacing w:after="0" w:line="278" w:lineRule="auto"/>
        <w:jc w:val="both"/>
        <w:sectPr>
          <w:type w:val="continuous"/>
          <w:pgSz w:w="11910" w:h="16840"/>
          <w:pgMar w:header="0" w:footer="655" w:top="140" w:bottom="280" w:left="560" w:right="480"/>
          <w:cols w:num="2" w:equalWidth="0">
            <w:col w:w="2823" w:space="40"/>
            <w:col w:w="8007"/>
          </w:cols>
        </w:sectPr>
      </w:pPr>
    </w:p>
    <w:p>
      <w:pPr>
        <w:pStyle w:val="BodyText"/>
        <w:spacing w:before="2"/>
        <w:rPr>
          <w:sz w:val="12"/>
        </w:rPr>
      </w:pPr>
    </w:p>
    <w:p>
      <w:pPr>
        <w:pStyle w:val="ListParagraph"/>
        <w:numPr>
          <w:ilvl w:val="1"/>
          <w:numId w:val="4"/>
        </w:numPr>
        <w:tabs>
          <w:tab w:pos="1132" w:val="left" w:leader="none"/>
          <w:tab w:pos="1133" w:val="left" w:leader="none"/>
          <w:tab w:pos="3081" w:val="left" w:leader="none"/>
        </w:tabs>
        <w:spacing w:line="240" w:lineRule="auto" w:before="72" w:after="0"/>
        <w:ind w:left="1132" w:right="0" w:hanging="904"/>
        <w:jc w:val="left"/>
        <w:rPr>
          <w:sz w:val="21"/>
        </w:rPr>
      </w:pPr>
      <w:r>
        <w:rPr>
          <w:b/>
          <w:sz w:val="21"/>
        </w:rPr>
        <w:t>保险期</w:t>
      </w:r>
      <w:r>
        <w:rPr>
          <w:b/>
          <w:spacing w:val="-10"/>
          <w:sz w:val="21"/>
        </w:rPr>
        <w:t>间</w:t>
      </w:r>
      <w:r>
        <w:rPr>
          <w:b/>
          <w:sz w:val="21"/>
        </w:rPr>
        <w:tab/>
      </w:r>
      <w:r>
        <w:rPr>
          <w:spacing w:val="-2"/>
          <w:sz w:val="21"/>
        </w:rPr>
        <w:t>本</w:t>
      </w:r>
      <w:r>
        <w:rPr>
          <w:spacing w:val="-2"/>
          <w:sz w:val="21"/>
        </w:rPr>
        <w:t>合</w:t>
      </w:r>
      <w:r>
        <w:rPr>
          <w:spacing w:val="-2"/>
          <w:sz w:val="21"/>
        </w:rPr>
        <w:t>同的保险期间自本合</w:t>
      </w:r>
      <w:r>
        <w:rPr>
          <w:spacing w:val="-2"/>
          <w:sz w:val="21"/>
        </w:rPr>
        <w:t>同</w:t>
      </w:r>
      <w:r>
        <w:rPr>
          <w:spacing w:val="-2"/>
          <w:sz w:val="21"/>
        </w:rPr>
        <w:t>生</w:t>
      </w:r>
      <w:r>
        <w:rPr>
          <w:spacing w:val="-2"/>
          <w:sz w:val="21"/>
        </w:rPr>
        <w:t>效日的零时起至被保</w:t>
      </w:r>
      <w:r>
        <w:rPr>
          <w:spacing w:val="-2"/>
          <w:sz w:val="21"/>
        </w:rPr>
        <w:t>险</w:t>
      </w:r>
      <w:r>
        <w:rPr>
          <w:spacing w:val="-2"/>
          <w:sz w:val="21"/>
        </w:rPr>
        <w:t>人</w:t>
      </w:r>
      <w:r>
        <w:rPr>
          <w:spacing w:val="-2"/>
          <w:sz w:val="21"/>
        </w:rPr>
        <w:t>终</w:t>
      </w:r>
      <w:r>
        <w:rPr>
          <w:spacing w:val="-2"/>
          <w:sz w:val="21"/>
        </w:rPr>
        <w:t>身</w:t>
      </w:r>
      <w:r>
        <w:rPr>
          <w:spacing w:val="-10"/>
          <w:sz w:val="21"/>
        </w:rPr>
        <w:t>。</w:t>
      </w:r>
    </w:p>
    <w:p>
      <w:pPr>
        <w:pStyle w:val="BodyText"/>
        <w:spacing w:before="3"/>
        <w:rPr>
          <w:sz w:val="27"/>
        </w:rPr>
      </w:pPr>
    </w:p>
    <w:p>
      <w:pPr>
        <w:tabs>
          <w:tab w:pos="1132" w:val="left" w:leader="none"/>
        </w:tabs>
        <w:spacing w:before="0"/>
        <w:ind w:left="392"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保险金</w:t>
      </w:r>
      <w:r>
        <w:rPr>
          <w:b/>
          <w:w w:val="95"/>
          <w:sz w:val="24"/>
        </w:rPr>
        <w:t>的</w:t>
      </w:r>
      <w:r>
        <w:rPr>
          <w:b/>
          <w:w w:val="95"/>
          <w:sz w:val="24"/>
        </w:rPr>
        <w:t>申</w:t>
      </w:r>
      <w:r>
        <w:rPr>
          <w:b/>
          <w:spacing w:val="-10"/>
          <w:w w:val="95"/>
          <w:sz w:val="24"/>
        </w:rPr>
        <w:t>请</w:t>
      </w:r>
    </w:p>
    <w:p>
      <w:pPr>
        <w:pStyle w:val="BodyText"/>
        <w:rPr>
          <w:b/>
          <w:sz w:val="6"/>
        </w:rPr>
      </w:pPr>
      <w:r>
        <w:rPr/>
        <w:drawing>
          <wp:anchor distT="0" distB="0" distL="0" distR="0" allowOverlap="1" layoutInCell="1" locked="0" behindDoc="0" simplePos="0" relativeHeight="3">
            <wp:simplePos x="0" y="0"/>
            <wp:positionH relativeFrom="page">
              <wp:posOffset>431291</wp:posOffset>
            </wp:positionH>
            <wp:positionV relativeFrom="paragraph">
              <wp:posOffset>64441</wp:posOffset>
            </wp:positionV>
            <wp:extent cx="6736171"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736171" cy="12287"/>
                    </a:xfrm>
                    <a:prstGeom prst="rect">
                      <a:avLst/>
                    </a:prstGeom>
                  </pic:spPr>
                </pic:pic>
              </a:graphicData>
            </a:graphic>
          </wp:anchor>
        </w:drawing>
      </w:r>
    </w:p>
    <w:p>
      <w:pPr>
        <w:pStyle w:val="ListParagraph"/>
        <w:numPr>
          <w:ilvl w:val="1"/>
          <w:numId w:val="7"/>
        </w:numPr>
        <w:tabs>
          <w:tab w:pos="1132" w:val="left" w:leader="none"/>
          <w:tab w:pos="1133" w:val="left" w:leader="none"/>
          <w:tab w:pos="3081" w:val="left" w:leader="none"/>
        </w:tabs>
        <w:spacing w:line="240" w:lineRule="auto" w:before="229" w:after="0"/>
        <w:ind w:left="1132" w:right="0" w:hanging="904"/>
        <w:jc w:val="left"/>
        <w:rPr>
          <w:sz w:val="21"/>
        </w:rPr>
      </w:pPr>
      <w:r>
        <w:rPr>
          <w:b/>
          <w:sz w:val="21"/>
        </w:rPr>
        <w:t>受益</w:t>
      </w:r>
      <w:r>
        <w:rPr>
          <w:b/>
          <w:spacing w:val="-10"/>
          <w:sz w:val="21"/>
        </w:rPr>
        <w:t>人</w:t>
      </w:r>
      <w:r>
        <w:rPr>
          <w:b/>
          <w:sz w:val="21"/>
        </w:rPr>
        <w:tab/>
      </w:r>
      <w:r>
        <w:rPr>
          <w:spacing w:val="-2"/>
          <w:sz w:val="21"/>
        </w:rPr>
        <w:t>一、您</w:t>
      </w:r>
      <w:r>
        <w:rPr>
          <w:spacing w:val="-2"/>
          <w:sz w:val="21"/>
        </w:rPr>
        <w:t>或</w:t>
      </w:r>
      <w:r>
        <w:rPr>
          <w:spacing w:val="-2"/>
          <w:sz w:val="21"/>
        </w:rPr>
        <w:t>被保险人可以指定一</w:t>
      </w:r>
      <w:r>
        <w:rPr>
          <w:spacing w:val="-2"/>
          <w:sz w:val="21"/>
        </w:rPr>
        <w:t>人</w:t>
      </w:r>
      <w:r>
        <w:rPr>
          <w:spacing w:val="-2"/>
          <w:sz w:val="21"/>
        </w:rPr>
        <w:t>或</w:t>
      </w:r>
      <w:r>
        <w:rPr>
          <w:spacing w:val="-2"/>
          <w:sz w:val="21"/>
        </w:rPr>
        <w:t>多人为保险金受益人</w:t>
      </w:r>
      <w:r>
        <w:rPr>
          <w:spacing w:val="-2"/>
          <w:sz w:val="21"/>
        </w:rPr>
        <w:t>。</w:t>
      </w:r>
      <w:r>
        <w:rPr>
          <w:spacing w:val="-2"/>
          <w:sz w:val="21"/>
        </w:rPr>
        <w:t>保</w:t>
      </w:r>
      <w:r>
        <w:rPr>
          <w:spacing w:val="-2"/>
          <w:sz w:val="21"/>
        </w:rPr>
        <w:t>险金受益人为多人时</w:t>
      </w:r>
      <w:r>
        <w:rPr>
          <w:spacing w:val="-10"/>
          <w:sz w:val="21"/>
        </w:rPr>
        <w:t>，</w:t>
      </w:r>
    </w:p>
    <w:p>
      <w:pPr>
        <w:pStyle w:val="BodyText"/>
        <w:spacing w:line="278" w:lineRule="auto" w:before="43"/>
        <w:ind w:left="3501" w:right="324"/>
      </w:pPr>
      <w:r>
        <w:rPr>
          <w:spacing w:val="-8"/>
        </w:rPr>
        <w:t>可以确定受益顺序和受益份额；未确定受益顺序和受益份额的，各受益人按照</w:t>
      </w:r>
      <w:r>
        <w:rPr>
          <w:spacing w:val="-2"/>
        </w:rPr>
        <w:t>相同顺序和相等份额享有受益权。</w:t>
      </w:r>
    </w:p>
    <w:p>
      <w:pPr>
        <w:pStyle w:val="BodyText"/>
        <w:spacing w:line="278" w:lineRule="auto"/>
        <w:ind w:left="3501" w:right="322" w:hanging="421"/>
      </w:pPr>
      <w:r>
        <w:rPr>
          <w:spacing w:val="-6"/>
        </w:rPr>
        <w:t>二、被保险人为无民事行为能力人或者限制民事行为能力人的，可以由其监护人指</w:t>
      </w:r>
      <w:r>
        <w:rPr>
          <w:spacing w:val="-2"/>
        </w:rPr>
        <w:t>定受益人。</w:t>
      </w:r>
    </w:p>
    <w:p>
      <w:pPr>
        <w:pStyle w:val="BodyText"/>
        <w:spacing w:line="278" w:lineRule="auto"/>
        <w:ind w:left="3501" w:right="322" w:hanging="421"/>
      </w:pPr>
      <w:r>
        <w:rPr>
          <w:spacing w:val="-7"/>
        </w:rPr>
        <w:t>三、您或被保险人可以变更受益人并书面通知我们。我们收到变更受益人的书面通</w:t>
      </w:r>
      <w:r>
        <w:rPr>
          <w:spacing w:val="-2"/>
        </w:rPr>
        <w:t>知后，在保险合同上批注或附贴批单。</w:t>
      </w:r>
    </w:p>
    <w:p>
      <w:pPr>
        <w:pStyle w:val="BodyText"/>
        <w:spacing w:line="269" w:lineRule="exact"/>
        <w:ind w:left="3081"/>
      </w:pPr>
      <w:r>
        <w:rPr>
          <w:spacing w:val="-3"/>
        </w:rPr>
        <w:t>四、您在指定和变更受益人时，必须经被保险人同意。</w:t>
      </w:r>
    </w:p>
    <w:p>
      <w:pPr>
        <w:pStyle w:val="BodyText"/>
        <w:spacing w:line="278" w:lineRule="auto" w:before="43"/>
        <w:ind w:left="3501" w:right="324" w:hanging="421"/>
      </w:pPr>
      <w:r>
        <w:rPr>
          <w:spacing w:val="-4"/>
        </w:rPr>
        <w:t>五、被保险人身故后，遇有下列情形之一的，保险金作为被保险人的遗产，由我们</w:t>
      </w:r>
      <w:r>
        <w:rPr>
          <w:spacing w:val="-2"/>
        </w:rPr>
        <w:t>依照《中华人民共和国继承法》的规定履行给付保险金的义务：</w:t>
      </w:r>
    </w:p>
    <w:p>
      <w:pPr>
        <w:pStyle w:val="BodyText"/>
        <w:spacing w:line="269" w:lineRule="exact"/>
        <w:ind w:left="3501"/>
      </w:pPr>
      <w:r>
        <w:rPr>
          <w:spacing w:val="-3"/>
        </w:rPr>
        <w:t>(一)没有指定受益人的；</w:t>
      </w:r>
    </w:p>
    <w:p>
      <w:pPr>
        <w:pStyle w:val="BodyText"/>
        <w:spacing w:before="43"/>
        <w:ind w:left="3501"/>
      </w:pPr>
      <w:r>
        <w:rPr>
          <w:spacing w:val="-3"/>
        </w:rPr>
        <w:t>(二)受益人指定不明无法确定的；</w:t>
      </w:r>
    </w:p>
    <w:p>
      <w:pPr>
        <w:pStyle w:val="BodyText"/>
        <w:spacing w:before="42"/>
        <w:ind w:left="3501"/>
      </w:pPr>
      <w:r>
        <w:rPr>
          <w:spacing w:val="-3"/>
        </w:rPr>
        <w:t>(三)受益人先于被保险人身故，没有其他受益人的；</w:t>
      </w:r>
    </w:p>
    <w:p>
      <w:pPr>
        <w:pStyle w:val="BodyText"/>
        <w:spacing w:before="44"/>
        <w:ind w:left="3501"/>
      </w:pPr>
      <w:r>
        <w:rPr>
          <w:spacing w:val="-3"/>
        </w:rPr>
        <w:t>(四)受益人依法丧失受益权或放弃受益权，没有其他受益人的。</w:t>
      </w:r>
    </w:p>
    <w:p>
      <w:pPr>
        <w:pStyle w:val="BodyText"/>
        <w:spacing w:line="278" w:lineRule="auto" w:before="43"/>
        <w:ind w:left="3501" w:right="324" w:hanging="421"/>
      </w:pPr>
      <w:r>
        <w:rPr>
          <w:spacing w:val="-7"/>
        </w:rPr>
        <w:t>六、受益人与被保险人在同一事件中身故，且无法确定身故先后顺序的，推定受益</w:t>
      </w:r>
      <w:r>
        <w:rPr>
          <w:spacing w:val="-2"/>
        </w:rPr>
        <w:t>人先于被保险人身故。</w:t>
      </w:r>
    </w:p>
    <w:p>
      <w:pPr>
        <w:pStyle w:val="BodyText"/>
        <w:spacing w:line="278" w:lineRule="auto"/>
        <w:ind w:left="3501" w:right="216" w:hanging="421"/>
      </w:pPr>
      <w:r>
        <w:rPr>
          <w:spacing w:val="-2"/>
        </w:rPr>
        <w:t>七、受益人故意造成被保险人身故、伤残、疾病的，或故意杀害被保险人未遂的，</w:t>
      </w:r>
      <w:r>
        <w:rPr>
          <w:spacing w:val="-2"/>
        </w:rPr>
        <w:t>该受益人丧失受益权。</w:t>
      </w:r>
    </w:p>
    <w:p>
      <w:pPr>
        <w:pStyle w:val="BodyText"/>
        <w:spacing w:line="278" w:lineRule="auto"/>
        <w:ind w:left="3501" w:right="329" w:hanging="421"/>
      </w:pPr>
      <w:r>
        <w:rPr>
          <w:spacing w:val="-11"/>
        </w:rPr>
        <w:t>八、除另有约定外，重大疾病保险金、轻症疾病保险金及恶性肿瘤关爱保险金受益</w:t>
      </w:r>
      <w:r>
        <w:rPr>
          <w:spacing w:val="-2"/>
        </w:rPr>
        <w:t>人约定为被保险人本人。</w:t>
      </w:r>
    </w:p>
    <w:p>
      <w:pPr>
        <w:spacing w:after="0" w:line="278" w:lineRule="auto"/>
        <w:sectPr>
          <w:type w:val="continuous"/>
          <w:pgSz w:w="11910" w:h="16840"/>
          <w:pgMar w:header="0" w:footer="655" w:top="140" w:bottom="280" w:left="560" w:right="480"/>
        </w:sectPr>
      </w:pPr>
    </w:p>
    <w:p>
      <w:pPr>
        <w:pStyle w:val="ListParagraph"/>
        <w:numPr>
          <w:ilvl w:val="1"/>
          <w:numId w:val="7"/>
        </w:numPr>
        <w:tabs>
          <w:tab w:pos="1132" w:val="left" w:leader="none"/>
          <w:tab w:pos="1133" w:val="left" w:leader="none"/>
          <w:tab w:pos="3081" w:val="left" w:leader="none"/>
        </w:tabs>
        <w:spacing w:line="266" w:lineRule="auto" w:before="59" w:after="0"/>
        <w:ind w:left="3081" w:right="222" w:hanging="2852"/>
        <w:jc w:val="left"/>
        <w:rPr>
          <w:sz w:val="21"/>
        </w:rPr>
      </w:pPr>
      <w:r>
        <w:rPr>
          <w:b/>
          <w:w w:val="100"/>
          <w:sz w:val="21"/>
        </w:rPr>
        <w:t>保险事故通知</w:t>
      </w:r>
      <w:r>
        <w:rPr>
          <w:b/>
          <w:sz w:val="21"/>
        </w:rPr>
        <w:tab/>
      </w:r>
      <w:r>
        <w:rPr>
          <w:w w:val="100"/>
          <w:sz w:val="21"/>
        </w:rPr>
        <w:t>您</w:t>
      </w:r>
      <w:r>
        <w:rPr>
          <w:spacing w:val="-3"/>
          <w:w w:val="100"/>
          <w:sz w:val="21"/>
        </w:rPr>
        <w:t>、被</w:t>
      </w:r>
      <w:r>
        <w:rPr>
          <w:w w:val="100"/>
          <w:sz w:val="21"/>
        </w:rPr>
        <w:t>保</w:t>
      </w:r>
      <w:r>
        <w:rPr>
          <w:spacing w:val="-3"/>
          <w:w w:val="100"/>
          <w:sz w:val="21"/>
        </w:rPr>
        <w:t>险</w:t>
      </w:r>
      <w:r>
        <w:rPr>
          <w:w w:val="100"/>
          <w:sz w:val="21"/>
        </w:rPr>
        <w:t>人</w:t>
      </w:r>
      <w:r>
        <w:rPr>
          <w:spacing w:val="-3"/>
          <w:w w:val="100"/>
          <w:sz w:val="21"/>
        </w:rPr>
        <w:t>或</w:t>
      </w:r>
      <w:r>
        <w:rPr>
          <w:w w:val="100"/>
          <w:sz w:val="21"/>
        </w:rPr>
        <w:t>受</w:t>
      </w:r>
      <w:r>
        <w:rPr>
          <w:spacing w:val="-3"/>
          <w:w w:val="100"/>
          <w:sz w:val="21"/>
        </w:rPr>
        <w:t>益</w:t>
      </w:r>
      <w:r>
        <w:rPr>
          <w:w w:val="100"/>
          <w:sz w:val="21"/>
        </w:rPr>
        <w:t>人</w:t>
      </w:r>
      <w:r>
        <w:rPr>
          <w:spacing w:val="-3"/>
          <w:w w:val="100"/>
          <w:sz w:val="21"/>
        </w:rPr>
        <w:t>应</w:t>
      </w:r>
      <w:r>
        <w:rPr>
          <w:w w:val="100"/>
          <w:sz w:val="21"/>
        </w:rPr>
        <w:t>于知</w:t>
      </w:r>
      <w:r>
        <w:rPr>
          <w:spacing w:val="-3"/>
          <w:w w:val="100"/>
          <w:sz w:val="21"/>
        </w:rPr>
        <w:t>道</w:t>
      </w:r>
      <w:r>
        <w:rPr>
          <w:w w:val="100"/>
          <w:sz w:val="21"/>
        </w:rPr>
        <w:t>保</w:t>
      </w:r>
      <w:r>
        <w:rPr>
          <w:spacing w:val="-3"/>
          <w:w w:val="100"/>
          <w:sz w:val="21"/>
        </w:rPr>
        <w:t>险</w:t>
      </w:r>
      <w:r>
        <w:rPr>
          <w:w w:val="100"/>
          <w:sz w:val="21"/>
        </w:rPr>
        <w:t>事</w:t>
      </w:r>
      <w:r>
        <w:rPr>
          <w:spacing w:val="-3"/>
          <w:w w:val="100"/>
          <w:sz w:val="21"/>
        </w:rPr>
        <w:t>故</w:t>
      </w:r>
      <w:r>
        <w:rPr>
          <w:w w:val="100"/>
          <w:sz w:val="21"/>
        </w:rPr>
        <w:t>发</w:t>
      </w:r>
      <w:r>
        <w:rPr>
          <w:spacing w:val="-3"/>
          <w:w w:val="100"/>
          <w:sz w:val="21"/>
        </w:rPr>
        <w:t>生</w:t>
      </w:r>
      <w:r>
        <w:rPr>
          <w:w w:val="100"/>
          <w:sz w:val="21"/>
        </w:rPr>
        <w:t>之</w:t>
      </w:r>
      <w:r>
        <w:rPr>
          <w:spacing w:val="-3"/>
          <w:w w:val="100"/>
          <w:sz w:val="21"/>
        </w:rPr>
        <w:t>日</w:t>
      </w:r>
      <w:r>
        <w:rPr>
          <w:w w:val="100"/>
          <w:sz w:val="21"/>
        </w:rPr>
        <w:t>起</w:t>
      </w:r>
      <w:r>
        <w:rPr>
          <w:spacing w:val="-53"/>
          <w:sz w:val="21"/>
        </w:rPr>
        <w:t> </w:t>
      </w:r>
      <w:r>
        <w:rPr>
          <w:w w:val="100"/>
          <w:sz w:val="21"/>
        </w:rPr>
        <w:t>10</w:t>
      </w:r>
      <w:r>
        <w:rPr>
          <w:spacing w:val="-55"/>
          <w:sz w:val="21"/>
        </w:rPr>
        <w:t> </w:t>
      </w:r>
      <w:r>
        <w:rPr>
          <w:w w:val="100"/>
          <w:sz w:val="21"/>
        </w:rPr>
        <w:t>日</w:t>
      </w:r>
      <w:r>
        <w:rPr>
          <w:spacing w:val="-3"/>
          <w:w w:val="100"/>
          <w:sz w:val="21"/>
        </w:rPr>
        <w:t>内</w:t>
      </w:r>
      <w:r>
        <w:rPr>
          <w:w w:val="100"/>
          <w:sz w:val="21"/>
        </w:rPr>
        <w:t>通</w:t>
      </w:r>
      <w:r>
        <w:rPr>
          <w:spacing w:val="-3"/>
          <w:w w:val="100"/>
          <w:sz w:val="21"/>
        </w:rPr>
        <w:t>知</w:t>
      </w:r>
      <w:r>
        <w:rPr>
          <w:w w:val="100"/>
          <w:sz w:val="21"/>
        </w:rPr>
        <w:t>我们</w:t>
      </w:r>
      <w:r>
        <w:rPr>
          <w:spacing w:val="-5"/>
          <w:w w:val="100"/>
          <w:sz w:val="21"/>
        </w:rPr>
        <w:t>。</w:t>
      </w:r>
      <w:r>
        <w:rPr>
          <w:rFonts w:ascii="黑体" w:eastAsia="黑体" w:hint="eastAsia"/>
          <w:b/>
          <w:w w:val="100"/>
          <w:sz w:val="21"/>
        </w:rPr>
        <w:t>若</w:t>
      </w:r>
      <w:r>
        <w:rPr>
          <w:rFonts w:ascii="黑体" w:eastAsia="黑体" w:hint="eastAsia"/>
          <w:b/>
          <w:spacing w:val="-3"/>
          <w:w w:val="100"/>
          <w:sz w:val="21"/>
        </w:rPr>
        <w:t>故</w:t>
      </w:r>
      <w:r>
        <w:rPr>
          <w:rFonts w:ascii="黑体" w:eastAsia="黑体" w:hint="eastAsia"/>
          <w:b/>
          <w:w w:val="100"/>
          <w:sz w:val="21"/>
        </w:rPr>
        <w:t>意或者因重大过失未及</w:t>
      </w:r>
      <w:r>
        <w:rPr>
          <w:rFonts w:ascii="黑体" w:eastAsia="黑体" w:hint="eastAsia"/>
          <w:b/>
          <w:spacing w:val="-3"/>
          <w:w w:val="100"/>
          <w:sz w:val="21"/>
        </w:rPr>
        <w:t>时</w:t>
      </w:r>
      <w:r>
        <w:rPr>
          <w:rFonts w:ascii="黑体" w:eastAsia="黑体" w:hint="eastAsia"/>
          <w:b/>
          <w:w w:val="100"/>
          <w:sz w:val="21"/>
        </w:rPr>
        <w:t>通</w:t>
      </w:r>
      <w:r>
        <w:rPr>
          <w:rFonts w:ascii="黑体" w:eastAsia="黑体" w:hint="eastAsia"/>
          <w:b/>
          <w:spacing w:val="-3"/>
          <w:w w:val="100"/>
          <w:sz w:val="21"/>
        </w:rPr>
        <w:t>知</w:t>
      </w:r>
      <w:r>
        <w:rPr>
          <w:rFonts w:ascii="黑体" w:eastAsia="黑体" w:hint="eastAsia"/>
          <w:b/>
          <w:spacing w:val="-10"/>
          <w:w w:val="100"/>
          <w:sz w:val="21"/>
        </w:rPr>
        <w:t>，</w:t>
      </w:r>
      <w:r>
        <w:rPr>
          <w:rFonts w:ascii="黑体" w:eastAsia="黑体" w:hint="eastAsia"/>
          <w:b/>
          <w:w w:val="100"/>
          <w:sz w:val="21"/>
        </w:rPr>
        <w:t>致使保险事故的</w:t>
      </w:r>
      <w:r>
        <w:rPr>
          <w:rFonts w:ascii="黑体" w:eastAsia="黑体" w:hint="eastAsia"/>
          <w:b/>
          <w:spacing w:val="-3"/>
          <w:w w:val="100"/>
          <w:sz w:val="21"/>
        </w:rPr>
        <w:t>性</w:t>
      </w:r>
      <w:r>
        <w:rPr>
          <w:rFonts w:ascii="黑体" w:eastAsia="黑体" w:hint="eastAsia"/>
          <w:b/>
          <w:w w:val="100"/>
          <w:sz w:val="21"/>
        </w:rPr>
        <w:t>质</w:t>
      </w:r>
      <w:r>
        <w:rPr>
          <w:rFonts w:ascii="黑体" w:eastAsia="黑体" w:hint="eastAsia"/>
          <w:b/>
          <w:spacing w:val="-13"/>
          <w:w w:val="100"/>
          <w:sz w:val="21"/>
        </w:rPr>
        <w:t>、</w:t>
      </w:r>
      <w:r>
        <w:rPr>
          <w:rFonts w:ascii="黑体" w:eastAsia="黑体" w:hint="eastAsia"/>
          <w:b/>
          <w:w w:val="100"/>
          <w:sz w:val="21"/>
        </w:rPr>
        <w:t>原因</w:t>
      </w:r>
      <w:r>
        <w:rPr>
          <w:rFonts w:ascii="黑体" w:eastAsia="黑体" w:hint="eastAsia"/>
          <w:b/>
          <w:spacing w:val="-10"/>
          <w:w w:val="100"/>
          <w:sz w:val="21"/>
        </w:rPr>
        <w:t>、</w:t>
      </w:r>
      <w:r>
        <w:rPr>
          <w:rFonts w:ascii="黑体" w:eastAsia="黑体" w:hint="eastAsia"/>
          <w:b/>
          <w:w w:val="100"/>
          <w:sz w:val="21"/>
        </w:rPr>
        <w:t>损失程度等</w:t>
      </w:r>
      <w:r>
        <w:rPr>
          <w:rFonts w:ascii="黑体" w:eastAsia="黑体" w:hint="eastAsia"/>
          <w:b/>
          <w:spacing w:val="-3"/>
          <w:w w:val="100"/>
          <w:sz w:val="21"/>
        </w:rPr>
        <w:t>难</w:t>
      </w:r>
      <w:r>
        <w:rPr>
          <w:rFonts w:ascii="黑体" w:eastAsia="黑体" w:hint="eastAsia"/>
          <w:b/>
          <w:w w:val="100"/>
          <w:sz w:val="21"/>
        </w:rPr>
        <w:t>以</w:t>
      </w:r>
      <w:r>
        <w:rPr>
          <w:rFonts w:ascii="黑体" w:eastAsia="黑体" w:hint="eastAsia"/>
          <w:b/>
          <w:spacing w:val="-3"/>
          <w:w w:val="100"/>
          <w:sz w:val="21"/>
        </w:rPr>
        <w:t>确</w:t>
      </w:r>
      <w:r>
        <w:rPr>
          <w:rFonts w:ascii="黑体" w:eastAsia="黑体" w:hint="eastAsia"/>
          <w:b/>
          <w:w w:val="100"/>
          <w:sz w:val="21"/>
        </w:rPr>
        <w:t>定的</w:t>
      </w:r>
      <w:r>
        <w:rPr>
          <w:rFonts w:ascii="黑体" w:eastAsia="黑体" w:hint="eastAsia"/>
          <w:b/>
          <w:spacing w:val="-12"/>
          <w:w w:val="100"/>
          <w:sz w:val="21"/>
        </w:rPr>
        <w:t>，</w:t>
      </w:r>
      <w:r>
        <w:rPr>
          <w:rFonts w:ascii="黑体" w:eastAsia="黑体" w:hint="eastAsia"/>
          <w:b/>
          <w:spacing w:val="2"/>
          <w:w w:val="100"/>
          <w:sz w:val="21"/>
        </w:rPr>
        <w:t>我们对无法确定的部分</w:t>
      </w:r>
      <w:r>
        <w:rPr>
          <w:rFonts w:ascii="黑体" w:eastAsia="黑体" w:hint="eastAsia"/>
          <w:b/>
          <w:w w:val="100"/>
          <w:sz w:val="21"/>
        </w:rPr>
        <w:t>，</w:t>
      </w:r>
      <w:r>
        <w:rPr>
          <w:rFonts w:ascii="黑体" w:eastAsia="黑体" w:hint="eastAsia"/>
          <w:b/>
          <w:spacing w:val="2"/>
          <w:w w:val="100"/>
          <w:sz w:val="21"/>
        </w:rPr>
        <w:t>不承担给付保险金的责</w:t>
      </w:r>
      <w:r>
        <w:rPr>
          <w:rFonts w:ascii="黑体" w:eastAsia="黑体" w:hint="eastAsia"/>
          <w:b/>
          <w:w w:val="100"/>
          <w:sz w:val="21"/>
        </w:rPr>
        <w:t>任</w:t>
      </w:r>
      <w:r>
        <w:rPr>
          <w:rFonts w:ascii="黑体" w:eastAsia="黑体" w:hint="eastAsia"/>
          <w:b/>
          <w:spacing w:val="3"/>
          <w:w w:val="100"/>
          <w:sz w:val="21"/>
        </w:rPr>
        <w:t>，</w:t>
      </w:r>
      <w:r>
        <w:rPr>
          <w:spacing w:val="2"/>
          <w:w w:val="100"/>
          <w:sz w:val="21"/>
        </w:rPr>
        <w:t>但我</w:t>
      </w:r>
      <w:r>
        <w:rPr>
          <w:w w:val="100"/>
          <w:sz w:val="21"/>
        </w:rPr>
        <w:t>们</w:t>
      </w:r>
      <w:r>
        <w:rPr>
          <w:spacing w:val="2"/>
          <w:w w:val="100"/>
          <w:sz w:val="21"/>
        </w:rPr>
        <w:t>通</w:t>
      </w:r>
      <w:r>
        <w:rPr>
          <w:w w:val="100"/>
          <w:sz w:val="21"/>
        </w:rPr>
        <w:t>过</w:t>
      </w:r>
      <w:r>
        <w:rPr>
          <w:spacing w:val="2"/>
          <w:w w:val="100"/>
          <w:sz w:val="21"/>
        </w:rPr>
        <w:t>其</w:t>
      </w:r>
      <w:r>
        <w:rPr>
          <w:w w:val="100"/>
          <w:sz w:val="21"/>
        </w:rPr>
        <w:t>他</w:t>
      </w:r>
      <w:r>
        <w:rPr>
          <w:spacing w:val="2"/>
          <w:w w:val="100"/>
          <w:sz w:val="21"/>
        </w:rPr>
        <w:t>途径</w:t>
      </w:r>
      <w:r>
        <w:rPr>
          <w:w w:val="100"/>
          <w:sz w:val="21"/>
        </w:rPr>
        <w:t>已</w:t>
      </w:r>
      <w:r>
        <w:rPr>
          <w:spacing w:val="2"/>
          <w:w w:val="100"/>
          <w:sz w:val="21"/>
        </w:rPr>
        <w:t>经</w:t>
      </w:r>
      <w:r>
        <w:rPr>
          <w:w w:val="100"/>
          <w:sz w:val="21"/>
        </w:rPr>
        <w:t>及</w:t>
      </w:r>
      <w:r>
        <w:rPr>
          <w:spacing w:val="2"/>
          <w:w w:val="100"/>
          <w:sz w:val="21"/>
        </w:rPr>
        <w:t>时知道或应当</w:t>
      </w:r>
      <w:r>
        <w:rPr>
          <w:w w:val="100"/>
          <w:sz w:val="21"/>
        </w:rPr>
        <w:t>及</w:t>
      </w:r>
      <w:r>
        <w:rPr>
          <w:spacing w:val="2"/>
          <w:w w:val="100"/>
          <w:sz w:val="21"/>
        </w:rPr>
        <w:t>时知道</w:t>
      </w:r>
      <w:r>
        <w:rPr>
          <w:w w:val="100"/>
          <w:sz w:val="21"/>
        </w:rPr>
        <w:t>保</w:t>
      </w:r>
      <w:r>
        <w:rPr>
          <w:spacing w:val="2"/>
          <w:w w:val="100"/>
          <w:sz w:val="21"/>
        </w:rPr>
        <w:t>险事故发</w:t>
      </w:r>
      <w:r>
        <w:rPr>
          <w:spacing w:val="7"/>
          <w:w w:val="100"/>
          <w:sz w:val="21"/>
        </w:rPr>
        <w:t>生</w:t>
      </w:r>
      <w:r>
        <w:rPr>
          <w:spacing w:val="2"/>
          <w:w w:val="100"/>
          <w:sz w:val="21"/>
        </w:rPr>
        <w:t>或</w:t>
      </w:r>
      <w:r>
        <w:rPr>
          <w:w w:val="100"/>
          <w:sz w:val="21"/>
        </w:rPr>
        <w:t>虽</w:t>
      </w:r>
      <w:r>
        <w:rPr>
          <w:spacing w:val="2"/>
          <w:w w:val="100"/>
          <w:sz w:val="21"/>
        </w:rPr>
        <w:t>未及时</w:t>
      </w:r>
      <w:r>
        <w:rPr>
          <w:w w:val="100"/>
          <w:sz w:val="21"/>
        </w:rPr>
        <w:t>通</w:t>
      </w:r>
      <w:r>
        <w:rPr>
          <w:spacing w:val="2"/>
          <w:w w:val="100"/>
          <w:sz w:val="21"/>
        </w:rPr>
        <w:t>知但不影响我</w:t>
      </w:r>
      <w:r>
        <w:rPr>
          <w:w w:val="100"/>
          <w:sz w:val="21"/>
        </w:rPr>
        <w:t>们</w:t>
      </w:r>
      <w:r>
        <w:rPr>
          <w:spacing w:val="2"/>
          <w:w w:val="100"/>
          <w:sz w:val="21"/>
        </w:rPr>
        <w:t>确定保</w:t>
      </w:r>
      <w:r>
        <w:rPr>
          <w:w w:val="100"/>
          <w:sz w:val="21"/>
        </w:rPr>
        <w:t>险</w:t>
      </w:r>
      <w:r>
        <w:rPr>
          <w:spacing w:val="2"/>
          <w:w w:val="100"/>
          <w:sz w:val="21"/>
        </w:rPr>
        <w:t>事</w:t>
      </w:r>
      <w:r>
        <w:rPr>
          <w:w w:val="100"/>
          <w:sz w:val="21"/>
        </w:rPr>
        <w:t>故的性</w:t>
      </w:r>
      <w:r>
        <w:rPr>
          <w:spacing w:val="-3"/>
          <w:w w:val="100"/>
          <w:sz w:val="21"/>
        </w:rPr>
        <w:t>质</w:t>
      </w:r>
      <w:r>
        <w:rPr>
          <w:w w:val="100"/>
          <w:sz w:val="21"/>
        </w:rPr>
        <w:t>、</w:t>
      </w:r>
      <w:r>
        <w:rPr>
          <w:spacing w:val="-3"/>
          <w:w w:val="100"/>
          <w:sz w:val="21"/>
        </w:rPr>
        <w:t>原</w:t>
      </w:r>
      <w:r>
        <w:rPr>
          <w:w w:val="100"/>
          <w:sz w:val="21"/>
        </w:rPr>
        <w:t>因</w:t>
      </w:r>
      <w:r>
        <w:rPr>
          <w:spacing w:val="-3"/>
          <w:w w:val="100"/>
          <w:sz w:val="21"/>
        </w:rPr>
        <w:t>、</w:t>
      </w:r>
      <w:r>
        <w:rPr>
          <w:w w:val="100"/>
          <w:sz w:val="21"/>
        </w:rPr>
        <w:t>损</w:t>
      </w:r>
      <w:r>
        <w:rPr>
          <w:spacing w:val="-3"/>
          <w:w w:val="100"/>
          <w:sz w:val="21"/>
        </w:rPr>
        <w:t>失</w:t>
      </w:r>
      <w:r>
        <w:rPr>
          <w:w w:val="100"/>
          <w:sz w:val="21"/>
        </w:rPr>
        <w:t>程</w:t>
      </w:r>
      <w:r>
        <w:rPr>
          <w:spacing w:val="-3"/>
          <w:w w:val="100"/>
          <w:sz w:val="21"/>
        </w:rPr>
        <w:t>度</w:t>
      </w:r>
      <w:r>
        <w:rPr>
          <w:w w:val="100"/>
          <w:sz w:val="21"/>
        </w:rPr>
        <w:t>的除</w:t>
      </w:r>
      <w:r>
        <w:rPr>
          <w:spacing w:val="-3"/>
          <w:w w:val="100"/>
          <w:sz w:val="21"/>
        </w:rPr>
        <w:t>外</w:t>
      </w:r>
      <w:r>
        <w:rPr>
          <w:w w:val="100"/>
          <w:sz w:val="21"/>
        </w:rPr>
        <w:t>。</w:t>
      </w:r>
    </w:p>
    <w:p>
      <w:pPr>
        <w:pStyle w:val="BodyText"/>
        <w:spacing w:before="8"/>
        <w:rPr>
          <w:sz w:val="19"/>
        </w:rPr>
      </w:pPr>
    </w:p>
    <w:p>
      <w:pPr>
        <w:pStyle w:val="ListParagraph"/>
        <w:numPr>
          <w:ilvl w:val="1"/>
          <w:numId w:val="7"/>
        </w:numPr>
        <w:tabs>
          <w:tab w:pos="1132" w:val="left" w:leader="none"/>
          <w:tab w:pos="1133" w:val="left" w:leader="none"/>
          <w:tab w:pos="3081" w:val="left" w:leader="none"/>
        </w:tabs>
        <w:spacing w:line="240" w:lineRule="auto" w:before="0" w:after="0"/>
        <w:ind w:left="1132" w:right="0" w:hanging="904"/>
        <w:jc w:val="left"/>
        <w:rPr>
          <w:sz w:val="21"/>
        </w:rPr>
      </w:pPr>
      <w:r>
        <w:rPr>
          <w:b/>
          <w:sz w:val="21"/>
        </w:rPr>
        <w:t>保险金申</w:t>
      </w:r>
      <w:r>
        <w:rPr>
          <w:b/>
          <w:spacing w:val="-10"/>
          <w:sz w:val="21"/>
        </w:rPr>
        <w:t>请</w:t>
      </w:r>
      <w:r>
        <w:rPr>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1"/>
        <w:rPr>
          <w:sz w:val="19"/>
        </w:rPr>
      </w:pPr>
    </w:p>
    <w:p>
      <w:pPr>
        <w:pStyle w:val="BodyText"/>
        <w:spacing w:line="340" w:lineRule="exact"/>
        <w:ind w:left="1132"/>
      </w:pPr>
      <w:r>
        <w:rPr>
          <w:rFonts w:ascii="华文新魏" w:eastAsia="华文新魏" w:hint="eastAsia"/>
          <w:b/>
          <w:w w:val="95"/>
          <w:position w:val="-1"/>
          <w:sz w:val="24"/>
        </w:rPr>
        <w:t>重</w:t>
      </w:r>
      <w:r>
        <w:rPr>
          <w:rFonts w:ascii="华文新魏" w:eastAsia="华文新魏" w:hint="eastAsia"/>
          <w:b/>
          <w:w w:val="95"/>
          <w:position w:val="-1"/>
          <w:sz w:val="24"/>
        </w:rPr>
        <w:t>大</w:t>
      </w:r>
      <w:r>
        <w:rPr>
          <w:rFonts w:ascii="华文新魏" w:eastAsia="华文新魏" w:hint="eastAsia"/>
          <w:b/>
          <w:w w:val="95"/>
          <w:position w:val="-1"/>
          <w:sz w:val="24"/>
        </w:rPr>
        <w:t>疾</w:t>
      </w:r>
      <w:r>
        <w:rPr>
          <w:rFonts w:ascii="华文新魏" w:eastAsia="华文新魏" w:hint="eastAsia"/>
          <w:b/>
          <w:w w:val="95"/>
          <w:position w:val="-1"/>
          <w:sz w:val="24"/>
        </w:rPr>
        <w:t>病</w:t>
      </w:r>
      <w:r>
        <w:rPr>
          <w:rFonts w:ascii="华文新魏" w:eastAsia="华文新魏" w:hint="eastAsia"/>
          <w:b/>
          <w:w w:val="95"/>
          <w:position w:val="-1"/>
          <w:sz w:val="24"/>
        </w:rPr>
        <w:t>保</w:t>
      </w:r>
      <w:r>
        <w:rPr>
          <w:rFonts w:ascii="华文新魏" w:eastAsia="华文新魏" w:hint="eastAsia"/>
          <w:b/>
          <w:w w:val="95"/>
          <w:position w:val="-1"/>
          <w:sz w:val="24"/>
        </w:rPr>
        <w:t>险</w:t>
      </w:r>
      <w:r>
        <w:rPr>
          <w:rFonts w:ascii="华文新魏" w:eastAsia="华文新魏" w:hint="eastAsia"/>
          <w:b/>
          <w:w w:val="95"/>
          <w:position w:val="-1"/>
          <w:sz w:val="24"/>
        </w:rPr>
        <w:t>金</w:t>
      </w:r>
      <w:r>
        <w:rPr>
          <w:rFonts w:ascii="华文新魏" w:eastAsia="华文新魏" w:hint="eastAsia"/>
          <w:b/>
          <w:spacing w:val="26"/>
          <w:w w:val="95"/>
          <w:position w:val="-1"/>
          <w:sz w:val="24"/>
        </w:rPr>
        <w:t>、</w:t>
      </w:r>
      <w:r>
        <w:rPr>
          <w:w w:val="95"/>
        </w:rPr>
        <w:t>由</w:t>
      </w:r>
      <w:r>
        <w:rPr>
          <w:w w:val="95"/>
        </w:rPr>
        <w:t>受</w:t>
      </w:r>
      <w:r>
        <w:rPr>
          <w:w w:val="95"/>
        </w:rPr>
        <w:t>益人或被保险人作为</w:t>
      </w:r>
      <w:r>
        <w:rPr>
          <w:w w:val="95"/>
        </w:rPr>
        <w:t>申</w:t>
      </w:r>
      <w:r>
        <w:rPr>
          <w:w w:val="95"/>
        </w:rPr>
        <w:t>请</w:t>
      </w:r>
      <w:r>
        <w:rPr>
          <w:w w:val="95"/>
        </w:rPr>
        <w:t>人填写保险金给付申</w:t>
      </w:r>
      <w:r>
        <w:rPr>
          <w:w w:val="95"/>
        </w:rPr>
        <w:t>请</w:t>
      </w:r>
      <w:r>
        <w:rPr>
          <w:w w:val="95"/>
        </w:rPr>
        <w:t>书</w:t>
      </w:r>
      <w:r>
        <w:rPr>
          <w:spacing w:val="-1"/>
          <w:w w:val="95"/>
        </w:rPr>
        <w:t>，并向我们提供下列资料：</w:t>
      </w:r>
    </w:p>
    <w:p>
      <w:pPr>
        <w:spacing w:line="324" w:lineRule="exact" w:before="0"/>
        <w:ind w:left="1132" w:right="0" w:firstLine="0"/>
        <w:jc w:val="left"/>
        <w:rPr>
          <w:sz w:val="21"/>
        </w:rPr>
      </w:pPr>
      <w:r>
        <w:rPr>
          <w:rFonts w:ascii="华文新魏" w:eastAsia="华文新魏" w:hint="eastAsia"/>
          <w:b/>
          <w:w w:val="95"/>
          <w:position w:val="-2"/>
          <w:sz w:val="24"/>
        </w:rPr>
        <w:t>轻症疾病</w:t>
      </w:r>
      <w:r>
        <w:rPr>
          <w:rFonts w:ascii="华文新魏" w:eastAsia="华文新魏" w:hint="eastAsia"/>
          <w:b/>
          <w:w w:val="95"/>
          <w:position w:val="-2"/>
          <w:sz w:val="24"/>
        </w:rPr>
        <w:t>保</w:t>
      </w:r>
      <w:r>
        <w:rPr>
          <w:rFonts w:ascii="华文新魏" w:eastAsia="华文新魏" w:hint="eastAsia"/>
          <w:b/>
          <w:w w:val="95"/>
          <w:position w:val="-2"/>
          <w:sz w:val="24"/>
        </w:rPr>
        <w:t>险</w:t>
      </w:r>
      <w:r>
        <w:rPr>
          <w:rFonts w:ascii="华文新魏" w:eastAsia="华文新魏" w:hint="eastAsia"/>
          <w:b/>
          <w:w w:val="95"/>
          <w:position w:val="-2"/>
          <w:sz w:val="24"/>
        </w:rPr>
        <w:t>金</w:t>
      </w:r>
      <w:r>
        <w:rPr>
          <w:rFonts w:ascii="华文新魏" w:eastAsia="华文新魏" w:hint="eastAsia"/>
          <w:b/>
          <w:w w:val="95"/>
          <w:position w:val="-2"/>
          <w:sz w:val="24"/>
        </w:rPr>
        <w:t>、</w:t>
      </w:r>
      <w:r>
        <w:rPr>
          <w:rFonts w:ascii="华文新魏" w:eastAsia="华文新魏" w:hint="eastAsia"/>
          <w:b/>
          <w:spacing w:val="67"/>
          <w:position w:val="-2"/>
          <w:sz w:val="24"/>
        </w:rPr>
        <w:t>  </w:t>
      </w:r>
      <w:r>
        <w:rPr>
          <w:w w:val="95"/>
          <w:sz w:val="21"/>
        </w:rPr>
        <w:t>一、</w:t>
      </w:r>
      <w:r>
        <w:rPr>
          <w:w w:val="95"/>
          <w:sz w:val="21"/>
        </w:rPr>
        <w:t>申</w:t>
      </w:r>
      <w:r>
        <w:rPr>
          <w:w w:val="95"/>
          <w:sz w:val="21"/>
        </w:rPr>
        <w:t>请</w:t>
      </w:r>
      <w:r>
        <w:rPr>
          <w:w w:val="95"/>
          <w:sz w:val="21"/>
        </w:rPr>
        <w:t>人的有效身份证</w:t>
      </w:r>
      <w:r>
        <w:rPr>
          <w:w w:val="95"/>
          <w:sz w:val="21"/>
        </w:rPr>
        <w:t>件</w:t>
      </w:r>
      <w:r>
        <w:rPr>
          <w:spacing w:val="-10"/>
          <w:w w:val="95"/>
          <w:sz w:val="21"/>
        </w:rPr>
        <w:t>；</w:t>
      </w:r>
    </w:p>
    <w:p>
      <w:pPr>
        <w:spacing w:after="0" w:line="324" w:lineRule="exact"/>
        <w:jc w:val="left"/>
        <w:rPr>
          <w:sz w:val="21"/>
        </w:rPr>
        <w:sectPr>
          <w:pgSz w:w="11910" w:h="16840"/>
          <w:pgMar w:header="0" w:footer="655" w:top="1400" w:bottom="840" w:left="560" w:right="480"/>
        </w:sectPr>
      </w:pPr>
    </w:p>
    <w:p>
      <w:pPr>
        <w:pStyle w:val="Heading1"/>
        <w:spacing w:line="213" w:lineRule="auto" w:before="7"/>
      </w:pPr>
      <w:r>
        <w:rPr>
          <w:spacing w:val="-2"/>
        </w:rPr>
        <w:t>恶</w:t>
      </w:r>
      <w:r>
        <w:rPr>
          <w:spacing w:val="-2"/>
        </w:rPr>
        <w:t>性</w:t>
      </w:r>
      <w:r>
        <w:rPr>
          <w:spacing w:val="-2"/>
        </w:rPr>
        <w:t>肿</w:t>
      </w:r>
      <w:r>
        <w:rPr>
          <w:spacing w:val="-2"/>
        </w:rPr>
        <w:t>瘤</w:t>
      </w:r>
      <w:r>
        <w:rPr>
          <w:spacing w:val="-2"/>
        </w:rPr>
        <w:t>关</w:t>
      </w:r>
      <w:r>
        <w:rPr>
          <w:spacing w:val="-2"/>
        </w:rPr>
        <w:t>爱</w:t>
      </w:r>
      <w:r>
        <w:rPr>
          <w:spacing w:val="-2"/>
        </w:rPr>
        <w:t>保</w:t>
      </w:r>
      <w:r>
        <w:rPr>
          <w:spacing w:val="-4"/>
        </w:rPr>
        <w:t>险金</w:t>
      </w:r>
      <w:r>
        <w:rPr>
          <w:spacing w:val="-4"/>
        </w:rPr>
        <w:t>申</w:t>
      </w:r>
      <w:r>
        <w:rPr>
          <w:spacing w:val="-4"/>
        </w:rPr>
        <w:t>请</w:t>
      </w:r>
    </w:p>
    <w:p>
      <w:pPr>
        <w:pStyle w:val="BodyText"/>
        <w:spacing w:line="206" w:lineRule="auto"/>
        <w:ind w:left="262"/>
      </w:pPr>
      <w:r>
        <w:rPr/>
        <w:br w:type="column"/>
      </w:r>
      <w:r>
        <w:rPr>
          <w:spacing w:val="-4"/>
        </w:rPr>
        <w:t>二、国家卫生行政部门认定的</w:t>
      </w:r>
      <w:r>
        <w:rPr>
          <w:b/>
          <w:spacing w:val="-149"/>
        </w:rPr>
        <w:t>医</w:t>
      </w:r>
      <w:r>
        <w:rPr>
          <w:spacing w:val="-63"/>
          <w:position w:val="-7"/>
        </w:rPr>
        <w:t>．</w:t>
      </w:r>
      <w:r>
        <w:rPr>
          <w:b/>
          <w:spacing w:val="-149"/>
        </w:rPr>
        <w:t>疗</w:t>
      </w:r>
      <w:r>
        <w:rPr>
          <w:spacing w:val="-63"/>
          <w:position w:val="-7"/>
        </w:rPr>
        <w:t>．</w:t>
      </w:r>
      <w:r>
        <w:rPr>
          <w:b/>
          <w:spacing w:val="-149"/>
        </w:rPr>
        <w:t>机</w:t>
      </w:r>
      <w:r>
        <w:rPr>
          <w:spacing w:val="-63"/>
          <w:position w:val="-7"/>
        </w:rPr>
        <w:t>．</w:t>
      </w:r>
      <w:r>
        <w:rPr>
          <w:b/>
          <w:spacing w:val="-149"/>
        </w:rPr>
        <w:t>构</w:t>
      </w:r>
      <w:r>
        <w:rPr>
          <w:spacing w:val="-108"/>
          <w:position w:val="-7"/>
        </w:rPr>
        <w:t>．</w:t>
      </w:r>
      <w:r>
        <w:rPr>
          <w:spacing w:val="-3"/>
        </w:rPr>
        <w:t>（</w:t>
      </w:r>
      <w:r>
        <w:rPr>
          <w:spacing w:val="-9"/>
        </w:rPr>
        <w:t>见 </w:t>
      </w:r>
      <w:r>
        <w:rPr>
          <w:spacing w:val="-4"/>
        </w:rPr>
        <w:t>10.24）</w:t>
      </w:r>
      <w:r>
        <w:rPr>
          <w:spacing w:val="-5"/>
        </w:rPr>
        <w:t>出具的可证明被保险人患本合</w:t>
      </w:r>
    </w:p>
    <w:p>
      <w:pPr>
        <w:pStyle w:val="BodyText"/>
        <w:spacing w:line="278" w:lineRule="auto" w:before="41"/>
        <w:ind w:left="683" w:right="325"/>
      </w:pPr>
      <w:r>
        <w:rPr>
          <w:spacing w:val="-2"/>
        </w:rPr>
        <w:t>同约定的重大疾病、轻症疾病或“恶性肿瘤——重度”的诊断证明和诊断所</w:t>
      </w:r>
      <w:r>
        <w:rPr>
          <w:spacing w:val="-2"/>
        </w:rPr>
        <w:t>患重大疾病、轻症疾病或“恶性肿瘤——重度”必需的检查报告；</w:t>
      </w:r>
    </w:p>
    <w:p>
      <w:pPr>
        <w:pStyle w:val="BodyText"/>
        <w:spacing w:before="1"/>
        <w:ind w:left="262"/>
      </w:pPr>
      <w:r>
        <w:rPr>
          <w:spacing w:val="-3"/>
        </w:rPr>
        <w:t>三、所能提供的与确认保险事故的性质、原因、伤害程度等有关的其他资料。</w:t>
      </w:r>
    </w:p>
    <w:p>
      <w:pPr>
        <w:spacing w:after="0"/>
        <w:sectPr>
          <w:type w:val="continuous"/>
          <w:pgSz w:w="11910" w:h="16840"/>
          <w:pgMar w:header="0" w:footer="655" w:top="140" w:bottom="280" w:left="560" w:right="480"/>
          <w:cols w:num="2" w:equalWidth="0">
            <w:col w:w="2815" w:space="40"/>
            <w:col w:w="8015"/>
          </w:cols>
        </w:sectPr>
      </w:pPr>
    </w:p>
    <w:p>
      <w:pPr>
        <w:pStyle w:val="BodyText"/>
        <w:spacing w:before="4"/>
        <w:rPr>
          <w:sz w:val="15"/>
        </w:rPr>
      </w:pPr>
    </w:p>
    <w:p>
      <w:pPr>
        <w:pStyle w:val="BodyText"/>
        <w:tabs>
          <w:tab w:pos="3081" w:val="left" w:leader="none"/>
        </w:tabs>
        <w:spacing w:line="218" w:lineRule="auto" w:before="78"/>
        <w:ind w:left="3081" w:right="322" w:hanging="1949"/>
      </w:pPr>
      <w:r>
        <w:rPr>
          <w:rFonts w:ascii="华文新魏" w:eastAsia="华文新魏" w:hint="eastAsia"/>
          <w:b/>
          <w:spacing w:val="-2"/>
          <w:position w:val="-1"/>
          <w:sz w:val="24"/>
        </w:rPr>
        <w:t>身故保险</w:t>
      </w:r>
      <w:r>
        <w:rPr>
          <w:rFonts w:ascii="华文新魏" w:eastAsia="华文新魏" w:hint="eastAsia"/>
          <w:b/>
          <w:spacing w:val="-2"/>
          <w:position w:val="-1"/>
          <w:sz w:val="24"/>
        </w:rPr>
        <w:t>金</w:t>
      </w:r>
      <w:r>
        <w:rPr>
          <w:rFonts w:ascii="华文新魏" w:eastAsia="华文新魏" w:hint="eastAsia"/>
          <w:b/>
          <w:spacing w:val="-2"/>
          <w:position w:val="-1"/>
          <w:sz w:val="24"/>
        </w:rPr>
        <w:t>申</w:t>
      </w:r>
      <w:r>
        <w:rPr>
          <w:rFonts w:ascii="华文新魏" w:eastAsia="华文新魏" w:hint="eastAsia"/>
          <w:b/>
          <w:spacing w:val="-2"/>
          <w:position w:val="-1"/>
          <w:sz w:val="24"/>
        </w:rPr>
        <w:t>请</w:t>
      </w:r>
      <w:r>
        <w:rPr>
          <w:rFonts w:ascii="华文新魏" w:eastAsia="华文新魏" w:hint="eastAsia"/>
          <w:b/>
          <w:position w:val="-1"/>
          <w:sz w:val="24"/>
        </w:rPr>
        <w:tab/>
      </w:r>
      <w:r>
        <w:rPr>
          <w:spacing w:val="-2"/>
        </w:rPr>
        <w:t>由</w:t>
      </w:r>
      <w:r>
        <w:rPr>
          <w:spacing w:val="-2"/>
        </w:rPr>
        <w:t>身</w:t>
      </w:r>
      <w:r>
        <w:rPr>
          <w:spacing w:val="-2"/>
        </w:rPr>
        <w:t>故保险金受益人或被</w:t>
      </w:r>
      <w:r>
        <w:rPr>
          <w:spacing w:val="-2"/>
        </w:rPr>
        <w:t>保</w:t>
      </w:r>
      <w:r>
        <w:rPr>
          <w:spacing w:val="-2"/>
        </w:rPr>
        <w:t>险</w:t>
      </w:r>
      <w:r>
        <w:rPr>
          <w:spacing w:val="-2"/>
        </w:rPr>
        <w:t>人的继承人作为申请人填写保险金给付申请书</w:t>
      </w:r>
      <w:r>
        <w:rPr>
          <w:spacing w:val="-108"/>
        </w:rPr>
        <w:t>，</w:t>
      </w:r>
      <w:r>
        <w:rPr>
          <w:spacing w:val="-2"/>
        </w:rPr>
        <w:t>并</w:t>
      </w:r>
      <w:r>
        <w:rPr>
          <w:spacing w:val="-2"/>
        </w:rPr>
        <w:t>向</w:t>
      </w:r>
      <w:r>
        <w:rPr>
          <w:spacing w:val="-2"/>
        </w:rPr>
        <w:t>我</w:t>
      </w:r>
      <w:r>
        <w:rPr>
          <w:spacing w:val="-2"/>
        </w:rPr>
        <w:t>们</w:t>
      </w:r>
      <w:r>
        <w:rPr>
          <w:spacing w:val="-2"/>
        </w:rPr>
        <w:t>提供下列资</w:t>
      </w:r>
      <w:r>
        <w:rPr>
          <w:spacing w:val="-2"/>
        </w:rPr>
        <w:t>料</w:t>
      </w:r>
      <w:r>
        <w:rPr>
          <w:spacing w:val="-2"/>
        </w:rPr>
        <w:t>：</w:t>
      </w:r>
    </w:p>
    <w:p>
      <w:pPr>
        <w:pStyle w:val="BodyText"/>
        <w:spacing w:before="48"/>
        <w:ind w:left="3117"/>
      </w:pPr>
      <w:r>
        <w:rPr>
          <w:spacing w:val="-3"/>
        </w:rPr>
        <w:t>一、申请人的有效身份证件；</w:t>
      </w:r>
    </w:p>
    <w:p>
      <w:pPr>
        <w:pStyle w:val="BodyText"/>
        <w:spacing w:line="278" w:lineRule="auto" w:before="43"/>
        <w:ind w:left="3537" w:right="329" w:hanging="421"/>
      </w:pPr>
      <w:r>
        <w:rPr>
          <w:spacing w:val="-2"/>
        </w:rPr>
        <w:t>二、国家卫生行政部门认定的医疗机构、公安部门或其他相关机构出具的被保险</w:t>
      </w:r>
      <w:r>
        <w:rPr>
          <w:spacing w:val="-2"/>
        </w:rPr>
        <w:t>人死亡证明；</w:t>
      </w:r>
    </w:p>
    <w:p>
      <w:pPr>
        <w:pStyle w:val="BodyText"/>
        <w:spacing w:line="269" w:lineRule="exact"/>
        <w:ind w:left="3117"/>
      </w:pPr>
      <w:r>
        <w:rPr>
          <w:spacing w:val="-3"/>
        </w:rPr>
        <w:t>三、被保险人的户籍注销证明；</w:t>
      </w:r>
    </w:p>
    <w:p>
      <w:pPr>
        <w:pStyle w:val="BodyText"/>
        <w:spacing w:before="43"/>
        <w:ind w:left="3117"/>
      </w:pPr>
      <w:r>
        <w:rPr>
          <w:spacing w:val="-3"/>
        </w:rPr>
        <w:t>四、所能提供的与确认保险事故的性质、原因等有关的其他资料。</w:t>
      </w:r>
    </w:p>
    <w:p>
      <w:pPr>
        <w:pStyle w:val="BodyText"/>
        <w:spacing w:before="9"/>
        <w:rPr>
          <w:sz w:val="28"/>
        </w:rPr>
      </w:pPr>
    </w:p>
    <w:p>
      <w:pPr>
        <w:pStyle w:val="BodyText"/>
        <w:tabs>
          <w:tab w:pos="3117" w:val="left" w:leader="none"/>
        </w:tabs>
        <w:spacing w:line="218" w:lineRule="auto"/>
        <w:ind w:left="3537" w:right="329" w:hanging="2406"/>
      </w:pPr>
      <w:r>
        <w:rPr>
          <w:rFonts w:ascii="华文新魏" w:eastAsia="华文新魏" w:hint="eastAsia"/>
          <w:b/>
          <w:spacing w:val="-2"/>
          <w:position w:val="-1"/>
          <w:sz w:val="24"/>
        </w:rPr>
        <w:t>特</w:t>
      </w:r>
      <w:r>
        <w:rPr>
          <w:rFonts w:ascii="华文新魏" w:eastAsia="华文新魏" w:hint="eastAsia"/>
          <w:b/>
          <w:spacing w:val="-2"/>
          <w:position w:val="-1"/>
          <w:sz w:val="24"/>
        </w:rPr>
        <w:t>别</w:t>
      </w:r>
      <w:r>
        <w:rPr>
          <w:rFonts w:ascii="华文新魏" w:eastAsia="华文新魏" w:hint="eastAsia"/>
          <w:b/>
          <w:spacing w:val="-2"/>
          <w:position w:val="-1"/>
          <w:sz w:val="24"/>
        </w:rPr>
        <w:t>注</w:t>
      </w:r>
      <w:r>
        <w:rPr>
          <w:rFonts w:ascii="华文新魏" w:eastAsia="华文新魏" w:hint="eastAsia"/>
          <w:b/>
          <w:spacing w:val="-2"/>
          <w:position w:val="-1"/>
          <w:sz w:val="24"/>
        </w:rPr>
        <w:t>意</w:t>
      </w:r>
      <w:r>
        <w:rPr>
          <w:rFonts w:ascii="华文新魏" w:eastAsia="华文新魏" w:hint="eastAsia"/>
          <w:b/>
          <w:spacing w:val="-2"/>
          <w:position w:val="-1"/>
          <w:sz w:val="24"/>
        </w:rPr>
        <w:t>事</w:t>
      </w:r>
      <w:r>
        <w:rPr>
          <w:rFonts w:ascii="华文新魏" w:eastAsia="华文新魏" w:hint="eastAsia"/>
          <w:b/>
          <w:spacing w:val="-2"/>
          <w:position w:val="-1"/>
          <w:sz w:val="24"/>
        </w:rPr>
        <w:t>项</w:t>
      </w:r>
      <w:r>
        <w:rPr>
          <w:rFonts w:ascii="华文新魏" w:eastAsia="华文新魏" w:hint="eastAsia"/>
          <w:b/>
          <w:position w:val="-1"/>
          <w:sz w:val="24"/>
        </w:rPr>
        <w:tab/>
      </w:r>
      <w:r>
        <w:rPr>
          <w:spacing w:val="-2"/>
        </w:rPr>
        <w:t>一、委托他</w:t>
      </w:r>
      <w:r>
        <w:rPr>
          <w:spacing w:val="-2"/>
        </w:rPr>
        <w:t>人</w:t>
      </w:r>
      <w:r>
        <w:rPr>
          <w:spacing w:val="-2"/>
        </w:rPr>
        <w:t>领</w:t>
      </w:r>
      <w:r>
        <w:rPr>
          <w:spacing w:val="-2"/>
        </w:rPr>
        <w:t>取保险</w:t>
      </w:r>
      <w:r>
        <w:rPr>
          <w:spacing w:val="-2"/>
        </w:rPr>
        <w:t>金</w:t>
      </w:r>
      <w:r>
        <w:rPr>
          <w:spacing w:val="-2"/>
        </w:rPr>
        <w:t>时</w:t>
      </w:r>
      <w:r>
        <w:rPr>
          <w:spacing w:val="-2"/>
        </w:rPr>
        <w:t>，受托人</w:t>
      </w:r>
      <w:r>
        <w:rPr>
          <w:spacing w:val="-2"/>
        </w:rPr>
        <w:t>还</w:t>
      </w:r>
      <w:r>
        <w:rPr>
          <w:spacing w:val="-2"/>
        </w:rPr>
        <w:t>必</w:t>
      </w:r>
      <w:r>
        <w:rPr>
          <w:spacing w:val="-2"/>
        </w:rPr>
        <w:t>须提供</w:t>
      </w:r>
      <w:r>
        <w:rPr>
          <w:spacing w:val="-2"/>
        </w:rPr>
        <w:t>委</w:t>
      </w:r>
      <w:r>
        <w:rPr>
          <w:spacing w:val="-2"/>
        </w:rPr>
        <w:t>托</w:t>
      </w:r>
      <w:r>
        <w:rPr>
          <w:spacing w:val="-2"/>
        </w:rPr>
        <w:t>人</w:t>
      </w:r>
      <w:r>
        <w:rPr>
          <w:spacing w:val="-2"/>
        </w:rPr>
        <w:t>及本人</w:t>
      </w:r>
      <w:r>
        <w:rPr>
          <w:spacing w:val="-2"/>
        </w:rPr>
        <w:t>的</w:t>
      </w:r>
      <w:r>
        <w:rPr>
          <w:spacing w:val="-2"/>
        </w:rPr>
        <w:t>有</w:t>
      </w:r>
      <w:r>
        <w:rPr>
          <w:spacing w:val="-2"/>
        </w:rPr>
        <w:t>效身份证件</w:t>
      </w:r>
      <w:r>
        <w:rPr>
          <w:spacing w:val="-2"/>
        </w:rPr>
        <w:t>原</w:t>
      </w:r>
      <w:r>
        <w:rPr>
          <w:spacing w:val="-2"/>
        </w:rPr>
        <w:t>件</w:t>
      </w:r>
      <w:r>
        <w:rPr>
          <w:spacing w:val="-2"/>
        </w:rPr>
        <w:t>及</w:t>
      </w:r>
      <w:r>
        <w:rPr>
          <w:spacing w:val="-2"/>
        </w:rPr>
        <w:t>委托人亲笔签名的授</w:t>
      </w:r>
      <w:r>
        <w:rPr>
          <w:spacing w:val="-2"/>
        </w:rPr>
        <w:t>权</w:t>
      </w:r>
      <w:r>
        <w:rPr>
          <w:spacing w:val="-2"/>
        </w:rPr>
        <w:t>委</w:t>
      </w:r>
      <w:r>
        <w:rPr>
          <w:spacing w:val="-2"/>
        </w:rPr>
        <w:t>托</w:t>
      </w:r>
      <w:r>
        <w:rPr>
          <w:spacing w:val="-2"/>
        </w:rPr>
        <w:t>书</w:t>
      </w:r>
      <w:r>
        <w:rPr>
          <w:spacing w:val="-2"/>
        </w:rPr>
        <w:t>。</w:t>
      </w:r>
    </w:p>
    <w:p>
      <w:pPr>
        <w:pStyle w:val="BodyText"/>
        <w:spacing w:line="278" w:lineRule="auto" w:before="48"/>
        <w:ind w:left="3537" w:right="327" w:hanging="421"/>
      </w:pPr>
      <w:r>
        <w:rPr>
          <w:spacing w:val="-2"/>
        </w:rPr>
        <w:t>二、保险金作为被保险人遗产时，继承人还必须提供可证明其合法继承权的相关</w:t>
      </w:r>
      <w:r>
        <w:rPr>
          <w:spacing w:val="-2"/>
        </w:rPr>
        <w:t>权利文件。</w:t>
      </w:r>
    </w:p>
    <w:p>
      <w:pPr>
        <w:pStyle w:val="BodyText"/>
        <w:spacing w:line="278" w:lineRule="auto"/>
        <w:ind w:left="3537" w:right="329" w:hanging="421"/>
        <w:jc w:val="both"/>
      </w:pPr>
      <w:r>
        <w:rPr>
          <w:spacing w:val="-2"/>
        </w:rPr>
        <w:t>三、受益人、被保险人或者继承人为无民事行为能力人或者限制民事行为能力人</w:t>
      </w:r>
      <w:r>
        <w:rPr>
          <w:spacing w:val="-2"/>
        </w:rPr>
        <w:t>时，由其合法监护人代其申请领取保险金，其合法监护人还必须提供受益人或者继承人为无民事行为能力人或者限制民事行为能力人的证明和监护人具</w:t>
      </w:r>
      <w:r>
        <w:rPr>
          <w:spacing w:val="-2"/>
        </w:rPr>
        <w:t>有合法监护权的证明。</w:t>
      </w:r>
    </w:p>
    <w:p>
      <w:pPr>
        <w:pStyle w:val="BodyText"/>
        <w:spacing w:line="269" w:lineRule="exact"/>
        <w:ind w:left="3117"/>
      </w:pPr>
      <w:r>
        <w:rPr>
          <w:spacing w:val="-3"/>
        </w:rPr>
        <w:t>四、上述申请资料不完整的，我们将及时一次性通知申请人补充提供有关资料。</w:t>
      </w:r>
    </w:p>
    <w:p>
      <w:pPr>
        <w:pStyle w:val="BodyText"/>
      </w:pPr>
    </w:p>
    <w:p>
      <w:pPr>
        <w:pStyle w:val="ListParagraph"/>
        <w:numPr>
          <w:ilvl w:val="1"/>
          <w:numId w:val="7"/>
        </w:numPr>
        <w:tabs>
          <w:tab w:pos="1132" w:val="left" w:leader="none"/>
          <w:tab w:pos="1133" w:val="left" w:leader="none"/>
          <w:tab w:pos="3117" w:val="left" w:leader="none"/>
        </w:tabs>
        <w:spacing w:line="240" w:lineRule="auto" w:before="0" w:after="0"/>
        <w:ind w:left="1132" w:right="0" w:hanging="904"/>
        <w:jc w:val="left"/>
        <w:rPr>
          <w:sz w:val="21"/>
        </w:rPr>
      </w:pPr>
      <w:r>
        <w:rPr>
          <w:b/>
          <w:sz w:val="21"/>
        </w:rPr>
        <w:t>宣告死亡处</w:t>
      </w:r>
      <w:r>
        <w:rPr>
          <w:b/>
          <w:spacing w:val="-10"/>
          <w:sz w:val="21"/>
        </w:rPr>
        <w:t>理</w:t>
      </w:r>
      <w:r>
        <w:rPr>
          <w:b/>
          <w:sz w:val="21"/>
        </w:rPr>
        <w:tab/>
      </w:r>
      <w:r>
        <w:rPr>
          <w:sz w:val="21"/>
        </w:rPr>
        <w:t>一、若被保</w:t>
      </w:r>
      <w:r>
        <w:rPr>
          <w:sz w:val="21"/>
        </w:rPr>
        <w:t>险人在本合</w:t>
      </w:r>
      <w:r>
        <w:rPr>
          <w:sz w:val="21"/>
        </w:rPr>
        <w:t>同有效期间内</w:t>
      </w:r>
      <w:r>
        <w:rPr>
          <w:sz w:val="21"/>
        </w:rPr>
        <w:t>被人民法院</w:t>
      </w:r>
      <w:r>
        <w:rPr>
          <w:sz w:val="21"/>
        </w:rPr>
        <w:t>宣告死亡，保</w:t>
      </w:r>
      <w:r>
        <w:rPr>
          <w:sz w:val="21"/>
        </w:rPr>
        <w:t>险金申请人在申</w:t>
      </w:r>
      <w:r>
        <w:rPr>
          <w:spacing w:val="-10"/>
          <w:sz w:val="21"/>
        </w:rPr>
        <w:t>请</w:t>
      </w:r>
    </w:p>
    <w:p>
      <w:pPr>
        <w:pStyle w:val="BodyText"/>
        <w:spacing w:line="278" w:lineRule="auto" w:before="43"/>
        <w:ind w:left="3537" w:right="329"/>
      </w:pPr>
      <w:r>
        <w:rPr>
          <w:spacing w:val="-2"/>
        </w:rPr>
        <w:t>身故保险金时还须提供人民法院出具的具有最终法律效力的宣告死亡证明文</w:t>
      </w:r>
      <w:r>
        <w:rPr>
          <w:spacing w:val="-6"/>
        </w:rPr>
        <w:t>件。</w:t>
      </w:r>
    </w:p>
    <w:p>
      <w:pPr>
        <w:pStyle w:val="BodyText"/>
        <w:spacing w:line="278" w:lineRule="auto"/>
        <w:ind w:left="3537" w:right="329" w:hanging="421"/>
        <w:jc w:val="both"/>
      </w:pPr>
      <w:r>
        <w:rPr>
          <w:spacing w:val="-2"/>
        </w:rPr>
        <w:t>二、若被保险人在本合同有效期间内非因意外事件下落不明被人民法院宣告死亡</w:t>
      </w:r>
      <w:r>
        <w:rPr>
          <w:spacing w:val="-2"/>
        </w:rPr>
        <w:t>的，我们将以人民法院出具的具有最终法律效力的宣告死亡证明文件所确定的死亡日期为被保险人身故日；若被保险人在本合同有效期间内因意外事件下落不明被人民法院宣告死亡的，我们将以意外事件发生之日视为被保险人</w:t>
      </w:r>
      <w:r>
        <w:rPr>
          <w:spacing w:val="-4"/>
        </w:rPr>
        <w:t>身故日。</w:t>
      </w:r>
    </w:p>
    <w:p>
      <w:pPr>
        <w:pStyle w:val="BodyText"/>
        <w:spacing w:line="278" w:lineRule="auto"/>
        <w:ind w:left="3537" w:right="322" w:hanging="421"/>
        <w:jc w:val="both"/>
      </w:pPr>
      <w:r>
        <w:rPr>
          <w:spacing w:val="-2"/>
        </w:rPr>
        <w:t>三、若被保险人在人民法院宣告死亡之后重新出现或确知其没有死亡，保险金申</w:t>
      </w:r>
      <w:r>
        <w:rPr>
          <w:spacing w:val="-1"/>
        </w:rPr>
        <w:t>请人应于知道或应当知道被保险人生还消息之日起30</w:t>
      </w:r>
      <w:r>
        <w:rPr>
          <w:spacing w:val="-6"/>
        </w:rPr>
        <w:t> 日内将已领取的身故保</w:t>
      </w:r>
      <w:r>
        <w:rPr>
          <w:spacing w:val="-2"/>
        </w:rPr>
        <w:t>险金一次性返还给我们，本合同的效力由您和我们双方依法协商处理。</w:t>
      </w:r>
    </w:p>
    <w:p>
      <w:pPr>
        <w:pStyle w:val="BodyText"/>
        <w:spacing w:before="1"/>
        <w:rPr>
          <w:sz w:val="24"/>
        </w:rPr>
      </w:pPr>
    </w:p>
    <w:p>
      <w:pPr>
        <w:pStyle w:val="ListParagraph"/>
        <w:numPr>
          <w:ilvl w:val="1"/>
          <w:numId w:val="7"/>
        </w:numPr>
        <w:tabs>
          <w:tab w:pos="1132" w:val="left" w:leader="none"/>
          <w:tab w:pos="1133" w:val="left" w:leader="none"/>
          <w:tab w:pos="3081" w:val="left" w:leader="none"/>
        </w:tabs>
        <w:spacing w:line="240" w:lineRule="auto" w:before="0" w:after="0"/>
        <w:ind w:left="1132" w:right="0" w:hanging="904"/>
        <w:jc w:val="left"/>
        <w:rPr>
          <w:sz w:val="21"/>
        </w:rPr>
      </w:pPr>
      <w:r>
        <w:rPr>
          <w:b/>
          <w:sz w:val="21"/>
        </w:rPr>
        <w:t>保险金给</w:t>
      </w:r>
      <w:r>
        <w:rPr>
          <w:b/>
          <w:spacing w:val="-10"/>
          <w:sz w:val="21"/>
        </w:rPr>
        <w:t>付</w:t>
      </w:r>
      <w:r>
        <w:rPr>
          <w:b/>
          <w:sz w:val="21"/>
        </w:rPr>
        <w:tab/>
      </w:r>
      <w:r>
        <w:rPr>
          <w:spacing w:val="-2"/>
          <w:sz w:val="21"/>
        </w:rPr>
        <w:t>一、</w:t>
      </w:r>
      <w:r>
        <w:rPr>
          <w:spacing w:val="-2"/>
          <w:sz w:val="21"/>
        </w:rPr>
        <w:t>我</w:t>
      </w:r>
      <w:r>
        <w:rPr>
          <w:spacing w:val="-2"/>
          <w:sz w:val="21"/>
        </w:rPr>
        <w:t>们</w:t>
      </w:r>
      <w:r>
        <w:rPr>
          <w:spacing w:val="-2"/>
          <w:sz w:val="21"/>
        </w:rPr>
        <w:t>在收到保险金给付申</w:t>
      </w:r>
      <w:r>
        <w:rPr>
          <w:spacing w:val="-2"/>
          <w:sz w:val="21"/>
        </w:rPr>
        <w:t>请</w:t>
      </w:r>
      <w:r>
        <w:rPr>
          <w:spacing w:val="-2"/>
          <w:sz w:val="21"/>
        </w:rPr>
        <w:t>书</w:t>
      </w:r>
      <w:r>
        <w:rPr>
          <w:spacing w:val="-2"/>
          <w:sz w:val="21"/>
        </w:rPr>
        <w:t>及本合同约定的资料后，将在</w:t>
      </w:r>
      <w:r>
        <w:rPr>
          <w:spacing w:val="-40"/>
          <w:sz w:val="21"/>
        </w:rPr>
        <w:t> </w:t>
      </w:r>
      <w:r>
        <w:rPr>
          <w:spacing w:val="-2"/>
          <w:sz w:val="21"/>
        </w:rPr>
        <w:t>5</w:t>
      </w:r>
      <w:r>
        <w:rPr>
          <w:spacing w:val="-42"/>
          <w:sz w:val="21"/>
        </w:rPr>
        <w:t> </w:t>
      </w:r>
      <w:r>
        <w:rPr>
          <w:spacing w:val="-2"/>
          <w:sz w:val="21"/>
        </w:rPr>
        <w:t>日内作出核定</w:t>
      </w:r>
      <w:r>
        <w:rPr>
          <w:spacing w:val="-10"/>
          <w:sz w:val="21"/>
        </w:rPr>
        <w:t>；</w:t>
      </w:r>
    </w:p>
    <w:p>
      <w:pPr>
        <w:spacing w:after="0" w:line="240" w:lineRule="auto"/>
        <w:jc w:val="left"/>
        <w:rPr>
          <w:sz w:val="21"/>
        </w:rPr>
        <w:sectPr>
          <w:type w:val="continuous"/>
          <w:pgSz w:w="11910" w:h="16840"/>
          <w:pgMar w:header="0" w:footer="655" w:top="140" w:bottom="280" w:left="560" w:right="480"/>
        </w:sectPr>
      </w:pPr>
    </w:p>
    <w:p>
      <w:pPr>
        <w:pStyle w:val="BodyText"/>
        <w:spacing w:before="58"/>
        <w:ind w:left="3487"/>
      </w:pPr>
      <w:r>
        <w:rPr>
          <w:spacing w:val="-7"/>
        </w:rPr>
        <w:t>情形复杂的，在 </w:t>
      </w:r>
      <w:r>
        <w:rPr>
          <w:spacing w:val="-2"/>
        </w:rPr>
        <w:t>30</w:t>
      </w:r>
      <w:r>
        <w:rPr>
          <w:spacing w:val="-9"/>
        </w:rPr>
        <w:t> 日内作出核定。对属于保险责任的，我们在与受益人达成</w:t>
      </w:r>
    </w:p>
    <w:p>
      <w:pPr>
        <w:pStyle w:val="BodyText"/>
        <w:spacing w:before="43"/>
        <w:ind w:left="3487"/>
      </w:pPr>
      <w:r>
        <w:rPr>
          <w:spacing w:val="-7"/>
        </w:rPr>
        <w:t>给付保险金的协议后 </w:t>
      </w:r>
      <w:r>
        <w:rPr>
          <w:spacing w:val="-2"/>
        </w:rPr>
        <w:t>10</w:t>
      </w:r>
      <w:r>
        <w:rPr>
          <w:spacing w:val="-10"/>
        </w:rPr>
        <w:t> 日内，履行给付保险金义务。</w:t>
      </w:r>
    </w:p>
    <w:p>
      <w:pPr>
        <w:pStyle w:val="BodyText"/>
        <w:spacing w:line="278" w:lineRule="auto" w:before="43"/>
        <w:ind w:left="3487" w:right="330" w:hanging="407"/>
      </w:pPr>
      <w:r>
        <w:rPr/>
        <w:t>二、我们未及时履行前款规定义务的，除支付保险金外，应当赔偿受益人因此受</w:t>
      </w:r>
      <w:r>
        <w:rPr>
          <w:spacing w:val="-2"/>
        </w:rPr>
        <w:t>到的损失。</w:t>
      </w:r>
    </w:p>
    <w:p>
      <w:pPr>
        <w:pStyle w:val="BodyText"/>
        <w:spacing w:line="278" w:lineRule="auto"/>
        <w:ind w:left="3487" w:right="322" w:hanging="407"/>
      </w:pPr>
      <w:r>
        <w:rPr>
          <w:spacing w:val="-1"/>
        </w:rPr>
        <w:t>三、对不属于保险责任的，我们自作出核定之日起 </w:t>
      </w:r>
      <w:r>
        <w:rPr/>
        <w:t>3</w:t>
      </w:r>
      <w:r>
        <w:rPr>
          <w:spacing w:val="-5"/>
        </w:rPr>
        <w:t> 日内向受益人发出拒绝给付</w:t>
      </w:r>
      <w:r>
        <w:rPr>
          <w:spacing w:val="-2"/>
        </w:rPr>
        <w:t>保险金通知书并说明理由。</w:t>
      </w:r>
    </w:p>
    <w:p>
      <w:pPr>
        <w:pStyle w:val="BodyText"/>
        <w:spacing w:line="278" w:lineRule="auto"/>
        <w:ind w:left="3487" w:right="322" w:hanging="407"/>
        <w:jc w:val="both"/>
      </w:pPr>
      <w:r>
        <w:rPr>
          <w:spacing w:val="-3"/>
        </w:rPr>
        <w:t>四、我们在收到保险金给付申请书及本合同约定的资料之日起 </w:t>
      </w:r>
      <w:r>
        <w:rPr>
          <w:spacing w:val="-2"/>
        </w:rPr>
        <w:t>60</w:t>
      </w:r>
      <w:r>
        <w:rPr>
          <w:spacing w:val="-7"/>
        </w:rPr>
        <w:t> 日内，对给付保</w:t>
      </w:r>
      <w:r>
        <w:rPr>
          <w:spacing w:val="-4"/>
        </w:rPr>
        <w:t>险金的数额不能确定的，根据已有资料可以确定的数额先予支付；我们最终确</w:t>
      </w:r>
      <w:r>
        <w:rPr>
          <w:spacing w:val="-2"/>
        </w:rPr>
        <w:t>定给付保险金的数额后，再给付相应的差额。</w:t>
      </w:r>
    </w:p>
    <w:p>
      <w:pPr>
        <w:pStyle w:val="BodyText"/>
        <w:rPr>
          <w:sz w:val="18"/>
        </w:rPr>
      </w:pPr>
    </w:p>
    <w:p>
      <w:pPr>
        <w:pStyle w:val="ListParagraph"/>
        <w:numPr>
          <w:ilvl w:val="1"/>
          <w:numId w:val="7"/>
        </w:numPr>
        <w:tabs>
          <w:tab w:pos="1133" w:val="left" w:leader="none"/>
        </w:tabs>
        <w:spacing w:line="300" w:lineRule="auto" w:before="1" w:after="0"/>
        <w:ind w:left="3081" w:right="322" w:hanging="2852"/>
        <w:jc w:val="both"/>
        <w:rPr>
          <w:sz w:val="21"/>
        </w:rPr>
      </w:pPr>
      <w:r>
        <w:rPr>
          <w:b/>
          <w:position w:val="2"/>
          <w:sz w:val="21"/>
        </w:rPr>
        <w:t>诉讼时效</w:t>
      </w:r>
      <w:r>
        <w:rPr>
          <w:b/>
          <w:spacing w:val="971"/>
          <w:position w:val="2"/>
          <w:sz w:val="21"/>
        </w:rPr>
        <w:t> </w:t>
      </w:r>
      <w:r>
        <w:rPr>
          <w:spacing w:val="-5"/>
          <w:sz w:val="21"/>
        </w:rPr>
        <w:t>申请人向我们请求给付身故保险金的诉讼时效期间为五年，除身故保险金外其他保</w:t>
      </w:r>
      <w:r>
        <w:rPr>
          <w:spacing w:val="-12"/>
          <w:sz w:val="21"/>
        </w:rPr>
        <w:t>险金，申请人向我们请求给付保险金的诉讼时效期间为两年，自其知道或者应当知</w:t>
      </w:r>
      <w:r>
        <w:rPr>
          <w:spacing w:val="-2"/>
          <w:sz w:val="21"/>
        </w:rPr>
        <w:t>道保险事故发生之日起计算。</w:t>
      </w:r>
    </w:p>
    <w:p>
      <w:pPr>
        <w:pStyle w:val="BodyText"/>
        <w:rPr>
          <w:sz w:val="14"/>
        </w:rPr>
      </w:pPr>
    </w:p>
    <w:p>
      <w:pPr>
        <w:tabs>
          <w:tab w:pos="1132" w:val="left" w:leader="none"/>
        </w:tabs>
        <w:spacing w:before="100"/>
        <w:ind w:left="392"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保险费</w:t>
      </w:r>
      <w:r>
        <w:rPr>
          <w:b/>
          <w:w w:val="95"/>
          <w:sz w:val="24"/>
        </w:rPr>
        <w:t>的</w:t>
      </w:r>
      <w:r>
        <w:rPr>
          <w:b/>
          <w:w w:val="95"/>
          <w:sz w:val="24"/>
        </w:rPr>
        <w:t>交</w:t>
      </w:r>
      <w:r>
        <w:rPr>
          <w:b/>
          <w:spacing w:val="-10"/>
          <w:w w:val="95"/>
          <w:sz w:val="24"/>
        </w:rPr>
        <w:t>纳</w:t>
      </w:r>
    </w:p>
    <w:p>
      <w:pPr>
        <w:pStyle w:val="BodyText"/>
        <w:rPr>
          <w:b/>
          <w:sz w:val="6"/>
        </w:rPr>
      </w:pPr>
      <w:r>
        <w:rPr/>
        <w:drawing>
          <wp:anchor distT="0" distB="0" distL="0" distR="0" allowOverlap="1" layoutInCell="1" locked="0" behindDoc="0" simplePos="0" relativeHeight="4">
            <wp:simplePos x="0" y="0"/>
            <wp:positionH relativeFrom="page">
              <wp:posOffset>431291</wp:posOffset>
            </wp:positionH>
            <wp:positionV relativeFrom="paragraph">
              <wp:posOffset>64276</wp:posOffset>
            </wp:positionV>
            <wp:extent cx="6735960"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735960" cy="12287"/>
                    </a:xfrm>
                    <a:prstGeom prst="rect">
                      <a:avLst/>
                    </a:prstGeom>
                  </pic:spPr>
                </pic:pic>
              </a:graphicData>
            </a:graphic>
          </wp:anchor>
        </w:drawing>
      </w:r>
    </w:p>
    <w:p>
      <w:pPr>
        <w:pStyle w:val="ListParagraph"/>
        <w:numPr>
          <w:ilvl w:val="1"/>
          <w:numId w:val="8"/>
        </w:numPr>
        <w:tabs>
          <w:tab w:pos="1132" w:val="left" w:leader="none"/>
          <w:tab w:pos="1133" w:val="left" w:leader="none"/>
          <w:tab w:pos="3081" w:val="left" w:leader="none"/>
        </w:tabs>
        <w:spacing w:line="278" w:lineRule="auto" w:before="231" w:after="0"/>
        <w:ind w:left="3081" w:right="323" w:hanging="2852"/>
        <w:jc w:val="left"/>
        <w:rPr>
          <w:sz w:val="21"/>
        </w:rPr>
      </w:pPr>
      <w:r>
        <w:rPr>
          <w:b/>
          <w:spacing w:val="-2"/>
          <w:sz w:val="21"/>
        </w:rPr>
        <w:t>保</w:t>
      </w:r>
      <w:r>
        <w:rPr>
          <w:b/>
          <w:spacing w:val="-2"/>
          <w:sz w:val="21"/>
        </w:rPr>
        <w:t>险</w:t>
      </w:r>
      <w:r>
        <w:rPr>
          <w:b/>
          <w:spacing w:val="-2"/>
          <w:sz w:val="21"/>
        </w:rPr>
        <w:t>费</w:t>
      </w:r>
      <w:r>
        <w:rPr>
          <w:b/>
          <w:spacing w:val="-2"/>
          <w:sz w:val="21"/>
        </w:rPr>
        <w:t>交</w:t>
      </w:r>
      <w:r>
        <w:rPr>
          <w:b/>
          <w:spacing w:val="-2"/>
          <w:sz w:val="21"/>
        </w:rPr>
        <w:t>纳</w:t>
      </w:r>
      <w:r>
        <w:rPr>
          <w:b/>
          <w:sz w:val="21"/>
        </w:rPr>
        <w:tab/>
      </w:r>
      <w:r>
        <w:rPr>
          <w:sz w:val="21"/>
        </w:rPr>
        <w:t>一、</w:t>
      </w:r>
      <w:r>
        <w:rPr>
          <w:sz w:val="21"/>
        </w:rPr>
        <w:t>本合同的保险费交费方式</w:t>
      </w:r>
      <w:r>
        <w:rPr>
          <w:sz w:val="21"/>
        </w:rPr>
        <w:t>和交费期间由您和本公司</w:t>
      </w:r>
      <w:r>
        <w:rPr>
          <w:sz w:val="21"/>
        </w:rPr>
        <w:t>约定并在保险单上载</w:t>
      </w:r>
      <w:r>
        <w:rPr>
          <w:sz w:val="21"/>
        </w:rPr>
        <w:t>明。二、分期交纳保险费的，在交纳首期保险费后，您应当</w:t>
      </w:r>
      <w:r>
        <w:rPr>
          <w:sz w:val="21"/>
        </w:rPr>
        <w:t>按</w:t>
      </w:r>
      <w:r>
        <w:rPr>
          <w:sz w:val="21"/>
        </w:rPr>
        <w:t>照</w:t>
      </w:r>
      <w:r>
        <w:rPr>
          <w:sz w:val="21"/>
        </w:rPr>
        <w:t>约</w:t>
      </w:r>
      <w:r>
        <w:rPr>
          <w:sz w:val="21"/>
        </w:rPr>
        <w:t>定</w:t>
      </w:r>
      <w:r>
        <w:rPr>
          <w:sz w:val="21"/>
        </w:rPr>
        <w:t>，在每个保险</w:t>
      </w:r>
      <w:r>
        <w:rPr>
          <w:sz w:val="21"/>
        </w:rPr>
        <w:t>费</w:t>
      </w:r>
    </w:p>
    <w:p>
      <w:pPr>
        <w:pStyle w:val="BodyText"/>
        <w:spacing w:line="269" w:lineRule="exact"/>
        <w:ind w:left="3487"/>
      </w:pPr>
      <w:r>
        <w:rPr>
          <w:spacing w:val="-3"/>
        </w:rPr>
        <w:t>应交日交纳当期的保险费。</w:t>
      </w:r>
    </w:p>
    <w:p>
      <w:pPr>
        <w:pStyle w:val="BodyText"/>
        <w:spacing w:before="12"/>
        <w:rPr>
          <w:sz w:val="20"/>
        </w:rPr>
      </w:pPr>
    </w:p>
    <w:p>
      <w:pPr>
        <w:pStyle w:val="ListParagraph"/>
        <w:numPr>
          <w:ilvl w:val="1"/>
          <w:numId w:val="8"/>
        </w:numPr>
        <w:tabs>
          <w:tab w:pos="1132" w:val="left" w:leader="none"/>
          <w:tab w:pos="1133" w:val="left" w:leader="none"/>
          <w:tab w:pos="3081" w:val="left" w:leader="none"/>
        </w:tabs>
        <w:spacing w:line="240" w:lineRule="auto" w:before="0" w:after="0"/>
        <w:ind w:left="1132" w:right="0" w:hanging="904"/>
        <w:jc w:val="left"/>
        <w:rPr>
          <w:sz w:val="21"/>
        </w:rPr>
      </w:pPr>
      <w:r>
        <w:rPr>
          <w:b/>
          <w:sz w:val="21"/>
        </w:rPr>
        <w:t>宽限</w:t>
      </w:r>
      <w:r>
        <w:rPr>
          <w:b/>
          <w:spacing w:val="-10"/>
          <w:sz w:val="21"/>
        </w:rPr>
        <w:t>期</w:t>
      </w:r>
      <w:r>
        <w:rPr>
          <w:b/>
          <w:sz w:val="21"/>
        </w:rPr>
        <w:tab/>
      </w:r>
      <w:r>
        <w:rPr>
          <w:spacing w:val="-2"/>
          <w:sz w:val="21"/>
        </w:rPr>
        <w:t>一、</w:t>
      </w:r>
      <w:r>
        <w:rPr>
          <w:spacing w:val="-2"/>
          <w:sz w:val="21"/>
        </w:rPr>
        <w:t>如</w:t>
      </w:r>
      <w:r>
        <w:rPr>
          <w:spacing w:val="-2"/>
          <w:sz w:val="21"/>
        </w:rPr>
        <w:t>果</w:t>
      </w:r>
      <w:r>
        <w:rPr>
          <w:spacing w:val="-2"/>
          <w:sz w:val="21"/>
        </w:rPr>
        <w:t>您在保险费应交日未</w:t>
      </w:r>
      <w:r>
        <w:rPr>
          <w:spacing w:val="-2"/>
          <w:sz w:val="21"/>
        </w:rPr>
        <w:t>交</w:t>
      </w:r>
      <w:r>
        <w:rPr>
          <w:spacing w:val="-2"/>
          <w:sz w:val="21"/>
        </w:rPr>
        <w:t>纳</w:t>
      </w:r>
      <w:r>
        <w:rPr>
          <w:spacing w:val="-2"/>
          <w:sz w:val="21"/>
        </w:rPr>
        <w:t>保险费，自保险费应</w:t>
      </w:r>
      <w:r>
        <w:rPr>
          <w:spacing w:val="-2"/>
          <w:sz w:val="21"/>
        </w:rPr>
        <w:t>交</w:t>
      </w:r>
      <w:r>
        <w:rPr>
          <w:spacing w:val="-2"/>
          <w:sz w:val="21"/>
        </w:rPr>
        <w:t>日</w:t>
      </w:r>
      <w:r>
        <w:rPr>
          <w:spacing w:val="-2"/>
          <w:sz w:val="21"/>
        </w:rPr>
        <w:t>的次日起</w:t>
      </w:r>
      <w:r>
        <w:rPr>
          <w:spacing w:val="-42"/>
          <w:sz w:val="21"/>
        </w:rPr>
        <w:t> </w:t>
      </w:r>
      <w:r>
        <w:rPr>
          <w:spacing w:val="-2"/>
          <w:sz w:val="21"/>
        </w:rPr>
        <w:t>60</w:t>
      </w:r>
      <w:r>
        <w:rPr>
          <w:spacing w:val="-42"/>
          <w:sz w:val="21"/>
        </w:rPr>
        <w:t> </w:t>
      </w:r>
      <w:r>
        <w:rPr>
          <w:spacing w:val="-2"/>
          <w:sz w:val="21"/>
        </w:rPr>
        <w:t>日内为</w:t>
      </w:r>
      <w:r>
        <w:rPr>
          <w:spacing w:val="-10"/>
          <w:sz w:val="21"/>
        </w:rPr>
        <w:t>宽</w:t>
      </w:r>
    </w:p>
    <w:p>
      <w:pPr>
        <w:pStyle w:val="BodyText"/>
        <w:spacing w:line="278" w:lineRule="auto" w:before="43"/>
        <w:ind w:left="3487" w:right="324"/>
      </w:pPr>
      <w:r>
        <w:rPr>
          <w:spacing w:val="-4"/>
        </w:rPr>
        <w:t>限期。宽限期内发生的保险事故，本公司仍会承担保险责任，但在给付保险金</w:t>
      </w:r>
      <w:r>
        <w:rPr>
          <w:spacing w:val="-2"/>
        </w:rPr>
        <w:t>时会扣除您欠交的保险费。</w:t>
      </w:r>
    </w:p>
    <w:p>
      <w:pPr>
        <w:pStyle w:val="BodyText"/>
        <w:spacing w:line="278" w:lineRule="auto"/>
        <w:ind w:left="3487" w:right="330" w:hanging="407"/>
      </w:pPr>
      <w:r>
        <w:rPr/>
        <w:t>二、如果宽限期结束之后您仍未交纳保险费，则本合同自宽限期满的次日零时起</w:t>
      </w:r>
      <w:r>
        <w:rPr>
          <w:spacing w:val="-2"/>
        </w:rPr>
        <w:t>中止，但本合同另有约定的除外。</w:t>
      </w:r>
    </w:p>
    <w:p>
      <w:pPr>
        <w:pStyle w:val="BodyText"/>
        <w:spacing w:before="2"/>
        <w:rPr>
          <w:sz w:val="16"/>
        </w:rPr>
      </w:pPr>
    </w:p>
    <w:p>
      <w:pPr>
        <w:tabs>
          <w:tab w:pos="1132" w:val="left" w:leader="none"/>
        </w:tabs>
        <w:spacing w:before="100"/>
        <w:ind w:left="392"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现金价</w:t>
      </w:r>
      <w:r>
        <w:rPr>
          <w:b/>
          <w:w w:val="95"/>
          <w:sz w:val="24"/>
        </w:rPr>
        <w:t>值</w:t>
      </w:r>
      <w:r>
        <w:rPr>
          <w:b/>
          <w:w w:val="95"/>
          <w:sz w:val="24"/>
        </w:rPr>
        <w:t>权</w:t>
      </w:r>
      <w:r>
        <w:rPr>
          <w:b/>
          <w:spacing w:val="-10"/>
          <w:w w:val="95"/>
          <w:sz w:val="24"/>
        </w:rPr>
        <w:t>益</w:t>
      </w:r>
    </w:p>
    <w:p>
      <w:pPr>
        <w:pStyle w:val="BodyText"/>
        <w:rPr>
          <w:b/>
          <w:sz w:val="6"/>
        </w:rPr>
      </w:pPr>
      <w:r>
        <w:rPr/>
        <w:drawing>
          <wp:anchor distT="0" distB="0" distL="0" distR="0" allowOverlap="1" layoutInCell="1" locked="0" behindDoc="0" simplePos="0" relativeHeight="5">
            <wp:simplePos x="0" y="0"/>
            <wp:positionH relativeFrom="page">
              <wp:posOffset>431291</wp:posOffset>
            </wp:positionH>
            <wp:positionV relativeFrom="paragraph">
              <wp:posOffset>64227</wp:posOffset>
            </wp:positionV>
            <wp:extent cx="6683743"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683743" cy="12191"/>
                    </a:xfrm>
                    <a:prstGeom prst="rect">
                      <a:avLst/>
                    </a:prstGeom>
                  </pic:spPr>
                </pic:pic>
              </a:graphicData>
            </a:graphic>
          </wp:anchor>
        </w:drawing>
      </w:r>
    </w:p>
    <w:p>
      <w:pPr>
        <w:pStyle w:val="ListParagraph"/>
        <w:numPr>
          <w:ilvl w:val="1"/>
          <w:numId w:val="9"/>
        </w:numPr>
        <w:tabs>
          <w:tab w:pos="1132" w:val="left" w:leader="none"/>
          <w:tab w:pos="1133" w:val="left" w:leader="none"/>
          <w:tab w:pos="3114" w:val="left" w:leader="none"/>
        </w:tabs>
        <w:spacing w:line="240" w:lineRule="auto" w:before="231" w:after="0"/>
        <w:ind w:left="1132" w:right="0" w:hanging="904"/>
        <w:jc w:val="left"/>
        <w:rPr>
          <w:sz w:val="21"/>
        </w:rPr>
      </w:pPr>
      <w:r>
        <w:rPr>
          <w:b/>
          <w:sz w:val="21"/>
        </w:rPr>
        <w:t>现金价</w:t>
      </w:r>
      <w:r>
        <w:rPr>
          <w:b/>
          <w:spacing w:val="-10"/>
          <w:sz w:val="21"/>
        </w:rPr>
        <w:t>值</w:t>
      </w:r>
      <w:r>
        <w:rPr>
          <w:b/>
          <w:sz w:val="21"/>
        </w:rPr>
        <w:tab/>
      </w:r>
      <w:r>
        <w:rPr>
          <w:spacing w:val="-2"/>
          <w:sz w:val="21"/>
        </w:rPr>
        <w:t>本</w:t>
      </w:r>
      <w:r>
        <w:rPr>
          <w:spacing w:val="-2"/>
          <w:sz w:val="21"/>
        </w:rPr>
        <w:t>合</w:t>
      </w:r>
      <w:r>
        <w:rPr>
          <w:spacing w:val="-2"/>
          <w:sz w:val="21"/>
        </w:rPr>
        <w:t>同保单年度末的现金</w:t>
      </w:r>
      <w:r>
        <w:rPr>
          <w:spacing w:val="-2"/>
          <w:sz w:val="21"/>
        </w:rPr>
        <w:t>价</w:t>
      </w:r>
      <w:r>
        <w:rPr>
          <w:spacing w:val="-2"/>
          <w:sz w:val="21"/>
        </w:rPr>
        <w:t>值</w:t>
      </w:r>
      <w:r>
        <w:rPr>
          <w:spacing w:val="-2"/>
          <w:sz w:val="21"/>
        </w:rPr>
        <w:t>在保险单上载明</w:t>
      </w:r>
      <w:r>
        <w:rPr>
          <w:spacing w:val="-10"/>
          <w:sz w:val="21"/>
        </w:rPr>
        <w:t>。</w:t>
      </w:r>
    </w:p>
    <w:p>
      <w:pPr>
        <w:pStyle w:val="BodyText"/>
      </w:pPr>
    </w:p>
    <w:p>
      <w:pPr>
        <w:pStyle w:val="ListParagraph"/>
        <w:numPr>
          <w:ilvl w:val="1"/>
          <w:numId w:val="9"/>
        </w:numPr>
        <w:tabs>
          <w:tab w:pos="1132" w:val="left" w:leader="none"/>
          <w:tab w:pos="1133" w:val="left" w:leader="none"/>
          <w:tab w:pos="3081" w:val="left" w:leader="none"/>
        </w:tabs>
        <w:spacing w:line="240" w:lineRule="auto" w:before="0" w:after="0"/>
        <w:ind w:left="1132" w:right="0" w:hanging="904"/>
        <w:jc w:val="left"/>
        <w:rPr>
          <w:sz w:val="21"/>
        </w:rPr>
      </w:pPr>
      <w:r>
        <w:rPr>
          <w:b/>
          <w:sz w:val="21"/>
        </w:rPr>
        <w:t>保单贷</w:t>
      </w:r>
      <w:r>
        <w:rPr>
          <w:b/>
          <w:spacing w:val="-10"/>
          <w:sz w:val="21"/>
        </w:rPr>
        <w:t>款</w:t>
      </w:r>
      <w:r>
        <w:rPr>
          <w:b/>
          <w:sz w:val="21"/>
        </w:rPr>
        <w:tab/>
      </w:r>
      <w:r>
        <w:rPr>
          <w:spacing w:val="-1"/>
          <w:sz w:val="21"/>
        </w:rPr>
        <w:t>一、</w:t>
      </w:r>
      <w:r>
        <w:rPr>
          <w:spacing w:val="-1"/>
          <w:sz w:val="21"/>
        </w:rPr>
        <w:t>在</w:t>
      </w:r>
      <w:r>
        <w:rPr>
          <w:spacing w:val="-1"/>
          <w:sz w:val="21"/>
        </w:rPr>
        <w:t>本</w:t>
      </w:r>
      <w:r>
        <w:rPr>
          <w:spacing w:val="-1"/>
          <w:sz w:val="21"/>
        </w:rPr>
        <w:t>合同有效期内，经书</w:t>
      </w:r>
      <w:r>
        <w:rPr>
          <w:spacing w:val="-1"/>
          <w:sz w:val="21"/>
        </w:rPr>
        <w:t>面</w:t>
      </w:r>
      <w:r>
        <w:rPr>
          <w:spacing w:val="-1"/>
          <w:sz w:val="21"/>
        </w:rPr>
        <w:t>或</w:t>
      </w:r>
      <w:r>
        <w:rPr>
          <w:spacing w:val="-1"/>
          <w:sz w:val="21"/>
        </w:rPr>
        <w:t>按照本公司要求的其</w:t>
      </w:r>
      <w:r>
        <w:rPr>
          <w:spacing w:val="-1"/>
          <w:sz w:val="21"/>
        </w:rPr>
        <w:t>他</w:t>
      </w:r>
      <w:r>
        <w:rPr>
          <w:spacing w:val="-1"/>
          <w:sz w:val="21"/>
        </w:rPr>
        <w:t>方</w:t>
      </w:r>
      <w:r>
        <w:rPr>
          <w:spacing w:val="-1"/>
          <w:sz w:val="21"/>
        </w:rPr>
        <w:t>式申请且我们审</w:t>
      </w:r>
      <w:r>
        <w:rPr>
          <w:spacing w:val="-1"/>
          <w:sz w:val="21"/>
        </w:rPr>
        <w:t>核</w:t>
      </w:r>
      <w:r>
        <w:rPr>
          <w:spacing w:val="-10"/>
          <w:sz w:val="21"/>
        </w:rPr>
        <w:t>同</w:t>
      </w:r>
    </w:p>
    <w:p>
      <w:pPr>
        <w:pStyle w:val="BodyText"/>
        <w:spacing w:before="40"/>
        <w:ind w:left="3535"/>
      </w:pPr>
      <w:r>
        <w:rPr>
          <w:spacing w:val="-4"/>
        </w:rPr>
        <w:t>意后，您可向我们办理保单贷款。申请贷款时累计贷款金额本金和</w:t>
      </w:r>
      <w:r>
        <w:rPr>
          <w:b/>
          <w:spacing w:val="-149"/>
        </w:rPr>
        <w:t>利</w:t>
      </w:r>
      <w:r>
        <w:rPr>
          <w:spacing w:val="-63"/>
          <w:position w:val="-7"/>
        </w:rPr>
        <w:t>．</w:t>
      </w:r>
      <w:r>
        <w:rPr>
          <w:b/>
          <w:spacing w:val="-149"/>
        </w:rPr>
        <w:t>息</w:t>
      </w:r>
      <w:r>
        <w:rPr>
          <w:spacing w:val="-4"/>
          <w:position w:val="-7"/>
        </w:rPr>
        <w:t>．</w:t>
      </w:r>
      <w:r>
        <w:rPr>
          <w:spacing w:val="-4"/>
        </w:rPr>
        <w:t>（</w:t>
      </w:r>
      <w:r>
        <w:rPr>
          <w:spacing w:val="-10"/>
        </w:rPr>
        <w:t>见</w:t>
      </w:r>
    </w:p>
    <w:p>
      <w:pPr>
        <w:pStyle w:val="BodyText"/>
        <w:spacing w:before="35"/>
        <w:ind w:left="3535"/>
      </w:pPr>
      <w:r>
        <w:rPr>
          <w:spacing w:val="-2"/>
        </w:rPr>
        <w:t>10.25）</w:t>
      </w:r>
      <w:r>
        <w:rPr>
          <w:spacing w:val="-4"/>
        </w:rPr>
        <w:t>最高不得超过本合同当时现金价值的 </w:t>
      </w:r>
      <w:r>
        <w:rPr>
          <w:spacing w:val="-2"/>
        </w:rPr>
        <w:t>80</w:t>
      </w:r>
      <w:r>
        <w:rPr>
          <w:spacing w:val="-3"/>
        </w:rPr>
        <w:t>%，每次贷款期限最长不超过</w:t>
      </w:r>
    </w:p>
    <w:p>
      <w:pPr>
        <w:pStyle w:val="BodyText"/>
        <w:spacing w:before="43"/>
        <w:ind w:left="3535"/>
      </w:pPr>
      <w:r>
        <w:rPr>
          <w:spacing w:val="-2"/>
        </w:rPr>
        <w:t>180</w:t>
      </w:r>
      <w:r>
        <w:rPr>
          <w:spacing w:val="-9"/>
        </w:rPr>
        <w:t> 天。贷款利率按您与我们签订的贷款协议中约定的利率执行。</w:t>
      </w:r>
    </w:p>
    <w:p>
      <w:pPr>
        <w:pStyle w:val="BodyText"/>
        <w:spacing w:line="278" w:lineRule="auto" w:before="43"/>
        <w:ind w:left="3535" w:right="391" w:hanging="455"/>
      </w:pPr>
      <w:r>
        <w:rPr/>
        <w:t>二、贷款本息在贷款到期时一并归还。若您到期未能足额偿还贷款本息，则您所</w:t>
      </w:r>
      <w:r>
        <w:rPr>
          <w:spacing w:val="-2"/>
        </w:rPr>
        <w:t>欠的贷款本金及利息将作为新的贷款本金计息。</w:t>
      </w:r>
    </w:p>
    <w:p>
      <w:pPr>
        <w:spacing w:line="278" w:lineRule="auto" w:before="1"/>
        <w:ind w:left="3535" w:right="371" w:hanging="455"/>
        <w:jc w:val="left"/>
        <w:rPr>
          <w:rFonts w:ascii="黑体" w:eastAsia="黑体" w:hint="eastAsia"/>
          <w:b/>
          <w:sz w:val="21"/>
        </w:rPr>
      </w:pPr>
      <w:r>
        <w:rPr>
          <w:rFonts w:ascii="黑体" w:eastAsia="黑体" w:hint="eastAsia"/>
          <w:b/>
          <w:sz w:val="21"/>
        </w:rPr>
        <w:t>三、当未还贷款本金及利息加上其他各项欠款达到保险合同现金价值时，本合同</w:t>
      </w:r>
      <w:r>
        <w:rPr>
          <w:rFonts w:ascii="黑体" w:eastAsia="黑体" w:hint="eastAsia"/>
          <w:b/>
          <w:spacing w:val="-4"/>
          <w:sz w:val="21"/>
        </w:rPr>
        <w:t>中止。</w:t>
      </w:r>
    </w:p>
    <w:p>
      <w:pPr>
        <w:pStyle w:val="BodyText"/>
        <w:spacing w:line="278" w:lineRule="auto"/>
        <w:ind w:left="3535" w:right="413" w:hanging="455"/>
      </w:pPr>
      <w:r>
        <w:rPr/>
        <w:t>四、您申请保单贷款须提交保单贷款申请，并凭保险合同原件、您的有效身份证</w:t>
      </w:r>
      <w:r>
        <w:rPr>
          <w:spacing w:val="-4"/>
        </w:rPr>
        <w:t>件办理。</w:t>
      </w:r>
    </w:p>
    <w:p>
      <w:pPr>
        <w:pStyle w:val="BodyText"/>
        <w:spacing w:before="7"/>
        <w:rPr>
          <w:sz w:val="17"/>
        </w:rPr>
      </w:pPr>
    </w:p>
    <w:p>
      <w:pPr>
        <w:pStyle w:val="ListParagraph"/>
        <w:numPr>
          <w:ilvl w:val="1"/>
          <w:numId w:val="9"/>
        </w:numPr>
        <w:tabs>
          <w:tab w:pos="1132" w:val="left" w:leader="none"/>
          <w:tab w:pos="1133" w:val="left" w:leader="none"/>
          <w:tab w:pos="3081" w:val="left" w:leader="none"/>
        </w:tabs>
        <w:spacing w:line="240" w:lineRule="auto" w:before="0" w:after="0"/>
        <w:ind w:left="1132" w:right="0" w:hanging="904"/>
        <w:jc w:val="left"/>
        <w:rPr>
          <w:sz w:val="21"/>
        </w:rPr>
      </w:pPr>
      <w:r>
        <w:rPr>
          <w:b/>
          <w:sz w:val="21"/>
        </w:rPr>
        <w:t>保险费自动垫</w:t>
      </w:r>
      <w:r>
        <w:rPr>
          <w:b/>
          <w:spacing w:val="-10"/>
          <w:sz w:val="21"/>
        </w:rPr>
        <w:t>交</w:t>
      </w:r>
      <w:r>
        <w:rPr>
          <w:b/>
          <w:sz w:val="21"/>
        </w:rPr>
        <w:tab/>
      </w:r>
      <w:r>
        <w:rPr>
          <w:spacing w:val="-6"/>
          <w:sz w:val="21"/>
        </w:rPr>
        <w:t>一、</w:t>
      </w:r>
      <w:r>
        <w:rPr>
          <w:spacing w:val="-47"/>
          <w:sz w:val="21"/>
        </w:rPr>
        <w:t> </w:t>
      </w:r>
      <w:r>
        <w:rPr>
          <w:spacing w:val="-6"/>
          <w:sz w:val="21"/>
        </w:rPr>
        <w:t>您</w:t>
      </w:r>
      <w:r>
        <w:rPr>
          <w:spacing w:val="-6"/>
          <w:sz w:val="21"/>
        </w:rPr>
        <w:t>可</w:t>
      </w:r>
      <w:r>
        <w:rPr>
          <w:spacing w:val="-6"/>
          <w:sz w:val="21"/>
        </w:rPr>
        <w:t>以</w:t>
      </w:r>
      <w:r>
        <w:rPr>
          <w:spacing w:val="-6"/>
          <w:sz w:val="21"/>
        </w:rPr>
        <w:t>选</w:t>
      </w:r>
      <w:r>
        <w:rPr>
          <w:spacing w:val="-6"/>
          <w:sz w:val="21"/>
        </w:rPr>
        <w:t>择</w:t>
      </w:r>
      <w:r>
        <w:rPr>
          <w:spacing w:val="-6"/>
          <w:sz w:val="21"/>
        </w:rPr>
        <w:t>保</w:t>
      </w:r>
      <w:r>
        <w:rPr>
          <w:spacing w:val="-6"/>
          <w:sz w:val="21"/>
        </w:rPr>
        <w:t>险费自动垫交功能，若您选择了保险费自动垫交，且您在宽限</w:t>
      </w:r>
      <w:r>
        <w:rPr>
          <w:spacing w:val="-10"/>
          <w:sz w:val="21"/>
        </w:rPr>
        <w:t>期</w:t>
      </w:r>
    </w:p>
    <w:p>
      <w:pPr>
        <w:pStyle w:val="BodyText"/>
        <w:spacing w:line="278" w:lineRule="auto" w:before="43"/>
        <w:ind w:left="3535" w:right="320"/>
      </w:pPr>
      <w:r>
        <w:rPr>
          <w:spacing w:val="-4"/>
        </w:rPr>
        <w:t>结束时仍未交纳应交保险费的，我们将以本合同及附加合同的现金价值扣除您</w:t>
      </w:r>
      <w:r>
        <w:rPr>
          <w:spacing w:val="-7"/>
        </w:rPr>
        <w:t>尚未偿还的各项欠款之后的余额，自动垫交本合同及附加合同的应交保险费，</w:t>
      </w:r>
    </w:p>
    <w:p>
      <w:pPr>
        <w:spacing w:after="0" w:line="278" w:lineRule="auto"/>
        <w:sectPr>
          <w:pgSz w:w="11910" w:h="16840"/>
          <w:pgMar w:header="0" w:footer="655" w:top="1420" w:bottom="840" w:left="560" w:right="480"/>
        </w:sectPr>
      </w:pPr>
    </w:p>
    <w:p>
      <w:pPr>
        <w:pStyle w:val="BodyText"/>
        <w:spacing w:line="278" w:lineRule="auto" w:before="58"/>
        <w:ind w:left="3535" w:right="320"/>
      </w:pPr>
      <w:r>
        <w:rPr>
          <w:spacing w:val="-4"/>
        </w:rPr>
        <w:t>本合同及附加合同继续有效。我们将对保险费自动垫交的部分收取利息，具体</w:t>
      </w:r>
      <w:r>
        <w:rPr>
          <w:spacing w:val="-2"/>
        </w:rPr>
        <w:t>的利息计算方式同保单贷款。</w:t>
      </w:r>
    </w:p>
    <w:p>
      <w:pPr>
        <w:spacing w:line="278" w:lineRule="auto" w:before="0"/>
        <w:ind w:left="3535" w:right="328" w:hanging="455"/>
        <w:jc w:val="left"/>
        <w:rPr>
          <w:rFonts w:ascii="黑体" w:eastAsia="黑体" w:hint="eastAsia"/>
          <w:b/>
          <w:sz w:val="21"/>
        </w:rPr>
      </w:pPr>
      <w:r>
        <w:rPr>
          <w:sz w:val="21"/>
        </w:rPr>
        <w:t>二、</w:t>
      </w:r>
      <w:r>
        <w:rPr>
          <w:rFonts w:ascii="黑体" w:eastAsia="黑体" w:hint="eastAsia"/>
          <w:b/>
          <w:sz w:val="21"/>
        </w:rPr>
        <w:t>当现金价值扣除各项欠款后的余额不足以垫交一期本合同及附加合同保险费</w:t>
      </w:r>
      <w:r>
        <w:rPr>
          <w:rFonts w:ascii="黑体" w:eastAsia="黑体" w:hint="eastAsia"/>
          <w:b/>
          <w:spacing w:val="-2"/>
          <w:sz w:val="21"/>
        </w:rPr>
        <w:t>时，本合同及附加合同效力中止。</w:t>
      </w:r>
    </w:p>
    <w:p>
      <w:pPr>
        <w:pStyle w:val="BodyText"/>
        <w:spacing w:before="11"/>
        <w:rPr>
          <w:rFonts w:ascii="黑体"/>
          <w:b/>
          <w:sz w:val="23"/>
        </w:rPr>
      </w:pPr>
    </w:p>
    <w:p>
      <w:pPr>
        <w:pStyle w:val="Heading1"/>
        <w:tabs>
          <w:tab w:pos="1132" w:val="left" w:leader="none"/>
        </w:tabs>
        <w:spacing w:before="0"/>
        <w:ind w:left="392"/>
        <w:rPr>
          <w:rFonts w:ascii="宋体" w:hAnsi="宋体" w:eastAsia="宋体" w:hint="eastAsia"/>
        </w:rPr>
      </w:pPr>
      <w:r>
        <w:rPr>
          <w:rFonts w:ascii="Wingdings 2" w:hAnsi="Wingdings 2" w:eastAsia="Wingdings 2"/>
          <w:spacing w:val="-10"/>
          <w:position w:val="-3"/>
          <w:sz w:val="40"/>
        </w:rPr>
        <w:t></w:t>
      </w:r>
      <w:r>
        <w:rPr>
          <w:rFonts w:ascii="Times New Roman" w:hAnsi="Times New Roman" w:eastAsia="Times New Roman"/>
          <w:b w:val="0"/>
          <w:position w:val="-3"/>
          <w:sz w:val="40"/>
        </w:rPr>
        <w:tab/>
      </w:r>
      <w:r>
        <w:rPr>
          <w:rFonts w:ascii="宋体" w:hAnsi="宋体" w:eastAsia="宋体" w:hint="eastAsia"/>
          <w:w w:val="95"/>
        </w:rPr>
        <w:t>合同效</w:t>
      </w:r>
      <w:r>
        <w:rPr>
          <w:rFonts w:ascii="宋体" w:hAnsi="宋体" w:eastAsia="宋体" w:hint="eastAsia"/>
          <w:w w:val="95"/>
        </w:rPr>
        <w:t>力</w:t>
      </w:r>
      <w:r>
        <w:rPr>
          <w:rFonts w:ascii="宋体" w:hAnsi="宋体" w:eastAsia="宋体" w:hint="eastAsia"/>
          <w:w w:val="95"/>
        </w:rPr>
        <w:t>的</w:t>
      </w:r>
      <w:r>
        <w:rPr>
          <w:rFonts w:ascii="宋体" w:hAnsi="宋体" w:eastAsia="宋体" w:hint="eastAsia"/>
          <w:w w:val="95"/>
        </w:rPr>
        <w:t>中止与</w:t>
      </w:r>
      <w:r>
        <w:rPr>
          <w:rFonts w:ascii="宋体" w:hAnsi="宋体" w:eastAsia="宋体" w:hint="eastAsia"/>
          <w:w w:val="95"/>
        </w:rPr>
        <w:t>恢</w:t>
      </w:r>
      <w:r>
        <w:rPr>
          <w:rFonts w:ascii="宋体" w:hAnsi="宋体" w:eastAsia="宋体" w:hint="eastAsia"/>
          <w:spacing w:val="-10"/>
          <w:w w:val="95"/>
        </w:rPr>
        <w:t>复</w:t>
      </w:r>
    </w:p>
    <w:p>
      <w:pPr>
        <w:pStyle w:val="BodyText"/>
        <w:rPr>
          <w:b/>
          <w:sz w:val="6"/>
        </w:rPr>
      </w:pPr>
      <w:r>
        <w:rPr/>
        <w:drawing>
          <wp:anchor distT="0" distB="0" distL="0" distR="0" allowOverlap="1" layoutInCell="1" locked="0" behindDoc="0" simplePos="0" relativeHeight="6">
            <wp:simplePos x="0" y="0"/>
            <wp:positionH relativeFrom="page">
              <wp:posOffset>431291</wp:posOffset>
            </wp:positionH>
            <wp:positionV relativeFrom="paragraph">
              <wp:posOffset>64631</wp:posOffset>
            </wp:positionV>
            <wp:extent cx="6736030"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736030" cy="12287"/>
                    </a:xfrm>
                    <a:prstGeom prst="rect">
                      <a:avLst/>
                    </a:prstGeom>
                  </pic:spPr>
                </pic:pic>
              </a:graphicData>
            </a:graphic>
          </wp:anchor>
        </w:drawing>
      </w:r>
    </w:p>
    <w:p>
      <w:pPr>
        <w:pStyle w:val="ListParagraph"/>
        <w:numPr>
          <w:ilvl w:val="1"/>
          <w:numId w:val="10"/>
        </w:numPr>
        <w:tabs>
          <w:tab w:pos="1132" w:val="left" w:leader="none"/>
          <w:tab w:pos="1133" w:val="left" w:leader="none"/>
          <w:tab w:pos="3114" w:val="left" w:leader="none"/>
        </w:tabs>
        <w:spacing w:line="240" w:lineRule="auto" w:before="229" w:after="0"/>
        <w:ind w:left="1132" w:right="0" w:hanging="904"/>
        <w:jc w:val="left"/>
        <w:rPr>
          <w:rFonts w:ascii="黑体" w:eastAsia="黑体" w:hint="eastAsia"/>
          <w:b/>
          <w:sz w:val="21"/>
        </w:rPr>
      </w:pPr>
      <w:r>
        <w:rPr>
          <w:b/>
          <w:sz w:val="21"/>
        </w:rPr>
        <w:t>合同效力中</w:t>
      </w:r>
      <w:r>
        <w:rPr>
          <w:b/>
          <w:spacing w:val="-10"/>
          <w:sz w:val="21"/>
        </w:rPr>
        <w:t>止</w:t>
      </w:r>
      <w:r>
        <w:rPr>
          <w:b/>
          <w:sz w:val="21"/>
        </w:rPr>
        <w:tab/>
      </w:r>
      <w:r>
        <w:rPr>
          <w:rFonts w:ascii="黑体" w:eastAsia="黑体" w:hint="eastAsia"/>
          <w:b/>
          <w:spacing w:val="-2"/>
          <w:sz w:val="21"/>
        </w:rPr>
        <w:t>在</w:t>
      </w:r>
      <w:r>
        <w:rPr>
          <w:rFonts w:ascii="黑体" w:eastAsia="黑体" w:hint="eastAsia"/>
          <w:b/>
          <w:spacing w:val="-2"/>
          <w:sz w:val="21"/>
        </w:rPr>
        <w:t>本</w:t>
      </w:r>
      <w:r>
        <w:rPr>
          <w:rFonts w:ascii="黑体" w:eastAsia="黑体" w:hint="eastAsia"/>
          <w:b/>
          <w:spacing w:val="-2"/>
          <w:sz w:val="21"/>
        </w:rPr>
        <w:t>合</w:t>
      </w:r>
      <w:r>
        <w:rPr>
          <w:rFonts w:ascii="黑体" w:eastAsia="黑体" w:hint="eastAsia"/>
          <w:b/>
          <w:spacing w:val="-2"/>
          <w:sz w:val="21"/>
        </w:rPr>
        <w:t>同</w:t>
      </w:r>
      <w:r>
        <w:rPr>
          <w:rFonts w:ascii="黑体" w:eastAsia="黑体" w:hint="eastAsia"/>
          <w:b/>
          <w:spacing w:val="-2"/>
          <w:sz w:val="21"/>
        </w:rPr>
        <w:t>效</w:t>
      </w:r>
      <w:r>
        <w:rPr>
          <w:rFonts w:ascii="黑体" w:eastAsia="黑体" w:hint="eastAsia"/>
          <w:b/>
          <w:spacing w:val="-2"/>
          <w:sz w:val="21"/>
        </w:rPr>
        <w:t>力</w:t>
      </w:r>
      <w:r>
        <w:rPr>
          <w:rFonts w:ascii="黑体" w:eastAsia="黑体" w:hint="eastAsia"/>
          <w:b/>
          <w:spacing w:val="-2"/>
          <w:sz w:val="21"/>
        </w:rPr>
        <w:t>中</w:t>
      </w:r>
      <w:r>
        <w:rPr>
          <w:rFonts w:ascii="黑体" w:eastAsia="黑体" w:hint="eastAsia"/>
          <w:b/>
          <w:spacing w:val="-2"/>
          <w:sz w:val="21"/>
        </w:rPr>
        <w:t>止</w:t>
      </w:r>
      <w:r>
        <w:rPr>
          <w:rFonts w:ascii="黑体" w:eastAsia="黑体" w:hint="eastAsia"/>
          <w:b/>
          <w:spacing w:val="-2"/>
          <w:sz w:val="21"/>
        </w:rPr>
        <w:t>期间，</w:t>
      </w:r>
      <w:r>
        <w:rPr>
          <w:rFonts w:ascii="黑体" w:eastAsia="黑体" w:hint="eastAsia"/>
          <w:b/>
          <w:spacing w:val="-2"/>
          <w:sz w:val="21"/>
        </w:rPr>
        <w:t>本</w:t>
      </w:r>
      <w:r>
        <w:rPr>
          <w:rFonts w:ascii="黑体" w:eastAsia="黑体" w:hint="eastAsia"/>
          <w:b/>
          <w:spacing w:val="-2"/>
          <w:sz w:val="21"/>
        </w:rPr>
        <w:t>公</w:t>
      </w:r>
      <w:r>
        <w:rPr>
          <w:rFonts w:ascii="黑体" w:eastAsia="黑体" w:hint="eastAsia"/>
          <w:b/>
          <w:spacing w:val="-2"/>
          <w:sz w:val="21"/>
        </w:rPr>
        <w:t>司</w:t>
      </w:r>
      <w:r>
        <w:rPr>
          <w:rFonts w:ascii="黑体" w:eastAsia="黑体" w:hint="eastAsia"/>
          <w:b/>
          <w:spacing w:val="-2"/>
          <w:sz w:val="21"/>
        </w:rPr>
        <w:t>不</w:t>
      </w:r>
      <w:r>
        <w:rPr>
          <w:rFonts w:ascii="黑体" w:eastAsia="黑体" w:hint="eastAsia"/>
          <w:b/>
          <w:spacing w:val="-2"/>
          <w:sz w:val="21"/>
        </w:rPr>
        <w:t>承</w:t>
      </w:r>
      <w:r>
        <w:rPr>
          <w:rFonts w:ascii="黑体" w:eastAsia="黑体" w:hint="eastAsia"/>
          <w:b/>
          <w:spacing w:val="-2"/>
          <w:sz w:val="21"/>
        </w:rPr>
        <w:t>担</w:t>
      </w:r>
      <w:r>
        <w:rPr>
          <w:rFonts w:ascii="黑体" w:eastAsia="黑体" w:hint="eastAsia"/>
          <w:b/>
          <w:spacing w:val="-2"/>
          <w:sz w:val="21"/>
        </w:rPr>
        <w:t>保</w:t>
      </w:r>
      <w:r>
        <w:rPr>
          <w:rFonts w:ascii="黑体" w:eastAsia="黑体" w:hint="eastAsia"/>
          <w:b/>
          <w:spacing w:val="-2"/>
          <w:sz w:val="21"/>
        </w:rPr>
        <w:t>险</w:t>
      </w:r>
      <w:r>
        <w:rPr>
          <w:rFonts w:ascii="黑体" w:eastAsia="黑体" w:hint="eastAsia"/>
          <w:b/>
          <w:spacing w:val="-2"/>
          <w:sz w:val="21"/>
        </w:rPr>
        <w:t>责</w:t>
      </w:r>
      <w:r>
        <w:rPr>
          <w:rFonts w:ascii="黑体" w:eastAsia="黑体" w:hint="eastAsia"/>
          <w:b/>
          <w:spacing w:val="-2"/>
          <w:sz w:val="21"/>
        </w:rPr>
        <w:t>任</w:t>
      </w:r>
      <w:r>
        <w:rPr>
          <w:rFonts w:ascii="黑体" w:eastAsia="黑体" w:hint="eastAsia"/>
          <w:b/>
          <w:spacing w:val="-10"/>
          <w:sz w:val="21"/>
        </w:rPr>
        <w:t>。</w:t>
      </w:r>
    </w:p>
    <w:p>
      <w:pPr>
        <w:pStyle w:val="BodyText"/>
        <w:spacing w:before="1"/>
        <w:rPr>
          <w:rFonts w:ascii="黑体"/>
          <w:b/>
        </w:rPr>
      </w:pPr>
    </w:p>
    <w:p>
      <w:pPr>
        <w:pStyle w:val="ListParagraph"/>
        <w:numPr>
          <w:ilvl w:val="1"/>
          <w:numId w:val="10"/>
        </w:numPr>
        <w:tabs>
          <w:tab w:pos="1132" w:val="left" w:leader="none"/>
          <w:tab w:pos="1133" w:val="left" w:leader="none"/>
          <w:tab w:pos="3081" w:val="left" w:leader="none"/>
        </w:tabs>
        <w:spacing w:line="240" w:lineRule="auto" w:before="1" w:after="0"/>
        <w:ind w:left="1132" w:right="0" w:hanging="904"/>
        <w:jc w:val="left"/>
        <w:rPr>
          <w:sz w:val="21"/>
        </w:rPr>
      </w:pPr>
      <w:r>
        <w:rPr>
          <w:b/>
          <w:sz w:val="21"/>
        </w:rPr>
        <w:t>合同效力恢</w:t>
      </w:r>
      <w:r>
        <w:rPr>
          <w:b/>
          <w:spacing w:val="-10"/>
          <w:sz w:val="21"/>
        </w:rPr>
        <w:t>复</w:t>
      </w:r>
      <w:r>
        <w:rPr>
          <w:b/>
          <w:sz w:val="21"/>
        </w:rPr>
        <w:tab/>
      </w:r>
      <w:r>
        <w:rPr>
          <w:spacing w:val="-2"/>
          <w:sz w:val="21"/>
        </w:rPr>
        <w:t>一、</w:t>
      </w:r>
      <w:r>
        <w:rPr>
          <w:spacing w:val="-2"/>
          <w:sz w:val="21"/>
        </w:rPr>
        <w:t>本</w:t>
      </w:r>
      <w:r>
        <w:rPr>
          <w:spacing w:val="-2"/>
          <w:sz w:val="21"/>
        </w:rPr>
        <w:t>合</w:t>
      </w:r>
      <w:r>
        <w:rPr>
          <w:spacing w:val="-2"/>
          <w:sz w:val="21"/>
        </w:rPr>
        <w:t>同效力中止后</w:t>
      </w:r>
      <w:r>
        <w:rPr>
          <w:spacing w:val="-41"/>
          <w:sz w:val="21"/>
        </w:rPr>
        <w:t> </w:t>
      </w:r>
      <w:r>
        <w:rPr>
          <w:spacing w:val="-2"/>
          <w:sz w:val="21"/>
        </w:rPr>
        <w:t>2</w:t>
      </w:r>
      <w:r>
        <w:rPr>
          <w:spacing w:val="-43"/>
          <w:sz w:val="21"/>
        </w:rPr>
        <w:t> </w:t>
      </w:r>
      <w:r>
        <w:rPr>
          <w:spacing w:val="-2"/>
          <w:sz w:val="21"/>
        </w:rPr>
        <w:t>年内，您可</w:t>
      </w:r>
      <w:r>
        <w:rPr>
          <w:spacing w:val="-2"/>
          <w:sz w:val="21"/>
        </w:rPr>
        <w:t>以</w:t>
      </w:r>
      <w:r>
        <w:rPr>
          <w:spacing w:val="-2"/>
          <w:sz w:val="21"/>
        </w:rPr>
        <w:t>申</w:t>
      </w:r>
      <w:r>
        <w:rPr>
          <w:spacing w:val="-2"/>
          <w:sz w:val="21"/>
        </w:rPr>
        <w:t>请恢复合同效力（简</w:t>
      </w:r>
      <w:r>
        <w:rPr>
          <w:spacing w:val="-2"/>
          <w:sz w:val="21"/>
        </w:rPr>
        <w:t>称</w:t>
      </w:r>
      <w:r>
        <w:rPr>
          <w:spacing w:val="-2"/>
          <w:sz w:val="21"/>
        </w:rPr>
        <w:t>复</w:t>
      </w:r>
      <w:r>
        <w:rPr>
          <w:spacing w:val="-2"/>
          <w:sz w:val="21"/>
        </w:rPr>
        <w:t>效</w:t>
      </w:r>
      <w:r>
        <w:rPr>
          <w:spacing w:val="-106"/>
          <w:sz w:val="21"/>
        </w:rPr>
        <w:t>）</w:t>
      </w:r>
      <w:r>
        <w:rPr>
          <w:spacing w:val="-2"/>
          <w:sz w:val="21"/>
        </w:rPr>
        <w:t>。您应填</w:t>
      </w:r>
      <w:r>
        <w:rPr>
          <w:spacing w:val="-10"/>
          <w:sz w:val="21"/>
        </w:rPr>
        <w:t>写</w:t>
      </w:r>
    </w:p>
    <w:p>
      <w:pPr>
        <w:pStyle w:val="BodyText"/>
        <w:spacing w:line="278" w:lineRule="auto" w:before="43"/>
        <w:ind w:left="3487" w:right="324"/>
      </w:pPr>
      <w:r>
        <w:rPr>
          <w:spacing w:val="-4"/>
        </w:rPr>
        <w:t>复效申请书，我们会要求您提供被保险人的健康声明书、体检报告书及其他相</w:t>
      </w:r>
      <w:r>
        <w:rPr>
          <w:spacing w:val="-2"/>
        </w:rPr>
        <w:t>关证明文件，我们会对材料进行审核，做出是否同意复效的决定。</w:t>
      </w:r>
    </w:p>
    <w:p>
      <w:pPr>
        <w:pStyle w:val="BodyText"/>
        <w:spacing w:line="278" w:lineRule="auto"/>
        <w:ind w:left="3487" w:right="216" w:hanging="407"/>
      </w:pPr>
      <w:r>
        <w:rPr/>
        <w:t>二、经双方达成复效协议，自您补交本合同保险费及其他各项欠款的次日零时起，</w:t>
      </w:r>
      <w:r>
        <w:rPr>
          <w:spacing w:val="-2"/>
        </w:rPr>
        <w:t>本合同效力恢复。</w:t>
      </w:r>
    </w:p>
    <w:p>
      <w:pPr>
        <w:pStyle w:val="BodyText"/>
        <w:spacing w:line="278" w:lineRule="auto"/>
        <w:ind w:left="3487" w:right="219" w:hanging="407"/>
      </w:pPr>
      <w:r>
        <w:rPr/>
        <w:t>三、自本合同效力中止之日起满 2 年您和我们未达成复效协议的，我们有权解除</w:t>
      </w:r>
      <w:r>
        <w:rPr>
          <w:spacing w:val="-17"/>
        </w:rPr>
        <w:t>本合同。我们解除本合同的，我们向您退还合同效力中止时本合同的现金价值。</w:t>
      </w:r>
    </w:p>
    <w:p>
      <w:pPr>
        <w:pStyle w:val="BodyText"/>
        <w:spacing w:before="11"/>
        <w:rPr>
          <w:sz w:val="15"/>
        </w:rPr>
      </w:pPr>
    </w:p>
    <w:p>
      <w:pPr>
        <w:tabs>
          <w:tab w:pos="1132" w:val="left" w:leader="none"/>
        </w:tabs>
        <w:spacing w:before="100"/>
        <w:ind w:left="392"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合同解除</w:t>
      </w:r>
    </w:p>
    <w:p>
      <w:pPr>
        <w:pStyle w:val="BodyText"/>
        <w:rPr>
          <w:b/>
          <w:sz w:val="6"/>
        </w:rPr>
      </w:pPr>
      <w:r>
        <w:rPr/>
        <w:drawing>
          <wp:anchor distT="0" distB="0" distL="0" distR="0" allowOverlap="1" layoutInCell="1" locked="0" behindDoc="0" simplePos="0" relativeHeight="7">
            <wp:simplePos x="0" y="0"/>
            <wp:positionH relativeFrom="page">
              <wp:posOffset>431291</wp:posOffset>
            </wp:positionH>
            <wp:positionV relativeFrom="paragraph">
              <wp:posOffset>64592</wp:posOffset>
            </wp:positionV>
            <wp:extent cx="6735960"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735960" cy="12287"/>
                    </a:xfrm>
                    <a:prstGeom prst="rect">
                      <a:avLst/>
                    </a:prstGeom>
                  </pic:spPr>
                </pic:pic>
              </a:graphicData>
            </a:graphic>
          </wp:anchor>
        </w:drawing>
      </w:r>
    </w:p>
    <w:p>
      <w:pPr>
        <w:pStyle w:val="BodyText"/>
        <w:spacing w:before="6"/>
        <w:rPr>
          <w:b/>
          <w:sz w:val="12"/>
        </w:rPr>
      </w:pPr>
    </w:p>
    <w:p>
      <w:pPr>
        <w:spacing w:after="0"/>
        <w:rPr>
          <w:sz w:val="12"/>
        </w:rPr>
        <w:sectPr>
          <w:pgSz w:w="11910" w:h="16840"/>
          <w:pgMar w:header="0" w:footer="655" w:top="1420" w:bottom="840" w:left="560" w:right="480"/>
        </w:sectPr>
      </w:pPr>
    </w:p>
    <w:p>
      <w:pPr>
        <w:pStyle w:val="ListParagraph"/>
        <w:numPr>
          <w:ilvl w:val="1"/>
          <w:numId w:val="11"/>
        </w:numPr>
        <w:tabs>
          <w:tab w:pos="1132" w:val="left" w:leader="none"/>
          <w:tab w:pos="1133" w:val="left" w:leader="none"/>
        </w:tabs>
        <w:spacing w:line="278" w:lineRule="auto" w:before="71" w:after="0"/>
        <w:ind w:left="1132" w:right="0" w:hanging="903"/>
        <w:jc w:val="left"/>
        <w:rPr>
          <w:b/>
          <w:sz w:val="21"/>
        </w:rPr>
      </w:pPr>
      <w:r>
        <w:rPr>
          <w:b/>
          <w:spacing w:val="-2"/>
          <w:sz w:val="21"/>
        </w:rPr>
        <w:t>您解除合同的手续</w:t>
      </w:r>
      <w:r>
        <w:rPr>
          <w:b/>
          <w:spacing w:val="-4"/>
          <w:sz w:val="21"/>
        </w:rPr>
        <w:t>及风险</w:t>
      </w:r>
    </w:p>
    <w:p>
      <w:pPr>
        <w:pStyle w:val="BodyText"/>
        <w:spacing w:line="278" w:lineRule="auto" w:before="71"/>
        <w:ind w:left="661" w:right="403" w:hanging="421"/>
      </w:pPr>
      <w:r>
        <w:rPr/>
        <w:br w:type="column"/>
      </w:r>
      <w:r>
        <w:rPr>
          <w:spacing w:val="-2"/>
        </w:rPr>
        <w:t>一、若您在犹豫期后申请解除本合同，请填写解除合同申请书并向我们提供下列</w:t>
      </w:r>
      <w:r>
        <w:rPr>
          <w:spacing w:val="-4"/>
        </w:rPr>
        <w:t>资料：</w:t>
      </w:r>
    </w:p>
    <w:p>
      <w:pPr>
        <w:pStyle w:val="BodyText"/>
        <w:spacing w:line="269" w:lineRule="exact"/>
        <w:ind w:left="567"/>
      </w:pPr>
      <w:r>
        <w:rPr>
          <w:spacing w:val="-2"/>
        </w:rPr>
        <w:t>（一）</w:t>
      </w:r>
      <w:r>
        <w:rPr>
          <w:spacing w:val="-5"/>
        </w:rPr>
        <w:t>本合同；</w:t>
      </w:r>
    </w:p>
    <w:p>
      <w:pPr>
        <w:pStyle w:val="BodyText"/>
        <w:spacing w:before="43"/>
        <w:ind w:left="567"/>
      </w:pPr>
      <w:r>
        <w:rPr>
          <w:spacing w:val="-2"/>
        </w:rPr>
        <w:t>（二）</w:t>
      </w:r>
      <w:r>
        <w:rPr>
          <w:spacing w:val="-3"/>
        </w:rPr>
        <w:t>您的有效身份证件。</w:t>
      </w:r>
    </w:p>
    <w:p>
      <w:pPr>
        <w:pStyle w:val="BodyText"/>
        <w:spacing w:line="278" w:lineRule="auto" w:before="43"/>
        <w:ind w:left="661" w:right="403" w:hanging="421"/>
      </w:pPr>
      <w:r>
        <w:rPr>
          <w:spacing w:val="-2"/>
        </w:rPr>
        <w:t>二、自我们收到解除合同申请书时起，本合同效力终止。我们自收到解除合同申</w:t>
      </w:r>
      <w:r>
        <w:rPr>
          <w:spacing w:val="-4"/>
        </w:rPr>
        <w:t>请书之日起 </w:t>
      </w:r>
      <w:r>
        <w:rPr/>
        <w:t>30</w:t>
      </w:r>
      <w:r>
        <w:rPr>
          <w:spacing w:val="-5"/>
        </w:rPr>
        <w:t> 日内退还本合同的现金价值。</w:t>
      </w:r>
    </w:p>
    <w:p>
      <w:pPr>
        <w:spacing w:before="0"/>
        <w:ind w:left="219" w:right="0" w:firstLine="0"/>
        <w:jc w:val="left"/>
        <w:rPr>
          <w:rFonts w:ascii="黑体" w:eastAsia="黑体" w:hint="eastAsia"/>
          <w:b/>
          <w:sz w:val="21"/>
        </w:rPr>
      </w:pPr>
      <w:r>
        <w:rPr>
          <w:spacing w:val="-2"/>
          <w:sz w:val="21"/>
        </w:rPr>
        <w:t>三、</w:t>
      </w:r>
      <w:r>
        <w:rPr>
          <w:rFonts w:ascii="黑体" w:eastAsia="黑体" w:hint="eastAsia"/>
          <w:b/>
          <w:spacing w:val="-3"/>
          <w:sz w:val="21"/>
        </w:rPr>
        <w:t>您在犹豫期后解除合同可能会遭受一定损失。</w:t>
      </w:r>
    </w:p>
    <w:p>
      <w:pPr>
        <w:spacing w:after="0"/>
        <w:jc w:val="left"/>
        <w:rPr>
          <w:rFonts w:ascii="黑体" w:eastAsia="黑体" w:hint="eastAsia"/>
          <w:sz w:val="21"/>
        </w:rPr>
        <w:sectPr>
          <w:type w:val="continuous"/>
          <w:pgSz w:w="11910" w:h="16840"/>
          <w:pgMar w:header="0" w:footer="655" w:top="140" w:bottom="280" w:left="560" w:right="480"/>
          <w:cols w:num="2" w:equalWidth="0">
            <w:col w:w="2823" w:space="40"/>
            <w:col w:w="8007"/>
          </w:cols>
        </w:sectPr>
      </w:pPr>
    </w:p>
    <w:p>
      <w:pPr>
        <w:pStyle w:val="BodyText"/>
        <w:spacing w:before="12"/>
        <w:rPr>
          <w:rFonts w:ascii="黑体"/>
          <w:b/>
          <w:sz w:val="13"/>
        </w:rPr>
      </w:pPr>
    </w:p>
    <w:p>
      <w:pPr>
        <w:pStyle w:val="ListParagraph"/>
        <w:numPr>
          <w:ilvl w:val="1"/>
          <w:numId w:val="11"/>
        </w:numPr>
        <w:tabs>
          <w:tab w:pos="1133" w:val="left" w:leader="none"/>
        </w:tabs>
        <w:spacing w:line="266" w:lineRule="auto" w:before="74" w:after="0"/>
        <w:ind w:left="3081" w:right="322" w:hanging="2852"/>
        <w:jc w:val="both"/>
        <w:rPr>
          <w:sz w:val="21"/>
        </w:rPr>
      </w:pPr>
      <w:r>
        <w:rPr>
          <w:b/>
          <w:spacing w:val="63"/>
          <w:sz w:val="21"/>
        </w:rPr>
        <w:t>合同内容变更 </w:t>
      </w:r>
      <w:r>
        <w:rPr>
          <w:sz w:val="21"/>
        </w:rPr>
        <w:t>本合同生效后，若您需变更本合同的内容，应当向我们提出变更合同的申请，在您</w:t>
      </w:r>
      <w:r>
        <w:rPr>
          <w:spacing w:val="-4"/>
          <w:sz w:val="21"/>
        </w:rPr>
        <w:t>与我们达成一致后，可以对合同约定事项进行变更。变更本合同的，应当由我们在</w:t>
      </w:r>
      <w:r>
        <w:rPr>
          <w:spacing w:val="-7"/>
          <w:sz w:val="21"/>
        </w:rPr>
        <w:t>保险单或者其他保险凭证上批注或者附贴批单，或者由您与我们订立书面的变更协</w:t>
      </w:r>
      <w:r>
        <w:rPr>
          <w:spacing w:val="-6"/>
          <w:sz w:val="21"/>
        </w:rPr>
        <w:t>议。</w:t>
      </w:r>
    </w:p>
    <w:p>
      <w:pPr>
        <w:pStyle w:val="BodyText"/>
        <w:rPr>
          <w:sz w:val="18"/>
        </w:rPr>
      </w:pPr>
    </w:p>
    <w:p>
      <w:pPr>
        <w:pStyle w:val="ListParagraph"/>
        <w:numPr>
          <w:ilvl w:val="1"/>
          <w:numId w:val="11"/>
        </w:numPr>
        <w:tabs>
          <w:tab w:pos="1133" w:val="left" w:leader="none"/>
        </w:tabs>
        <w:spacing w:line="266" w:lineRule="auto" w:before="0" w:after="0"/>
        <w:ind w:left="3081" w:right="322" w:hanging="2852"/>
        <w:jc w:val="both"/>
        <w:rPr>
          <w:sz w:val="21"/>
        </w:rPr>
      </w:pPr>
      <w:r>
        <w:rPr>
          <w:b/>
          <w:spacing w:val="63"/>
          <w:sz w:val="21"/>
        </w:rPr>
        <w:t>联系方式变更 </w:t>
      </w:r>
      <w:r>
        <w:rPr>
          <w:sz w:val="21"/>
        </w:rPr>
        <w:t>为保障您的合法权益，您的住所、通讯地址或电话等联系方式变更时，请及时以书</w:t>
      </w:r>
      <w:r>
        <w:rPr>
          <w:spacing w:val="-8"/>
          <w:sz w:val="21"/>
        </w:rPr>
        <w:t>面形式或双方认可的其他形式通知我们。若您未以书面形式或双方认可的其他形式</w:t>
      </w:r>
      <w:r>
        <w:rPr>
          <w:spacing w:val="-12"/>
          <w:sz w:val="21"/>
        </w:rPr>
        <w:t>通知我们，我们按本合同载明的最后住所或通讯地址发送的有关通知，均视为已送</w:t>
      </w:r>
      <w:r>
        <w:rPr>
          <w:spacing w:val="-4"/>
          <w:sz w:val="21"/>
        </w:rPr>
        <w:t>达给您。</w:t>
      </w:r>
    </w:p>
    <w:p>
      <w:pPr>
        <w:pStyle w:val="BodyText"/>
        <w:spacing w:before="6"/>
        <w:rPr>
          <w:sz w:val="25"/>
        </w:rPr>
      </w:pPr>
    </w:p>
    <w:p>
      <w:pPr>
        <w:pStyle w:val="Heading1"/>
        <w:tabs>
          <w:tab w:pos="1132" w:val="left" w:leader="none"/>
        </w:tabs>
        <w:spacing w:before="0"/>
        <w:ind w:left="392"/>
        <w:rPr>
          <w:rFonts w:ascii="宋体" w:hAnsi="宋体" w:eastAsia="宋体" w:hint="eastAsia"/>
        </w:rPr>
      </w:pPr>
      <w:r>
        <w:rPr>
          <w:rFonts w:ascii="Wingdings 2" w:hAnsi="Wingdings 2" w:eastAsia="Wingdings 2"/>
          <w:spacing w:val="-10"/>
          <w:position w:val="-3"/>
          <w:sz w:val="40"/>
        </w:rPr>
        <w:t></w:t>
      </w:r>
      <w:r>
        <w:rPr>
          <w:rFonts w:ascii="Times New Roman" w:hAnsi="Times New Roman" w:eastAsia="Times New Roman"/>
          <w:b w:val="0"/>
          <w:position w:val="-3"/>
          <w:sz w:val="40"/>
        </w:rPr>
        <w:tab/>
      </w:r>
      <w:r>
        <w:rPr>
          <w:rFonts w:ascii="宋体" w:hAnsi="宋体" w:eastAsia="宋体" w:hint="eastAsia"/>
          <w:w w:val="95"/>
        </w:rPr>
        <w:t>明确说</w:t>
      </w:r>
      <w:r>
        <w:rPr>
          <w:rFonts w:ascii="宋体" w:hAnsi="宋体" w:eastAsia="宋体" w:hint="eastAsia"/>
          <w:w w:val="95"/>
        </w:rPr>
        <w:t>明</w:t>
      </w:r>
      <w:r>
        <w:rPr>
          <w:rFonts w:ascii="宋体" w:hAnsi="宋体" w:eastAsia="宋体" w:hint="eastAsia"/>
          <w:w w:val="95"/>
        </w:rPr>
        <w:t>与</w:t>
      </w:r>
      <w:r>
        <w:rPr>
          <w:rFonts w:ascii="宋体" w:hAnsi="宋体" w:eastAsia="宋体" w:hint="eastAsia"/>
          <w:spacing w:val="-3"/>
          <w:w w:val="95"/>
        </w:rPr>
        <w:t>如实告知</w:t>
      </w:r>
    </w:p>
    <w:p>
      <w:pPr>
        <w:pStyle w:val="BodyText"/>
        <w:rPr>
          <w:b/>
          <w:sz w:val="6"/>
        </w:rPr>
      </w:pPr>
      <w:r>
        <w:rPr/>
        <w:drawing>
          <wp:anchor distT="0" distB="0" distL="0" distR="0" allowOverlap="1" layoutInCell="1" locked="0" behindDoc="0" simplePos="0" relativeHeight="8">
            <wp:simplePos x="0" y="0"/>
            <wp:positionH relativeFrom="page">
              <wp:posOffset>431291</wp:posOffset>
            </wp:positionH>
            <wp:positionV relativeFrom="paragraph">
              <wp:posOffset>64663</wp:posOffset>
            </wp:positionV>
            <wp:extent cx="6735960"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735960" cy="12287"/>
                    </a:xfrm>
                    <a:prstGeom prst="rect">
                      <a:avLst/>
                    </a:prstGeom>
                  </pic:spPr>
                </pic:pic>
              </a:graphicData>
            </a:graphic>
          </wp:anchor>
        </w:drawing>
      </w:r>
    </w:p>
    <w:p>
      <w:pPr>
        <w:pStyle w:val="ListParagraph"/>
        <w:numPr>
          <w:ilvl w:val="1"/>
          <w:numId w:val="12"/>
        </w:numPr>
        <w:tabs>
          <w:tab w:pos="1133" w:val="left" w:leader="none"/>
        </w:tabs>
        <w:spacing w:line="240" w:lineRule="auto" w:before="231" w:after="0"/>
        <w:ind w:left="1132" w:right="0" w:hanging="904"/>
        <w:jc w:val="both"/>
        <w:rPr>
          <w:sz w:val="21"/>
        </w:rPr>
      </w:pPr>
      <w:r>
        <w:rPr>
          <w:b/>
          <w:sz w:val="21"/>
        </w:rPr>
        <w:t>明确说明</w:t>
      </w:r>
      <w:r>
        <w:rPr>
          <w:b/>
          <w:spacing w:val="56"/>
          <w:w w:val="150"/>
          <w:sz w:val="21"/>
        </w:rPr>
        <w:t>     </w:t>
      </w:r>
      <w:r>
        <w:rPr>
          <w:spacing w:val="-1"/>
          <w:sz w:val="21"/>
        </w:rPr>
        <w:t>一、订立本合同时，我们会向您说明本合同的内容。</w:t>
      </w:r>
    </w:p>
    <w:p>
      <w:pPr>
        <w:pStyle w:val="BodyText"/>
        <w:spacing w:line="278" w:lineRule="auto" w:before="43"/>
        <w:ind w:left="3501" w:right="322" w:hanging="421"/>
        <w:jc w:val="both"/>
      </w:pPr>
      <w:r>
        <w:rPr/>
        <w:t>二、对保险条款中免除我们责任的条款，我们在订立合同时应当在投保单、保险</w:t>
      </w:r>
      <w:r>
        <w:rPr>
          <w:spacing w:val="-7"/>
        </w:rPr>
        <w:t>单或其他保险凭证上作出足以引起您注意的提示，并对该条款的内容以书面或</w:t>
      </w:r>
      <w:r>
        <w:rPr>
          <w:spacing w:val="-2"/>
        </w:rPr>
        <w:t>口头形式向您作出明确说明，未作提示或明确说明的，该条款不产生效力。</w:t>
      </w:r>
    </w:p>
    <w:p>
      <w:pPr>
        <w:pStyle w:val="BodyText"/>
        <w:spacing w:before="10"/>
        <w:rPr>
          <w:sz w:val="17"/>
        </w:rPr>
      </w:pPr>
    </w:p>
    <w:p>
      <w:pPr>
        <w:pStyle w:val="ListParagraph"/>
        <w:numPr>
          <w:ilvl w:val="1"/>
          <w:numId w:val="12"/>
        </w:numPr>
        <w:tabs>
          <w:tab w:pos="1133" w:val="left" w:leader="none"/>
        </w:tabs>
        <w:spacing w:line="240" w:lineRule="auto" w:before="0" w:after="0"/>
        <w:ind w:left="1132" w:right="0" w:hanging="904"/>
        <w:jc w:val="both"/>
        <w:rPr>
          <w:sz w:val="21"/>
        </w:rPr>
      </w:pPr>
      <w:r>
        <w:rPr>
          <w:b/>
          <w:sz w:val="21"/>
        </w:rPr>
        <w:t>如实告知</w:t>
      </w:r>
      <w:r>
        <w:rPr>
          <w:b/>
          <w:spacing w:val="54"/>
          <w:w w:val="150"/>
          <w:sz w:val="21"/>
        </w:rPr>
        <w:t>     </w:t>
      </w:r>
      <w:r>
        <w:rPr>
          <w:spacing w:val="-1"/>
          <w:sz w:val="21"/>
        </w:rPr>
        <w:t>一、我们就您和被保险人的有关情况提出询问的，您应当如实告知。</w:t>
      </w:r>
    </w:p>
    <w:p>
      <w:pPr>
        <w:spacing w:after="0" w:line="240" w:lineRule="auto"/>
        <w:jc w:val="both"/>
        <w:rPr>
          <w:sz w:val="21"/>
        </w:rPr>
        <w:sectPr>
          <w:type w:val="continuous"/>
          <w:pgSz w:w="11910" w:h="16840"/>
          <w:pgMar w:header="0" w:footer="655" w:top="140" w:bottom="280" w:left="560" w:right="480"/>
        </w:sectPr>
      </w:pPr>
    </w:p>
    <w:p>
      <w:pPr>
        <w:spacing w:line="278" w:lineRule="auto" w:before="58"/>
        <w:ind w:left="3504" w:right="404" w:hanging="423"/>
        <w:jc w:val="left"/>
        <w:rPr>
          <w:rFonts w:ascii="黑体" w:eastAsia="黑体" w:hint="eastAsia"/>
          <w:b/>
          <w:sz w:val="21"/>
        </w:rPr>
      </w:pPr>
      <w:r>
        <w:rPr>
          <w:rFonts w:ascii="黑体" w:eastAsia="黑体"/>
          <w:spacing w:val="-2"/>
          <w:sz w:val="21"/>
        </w:rPr>
        <w:t>二、</w:t>
      </w:r>
      <w:r>
        <w:rPr>
          <w:rFonts w:ascii="黑体" w:eastAsia="黑体" w:hint="eastAsia"/>
          <w:b/>
          <w:spacing w:val="-2"/>
          <w:sz w:val="21"/>
        </w:rPr>
        <w:t>若您故意或因重大过失未履行前款规定的如实告知义务，足以影响我们决定</w:t>
      </w:r>
      <w:r>
        <w:rPr>
          <w:rFonts w:ascii="黑体" w:eastAsia="黑体" w:hint="eastAsia"/>
          <w:b/>
          <w:spacing w:val="-2"/>
          <w:sz w:val="21"/>
        </w:rPr>
        <w:t>是否同意承保或提高保险费率的，我们有权解除本合同。</w:t>
      </w:r>
    </w:p>
    <w:p>
      <w:pPr>
        <w:spacing w:line="278" w:lineRule="auto" w:before="0"/>
        <w:ind w:left="3504" w:right="404" w:hanging="423"/>
        <w:jc w:val="left"/>
        <w:rPr>
          <w:rFonts w:ascii="黑体" w:eastAsia="黑体" w:hint="eastAsia"/>
          <w:b/>
          <w:sz w:val="21"/>
        </w:rPr>
      </w:pPr>
      <w:r>
        <w:rPr>
          <w:rFonts w:ascii="黑体" w:eastAsia="黑体"/>
          <w:spacing w:val="-2"/>
          <w:sz w:val="21"/>
        </w:rPr>
        <w:t>三、</w:t>
      </w:r>
      <w:r>
        <w:rPr>
          <w:rFonts w:ascii="黑体" w:eastAsia="黑体" w:hint="eastAsia"/>
          <w:b/>
          <w:spacing w:val="-2"/>
          <w:sz w:val="21"/>
        </w:rPr>
        <w:t>若您故意不履行如实告知义务，对于本合同解除前发生的保险事故，我们不</w:t>
      </w:r>
      <w:r>
        <w:rPr>
          <w:rFonts w:ascii="黑体" w:eastAsia="黑体" w:hint="eastAsia"/>
          <w:b/>
          <w:spacing w:val="-2"/>
          <w:sz w:val="21"/>
        </w:rPr>
        <w:t>承担给付保险金的责任，并不退还保险费。</w:t>
      </w:r>
    </w:p>
    <w:p>
      <w:pPr>
        <w:spacing w:line="278" w:lineRule="auto" w:before="0"/>
        <w:ind w:left="3501" w:right="323" w:hanging="421"/>
        <w:jc w:val="both"/>
        <w:rPr>
          <w:rFonts w:ascii="黑体" w:eastAsia="黑体" w:hint="eastAsia"/>
          <w:b/>
          <w:sz w:val="21"/>
        </w:rPr>
      </w:pPr>
      <w:r>
        <w:rPr>
          <w:rFonts w:ascii="黑体" w:eastAsia="黑体"/>
          <w:spacing w:val="-2"/>
          <w:sz w:val="21"/>
        </w:rPr>
        <w:t>四、</w:t>
      </w:r>
      <w:r>
        <w:rPr>
          <w:rFonts w:ascii="黑体" w:eastAsia="黑体" w:hint="eastAsia"/>
          <w:b/>
          <w:spacing w:val="-2"/>
          <w:sz w:val="21"/>
        </w:rPr>
        <w:t>若您因重大过失未履行如实告知义务，对保险事故的发生有严重影响的，对</w:t>
      </w:r>
      <w:r>
        <w:rPr>
          <w:rFonts w:ascii="黑体" w:eastAsia="黑体" w:hint="eastAsia"/>
          <w:b/>
          <w:spacing w:val="-2"/>
          <w:sz w:val="21"/>
        </w:rPr>
        <w:t>于本合同解除前发生的保险事故，我们不承担给付保险金的责任，但应当退</w:t>
      </w:r>
      <w:r>
        <w:rPr>
          <w:rFonts w:ascii="黑体" w:eastAsia="黑体" w:hint="eastAsia"/>
          <w:b/>
          <w:spacing w:val="-2"/>
          <w:sz w:val="21"/>
        </w:rPr>
        <w:t>还保险费。</w:t>
      </w:r>
    </w:p>
    <w:p>
      <w:pPr>
        <w:pStyle w:val="BodyText"/>
        <w:spacing w:line="278" w:lineRule="auto"/>
        <w:ind w:left="3501" w:right="216" w:hanging="421"/>
      </w:pPr>
      <w:r>
        <w:rPr>
          <w:spacing w:val="-2"/>
        </w:rPr>
        <w:t>五、我们在本合同订立时已经知道您未如实告知的情况的，我们不得解除本合同；</w:t>
      </w:r>
      <w:r>
        <w:rPr>
          <w:spacing w:val="-2"/>
        </w:rPr>
        <w:t>发生保险事故的，我们承担给付保险金的责任。</w:t>
      </w:r>
    </w:p>
    <w:p>
      <w:pPr>
        <w:pStyle w:val="BodyText"/>
        <w:spacing w:before="2"/>
        <w:rPr>
          <w:sz w:val="12"/>
        </w:rPr>
      </w:pPr>
    </w:p>
    <w:p>
      <w:pPr>
        <w:spacing w:after="0"/>
        <w:rPr>
          <w:sz w:val="12"/>
        </w:rPr>
        <w:sectPr>
          <w:pgSz w:w="11910" w:h="16840"/>
          <w:pgMar w:header="0" w:footer="655" w:top="1420" w:bottom="840" w:left="560" w:right="480"/>
        </w:sectPr>
      </w:pPr>
    </w:p>
    <w:p>
      <w:pPr>
        <w:pStyle w:val="ListParagraph"/>
        <w:numPr>
          <w:ilvl w:val="1"/>
          <w:numId w:val="12"/>
        </w:numPr>
        <w:tabs>
          <w:tab w:pos="1132" w:val="left" w:leader="none"/>
          <w:tab w:pos="1133" w:val="left" w:leader="none"/>
        </w:tabs>
        <w:spacing w:line="278" w:lineRule="auto" w:before="71" w:after="0"/>
        <w:ind w:left="1132" w:right="0" w:hanging="903"/>
        <w:jc w:val="left"/>
        <w:rPr>
          <w:b/>
          <w:sz w:val="21"/>
        </w:rPr>
      </w:pPr>
      <w:r>
        <w:rPr>
          <w:b/>
          <w:spacing w:val="-2"/>
          <w:sz w:val="21"/>
        </w:rPr>
        <w:t>本公司合同解除权</w:t>
      </w:r>
      <w:r>
        <w:rPr>
          <w:b/>
          <w:spacing w:val="-4"/>
          <w:sz w:val="21"/>
        </w:rPr>
        <w:t>的限制</w:t>
      </w:r>
    </w:p>
    <w:p>
      <w:pPr>
        <w:pStyle w:val="BodyText"/>
        <w:spacing w:before="71"/>
        <w:ind w:left="219"/>
      </w:pPr>
      <w:r>
        <w:rPr/>
        <w:br w:type="column"/>
      </w:r>
      <w:r>
        <w:rPr>
          <w:spacing w:val="-11"/>
        </w:rPr>
        <w:t>前款规定的合同解除权，自我们知道有解除事由之日起，超过 </w:t>
      </w:r>
      <w:r>
        <w:rPr>
          <w:spacing w:val="-2"/>
        </w:rPr>
        <w:t>30</w:t>
      </w:r>
      <w:r>
        <w:rPr>
          <w:spacing w:val="-9"/>
        </w:rPr>
        <w:t> 日不行使而消灭。</w:t>
      </w:r>
    </w:p>
    <w:p>
      <w:pPr>
        <w:pStyle w:val="BodyText"/>
        <w:spacing w:line="278" w:lineRule="auto" w:before="43"/>
        <w:ind w:left="219" w:right="324"/>
      </w:pPr>
      <w:r>
        <w:rPr>
          <w:spacing w:val="-8"/>
        </w:rPr>
        <w:t>自本合同成立之日起超过 </w:t>
      </w:r>
      <w:r>
        <w:rPr>
          <w:spacing w:val="-4"/>
        </w:rPr>
        <w:t>2</w:t>
      </w:r>
      <w:r>
        <w:rPr>
          <w:spacing w:val="-11"/>
        </w:rPr>
        <w:t> 年的，我们不得解除合同；发生保险事故的，我们承担</w:t>
      </w:r>
      <w:r>
        <w:rPr>
          <w:spacing w:val="-2"/>
        </w:rPr>
        <w:t>给付保险金的责任。</w:t>
      </w:r>
    </w:p>
    <w:p>
      <w:pPr>
        <w:spacing w:after="0" w:line="278" w:lineRule="auto"/>
        <w:sectPr>
          <w:type w:val="continuous"/>
          <w:pgSz w:w="11910" w:h="16840"/>
          <w:pgMar w:header="0" w:footer="655" w:top="140" w:bottom="280" w:left="560" w:right="480"/>
          <w:cols w:num="2" w:equalWidth="0">
            <w:col w:w="2823" w:space="40"/>
            <w:col w:w="8007"/>
          </w:cols>
        </w:sectPr>
      </w:pPr>
    </w:p>
    <w:p>
      <w:pPr>
        <w:pStyle w:val="BodyText"/>
        <w:spacing w:before="12"/>
        <w:rPr>
          <w:sz w:val="15"/>
        </w:rPr>
      </w:pPr>
    </w:p>
    <w:p>
      <w:pPr>
        <w:pStyle w:val="Heading1"/>
        <w:tabs>
          <w:tab w:pos="1132" w:val="left" w:leader="none"/>
        </w:tabs>
        <w:spacing w:before="100"/>
        <w:ind w:left="229"/>
        <w:rPr>
          <w:rFonts w:ascii="宋体" w:hAnsi="宋体" w:eastAsia="宋体" w:hint="eastAsia"/>
        </w:rPr>
      </w:pPr>
      <w:r>
        <w:rPr>
          <w:rFonts w:ascii="Wingdings 2" w:hAnsi="Wingdings 2" w:eastAsia="Wingdings 2"/>
          <w:spacing w:val="-10"/>
          <w:position w:val="-3"/>
          <w:sz w:val="40"/>
        </w:rPr>
        <w:t></w:t>
      </w:r>
      <w:r>
        <w:rPr>
          <w:rFonts w:ascii="Times New Roman" w:hAnsi="Times New Roman" w:eastAsia="Times New Roman"/>
          <w:b w:val="0"/>
          <w:position w:val="-3"/>
          <w:sz w:val="40"/>
        </w:rPr>
        <w:tab/>
      </w:r>
      <w:r>
        <w:rPr>
          <w:rFonts w:ascii="宋体" w:hAnsi="宋体" w:eastAsia="宋体" w:hint="eastAsia"/>
          <w:w w:val="95"/>
        </w:rPr>
        <w:t>其他需</w:t>
      </w:r>
      <w:r>
        <w:rPr>
          <w:rFonts w:ascii="宋体" w:hAnsi="宋体" w:eastAsia="宋体" w:hint="eastAsia"/>
          <w:w w:val="95"/>
        </w:rPr>
        <w:t>要</w:t>
      </w:r>
      <w:r>
        <w:rPr>
          <w:rFonts w:ascii="宋体" w:hAnsi="宋体" w:eastAsia="宋体" w:hint="eastAsia"/>
          <w:w w:val="95"/>
        </w:rPr>
        <w:t>关</w:t>
      </w:r>
      <w:r>
        <w:rPr>
          <w:rFonts w:ascii="宋体" w:hAnsi="宋体" w:eastAsia="宋体" w:hint="eastAsia"/>
          <w:spacing w:val="-3"/>
          <w:w w:val="95"/>
        </w:rPr>
        <w:t>注的事项</w:t>
      </w:r>
    </w:p>
    <w:p>
      <w:pPr>
        <w:pStyle w:val="BodyText"/>
        <w:spacing w:before="1"/>
        <w:rPr>
          <w:b/>
          <w:sz w:val="6"/>
        </w:rPr>
      </w:pPr>
      <w:r>
        <w:rPr/>
        <w:drawing>
          <wp:anchor distT="0" distB="0" distL="0" distR="0" allowOverlap="1" layoutInCell="1" locked="0" behindDoc="0" simplePos="0" relativeHeight="9">
            <wp:simplePos x="0" y="0"/>
            <wp:positionH relativeFrom="page">
              <wp:posOffset>431291</wp:posOffset>
            </wp:positionH>
            <wp:positionV relativeFrom="paragraph">
              <wp:posOffset>64695</wp:posOffset>
            </wp:positionV>
            <wp:extent cx="6736171" cy="12287"/>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736171" cy="12287"/>
                    </a:xfrm>
                    <a:prstGeom prst="rect">
                      <a:avLst/>
                    </a:prstGeom>
                  </pic:spPr>
                </pic:pic>
              </a:graphicData>
            </a:graphic>
          </wp:anchor>
        </w:drawing>
      </w:r>
    </w:p>
    <w:p>
      <w:pPr>
        <w:pStyle w:val="ListParagraph"/>
        <w:numPr>
          <w:ilvl w:val="1"/>
          <w:numId w:val="13"/>
        </w:numPr>
        <w:tabs>
          <w:tab w:pos="1132" w:val="left" w:leader="none"/>
          <w:tab w:pos="1133" w:val="left" w:leader="none"/>
          <w:tab w:pos="3083" w:val="left" w:leader="none"/>
        </w:tabs>
        <w:spacing w:line="278" w:lineRule="auto" w:before="231" w:after="0"/>
        <w:ind w:left="3081" w:right="423" w:hanging="2852"/>
        <w:jc w:val="left"/>
        <w:rPr>
          <w:sz w:val="21"/>
        </w:rPr>
      </w:pPr>
      <w:r>
        <w:rPr>
          <w:b/>
          <w:spacing w:val="-2"/>
          <w:sz w:val="21"/>
        </w:rPr>
        <w:t>年</w:t>
      </w:r>
      <w:r>
        <w:rPr>
          <w:b/>
          <w:spacing w:val="-2"/>
          <w:sz w:val="21"/>
        </w:rPr>
        <w:t>龄</w:t>
      </w:r>
      <w:r>
        <w:rPr>
          <w:b/>
          <w:spacing w:val="-2"/>
          <w:sz w:val="21"/>
        </w:rPr>
        <w:t>性</w:t>
      </w:r>
      <w:r>
        <w:rPr>
          <w:b/>
          <w:spacing w:val="-2"/>
          <w:sz w:val="21"/>
        </w:rPr>
        <w:t>别</w:t>
      </w:r>
      <w:r>
        <w:rPr>
          <w:b/>
          <w:spacing w:val="-2"/>
          <w:sz w:val="21"/>
        </w:rPr>
        <w:t>错</w:t>
      </w:r>
      <w:r>
        <w:rPr>
          <w:b/>
          <w:spacing w:val="-2"/>
          <w:sz w:val="21"/>
        </w:rPr>
        <w:t>误</w:t>
      </w:r>
      <w:r>
        <w:rPr>
          <w:b/>
          <w:sz w:val="21"/>
        </w:rPr>
        <w:tab/>
        <w:tab/>
      </w:r>
      <w:r>
        <w:rPr>
          <w:spacing w:val="-2"/>
          <w:sz w:val="21"/>
        </w:rPr>
        <w:t>您</w:t>
      </w:r>
      <w:r>
        <w:rPr>
          <w:spacing w:val="-2"/>
          <w:sz w:val="21"/>
        </w:rPr>
        <w:t>在</w:t>
      </w:r>
      <w:r>
        <w:rPr>
          <w:spacing w:val="-2"/>
          <w:sz w:val="21"/>
        </w:rPr>
        <w:t>申请投保时，应将与</w:t>
      </w:r>
      <w:r>
        <w:rPr>
          <w:spacing w:val="-2"/>
          <w:sz w:val="21"/>
        </w:rPr>
        <w:t>有</w:t>
      </w:r>
      <w:r>
        <w:rPr>
          <w:spacing w:val="-2"/>
          <w:sz w:val="21"/>
        </w:rPr>
        <w:t>效</w:t>
      </w:r>
      <w:r>
        <w:rPr>
          <w:spacing w:val="-2"/>
          <w:sz w:val="21"/>
        </w:rPr>
        <w:t>身份证件相符的被保</w:t>
      </w:r>
      <w:r>
        <w:rPr>
          <w:spacing w:val="-2"/>
          <w:sz w:val="21"/>
        </w:rPr>
        <w:t>险</w:t>
      </w:r>
      <w:r>
        <w:rPr>
          <w:spacing w:val="-2"/>
          <w:sz w:val="21"/>
        </w:rPr>
        <w:t>人</w:t>
      </w:r>
      <w:r>
        <w:rPr>
          <w:spacing w:val="-2"/>
          <w:sz w:val="21"/>
        </w:rPr>
        <w:t>的出生日期和性别在</w:t>
      </w:r>
      <w:r>
        <w:rPr>
          <w:spacing w:val="-2"/>
          <w:sz w:val="21"/>
        </w:rPr>
        <w:t>投</w:t>
      </w:r>
      <w:r>
        <w:rPr>
          <w:spacing w:val="-2"/>
          <w:sz w:val="21"/>
        </w:rPr>
        <w:t>保</w:t>
      </w:r>
      <w:r>
        <w:rPr>
          <w:spacing w:val="-2"/>
          <w:sz w:val="21"/>
        </w:rPr>
        <w:t>单</w:t>
      </w:r>
      <w:r>
        <w:rPr>
          <w:spacing w:val="-2"/>
          <w:sz w:val="21"/>
        </w:rPr>
        <w:t>上</w:t>
      </w:r>
      <w:r>
        <w:rPr>
          <w:spacing w:val="-2"/>
          <w:sz w:val="21"/>
        </w:rPr>
        <w:t>填明，如果发生错误</w:t>
      </w:r>
      <w:r>
        <w:rPr>
          <w:spacing w:val="-2"/>
          <w:sz w:val="21"/>
        </w:rPr>
        <w:t>按</w:t>
      </w:r>
      <w:r>
        <w:rPr>
          <w:spacing w:val="-2"/>
          <w:sz w:val="21"/>
        </w:rPr>
        <w:t>照</w:t>
      </w:r>
      <w:r>
        <w:rPr>
          <w:spacing w:val="-2"/>
          <w:sz w:val="21"/>
        </w:rPr>
        <w:t>下列方式办</w:t>
      </w:r>
      <w:r>
        <w:rPr>
          <w:spacing w:val="-2"/>
          <w:sz w:val="21"/>
        </w:rPr>
        <w:t>理</w:t>
      </w:r>
      <w:r>
        <w:rPr>
          <w:spacing w:val="-2"/>
          <w:sz w:val="21"/>
        </w:rPr>
        <w:t>：</w:t>
      </w:r>
    </w:p>
    <w:p>
      <w:pPr>
        <w:spacing w:line="278" w:lineRule="auto" w:before="0"/>
        <w:ind w:left="3501" w:right="323" w:hanging="421"/>
        <w:jc w:val="both"/>
        <w:rPr>
          <w:rFonts w:ascii="黑体" w:hAnsi="黑体" w:eastAsia="黑体" w:hint="eastAsia"/>
          <w:b/>
          <w:sz w:val="21"/>
        </w:rPr>
      </w:pPr>
      <w:r>
        <w:rPr>
          <w:rFonts w:ascii="黑体" w:hAnsi="黑体" w:eastAsia="黑体"/>
          <w:spacing w:val="-2"/>
          <w:sz w:val="21"/>
        </w:rPr>
        <w:t>一、</w:t>
      </w:r>
      <w:r>
        <w:rPr>
          <w:rFonts w:ascii="黑体" w:hAnsi="黑体" w:eastAsia="黑体" w:hint="eastAsia"/>
          <w:b/>
          <w:spacing w:val="-2"/>
          <w:sz w:val="21"/>
        </w:rPr>
        <w:t>您申报的被保险人年龄不真实，并且其真实年龄不符合本合同约定投保年龄</w:t>
      </w:r>
      <w:r>
        <w:rPr>
          <w:rFonts w:ascii="黑体" w:hAnsi="黑体" w:eastAsia="黑体" w:hint="eastAsia"/>
          <w:b/>
          <w:spacing w:val="-2"/>
          <w:sz w:val="21"/>
        </w:rPr>
        <w:t>限制的，本公司有权解除合同。本公司行使合同解除权适用“本公司合同解</w:t>
      </w:r>
      <w:r>
        <w:rPr>
          <w:rFonts w:ascii="黑体" w:hAnsi="黑体" w:eastAsia="黑体" w:hint="eastAsia"/>
          <w:b/>
          <w:spacing w:val="-2"/>
          <w:sz w:val="21"/>
        </w:rPr>
        <w:t>除权的限制”的规定。对于解除合同的，本公司向您退还本合同当时的现金</w:t>
      </w:r>
      <w:r>
        <w:rPr>
          <w:rFonts w:ascii="黑体" w:hAnsi="黑体" w:eastAsia="黑体" w:hint="eastAsia"/>
          <w:b/>
          <w:spacing w:val="-4"/>
          <w:sz w:val="21"/>
        </w:rPr>
        <w:t>价值。</w:t>
      </w:r>
    </w:p>
    <w:p>
      <w:pPr>
        <w:spacing w:line="278" w:lineRule="auto" w:before="0"/>
        <w:ind w:left="3501" w:right="219" w:hanging="421"/>
        <w:jc w:val="left"/>
        <w:rPr>
          <w:rFonts w:ascii="黑体" w:eastAsia="黑体" w:hint="eastAsia"/>
          <w:b/>
          <w:sz w:val="21"/>
        </w:rPr>
      </w:pPr>
      <w:r>
        <w:rPr>
          <w:rFonts w:ascii="黑体" w:eastAsia="黑体"/>
          <w:spacing w:val="-6"/>
          <w:w w:val="100"/>
          <w:sz w:val="21"/>
        </w:rPr>
        <w:t>二、</w:t>
      </w:r>
      <w:r>
        <w:rPr>
          <w:rFonts w:ascii="黑体" w:eastAsia="黑体" w:hint="eastAsia"/>
          <w:b/>
          <w:spacing w:val="-4"/>
          <w:w w:val="100"/>
          <w:sz w:val="21"/>
        </w:rPr>
        <w:t>您申报的被保险人年龄、性别不真实，致使您实付保险费少于应付保险费的，</w:t>
      </w:r>
      <w:r>
        <w:rPr>
          <w:rFonts w:ascii="黑体" w:eastAsia="黑体" w:hint="eastAsia"/>
          <w:b/>
          <w:w w:val="100"/>
          <w:sz w:val="21"/>
        </w:rPr>
        <w:t>本公司有权更正并要求您补交保险费。若已经发生保险事故，在给付保险金</w:t>
      </w:r>
      <w:r>
        <w:rPr>
          <w:rFonts w:ascii="黑体" w:eastAsia="黑体" w:hint="eastAsia"/>
          <w:b/>
          <w:spacing w:val="-2"/>
          <w:w w:val="100"/>
          <w:sz w:val="21"/>
        </w:rPr>
        <w:t>时按实付保险费和应付保险费的比例给付。</w:t>
      </w:r>
    </w:p>
    <w:p>
      <w:pPr>
        <w:pStyle w:val="BodyText"/>
        <w:spacing w:line="278" w:lineRule="auto"/>
        <w:ind w:left="3501" w:right="216" w:hanging="421"/>
      </w:pPr>
      <w:r>
        <w:rPr>
          <w:spacing w:val="-2"/>
        </w:rPr>
        <w:t>三、您申报的被保险人年龄、性别不真实，致使您实付保险费多于应付保险费的，</w:t>
      </w:r>
      <w:r>
        <w:rPr>
          <w:spacing w:val="-2"/>
        </w:rPr>
        <w:t>本公司会将多收的保险费退还给您。</w:t>
      </w:r>
    </w:p>
    <w:p>
      <w:pPr>
        <w:pStyle w:val="BodyText"/>
        <w:spacing w:before="7"/>
        <w:rPr>
          <w:sz w:val="17"/>
        </w:rPr>
      </w:pPr>
    </w:p>
    <w:p>
      <w:pPr>
        <w:pStyle w:val="ListParagraph"/>
        <w:numPr>
          <w:ilvl w:val="1"/>
          <w:numId w:val="13"/>
        </w:numPr>
        <w:tabs>
          <w:tab w:pos="1132" w:val="left" w:leader="none"/>
          <w:tab w:pos="1133" w:val="left" w:leader="none"/>
          <w:tab w:pos="3081" w:val="left" w:leader="none"/>
        </w:tabs>
        <w:spacing w:line="240" w:lineRule="auto" w:before="0" w:after="0"/>
        <w:ind w:left="1132" w:right="0" w:hanging="904"/>
        <w:jc w:val="left"/>
        <w:rPr>
          <w:sz w:val="21"/>
        </w:rPr>
      </w:pPr>
      <w:r>
        <w:rPr>
          <w:b/>
          <w:sz w:val="21"/>
        </w:rPr>
        <w:t>合同效力终</w:t>
      </w:r>
      <w:r>
        <w:rPr>
          <w:b/>
          <w:spacing w:val="-10"/>
          <w:sz w:val="21"/>
        </w:rPr>
        <w:t>止</w:t>
      </w:r>
      <w:r>
        <w:rPr>
          <w:b/>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同效力终止</w:t>
      </w:r>
      <w:r>
        <w:rPr>
          <w:spacing w:val="-10"/>
          <w:sz w:val="21"/>
        </w:rPr>
        <w:t>：</w:t>
      </w:r>
    </w:p>
    <w:p>
      <w:pPr>
        <w:pStyle w:val="BodyText"/>
        <w:spacing w:before="43"/>
        <w:ind w:left="3081"/>
      </w:pPr>
      <w:r>
        <w:rPr>
          <w:spacing w:val="-3"/>
        </w:rPr>
        <w:t>一、您申请解除本合同；</w:t>
      </w:r>
    </w:p>
    <w:p>
      <w:pPr>
        <w:pStyle w:val="BodyText"/>
        <w:spacing w:before="43"/>
        <w:ind w:left="3081"/>
      </w:pPr>
      <w:r>
        <w:rPr>
          <w:spacing w:val="-3"/>
        </w:rPr>
        <w:t>二、因本合同其他条款所列情况而效力终止。</w:t>
      </w:r>
    </w:p>
    <w:p>
      <w:pPr>
        <w:pStyle w:val="BodyText"/>
        <w:spacing w:before="8"/>
        <w:rPr>
          <w:sz w:val="19"/>
        </w:rPr>
      </w:pPr>
    </w:p>
    <w:p>
      <w:pPr>
        <w:pStyle w:val="ListParagraph"/>
        <w:numPr>
          <w:ilvl w:val="1"/>
          <w:numId w:val="13"/>
        </w:numPr>
        <w:tabs>
          <w:tab w:pos="1132" w:val="left" w:leader="none"/>
          <w:tab w:pos="1133" w:val="left" w:leader="none"/>
          <w:tab w:pos="3081" w:val="left" w:leader="none"/>
        </w:tabs>
        <w:spacing w:line="266" w:lineRule="auto" w:before="0" w:after="0"/>
        <w:ind w:left="3081" w:right="218" w:hanging="2852"/>
        <w:jc w:val="left"/>
        <w:rPr>
          <w:sz w:val="21"/>
        </w:rPr>
      </w:pPr>
      <w:r>
        <w:rPr>
          <w:b/>
          <w:spacing w:val="-4"/>
          <w:sz w:val="21"/>
        </w:rPr>
        <w:t>未</w:t>
      </w:r>
      <w:r>
        <w:rPr>
          <w:b/>
          <w:spacing w:val="-4"/>
          <w:sz w:val="21"/>
        </w:rPr>
        <w:t>还</w:t>
      </w:r>
      <w:r>
        <w:rPr>
          <w:b/>
          <w:spacing w:val="-4"/>
          <w:sz w:val="21"/>
        </w:rPr>
        <w:t>款</w:t>
      </w:r>
      <w:r>
        <w:rPr>
          <w:b/>
          <w:spacing w:val="-4"/>
          <w:sz w:val="21"/>
        </w:rPr>
        <w:t>项</w:t>
      </w:r>
      <w:r>
        <w:rPr>
          <w:b/>
          <w:sz w:val="21"/>
        </w:rPr>
        <w:tab/>
      </w:r>
      <w:r>
        <w:rPr>
          <w:spacing w:val="-2"/>
          <w:sz w:val="21"/>
        </w:rPr>
        <w:t>我</w:t>
      </w:r>
      <w:r>
        <w:rPr>
          <w:spacing w:val="-2"/>
          <w:sz w:val="21"/>
        </w:rPr>
        <w:t>们</w:t>
      </w:r>
      <w:r>
        <w:rPr>
          <w:spacing w:val="-2"/>
          <w:sz w:val="21"/>
        </w:rPr>
        <w:t>在给付各项保险金</w:t>
      </w:r>
      <w:r>
        <w:rPr>
          <w:spacing w:val="-108"/>
          <w:sz w:val="21"/>
        </w:rPr>
        <w:t>、</w:t>
      </w:r>
      <w:r>
        <w:rPr>
          <w:spacing w:val="-2"/>
          <w:sz w:val="21"/>
        </w:rPr>
        <w:t>退</w:t>
      </w:r>
      <w:r>
        <w:rPr>
          <w:spacing w:val="-2"/>
          <w:sz w:val="21"/>
        </w:rPr>
        <w:t>还</w:t>
      </w:r>
      <w:r>
        <w:rPr>
          <w:spacing w:val="-2"/>
          <w:sz w:val="21"/>
        </w:rPr>
        <w:t>现</w:t>
      </w:r>
      <w:r>
        <w:rPr>
          <w:spacing w:val="-2"/>
          <w:sz w:val="21"/>
        </w:rPr>
        <w:t>金价值或者返还保险</w:t>
      </w:r>
      <w:r>
        <w:rPr>
          <w:spacing w:val="-2"/>
          <w:sz w:val="21"/>
        </w:rPr>
        <w:t>费</w:t>
      </w:r>
      <w:r>
        <w:rPr>
          <w:spacing w:val="-2"/>
          <w:sz w:val="21"/>
        </w:rPr>
        <w:t>时</w:t>
      </w:r>
      <w:r>
        <w:rPr>
          <w:spacing w:val="-108"/>
          <w:sz w:val="21"/>
        </w:rPr>
        <w:t>，</w:t>
      </w:r>
      <w:r>
        <w:rPr>
          <w:spacing w:val="-2"/>
          <w:sz w:val="21"/>
        </w:rPr>
        <w:t>如果您有欠交的保险</w:t>
      </w:r>
      <w:r>
        <w:rPr>
          <w:spacing w:val="-2"/>
          <w:sz w:val="21"/>
        </w:rPr>
        <w:t>费</w:t>
      </w:r>
      <w:r>
        <w:rPr>
          <w:spacing w:val="-2"/>
          <w:sz w:val="21"/>
        </w:rPr>
        <w:t>、</w:t>
      </w:r>
      <w:r>
        <w:rPr>
          <w:spacing w:val="-2"/>
          <w:sz w:val="21"/>
        </w:rPr>
        <w:t>保</w:t>
      </w:r>
      <w:r>
        <w:rPr>
          <w:spacing w:val="-2"/>
          <w:sz w:val="21"/>
        </w:rPr>
        <w:t>单</w:t>
      </w:r>
      <w:r>
        <w:rPr>
          <w:spacing w:val="-2"/>
          <w:sz w:val="21"/>
        </w:rPr>
        <w:t>贷款或者其他各项欠款</w:t>
      </w:r>
      <w:r>
        <w:rPr>
          <w:spacing w:val="-53"/>
          <w:sz w:val="21"/>
        </w:rPr>
        <w:t>，</w:t>
      </w:r>
      <w:r>
        <w:rPr>
          <w:spacing w:val="-2"/>
          <w:sz w:val="21"/>
        </w:rPr>
        <w:t>我们按照您和其他权</w:t>
      </w:r>
      <w:r>
        <w:rPr>
          <w:spacing w:val="-2"/>
          <w:sz w:val="21"/>
        </w:rPr>
        <w:t>利</w:t>
      </w:r>
      <w:r>
        <w:rPr>
          <w:spacing w:val="-2"/>
          <w:sz w:val="21"/>
        </w:rPr>
        <w:t>人</w:t>
      </w:r>
      <w:r>
        <w:rPr>
          <w:spacing w:val="-2"/>
          <w:sz w:val="21"/>
        </w:rPr>
        <w:t>与我们的约定</w:t>
      </w:r>
      <w:r>
        <w:rPr>
          <w:spacing w:val="-56"/>
          <w:sz w:val="21"/>
        </w:rPr>
        <w:t>，</w:t>
      </w:r>
      <w:r>
        <w:rPr>
          <w:spacing w:val="-2"/>
          <w:sz w:val="21"/>
        </w:rPr>
        <w:t>在扣除上述</w:t>
      </w:r>
      <w:r>
        <w:rPr>
          <w:spacing w:val="-2"/>
          <w:sz w:val="21"/>
        </w:rPr>
        <w:t>各</w:t>
      </w:r>
      <w:r>
        <w:rPr>
          <w:spacing w:val="-2"/>
          <w:sz w:val="21"/>
        </w:rPr>
        <w:t>项</w:t>
      </w:r>
      <w:r>
        <w:rPr>
          <w:spacing w:val="-2"/>
          <w:sz w:val="21"/>
        </w:rPr>
        <w:t>欠款及应付利息后给</w:t>
      </w:r>
      <w:r>
        <w:rPr>
          <w:spacing w:val="-2"/>
          <w:sz w:val="21"/>
        </w:rPr>
        <w:t>付</w:t>
      </w:r>
      <w:r>
        <w:rPr>
          <w:spacing w:val="-2"/>
          <w:sz w:val="21"/>
        </w:rPr>
        <w:t>。</w:t>
      </w:r>
    </w:p>
    <w:p>
      <w:pPr>
        <w:pStyle w:val="BodyText"/>
        <w:spacing w:before="11"/>
        <w:rPr>
          <w:sz w:val="17"/>
        </w:rPr>
      </w:pPr>
    </w:p>
    <w:p>
      <w:pPr>
        <w:pStyle w:val="ListParagraph"/>
        <w:numPr>
          <w:ilvl w:val="1"/>
          <w:numId w:val="13"/>
        </w:numPr>
        <w:tabs>
          <w:tab w:pos="1132" w:val="left" w:leader="none"/>
          <w:tab w:pos="1133" w:val="left" w:leader="none"/>
          <w:tab w:pos="3081" w:val="left" w:leader="none"/>
        </w:tabs>
        <w:spacing w:line="278" w:lineRule="auto" w:before="0" w:after="0"/>
        <w:ind w:left="3081" w:right="322" w:hanging="2852"/>
        <w:jc w:val="left"/>
        <w:rPr>
          <w:sz w:val="21"/>
        </w:rPr>
      </w:pPr>
      <w:r>
        <w:rPr>
          <w:b/>
          <w:spacing w:val="-4"/>
          <w:position w:val="2"/>
          <w:sz w:val="21"/>
        </w:rPr>
        <w:t>争</w:t>
      </w:r>
      <w:r>
        <w:rPr>
          <w:b/>
          <w:spacing w:val="-4"/>
          <w:position w:val="2"/>
          <w:sz w:val="21"/>
        </w:rPr>
        <w:t>议</w:t>
      </w:r>
      <w:r>
        <w:rPr>
          <w:b/>
          <w:spacing w:val="-4"/>
          <w:position w:val="2"/>
          <w:sz w:val="21"/>
        </w:rPr>
        <w:t>处</w:t>
      </w:r>
      <w:r>
        <w:rPr>
          <w:b/>
          <w:spacing w:val="-4"/>
          <w:position w:val="2"/>
          <w:sz w:val="21"/>
        </w:rPr>
        <w:t>理</w:t>
      </w:r>
      <w:r>
        <w:rPr>
          <w:b/>
          <w:position w:val="2"/>
          <w:sz w:val="21"/>
        </w:rPr>
        <w:tab/>
      </w:r>
      <w:r>
        <w:rPr>
          <w:spacing w:val="-2"/>
          <w:sz w:val="21"/>
        </w:rPr>
        <w:t>在</w:t>
      </w:r>
      <w:r>
        <w:rPr>
          <w:spacing w:val="-2"/>
          <w:sz w:val="21"/>
        </w:rPr>
        <w:t>本</w:t>
      </w:r>
      <w:r>
        <w:rPr>
          <w:spacing w:val="-2"/>
          <w:sz w:val="21"/>
        </w:rPr>
        <w:t>合同履行过程中发生</w:t>
      </w:r>
      <w:r>
        <w:rPr>
          <w:spacing w:val="-2"/>
          <w:sz w:val="21"/>
        </w:rPr>
        <w:t>任</w:t>
      </w:r>
      <w:r>
        <w:rPr>
          <w:spacing w:val="-2"/>
          <w:sz w:val="21"/>
        </w:rPr>
        <w:t>何</w:t>
      </w:r>
      <w:r>
        <w:rPr>
          <w:spacing w:val="-2"/>
          <w:sz w:val="21"/>
        </w:rPr>
        <w:t>争议</w:t>
      </w:r>
      <w:r>
        <w:rPr>
          <w:spacing w:val="-108"/>
          <w:sz w:val="21"/>
        </w:rPr>
        <w:t>，</w:t>
      </w:r>
      <w:r>
        <w:rPr>
          <w:spacing w:val="-2"/>
          <w:sz w:val="21"/>
        </w:rPr>
        <w:t>当事人应根据本</w:t>
      </w:r>
      <w:r>
        <w:rPr>
          <w:spacing w:val="-2"/>
          <w:sz w:val="21"/>
        </w:rPr>
        <w:t>合</w:t>
      </w:r>
      <w:r>
        <w:rPr>
          <w:spacing w:val="-2"/>
          <w:sz w:val="21"/>
        </w:rPr>
        <w:t>同</w:t>
      </w:r>
      <w:r>
        <w:rPr>
          <w:spacing w:val="-2"/>
          <w:sz w:val="21"/>
        </w:rPr>
        <w:t>约定选择下列两种方</w:t>
      </w:r>
      <w:r>
        <w:rPr>
          <w:spacing w:val="-2"/>
          <w:sz w:val="21"/>
        </w:rPr>
        <w:t>式</w:t>
      </w:r>
      <w:r>
        <w:rPr>
          <w:spacing w:val="-2"/>
          <w:sz w:val="21"/>
        </w:rPr>
        <w:t>之</w:t>
      </w:r>
      <w:r>
        <w:rPr>
          <w:spacing w:val="-2"/>
          <w:sz w:val="21"/>
        </w:rPr>
        <w:t>一</w:t>
      </w:r>
      <w:r>
        <w:rPr>
          <w:spacing w:val="-2"/>
          <w:sz w:val="21"/>
        </w:rPr>
        <w:t>予</w:t>
      </w:r>
      <w:r>
        <w:rPr>
          <w:spacing w:val="-2"/>
          <w:sz w:val="21"/>
        </w:rPr>
        <w:t>以解决：</w:t>
      </w:r>
    </w:p>
    <w:p>
      <w:pPr>
        <w:pStyle w:val="BodyText"/>
        <w:spacing w:line="278" w:lineRule="auto" w:before="1"/>
        <w:ind w:left="3537" w:right="329" w:hanging="421"/>
      </w:pPr>
      <w:r>
        <w:rPr>
          <w:spacing w:val="-2"/>
        </w:rPr>
        <w:t>一、因履行本合同发生的争议，由当事人协商解决，协商不成的，提交双方共同</w:t>
      </w:r>
      <w:r>
        <w:rPr>
          <w:spacing w:val="-2"/>
        </w:rPr>
        <w:t>选定的仲裁委员会，按其当时有效的仲裁规则仲裁解决。</w:t>
      </w:r>
    </w:p>
    <w:p>
      <w:pPr>
        <w:pStyle w:val="BodyText"/>
        <w:spacing w:line="278" w:lineRule="auto"/>
        <w:ind w:left="3537" w:right="328" w:hanging="421"/>
      </w:pPr>
      <w:r>
        <w:rPr>
          <w:spacing w:val="-2"/>
        </w:rPr>
        <w:t>二、因履行本合同发生的争议，由当事人协商解决，协商不成的，依法向人民法</w:t>
      </w:r>
      <w:r>
        <w:rPr>
          <w:spacing w:val="-4"/>
        </w:rPr>
        <w:t>院起诉。</w:t>
      </w:r>
    </w:p>
    <w:p>
      <w:pPr>
        <w:pStyle w:val="BodyText"/>
        <w:rPr>
          <w:sz w:val="16"/>
        </w:rPr>
      </w:pPr>
    </w:p>
    <w:p>
      <w:pPr>
        <w:tabs>
          <w:tab w:pos="1132" w:val="left" w:leader="none"/>
        </w:tabs>
        <w:spacing w:before="100"/>
        <w:ind w:left="229" w:right="0" w:firstLine="0"/>
        <w:jc w:val="left"/>
        <w:rPr>
          <w:b/>
          <w:sz w:val="24"/>
        </w:rPr>
      </w:pPr>
      <w:r>
        <w:rPr>
          <w:rFonts w:ascii="Wingdings 2" w:hAnsi="Wingdings 2" w:eastAsia="Wingdings 2"/>
          <w:spacing w:val="-10"/>
          <w:position w:val="-3"/>
          <w:sz w:val="40"/>
        </w:rPr>
        <w:t></w:t>
      </w:r>
      <w:r>
        <w:rPr>
          <w:rFonts w:ascii="Times New Roman" w:hAnsi="Times New Roman" w:eastAsia="Times New Roman"/>
          <w:position w:val="-3"/>
          <w:sz w:val="40"/>
        </w:rPr>
        <w:tab/>
      </w:r>
      <w:r>
        <w:rPr>
          <w:b/>
          <w:w w:val="95"/>
          <w:sz w:val="24"/>
        </w:rPr>
        <w:t>释</w:t>
      </w:r>
      <w:r>
        <w:rPr>
          <w:b/>
          <w:spacing w:val="-10"/>
          <w:sz w:val="24"/>
        </w:rPr>
        <w:t>义</w:t>
      </w:r>
    </w:p>
    <w:p>
      <w:pPr>
        <w:pStyle w:val="BodyText"/>
        <w:spacing w:before="1"/>
        <w:rPr>
          <w:b/>
          <w:sz w:val="6"/>
        </w:rPr>
      </w:pPr>
      <w:r>
        <w:rPr/>
        <w:drawing>
          <wp:anchor distT="0" distB="0" distL="0" distR="0" allowOverlap="1" layoutInCell="1" locked="0" behindDoc="0" simplePos="0" relativeHeight="10">
            <wp:simplePos x="0" y="0"/>
            <wp:positionH relativeFrom="page">
              <wp:posOffset>431291</wp:posOffset>
            </wp:positionH>
            <wp:positionV relativeFrom="paragraph">
              <wp:posOffset>64737</wp:posOffset>
            </wp:positionV>
            <wp:extent cx="6579310" cy="12001"/>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579310" cy="12001"/>
                    </a:xfrm>
                    <a:prstGeom prst="rect">
                      <a:avLst/>
                    </a:prstGeom>
                  </pic:spPr>
                </pic:pic>
              </a:graphicData>
            </a:graphic>
          </wp:anchor>
        </w:drawing>
      </w:r>
    </w:p>
    <w:p>
      <w:pPr>
        <w:spacing w:after="0"/>
        <w:rPr>
          <w:sz w:val="6"/>
        </w:rPr>
        <w:sectPr>
          <w:type w:val="continuous"/>
          <w:pgSz w:w="11910" w:h="16840"/>
          <w:pgMar w:header="0" w:footer="655" w:top="140" w:bottom="280" w:left="560" w:right="480"/>
        </w:sectPr>
      </w:pPr>
    </w:p>
    <w:p>
      <w:pPr>
        <w:pStyle w:val="ListParagraph"/>
        <w:numPr>
          <w:ilvl w:val="1"/>
          <w:numId w:val="14"/>
        </w:numPr>
        <w:tabs>
          <w:tab w:pos="1133" w:val="left" w:leader="none"/>
        </w:tabs>
        <w:spacing w:line="268" w:lineRule="auto" w:before="59" w:after="0"/>
        <w:ind w:left="3081" w:right="426" w:hanging="2852"/>
        <w:jc w:val="both"/>
        <w:rPr>
          <w:sz w:val="21"/>
        </w:rPr>
      </w:pPr>
      <w:r>
        <w:rPr>
          <w:b/>
          <w:sz w:val="21"/>
        </w:rPr>
        <w:t>保单年度</w:t>
      </w:r>
      <w:r>
        <w:rPr>
          <w:b/>
          <w:spacing w:val="971"/>
          <w:sz w:val="21"/>
        </w:rPr>
        <w:t> </w:t>
      </w:r>
      <w:r>
        <w:rPr>
          <w:sz w:val="21"/>
        </w:rPr>
        <w:t>从本合同生效日或保单周年日零时起至下一年度的保单周年日零时止为一个保单</w:t>
      </w:r>
      <w:r>
        <w:rPr>
          <w:spacing w:val="-4"/>
          <w:sz w:val="21"/>
        </w:rPr>
        <w:t>年度。</w:t>
      </w:r>
    </w:p>
    <w:p>
      <w:pPr>
        <w:pStyle w:val="BodyText"/>
        <w:spacing w:before="5"/>
        <w:rPr>
          <w:sz w:val="17"/>
        </w:rPr>
      </w:pPr>
    </w:p>
    <w:p>
      <w:pPr>
        <w:pStyle w:val="ListParagraph"/>
        <w:numPr>
          <w:ilvl w:val="1"/>
          <w:numId w:val="14"/>
        </w:numPr>
        <w:tabs>
          <w:tab w:pos="1133" w:val="left" w:leader="none"/>
        </w:tabs>
        <w:spacing w:line="266" w:lineRule="auto" w:before="0" w:after="0"/>
        <w:ind w:left="3081" w:right="322" w:hanging="2852"/>
        <w:jc w:val="both"/>
        <w:rPr>
          <w:sz w:val="21"/>
        </w:rPr>
      </w:pPr>
      <w:r>
        <w:rPr>
          <w:b/>
          <w:sz w:val="21"/>
        </w:rPr>
        <w:t>保单周年日</w:t>
      </w:r>
      <w:r>
        <w:rPr>
          <w:b/>
          <w:spacing w:val="766"/>
          <w:sz w:val="21"/>
        </w:rPr>
        <w:t> </w:t>
      </w:r>
      <w:r>
        <w:rPr>
          <w:spacing w:val="-5"/>
          <w:sz w:val="21"/>
        </w:rPr>
        <w:t>指本合同生效日在合同生效后每年的对应日，不含本合同生效日当日。若当月没有</w:t>
      </w:r>
      <w:r>
        <w:rPr>
          <w:spacing w:val="-2"/>
          <w:sz w:val="21"/>
        </w:rPr>
        <w:t>对应的同一日，则以该月最后一日为对应日。</w:t>
      </w:r>
    </w:p>
    <w:p>
      <w:pPr>
        <w:pStyle w:val="BodyText"/>
        <w:rPr>
          <w:sz w:val="18"/>
        </w:rPr>
      </w:pPr>
    </w:p>
    <w:p>
      <w:pPr>
        <w:pStyle w:val="ListParagraph"/>
        <w:numPr>
          <w:ilvl w:val="1"/>
          <w:numId w:val="14"/>
        </w:numPr>
        <w:tabs>
          <w:tab w:pos="1133" w:val="left" w:leader="none"/>
        </w:tabs>
        <w:spacing w:line="266" w:lineRule="auto" w:before="0" w:after="0"/>
        <w:ind w:left="3081" w:right="322" w:hanging="2852"/>
        <w:jc w:val="both"/>
        <w:rPr>
          <w:sz w:val="21"/>
        </w:rPr>
      </w:pPr>
      <w:r>
        <w:rPr>
          <w:b/>
          <w:spacing w:val="63"/>
          <w:sz w:val="21"/>
        </w:rPr>
        <w:t>保险费应交日 </w:t>
      </w:r>
      <w:r>
        <w:rPr>
          <w:sz w:val="21"/>
        </w:rPr>
        <w:t>指本合同保险费交费期间内本合同生效日在每月、每季、每半年或者每年（根据交</w:t>
      </w:r>
      <w:r>
        <w:rPr>
          <w:spacing w:val="-4"/>
          <w:sz w:val="21"/>
        </w:rPr>
        <w:t>费方式确定）的对应的前一日。如果当月无对应的同一日，则以该月最后一日为对</w:t>
      </w:r>
      <w:r>
        <w:rPr>
          <w:spacing w:val="-4"/>
          <w:sz w:val="21"/>
        </w:rPr>
        <w:t>应日。</w:t>
      </w:r>
    </w:p>
    <w:p>
      <w:pPr>
        <w:pStyle w:val="BodyText"/>
        <w:spacing w:before="5"/>
        <w:rPr>
          <w:sz w:val="19"/>
        </w:rPr>
      </w:pPr>
    </w:p>
    <w:p>
      <w:pPr>
        <w:pStyle w:val="ListParagraph"/>
        <w:numPr>
          <w:ilvl w:val="1"/>
          <w:numId w:val="14"/>
        </w:numPr>
        <w:tabs>
          <w:tab w:pos="1133" w:val="left" w:leader="none"/>
          <w:tab w:pos="3081" w:val="left" w:leader="none"/>
        </w:tabs>
        <w:spacing w:line="278" w:lineRule="auto" w:before="0" w:after="0"/>
        <w:ind w:left="3081" w:right="322" w:hanging="2852"/>
        <w:jc w:val="both"/>
        <w:rPr>
          <w:sz w:val="21"/>
        </w:rPr>
      </w:pPr>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法定身份证明文件中</w:t>
      </w:r>
      <w:r>
        <w:rPr>
          <w:spacing w:val="-2"/>
          <w:sz w:val="21"/>
        </w:rPr>
        <w:t>记</w:t>
      </w:r>
      <w:r>
        <w:rPr>
          <w:spacing w:val="-2"/>
          <w:sz w:val="21"/>
        </w:rPr>
        <w:t>载</w:t>
      </w:r>
      <w:r>
        <w:rPr>
          <w:spacing w:val="-2"/>
          <w:sz w:val="21"/>
        </w:rPr>
        <w:t>的出生日期计算的年龄</w:t>
      </w:r>
      <w:r>
        <w:rPr>
          <w:spacing w:val="-53"/>
          <w:sz w:val="21"/>
        </w:rPr>
        <w:t>，</w:t>
      </w:r>
      <w:r>
        <w:rPr>
          <w:spacing w:val="-2"/>
          <w:sz w:val="21"/>
        </w:rPr>
        <w:t>自出生之日起为零周岁</w:t>
      </w:r>
      <w:r>
        <w:rPr>
          <w:spacing w:val="-56"/>
          <w:sz w:val="21"/>
        </w:rPr>
        <w:t>，</w:t>
      </w:r>
      <w:r>
        <w:rPr>
          <w:spacing w:val="-2"/>
          <w:sz w:val="21"/>
        </w:rPr>
        <w:t>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12"/>
        <w:rPr>
          <w:sz w:val="18"/>
        </w:rPr>
      </w:pPr>
    </w:p>
    <w:p>
      <w:pPr>
        <w:pStyle w:val="ListParagraph"/>
        <w:numPr>
          <w:ilvl w:val="1"/>
          <w:numId w:val="14"/>
        </w:numPr>
        <w:tabs>
          <w:tab w:pos="1133" w:val="left" w:leader="none"/>
        </w:tabs>
        <w:spacing w:line="278" w:lineRule="auto" w:before="0" w:after="0"/>
        <w:ind w:left="3081" w:right="322" w:hanging="2852"/>
        <w:jc w:val="both"/>
        <w:rPr>
          <w:sz w:val="21"/>
        </w:rPr>
      </w:pPr>
      <w:r>
        <w:rPr>
          <w:b/>
          <w:spacing w:val="63"/>
          <w:sz w:val="21"/>
        </w:rPr>
        <w:t>有效身份证件 </w:t>
      </w:r>
      <w:r>
        <w:rPr>
          <w:sz w:val="21"/>
        </w:rPr>
        <w:t>指由政府主管部门规定的证明其身份的证件，如：居民身份证、按规定可使用的有</w:t>
      </w:r>
      <w:r>
        <w:rPr>
          <w:spacing w:val="-2"/>
          <w:sz w:val="21"/>
        </w:rPr>
        <w:t>效护照、军官证、警官证、士兵证、户口簿等证件。</w:t>
      </w:r>
    </w:p>
    <w:p>
      <w:pPr>
        <w:pStyle w:val="BodyText"/>
        <w:spacing w:before="5"/>
        <w:rPr>
          <w:sz w:val="10"/>
        </w:rPr>
      </w:pPr>
    </w:p>
    <w:p>
      <w:pPr>
        <w:spacing w:after="0"/>
        <w:rPr>
          <w:sz w:val="10"/>
        </w:rPr>
        <w:sectPr>
          <w:pgSz w:w="11910" w:h="16840"/>
          <w:pgMar w:header="0" w:footer="655" w:top="1400" w:bottom="840" w:left="560" w:right="480"/>
        </w:sectPr>
      </w:pPr>
    </w:p>
    <w:p>
      <w:pPr>
        <w:pStyle w:val="ListParagraph"/>
        <w:numPr>
          <w:ilvl w:val="1"/>
          <w:numId w:val="14"/>
        </w:numPr>
        <w:tabs>
          <w:tab w:pos="1132" w:val="left" w:leader="none"/>
          <w:tab w:pos="1133" w:val="left" w:leader="none"/>
        </w:tabs>
        <w:spacing w:line="240" w:lineRule="auto" w:before="93" w:after="0"/>
        <w:ind w:left="1132" w:right="0" w:hanging="904"/>
        <w:jc w:val="left"/>
        <w:rPr>
          <w:b/>
          <w:sz w:val="21"/>
        </w:rPr>
      </w:pPr>
      <w:r>
        <w:rPr>
          <w:b/>
          <w:spacing w:val="-2"/>
          <w:sz w:val="21"/>
        </w:rPr>
        <w:t>首次患本合同约定</w:t>
      </w:r>
    </w:p>
    <w:p>
      <w:pPr>
        <w:spacing w:before="43"/>
        <w:ind w:left="1132" w:right="0" w:firstLine="0"/>
        <w:jc w:val="left"/>
        <w:rPr>
          <w:b/>
          <w:sz w:val="21"/>
        </w:rPr>
      </w:pPr>
      <w:r>
        <w:rPr>
          <w:b/>
          <w:spacing w:val="-2"/>
          <w:sz w:val="21"/>
        </w:rPr>
        <w:t>的重大疾病</w:t>
      </w:r>
    </w:p>
    <w:p>
      <w:pPr>
        <w:pStyle w:val="BodyText"/>
        <w:spacing w:before="71"/>
        <w:ind w:left="219"/>
      </w:pPr>
      <w:r>
        <w:rPr/>
        <w:br w:type="column"/>
      </w:r>
      <w:r>
        <w:rPr>
          <w:spacing w:val="-3"/>
        </w:rPr>
        <w:t>指被保险人患同时符合以下条件的重大疾病：</w:t>
      </w:r>
    </w:p>
    <w:p>
      <w:pPr>
        <w:pStyle w:val="BodyText"/>
        <w:spacing w:before="26"/>
        <w:ind w:left="219"/>
      </w:pPr>
      <w:r>
        <w:rPr>
          <w:spacing w:val="-3"/>
        </w:rPr>
        <w:t>(一)被保险人自出生后首次出现该重大疾病之症状体征；</w:t>
      </w:r>
    </w:p>
    <w:p>
      <w:pPr>
        <w:pStyle w:val="BodyText"/>
        <w:spacing w:line="278" w:lineRule="auto" w:before="43"/>
        <w:ind w:left="639" w:right="323" w:hanging="421"/>
      </w:pPr>
      <w:r>
        <w:rPr>
          <w:spacing w:val="-2"/>
        </w:rPr>
        <w:t>(二)被保险人在本合同有效期间内首次出现该重大疾病之症状体征并被确诊患该</w:t>
      </w:r>
      <w:r>
        <w:rPr>
          <w:spacing w:val="-2"/>
        </w:rPr>
        <w:t>重大疾病；</w:t>
      </w:r>
    </w:p>
    <w:p>
      <w:pPr>
        <w:pStyle w:val="BodyText"/>
        <w:spacing w:line="278" w:lineRule="auto"/>
        <w:ind w:left="219" w:right="3368"/>
      </w:pPr>
      <w:r>
        <w:rPr>
          <w:spacing w:val="-2"/>
        </w:rPr>
        <w:t>(三)该重大疾病之症状体征符合本合同的定义； (四)该重大疾病已在本合同中列明。</w:t>
      </w:r>
    </w:p>
    <w:p>
      <w:pPr>
        <w:spacing w:line="278" w:lineRule="auto" w:before="0"/>
        <w:ind w:left="219" w:right="405" w:firstLine="0"/>
        <w:jc w:val="left"/>
        <w:rPr>
          <w:rFonts w:ascii="黑体" w:eastAsia="黑体" w:hint="eastAsia"/>
          <w:b/>
          <w:sz w:val="21"/>
        </w:rPr>
      </w:pPr>
      <w:r>
        <w:rPr>
          <w:rFonts w:ascii="黑体" w:eastAsia="黑体" w:hint="eastAsia"/>
          <w:b/>
          <w:spacing w:val="-2"/>
          <w:sz w:val="21"/>
        </w:rPr>
        <w:t>对于被保险人在本合同生效日前出现的本合同所列的重大疾病，本公司不承担给</w:t>
      </w:r>
      <w:r>
        <w:rPr>
          <w:rFonts w:ascii="黑体" w:eastAsia="黑体" w:hint="eastAsia"/>
          <w:b/>
          <w:spacing w:val="-2"/>
          <w:sz w:val="21"/>
        </w:rPr>
        <w:t>付保险金责任。</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23" w:space="40"/>
            <w:col w:w="8007"/>
          </w:cols>
        </w:sectPr>
      </w:pPr>
    </w:p>
    <w:p>
      <w:pPr>
        <w:pStyle w:val="BodyText"/>
        <w:rPr>
          <w:rFonts w:ascii="黑体"/>
          <w:b/>
          <w:sz w:val="12"/>
        </w:rPr>
      </w:pPr>
    </w:p>
    <w:p>
      <w:pPr>
        <w:pStyle w:val="ListParagraph"/>
        <w:numPr>
          <w:ilvl w:val="1"/>
          <w:numId w:val="14"/>
        </w:numPr>
        <w:tabs>
          <w:tab w:pos="1132" w:val="left" w:leader="none"/>
          <w:tab w:pos="1133" w:val="left" w:leader="none"/>
          <w:tab w:pos="3081" w:val="left" w:leader="none"/>
        </w:tabs>
        <w:spacing w:line="278" w:lineRule="auto" w:before="71" w:after="0"/>
        <w:ind w:left="3081" w:right="322" w:hanging="2852"/>
        <w:jc w:val="left"/>
        <w:rPr>
          <w:sz w:val="21"/>
        </w:rPr>
      </w:pPr>
      <w:r>
        <w:rPr>
          <w:b/>
          <w:spacing w:val="-4"/>
          <w:sz w:val="21"/>
        </w:rPr>
        <w:t>重</w:t>
      </w:r>
      <w:r>
        <w:rPr>
          <w:b/>
          <w:spacing w:val="-4"/>
          <w:sz w:val="21"/>
        </w:rPr>
        <w:t>大</w:t>
      </w:r>
      <w:r>
        <w:rPr>
          <w:b/>
          <w:spacing w:val="-4"/>
          <w:sz w:val="21"/>
        </w:rPr>
        <w:t>疾</w:t>
      </w:r>
      <w:r>
        <w:rPr>
          <w:b/>
          <w:spacing w:val="-4"/>
          <w:sz w:val="21"/>
        </w:rPr>
        <w:t>病</w:t>
      </w:r>
      <w:r>
        <w:rPr>
          <w:b/>
          <w:sz w:val="21"/>
        </w:rPr>
        <w:tab/>
      </w:r>
      <w:r>
        <w:rPr>
          <w:sz w:val="21"/>
        </w:rPr>
        <w:t>指被保险人发生符合以下</w:t>
      </w:r>
      <w:r>
        <w:rPr>
          <w:sz w:val="21"/>
        </w:rPr>
        <w:t>疾病定义所述条件的疾病（共</w:t>
      </w:r>
      <w:r>
        <w:rPr>
          <w:spacing w:val="-52"/>
          <w:sz w:val="21"/>
        </w:rPr>
        <w:t> </w:t>
      </w:r>
      <w:r>
        <w:rPr>
          <w:sz w:val="21"/>
        </w:rPr>
        <w:t>120</w:t>
      </w:r>
      <w:r>
        <w:rPr>
          <w:spacing w:val="-53"/>
          <w:sz w:val="21"/>
        </w:rPr>
        <w:t> </w:t>
      </w:r>
      <w:r>
        <w:rPr>
          <w:sz w:val="21"/>
        </w:rPr>
        <w:t>种</w:t>
      </w:r>
      <w:r>
        <w:rPr>
          <w:spacing w:val="-106"/>
          <w:sz w:val="21"/>
        </w:rPr>
        <w:t>）</w:t>
      </w:r>
      <w:r>
        <w:rPr>
          <w:spacing w:val="-3"/>
          <w:sz w:val="21"/>
        </w:rPr>
        <w:t>，</w:t>
      </w:r>
      <w:r>
        <w:rPr>
          <w:sz w:val="21"/>
        </w:rPr>
        <w:t>应当由专科</w:t>
      </w:r>
      <w:r>
        <w:rPr>
          <w:sz w:val="21"/>
        </w:rPr>
        <w:t>医生</w:t>
      </w:r>
      <w:r>
        <w:rPr>
          <w:spacing w:val="-4"/>
          <w:sz w:val="21"/>
        </w:rPr>
        <w:t>明</w:t>
      </w:r>
      <w:r>
        <w:rPr>
          <w:spacing w:val="-4"/>
          <w:sz w:val="21"/>
        </w:rPr>
        <w:t>确</w:t>
      </w:r>
      <w:r>
        <w:rPr>
          <w:spacing w:val="-4"/>
          <w:sz w:val="21"/>
        </w:rPr>
        <w:t>诊</w:t>
      </w:r>
      <w:r>
        <w:rPr>
          <w:spacing w:val="-4"/>
          <w:sz w:val="21"/>
        </w:rPr>
        <w:t>断</w:t>
      </w:r>
      <w:r>
        <w:rPr>
          <w:spacing w:val="-4"/>
          <w:sz w:val="21"/>
        </w:rPr>
        <w:t>。</w:t>
      </w:r>
    </w:p>
    <w:p>
      <w:pPr>
        <w:pStyle w:val="BodyText"/>
        <w:spacing w:before="1"/>
        <w:ind w:left="3081"/>
      </w:pPr>
      <w:r>
        <w:rPr>
          <w:spacing w:val="-2"/>
        </w:rPr>
        <w:t>下列有*</w:t>
      </w:r>
      <w:r>
        <w:rPr>
          <w:spacing w:val="-10"/>
        </w:rPr>
        <w:t>所标注的第 </w:t>
      </w:r>
      <w:r>
        <w:rPr>
          <w:spacing w:val="-2"/>
        </w:rPr>
        <w:t>1</w:t>
      </w:r>
      <w:r>
        <w:rPr>
          <w:spacing w:val="-25"/>
        </w:rPr>
        <w:t> 至第 </w:t>
      </w:r>
      <w:r>
        <w:rPr>
          <w:spacing w:val="-2"/>
        </w:rPr>
        <w:t>28</w:t>
      </w:r>
      <w:r>
        <w:rPr>
          <w:spacing w:val="-16"/>
        </w:rPr>
        <w:t> 项为中国保险行业协会颁布的《重大疾病保险的疾病</w:t>
      </w:r>
    </w:p>
    <w:p>
      <w:pPr>
        <w:pStyle w:val="BodyText"/>
        <w:spacing w:line="278" w:lineRule="auto" w:before="43"/>
        <w:ind w:left="3081" w:right="324"/>
      </w:pPr>
      <w:r>
        <w:rPr>
          <w:spacing w:val="-2"/>
        </w:rPr>
        <w:t>定义使用规范（2020</w:t>
      </w:r>
      <w:r>
        <w:rPr>
          <w:spacing w:val="-13"/>
        </w:rPr>
        <w:t> 年修订版</w:t>
      </w:r>
      <w:r>
        <w:rPr>
          <w:spacing w:val="-108"/>
        </w:rPr>
        <w:t>）</w:t>
      </w:r>
      <w:r>
        <w:rPr>
          <w:spacing w:val="-12"/>
        </w:rPr>
        <w:t>》规定的 </w:t>
      </w:r>
      <w:r>
        <w:rPr>
          <w:spacing w:val="-2"/>
        </w:rPr>
        <w:t>28</w:t>
      </w:r>
      <w:r>
        <w:rPr>
          <w:spacing w:val="-14"/>
        </w:rPr>
        <w:t> 种重大疾病定义，第 </w:t>
      </w:r>
      <w:r>
        <w:rPr>
          <w:spacing w:val="-2"/>
        </w:rPr>
        <w:t>29</w:t>
      </w:r>
      <w:r>
        <w:rPr>
          <w:spacing w:val="-28"/>
        </w:rPr>
        <w:t> 至第 </w:t>
      </w:r>
      <w:r>
        <w:rPr>
          <w:spacing w:val="-2"/>
        </w:rPr>
        <w:t>120</w:t>
      </w:r>
      <w:r>
        <w:rPr>
          <w:spacing w:val="-20"/>
        </w:rPr>
        <w:t> 项为</w:t>
      </w:r>
      <w:r>
        <w:rPr>
          <w:spacing w:val="-2"/>
        </w:rPr>
        <w:t>本公司增加的疾病种类并自行制定的疾病定义。</w:t>
      </w:r>
    </w:p>
    <w:p>
      <w:pPr>
        <w:pStyle w:val="BodyText"/>
        <w:spacing w:before="8"/>
        <w:rPr>
          <w:sz w:val="11"/>
        </w:rPr>
      </w:pPr>
    </w:p>
    <w:p>
      <w:pPr>
        <w:spacing w:after="0"/>
        <w:rPr>
          <w:sz w:val="11"/>
        </w:rPr>
        <w:sectPr>
          <w:type w:val="continuous"/>
          <w:pgSz w:w="11910" w:h="16840"/>
          <w:pgMar w:header="0" w:footer="655" w:top="140" w:bottom="280" w:left="560" w:right="480"/>
        </w:sectPr>
      </w:pPr>
    </w:p>
    <w:p>
      <w:pPr>
        <w:spacing w:before="56"/>
        <w:ind w:left="1132" w:right="0" w:firstLine="0"/>
        <w:jc w:val="left"/>
        <w:rPr>
          <w:rFonts w:ascii="华文新魏" w:hAnsi="华文新魏" w:eastAsia="华文新魏" w:hint="eastAsia"/>
          <w:b/>
          <w:sz w:val="21"/>
        </w:rPr>
      </w:pPr>
      <w:r>
        <w:rPr>
          <w:rFonts w:ascii="华文新魏" w:hAnsi="华文新魏" w:eastAsia="华文新魏" w:hint="eastAsia"/>
          <w:b/>
          <w:spacing w:val="-6"/>
          <w:sz w:val="21"/>
        </w:rPr>
        <w:t>1、恶性肿瘤——重度*</w:t>
      </w:r>
    </w:p>
    <w:p>
      <w:pPr>
        <w:spacing w:line="271" w:lineRule="auto" w:before="78"/>
        <w:ind w:left="171" w:right="212" w:firstLine="0"/>
        <w:jc w:val="left"/>
        <w:rPr>
          <w:sz w:val="21"/>
        </w:rPr>
      </w:pPr>
      <w:r>
        <w:rPr/>
        <w:br w:type="column"/>
      </w:r>
      <w:r>
        <w:rPr>
          <w:spacing w:val="-13"/>
          <w:w w:val="100"/>
          <w:sz w:val="21"/>
        </w:rPr>
        <w:t>指恶性细胞不受控制的进行性增长和扩散，浸润和破坏周围正常组织，可以经血管、</w:t>
      </w:r>
      <w:r>
        <w:rPr>
          <w:spacing w:val="-6"/>
          <w:w w:val="100"/>
          <w:sz w:val="21"/>
        </w:rPr>
        <w:t>淋巴管和体腔扩散转移到身体其他部位，病灶经</w:t>
      </w:r>
      <w:r>
        <w:rPr>
          <w:b/>
          <w:spacing w:val="-149"/>
          <w:w w:val="100"/>
          <w:sz w:val="21"/>
        </w:rPr>
        <w:t>组</w:t>
      </w:r>
      <w:r>
        <w:rPr>
          <w:spacing w:val="-63"/>
          <w:w w:val="100"/>
          <w:position w:val="-7"/>
          <w:sz w:val="21"/>
        </w:rPr>
        <w:t>．</w:t>
      </w:r>
      <w:r>
        <w:rPr>
          <w:b/>
          <w:spacing w:val="-149"/>
          <w:w w:val="100"/>
          <w:sz w:val="21"/>
        </w:rPr>
        <w:t>织</w:t>
      </w:r>
      <w:r>
        <w:rPr>
          <w:spacing w:val="-63"/>
          <w:w w:val="100"/>
          <w:position w:val="-7"/>
          <w:sz w:val="21"/>
        </w:rPr>
        <w:t>．</w:t>
      </w:r>
      <w:r>
        <w:rPr>
          <w:b/>
          <w:spacing w:val="-149"/>
          <w:w w:val="100"/>
          <w:sz w:val="21"/>
        </w:rPr>
        <w:t>病</w:t>
      </w:r>
      <w:r>
        <w:rPr>
          <w:spacing w:val="-63"/>
          <w:w w:val="100"/>
          <w:position w:val="-7"/>
          <w:sz w:val="21"/>
        </w:rPr>
        <w:t>．</w:t>
      </w:r>
      <w:r>
        <w:rPr>
          <w:b/>
          <w:spacing w:val="-149"/>
          <w:w w:val="100"/>
          <w:sz w:val="21"/>
        </w:rPr>
        <w:t>理</w:t>
      </w:r>
      <w:r>
        <w:rPr>
          <w:spacing w:val="-63"/>
          <w:w w:val="100"/>
          <w:position w:val="-7"/>
          <w:sz w:val="21"/>
        </w:rPr>
        <w:t>．</w:t>
      </w:r>
      <w:r>
        <w:rPr>
          <w:b/>
          <w:spacing w:val="-149"/>
          <w:w w:val="100"/>
          <w:sz w:val="21"/>
        </w:rPr>
        <w:t>学</w:t>
      </w:r>
      <w:r>
        <w:rPr>
          <w:spacing w:val="-63"/>
          <w:w w:val="100"/>
          <w:position w:val="-7"/>
          <w:sz w:val="21"/>
        </w:rPr>
        <w:t>．</w:t>
      </w:r>
      <w:r>
        <w:rPr>
          <w:b/>
          <w:spacing w:val="-149"/>
          <w:w w:val="100"/>
          <w:sz w:val="21"/>
        </w:rPr>
        <w:t>检</w:t>
      </w:r>
      <w:r>
        <w:rPr>
          <w:spacing w:val="-63"/>
          <w:w w:val="100"/>
          <w:position w:val="-7"/>
          <w:sz w:val="21"/>
        </w:rPr>
        <w:t>．</w:t>
      </w:r>
      <w:r>
        <w:rPr>
          <w:b/>
          <w:spacing w:val="-149"/>
          <w:w w:val="100"/>
          <w:sz w:val="21"/>
        </w:rPr>
        <w:t>查</w:t>
      </w:r>
      <w:r>
        <w:rPr>
          <w:spacing w:val="-65"/>
          <w:w w:val="100"/>
          <w:position w:val="-7"/>
          <w:sz w:val="21"/>
        </w:rPr>
        <w:t>．</w:t>
      </w:r>
      <w:r>
        <w:rPr>
          <w:w w:val="100"/>
          <w:sz w:val="21"/>
        </w:rPr>
        <w:t>（</w:t>
      </w:r>
      <w:r>
        <w:rPr>
          <w:spacing w:val="-2"/>
          <w:w w:val="100"/>
          <w:sz w:val="21"/>
        </w:rPr>
        <w:t>见注</w:t>
      </w:r>
      <w:r>
        <w:rPr>
          <w:w w:val="100"/>
          <w:sz w:val="21"/>
        </w:rPr>
        <w:t>1</w:t>
      </w:r>
      <w:r>
        <w:rPr>
          <w:spacing w:val="-5"/>
          <w:w w:val="100"/>
          <w:sz w:val="21"/>
        </w:rPr>
        <w:t>）</w:t>
      </w:r>
      <w:r>
        <w:rPr>
          <w:spacing w:val="-3"/>
          <w:w w:val="100"/>
          <w:sz w:val="21"/>
        </w:rPr>
        <w:t>（</w:t>
      </w:r>
      <w:r>
        <w:rPr>
          <w:w w:val="100"/>
          <w:sz w:val="21"/>
        </w:rPr>
        <w:t>涵盖</w:t>
      </w:r>
      <w:r>
        <w:rPr>
          <w:spacing w:val="-3"/>
          <w:w w:val="100"/>
          <w:sz w:val="21"/>
        </w:rPr>
        <w:t>骨髓病理学检查</w:t>
      </w:r>
      <w:r>
        <w:rPr>
          <w:spacing w:val="-41"/>
          <w:w w:val="100"/>
          <w:sz w:val="21"/>
        </w:rPr>
        <w:t>）</w:t>
      </w:r>
      <w:r>
        <w:rPr>
          <w:spacing w:val="-10"/>
          <w:w w:val="100"/>
          <w:sz w:val="21"/>
        </w:rPr>
        <w:t>结果明确诊断，临床诊断属于世界卫生组织</w:t>
      </w:r>
      <w:r>
        <w:rPr>
          <w:spacing w:val="-2"/>
          <w:w w:val="100"/>
          <w:sz w:val="21"/>
        </w:rPr>
        <w:t>（</w:t>
      </w:r>
      <w:r>
        <w:rPr>
          <w:w w:val="100"/>
          <w:sz w:val="21"/>
        </w:rPr>
        <w:t>WH</w:t>
      </w:r>
      <w:r>
        <w:rPr>
          <w:spacing w:val="-3"/>
          <w:w w:val="100"/>
          <w:sz w:val="21"/>
        </w:rPr>
        <w:t>O</w:t>
      </w:r>
      <w:r>
        <w:rPr>
          <w:spacing w:val="-39"/>
          <w:w w:val="100"/>
          <w:sz w:val="21"/>
        </w:rPr>
        <w:t>，</w:t>
      </w:r>
      <w:r>
        <w:rPr>
          <w:spacing w:val="-3"/>
          <w:w w:val="100"/>
          <w:sz w:val="21"/>
        </w:rPr>
        <w:t>W</w:t>
      </w:r>
      <w:r>
        <w:rPr>
          <w:w w:val="100"/>
          <w:sz w:val="21"/>
        </w:rPr>
        <w:t>orld</w:t>
      </w:r>
      <w:r>
        <w:rPr>
          <w:spacing w:val="-55"/>
          <w:sz w:val="21"/>
        </w:rPr>
        <w:t> </w:t>
      </w:r>
      <w:r>
        <w:rPr>
          <w:spacing w:val="-3"/>
          <w:w w:val="100"/>
          <w:sz w:val="21"/>
        </w:rPr>
        <w:t>H</w:t>
      </w:r>
      <w:r>
        <w:rPr>
          <w:w w:val="100"/>
          <w:sz w:val="21"/>
        </w:rPr>
        <w:t>ealth Organ</w:t>
      </w:r>
      <w:r>
        <w:rPr>
          <w:spacing w:val="-3"/>
          <w:w w:val="100"/>
          <w:sz w:val="21"/>
        </w:rPr>
        <w:t>i</w:t>
      </w:r>
      <w:r>
        <w:rPr>
          <w:w w:val="100"/>
          <w:sz w:val="21"/>
        </w:rPr>
        <w:t>zat</w:t>
      </w:r>
      <w:r>
        <w:rPr>
          <w:spacing w:val="-3"/>
          <w:w w:val="100"/>
          <w:sz w:val="21"/>
        </w:rPr>
        <w:t>i</w:t>
      </w:r>
      <w:r>
        <w:rPr>
          <w:w w:val="100"/>
          <w:sz w:val="21"/>
        </w:rPr>
        <w:t>on</w:t>
      </w:r>
      <w:r>
        <w:rPr>
          <w:spacing w:val="-17"/>
          <w:w w:val="100"/>
          <w:sz w:val="21"/>
        </w:rPr>
        <w:t>）</w:t>
      </w:r>
      <w:r>
        <w:rPr>
          <w:b/>
          <w:spacing w:val="-147"/>
          <w:w w:val="100"/>
          <w:sz w:val="21"/>
        </w:rPr>
        <w:t>《</w:t>
      </w:r>
      <w:r>
        <w:rPr>
          <w:spacing w:val="-65"/>
          <w:w w:val="100"/>
          <w:position w:val="-7"/>
          <w:sz w:val="21"/>
        </w:rPr>
        <w:t>．</w:t>
      </w:r>
      <w:r>
        <w:rPr>
          <w:b/>
          <w:spacing w:val="-149"/>
          <w:w w:val="100"/>
          <w:sz w:val="21"/>
        </w:rPr>
        <w:t>疾</w:t>
      </w:r>
      <w:r>
        <w:rPr>
          <w:spacing w:val="-63"/>
          <w:w w:val="100"/>
          <w:position w:val="-7"/>
          <w:sz w:val="21"/>
        </w:rPr>
        <w:t>．</w:t>
      </w:r>
      <w:r>
        <w:rPr>
          <w:b/>
          <w:spacing w:val="-149"/>
          <w:w w:val="100"/>
          <w:sz w:val="21"/>
        </w:rPr>
        <w:t>病</w:t>
      </w:r>
      <w:r>
        <w:rPr>
          <w:spacing w:val="-63"/>
          <w:w w:val="100"/>
          <w:position w:val="-7"/>
          <w:sz w:val="21"/>
        </w:rPr>
        <w:t>．</w:t>
      </w:r>
      <w:r>
        <w:rPr>
          <w:b/>
          <w:spacing w:val="-149"/>
          <w:w w:val="100"/>
          <w:sz w:val="21"/>
        </w:rPr>
        <w:t>和</w:t>
      </w:r>
      <w:r>
        <w:rPr>
          <w:spacing w:val="-63"/>
          <w:w w:val="100"/>
          <w:position w:val="-7"/>
          <w:sz w:val="21"/>
        </w:rPr>
        <w:t>．</w:t>
      </w:r>
      <w:r>
        <w:rPr>
          <w:b/>
          <w:spacing w:val="-149"/>
          <w:w w:val="100"/>
          <w:sz w:val="21"/>
        </w:rPr>
        <w:t>有</w:t>
      </w:r>
      <w:r>
        <w:rPr>
          <w:spacing w:val="-63"/>
          <w:w w:val="100"/>
          <w:position w:val="-7"/>
          <w:sz w:val="21"/>
        </w:rPr>
        <w:t>．</w:t>
      </w:r>
      <w:r>
        <w:rPr>
          <w:b/>
          <w:spacing w:val="-149"/>
          <w:w w:val="100"/>
          <w:sz w:val="21"/>
        </w:rPr>
        <w:t>关</w:t>
      </w:r>
      <w:r>
        <w:rPr>
          <w:spacing w:val="-63"/>
          <w:w w:val="100"/>
          <w:position w:val="-7"/>
          <w:sz w:val="21"/>
        </w:rPr>
        <w:t>．</w:t>
      </w:r>
      <w:r>
        <w:rPr>
          <w:b/>
          <w:spacing w:val="-149"/>
          <w:w w:val="100"/>
          <w:sz w:val="21"/>
        </w:rPr>
        <w:t>健</w:t>
      </w:r>
      <w:r>
        <w:rPr>
          <w:spacing w:val="-63"/>
          <w:w w:val="100"/>
          <w:position w:val="-7"/>
          <w:sz w:val="21"/>
        </w:rPr>
        <w:t>．</w:t>
      </w:r>
      <w:r>
        <w:rPr>
          <w:b/>
          <w:spacing w:val="-149"/>
          <w:w w:val="100"/>
          <w:sz w:val="21"/>
        </w:rPr>
        <w:t>康</w:t>
      </w:r>
      <w:r>
        <w:rPr>
          <w:spacing w:val="-63"/>
          <w:w w:val="100"/>
          <w:position w:val="-7"/>
          <w:sz w:val="21"/>
        </w:rPr>
        <w:t>．</w:t>
      </w:r>
      <w:r>
        <w:rPr>
          <w:b/>
          <w:spacing w:val="-149"/>
          <w:w w:val="100"/>
          <w:sz w:val="21"/>
        </w:rPr>
        <w:t>问</w:t>
      </w:r>
      <w:r>
        <w:rPr>
          <w:spacing w:val="-63"/>
          <w:w w:val="100"/>
          <w:position w:val="-7"/>
          <w:sz w:val="21"/>
        </w:rPr>
        <w:t>．</w:t>
      </w:r>
      <w:r>
        <w:rPr>
          <w:b/>
          <w:spacing w:val="-149"/>
          <w:w w:val="100"/>
          <w:sz w:val="21"/>
        </w:rPr>
        <w:t>题</w:t>
      </w:r>
      <w:r>
        <w:rPr>
          <w:spacing w:val="-63"/>
          <w:w w:val="100"/>
          <w:position w:val="-7"/>
          <w:sz w:val="21"/>
        </w:rPr>
        <w:t>．</w:t>
      </w:r>
      <w:r>
        <w:rPr>
          <w:b/>
          <w:spacing w:val="-149"/>
          <w:w w:val="100"/>
          <w:sz w:val="21"/>
        </w:rPr>
        <w:t>的</w:t>
      </w:r>
      <w:r>
        <w:rPr>
          <w:spacing w:val="-63"/>
          <w:w w:val="100"/>
          <w:position w:val="-7"/>
          <w:sz w:val="21"/>
        </w:rPr>
        <w:t>．</w:t>
      </w:r>
      <w:r>
        <w:rPr>
          <w:b/>
          <w:spacing w:val="-149"/>
          <w:w w:val="100"/>
          <w:sz w:val="21"/>
        </w:rPr>
        <w:t>国</w:t>
      </w:r>
      <w:r>
        <w:rPr>
          <w:spacing w:val="-63"/>
          <w:w w:val="100"/>
          <w:position w:val="-7"/>
          <w:sz w:val="21"/>
        </w:rPr>
        <w:t>．</w:t>
      </w:r>
      <w:r>
        <w:rPr>
          <w:b/>
          <w:spacing w:val="-151"/>
          <w:w w:val="100"/>
          <w:sz w:val="21"/>
        </w:rPr>
        <w:t>际</w:t>
      </w:r>
      <w:r>
        <w:rPr>
          <w:spacing w:val="-63"/>
          <w:w w:val="100"/>
          <w:position w:val="-7"/>
          <w:sz w:val="21"/>
        </w:rPr>
        <w:t>．</w:t>
      </w:r>
      <w:r>
        <w:rPr>
          <w:b/>
          <w:spacing w:val="-149"/>
          <w:w w:val="100"/>
          <w:sz w:val="21"/>
        </w:rPr>
        <w:t>统</w:t>
      </w:r>
      <w:r>
        <w:rPr>
          <w:spacing w:val="-63"/>
          <w:w w:val="100"/>
          <w:position w:val="-7"/>
          <w:sz w:val="21"/>
        </w:rPr>
        <w:t>．</w:t>
      </w:r>
      <w:r>
        <w:rPr>
          <w:b/>
          <w:spacing w:val="-151"/>
          <w:w w:val="100"/>
          <w:sz w:val="21"/>
        </w:rPr>
        <w:t>计</w:t>
      </w:r>
      <w:r>
        <w:rPr>
          <w:spacing w:val="-63"/>
          <w:w w:val="100"/>
          <w:position w:val="-7"/>
          <w:sz w:val="21"/>
        </w:rPr>
        <w:t>．</w:t>
      </w:r>
      <w:r>
        <w:rPr>
          <w:b/>
          <w:spacing w:val="-149"/>
          <w:w w:val="100"/>
          <w:sz w:val="21"/>
        </w:rPr>
        <w:t>分</w:t>
      </w:r>
      <w:r>
        <w:rPr>
          <w:spacing w:val="-63"/>
          <w:w w:val="100"/>
          <w:position w:val="-7"/>
          <w:sz w:val="21"/>
        </w:rPr>
        <w:t>．</w:t>
      </w:r>
      <w:r>
        <w:rPr>
          <w:b/>
          <w:spacing w:val="-149"/>
          <w:w w:val="100"/>
          <w:sz w:val="21"/>
        </w:rPr>
        <w:t>类</w:t>
      </w:r>
      <w:r>
        <w:rPr>
          <w:spacing w:val="-63"/>
          <w:w w:val="100"/>
          <w:position w:val="-7"/>
          <w:sz w:val="21"/>
        </w:rPr>
        <w:t>．</w:t>
      </w:r>
      <w:r>
        <w:rPr>
          <w:b/>
          <w:spacing w:val="-154"/>
          <w:w w:val="100"/>
          <w:sz w:val="21"/>
        </w:rPr>
        <w:t>》</w:t>
      </w:r>
      <w:r>
        <w:rPr>
          <w:spacing w:val="-66"/>
          <w:w w:val="100"/>
          <w:position w:val="-7"/>
          <w:sz w:val="21"/>
        </w:rPr>
        <w:t>．</w:t>
      </w:r>
      <w:r>
        <w:rPr>
          <w:b/>
          <w:spacing w:val="-148"/>
          <w:w w:val="100"/>
          <w:sz w:val="21"/>
        </w:rPr>
        <w:t>第</w:t>
      </w:r>
      <w:r>
        <w:rPr>
          <w:spacing w:val="-64"/>
          <w:w w:val="100"/>
          <w:position w:val="-7"/>
          <w:sz w:val="21"/>
        </w:rPr>
        <w:t>．</w:t>
      </w:r>
      <w:r>
        <w:rPr>
          <w:b/>
          <w:spacing w:val="-148"/>
          <w:w w:val="100"/>
          <w:sz w:val="21"/>
        </w:rPr>
        <w:t>十</w:t>
      </w:r>
      <w:r>
        <w:rPr>
          <w:spacing w:val="-64"/>
          <w:w w:val="100"/>
          <w:position w:val="-7"/>
          <w:sz w:val="21"/>
        </w:rPr>
        <w:t>．</w:t>
      </w:r>
      <w:r>
        <w:rPr>
          <w:b/>
          <w:spacing w:val="-148"/>
          <w:w w:val="100"/>
          <w:sz w:val="21"/>
        </w:rPr>
        <w:t>次</w:t>
      </w:r>
      <w:r>
        <w:rPr>
          <w:spacing w:val="-64"/>
          <w:w w:val="100"/>
          <w:position w:val="-7"/>
          <w:sz w:val="21"/>
        </w:rPr>
        <w:t>．</w:t>
      </w:r>
      <w:r>
        <w:rPr>
          <w:b/>
          <w:spacing w:val="-148"/>
          <w:w w:val="100"/>
          <w:sz w:val="21"/>
        </w:rPr>
        <w:t>修</w:t>
      </w:r>
      <w:r>
        <w:rPr>
          <w:spacing w:val="-64"/>
          <w:w w:val="100"/>
          <w:position w:val="-7"/>
          <w:sz w:val="21"/>
        </w:rPr>
        <w:t>．</w:t>
      </w:r>
      <w:r>
        <w:rPr>
          <w:b/>
          <w:spacing w:val="-148"/>
          <w:w w:val="100"/>
          <w:sz w:val="21"/>
        </w:rPr>
        <w:t>订</w:t>
      </w:r>
      <w:r>
        <w:rPr>
          <w:spacing w:val="-64"/>
          <w:w w:val="100"/>
          <w:position w:val="-7"/>
          <w:sz w:val="21"/>
        </w:rPr>
        <w:t>．</w:t>
      </w:r>
      <w:r>
        <w:rPr>
          <w:b/>
          <w:spacing w:val="-148"/>
          <w:w w:val="100"/>
          <w:sz w:val="21"/>
        </w:rPr>
        <w:t>版</w:t>
      </w:r>
      <w:r>
        <w:rPr>
          <w:spacing w:val="-71"/>
          <w:w w:val="100"/>
          <w:position w:val="-7"/>
          <w:sz w:val="21"/>
        </w:rPr>
        <w:t>．</w:t>
      </w:r>
      <w:r>
        <w:rPr>
          <w:b/>
          <w:spacing w:val="-146"/>
          <w:w w:val="100"/>
          <w:sz w:val="21"/>
        </w:rPr>
        <w:t>（</w:t>
      </w:r>
      <w:r>
        <w:rPr>
          <w:spacing w:val="-65"/>
          <w:w w:val="100"/>
          <w:position w:val="-7"/>
          <w:sz w:val="21"/>
        </w:rPr>
        <w:t>．</w:t>
      </w:r>
      <w:r>
        <w:rPr>
          <w:b/>
          <w:spacing w:val="-96"/>
          <w:w w:val="99"/>
          <w:sz w:val="21"/>
        </w:rPr>
        <w:t>I</w:t>
      </w:r>
      <w:r>
        <w:rPr>
          <w:spacing w:val="-116"/>
          <w:w w:val="100"/>
          <w:position w:val="-7"/>
          <w:sz w:val="21"/>
        </w:rPr>
        <w:t>．</w:t>
      </w:r>
      <w:r>
        <w:rPr>
          <w:b/>
          <w:spacing w:val="-96"/>
          <w:w w:val="99"/>
          <w:sz w:val="21"/>
        </w:rPr>
        <w:t>C</w:t>
      </w:r>
      <w:r>
        <w:rPr>
          <w:spacing w:val="-116"/>
          <w:w w:val="100"/>
          <w:position w:val="-7"/>
          <w:sz w:val="21"/>
        </w:rPr>
        <w:t>．</w:t>
      </w:r>
      <w:r>
        <w:rPr>
          <w:b/>
          <w:spacing w:val="-99"/>
          <w:w w:val="99"/>
          <w:sz w:val="21"/>
        </w:rPr>
        <w:t>D</w:t>
      </w:r>
      <w:r>
        <w:rPr>
          <w:spacing w:val="-116"/>
          <w:w w:val="100"/>
          <w:position w:val="-7"/>
          <w:sz w:val="21"/>
        </w:rPr>
        <w:t>．</w:t>
      </w:r>
      <w:r>
        <w:rPr>
          <w:b/>
          <w:spacing w:val="-96"/>
          <w:w w:val="99"/>
          <w:sz w:val="21"/>
        </w:rPr>
        <w:t>-</w:t>
      </w:r>
      <w:r>
        <w:rPr>
          <w:spacing w:val="-116"/>
          <w:w w:val="100"/>
          <w:position w:val="-7"/>
          <w:sz w:val="21"/>
        </w:rPr>
        <w:t>．</w:t>
      </w:r>
      <w:r>
        <w:rPr>
          <w:b/>
          <w:spacing w:val="-96"/>
          <w:w w:val="99"/>
          <w:sz w:val="21"/>
        </w:rPr>
        <w:t>1</w:t>
      </w:r>
      <w:r>
        <w:rPr>
          <w:spacing w:val="-116"/>
          <w:w w:val="100"/>
          <w:position w:val="-7"/>
          <w:sz w:val="21"/>
        </w:rPr>
        <w:t>．</w:t>
      </w:r>
      <w:r>
        <w:rPr>
          <w:b/>
          <w:spacing w:val="-96"/>
          <w:w w:val="99"/>
          <w:sz w:val="21"/>
        </w:rPr>
        <w:t>0</w:t>
      </w:r>
      <w:r>
        <w:rPr>
          <w:spacing w:val="-116"/>
          <w:w w:val="100"/>
          <w:position w:val="-7"/>
          <w:sz w:val="21"/>
        </w:rPr>
        <w:t>．</w:t>
      </w:r>
      <w:r>
        <w:rPr>
          <w:b/>
          <w:spacing w:val="-202"/>
          <w:w w:val="100"/>
          <w:sz w:val="21"/>
        </w:rPr>
        <w:t>）</w:t>
      </w:r>
      <w:r>
        <w:rPr>
          <w:w w:val="100"/>
          <w:position w:val="-7"/>
          <w:sz w:val="21"/>
        </w:rPr>
        <w:t>．</w:t>
      </w:r>
      <w:r>
        <w:rPr>
          <w:b/>
          <w:spacing w:val="-149"/>
          <w:w w:val="100"/>
          <w:sz w:val="21"/>
        </w:rPr>
        <w:t>的</w:t>
      </w:r>
      <w:r>
        <w:rPr>
          <w:spacing w:val="-63"/>
          <w:w w:val="100"/>
          <w:position w:val="-7"/>
          <w:sz w:val="21"/>
        </w:rPr>
        <w:t>．</w:t>
      </w:r>
      <w:r>
        <w:rPr>
          <w:b/>
          <w:spacing w:val="-149"/>
          <w:w w:val="100"/>
          <w:sz w:val="21"/>
        </w:rPr>
        <w:t>恶</w:t>
      </w:r>
      <w:r>
        <w:rPr>
          <w:spacing w:val="-63"/>
          <w:w w:val="100"/>
          <w:position w:val="-7"/>
          <w:sz w:val="21"/>
        </w:rPr>
        <w:t>．</w:t>
      </w:r>
      <w:r>
        <w:rPr>
          <w:b/>
          <w:spacing w:val="-149"/>
          <w:w w:val="100"/>
          <w:sz w:val="21"/>
        </w:rPr>
        <w:t>性</w:t>
      </w:r>
      <w:r>
        <w:rPr>
          <w:spacing w:val="-63"/>
          <w:w w:val="100"/>
          <w:position w:val="-7"/>
          <w:sz w:val="21"/>
        </w:rPr>
        <w:t>．</w:t>
      </w:r>
      <w:r>
        <w:rPr>
          <w:b/>
          <w:spacing w:val="-149"/>
          <w:w w:val="100"/>
          <w:sz w:val="21"/>
        </w:rPr>
        <w:t>肿</w:t>
      </w:r>
      <w:r>
        <w:rPr>
          <w:spacing w:val="-63"/>
          <w:w w:val="100"/>
          <w:position w:val="-7"/>
          <w:sz w:val="21"/>
        </w:rPr>
        <w:t>．</w:t>
      </w:r>
      <w:r>
        <w:rPr>
          <w:b/>
          <w:spacing w:val="-149"/>
          <w:w w:val="100"/>
          <w:sz w:val="21"/>
        </w:rPr>
        <w:t>瘤</w:t>
      </w:r>
      <w:r>
        <w:rPr>
          <w:spacing w:val="-63"/>
          <w:w w:val="100"/>
          <w:position w:val="-7"/>
          <w:sz w:val="21"/>
        </w:rPr>
        <w:t>．</w:t>
      </w:r>
      <w:r>
        <w:rPr>
          <w:b/>
          <w:spacing w:val="-149"/>
          <w:w w:val="100"/>
          <w:sz w:val="21"/>
        </w:rPr>
        <w:t>类</w:t>
      </w:r>
      <w:r>
        <w:rPr>
          <w:spacing w:val="-63"/>
          <w:w w:val="100"/>
          <w:position w:val="-7"/>
          <w:sz w:val="21"/>
        </w:rPr>
        <w:t>．</w:t>
      </w:r>
      <w:r>
        <w:rPr>
          <w:b/>
          <w:spacing w:val="-149"/>
          <w:w w:val="100"/>
          <w:sz w:val="21"/>
        </w:rPr>
        <w:t>别</w:t>
      </w:r>
      <w:r>
        <w:rPr>
          <w:spacing w:val="-63"/>
          <w:w w:val="100"/>
          <w:position w:val="-7"/>
          <w:sz w:val="21"/>
        </w:rPr>
        <w:t>．</w:t>
      </w:r>
      <w:r>
        <w:rPr>
          <w:b/>
          <w:spacing w:val="-149"/>
          <w:w w:val="100"/>
          <w:sz w:val="21"/>
        </w:rPr>
        <w:t>及</w:t>
      </w:r>
      <w:r>
        <w:rPr>
          <w:spacing w:val="-63"/>
          <w:w w:val="100"/>
          <w:position w:val="-7"/>
          <w:sz w:val="21"/>
        </w:rPr>
        <w:t>．</w:t>
      </w:r>
      <w:r>
        <w:rPr>
          <w:b/>
          <w:spacing w:val="-151"/>
          <w:w w:val="100"/>
          <w:sz w:val="21"/>
        </w:rPr>
        <w:t>《</w:t>
      </w:r>
      <w:r>
        <w:rPr>
          <w:spacing w:val="-63"/>
          <w:w w:val="100"/>
          <w:position w:val="-7"/>
          <w:sz w:val="21"/>
        </w:rPr>
        <w:t>．</w:t>
      </w:r>
      <w:r>
        <w:rPr>
          <w:b/>
          <w:spacing w:val="-149"/>
          <w:w w:val="100"/>
          <w:sz w:val="21"/>
        </w:rPr>
        <w:t>国</w:t>
      </w:r>
      <w:r>
        <w:rPr>
          <w:spacing w:val="-63"/>
          <w:w w:val="100"/>
          <w:position w:val="-7"/>
          <w:sz w:val="21"/>
        </w:rPr>
        <w:t>．</w:t>
      </w:r>
      <w:r>
        <w:rPr>
          <w:b/>
          <w:spacing w:val="-151"/>
          <w:w w:val="100"/>
          <w:sz w:val="21"/>
        </w:rPr>
        <w:t>际</w:t>
      </w:r>
      <w:r>
        <w:rPr>
          <w:spacing w:val="-63"/>
          <w:w w:val="100"/>
          <w:position w:val="-7"/>
          <w:sz w:val="21"/>
        </w:rPr>
        <w:t>．</w:t>
      </w:r>
      <w:r>
        <w:rPr>
          <w:b/>
          <w:spacing w:val="-149"/>
          <w:w w:val="100"/>
          <w:sz w:val="21"/>
        </w:rPr>
        <w:t>疾</w:t>
      </w:r>
      <w:r>
        <w:rPr>
          <w:spacing w:val="-63"/>
          <w:w w:val="100"/>
          <w:position w:val="-7"/>
          <w:sz w:val="21"/>
        </w:rPr>
        <w:t>．</w:t>
      </w:r>
      <w:r>
        <w:rPr>
          <w:b/>
          <w:spacing w:val="-149"/>
          <w:w w:val="100"/>
          <w:sz w:val="21"/>
        </w:rPr>
        <w:t>病</w:t>
      </w:r>
      <w:r>
        <w:rPr>
          <w:spacing w:val="-63"/>
          <w:w w:val="100"/>
          <w:position w:val="-7"/>
          <w:sz w:val="21"/>
        </w:rPr>
        <w:t>．</w:t>
      </w:r>
      <w:r>
        <w:rPr>
          <w:b/>
          <w:spacing w:val="-148"/>
          <w:w w:val="100"/>
          <w:sz w:val="21"/>
        </w:rPr>
        <w:t>分</w:t>
      </w:r>
      <w:r>
        <w:rPr>
          <w:spacing w:val="-64"/>
          <w:w w:val="100"/>
          <w:position w:val="-7"/>
          <w:sz w:val="21"/>
        </w:rPr>
        <w:t>．</w:t>
      </w:r>
      <w:r>
        <w:rPr>
          <w:b/>
          <w:spacing w:val="-148"/>
          <w:w w:val="100"/>
          <w:sz w:val="21"/>
        </w:rPr>
        <w:t>类</w:t>
      </w:r>
      <w:r>
        <w:rPr>
          <w:spacing w:val="-64"/>
          <w:w w:val="100"/>
          <w:position w:val="-7"/>
          <w:sz w:val="21"/>
        </w:rPr>
        <w:t>．</w:t>
      </w:r>
      <w:r>
        <w:rPr>
          <w:b/>
          <w:spacing w:val="-148"/>
          <w:w w:val="100"/>
          <w:sz w:val="21"/>
        </w:rPr>
        <w:t>肿</w:t>
      </w:r>
      <w:r>
        <w:rPr>
          <w:spacing w:val="-64"/>
          <w:w w:val="100"/>
          <w:position w:val="-7"/>
          <w:sz w:val="21"/>
        </w:rPr>
        <w:t>．</w:t>
      </w:r>
      <w:r>
        <w:rPr>
          <w:b/>
          <w:spacing w:val="-148"/>
          <w:w w:val="100"/>
          <w:sz w:val="21"/>
        </w:rPr>
        <w:t>瘤</w:t>
      </w:r>
      <w:r>
        <w:rPr>
          <w:spacing w:val="-64"/>
          <w:w w:val="100"/>
          <w:position w:val="-7"/>
          <w:sz w:val="21"/>
        </w:rPr>
        <w:t>．</w:t>
      </w:r>
      <w:r>
        <w:rPr>
          <w:b/>
          <w:spacing w:val="-148"/>
          <w:w w:val="100"/>
          <w:sz w:val="21"/>
        </w:rPr>
        <w:t>学</w:t>
      </w:r>
      <w:r>
        <w:rPr>
          <w:spacing w:val="-64"/>
          <w:w w:val="100"/>
          <w:position w:val="-7"/>
          <w:sz w:val="21"/>
        </w:rPr>
        <w:t>．</w:t>
      </w:r>
      <w:r>
        <w:rPr>
          <w:b/>
          <w:spacing w:val="-148"/>
          <w:w w:val="100"/>
          <w:sz w:val="21"/>
        </w:rPr>
        <w:t>专</w:t>
      </w:r>
      <w:r>
        <w:rPr>
          <w:spacing w:val="-64"/>
          <w:w w:val="100"/>
          <w:position w:val="-7"/>
          <w:sz w:val="21"/>
        </w:rPr>
        <w:t>．</w:t>
      </w:r>
      <w:r>
        <w:rPr>
          <w:b/>
          <w:spacing w:val="-151"/>
          <w:w w:val="100"/>
          <w:sz w:val="21"/>
        </w:rPr>
        <w:t>辑</w:t>
      </w:r>
      <w:r>
        <w:rPr>
          <w:spacing w:val="-64"/>
          <w:w w:val="100"/>
          <w:position w:val="-7"/>
          <w:sz w:val="21"/>
        </w:rPr>
        <w:t>．</w:t>
      </w:r>
      <w:r>
        <w:rPr>
          <w:b/>
          <w:spacing w:val="-149"/>
          <w:w w:val="100"/>
          <w:sz w:val="21"/>
        </w:rPr>
        <w:t>》</w:t>
      </w:r>
      <w:r>
        <w:rPr>
          <w:spacing w:val="-64"/>
          <w:w w:val="100"/>
          <w:position w:val="-7"/>
          <w:sz w:val="21"/>
        </w:rPr>
        <w:t>．</w:t>
      </w:r>
      <w:r>
        <w:rPr>
          <w:b/>
          <w:spacing w:val="-151"/>
          <w:w w:val="100"/>
          <w:sz w:val="21"/>
        </w:rPr>
        <w:t>第</w:t>
      </w:r>
      <w:r>
        <w:rPr>
          <w:spacing w:val="-63"/>
          <w:w w:val="100"/>
          <w:position w:val="-7"/>
          <w:sz w:val="21"/>
        </w:rPr>
        <w:t>．</w:t>
      </w:r>
      <w:r>
        <w:rPr>
          <w:b/>
          <w:spacing w:val="-149"/>
          <w:w w:val="100"/>
          <w:sz w:val="21"/>
        </w:rPr>
        <w:t>三</w:t>
      </w:r>
      <w:r>
        <w:rPr>
          <w:spacing w:val="-63"/>
          <w:w w:val="100"/>
          <w:position w:val="-7"/>
          <w:sz w:val="21"/>
        </w:rPr>
        <w:t>．</w:t>
      </w:r>
      <w:r>
        <w:rPr>
          <w:b/>
          <w:spacing w:val="-149"/>
          <w:w w:val="100"/>
          <w:sz w:val="21"/>
        </w:rPr>
        <w:t>版</w:t>
      </w:r>
      <w:r>
        <w:rPr>
          <w:spacing w:val="-63"/>
          <w:w w:val="100"/>
          <w:position w:val="-7"/>
          <w:sz w:val="21"/>
        </w:rPr>
        <w:t>．</w:t>
      </w:r>
      <w:r>
        <w:rPr>
          <w:b/>
          <w:spacing w:val="-149"/>
          <w:w w:val="100"/>
          <w:sz w:val="21"/>
        </w:rPr>
        <w:t>（</w:t>
      </w:r>
      <w:r>
        <w:rPr>
          <w:spacing w:val="-62"/>
          <w:w w:val="100"/>
          <w:position w:val="-7"/>
          <w:sz w:val="21"/>
        </w:rPr>
        <w:t>．</w:t>
      </w:r>
      <w:r>
        <w:rPr>
          <w:b/>
          <w:spacing w:val="-96"/>
          <w:w w:val="99"/>
          <w:sz w:val="21"/>
        </w:rPr>
        <w:t>I</w:t>
      </w:r>
      <w:r>
        <w:rPr>
          <w:spacing w:val="-116"/>
          <w:w w:val="100"/>
          <w:position w:val="-7"/>
          <w:sz w:val="21"/>
        </w:rPr>
        <w:t>．</w:t>
      </w:r>
      <w:r>
        <w:rPr>
          <w:b/>
          <w:spacing w:val="-96"/>
          <w:w w:val="99"/>
          <w:sz w:val="21"/>
        </w:rPr>
        <w:t>C</w:t>
      </w:r>
      <w:r>
        <w:rPr>
          <w:spacing w:val="-116"/>
          <w:w w:val="100"/>
          <w:position w:val="-7"/>
          <w:sz w:val="21"/>
        </w:rPr>
        <w:t>．</w:t>
      </w:r>
      <w:r>
        <w:rPr>
          <w:b/>
          <w:spacing w:val="-96"/>
          <w:w w:val="99"/>
          <w:sz w:val="21"/>
        </w:rPr>
        <w:t>D</w:t>
      </w:r>
      <w:r>
        <w:rPr>
          <w:spacing w:val="-116"/>
          <w:w w:val="100"/>
          <w:position w:val="-7"/>
          <w:sz w:val="21"/>
        </w:rPr>
        <w:t>．</w:t>
      </w:r>
      <w:r>
        <w:rPr>
          <w:b/>
          <w:spacing w:val="-96"/>
          <w:w w:val="99"/>
          <w:sz w:val="21"/>
        </w:rPr>
        <w:t>-</w:t>
      </w:r>
      <w:r>
        <w:rPr>
          <w:spacing w:val="-116"/>
          <w:w w:val="100"/>
          <w:position w:val="-7"/>
          <w:sz w:val="21"/>
        </w:rPr>
        <w:t>．</w:t>
      </w:r>
      <w:r>
        <w:rPr>
          <w:b/>
          <w:spacing w:val="-96"/>
          <w:w w:val="99"/>
          <w:sz w:val="21"/>
        </w:rPr>
        <w:t>O</w:t>
      </w:r>
      <w:r>
        <w:rPr>
          <w:spacing w:val="-116"/>
          <w:w w:val="100"/>
          <w:position w:val="-7"/>
          <w:sz w:val="21"/>
        </w:rPr>
        <w:t>．</w:t>
      </w:r>
      <w:r>
        <w:rPr>
          <w:b/>
          <w:spacing w:val="-96"/>
          <w:w w:val="99"/>
          <w:sz w:val="21"/>
        </w:rPr>
        <w:t>-</w:t>
      </w:r>
      <w:r>
        <w:rPr>
          <w:spacing w:val="-116"/>
          <w:w w:val="100"/>
          <w:position w:val="-7"/>
          <w:sz w:val="21"/>
        </w:rPr>
        <w:t>．</w:t>
      </w:r>
      <w:r>
        <w:rPr>
          <w:b/>
          <w:spacing w:val="-96"/>
          <w:w w:val="99"/>
          <w:sz w:val="21"/>
        </w:rPr>
        <w:t>3</w:t>
      </w:r>
      <w:r>
        <w:rPr>
          <w:spacing w:val="-116"/>
          <w:w w:val="100"/>
          <w:position w:val="-7"/>
          <w:sz w:val="21"/>
        </w:rPr>
        <w:t>．</w:t>
      </w:r>
      <w:r>
        <w:rPr>
          <w:b/>
          <w:spacing w:val="-149"/>
          <w:w w:val="100"/>
          <w:sz w:val="21"/>
        </w:rPr>
        <w:t>）</w:t>
      </w:r>
      <w:r>
        <w:rPr>
          <w:spacing w:val="-60"/>
          <w:w w:val="100"/>
          <w:position w:val="-7"/>
          <w:sz w:val="21"/>
        </w:rPr>
        <w:t>．</w:t>
      </w:r>
      <w:r>
        <w:rPr>
          <w:spacing w:val="-2"/>
          <w:w w:val="100"/>
          <w:sz w:val="21"/>
        </w:rPr>
        <w:t>(见注</w:t>
      </w:r>
      <w:r>
        <w:rPr>
          <w:spacing w:val="-3"/>
          <w:w w:val="100"/>
          <w:sz w:val="21"/>
        </w:rPr>
        <w:t>2)</w:t>
      </w:r>
      <w:r>
        <w:rPr>
          <w:w w:val="100"/>
          <w:sz w:val="21"/>
        </w:rPr>
        <w:t>的肿</w:t>
      </w:r>
      <w:r>
        <w:rPr>
          <w:w w:val="100"/>
          <w:sz w:val="21"/>
        </w:rPr>
        <w:t> </w:t>
      </w:r>
      <w:r>
        <w:rPr>
          <w:spacing w:val="-3"/>
          <w:w w:val="100"/>
          <w:sz w:val="21"/>
        </w:rPr>
        <w:t>瘤形态学编码属于3</w:t>
      </w:r>
      <w:r>
        <w:rPr>
          <w:w w:val="100"/>
          <w:sz w:val="21"/>
        </w:rPr>
        <w:t>、6</w:t>
      </w:r>
      <w:r>
        <w:rPr>
          <w:spacing w:val="-3"/>
          <w:w w:val="100"/>
          <w:sz w:val="21"/>
        </w:rPr>
        <w:t>、9</w:t>
      </w:r>
      <w:r>
        <w:rPr>
          <w:w w:val="100"/>
          <w:sz w:val="21"/>
        </w:rPr>
        <w:t>（</w:t>
      </w:r>
      <w:r>
        <w:rPr>
          <w:spacing w:val="-3"/>
          <w:w w:val="100"/>
          <w:sz w:val="21"/>
        </w:rPr>
        <w:t>恶性肿瘤</w:t>
      </w:r>
      <w:r>
        <w:rPr>
          <w:w w:val="100"/>
          <w:sz w:val="21"/>
        </w:rPr>
        <w:t>）</w:t>
      </w:r>
      <w:r>
        <w:rPr>
          <w:spacing w:val="-3"/>
          <w:w w:val="100"/>
          <w:sz w:val="21"/>
        </w:rPr>
        <w:t>范畴的疾病。</w:t>
      </w:r>
    </w:p>
    <w:p>
      <w:pPr>
        <w:spacing w:before="12"/>
        <w:ind w:left="171" w:right="0" w:firstLine="0"/>
        <w:jc w:val="left"/>
        <w:rPr>
          <w:rFonts w:ascii="黑体" w:hAnsi="黑体" w:eastAsia="黑体" w:hint="eastAsia"/>
          <w:b/>
          <w:sz w:val="21"/>
        </w:rPr>
      </w:pPr>
      <w:r>
        <w:rPr>
          <w:rFonts w:ascii="黑体" w:hAnsi="黑体" w:eastAsia="黑体" w:hint="eastAsia"/>
          <w:b/>
          <w:spacing w:val="-3"/>
          <w:sz w:val="21"/>
        </w:rPr>
        <w:t>下列疾病不属于“恶性肿瘤——重度”，不在保障范围内：</w:t>
      </w:r>
    </w:p>
    <w:p>
      <w:pPr>
        <w:spacing w:line="278" w:lineRule="auto" w:before="43"/>
        <w:ind w:left="171" w:right="327" w:firstLine="0"/>
        <w:jc w:val="left"/>
        <w:rPr>
          <w:rFonts w:ascii="黑体" w:hAnsi="黑体" w:eastAsia="黑体" w:hint="eastAsia"/>
          <w:b/>
          <w:sz w:val="21"/>
        </w:rPr>
      </w:pPr>
      <w:r>
        <w:rPr>
          <w:rFonts w:ascii="黑体" w:hAnsi="黑体" w:eastAsia="黑体" w:hint="eastAsia"/>
          <w:b/>
          <w:spacing w:val="-2"/>
          <w:sz w:val="21"/>
        </w:rPr>
        <w:t>Ⅰ ICD-O-3</w:t>
      </w:r>
      <w:r>
        <w:rPr>
          <w:rFonts w:ascii="黑体" w:hAnsi="黑体" w:eastAsia="黑体" w:hint="eastAsia"/>
          <w:b/>
          <w:spacing w:val="-2"/>
          <w:sz w:val="21"/>
        </w:rPr>
        <w:t>肿瘤形态学编码属于0（良性肿瘤）、1（动态未定性肿瘤）、2（原位</w:t>
      </w:r>
      <w:r>
        <w:rPr>
          <w:rFonts w:ascii="黑体" w:hAnsi="黑体" w:eastAsia="黑体" w:hint="eastAsia"/>
          <w:b/>
          <w:spacing w:val="-2"/>
          <w:sz w:val="21"/>
        </w:rPr>
        <w:t>癌和非侵袭性癌）范畴的疾病，如：</w:t>
      </w:r>
    </w:p>
    <w:p>
      <w:pPr>
        <w:pStyle w:val="ListParagraph"/>
        <w:numPr>
          <w:ilvl w:val="2"/>
          <w:numId w:val="14"/>
        </w:numPr>
        <w:tabs>
          <w:tab w:pos="844" w:val="left" w:leader="none"/>
        </w:tabs>
        <w:spacing w:line="268" w:lineRule="auto" w:before="0" w:after="0"/>
        <w:ind w:left="807" w:right="325" w:hanging="281"/>
        <w:jc w:val="left"/>
        <w:rPr>
          <w:rFonts w:ascii="黑体" w:eastAsia="黑体" w:hint="eastAsia"/>
          <w:b/>
          <w:sz w:val="21"/>
        </w:rPr>
      </w:pPr>
      <w:r>
        <w:rPr>
          <w:rFonts w:ascii="黑体" w:eastAsia="黑体" w:hint="eastAsia"/>
          <w:b/>
          <w:spacing w:val="-149"/>
          <w:sz w:val="21"/>
        </w:rPr>
        <w:t>原</w:t>
      </w:r>
      <w:r>
        <w:rPr>
          <w:spacing w:val="-63"/>
          <w:position w:val="-7"/>
          <w:sz w:val="21"/>
        </w:rPr>
        <w:t>．</w:t>
      </w:r>
      <w:r>
        <w:rPr>
          <w:rFonts w:ascii="黑体" w:eastAsia="黑体" w:hint="eastAsia"/>
          <w:b/>
          <w:spacing w:val="-149"/>
          <w:sz w:val="21"/>
        </w:rPr>
        <w:t>位</w:t>
      </w:r>
      <w:r>
        <w:rPr>
          <w:spacing w:val="-63"/>
          <w:position w:val="-7"/>
          <w:sz w:val="21"/>
        </w:rPr>
        <w:t>．</w:t>
      </w:r>
      <w:r>
        <w:rPr>
          <w:rFonts w:ascii="黑体" w:eastAsia="黑体" w:hint="eastAsia"/>
          <w:b/>
          <w:spacing w:val="-149"/>
          <w:sz w:val="21"/>
        </w:rPr>
        <w:t>癌</w:t>
      </w:r>
      <w:r>
        <w:rPr>
          <w:spacing w:val="-4"/>
          <w:position w:val="-7"/>
          <w:sz w:val="21"/>
        </w:rPr>
        <w:t>．</w:t>
      </w:r>
      <w:r>
        <w:rPr>
          <w:spacing w:val="-4"/>
          <w:sz w:val="21"/>
        </w:rPr>
        <w:t>（见注3）</w:t>
      </w:r>
      <w:r>
        <w:rPr>
          <w:rFonts w:ascii="黑体" w:eastAsia="黑体" w:hint="eastAsia"/>
          <w:b/>
          <w:spacing w:val="-4"/>
          <w:sz w:val="21"/>
        </w:rPr>
        <w:t>，癌前病变，非浸润性癌，非侵袭性癌，肿瘤细胞未侵犯</w:t>
      </w:r>
      <w:r>
        <w:rPr>
          <w:rFonts w:ascii="黑体" w:eastAsia="黑体" w:hint="eastAsia"/>
          <w:b/>
          <w:spacing w:val="-2"/>
          <w:sz w:val="21"/>
        </w:rPr>
        <w:t>基底层，上皮内瘤变，细胞不典型性增生等；</w:t>
      </w:r>
    </w:p>
    <w:p>
      <w:pPr>
        <w:pStyle w:val="ListParagraph"/>
        <w:numPr>
          <w:ilvl w:val="2"/>
          <w:numId w:val="14"/>
        </w:numPr>
        <w:tabs>
          <w:tab w:pos="842" w:val="left" w:leader="none"/>
        </w:tabs>
        <w:spacing w:line="276" w:lineRule="auto" w:before="9" w:after="0"/>
        <w:ind w:left="171" w:right="363" w:firstLine="353"/>
        <w:jc w:val="left"/>
        <w:rPr>
          <w:rFonts w:ascii="黑体" w:hAnsi="黑体" w:eastAsia="黑体" w:hint="eastAsia"/>
          <w:b/>
          <w:sz w:val="21"/>
        </w:rPr>
      </w:pPr>
      <w:r>
        <w:rPr>
          <w:rFonts w:ascii="黑体" w:hAnsi="黑体" w:eastAsia="黑体" w:hint="eastAsia"/>
          <w:b/>
          <w:spacing w:val="-2"/>
          <w:sz w:val="21"/>
        </w:rPr>
        <w:t>交界性肿瘤，交界恶性肿瘤，肿瘤低度恶性潜能，潜在低度恶性肿瘤等；</w:t>
      </w:r>
      <w:r>
        <w:rPr>
          <w:rFonts w:ascii="黑体" w:hAnsi="黑体" w:eastAsia="黑体" w:hint="eastAsia"/>
          <w:b/>
          <w:spacing w:val="-2"/>
          <w:sz w:val="21"/>
        </w:rPr>
        <w:t> </w:t>
      </w:r>
      <w:r>
        <w:rPr>
          <w:rFonts w:ascii="黑体" w:hAnsi="黑体" w:eastAsia="黑体" w:hint="eastAsia"/>
          <w:b/>
          <w:sz w:val="21"/>
        </w:rPr>
        <w:t>Ⅱ </w:t>
      </w:r>
      <w:r>
        <w:rPr>
          <w:rFonts w:ascii="黑体" w:hAnsi="黑体" w:eastAsia="黑体" w:hint="eastAsia"/>
          <w:b/>
          <w:spacing w:val="-106"/>
          <w:sz w:val="21"/>
        </w:rPr>
        <w:t>T</w:t>
      </w:r>
      <w:r>
        <w:rPr>
          <w:spacing w:val="-106"/>
          <w:position w:val="-7"/>
          <w:sz w:val="21"/>
        </w:rPr>
        <w:t>．</w:t>
      </w:r>
      <w:r>
        <w:rPr>
          <w:rFonts w:ascii="黑体" w:hAnsi="黑体" w:eastAsia="黑体" w:hint="eastAsia"/>
          <w:b/>
          <w:spacing w:val="-106"/>
          <w:sz w:val="21"/>
        </w:rPr>
        <w:t>N</w:t>
      </w:r>
      <w:r>
        <w:rPr>
          <w:spacing w:val="-106"/>
          <w:position w:val="-7"/>
          <w:sz w:val="21"/>
        </w:rPr>
        <w:t>．</w:t>
      </w:r>
      <w:r>
        <w:rPr>
          <w:rFonts w:ascii="黑体" w:hAnsi="黑体" w:eastAsia="黑体" w:hint="eastAsia"/>
          <w:b/>
          <w:spacing w:val="-106"/>
          <w:sz w:val="21"/>
        </w:rPr>
        <w:t>M</w:t>
      </w:r>
      <w:r>
        <w:rPr>
          <w:spacing w:val="-106"/>
          <w:position w:val="-7"/>
          <w:sz w:val="21"/>
        </w:rPr>
        <w:t>．</w:t>
      </w:r>
      <w:r>
        <w:rPr>
          <w:rFonts w:ascii="黑体" w:hAnsi="黑体" w:eastAsia="黑体" w:hint="eastAsia"/>
          <w:b/>
          <w:spacing w:val="-149"/>
          <w:sz w:val="21"/>
        </w:rPr>
        <w:t>分</w:t>
      </w:r>
      <w:r>
        <w:rPr>
          <w:spacing w:val="-63"/>
          <w:position w:val="-7"/>
          <w:sz w:val="21"/>
        </w:rPr>
        <w:t>．</w:t>
      </w:r>
      <w:r>
        <w:rPr>
          <w:rFonts w:ascii="黑体" w:hAnsi="黑体" w:eastAsia="黑体" w:hint="eastAsia"/>
          <w:b/>
          <w:spacing w:val="-149"/>
          <w:sz w:val="21"/>
        </w:rPr>
        <w:t>期</w:t>
      </w:r>
      <w:r>
        <w:rPr>
          <w:position w:val="-7"/>
          <w:sz w:val="21"/>
        </w:rPr>
        <w:t>．</w:t>
      </w:r>
      <w:r>
        <w:rPr>
          <w:sz w:val="21"/>
        </w:rPr>
        <w:t>(见注4)</w:t>
      </w:r>
      <w:r>
        <w:rPr>
          <w:rFonts w:ascii="黑体" w:hAnsi="黑体" w:eastAsia="黑体" w:hint="eastAsia"/>
          <w:b/>
          <w:sz w:val="21"/>
        </w:rPr>
        <w:t>为Ⅰ期或更轻分期的甲状腺癌；</w:t>
      </w:r>
    </w:p>
    <w:p>
      <w:pPr>
        <w:spacing w:line="263" w:lineRule="exact" w:before="0"/>
        <w:ind w:left="171" w:right="0" w:firstLine="0"/>
        <w:jc w:val="left"/>
        <w:rPr>
          <w:rFonts w:ascii="黑体" w:hAnsi="黑体" w:eastAsia="黑体" w:hint="eastAsia"/>
          <w:b/>
          <w:sz w:val="21"/>
        </w:rPr>
      </w:pPr>
      <w:r>
        <w:rPr>
          <w:rFonts w:ascii="黑体" w:hAnsi="黑体" w:eastAsia="黑体" w:hint="eastAsia"/>
          <w:b/>
          <w:spacing w:val="-5"/>
          <w:position w:val="1"/>
          <w:sz w:val="21"/>
        </w:rPr>
        <w:t>Ⅲ </w:t>
      </w:r>
      <w:r>
        <w:rPr>
          <w:rFonts w:ascii="黑体" w:hAnsi="黑体" w:eastAsia="黑体" w:hint="eastAsia"/>
          <w:b/>
          <w:position w:val="1"/>
          <w:sz w:val="21"/>
        </w:rPr>
        <w:t>TNM</w:t>
      </w:r>
      <w:r>
        <w:rPr>
          <w:rFonts w:ascii="黑体" w:hAnsi="黑体" w:eastAsia="黑体" w:hint="eastAsia"/>
          <w:b/>
          <w:position w:val="1"/>
          <w:sz w:val="21"/>
        </w:rPr>
        <w:t>分期为T</w:t>
      </w:r>
      <w:r>
        <w:rPr>
          <w:rFonts w:ascii="黑体" w:hAnsi="黑体" w:eastAsia="黑体" w:hint="eastAsia"/>
          <w:b/>
          <w:sz w:val="11"/>
        </w:rPr>
        <w:t>1</w:t>
      </w:r>
      <w:r>
        <w:rPr>
          <w:rFonts w:ascii="黑体" w:hAnsi="黑体" w:eastAsia="黑体" w:hint="eastAsia"/>
          <w:b/>
          <w:position w:val="1"/>
          <w:sz w:val="21"/>
        </w:rPr>
        <w:t>N</w:t>
      </w:r>
      <w:r>
        <w:rPr>
          <w:rFonts w:ascii="黑体" w:hAnsi="黑体" w:eastAsia="黑体" w:hint="eastAsia"/>
          <w:b/>
          <w:sz w:val="11"/>
        </w:rPr>
        <w:t>0</w:t>
      </w:r>
      <w:r>
        <w:rPr>
          <w:rFonts w:ascii="黑体" w:hAnsi="黑体" w:eastAsia="黑体" w:hint="eastAsia"/>
          <w:b/>
          <w:position w:val="1"/>
          <w:sz w:val="21"/>
        </w:rPr>
        <w:t>M</w:t>
      </w:r>
      <w:r>
        <w:rPr>
          <w:rFonts w:ascii="黑体" w:hAnsi="黑体" w:eastAsia="黑体" w:hint="eastAsia"/>
          <w:b/>
          <w:sz w:val="11"/>
        </w:rPr>
        <w:t>0</w:t>
      </w:r>
      <w:r>
        <w:rPr>
          <w:rFonts w:ascii="黑体" w:hAnsi="黑体" w:eastAsia="黑体" w:hint="eastAsia"/>
          <w:b/>
          <w:spacing w:val="-1"/>
          <w:position w:val="1"/>
          <w:sz w:val="21"/>
        </w:rPr>
        <w:t>期或更轻分期的前列腺癌；</w:t>
      </w:r>
    </w:p>
    <w:p>
      <w:pPr>
        <w:spacing w:before="43"/>
        <w:ind w:left="171" w:right="0" w:firstLine="0"/>
        <w:jc w:val="left"/>
        <w:rPr>
          <w:rFonts w:ascii="黑体" w:hAnsi="黑体" w:eastAsia="黑体" w:hint="eastAsia"/>
          <w:b/>
          <w:sz w:val="21"/>
        </w:rPr>
      </w:pPr>
      <w:r>
        <w:rPr>
          <w:rFonts w:ascii="黑体" w:hAnsi="黑体" w:eastAsia="黑体" w:hint="eastAsia"/>
          <w:b/>
          <w:spacing w:val="-4"/>
          <w:sz w:val="21"/>
        </w:rPr>
        <w:t>Ⅳ 黑色素瘤以外的未发生淋巴结和远处转移的皮肤恶性肿瘤；</w:t>
      </w:r>
    </w:p>
    <w:p>
      <w:pPr>
        <w:spacing w:after="0"/>
        <w:jc w:val="left"/>
        <w:rPr>
          <w:rFonts w:ascii="黑体" w:hAnsi="黑体" w:eastAsia="黑体" w:hint="eastAsia"/>
          <w:sz w:val="21"/>
        </w:rPr>
        <w:sectPr>
          <w:type w:val="continuous"/>
          <w:pgSz w:w="11910" w:h="16840"/>
          <w:pgMar w:header="0" w:footer="655" w:top="140" w:bottom="280" w:left="560" w:right="480"/>
          <w:cols w:num="2" w:equalWidth="0">
            <w:col w:w="2871" w:space="40"/>
            <w:col w:w="7959"/>
          </w:cols>
        </w:sectPr>
      </w:pPr>
    </w:p>
    <w:p>
      <w:pPr>
        <w:spacing w:line="278" w:lineRule="auto" w:before="58"/>
        <w:ind w:left="3081" w:right="2254" w:firstLine="0"/>
        <w:jc w:val="left"/>
        <w:rPr>
          <w:rFonts w:ascii="黑体" w:hAnsi="黑体" w:eastAsia="黑体" w:hint="eastAsia"/>
          <w:b/>
          <w:sz w:val="21"/>
        </w:rPr>
      </w:pPr>
      <w:r>
        <w:rPr>
          <w:rFonts w:ascii="黑体" w:hAnsi="黑体" w:eastAsia="黑体" w:hint="eastAsia"/>
          <w:b/>
          <w:spacing w:val="-7"/>
          <w:sz w:val="21"/>
        </w:rPr>
        <w:t>Ⅴ 相当于</w:t>
      </w:r>
      <w:r>
        <w:rPr>
          <w:rFonts w:ascii="黑体" w:hAnsi="黑体" w:eastAsia="黑体" w:hint="eastAsia"/>
          <w:b/>
          <w:sz w:val="21"/>
        </w:rPr>
        <w:t>Binet</w:t>
      </w:r>
      <w:r>
        <w:rPr>
          <w:rFonts w:ascii="黑体" w:hAnsi="黑体" w:eastAsia="黑体" w:hint="eastAsia"/>
          <w:b/>
          <w:sz w:val="21"/>
        </w:rPr>
        <w:t>分期方案A</w:t>
      </w:r>
      <w:r>
        <w:rPr>
          <w:rFonts w:ascii="黑体" w:hAnsi="黑体" w:eastAsia="黑体" w:hint="eastAsia"/>
          <w:b/>
          <w:sz w:val="21"/>
        </w:rPr>
        <w:t>期程度的慢性淋巴细胞白血病； Ⅵ 相当于Ann Arbor</w:t>
      </w:r>
      <w:r>
        <w:rPr>
          <w:rFonts w:ascii="黑体" w:hAnsi="黑体" w:eastAsia="黑体" w:hint="eastAsia"/>
          <w:b/>
          <w:sz w:val="21"/>
        </w:rPr>
        <w:t>分期方案Ⅰ期程度的何杰金氏病；</w:t>
      </w:r>
    </w:p>
    <w:p>
      <w:pPr>
        <w:spacing w:before="0"/>
        <w:ind w:left="3081" w:right="0" w:firstLine="0"/>
        <w:jc w:val="left"/>
        <w:rPr>
          <w:rFonts w:ascii="黑体" w:hAnsi="黑体" w:eastAsia="黑体" w:hint="eastAsia"/>
          <w:b/>
          <w:sz w:val="21"/>
        </w:rPr>
      </w:pPr>
      <w:r>
        <w:rPr>
          <w:rFonts w:ascii="黑体" w:hAnsi="黑体" w:eastAsia="黑体" w:hint="eastAsia"/>
          <w:b/>
          <w:spacing w:val="-5"/>
          <w:sz w:val="21"/>
        </w:rPr>
        <w:t>Ⅶ 未发生淋巴结和远处转移且 </w:t>
      </w:r>
      <w:r>
        <w:rPr>
          <w:rFonts w:ascii="黑体" w:hAnsi="黑体" w:eastAsia="黑体" w:hint="eastAsia"/>
          <w:b/>
          <w:spacing w:val="-2"/>
          <w:sz w:val="21"/>
        </w:rPr>
        <w:t>WHO</w:t>
      </w:r>
      <w:r>
        <w:rPr>
          <w:rFonts w:ascii="黑体" w:hAnsi="黑体" w:eastAsia="黑体" w:hint="eastAsia"/>
          <w:b/>
          <w:spacing w:val="-21"/>
          <w:sz w:val="21"/>
        </w:rPr>
        <w:t> 分级为 </w:t>
      </w:r>
      <w:r>
        <w:rPr>
          <w:rFonts w:ascii="黑体" w:hAnsi="黑体" w:eastAsia="黑体" w:hint="eastAsia"/>
          <w:b/>
          <w:spacing w:val="-2"/>
          <w:sz w:val="21"/>
        </w:rPr>
        <w:t>G1</w:t>
      </w:r>
      <w:r>
        <w:rPr>
          <w:rFonts w:ascii="黑体" w:hAnsi="黑体" w:eastAsia="黑体" w:hint="eastAsia"/>
          <w:b/>
          <w:spacing w:val="-47"/>
          <w:sz w:val="21"/>
        </w:rPr>
        <w:t> 级别</w:t>
      </w:r>
      <w:r>
        <w:rPr>
          <w:rFonts w:ascii="黑体" w:hAnsi="黑体" w:eastAsia="黑体" w:hint="eastAsia"/>
          <w:b/>
          <w:spacing w:val="-2"/>
          <w:sz w:val="21"/>
        </w:rPr>
        <w:t>（核分裂像&lt;10/50</w:t>
      </w:r>
      <w:r>
        <w:rPr>
          <w:rFonts w:ascii="黑体" w:hAnsi="黑体" w:eastAsia="黑体" w:hint="eastAsia"/>
          <w:b/>
          <w:spacing w:val="-48"/>
          <w:sz w:val="21"/>
        </w:rPr>
        <w:t> </w:t>
      </w:r>
      <w:r>
        <w:rPr>
          <w:rFonts w:ascii="黑体" w:hAnsi="黑体" w:eastAsia="黑体" w:hint="eastAsia"/>
          <w:b/>
          <w:spacing w:val="-2"/>
          <w:sz w:val="21"/>
        </w:rPr>
        <w:t>HPF</w:t>
      </w:r>
      <w:r>
        <w:rPr>
          <w:rFonts w:ascii="黑体" w:hAnsi="黑体" w:eastAsia="黑体" w:hint="eastAsia"/>
          <w:b/>
          <w:spacing w:val="-33"/>
          <w:sz w:val="21"/>
        </w:rPr>
        <w:t> 和 </w:t>
      </w:r>
      <w:r>
        <w:rPr>
          <w:rFonts w:ascii="黑体" w:hAnsi="黑体" w:eastAsia="黑体" w:hint="eastAsia"/>
          <w:b/>
          <w:spacing w:val="-2"/>
          <w:sz w:val="21"/>
        </w:rPr>
        <w:t>ki-</w:t>
      </w:r>
      <w:r>
        <w:rPr>
          <w:rFonts w:ascii="黑体" w:hAnsi="黑体" w:eastAsia="黑体" w:hint="eastAsia"/>
          <w:b/>
          <w:spacing w:val="-5"/>
          <w:sz w:val="21"/>
        </w:rPr>
        <w:t>67</w:t>
      </w:r>
    </w:p>
    <w:p>
      <w:pPr>
        <w:spacing w:before="43"/>
        <w:ind w:left="3081" w:right="0" w:firstLine="0"/>
        <w:jc w:val="left"/>
        <w:rPr>
          <w:rFonts w:ascii="黑体" w:hAnsi="黑体" w:eastAsia="黑体" w:hint="eastAsia"/>
          <w:b/>
          <w:sz w:val="21"/>
        </w:rPr>
      </w:pPr>
      <w:r>
        <w:rPr>
          <w:rFonts w:ascii="黑体" w:hAnsi="黑体" w:eastAsia="黑体" w:hint="eastAsia"/>
          <w:b/>
          <w:w w:val="95"/>
          <w:sz w:val="21"/>
        </w:rPr>
        <w:t>≤2%）</w:t>
      </w:r>
      <w:r>
        <w:rPr>
          <w:rFonts w:ascii="黑体" w:hAnsi="黑体" w:eastAsia="黑体" w:hint="eastAsia"/>
          <w:b/>
          <w:w w:val="95"/>
          <w:sz w:val="21"/>
        </w:rPr>
        <w:t>或</w:t>
      </w:r>
      <w:r>
        <w:rPr>
          <w:rFonts w:ascii="黑体" w:hAnsi="黑体" w:eastAsia="黑体" w:hint="eastAsia"/>
          <w:b/>
          <w:w w:val="95"/>
          <w:sz w:val="21"/>
        </w:rPr>
        <w:t>更</w:t>
      </w:r>
      <w:r>
        <w:rPr>
          <w:rFonts w:ascii="黑体" w:hAnsi="黑体" w:eastAsia="黑体" w:hint="eastAsia"/>
          <w:b/>
          <w:w w:val="95"/>
          <w:sz w:val="21"/>
        </w:rPr>
        <w:t>轻</w:t>
      </w:r>
      <w:r>
        <w:rPr>
          <w:rFonts w:ascii="黑体" w:hAnsi="黑体" w:eastAsia="黑体" w:hint="eastAsia"/>
          <w:b/>
          <w:w w:val="95"/>
          <w:sz w:val="21"/>
        </w:rPr>
        <w:t>分</w:t>
      </w:r>
      <w:r>
        <w:rPr>
          <w:rFonts w:ascii="黑体" w:hAnsi="黑体" w:eastAsia="黑体" w:hint="eastAsia"/>
          <w:b/>
          <w:w w:val="95"/>
          <w:sz w:val="21"/>
        </w:rPr>
        <w:t>级</w:t>
      </w:r>
      <w:r>
        <w:rPr>
          <w:rFonts w:ascii="黑体" w:hAnsi="黑体" w:eastAsia="黑体" w:hint="eastAsia"/>
          <w:b/>
          <w:w w:val="95"/>
          <w:sz w:val="21"/>
        </w:rPr>
        <w:t>的</w:t>
      </w:r>
      <w:r>
        <w:rPr>
          <w:rFonts w:ascii="黑体" w:hAnsi="黑体" w:eastAsia="黑体" w:hint="eastAsia"/>
          <w:b/>
          <w:w w:val="95"/>
          <w:sz w:val="21"/>
        </w:rPr>
        <w:t>神</w:t>
      </w:r>
      <w:r>
        <w:rPr>
          <w:rFonts w:ascii="黑体" w:hAnsi="黑体" w:eastAsia="黑体" w:hint="eastAsia"/>
          <w:b/>
          <w:w w:val="95"/>
          <w:sz w:val="21"/>
        </w:rPr>
        <w:t>经</w:t>
      </w:r>
      <w:r>
        <w:rPr>
          <w:rFonts w:ascii="黑体" w:hAnsi="黑体" w:eastAsia="黑体" w:hint="eastAsia"/>
          <w:b/>
          <w:w w:val="95"/>
          <w:sz w:val="21"/>
        </w:rPr>
        <w:t>内</w:t>
      </w:r>
      <w:r>
        <w:rPr>
          <w:rFonts w:ascii="黑体" w:hAnsi="黑体" w:eastAsia="黑体" w:hint="eastAsia"/>
          <w:b/>
          <w:w w:val="95"/>
          <w:sz w:val="21"/>
        </w:rPr>
        <w:t>分</w:t>
      </w:r>
      <w:r>
        <w:rPr>
          <w:rFonts w:ascii="黑体" w:hAnsi="黑体" w:eastAsia="黑体" w:hint="eastAsia"/>
          <w:b/>
          <w:w w:val="95"/>
          <w:sz w:val="21"/>
        </w:rPr>
        <w:t>泌</w:t>
      </w:r>
      <w:r>
        <w:rPr>
          <w:rFonts w:ascii="黑体" w:hAnsi="黑体" w:eastAsia="黑体" w:hint="eastAsia"/>
          <w:b/>
          <w:w w:val="95"/>
          <w:sz w:val="21"/>
        </w:rPr>
        <w:t>肿</w:t>
      </w:r>
      <w:r>
        <w:rPr>
          <w:rFonts w:ascii="黑体" w:hAnsi="黑体" w:eastAsia="黑体" w:hint="eastAsia"/>
          <w:b/>
          <w:w w:val="95"/>
          <w:sz w:val="21"/>
        </w:rPr>
        <w:t>瘤</w:t>
      </w:r>
      <w:r>
        <w:rPr>
          <w:rFonts w:ascii="黑体" w:hAnsi="黑体" w:eastAsia="黑体" w:hint="eastAsia"/>
          <w:b/>
          <w:spacing w:val="-10"/>
          <w:w w:val="95"/>
          <w:sz w:val="21"/>
        </w:rPr>
        <w:t>。</w:t>
      </w:r>
    </w:p>
    <w:p>
      <w:pPr>
        <w:pStyle w:val="BodyText"/>
        <w:spacing w:line="278" w:lineRule="auto" w:before="43"/>
        <w:ind w:left="3081" w:right="322"/>
      </w:pPr>
      <w:r>
        <w:rPr>
          <w:spacing w:val="-2"/>
        </w:rPr>
        <w:t>注1：组织病理学检查是通过局部切除、钳取、穿刺等手术方法，从患者机体采取</w:t>
      </w:r>
      <w:r>
        <w:rPr>
          <w:spacing w:val="-2"/>
        </w:rPr>
        <w:t>病变组织块，经过包埋、切片后，进行病理检查的方法。</w:t>
      </w:r>
    </w:p>
    <w:p>
      <w:pPr>
        <w:spacing w:line="278" w:lineRule="auto" w:before="0"/>
        <w:ind w:left="3081" w:right="329" w:firstLine="0"/>
        <w:jc w:val="both"/>
        <w:rPr>
          <w:b/>
          <w:sz w:val="21"/>
        </w:rPr>
      </w:pPr>
      <w:r>
        <w:rPr>
          <w:b/>
          <w:spacing w:val="-2"/>
          <w:sz w:val="21"/>
        </w:rPr>
        <w:t>通过采集病变部位脱落细胞、细针吸取病变部位细胞、体腔积液分离病变细胞等</w:t>
      </w:r>
      <w:r>
        <w:rPr>
          <w:b/>
          <w:spacing w:val="-2"/>
          <w:sz w:val="21"/>
        </w:rPr>
        <w:t>方式获取病变细胞，制成涂片，进行病理检查的方法，属于细胞病理学检查，不</w:t>
      </w:r>
      <w:r>
        <w:rPr>
          <w:b/>
          <w:spacing w:val="-2"/>
          <w:sz w:val="21"/>
        </w:rPr>
        <w:t>属于组织病理学检查。</w:t>
      </w:r>
    </w:p>
    <w:p>
      <w:pPr>
        <w:pStyle w:val="BodyText"/>
        <w:spacing w:line="278" w:lineRule="auto"/>
        <w:ind w:left="3081" w:right="217"/>
      </w:pPr>
      <w:r>
        <w:rPr>
          <w:spacing w:val="-2"/>
        </w:rPr>
        <w:t>注2：《疾病和有关健康问题的国际统计分类》第十次修订版（ICD-10），是世界</w:t>
      </w:r>
      <w:r>
        <w:rPr>
          <w:spacing w:val="-2"/>
        </w:rPr>
        <w:t>卫生组织（WHO）发布的国际通用的疾病分类方法。《国际疾病分类肿瘤学专辑》</w:t>
      </w:r>
      <w:r>
        <w:rPr>
          <w:spacing w:val="-2"/>
        </w:rPr>
        <w:t>第三版（ICD-O-3），是WHO发布的针对ICD中肿瘤形态学组织学细胞类型、动态、</w:t>
      </w:r>
      <w:r>
        <w:rPr>
          <w:spacing w:val="-2"/>
        </w:rPr>
        <w:t>分化程度的补充编码。其中形态学编码：0代表良性肿瘤；1代表动态未定性肿瘤； </w:t>
      </w:r>
      <w:r>
        <w:rPr>
          <w:spacing w:val="-6"/>
        </w:rPr>
        <w:t>2代表原位癌和非侵袭性癌；3</w:t>
      </w:r>
      <w:r>
        <w:rPr>
          <w:spacing w:val="-14"/>
        </w:rPr>
        <w:t>代表恶性肿瘤</w:t>
      </w:r>
      <w:r>
        <w:rPr>
          <w:spacing w:val="-6"/>
        </w:rPr>
        <w:t>（原发性）；6</w:t>
      </w:r>
      <w:r>
        <w:rPr>
          <w:spacing w:val="-14"/>
        </w:rPr>
        <w:t>代表恶性肿瘤</w:t>
      </w:r>
      <w:r>
        <w:rPr>
          <w:spacing w:val="-6"/>
        </w:rPr>
        <w:t>（转移性）；</w:t>
      </w:r>
    </w:p>
    <w:p>
      <w:pPr>
        <w:pStyle w:val="BodyText"/>
        <w:spacing w:line="278" w:lineRule="auto"/>
        <w:ind w:left="3081" w:right="324"/>
      </w:pPr>
      <w:r>
        <w:rPr>
          <w:spacing w:val="-4"/>
        </w:rPr>
        <w:t>9代表恶性肿瘤（原发性或转移性未肯定）。如果出现ICD-10与ICD-O-3不一致的情</w:t>
      </w:r>
      <w:r>
        <w:rPr>
          <w:spacing w:val="-2"/>
        </w:rPr>
        <w:t>况，以ICD-O-3为准。</w:t>
      </w:r>
    </w:p>
    <w:p>
      <w:pPr>
        <w:pStyle w:val="BodyText"/>
        <w:spacing w:line="278" w:lineRule="auto"/>
        <w:ind w:left="3081" w:right="322"/>
      </w:pPr>
      <w:r>
        <w:rPr>
          <w:spacing w:val="-20"/>
        </w:rPr>
        <w:t>注 </w:t>
      </w:r>
      <w:r>
        <w:rPr/>
        <w:t>3：指恶性细胞局限于上皮内尚未穿破基底膜浸润周围正常组织的癌细胞新生</w:t>
      </w:r>
      <w:r>
        <w:rPr>
          <w:spacing w:val="-12"/>
        </w:rPr>
        <w:t>物。原位癌必须经对固定活组织的组织病理学检查明确诊断。被保险人必须已经接</w:t>
      </w:r>
      <w:r>
        <w:rPr>
          <w:spacing w:val="-8"/>
        </w:rPr>
        <w:t>受了针对原位癌病灶的积极治疗，所谓的积极治疗包含手术、化疗或放疗等治疗方</w:t>
      </w:r>
      <w:r>
        <w:rPr>
          <w:spacing w:val="-6"/>
        </w:rPr>
        <w:t>式。</w:t>
      </w:r>
    </w:p>
    <w:p>
      <w:pPr>
        <w:pStyle w:val="BodyText"/>
        <w:spacing w:line="278" w:lineRule="auto"/>
        <w:ind w:left="3081" w:right="322"/>
        <w:jc w:val="both"/>
      </w:pPr>
      <w:r>
        <w:rPr>
          <w:w w:val="95"/>
        </w:rPr>
        <w:t>注 4：TNM 分期</w:t>
      </w:r>
      <w:r>
        <w:rPr>
          <w:w w:val="95"/>
        </w:rPr>
        <w:t>采</w:t>
      </w:r>
      <w:r>
        <w:rPr>
          <w:w w:val="95"/>
        </w:rPr>
        <w:t>用</w:t>
      </w:r>
      <w:r>
        <w:rPr>
          <w:w w:val="95"/>
        </w:rPr>
        <w:t> AJCC </w:t>
      </w:r>
      <w:r>
        <w:rPr>
          <w:w w:val="95"/>
        </w:rPr>
        <w:t>癌</w:t>
      </w:r>
      <w:r>
        <w:rPr>
          <w:w w:val="95"/>
        </w:rPr>
        <w:t>症</w:t>
      </w:r>
      <w:r>
        <w:rPr>
          <w:spacing w:val="-7"/>
          <w:w w:val="95"/>
        </w:rPr>
        <w:t>分期手册标准。该标</w:t>
      </w:r>
      <w:r>
        <w:rPr>
          <w:w w:val="95"/>
        </w:rPr>
        <w:t>准</w:t>
      </w:r>
      <w:r>
        <w:rPr>
          <w:w w:val="95"/>
        </w:rPr>
        <w:t>由</w:t>
      </w:r>
      <w:r>
        <w:rPr>
          <w:w w:val="95"/>
        </w:rPr>
        <w:t>美国癌症联合委员会与国</w:t>
      </w:r>
      <w:r>
        <w:rPr>
          <w:w w:val="95"/>
        </w:rPr>
        <w:t>际</w:t>
      </w:r>
      <w:r>
        <w:rPr>
          <w:w w:val="95"/>
        </w:rPr>
        <w:t>抗</w:t>
      </w:r>
      <w:r>
        <w:rPr>
          <w:w w:val="95"/>
        </w:rPr>
        <w:t>癌</w:t>
      </w:r>
      <w:r>
        <w:rPr>
          <w:w w:val="95"/>
        </w:rPr>
        <w:t>联</w:t>
      </w:r>
      <w:r>
        <w:rPr>
          <w:w w:val="95"/>
        </w:rPr>
        <w:t>合</w:t>
      </w:r>
      <w:r>
        <w:rPr>
          <w:w w:val="95"/>
        </w:rPr>
        <w:t>会 TNM 委员会联</w:t>
      </w:r>
      <w:r>
        <w:rPr>
          <w:w w:val="95"/>
        </w:rPr>
        <w:t>合</w:t>
      </w:r>
      <w:r>
        <w:rPr>
          <w:w w:val="95"/>
        </w:rPr>
        <w:t>制</w:t>
      </w:r>
      <w:r>
        <w:rPr>
          <w:w w:val="95"/>
        </w:rPr>
        <w:t>定，是目前肿瘤医学</w:t>
      </w:r>
      <w:r>
        <w:rPr>
          <w:w w:val="95"/>
        </w:rPr>
        <w:t>分</w:t>
      </w:r>
      <w:r>
        <w:rPr>
          <w:w w:val="95"/>
        </w:rPr>
        <w:t>期</w:t>
      </w:r>
      <w:r>
        <w:rPr>
          <w:w w:val="95"/>
        </w:rPr>
        <w:t>的国际通用标准。T 指</w:t>
      </w:r>
      <w:r>
        <w:rPr>
          <w:w w:val="95"/>
        </w:rPr>
        <w:t>原</w:t>
      </w:r>
      <w:r>
        <w:rPr>
          <w:w w:val="95"/>
        </w:rPr>
        <w:t>发</w:t>
      </w:r>
      <w:r>
        <w:rPr>
          <w:spacing w:val="-2"/>
        </w:rPr>
        <w:t>肿瘤的大小、形态等；N</w:t>
      </w:r>
      <w:r>
        <w:rPr>
          <w:spacing w:val="-7"/>
        </w:rPr>
        <w:t> 指淋巴结的转移情况；</w:t>
      </w:r>
      <w:r>
        <w:rPr>
          <w:spacing w:val="-2"/>
        </w:rPr>
        <w:t>M</w:t>
      </w:r>
      <w:r>
        <w:rPr>
          <w:spacing w:val="-7"/>
        </w:rPr>
        <w:t> 指有无其他脏器的转移情况。甲</w:t>
      </w:r>
      <w:r>
        <w:rPr>
          <w:w w:val="95"/>
        </w:rPr>
        <w:t>状</w:t>
      </w:r>
      <w:r>
        <w:rPr>
          <w:w w:val="95"/>
        </w:rPr>
        <w:t>腺</w:t>
      </w:r>
      <w:r>
        <w:rPr>
          <w:w w:val="95"/>
        </w:rPr>
        <w:t>癌的 TNM 分期采用目</w:t>
      </w:r>
      <w:r>
        <w:rPr>
          <w:w w:val="95"/>
        </w:rPr>
        <w:t>前</w:t>
      </w:r>
      <w:r>
        <w:rPr>
          <w:w w:val="95"/>
        </w:rPr>
        <w:t>现</w:t>
      </w:r>
      <w:r>
        <w:rPr>
          <w:w w:val="95"/>
        </w:rPr>
        <w:t>行的 AJCC 第八版</w:t>
      </w:r>
      <w:r>
        <w:rPr>
          <w:w w:val="95"/>
        </w:rPr>
        <w:t>定</w:t>
      </w:r>
      <w:r>
        <w:rPr>
          <w:w w:val="95"/>
        </w:rPr>
        <w:t>义</w:t>
      </w:r>
      <w:r>
        <w:rPr>
          <w:w w:val="95"/>
        </w:rPr>
        <w:t>标准，我国国家卫生健康</w:t>
      </w:r>
      <w:r>
        <w:rPr>
          <w:w w:val="95"/>
        </w:rPr>
        <w:t>委</w:t>
      </w:r>
      <w:r>
        <w:rPr>
          <w:w w:val="95"/>
        </w:rPr>
        <w:t>员</w:t>
      </w:r>
      <w:r>
        <w:rPr>
          <w:spacing w:val="-9"/>
        </w:rPr>
        <w:t>会 </w:t>
      </w:r>
      <w:r>
        <w:rPr>
          <w:spacing w:val="-2"/>
        </w:rPr>
        <w:t>2018</w:t>
      </w:r>
      <w:r>
        <w:rPr>
          <w:spacing w:val="-6"/>
        </w:rPr>
        <w:t> 年发布的《甲状腺癌诊疗规范</w:t>
      </w:r>
      <w:r>
        <w:rPr>
          <w:spacing w:val="-2"/>
        </w:rPr>
        <w:t>（2018</w:t>
      </w:r>
      <w:r>
        <w:rPr>
          <w:spacing w:val="-9"/>
        </w:rPr>
        <w:t> 年版</w:t>
      </w:r>
      <w:r>
        <w:rPr>
          <w:spacing w:val="-108"/>
        </w:rPr>
        <w:t>）</w:t>
      </w:r>
      <w:r>
        <w:rPr>
          <w:spacing w:val="-2"/>
        </w:rPr>
        <w:t>》也采用此定义标准，具体见</w:t>
      </w:r>
      <w:r>
        <w:rPr>
          <w:spacing w:val="-4"/>
        </w:rPr>
        <w:t>附表。</w:t>
      </w:r>
    </w:p>
    <w:p>
      <w:pPr>
        <w:pStyle w:val="BodyText"/>
        <w:spacing w:before="1"/>
        <w:rPr>
          <w:sz w:val="18"/>
        </w:rPr>
      </w:pPr>
    </w:p>
    <w:p>
      <w:pPr>
        <w:spacing w:after="0"/>
        <w:rPr>
          <w:sz w:val="18"/>
        </w:rPr>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w:t>
      </w:r>
      <w:r>
        <w:rPr>
          <w:rFonts w:ascii="华文新魏" w:eastAsia="华文新魏" w:hint="eastAsia"/>
          <w:b/>
          <w:spacing w:val="-13"/>
          <w:sz w:val="21"/>
        </w:rPr>
        <w:t>、较重急性心肌梗</w:t>
      </w:r>
      <w:r>
        <w:rPr>
          <w:rFonts w:ascii="华文新魏" w:eastAsia="华文新魏" w:hint="eastAsia"/>
          <w:b/>
          <w:spacing w:val="-6"/>
          <w:sz w:val="21"/>
        </w:rPr>
        <w:t>死*</w:t>
      </w:r>
    </w:p>
    <w:p>
      <w:pPr>
        <w:pStyle w:val="BodyText"/>
        <w:spacing w:line="278" w:lineRule="auto" w:before="79"/>
        <w:ind w:left="171" w:right="322"/>
      </w:pPr>
      <w:r>
        <w:rPr/>
        <w:br w:type="column"/>
      </w:r>
      <w:r>
        <w:rPr>
          <w:spacing w:val="-2"/>
        </w:rPr>
        <w:t>急性心肌梗死指由于冠状动脉闭塞或梗阻引起部分心肌严重的持久性缺血造成急</w:t>
      </w:r>
      <w:r>
        <w:rPr>
          <w:spacing w:val="-2"/>
        </w:rPr>
        <w:t>性心肌坏死。急性心肌梗死的诊断必须依据国际国内诊断标准，符合（1）检测到</w:t>
      </w:r>
      <w:r>
        <w:rPr>
          <w:spacing w:val="-2"/>
        </w:rPr>
        <w:t>肌酸激酶同工酶（CK-MB）或肌钙蛋白（cTn）升高和/或降低的动态变化，至少一</w:t>
      </w:r>
      <w:r>
        <w:rPr>
          <w:spacing w:val="-12"/>
        </w:rPr>
        <w:t>次达到或超过心肌梗死的临床诊断标准；</w:t>
      </w:r>
      <w:r>
        <w:rPr>
          <w:spacing w:val="35"/>
        </w:rPr>
        <w:t>（2</w:t>
      </w:r>
      <w:r>
        <w:rPr>
          <w:spacing w:val="6"/>
        </w:rPr>
        <w:t>）</w:t>
      </w:r>
      <w:r>
        <w:rPr>
          <w:spacing w:val="-6"/>
        </w:rPr>
        <w:t>同时存在下列之一的证据，包括：缺</w:t>
      </w:r>
      <w:r>
        <w:rPr>
          <w:spacing w:val="-6"/>
        </w:rPr>
        <w:t>血性胸痛症状、新发生的缺血性心电图改变、新生成的病理性 </w:t>
      </w:r>
      <w:r>
        <w:rPr>
          <w:spacing w:val="-4"/>
        </w:rPr>
        <w:t>Q</w:t>
      </w:r>
      <w:r>
        <w:rPr>
          <w:spacing w:val="-11"/>
        </w:rPr>
        <w:t> 波、影像学证据显</w:t>
      </w:r>
      <w:r>
        <w:rPr>
          <w:spacing w:val="-7"/>
        </w:rPr>
        <w:t>示有新出现的心肌活性丧失或新出现局部室壁运动异常、冠脉造影证实存在冠状动</w:t>
      </w:r>
      <w:r>
        <w:rPr>
          <w:spacing w:val="-4"/>
        </w:rPr>
        <w:t>脉血栓。</w:t>
      </w:r>
    </w:p>
    <w:p>
      <w:pPr>
        <w:pStyle w:val="BodyText"/>
        <w:spacing w:line="278" w:lineRule="auto"/>
        <w:ind w:left="171" w:right="322"/>
      </w:pPr>
      <w:r>
        <w:rPr>
          <w:spacing w:val="-6"/>
        </w:rPr>
        <w:t>较重急性心肌梗死指依照上述标准被明确诊断为急性心肌梗死，并且必须同时满足</w:t>
      </w:r>
      <w:r>
        <w:rPr>
          <w:spacing w:val="-2"/>
        </w:rPr>
        <w:t>下列至少一项条件：</w:t>
      </w:r>
    </w:p>
    <w:p>
      <w:pPr>
        <w:pStyle w:val="BodyText"/>
        <w:spacing w:line="278" w:lineRule="auto"/>
        <w:ind w:left="171" w:right="430"/>
      </w:pPr>
      <w:r>
        <w:rPr>
          <w:rFonts w:ascii="黑体" w:hAnsi="黑体" w:eastAsia="黑体"/>
          <w:spacing w:val="-14"/>
        </w:rPr>
        <w:t>Ⅰ </w:t>
      </w:r>
      <w:r>
        <w:rPr/>
        <w:t>心肌损伤标志物肌钙蛋白（cTn）升高，至少一次检测结果达到该检验正常参</w:t>
      </w:r>
      <w:r>
        <w:rPr>
          <w:spacing w:val="-4"/>
        </w:rPr>
        <w:t>考值上限的 </w:t>
      </w:r>
      <w:r>
        <w:rPr/>
        <w:t>15</w:t>
      </w:r>
      <w:r>
        <w:rPr>
          <w:spacing w:val="-13"/>
        </w:rPr>
        <w:t> 倍</w:t>
      </w:r>
      <w:r>
        <w:rPr/>
        <w:t>（含）以上；</w:t>
      </w:r>
    </w:p>
    <w:p>
      <w:pPr>
        <w:pStyle w:val="BodyText"/>
        <w:spacing w:line="278" w:lineRule="auto"/>
        <w:ind w:left="171" w:right="430"/>
      </w:pPr>
      <w:r>
        <w:rPr>
          <w:rFonts w:ascii="黑体" w:hAnsi="黑体" w:eastAsia="黑体"/>
          <w:spacing w:val="-14"/>
        </w:rPr>
        <w:t>Ⅱ </w:t>
      </w:r>
      <w:r>
        <w:rPr/>
        <w:t>肌酸激酶同工酶（CK-MB）升高，至少一次检测结果达到该检验正常参考值上</w:t>
      </w:r>
      <w:r>
        <w:rPr>
          <w:spacing w:val="-7"/>
        </w:rPr>
        <w:t>限的 </w:t>
      </w:r>
      <w:r>
        <w:rPr/>
        <w:t>2</w:t>
      </w:r>
      <w:r>
        <w:rPr>
          <w:spacing w:val="-13"/>
        </w:rPr>
        <w:t> 倍</w:t>
      </w:r>
      <w:r>
        <w:rPr/>
        <w:t>（含）以上；</w:t>
      </w:r>
    </w:p>
    <w:p>
      <w:pPr>
        <w:pStyle w:val="BodyText"/>
        <w:spacing w:line="269" w:lineRule="exact"/>
        <w:ind w:left="171"/>
      </w:pPr>
      <w:r>
        <w:rPr>
          <w:rFonts w:ascii="黑体" w:hAnsi="黑体" w:eastAsia="黑体"/>
          <w:spacing w:val="4"/>
        </w:rPr>
        <w:t>Ⅲ </w:t>
      </w:r>
      <w:r>
        <w:rPr>
          <w:spacing w:val="-5"/>
        </w:rPr>
        <w:t>出现左心室收缩功能下降，在确诊 </w:t>
      </w:r>
      <w:r>
        <w:rPr>
          <w:spacing w:val="-2"/>
        </w:rPr>
        <w:t>6</w:t>
      </w:r>
      <w:r>
        <w:rPr>
          <w:spacing w:val="-9"/>
        </w:rPr>
        <w:t> 周以后，检测左室射血分数</w:t>
      </w:r>
      <w:r>
        <w:rPr>
          <w:spacing w:val="-2"/>
        </w:rPr>
        <w:t>（LVEF）</w:t>
      </w:r>
      <w:r>
        <w:rPr>
          <w:spacing w:val="-6"/>
        </w:rPr>
        <w:t>低于</w:t>
      </w:r>
    </w:p>
    <w:p>
      <w:pPr>
        <w:pStyle w:val="BodyText"/>
        <w:spacing w:before="42"/>
        <w:ind w:left="171"/>
      </w:pPr>
      <w:r>
        <w:rPr>
          <w:spacing w:val="-2"/>
        </w:rPr>
        <w:t>50%（不含</w:t>
      </w:r>
      <w:r>
        <w:rPr>
          <w:spacing w:val="-113"/>
        </w:rPr>
        <w:t>）</w:t>
      </w:r>
      <w:r>
        <w:rPr>
          <w:spacing w:val="-5"/>
        </w:rPr>
        <w:t>；</w:t>
      </w:r>
    </w:p>
    <w:p>
      <w:pPr>
        <w:pStyle w:val="BodyText"/>
        <w:spacing w:line="278" w:lineRule="auto" w:before="43"/>
        <w:ind w:left="171" w:right="324"/>
      </w:pPr>
      <w:r>
        <w:rPr>
          <w:rFonts w:ascii="黑体" w:hAnsi="黑体" w:eastAsia="黑体"/>
          <w:spacing w:val="-14"/>
        </w:rPr>
        <w:t>Ⅳ </w:t>
      </w:r>
      <w:r>
        <w:rPr/>
        <w:t>影像学检查证实存在新发的乳头肌功能失调或断裂引起的中度（含）以上的二</w:t>
      </w:r>
      <w:r>
        <w:rPr>
          <w:spacing w:val="-2"/>
        </w:rPr>
        <w:t>尖瓣反流；</w:t>
      </w:r>
    </w:p>
    <w:p>
      <w:pPr>
        <w:pStyle w:val="BodyText"/>
        <w:spacing w:line="269" w:lineRule="exact"/>
        <w:ind w:left="171"/>
      </w:pPr>
      <w:r>
        <w:rPr>
          <w:rFonts w:ascii="黑体" w:hAnsi="黑体" w:eastAsia="黑体"/>
          <w:spacing w:val="-13"/>
        </w:rPr>
        <w:t>Ⅴ </w:t>
      </w:r>
      <w:r>
        <w:rPr>
          <w:spacing w:val="-1"/>
        </w:rPr>
        <w:t>影像学检查证实存在新出现的室壁瘤；</w:t>
      </w:r>
    </w:p>
    <w:p>
      <w:pPr>
        <w:spacing w:after="0" w:line="269" w:lineRule="exact"/>
        <w:sectPr>
          <w:type w:val="continuous"/>
          <w:pgSz w:w="11910" w:h="16840"/>
          <w:pgMar w:header="0" w:footer="655" w:top="140" w:bottom="280" w:left="560" w:right="480"/>
          <w:cols w:num="2" w:equalWidth="0">
            <w:col w:w="2871" w:space="40"/>
            <w:col w:w="7959"/>
          </w:cols>
        </w:sectPr>
      </w:pPr>
    </w:p>
    <w:p>
      <w:pPr>
        <w:pStyle w:val="BodyText"/>
        <w:spacing w:before="58"/>
        <w:ind w:left="3081"/>
      </w:pPr>
      <w:r>
        <w:rPr>
          <w:rFonts w:ascii="黑体" w:hAnsi="黑体" w:eastAsia="黑体"/>
          <w:spacing w:val="3"/>
        </w:rPr>
        <w:t>Ⅵ </w:t>
      </w:r>
      <w:r>
        <w:rPr>
          <w:spacing w:val="-3"/>
        </w:rPr>
        <w:t>出现室性心动过速、心室颤动或心源性休克。</w:t>
      </w:r>
    </w:p>
    <w:p>
      <w:pPr>
        <w:spacing w:before="43"/>
        <w:ind w:left="3081" w:right="0" w:firstLine="0"/>
        <w:jc w:val="left"/>
        <w:rPr>
          <w:rFonts w:ascii="黑体" w:eastAsia="黑体" w:hint="eastAsia"/>
          <w:b/>
          <w:sz w:val="21"/>
        </w:rPr>
      </w:pPr>
      <w:r>
        <w:rPr>
          <w:rFonts w:ascii="黑体" w:eastAsia="黑体" w:hint="eastAsia"/>
          <w:b/>
          <w:w w:val="95"/>
          <w:sz w:val="21"/>
        </w:rPr>
        <w:t>其</w:t>
      </w:r>
      <w:r>
        <w:rPr>
          <w:rFonts w:ascii="黑体" w:eastAsia="黑体" w:hint="eastAsia"/>
          <w:b/>
          <w:w w:val="95"/>
          <w:sz w:val="21"/>
        </w:rPr>
        <w:t>他</w:t>
      </w:r>
      <w:r>
        <w:rPr>
          <w:rFonts w:ascii="黑体" w:eastAsia="黑体" w:hint="eastAsia"/>
          <w:b/>
          <w:w w:val="95"/>
          <w:sz w:val="21"/>
        </w:rPr>
        <w:t>非</w:t>
      </w:r>
      <w:r>
        <w:rPr>
          <w:rFonts w:ascii="黑体" w:eastAsia="黑体" w:hint="eastAsia"/>
          <w:b/>
          <w:w w:val="95"/>
          <w:sz w:val="21"/>
        </w:rPr>
        <w:t>冠</w:t>
      </w:r>
      <w:r>
        <w:rPr>
          <w:rFonts w:ascii="黑体" w:eastAsia="黑体" w:hint="eastAsia"/>
          <w:b/>
          <w:w w:val="95"/>
          <w:sz w:val="21"/>
        </w:rPr>
        <w:t>状</w:t>
      </w:r>
      <w:r>
        <w:rPr>
          <w:rFonts w:ascii="黑体" w:eastAsia="黑体" w:hint="eastAsia"/>
          <w:b/>
          <w:w w:val="95"/>
          <w:sz w:val="21"/>
        </w:rPr>
        <w:t>动</w:t>
      </w:r>
      <w:r>
        <w:rPr>
          <w:rFonts w:ascii="黑体" w:eastAsia="黑体" w:hint="eastAsia"/>
          <w:b/>
          <w:w w:val="95"/>
          <w:sz w:val="21"/>
        </w:rPr>
        <w:t>脉</w:t>
      </w:r>
      <w:r>
        <w:rPr>
          <w:rFonts w:ascii="黑体" w:eastAsia="黑体" w:hint="eastAsia"/>
          <w:b/>
          <w:w w:val="95"/>
          <w:sz w:val="21"/>
        </w:rPr>
        <w:t>阻</w:t>
      </w:r>
      <w:r>
        <w:rPr>
          <w:rFonts w:ascii="黑体" w:eastAsia="黑体" w:hint="eastAsia"/>
          <w:b/>
          <w:w w:val="95"/>
          <w:sz w:val="21"/>
        </w:rPr>
        <w:t>塞性疾</w:t>
      </w:r>
      <w:r>
        <w:rPr>
          <w:rFonts w:ascii="黑体" w:eastAsia="黑体" w:hint="eastAsia"/>
          <w:b/>
          <w:w w:val="95"/>
          <w:sz w:val="21"/>
        </w:rPr>
        <w:t>病</w:t>
      </w:r>
      <w:r>
        <w:rPr>
          <w:rFonts w:ascii="黑体" w:eastAsia="黑体" w:hint="eastAsia"/>
          <w:b/>
          <w:w w:val="95"/>
          <w:sz w:val="21"/>
        </w:rPr>
        <w:t>所</w:t>
      </w:r>
      <w:r>
        <w:rPr>
          <w:rFonts w:ascii="黑体" w:eastAsia="黑体" w:hint="eastAsia"/>
          <w:b/>
          <w:w w:val="95"/>
          <w:sz w:val="21"/>
        </w:rPr>
        <w:t>引</w:t>
      </w:r>
      <w:r>
        <w:rPr>
          <w:rFonts w:ascii="黑体" w:eastAsia="黑体" w:hint="eastAsia"/>
          <w:b/>
          <w:w w:val="95"/>
          <w:sz w:val="21"/>
        </w:rPr>
        <w:t>起</w:t>
      </w:r>
      <w:r>
        <w:rPr>
          <w:rFonts w:ascii="黑体" w:eastAsia="黑体" w:hint="eastAsia"/>
          <w:b/>
          <w:w w:val="95"/>
          <w:sz w:val="21"/>
        </w:rPr>
        <w:t>的</w:t>
      </w:r>
      <w:r>
        <w:rPr>
          <w:rFonts w:ascii="黑体" w:eastAsia="黑体" w:hint="eastAsia"/>
          <w:b/>
          <w:w w:val="95"/>
          <w:sz w:val="21"/>
        </w:rPr>
        <w:t>肌</w:t>
      </w:r>
      <w:r>
        <w:rPr>
          <w:rFonts w:ascii="黑体" w:eastAsia="黑体" w:hint="eastAsia"/>
          <w:b/>
          <w:w w:val="95"/>
          <w:sz w:val="21"/>
        </w:rPr>
        <w:t>钙</w:t>
      </w:r>
      <w:r>
        <w:rPr>
          <w:rFonts w:ascii="黑体" w:eastAsia="黑体" w:hint="eastAsia"/>
          <w:b/>
          <w:w w:val="95"/>
          <w:sz w:val="21"/>
        </w:rPr>
        <w:t>蛋</w:t>
      </w:r>
      <w:r>
        <w:rPr>
          <w:rFonts w:ascii="黑体" w:eastAsia="黑体" w:hint="eastAsia"/>
          <w:b/>
          <w:w w:val="95"/>
          <w:sz w:val="21"/>
        </w:rPr>
        <w:t>白（cTn）</w:t>
      </w:r>
      <w:r>
        <w:rPr>
          <w:rFonts w:ascii="黑体" w:eastAsia="黑体" w:hint="eastAsia"/>
          <w:b/>
          <w:w w:val="95"/>
          <w:sz w:val="21"/>
        </w:rPr>
        <w:t>升</w:t>
      </w:r>
      <w:r>
        <w:rPr>
          <w:rFonts w:ascii="黑体" w:eastAsia="黑体" w:hint="eastAsia"/>
          <w:b/>
          <w:w w:val="95"/>
          <w:sz w:val="21"/>
        </w:rPr>
        <w:t>高</w:t>
      </w:r>
      <w:r>
        <w:rPr>
          <w:rFonts w:ascii="黑体" w:eastAsia="黑体" w:hint="eastAsia"/>
          <w:b/>
          <w:w w:val="95"/>
          <w:sz w:val="21"/>
        </w:rPr>
        <w:t>不</w:t>
      </w:r>
      <w:r>
        <w:rPr>
          <w:rFonts w:ascii="黑体" w:eastAsia="黑体" w:hint="eastAsia"/>
          <w:b/>
          <w:w w:val="95"/>
          <w:sz w:val="21"/>
        </w:rPr>
        <w:t>在</w:t>
      </w:r>
      <w:r>
        <w:rPr>
          <w:rFonts w:ascii="黑体" w:eastAsia="黑体" w:hint="eastAsia"/>
          <w:b/>
          <w:w w:val="95"/>
          <w:sz w:val="21"/>
        </w:rPr>
        <w:t>保</w:t>
      </w:r>
      <w:r>
        <w:rPr>
          <w:rFonts w:ascii="黑体" w:eastAsia="黑体" w:hint="eastAsia"/>
          <w:b/>
          <w:w w:val="95"/>
          <w:sz w:val="21"/>
        </w:rPr>
        <w:t>障</w:t>
      </w:r>
      <w:r>
        <w:rPr>
          <w:rFonts w:ascii="黑体" w:eastAsia="黑体" w:hint="eastAsia"/>
          <w:b/>
          <w:w w:val="95"/>
          <w:sz w:val="21"/>
        </w:rPr>
        <w:t>范</w:t>
      </w:r>
      <w:r>
        <w:rPr>
          <w:rFonts w:ascii="黑体" w:eastAsia="黑体" w:hint="eastAsia"/>
          <w:b/>
          <w:w w:val="95"/>
          <w:sz w:val="21"/>
        </w:rPr>
        <w:t>围</w:t>
      </w:r>
      <w:r>
        <w:rPr>
          <w:rFonts w:ascii="黑体" w:eastAsia="黑体" w:hint="eastAsia"/>
          <w:b/>
          <w:w w:val="95"/>
          <w:sz w:val="21"/>
        </w:rPr>
        <w:t>内</w:t>
      </w:r>
      <w:r>
        <w:rPr>
          <w:rFonts w:ascii="黑体" w:eastAsia="黑体" w:hint="eastAsia"/>
          <w:b/>
          <w:spacing w:val="-10"/>
          <w:w w:val="95"/>
          <w:sz w:val="21"/>
        </w:rPr>
        <w:t>。</w:t>
      </w:r>
    </w:p>
    <w:p>
      <w:pPr>
        <w:pStyle w:val="BodyText"/>
        <w:spacing w:before="8"/>
        <w:rPr>
          <w:rFonts w:ascii="黑体"/>
          <w:b/>
        </w:rPr>
      </w:pPr>
    </w:p>
    <w:p>
      <w:pPr>
        <w:spacing w:after="0"/>
        <w:rPr>
          <w:rFonts w:ascii="黑体"/>
        </w:rPr>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3</w:t>
      </w:r>
      <w:r>
        <w:rPr>
          <w:rFonts w:ascii="华文新魏" w:eastAsia="华文新魏" w:hint="eastAsia"/>
          <w:b/>
          <w:spacing w:val="-13"/>
          <w:sz w:val="21"/>
        </w:rPr>
        <w:t>、严重脑中风后遗</w:t>
      </w:r>
      <w:r>
        <w:rPr>
          <w:rFonts w:ascii="华文新魏" w:eastAsia="华文新魏" w:hint="eastAsia"/>
          <w:b/>
          <w:spacing w:val="-6"/>
          <w:sz w:val="21"/>
        </w:rPr>
        <w:t>症*</w:t>
      </w:r>
    </w:p>
    <w:p>
      <w:pPr>
        <w:pStyle w:val="BodyText"/>
        <w:spacing w:line="278" w:lineRule="auto" w:before="78"/>
        <w:ind w:left="171" w:right="322"/>
      </w:pPr>
      <w:r>
        <w:rPr/>
        <w:br w:type="column"/>
      </w:r>
      <w:r>
        <w:rPr>
          <w:spacing w:val="-2"/>
        </w:rPr>
        <w:t>指因脑血管的突发病变引起脑血管出血、栓塞或梗塞，须由头颅断层扫描</w:t>
      </w:r>
      <w:r>
        <w:rPr>
          <w:spacing w:val="23"/>
        </w:rPr>
        <w:t>（</w:t>
      </w:r>
      <w:r>
        <w:rPr>
          <w:spacing w:val="22"/>
        </w:rPr>
        <w:t>C</w:t>
      </w:r>
      <w:r>
        <w:rPr>
          <w:spacing w:val="25"/>
        </w:rPr>
        <w:t>T</w:t>
      </w:r>
      <w:r>
        <w:rPr>
          <w:spacing w:val="-81"/>
        </w:rPr>
        <w:t>）</w:t>
      </w:r>
      <w:r>
        <w:rPr>
          <w:spacing w:val="-106"/>
        </w:rPr>
        <w:t>、</w:t>
      </w:r>
      <w:r>
        <w:rPr>
          <w:spacing w:val="-2"/>
        </w:rPr>
        <w:t>核磁共振检查（MRI）等影像学检查证实，并导致神经系统永久性的功能障碍。神</w:t>
      </w:r>
      <w:r>
        <w:rPr>
          <w:spacing w:val="-2"/>
        </w:rPr>
        <w:t>经系统永久性的功能障碍，指疾病确诊 </w:t>
      </w:r>
      <w:r>
        <w:rPr/>
        <w:t>180</w:t>
      </w:r>
      <w:r>
        <w:rPr>
          <w:spacing w:val="-5"/>
        </w:rPr>
        <w:t> 天后，仍遗留下列至少一种障碍：</w:t>
      </w:r>
      <w:r>
        <w:rPr/>
        <w:t> </w:t>
      </w:r>
      <w:r>
        <w:rPr>
          <w:rFonts w:ascii="黑体" w:hAnsi="黑体" w:eastAsia="黑体"/>
        </w:rPr>
        <w:t>Ⅰ </w:t>
      </w:r>
      <w:r>
        <w:rPr/>
        <w:t>一肢（含）以上</w:t>
      </w:r>
      <w:r>
        <w:rPr>
          <w:b/>
          <w:spacing w:val="-149"/>
        </w:rPr>
        <w:t>肢</w:t>
      </w:r>
      <w:r>
        <w:rPr>
          <w:spacing w:val="-63"/>
          <w:position w:val="-7"/>
        </w:rPr>
        <w:t>．</w:t>
      </w:r>
      <w:r>
        <w:rPr>
          <w:b/>
          <w:spacing w:val="-149"/>
        </w:rPr>
        <w:t>体</w:t>
      </w:r>
      <w:r>
        <w:rPr>
          <w:position w:val="-7"/>
        </w:rPr>
        <w:t>．</w:t>
      </w:r>
      <w:r>
        <w:rPr/>
        <w:t>（</w:t>
      </w:r>
      <w:r>
        <w:rPr>
          <w:spacing w:val="-15"/>
        </w:rPr>
        <w:t>见注 </w:t>
      </w:r>
      <w:r>
        <w:rPr/>
        <w:t>5）</w:t>
      </w:r>
      <w:r>
        <w:rPr>
          <w:b/>
          <w:spacing w:val="-149"/>
        </w:rPr>
        <w:t>肌</w:t>
      </w:r>
      <w:r>
        <w:rPr>
          <w:spacing w:val="-63"/>
          <w:position w:val="-7"/>
        </w:rPr>
        <w:t>．</w:t>
      </w:r>
      <w:r>
        <w:rPr>
          <w:b/>
          <w:spacing w:val="-149"/>
        </w:rPr>
        <w:t>力</w:t>
      </w:r>
      <w:r>
        <w:rPr>
          <w:position w:val="-7"/>
        </w:rPr>
        <w:t>．</w:t>
      </w:r>
      <w:r>
        <w:rPr/>
        <w:t>（</w:t>
      </w:r>
      <w:r>
        <w:rPr>
          <w:spacing w:val="-16"/>
        </w:rPr>
        <w:t>见注 </w:t>
      </w:r>
      <w:r>
        <w:rPr/>
        <w:t>6）2</w:t>
      </w:r>
      <w:r>
        <w:rPr>
          <w:spacing w:val="-24"/>
        </w:rPr>
        <w:t> 级</w:t>
      </w:r>
      <w:r>
        <w:rPr/>
        <w:t>（含）以下；</w:t>
      </w:r>
    </w:p>
    <w:p>
      <w:pPr>
        <w:spacing w:line="223" w:lineRule="auto" w:before="0"/>
        <w:ind w:left="171" w:right="0" w:firstLine="0"/>
        <w:jc w:val="left"/>
        <w:rPr>
          <w:sz w:val="21"/>
        </w:rPr>
      </w:pPr>
      <w:r>
        <w:rPr>
          <w:rFonts w:ascii="黑体" w:hAnsi="黑体" w:eastAsia="黑体"/>
          <w:spacing w:val="-11"/>
          <w:sz w:val="21"/>
        </w:rPr>
        <w:t>Ⅱ </w:t>
      </w:r>
      <w:r>
        <w:rPr>
          <w:b/>
          <w:spacing w:val="-149"/>
          <w:sz w:val="21"/>
        </w:rPr>
        <w:t>语</w:t>
      </w:r>
      <w:r>
        <w:rPr>
          <w:spacing w:val="-63"/>
          <w:position w:val="-7"/>
          <w:sz w:val="21"/>
        </w:rPr>
        <w:t>．</w:t>
      </w:r>
      <w:r>
        <w:rPr>
          <w:b/>
          <w:spacing w:val="-149"/>
          <w:sz w:val="21"/>
        </w:rPr>
        <w:t>言</w:t>
      </w:r>
      <w:r>
        <w:rPr>
          <w:spacing w:val="-63"/>
          <w:position w:val="-7"/>
          <w:sz w:val="21"/>
        </w:rPr>
        <w:t>．</w:t>
      </w:r>
      <w:r>
        <w:rPr>
          <w:b/>
          <w:spacing w:val="-149"/>
          <w:sz w:val="21"/>
        </w:rPr>
        <w:t>能</w:t>
      </w:r>
      <w:r>
        <w:rPr>
          <w:spacing w:val="-63"/>
          <w:position w:val="-7"/>
          <w:sz w:val="21"/>
        </w:rPr>
        <w:t>．</w:t>
      </w:r>
      <w:r>
        <w:rPr>
          <w:b/>
          <w:spacing w:val="-149"/>
          <w:sz w:val="21"/>
        </w:rPr>
        <w:t>力</w:t>
      </w:r>
      <w:r>
        <w:rPr>
          <w:spacing w:val="-63"/>
          <w:position w:val="-7"/>
          <w:sz w:val="21"/>
        </w:rPr>
        <w:t>．</w:t>
      </w:r>
      <w:r>
        <w:rPr>
          <w:b/>
          <w:spacing w:val="-149"/>
          <w:sz w:val="21"/>
        </w:rPr>
        <w:t>完</w:t>
      </w:r>
      <w:r>
        <w:rPr>
          <w:spacing w:val="-63"/>
          <w:position w:val="-7"/>
          <w:sz w:val="21"/>
        </w:rPr>
        <w:t>．</w:t>
      </w:r>
      <w:r>
        <w:rPr>
          <w:b/>
          <w:spacing w:val="-149"/>
          <w:sz w:val="21"/>
        </w:rPr>
        <w:t>全</w:t>
      </w:r>
      <w:r>
        <w:rPr>
          <w:spacing w:val="-63"/>
          <w:position w:val="-7"/>
          <w:sz w:val="21"/>
        </w:rPr>
        <w:t>．</w:t>
      </w:r>
      <w:r>
        <w:rPr>
          <w:b/>
          <w:spacing w:val="-149"/>
          <w:sz w:val="21"/>
        </w:rPr>
        <w:t>丧</w:t>
      </w:r>
      <w:r>
        <w:rPr>
          <w:spacing w:val="-63"/>
          <w:position w:val="-7"/>
          <w:sz w:val="21"/>
        </w:rPr>
        <w:t>．</w:t>
      </w:r>
      <w:r>
        <w:rPr>
          <w:b/>
          <w:spacing w:val="-149"/>
          <w:sz w:val="21"/>
        </w:rPr>
        <w:t>失</w:t>
      </w:r>
      <w:r>
        <w:rPr>
          <w:spacing w:val="-92"/>
          <w:position w:val="-7"/>
          <w:sz w:val="21"/>
        </w:rPr>
        <w:t>．</w:t>
      </w:r>
      <w:r>
        <w:rPr>
          <w:b/>
          <w:spacing w:val="-92"/>
          <w:sz w:val="21"/>
        </w:rPr>
        <w:t>，</w:t>
      </w:r>
      <w:r>
        <w:rPr>
          <w:spacing w:val="-92"/>
          <w:position w:val="-7"/>
          <w:sz w:val="21"/>
        </w:rPr>
        <w:t>．</w:t>
      </w:r>
      <w:r>
        <w:rPr>
          <w:b/>
          <w:spacing w:val="-152"/>
          <w:sz w:val="21"/>
        </w:rPr>
        <w:t>或</w:t>
      </w:r>
      <w:r>
        <w:rPr>
          <w:spacing w:val="-63"/>
          <w:position w:val="-7"/>
          <w:sz w:val="21"/>
        </w:rPr>
        <w:t>．</w:t>
      </w:r>
      <w:r>
        <w:rPr>
          <w:b/>
          <w:spacing w:val="-149"/>
          <w:sz w:val="21"/>
        </w:rPr>
        <w:t>严</w:t>
      </w:r>
      <w:r>
        <w:rPr>
          <w:spacing w:val="-63"/>
          <w:position w:val="-7"/>
          <w:sz w:val="21"/>
        </w:rPr>
        <w:t>．</w:t>
      </w:r>
      <w:r>
        <w:rPr>
          <w:b/>
          <w:spacing w:val="-149"/>
          <w:sz w:val="21"/>
        </w:rPr>
        <w:t>重</w:t>
      </w:r>
      <w:r>
        <w:rPr>
          <w:spacing w:val="-63"/>
          <w:position w:val="-7"/>
          <w:sz w:val="21"/>
        </w:rPr>
        <w:t>．</w:t>
      </w:r>
      <w:r>
        <w:rPr>
          <w:b/>
          <w:spacing w:val="-149"/>
          <w:sz w:val="21"/>
        </w:rPr>
        <w:t>咀</w:t>
      </w:r>
      <w:r>
        <w:rPr>
          <w:spacing w:val="-63"/>
          <w:position w:val="-7"/>
          <w:sz w:val="21"/>
        </w:rPr>
        <w:t>．</w:t>
      </w:r>
      <w:r>
        <w:rPr>
          <w:b/>
          <w:spacing w:val="-149"/>
          <w:sz w:val="21"/>
        </w:rPr>
        <w:t>嚼</w:t>
      </w:r>
      <w:r>
        <w:rPr>
          <w:spacing w:val="-63"/>
          <w:position w:val="-7"/>
          <w:sz w:val="21"/>
        </w:rPr>
        <w:t>．</w:t>
      </w:r>
      <w:r>
        <w:rPr>
          <w:b/>
          <w:spacing w:val="-149"/>
          <w:sz w:val="21"/>
        </w:rPr>
        <w:t>吞</w:t>
      </w:r>
      <w:r>
        <w:rPr>
          <w:spacing w:val="-63"/>
          <w:position w:val="-7"/>
          <w:sz w:val="21"/>
        </w:rPr>
        <w:t>．</w:t>
      </w:r>
      <w:r>
        <w:rPr>
          <w:b/>
          <w:spacing w:val="-149"/>
          <w:sz w:val="21"/>
        </w:rPr>
        <w:t>咽</w:t>
      </w:r>
      <w:r>
        <w:rPr>
          <w:spacing w:val="-63"/>
          <w:position w:val="-7"/>
          <w:sz w:val="21"/>
        </w:rPr>
        <w:t>．</w:t>
      </w:r>
      <w:r>
        <w:rPr>
          <w:b/>
          <w:spacing w:val="-149"/>
          <w:sz w:val="21"/>
        </w:rPr>
        <w:t>功</w:t>
      </w:r>
      <w:r>
        <w:rPr>
          <w:spacing w:val="-63"/>
          <w:position w:val="-7"/>
          <w:sz w:val="21"/>
        </w:rPr>
        <w:t>．</w:t>
      </w:r>
      <w:r>
        <w:rPr>
          <w:b/>
          <w:spacing w:val="-149"/>
          <w:sz w:val="21"/>
        </w:rPr>
        <w:t>能</w:t>
      </w:r>
      <w:r>
        <w:rPr>
          <w:spacing w:val="-63"/>
          <w:position w:val="-7"/>
          <w:sz w:val="21"/>
        </w:rPr>
        <w:t>．</w:t>
      </w:r>
      <w:r>
        <w:rPr>
          <w:b/>
          <w:spacing w:val="-151"/>
          <w:sz w:val="21"/>
        </w:rPr>
        <w:t>障</w:t>
      </w:r>
      <w:r>
        <w:rPr>
          <w:spacing w:val="-63"/>
          <w:position w:val="-7"/>
          <w:sz w:val="21"/>
        </w:rPr>
        <w:t>．</w:t>
      </w:r>
      <w:r>
        <w:rPr>
          <w:b/>
          <w:spacing w:val="-149"/>
          <w:sz w:val="21"/>
        </w:rPr>
        <w:t>碍</w:t>
      </w:r>
      <w:r>
        <w:rPr>
          <w:spacing w:val="-12"/>
          <w:position w:val="-7"/>
          <w:sz w:val="21"/>
        </w:rPr>
        <w:t>．</w:t>
      </w:r>
      <w:r>
        <w:rPr>
          <w:spacing w:val="-12"/>
          <w:sz w:val="21"/>
        </w:rPr>
        <w:t>（</w:t>
      </w:r>
      <w:r>
        <w:rPr>
          <w:spacing w:val="-26"/>
          <w:sz w:val="21"/>
        </w:rPr>
        <w:t>见注 </w:t>
      </w:r>
      <w:r>
        <w:rPr>
          <w:spacing w:val="21"/>
          <w:sz w:val="21"/>
        </w:rPr>
        <w:t>7</w:t>
      </w:r>
      <w:r>
        <w:rPr>
          <w:spacing w:val="-82"/>
          <w:sz w:val="21"/>
        </w:rPr>
        <w:t>）</w:t>
      </w:r>
      <w:r>
        <w:rPr>
          <w:spacing w:val="24"/>
          <w:sz w:val="21"/>
        </w:rPr>
        <w:t>；</w:t>
      </w:r>
    </w:p>
    <w:p>
      <w:pPr>
        <w:pStyle w:val="BodyText"/>
        <w:spacing w:line="268" w:lineRule="auto" w:before="33"/>
        <w:ind w:left="171" w:right="368"/>
      </w:pPr>
      <w:r>
        <w:rPr>
          <w:rFonts w:ascii="黑体" w:hAnsi="黑体" w:eastAsia="黑体"/>
          <w:spacing w:val="-11"/>
        </w:rPr>
        <w:t>Ⅲ </w:t>
      </w:r>
      <w:r>
        <w:rPr>
          <w:spacing w:val="-2"/>
        </w:rPr>
        <w:t>自主生活能力完全丧失，无法独立完成</w:t>
      </w:r>
      <w:r>
        <w:rPr>
          <w:b/>
          <w:spacing w:val="-149"/>
        </w:rPr>
        <w:t>六</w:t>
      </w:r>
      <w:r>
        <w:rPr>
          <w:spacing w:val="-63"/>
          <w:position w:val="-7"/>
        </w:rPr>
        <w:t>．</w:t>
      </w:r>
      <w:r>
        <w:rPr>
          <w:b/>
          <w:spacing w:val="-149"/>
        </w:rPr>
        <w:t>项</w:t>
      </w:r>
      <w:r>
        <w:rPr>
          <w:spacing w:val="-63"/>
          <w:position w:val="-7"/>
        </w:rPr>
        <w:t>．</w:t>
      </w:r>
      <w:r>
        <w:rPr>
          <w:b/>
          <w:spacing w:val="-149"/>
        </w:rPr>
        <w:t>基</w:t>
      </w:r>
      <w:r>
        <w:rPr>
          <w:spacing w:val="-63"/>
          <w:position w:val="-7"/>
        </w:rPr>
        <w:t>．</w:t>
      </w:r>
      <w:r>
        <w:rPr>
          <w:b/>
          <w:spacing w:val="-152"/>
        </w:rPr>
        <w:t>本</w:t>
      </w:r>
      <w:r>
        <w:rPr>
          <w:spacing w:val="-63"/>
          <w:position w:val="-7"/>
        </w:rPr>
        <w:t>．</w:t>
      </w:r>
      <w:r>
        <w:rPr>
          <w:b/>
          <w:spacing w:val="-149"/>
        </w:rPr>
        <w:t>日</w:t>
      </w:r>
      <w:r>
        <w:rPr>
          <w:spacing w:val="-63"/>
          <w:position w:val="-7"/>
        </w:rPr>
        <w:t>．</w:t>
      </w:r>
      <w:r>
        <w:rPr>
          <w:b/>
          <w:spacing w:val="-149"/>
        </w:rPr>
        <w:t>常</w:t>
      </w:r>
      <w:r>
        <w:rPr>
          <w:spacing w:val="-63"/>
          <w:position w:val="-7"/>
        </w:rPr>
        <w:t>．</w:t>
      </w:r>
      <w:r>
        <w:rPr>
          <w:b/>
          <w:spacing w:val="-149"/>
        </w:rPr>
        <w:t>生</w:t>
      </w:r>
      <w:r>
        <w:rPr>
          <w:spacing w:val="-63"/>
          <w:position w:val="-7"/>
        </w:rPr>
        <w:t>．</w:t>
      </w:r>
      <w:r>
        <w:rPr>
          <w:b/>
          <w:spacing w:val="-149"/>
        </w:rPr>
        <w:t>活</w:t>
      </w:r>
      <w:r>
        <w:rPr>
          <w:spacing w:val="-63"/>
          <w:position w:val="-7"/>
        </w:rPr>
        <w:t>．</w:t>
      </w:r>
      <w:r>
        <w:rPr>
          <w:b/>
          <w:spacing w:val="-149"/>
        </w:rPr>
        <w:t>活</w:t>
      </w:r>
      <w:r>
        <w:rPr>
          <w:spacing w:val="-63"/>
          <w:position w:val="-7"/>
        </w:rPr>
        <w:t>．</w:t>
      </w:r>
      <w:r>
        <w:rPr>
          <w:b/>
          <w:spacing w:val="-149"/>
        </w:rPr>
        <w:t>动</w:t>
      </w:r>
      <w:r>
        <w:rPr>
          <w:spacing w:val="-2"/>
          <w:position w:val="-7"/>
        </w:rPr>
        <w:t>．</w:t>
      </w:r>
      <w:r>
        <w:rPr>
          <w:spacing w:val="-2"/>
        </w:rPr>
        <w:t>（</w:t>
      </w:r>
      <w:r>
        <w:rPr>
          <w:spacing w:val="-19"/>
        </w:rPr>
        <w:t>见注 </w:t>
      </w:r>
      <w:r>
        <w:rPr>
          <w:spacing w:val="-2"/>
        </w:rPr>
        <w:t>8）中的</w:t>
      </w:r>
      <w:r>
        <w:rPr>
          <w:spacing w:val="-2"/>
        </w:rPr>
        <w:t>三项或三项以上。</w:t>
      </w:r>
    </w:p>
    <w:p>
      <w:pPr>
        <w:pStyle w:val="BodyText"/>
        <w:spacing w:line="278" w:lineRule="auto" w:before="11"/>
        <w:ind w:left="171" w:right="1738"/>
      </w:pPr>
      <w:r>
        <w:rPr>
          <w:spacing w:val="-26"/>
        </w:rPr>
        <w:t>注 </w:t>
      </w:r>
      <w:r>
        <w:rPr/>
        <w:t>5：肢体是指包括肩关节的整个上肢或包括髋关节的整个下肢。</w:t>
      </w:r>
      <w:r>
        <w:rPr>
          <w:spacing w:val="-7"/>
        </w:rPr>
        <w:t>注 </w:t>
      </w:r>
      <w:r>
        <w:rPr/>
        <w:t>6</w:t>
      </w:r>
      <w:r>
        <w:rPr>
          <w:spacing w:val="-1"/>
        </w:rPr>
        <w:t>：指肌肉收缩时的力量。肌力划分为 </w:t>
      </w:r>
      <w:r>
        <w:rPr/>
        <w:t>0-5</w:t>
      </w:r>
      <w:r>
        <w:rPr>
          <w:spacing w:val="-4"/>
        </w:rPr>
        <w:t> 级，具体为：</w:t>
      </w:r>
    </w:p>
    <w:p>
      <w:pPr>
        <w:pStyle w:val="ListParagraph"/>
        <w:numPr>
          <w:ilvl w:val="3"/>
          <w:numId w:val="14"/>
        </w:numPr>
        <w:tabs>
          <w:tab w:pos="979" w:val="left" w:leader="none"/>
        </w:tabs>
        <w:spacing w:line="240" w:lineRule="auto" w:before="0" w:after="0"/>
        <w:ind w:left="978" w:right="0" w:hanging="160"/>
        <w:jc w:val="left"/>
        <w:rPr>
          <w:sz w:val="21"/>
        </w:rPr>
      </w:pPr>
      <w:r>
        <w:rPr>
          <w:spacing w:val="-3"/>
          <w:sz w:val="21"/>
        </w:rPr>
        <w:t>级：肌肉完全瘫痪，毫无收缩。</w:t>
      </w:r>
    </w:p>
    <w:p>
      <w:pPr>
        <w:pStyle w:val="ListParagraph"/>
        <w:numPr>
          <w:ilvl w:val="3"/>
          <w:numId w:val="14"/>
        </w:numPr>
        <w:tabs>
          <w:tab w:pos="979" w:val="left" w:leader="none"/>
        </w:tabs>
        <w:spacing w:line="240" w:lineRule="auto" w:before="43" w:after="0"/>
        <w:ind w:left="978" w:right="0" w:hanging="160"/>
        <w:jc w:val="left"/>
        <w:rPr>
          <w:sz w:val="21"/>
        </w:rPr>
      </w:pPr>
      <w:r>
        <w:rPr>
          <w:spacing w:val="-3"/>
          <w:sz w:val="21"/>
        </w:rPr>
        <w:t>级：可看到或者触及肌肉轻微收缩，但不能产生动作。</w:t>
      </w:r>
    </w:p>
    <w:p>
      <w:pPr>
        <w:pStyle w:val="ListParagraph"/>
        <w:numPr>
          <w:ilvl w:val="3"/>
          <w:numId w:val="14"/>
        </w:numPr>
        <w:tabs>
          <w:tab w:pos="979" w:val="left" w:leader="none"/>
        </w:tabs>
        <w:spacing w:line="278" w:lineRule="auto" w:before="43" w:after="0"/>
        <w:ind w:left="819" w:right="322" w:firstLine="0"/>
        <w:jc w:val="left"/>
        <w:rPr>
          <w:sz w:val="21"/>
        </w:rPr>
      </w:pPr>
      <w:r>
        <w:rPr>
          <w:spacing w:val="-4"/>
          <w:sz w:val="21"/>
        </w:rPr>
        <w:t>级：肌肉在不受重力影响下，可进行运动，即肢体能在床面上移动，但不</w:t>
      </w:r>
      <w:r>
        <w:rPr>
          <w:spacing w:val="-4"/>
          <w:sz w:val="21"/>
        </w:rPr>
        <w:t>能抬高。</w:t>
      </w:r>
    </w:p>
    <w:p>
      <w:pPr>
        <w:pStyle w:val="ListParagraph"/>
        <w:numPr>
          <w:ilvl w:val="3"/>
          <w:numId w:val="14"/>
        </w:numPr>
        <w:tabs>
          <w:tab w:pos="979" w:val="left" w:leader="none"/>
        </w:tabs>
        <w:spacing w:line="269" w:lineRule="exact" w:before="0" w:after="0"/>
        <w:ind w:left="978" w:right="0" w:hanging="160"/>
        <w:jc w:val="left"/>
        <w:rPr>
          <w:sz w:val="21"/>
        </w:rPr>
      </w:pPr>
      <w:r>
        <w:rPr>
          <w:spacing w:val="-3"/>
          <w:sz w:val="21"/>
        </w:rPr>
        <w:t>级：在和地心引力相反的方向中尚能完成其动作，但不能对抗外加阻力。</w:t>
      </w:r>
    </w:p>
    <w:p>
      <w:pPr>
        <w:pStyle w:val="ListParagraph"/>
        <w:numPr>
          <w:ilvl w:val="3"/>
          <w:numId w:val="14"/>
        </w:numPr>
        <w:tabs>
          <w:tab w:pos="979" w:val="left" w:leader="none"/>
        </w:tabs>
        <w:spacing w:line="240" w:lineRule="auto" w:before="43" w:after="0"/>
        <w:ind w:left="978" w:right="0" w:hanging="160"/>
        <w:jc w:val="left"/>
        <w:rPr>
          <w:sz w:val="21"/>
        </w:rPr>
      </w:pPr>
      <w:r>
        <w:rPr>
          <w:spacing w:val="-3"/>
          <w:sz w:val="21"/>
        </w:rPr>
        <w:t>级：能对抗一定的阻力，但较正常人为低。</w:t>
      </w:r>
    </w:p>
    <w:p>
      <w:pPr>
        <w:pStyle w:val="ListParagraph"/>
        <w:numPr>
          <w:ilvl w:val="3"/>
          <w:numId w:val="14"/>
        </w:numPr>
        <w:tabs>
          <w:tab w:pos="979" w:val="left" w:leader="none"/>
        </w:tabs>
        <w:spacing w:line="240" w:lineRule="auto" w:before="43" w:after="0"/>
        <w:ind w:left="978" w:right="0" w:hanging="160"/>
        <w:jc w:val="left"/>
        <w:rPr>
          <w:sz w:val="21"/>
        </w:rPr>
      </w:pPr>
      <w:r>
        <w:rPr>
          <w:spacing w:val="-4"/>
          <w:sz w:val="21"/>
        </w:rPr>
        <w:t>级：正常肌力。</w:t>
      </w:r>
    </w:p>
    <w:p>
      <w:pPr>
        <w:pStyle w:val="BodyText"/>
        <w:spacing w:line="278" w:lineRule="auto" w:before="43"/>
        <w:ind w:left="171" w:right="217"/>
      </w:pPr>
      <w:r>
        <w:rPr>
          <w:spacing w:val="-20"/>
        </w:rPr>
        <w:t>注 </w:t>
      </w:r>
      <w:r>
        <w:rPr/>
        <w:t>7：语言能力完全丧失，指无法发出四种语音（包括口唇音、齿舌音、口盖音和</w:t>
      </w:r>
      <w:r>
        <w:rPr>
          <w:spacing w:val="-2"/>
        </w:rPr>
        <w:t>喉头音）中的任何三种、或声带全部切除，或因大脑语言中枢受伤害而患失语症。</w:t>
      </w:r>
      <w:r>
        <w:rPr>
          <w:spacing w:val="-9"/>
        </w:rPr>
        <w:t>严重咀嚼吞咽功能障碍，指因牙齿以外的原因导致器质障碍或机能障碍，以致不能</w:t>
      </w:r>
      <w:r>
        <w:rPr>
          <w:spacing w:val="-2"/>
        </w:rPr>
        <w:t>作咀嚼吞咽运动，除流质食物外不能摄取或吞咽的状态。</w:t>
      </w:r>
    </w:p>
    <w:p>
      <w:pPr>
        <w:pStyle w:val="BodyText"/>
        <w:spacing w:line="278" w:lineRule="auto"/>
        <w:ind w:left="171" w:right="322"/>
        <w:jc w:val="both"/>
        <w:rPr>
          <w:rFonts w:ascii="黑体" w:hAnsi="黑体" w:eastAsia="黑体" w:hint="eastAsia"/>
          <w:b/>
        </w:rPr>
      </w:pPr>
      <w:r>
        <w:rPr>
          <w:spacing w:val="-4"/>
        </w:rPr>
        <w:t>注 8：六项基本日常生活活动是指：①穿衣：自己能够穿衣及脱衣；②移动：自己</w:t>
      </w:r>
      <w:r>
        <w:rPr>
          <w:spacing w:val="-4"/>
        </w:rPr>
        <w:t>从一个房间到另一个房间；③行动：自己上下床或上下轮椅；④如厕：自己控制进</w:t>
      </w:r>
      <w:r>
        <w:rPr>
          <w:spacing w:val="-4"/>
        </w:rPr>
        <w:t>行大小便；⑤进食：自己从已准备好的碗或碟中取食物放入口中；⑥洗澡：自己进</w:t>
      </w:r>
      <w:r>
        <w:rPr/>
        <w:t>行淋浴或盆浴。</w:t>
      </w:r>
      <w:r>
        <w:rPr>
          <w:rFonts w:ascii="黑体" w:hAnsi="黑体" w:eastAsia="黑体" w:hint="eastAsia"/>
          <w:b/>
        </w:rPr>
        <w:t>六项基本日常生活活动能力的鉴定不适用于 0-3 周岁幼儿。</w:t>
      </w:r>
    </w:p>
    <w:p>
      <w:pPr>
        <w:spacing w:after="0" w:line="278" w:lineRule="auto"/>
        <w:jc w:val="both"/>
        <w:rPr>
          <w:rFonts w:ascii="黑体" w:hAnsi="黑体" w:eastAsia="黑体" w:hint="eastAsia"/>
        </w:rPr>
        <w:sectPr>
          <w:type w:val="continuous"/>
          <w:pgSz w:w="11910" w:h="16840"/>
          <w:pgMar w:header="0" w:footer="655" w:top="140" w:bottom="280" w:left="560" w:right="480"/>
          <w:cols w:num="2" w:equalWidth="0">
            <w:col w:w="2871" w:space="40"/>
            <w:col w:w="7959"/>
          </w:cols>
        </w:sectPr>
      </w:pPr>
    </w:p>
    <w:p>
      <w:pPr>
        <w:pStyle w:val="BodyText"/>
        <w:spacing w:before="2"/>
        <w:rPr>
          <w:rFonts w:ascii="黑体"/>
          <w:b/>
          <w:sz w:val="18"/>
        </w:rPr>
      </w:pPr>
    </w:p>
    <w:p>
      <w:pPr>
        <w:spacing w:after="0"/>
        <w:rPr>
          <w:rFonts w:ascii="黑体"/>
          <w:sz w:val="18"/>
        </w:rPr>
        <w:sectPr>
          <w:type w:val="continuous"/>
          <w:pgSz w:w="11910" w:h="16840"/>
          <w:pgMar w:header="0" w:footer="655" w:top="140" w:bottom="280" w:left="560" w:right="480"/>
        </w:sectPr>
      </w:pPr>
    </w:p>
    <w:p>
      <w:pPr>
        <w:spacing w:before="56"/>
        <w:ind w:left="1132" w:right="0" w:firstLine="0"/>
        <w:jc w:val="both"/>
        <w:rPr>
          <w:rFonts w:ascii="华文新魏" w:eastAsia="华文新魏" w:hint="eastAsia"/>
          <w:b/>
          <w:sz w:val="21"/>
        </w:rPr>
      </w:pPr>
      <w:r>
        <w:rPr>
          <w:rFonts w:ascii="华文新魏" w:eastAsia="华文新魏" w:hint="eastAsia"/>
          <w:b/>
          <w:spacing w:val="-2"/>
          <w:sz w:val="21"/>
        </w:rPr>
        <w:t>4</w:t>
      </w:r>
      <w:r>
        <w:rPr>
          <w:rFonts w:ascii="华文新魏" w:eastAsia="华文新魏" w:hint="eastAsia"/>
          <w:b/>
          <w:spacing w:val="-13"/>
          <w:sz w:val="21"/>
        </w:rPr>
        <w:t>、重大器官移植术</w:t>
      </w:r>
      <w:r>
        <w:rPr>
          <w:rFonts w:ascii="华文新魏" w:eastAsia="华文新魏" w:hint="eastAsia"/>
          <w:b/>
          <w:spacing w:val="-2"/>
          <w:sz w:val="21"/>
        </w:rPr>
        <w:t>或造血干细胞移植</w:t>
      </w:r>
      <w:r>
        <w:rPr>
          <w:rFonts w:ascii="华文新魏" w:eastAsia="华文新魏" w:hint="eastAsia"/>
          <w:b/>
          <w:spacing w:val="-6"/>
          <w:sz w:val="21"/>
        </w:rPr>
        <w:t>术*</w:t>
      </w:r>
    </w:p>
    <w:p>
      <w:pPr>
        <w:pStyle w:val="BodyText"/>
        <w:spacing w:line="278" w:lineRule="auto" w:before="79"/>
        <w:ind w:left="170" w:right="323"/>
      </w:pPr>
      <w:r>
        <w:rPr/>
        <w:br w:type="column"/>
      </w:r>
      <w:r>
        <w:rPr>
          <w:spacing w:val="-4"/>
        </w:rPr>
        <w:t>重大器官移植术，指因相应器官功能衰竭，已经实施了肾脏、肝脏、心脏、肺脏或</w:t>
      </w:r>
      <w:r>
        <w:rPr>
          <w:spacing w:val="-2"/>
        </w:rPr>
        <w:t>小肠的异体移植手术。</w:t>
      </w:r>
    </w:p>
    <w:p>
      <w:pPr>
        <w:pStyle w:val="BodyText"/>
        <w:spacing w:line="278" w:lineRule="auto"/>
        <w:ind w:left="170" w:right="322"/>
      </w:pPr>
      <w:r>
        <w:rPr>
          <w:spacing w:val="-10"/>
        </w:rPr>
        <w:t>造血干细胞移植术，指因造血功能损害或造血系统恶性肿瘤，已经实施了造血干细</w:t>
      </w:r>
      <w:r>
        <w:rPr>
          <w:spacing w:val="-2"/>
        </w:rPr>
        <w:t>胞（包括骨髓造血干细胞、外周血造血干细胞和脐血造血干细胞）的移植手术。</w:t>
      </w:r>
    </w:p>
    <w:p>
      <w:pPr>
        <w:spacing w:after="0" w:line="278" w:lineRule="auto"/>
        <w:sectPr>
          <w:type w:val="continuous"/>
          <w:pgSz w:w="11910" w:h="16840"/>
          <w:pgMar w:header="0" w:footer="655" w:top="140" w:bottom="280" w:left="560" w:right="480"/>
          <w:cols w:num="2" w:equalWidth="0">
            <w:col w:w="2871" w:space="40"/>
            <w:col w:w="7959"/>
          </w:cols>
        </w:sectPr>
      </w:pPr>
    </w:p>
    <w:p>
      <w:pPr>
        <w:pStyle w:val="BodyText"/>
        <w:spacing w:before="2"/>
        <w:rPr>
          <w:sz w:val="18"/>
        </w:rPr>
      </w:pPr>
    </w:p>
    <w:p>
      <w:pPr>
        <w:spacing w:after="0"/>
        <w:rPr>
          <w:sz w:val="18"/>
        </w:rPr>
        <w:sectPr>
          <w:type w:val="continuous"/>
          <w:pgSz w:w="11910" w:h="16840"/>
          <w:pgMar w:header="0" w:footer="655" w:top="140" w:bottom="280" w:left="560" w:right="480"/>
        </w:sectPr>
      </w:pPr>
    </w:p>
    <w:p>
      <w:pPr>
        <w:spacing w:line="312" w:lineRule="exact" w:before="56"/>
        <w:ind w:left="1132" w:right="0" w:firstLine="0"/>
        <w:jc w:val="left"/>
        <w:rPr>
          <w:rFonts w:ascii="华文新魏" w:eastAsia="华文新魏" w:hint="eastAsia"/>
          <w:b/>
          <w:sz w:val="21"/>
        </w:rPr>
      </w:pPr>
      <w:r>
        <w:rPr>
          <w:rFonts w:ascii="华文新魏" w:eastAsia="华文新魏" w:hint="eastAsia"/>
          <w:b/>
          <w:spacing w:val="-2"/>
          <w:sz w:val="21"/>
        </w:rPr>
        <w:t>5</w:t>
      </w:r>
      <w:r>
        <w:rPr>
          <w:rFonts w:ascii="华文新魏" w:eastAsia="华文新魏" w:hint="eastAsia"/>
          <w:b/>
          <w:spacing w:val="-14"/>
          <w:sz w:val="21"/>
        </w:rPr>
        <w:t>、冠状动脉搭桥术</w:t>
      </w:r>
    </w:p>
    <w:p>
      <w:pPr>
        <w:spacing w:before="0"/>
        <w:ind w:left="1132" w:right="50" w:firstLine="0"/>
        <w:jc w:val="left"/>
        <w:rPr>
          <w:rFonts w:ascii="华文新魏" w:eastAsia="华文新魏" w:hint="eastAsia"/>
          <w:b/>
          <w:sz w:val="21"/>
        </w:rPr>
      </w:pPr>
      <w:r>
        <w:rPr>
          <w:rFonts w:ascii="华文新魏" w:eastAsia="华文新魏" w:hint="eastAsia"/>
          <w:b/>
          <w:spacing w:val="-2"/>
          <w:sz w:val="21"/>
        </w:rPr>
        <w:t>（或称冠状动脉旁</w:t>
      </w:r>
      <w:r>
        <w:rPr>
          <w:rFonts w:ascii="华文新魏" w:eastAsia="华文新魏" w:hint="eastAsia"/>
          <w:b/>
          <w:spacing w:val="-2"/>
          <w:sz w:val="21"/>
        </w:rPr>
        <w:t>路移植术）*</w:t>
      </w:r>
    </w:p>
    <w:p>
      <w:pPr>
        <w:pStyle w:val="BodyText"/>
        <w:spacing w:line="278" w:lineRule="auto" w:before="79"/>
        <w:ind w:left="170" w:right="426"/>
      </w:pPr>
      <w:r>
        <w:rPr/>
        <w:br w:type="column"/>
      </w:r>
      <w:r>
        <w:rPr>
          <w:spacing w:val="-2"/>
        </w:rPr>
        <w:t>指为治疗严重的冠心病，已经实施了切开心包进行的冠状动脉血管旁路移植的手</w:t>
      </w:r>
      <w:r>
        <w:rPr>
          <w:spacing w:val="-6"/>
        </w:rPr>
        <w:t>术。</w:t>
      </w:r>
    </w:p>
    <w:p>
      <w:pPr>
        <w:spacing w:line="269" w:lineRule="exact" w:before="0"/>
        <w:ind w:left="170" w:right="0" w:firstLine="0"/>
        <w:jc w:val="left"/>
        <w:rPr>
          <w:rFonts w:ascii="黑体" w:eastAsia="黑体" w:hint="eastAsia"/>
          <w:b/>
          <w:sz w:val="21"/>
        </w:rPr>
      </w:pPr>
      <w:r>
        <w:rPr>
          <w:rFonts w:ascii="黑体" w:eastAsia="黑体" w:hint="eastAsia"/>
          <w:b/>
          <w:spacing w:val="-3"/>
          <w:sz w:val="21"/>
        </w:rPr>
        <w:t>所有未切开心包的冠状动脉介入治疗不在保障范围内。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12"/>
        <w:rPr>
          <w:rFonts w:ascii="黑体"/>
          <w:b/>
          <w:sz w:val="19"/>
        </w:rPr>
      </w:pPr>
    </w:p>
    <w:p>
      <w:pPr>
        <w:spacing w:after="0"/>
        <w:rPr>
          <w:rFonts w:ascii="黑体"/>
          <w:sz w:val="19"/>
        </w:rPr>
        <w:sectPr>
          <w:type w:val="continuous"/>
          <w:pgSz w:w="11910" w:h="16840"/>
          <w:pgMar w:header="0" w:footer="655" w:top="140" w:bottom="280" w:left="560" w:right="480"/>
        </w:sectPr>
      </w:pPr>
    </w:p>
    <w:p>
      <w:pPr>
        <w:spacing w:line="312" w:lineRule="exact" w:before="55"/>
        <w:ind w:left="1132" w:right="0" w:firstLine="0"/>
        <w:jc w:val="left"/>
        <w:rPr>
          <w:rFonts w:ascii="华文新魏" w:eastAsia="华文新魏" w:hint="eastAsia"/>
          <w:b/>
          <w:sz w:val="21"/>
        </w:rPr>
      </w:pPr>
      <w:r>
        <w:rPr>
          <w:rFonts w:ascii="华文新魏" w:eastAsia="华文新魏" w:hint="eastAsia"/>
          <w:b/>
          <w:spacing w:val="-2"/>
          <w:sz w:val="21"/>
        </w:rPr>
        <w:t>6</w:t>
      </w:r>
      <w:r>
        <w:rPr>
          <w:rFonts w:ascii="华文新魏" w:eastAsia="华文新魏" w:hint="eastAsia"/>
          <w:b/>
          <w:spacing w:val="-14"/>
          <w:sz w:val="21"/>
        </w:rPr>
        <w:t>、严重慢性肾衰竭</w:t>
      </w:r>
    </w:p>
    <w:p>
      <w:pPr>
        <w:spacing w:line="312" w:lineRule="exact" w:before="0"/>
        <w:ind w:left="1132" w:right="0" w:firstLine="0"/>
        <w:jc w:val="left"/>
        <w:rPr>
          <w:rFonts w:ascii="华文新魏"/>
          <w:b/>
          <w:sz w:val="21"/>
        </w:rPr>
      </w:pPr>
      <w:r>
        <w:rPr>
          <w:rFonts w:ascii="华文新魏"/>
          <w:b/>
          <w:w w:val="100"/>
          <w:sz w:val="21"/>
        </w:rPr>
        <w:t>*</w:t>
      </w:r>
    </w:p>
    <w:p>
      <w:pPr>
        <w:pStyle w:val="BodyText"/>
        <w:spacing w:line="278" w:lineRule="auto" w:before="78"/>
        <w:ind w:left="170" w:right="216"/>
      </w:pPr>
      <w:r>
        <w:rPr/>
        <w:br w:type="column"/>
      </w:r>
      <w:r>
        <w:rPr>
          <w:spacing w:val="-2"/>
        </w:rPr>
        <w:t>指双肾功能慢性不可逆性衰竭，依据肾脏病预后质量倡议（K/DOQI）制定的指南，</w:t>
      </w:r>
      <w:r>
        <w:rPr>
          <w:spacing w:val="-4"/>
        </w:rPr>
        <w:t>分期达到慢性肾脏病 </w:t>
      </w:r>
      <w:r>
        <w:rPr/>
        <w:t>5</w:t>
      </w:r>
      <w:r>
        <w:rPr>
          <w:spacing w:val="-8"/>
        </w:rPr>
        <w:t> 期，且经诊断后已经进行了至少 </w:t>
      </w:r>
      <w:r>
        <w:rPr/>
        <w:t>90</w:t>
      </w:r>
      <w:r>
        <w:rPr>
          <w:spacing w:val="-6"/>
        </w:rPr>
        <w:t> 天的规律性透析治疗。</w:t>
      </w:r>
      <w:r>
        <w:rPr>
          <w:spacing w:val="-2"/>
        </w:rPr>
        <w:t>规律性透析是指每周进行血液透析或每天进行腹膜透析。</w:t>
      </w:r>
    </w:p>
    <w:p>
      <w:pPr>
        <w:spacing w:after="0" w:line="278" w:lineRule="auto"/>
        <w:sectPr>
          <w:type w:val="continuous"/>
          <w:pgSz w:w="11910" w:h="16840"/>
          <w:pgMar w:header="0" w:footer="655" w:top="140" w:bottom="280" w:left="560" w:right="480"/>
          <w:cols w:num="2" w:equalWidth="0">
            <w:col w:w="2871" w:space="40"/>
            <w:col w:w="7959"/>
          </w:cols>
        </w:sectPr>
      </w:pPr>
    </w:p>
    <w:p>
      <w:pPr>
        <w:pStyle w:val="BodyText"/>
        <w:spacing w:before="3"/>
        <w:rPr>
          <w:sz w:val="18"/>
        </w:rPr>
      </w:pPr>
    </w:p>
    <w:p>
      <w:pPr>
        <w:pStyle w:val="BodyText"/>
        <w:tabs>
          <w:tab w:pos="3081" w:val="left" w:leader="none"/>
        </w:tabs>
        <w:spacing w:line="256" w:lineRule="auto" w:before="55"/>
        <w:ind w:left="3081" w:right="426" w:hanging="1949"/>
      </w:pPr>
      <w:r>
        <w:rPr>
          <w:rFonts w:ascii="华文新魏" w:eastAsia="华文新魏" w:hint="eastAsia"/>
          <w:b/>
          <w:spacing w:val="-2"/>
          <w:position w:val="2"/>
        </w:rPr>
        <w:t>7</w:t>
      </w:r>
      <w:r>
        <w:rPr>
          <w:rFonts w:ascii="华文新魏" w:eastAsia="华文新魏" w:hint="eastAsia"/>
          <w:b/>
          <w:spacing w:val="-2"/>
          <w:position w:val="2"/>
        </w:rPr>
        <w:t>、</w:t>
      </w:r>
      <w:r>
        <w:rPr>
          <w:rFonts w:ascii="华文新魏" w:eastAsia="华文新魏" w:hint="eastAsia"/>
          <w:b/>
          <w:spacing w:val="-2"/>
          <w:position w:val="2"/>
        </w:rPr>
        <w:t>多</w:t>
      </w:r>
      <w:r>
        <w:rPr>
          <w:rFonts w:ascii="华文新魏" w:eastAsia="华文新魏" w:hint="eastAsia"/>
          <w:b/>
          <w:spacing w:val="-2"/>
          <w:position w:val="2"/>
        </w:rPr>
        <w:t>个肢体缺失*</w:t>
      </w:r>
      <w:r>
        <w:rPr>
          <w:rFonts w:ascii="华文新魏" w:eastAsia="华文新魏" w:hint="eastAsia"/>
          <w:b/>
          <w:position w:val="2"/>
        </w:rPr>
        <w:tab/>
      </w:r>
      <w:r>
        <w:rPr>
          <w:spacing w:val="-2"/>
        </w:rPr>
        <w:t>指</w:t>
      </w:r>
      <w:r>
        <w:rPr>
          <w:spacing w:val="-2"/>
        </w:rPr>
        <w:t>因</w:t>
      </w:r>
      <w:r>
        <w:rPr>
          <w:spacing w:val="-2"/>
        </w:rPr>
        <w:t>疾病或意外伤害导致</w:t>
      </w:r>
      <w:r>
        <w:rPr>
          <w:spacing w:val="-2"/>
        </w:rPr>
        <w:t>两</w:t>
      </w:r>
      <w:r>
        <w:rPr>
          <w:spacing w:val="-2"/>
        </w:rPr>
        <w:t>个</w:t>
      </w:r>
      <w:r>
        <w:rPr>
          <w:spacing w:val="-2"/>
        </w:rPr>
        <w:t>或两个以上肢体自腕</w:t>
      </w:r>
      <w:r>
        <w:rPr>
          <w:spacing w:val="-2"/>
        </w:rPr>
        <w:t>关</w:t>
      </w:r>
      <w:r>
        <w:rPr>
          <w:spacing w:val="-2"/>
        </w:rPr>
        <w:t>节</w:t>
      </w:r>
      <w:r>
        <w:rPr>
          <w:spacing w:val="-2"/>
        </w:rPr>
        <w:t>或踝关节近端（靠近</w:t>
      </w:r>
      <w:r>
        <w:rPr>
          <w:spacing w:val="-2"/>
        </w:rPr>
        <w:t>躯</w:t>
      </w:r>
      <w:r>
        <w:rPr>
          <w:spacing w:val="-2"/>
        </w:rPr>
        <w:t>干</w:t>
      </w:r>
      <w:r>
        <w:rPr>
          <w:spacing w:val="-2"/>
        </w:rPr>
        <w:t>端</w:t>
      </w:r>
      <w:r>
        <w:rPr>
          <w:spacing w:val="-2"/>
        </w:rPr>
        <w:t>）以上完全性断离。</w:t>
      </w:r>
    </w:p>
    <w:p>
      <w:pPr>
        <w:spacing w:after="0" w:line="256" w:lineRule="auto"/>
        <w:sectPr>
          <w:type w:val="continuous"/>
          <w:pgSz w:w="11910" w:h="16840"/>
          <w:pgMar w:header="0" w:footer="655" w:top="140" w:bottom="280" w:left="560" w:right="480"/>
        </w:sectPr>
      </w:pPr>
    </w:p>
    <w:p>
      <w:pPr>
        <w:spacing w:before="35"/>
        <w:ind w:left="1132" w:right="0" w:firstLine="0"/>
        <w:jc w:val="left"/>
        <w:rPr>
          <w:rFonts w:ascii="华文新魏" w:eastAsia="华文新魏" w:hint="eastAsia"/>
          <w:b/>
          <w:sz w:val="21"/>
        </w:rPr>
      </w:pPr>
      <w:r>
        <w:rPr>
          <w:rFonts w:ascii="华文新魏" w:eastAsia="华文新魏" w:hint="eastAsia"/>
          <w:b/>
          <w:spacing w:val="-2"/>
          <w:sz w:val="21"/>
        </w:rPr>
        <w:t>8</w:t>
      </w:r>
      <w:r>
        <w:rPr>
          <w:rFonts w:ascii="华文新魏" w:eastAsia="华文新魏" w:hint="eastAsia"/>
          <w:b/>
          <w:spacing w:val="-13"/>
          <w:sz w:val="21"/>
        </w:rPr>
        <w:t>、急性重症肝炎或</w:t>
      </w:r>
      <w:r>
        <w:rPr>
          <w:rFonts w:ascii="华文新魏" w:eastAsia="华文新魏" w:hint="eastAsia"/>
          <w:b/>
          <w:spacing w:val="-2"/>
          <w:sz w:val="21"/>
        </w:rPr>
        <w:t>亚急性重症肝炎*</w:t>
      </w:r>
    </w:p>
    <w:p>
      <w:pPr>
        <w:pStyle w:val="BodyText"/>
        <w:spacing w:line="278" w:lineRule="auto" w:before="58"/>
        <w:ind w:left="171" w:right="322"/>
      </w:pPr>
      <w:r>
        <w:rPr/>
        <w:br w:type="column"/>
      </w:r>
      <w:r>
        <w:rPr>
          <w:spacing w:val="-7"/>
        </w:rPr>
        <w:t>指因肝炎病毒感染引起肝脏组织弥漫性坏死，导致急性肝功能衰竭，且经血清学或</w:t>
      </w:r>
      <w:r>
        <w:rPr>
          <w:spacing w:val="-2"/>
        </w:rPr>
        <w:t>病毒学检查证实，并须满足下列全部条件：</w:t>
      </w:r>
    </w:p>
    <w:p>
      <w:pPr>
        <w:pStyle w:val="BodyText"/>
        <w:spacing w:line="278" w:lineRule="auto"/>
        <w:ind w:left="171" w:right="4847"/>
      </w:pPr>
      <w:r>
        <w:rPr>
          <w:spacing w:val="-6"/>
        </w:rPr>
        <w:t>Ⅰ 重度黄疸或黄疸迅速加重；</w:t>
      </w:r>
      <w:r>
        <w:rPr/>
        <w:t> Ⅱ 肝性脑病；</w:t>
      </w:r>
    </w:p>
    <w:p>
      <w:pPr>
        <w:pStyle w:val="BodyText"/>
        <w:spacing w:line="278" w:lineRule="auto"/>
        <w:ind w:left="171" w:right="3106"/>
      </w:pPr>
      <w:r>
        <w:rPr>
          <w:spacing w:val="-14"/>
        </w:rPr>
        <w:t>Ⅲ </w:t>
      </w:r>
      <w:r>
        <w:rPr/>
        <w:t>B</w:t>
      </w:r>
      <w:r>
        <w:rPr>
          <w:spacing w:val="-8"/>
        </w:rPr>
        <w:t> 超或其他影像学检查显示肝脏体积急速萎缩；</w:t>
      </w:r>
      <w:r>
        <w:rPr/>
        <w:t> Ⅳ 肝功能指标进行性恶化。</w:t>
      </w:r>
    </w:p>
    <w:p>
      <w:pPr>
        <w:spacing w:after="0" w:line="278" w:lineRule="auto"/>
        <w:sectPr>
          <w:pgSz w:w="11910" w:h="16840"/>
          <w:pgMar w:header="0" w:footer="655" w:top="1420" w:bottom="840" w:left="560" w:right="480"/>
          <w:cols w:num="2" w:equalWidth="0">
            <w:col w:w="2871" w:space="40"/>
            <w:col w:w="7959"/>
          </w:cols>
        </w:sectPr>
      </w:pPr>
    </w:p>
    <w:p>
      <w:pPr>
        <w:pStyle w:val="BodyText"/>
        <w:spacing w:before="2"/>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9</w:t>
      </w:r>
      <w:r>
        <w:rPr>
          <w:rFonts w:ascii="华文新魏" w:eastAsia="华文新魏" w:hint="eastAsia"/>
          <w:b/>
          <w:spacing w:val="-13"/>
          <w:sz w:val="21"/>
        </w:rPr>
        <w:t>、严重非恶性颅内</w:t>
      </w:r>
      <w:r>
        <w:rPr>
          <w:rFonts w:ascii="华文新魏" w:eastAsia="华文新魏" w:hint="eastAsia"/>
          <w:b/>
          <w:spacing w:val="-4"/>
          <w:sz w:val="21"/>
        </w:rPr>
        <w:t>肿瘤*</w:t>
      </w:r>
    </w:p>
    <w:p>
      <w:pPr>
        <w:pStyle w:val="BodyText"/>
        <w:spacing w:line="278" w:lineRule="auto" w:before="79"/>
        <w:ind w:left="170" w:right="219"/>
      </w:pPr>
      <w:r>
        <w:rPr/>
        <w:br w:type="column"/>
      </w:r>
      <w:r>
        <w:rPr/>
        <w:t>指起源于脑、脑神经、脑被膜的非恶性肿瘤，ICD-O-3</w:t>
      </w:r>
      <w:r>
        <w:rPr>
          <w:spacing w:val="-7"/>
        </w:rPr>
        <w:t> 肿瘤形态学编码属于 </w:t>
      </w:r>
      <w:r>
        <w:rPr/>
        <w:t>0（良</w:t>
      </w:r>
      <w:r>
        <w:rPr>
          <w:spacing w:val="-2"/>
        </w:rPr>
        <w:t>性肿瘤</w:t>
      </w:r>
      <w:r>
        <w:rPr>
          <w:spacing w:val="-106"/>
        </w:rPr>
        <w:t>）</w:t>
      </w:r>
      <w:r>
        <w:rPr>
          <w:spacing w:val="-53"/>
        </w:rPr>
        <w:t>、</w:t>
      </w:r>
      <w:r>
        <w:rPr>
          <w:spacing w:val="-2"/>
        </w:rPr>
        <w:t>1（动态未定性肿瘤</w:t>
      </w:r>
      <w:r>
        <w:rPr>
          <w:spacing w:val="-53"/>
        </w:rPr>
        <w:t>）</w:t>
      </w:r>
      <w:r>
        <w:rPr>
          <w:spacing w:val="-10"/>
        </w:rPr>
        <w:t>范畴，并已经引起颅内压升高或神经系统功能损害，</w:t>
      </w:r>
      <w:r>
        <w:rPr>
          <w:spacing w:val="-2"/>
        </w:rPr>
        <w:t>出现视乳头水肿或视觉受损、听觉受损、面部或肢体瘫痪、癫痫等，须由头颅断层</w:t>
      </w:r>
      <w:r>
        <w:rPr>
          <w:spacing w:val="-2"/>
        </w:rPr>
        <w:t>扫描</w:t>
      </w:r>
      <w:r>
        <w:rPr>
          <w:spacing w:val="23"/>
        </w:rPr>
        <w:t>（</w:t>
      </w:r>
      <w:r>
        <w:rPr>
          <w:spacing w:val="25"/>
        </w:rPr>
        <w:t>CT</w:t>
      </w:r>
      <w:r>
        <w:rPr>
          <w:spacing w:val="-83"/>
        </w:rPr>
        <w:t>）</w:t>
      </w:r>
      <w:r>
        <w:rPr>
          <w:spacing w:val="-2"/>
        </w:rPr>
        <w:t>、核磁共振检查（MRI）或正电子发射断层扫描（PET）等影像学检查证</w:t>
      </w:r>
      <w:r>
        <w:rPr>
          <w:spacing w:val="-2"/>
        </w:rPr>
        <w:t>实，且须满足下列至少一项条件：</w:t>
      </w:r>
    </w:p>
    <w:p>
      <w:pPr>
        <w:pStyle w:val="BodyText"/>
        <w:spacing w:line="268" w:lineRule="exact"/>
        <w:ind w:left="170"/>
      </w:pPr>
      <w:r>
        <w:rPr>
          <w:spacing w:val="-3"/>
        </w:rPr>
        <w:t>Ⅰ 已经实施了开颅进行的颅内肿瘤完全或部分切除手术；</w:t>
      </w:r>
    </w:p>
    <w:p>
      <w:pPr>
        <w:pStyle w:val="BodyText"/>
        <w:spacing w:before="43"/>
        <w:ind w:left="170"/>
      </w:pPr>
      <w:r>
        <w:rPr>
          <w:spacing w:val="-2"/>
        </w:rPr>
        <w:t>Ⅱ 已经实施了针对颅内肿瘤的放射治疗，如γ</w:t>
      </w:r>
      <w:r>
        <w:rPr>
          <w:spacing w:val="-3"/>
        </w:rPr>
        <w:t>刀、质子重离子治疗等。</w:t>
      </w:r>
    </w:p>
    <w:p>
      <w:pPr>
        <w:spacing w:line="278" w:lineRule="auto" w:before="43"/>
        <w:ind w:left="170" w:right="5092" w:firstLine="0"/>
        <w:jc w:val="left"/>
        <w:rPr>
          <w:rFonts w:ascii="黑体" w:hAnsi="黑体" w:eastAsia="黑体" w:hint="eastAsia"/>
          <w:b/>
          <w:sz w:val="21"/>
        </w:rPr>
      </w:pPr>
      <w:r>
        <w:rPr>
          <w:rFonts w:ascii="黑体" w:hAnsi="黑体" w:eastAsia="黑体" w:hint="eastAsia"/>
          <w:b/>
          <w:spacing w:val="-2"/>
          <w:sz w:val="21"/>
        </w:rPr>
        <w:t>下列疾病不在保障范围内： </w:t>
      </w:r>
      <w:r>
        <w:rPr>
          <w:rFonts w:ascii="黑体" w:hAnsi="黑体" w:eastAsia="黑体" w:hint="eastAsia"/>
          <w:b/>
          <w:sz w:val="21"/>
        </w:rPr>
        <w:t>Ⅰ 脑垂体瘤；</w:t>
      </w:r>
    </w:p>
    <w:p>
      <w:pPr>
        <w:spacing w:line="269" w:lineRule="exact" w:before="0"/>
        <w:ind w:left="170" w:right="0" w:firstLine="0"/>
        <w:jc w:val="left"/>
        <w:rPr>
          <w:rFonts w:ascii="黑体" w:hAnsi="黑体" w:eastAsia="黑体" w:hint="eastAsia"/>
          <w:b/>
          <w:sz w:val="21"/>
        </w:rPr>
      </w:pPr>
      <w:r>
        <w:rPr>
          <w:rFonts w:ascii="黑体" w:hAnsi="黑体" w:eastAsia="黑体" w:hint="eastAsia"/>
          <w:b/>
          <w:spacing w:val="-2"/>
          <w:sz w:val="21"/>
        </w:rPr>
        <w:t>Ⅱ 脑囊肿；</w:t>
      </w:r>
    </w:p>
    <w:p>
      <w:pPr>
        <w:spacing w:line="278" w:lineRule="auto" w:before="43"/>
        <w:ind w:left="170" w:right="327" w:firstLine="0"/>
        <w:jc w:val="left"/>
        <w:rPr>
          <w:rFonts w:ascii="黑体" w:hAnsi="黑体" w:eastAsia="黑体" w:hint="eastAsia"/>
          <w:b/>
          <w:sz w:val="21"/>
        </w:rPr>
      </w:pPr>
      <w:r>
        <w:rPr>
          <w:rFonts w:ascii="黑体" w:hAnsi="黑体" w:eastAsia="黑体" w:hint="eastAsia"/>
          <w:b/>
          <w:spacing w:val="-2"/>
          <w:sz w:val="21"/>
        </w:rPr>
        <w:t>Ⅲ 颅内血管性疾病（如脑动脉瘤、脑动静脉畸形、海绵状血管瘤、毛细血管扩张</w:t>
      </w:r>
      <w:r>
        <w:rPr>
          <w:rFonts w:ascii="黑体" w:hAnsi="黑体" w:eastAsia="黑体" w:hint="eastAsia"/>
          <w:b/>
          <w:spacing w:val="-4"/>
          <w:sz w:val="21"/>
        </w:rPr>
        <w:t>症等</w:t>
      </w:r>
      <w:r>
        <w:rPr>
          <w:rFonts w:ascii="黑体" w:hAnsi="黑体" w:eastAsia="黑体" w:hint="eastAsia"/>
          <w:b/>
          <w:spacing w:val="-106"/>
          <w:sz w:val="21"/>
        </w:rPr>
        <w:t>）</w:t>
      </w:r>
      <w:r>
        <w:rPr>
          <w:rFonts w:ascii="黑体" w:hAnsi="黑体" w:eastAsia="黑体" w:hint="eastAsia"/>
          <w:b/>
          <w:spacing w:val="-4"/>
          <w:sz w:val="21"/>
        </w:rPr>
        <w:t>。</w:t>
      </w:r>
    </w:p>
    <w:p>
      <w:pPr>
        <w:spacing w:after="0" w:line="278" w:lineRule="auto"/>
        <w:jc w:val="left"/>
        <w:rPr>
          <w:rFonts w:ascii="黑体" w:hAns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3"/>
        <w:rPr>
          <w:rFonts w:ascii="黑体"/>
          <w:b/>
          <w:sz w:val="18"/>
        </w:rPr>
      </w:pPr>
    </w:p>
    <w:p>
      <w:pPr>
        <w:spacing w:after="0"/>
        <w:rPr>
          <w:rFonts w:ascii="黑体"/>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10、严重慢性肝衰</w:t>
      </w:r>
      <w:r>
        <w:rPr>
          <w:rFonts w:ascii="华文新魏" w:eastAsia="华文新魏" w:hint="eastAsia"/>
          <w:b/>
          <w:spacing w:val="-6"/>
          <w:sz w:val="21"/>
        </w:rPr>
        <w:t>竭*</w:t>
      </w:r>
    </w:p>
    <w:p>
      <w:pPr>
        <w:pStyle w:val="BodyText"/>
        <w:spacing w:line="278" w:lineRule="auto" w:before="78"/>
        <w:ind w:left="226" w:right="2191"/>
      </w:pPr>
      <w:r>
        <w:rPr/>
        <w:br w:type="column"/>
      </w:r>
      <w:r>
        <w:rPr>
          <w:spacing w:val="-2"/>
        </w:rPr>
        <w:t>指因慢性肝脏疾病导致肝功能衰竭。须满足下列全部条件： </w:t>
      </w:r>
      <w:r>
        <w:rPr/>
        <w:t>Ⅰ 持续性黄疸；</w:t>
      </w:r>
    </w:p>
    <w:p>
      <w:pPr>
        <w:pStyle w:val="BodyText"/>
        <w:spacing w:line="269" w:lineRule="exact"/>
        <w:ind w:left="226"/>
      </w:pPr>
      <w:r>
        <w:rPr>
          <w:spacing w:val="-3"/>
        </w:rPr>
        <w:t>Ⅱ 腹水；</w:t>
      </w:r>
    </w:p>
    <w:p>
      <w:pPr>
        <w:pStyle w:val="BodyText"/>
        <w:spacing w:before="43"/>
        <w:ind w:left="226"/>
      </w:pPr>
      <w:r>
        <w:rPr>
          <w:spacing w:val="-4"/>
        </w:rPr>
        <w:t>Ⅲ 肝性脑病；</w:t>
      </w:r>
    </w:p>
    <w:p>
      <w:pPr>
        <w:pStyle w:val="BodyText"/>
        <w:spacing w:before="43"/>
        <w:ind w:left="226"/>
      </w:pPr>
      <w:r>
        <w:rPr>
          <w:spacing w:val="-3"/>
        </w:rPr>
        <w:t>Ⅳ 充血性脾肿大伴脾功能亢进或食管胃底静脉曲张。</w:t>
      </w:r>
    </w:p>
    <w:p>
      <w:pPr>
        <w:spacing w:before="44"/>
        <w:ind w:left="226" w:right="0" w:firstLine="0"/>
        <w:jc w:val="left"/>
        <w:rPr>
          <w:rFonts w:ascii="黑体" w:eastAsia="黑体" w:hint="eastAsia"/>
          <w:b/>
          <w:sz w:val="21"/>
        </w:rPr>
      </w:pPr>
      <w:r>
        <w:rPr>
          <w:rFonts w:ascii="黑体" w:eastAsia="黑体" w:hint="eastAsia"/>
          <w:b/>
          <w:spacing w:val="-3"/>
          <w:sz w:val="21"/>
        </w:rPr>
        <w:t>因酗酒或药物滥用导致的肝衰竭不在保障范围内。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15" w:space="40"/>
            <w:col w:w="8015"/>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both"/>
        <w:rPr>
          <w:rFonts w:ascii="华文新魏" w:eastAsia="华文新魏" w:hint="eastAsia"/>
          <w:b/>
          <w:sz w:val="21"/>
        </w:rPr>
      </w:pPr>
      <w:r>
        <w:rPr>
          <w:rFonts w:ascii="华文新魏" w:eastAsia="华文新魏" w:hint="eastAsia"/>
          <w:b/>
          <w:spacing w:val="-2"/>
          <w:sz w:val="21"/>
        </w:rPr>
        <w:t>11、严重脑炎后遗</w:t>
      </w:r>
      <w:r>
        <w:rPr>
          <w:rFonts w:ascii="华文新魏" w:eastAsia="华文新魏" w:hint="eastAsia"/>
          <w:b/>
          <w:spacing w:val="-2"/>
          <w:sz w:val="21"/>
        </w:rPr>
        <w:t>症或严重脑膜炎后</w:t>
      </w:r>
      <w:r>
        <w:rPr>
          <w:rFonts w:ascii="华文新魏" w:eastAsia="华文新魏" w:hint="eastAsia"/>
          <w:b/>
          <w:spacing w:val="-4"/>
          <w:sz w:val="21"/>
        </w:rPr>
        <w:t>遗症*</w:t>
      </w:r>
    </w:p>
    <w:p>
      <w:pPr>
        <w:pStyle w:val="BodyText"/>
        <w:spacing w:line="278" w:lineRule="auto" w:before="78"/>
        <w:ind w:left="223" w:right="322"/>
      </w:pPr>
      <w:r>
        <w:rPr/>
        <w:br w:type="column"/>
      </w:r>
      <w:r>
        <w:rPr>
          <w:spacing w:val="-7"/>
        </w:rPr>
        <w:t>指因患脑炎或脑膜炎导致的神经系统永久性的功能障碍。神经系统永久性的功能障</w:t>
      </w:r>
      <w:r>
        <w:rPr>
          <w:spacing w:val="-2"/>
        </w:rPr>
        <w:t>碍，指经相关专科医生确诊疾病 </w:t>
      </w:r>
      <w:r>
        <w:rPr/>
        <w:t>180</w:t>
      </w:r>
      <w:r>
        <w:rPr>
          <w:spacing w:val="-5"/>
        </w:rPr>
        <w:t> 天后，仍遗留下列至少一种障碍：</w:t>
      </w:r>
    </w:p>
    <w:p>
      <w:pPr>
        <w:pStyle w:val="BodyText"/>
        <w:spacing w:line="269" w:lineRule="exact"/>
        <w:ind w:left="223"/>
      </w:pPr>
      <w:r>
        <w:rPr>
          <w:spacing w:val="-8"/>
        </w:rPr>
        <w:t>Ⅰ 一肢</w:t>
      </w:r>
      <w:r>
        <w:rPr/>
        <w:t>（含）</w:t>
      </w:r>
      <w:r>
        <w:rPr>
          <w:spacing w:val="-8"/>
        </w:rPr>
        <w:t>以上肢体肌力 </w:t>
      </w:r>
      <w:r>
        <w:rPr/>
        <w:t>2</w:t>
      </w:r>
      <w:r>
        <w:rPr>
          <w:spacing w:val="-27"/>
        </w:rPr>
        <w:t> 级</w:t>
      </w:r>
      <w:r>
        <w:rPr/>
        <w:t>（含）</w:t>
      </w:r>
      <w:r>
        <w:rPr>
          <w:spacing w:val="-4"/>
        </w:rPr>
        <w:t>以下；</w:t>
      </w:r>
    </w:p>
    <w:p>
      <w:pPr>
        <w:pStyle w:val="BodyText"/>
        <w:spacing w:before="43"/>
        <w:ind w:left="223"/>
      </w:pPr>
      <w:r>
        <w:rPr>
          <w:spacing w:val="-3"/>
        </w:rPr>
        <w:t>Ⅱ 语言能力完全丧失，或严重咀嚼吞咽功能障碍；</w:t>
      </w:r>
    </w:p>
    <w:p>
      <w:pPr>
        <w:pStyle w:val="BodyText"/>
        <w:spacing w:line="278" w:lineRule="auto" w:before="43"/>
        <w:ind w:left="223" w:right="322"/>
      </w:pPr>
      <w:r>
        <w:rPr>
          <w:spacing w:val="-4"/>
        </w:rPr>
        <w:t>Ⅲ 由具有评估资格的专科医生根据临床痴呆评定量表</w:t>
      </w:r>
      <w:r>
        <w:rPr/>
        <w:t>（CDR，Clinical</w:t>
      </w:r>
      <w:r>
        <w:rPr>
          <w:spacing w:val="-17"/>
        </w:rPr>
        <w:t> </w:t>
      </w:r>
      <w:r>
        <w:rPr/>
        <w:t>Dementia Rating）</w:t>
      </w:r>
      <w:r>
        <w:rPr>
          <w:spacing w:val="-4"/>
        </w:rPr>
        <w:t>评估结果为 </w:t>
      </w:r>
      <w:r>
        <w:rPr/>
        <w:t>3</w:t>
      </w:r>
      <w:r>
        <w:rPr>
          <w:spacing w:val="-8"/>
        </w:rPr>
        <w:t> 分；</w:t>
      </w:r>
    </w:p>
    <w:p>
      <w:pPr>
        <w:pStyle w:val="BodyText"/>
        <w:spacing w:line="278" w:lineRule="auto"/>
        <w:ind w:left="223" w:right="322"/>
      </w:pPr>
      <w:r>
        <w:rPr>
          <w:spacing w:val="-6"/>
        </w:rPr>
        <w:t>Ⅳ 自主生活能力完全丧失，无法独立完成六项基本日常生活活动中的三项或三项</w:t>
      </w:r>
      <w:r>
        <w:rPr>
          <w:spacing w:val="-4"/>
        </w:rPr>
        <w:t>以上。</w:t>
      </w:r>
    </w:p>
    <w:p>
      <w:pPr>
        <w:spacing w:after="0" w:line="278" w:lineRule="auto"/>
        <w:sectPr>
          <w:type w:val="continuous"/>
          <w:pgSz w:w="11910" w:h="16840"/>
          <w:pgMar w:header="0" w:footer="655" w:top="140" w:bottom="280" w:left="560" w:right="480"/>
          <w:cols w:num="2" w:equalWidth="0">
            <w:col w:w="2818" w:space="40"/>
            <w:col w:w="8012"/>
          </w:cols>
        </w:sectPr>
      </w:pPr>
    </w:p>
    <w:p>
      <w:pPr>
        <w:pStyle w:val="BodyText"/>
        <w:spacing w:before="3"/>
        <w:rPr>
          <w:sz w:val="18"/>
        </w:rPr>
      </w:pPr>
    </w:p>
    <w:p>
      <w:pPr>
        <w:pStyle w:val="BodyText"/>
        <w:tabs>
          <w:tab w:pos="3081" w:val="left" w:leader="none"/>
        </w:tabs>
        <w:spacing w:line="268" w:lineRule="auto" w:before="55"/>
        <w:ind w:left="3081" w:right="322" w:hanging="1949"/>
        <w:jc w:val="both"/>
      </w:pPr>
      <w:r>
        <w:rPr>
          <w:rFonts w:ascii="华文新魏" w:eastAsia="华文新魏" w:hint="eastAsia"/>
          <w:b/>
          <w:spacing w:val="-2"/>
          <w:position w:val="2"/>
        </w:rPr>
        <w:t>12</w:t>
      </w:r>
      <w:r>
        <w:rPr>
          <w:rFonts w:ascii="华文新魏" w:eastAsia="华文新魏" w:hint="eastAsia"/>
          <w:b/>
          <w:spacing w:val="-2"/>
          <w:position w:val="2"/>
        </w:rPr>
        <w:t>、</w:t>
      </w:r>
      <w:r>
        <w:rPr>
          <w:rFonts w:ascii="华文新魏" w:eastAsia="华文新魏" w:hint="eastAsia"/>
          <w:b/>
          <w:spacing w:val="-2"/>
          <w:position w:val="2"/>
        </w:rPr>
        <w:t>深</w:t>
      </w:r>
      <w:r>
        <w:rPr>
          <w:rFonts w:ascii="华文新魏" w:eastAsia="华文新魏" w:hint="eastAsia"/>
          <w:b/>
          <w:spacing w:val="-2"/>
          <w:position w:val="2"/>
        </w:rPr>
        <w:t>度昏迷*</w:t>
      </w:r>
      <w:r>
        <w:rPr>
          <w:rFonts w:ascii="华文新魏" w:eastAsia="华文新魏" w:hint="eastAsia"/>
          <w:b/>
          <w:position w:val="2"/>
        </w:rPr>
        <w:tab/>
      </w:r>
      <w:r>
        <w:rPr>
          <w:spacing w:val="-2"/>
        </w:rPr>
        <w:t>指</w:t>
      </w:r>
      <w:r>
        <w:rPr>
          <w:spacing w:val="-2"/>
        </w:rPr>
        <w:t>因</w:t>
      </w:r>
      <w:r>
        <w:rPr>
          <w:spacing w:val="-2"/>
        </w:rPr>
        <w:t>疾病或意外伤害导致</w:t>
      </w:r>
      <w:r>
        <w:rPr>
          <w:spacing w:val="-2"/>
        </w:rPr>
        <w:t>意</w:t>
      </w:r>
      <w:r>
        <w:rPr>
          <w:spacing w:val="-2"/>
        </w:rPr>
        <w:t>识</w:t>
      </w:r>
      <w:r>
        <w:rPr>
          <w:spacing w:val="-2"/>
        </w:rPr>
        <w:t>丧失</w:t>
      </w:r>
      <w:r>
        <w:rPr>
          <w:spacing w:val="-56"/>
        </w:rPr>
        <w:t>，</w:t>
      </w:r>
      <w:r>
        <w:rPr>
          <w:spacing w:val="-2"/>
        </w:rPr>
        <w:t>对外界刺激和</w:t>
      </w:r>
      <w:r>
        <w:rPr>
          <w:spacing w:val="-2"/>
        </w:rPr>
        <w:t>体</w:t>
      </w:r>
      <w:r>
        <w:rPr>
          <w:spacing w:val="-2"/>
        </w:rPr>
        <w:t>内</w:t>
      </w:r>
      <w:r>
        <w:rPr>
          <w:spacing w:val="-2"/>
        </w:rPr>
        <w:t>需求均无反应</w:t>
      </w:r>
      <w:r>
        <w:rPr>
          <w:spacing w:val="-56"/>
        </w:rPr>
        <w:t>，</w:t>
      </w:r>
      <w:r>
        <w:rPr>
          <w:spacing w:val="-2"/>
        </w:rPr>
        <w:t>昏迷程度</w:t>
      </w:r>
      <w:r>
        <w:rPr>
          <w:spacing w:val="-2"/>
        </w:rPr>
        <w:t>按</w:t>
      </w:r>
      <w:r>
        <w:rPr>
          <w:w w:val="95"/>
        </w:rPr>
        <w:t>照</w:t>
      </w:r>
      <w:r>
        <w:rPr>
          <w:w w:val="95"/>
        </w:rPr>
        <w:t>格</w:t>
      </w:r>
      <w:r>
        <w:rPr>
          <w:w w:val="95"/>
        </w:rPr>
        <w:t>拉斯哥昏迷分级（GCS，Glasgow</w:t>
      </w:r>
      <w:r>
        <w:rPr>
          <w:spacing w:val="40"/>
        </w:rPr>
        <w:t> </w:t>
      </w:r>
      <w:r>
        <w:rPr>
          <w:w w:val="95"/>
        </w:rPr>
        <w:t>Coma</w:t>
      </w:r>
      <w:r>
        <w:rPr>
          <w:spacing w:val="40"/>
        </w:rPr>
        <w:t> </w:t>
      </w:r>
      <w:r>
        <w:rPr>
          <w:w w:val="95"/>
        </w:rPr>
        <w:t>Scale）结果为</w:t>
      </w:r>
      <w:r>
        <w:rPr>
          <w:spacing w:val="-5"/>
          <w:w w:val="95"/>
        </w:rPr>
        <w:t> </w:t>
      </w:r>
      <w:r>
        <w:rPr>
          <w:w w:val="95"/>
        </w:rPr>
        <w:t>5</w:t>
      </w:r>
      <w:r>
        <w:rPr>
          <w:spacing w:val="-7"/>
          <w:w w:val="95"/>
        </w:rPr>
        <w:t> </w:t>
      </w:r>
      <w:r>
        <w:rPr>
          <w:w w:val="95"/>
        </w:rPr>
        <w:t>分或</w:t>
      </w:r>
      <w:r>
        <w:rPr>
          <w:spacing w:val="-7"/>
          <w:w w:val="95"/>
        </w:rPr>
        <w:t> </w:t>
      </w:r>
      <w:r>
        <w:rPr>
          <w:w w:val="95"/>
        </w:rPr>
        <w:t>5</w:t>
      </w:r>
      <w:r>
        <w:rPr>
          <w:spacing w:val="-10"/>
          <w:w w:val="95"/>
        </w:rPr>
        <w:t> </w:t>
      </w:r>
      <w:r>
        <w:rPr>
          <w:w w:val="95"/>
        </w:rPr>
        <w:t>分以下，</w:t>
      </w:r>
      <w:r>
        <w:rPr>
          <w:w w:val="95"/>
        </w:rPr>
        <w:t>且</w:t>
      </w:r>
      <w:r>
        <w:rPr>
          <w:w w:val="95"/>
        </w:rPr>
        <w:t>已</w:t>
      </w:r>
      <w:r>
        <w:rPr/>
        <w:t>经持续使用呼吸机及其他</w:t>
      </w:r>
      <w:r>
        <w:rPr/>
        <w:t>生命维持系统</w:t>
      </w:r>
      <w:r>
        <w:rPr>
          <w:spacing w:val="-20"/>
        </w:rPr>
        <w:t> </w:t>
      </w:r>
      <w:r>
        <w:rPr/>
        <w:t>96</w:t>
      </w:r>
      <w:r>
        <w:rPr>
          <w:spacing w:val="-21"/>
        </w:rPr>
        <w:t> </w:t>
      </w:r>
      <w:r>
        <w:rPr/>
        <w:t>小时以</w:t>
      </w:r>
      <w:r>
        <w:rPr/>
        <w:t>上</w:t>
      </w:r>
      <w:r>
        <w:rPr/>
        <w:t>。</w:t>
      </w:r>
    </w:p>
    <w:p>
      <w:pPr>
        <w:spacing w:before="7"/>
        <w:ind w:left="1250" w:right="1106" w:firstLine="0"/>
        <w:jc w:val="center"/>
        <w:rPr>
          <w:rFonts w:ascii="黑体" w:eastAsia="黑体" w:hint="eastAsia"/>
          <w:b/>
          <w:sz w:val="21"/>
        </w:rPr>
      </w:pPr>
      <w:r>
        <w:rPr>
          <w:rFonts w:ascii="黑体" w:eastAsia="黑体" w:hint="eastAsia"/>
          <w:b/>
          <w:spacing w:val="-3"/>
          <w:sz w:val="21"/>
        </w:rPr>
        <w:t>因酗酒或药物滥用导致的深度昏迷不在保障范围内。</w:t>
      </w:r>
    </w:p>
    <w:p>
      <w:pPr>
        <w:pStyle w:val="BodyText"/>
        <w:spacing w:before="8"/>
        <w:rPr>
          <w:rFonts w:ascii="黑体"/>
          <w:b/>
          <w:sz w:val="25"/>
        </w:rPr>
      </w:pPr>
    </w:p>
    <w:p>
      <w:pPr>
        <w:pStyle w:val="BodyText"/>
        <w:tabs>
          <w:tab w:pos="3081" w:val="left" w:leader="none"/>
        </w:tabs>
        <w:spacing w:line="271" w:lineRule="auto" w:before="1"/>
        <w:ind w:left="3081" w:right="322" w:hanging="1949"/>
        <w:jc w:val="both"/>
      </w:pPr>
      <w:r>
        <w:rPr>
          <w:rFonts w:ascii="华文新魏" w:eastAsia="华文新魏" w:hint="eastAsia"/>
          <w:b/>
          <w:spacing w:val="-2"/>
          <w:position w:val="2"/>
        </w:rPr>
        <w:t>13</w:t>
      </w:r>
      <w:r>
        <w:rPr>
          <w:rFonts w:ascii="华文新魏" w:eastAsia="华文新魏" w:hint="eastAsia"/>
          <w:b/>
          <w:spacing w:val="-2"/>
          <w:position w:val="2"/>
        </w:rPr>
        <w:t>、</w:t>
      </w:r>
      <w:r>
        <w:rPr>
          <w:rFonts w:ascii="华文新魏" w:eastAsia="华文新魏" w:hint="eastAsia"/>
          <w:b/>
          <w:spacing w:val="-2"/>
          <w:position w:val="2"/>
        </w:rPr>
        <w:t>双</w:t>
      </w:r>
      <w:r>
        <w:rPr>
          <w:rFonts w:ascii="华文新魏" w:eastAsia="华文新魏" w:hint="eastAsia"/>
          <w:b/>
          <w:spacing w:val="-2"/>
          <w:position w:val="2"/>
        </w:rPr>
        <w:t>耳失聪*</w:t>
      </w:r>
      <w:r>
        <w:rPr>
          <w:rFonts w:ascii="华文新魏" w:eastAsia="华文新魏" w:hint="eastAsia"/>
          <w:b/>
          <w:position w:val="2"/>
        </w:rPr>
        <w:tab/>
      </w:r>
      <w:r>
        <w:rPr>
          <w:w w:val="95"/>
        </w:rPr>
        <w:t>指</w:t>
      </w:r>
      <w:r>
        <w:rPr>
          <w:w w:val="95"/>
        </w:rPr>
        <w:t>因</w:t>
      </w:r>
      <w:r>
        <w:rPr>
          <w:w w:val="95"/>
        </w:rPr>
        <w:t>疾病或意外伤害导致</w:t>
      </w:r>
      <w:r>
        <w:rPr>
          <w:w w:val="95"/>
        </w:rPr>
        <w:t>双</w:t>
      </w:r>
      <w:r>
        <w:rPr>
          <w:w w:val="95"/>
        </w:rPr>
        <w:t>耳</w:t>
      </w:r>
      <w:r>
        <w:rPr>
          <w:w w:val="95"/>
        </w:rPr>
        <w:t>听力</w:t>
      </w:r>
      <w:r>
        <w:rPr>
          <w:b/>
          <w:spacing w:val="-149"/>
          <w:w w:val="95"/>
        </w:rPr>
        <w:t>永</w:t>
      </w:r>
      <w:r>
        <w:rPr>
          <w:spacing w:val="-63"/>
          <w:w w:val="95"/>
          <w:position w:val="-7"/>
        </w:rPr>
        <w:t>．</w:t>
      </w:r>
      <w:r>
        <w:rPr>
          <w:b/>
          <w:spacing w:val="-149"/>
          <w:w w:val="95"/>
        </w:rPr>
        <w:t>久</w:t>
      </w:r>
      <w:r>
        <w:rPr>
          <w:spacing w:val="-63"/>
          <w:w w:val="95"/>
          <w:position w:val="-7"/>
        </w:rPr>
        <w:t>．</w:t>
      </w:r>
      <w:r>
        <w:rPr>
          <w:b/>
          <w:spacing w:val="-149"/>
          <w:w w:val="95"/>
        </w:rPr>
        <w:t>不</w:t>
      </w:r>
      <w:r>
        <w:rPr>
          <w:spacing w:val="-63"/>
          <w:w w:val="95"/>
          <w:position w:val="-7"/>
        </w:rPr>
        <w:t>．</w:t>
      </w:r>
      <w:r>
        <w:rPr>
          <w:b/>
          <w:spacing w:val="-149"/>
          <w:w w:val="95"/>
        </w:rPr>
        <w:t>可</w:t>
      </w:r>
      <w:r>
        <w:rPr>
          <w:spacing w:val="-63"/>
          <w:w w:val="95"/>
          <w:position w:val="-7"/>
        </w:rPr>
        <w:t>．</w:t>
      </w:r>
      <w:r>
        <w:rPr>
          <w:b/>
          <w:spacing w:val="-149"/>
          <w:w w:val="95"/>
        </w:rPr>
        <w:t>逆</w:t>
      </w:r>
      <w:r>
        <w:rPr>
          <w:spacing w:val="-130"/>
          <w:w w:val="95"/>
          <w:position w:val="-7"/>
        </w:rPr>
        <w:t>．</w:t>
      </w:r>
      <w:r>
        <w:rPr>
          <w:w w:val="95"/>
        </w:rPr>
        <w:t>（见注</w:t>
      </w:r>
      <w:r>
        <w:rPr>
          <w:spacing w:val="40"/>
        </w:rPr>
        <w:t> </w:t>
      </w:r>
      <w:r>
        <w:rPr>
          <w:w w:val="95"/>
        </w:rPr>
        <w:t>9）性丧失</w:t>
      </w:r>
      <w:r>
        <w:rPr>
          <w:spacing w:val="-68"/>
          <w:w w:val="95"/>
        </w:rPr>
        <w:t>，</w:t>
      </w:r>
      <w:r>
        <w:rPr>
          <w:w w:val="95"/>
        </w:rPr>
        <w:t>在</w:t>
      </w:r>
      <w:r>
        <w:rPr>
          <w:spacing w:val="37"/>
        </w:rPr>
        <w:t> </w:t>
      </w:r>
      <w:r>
        <w:rPr>
          <w:w w:val="95"/>
        </w:rPr>
        <w:t>500</w:t>
      </w:r>
      <w:r>
        <w:rPr>
          <w:spacing w:val="37"/>
        </w:rPr>
        <w:t> </w:t>
      </w:r>
      <w:r>
        <w:rPr>
          <w:w w:val="95"/>
        </w:rPr>
        <w:t>赫兹</w:t>
      </w:r>
      <w:r>
        <w:rPr>
          <w:spacing w:val="-68"/>
          <w:w w:val="95"/>
        </w:rPr>
        <w:t>、</w:t>
      </w:r>
      <w:r>
        <w:rPr>
          <w:w w:val="95"/>
        </w:rPr>
        <w:t>1000</w:t>
      </w:r>
      <w:r>
        <w:rPr>
          <w:w w:val="95"/>
        </w:rPr>
        <w:t>赫</w:t>
      </w:r>
      <w:r>
        <w:rPr>
          <w:w w:val="95"/>
        </w:rPr>
        <w:t>兹和 2000 赫兹语音</w:t>
      </w:r>
      <w:r>
        <w:rPr>
          <w:w w:val="95"/>
        </w:rPr>
        <w:t>频</w:t>
      </w:r>
      <w:r>
        <w:rPr>
          <w:w w:val="95"/>
        </w:rPr>
        <w:t>率</w:t>
      </w:r>
      <w:r>
        <w:rPr>
          <w:w w:val="95"/>
        </w:rPr>
        <w:t>下，平均听阈大于等于 91 </w:t>
      </w:r>
      <w:r>
        <w:rPr>
          <w:w w:val="95"/>
        </w:rPr>
        <w:t>分</w:t>
      </w:r>
      <w:r>
        <w:rPr>
          <w:w w:val="95"/>
        </w:rPr>
        <w:t>贝</w:t>
      </w:r>
      <w:r>
        <w:rPr>
          <w:w w:val="95"/>
        </w:rPr>
        <w:t>，且经纯音听力</w:t>
      </w:r>
      <w:r>
        <w:rPr>
          <w:w w:val="95"/>
        </w:rPr>
        <w:t>测</w:t>
      </w:r>
      <w:r>
        <w:rPr>
          <w:w w:val="95"/>
        </w:rPr>
        <w:t>试</w:t>
      </w:r>
      <w:r>
        <w:rPr>
          <w:w w:val="95"/>
        </w:rPr>
        <w:t>、</w:t>
      </w:r>
      <w:r>
        <w:rPr>
          <w:w w:val="95"/>
        </w:rPr>
        <w:t>声</w:t>
      </w:r>
      <w:r>
        <w:rPr>
          <w:spacing w:val="-2"/>
        </w:rPr>
        <w:t>导</w:t>
      </w:r>
      <w:r>
        <w:rPr>
          <w:spacing w:val="-2"/>
        </w:rPr>
        <w:t>抗</w:t>
      </w:r>
      <w:r>
        <w:rPr>
          <w:spacing w:val="-2"/>
        </w:rPr>
        <w:t>检测或听觉诱发电位</w:t>
      </w:r>
      <w:r>
        <w:rPr>
          <w:spacing w:val="-2"/>
        </w:rPr>
        <w:t>检</w:t>
      </w:r>
      <w:r>
        <w:rPr>
          <w:spacing w:val="-2"/>
        </w:rPr>
        <w:t>测</w:t>
      </w:r>
      <w:r>
        <w:rPr>
          <w:spacing w:val="-2"/>
        </w:rPr>
        <w:t>等证实。</w:t>
      </w:r>
    </w:p>
    <w:p>
      <w:pPr>
        <w:spacing w:after="0" w:line="271" w:lineRule="auto"/>
        <w:jc w:val="both"/>
        <w:sectPr>
          <w:type w:val="continuous"/>
          <w:pgSz w:w="11910" w:h="16840"/>
          <w:pgMar w:header="0" w:footer="655" w:top="140" w:bottom="280" w:left="560" w:right="480"/>
        </w:sectPr>
      </w:pPr>
    </w:p>
    <w:p>
      <w:pPr>
        <w:spacing w:line="278" w:lineRule="auto" w:before="58"/>
        <w:ind w:left="3081" w:right="401" w:firstLine="0"/>
        <w:jc w:val="left"/>
        <w:rPr>
          <w:rFonts w:ascii="黑体" w:eastAsia="黑体" w:hint="eastAsia"/>
          <w:b/>
          <w:sz w:val="21"/>
        </w:rPr>
      </w:pPr>
      <w:r>
        <w:rPr>
          <w:rFonts w:ascii="黑体" w:eastAsia="黑体" w:hint="eastAsia"/>
          <w:b/>
          <w:spacing w:val="-5"/>
          <w:sz w:val="21"/>
        </w:rPr>
        <w:t>被保险人申请理赔时年龄必须在 </w:t>
      </w:r>
      <w:r>
        <w:rPr>
          <w:rFonts w:ascii="黑体" w:eastAsia="黑体" w:hint="eastAsia"/>
          <w:b/>
          <w:spacing w:val="-2"/>
          <w:sz w:val="21"/>
        </w:rPr>
        <w:t>3</w:t>
      </w:r>
      <w:r>
        <w:rPr>
          <w:rFonts w:ascii="黑体" w:eastAsia="黑体" w:hint="eastAsia"/>
          <w:b/>
          <w:spacing w:val="-8"/>
          <w:sz w:val="21"/>
        </w:rPr>
        <w:t> 周岁以上，并且提供理赔当时的听力丧失诊断</w:t>
      </w:r>
      <w:r>
        <w:rPr>
          <w:rFonts w:ascii="黑体" w:eastAsia="黑体" w:hint="eastAsia"/>
          <w:b/>
          <w:spacing w:val="-2"/>
          <w:sz w:val="21"/>
        </w:rPr>
        <w:t>及检查证据。</w:t>
      </w:r>
    </w:p>
    <w:p>
      <w:pPr>
        <w:pStyle w:val="BodyText"/>
        <w:spacing w:line="278" w:lineRule="auto"/>
        <w:ind w:left="3081" w:right="324"/>
      </w:pPr>
      <w:r>
        <w:rPr>
          <w:spacing w:val="-27"/>
        </w:rPr>
        <w:t>注 </w:t>
      </w:r>
      <w:r>
        <w:rPr>
          <w:spacing w:val="-2"/>
        </w:rPr>
        <w:t>9</w:t>
      </w:r>
      <w:r>
        <w:rPr>
          <w:spacing w:val="-5"/>
        </w:rPr>
        <w:t>：指自疾病确诊或意外发生之日起，经过积极治疗 </w:t>
      </w:r>
      <w:r>
        <w:rPr>
          <w:spacing w:val="-2"/>
        </w:rPr>
        <w:t>180</w:t>
      </w:r>
      <w:r>
        <w:rPr>
          <w:spacing w:val="-10"/>
        </w:rPr>
        <w:t> 天后，仍无法通过现有</w:t>
      </w:r>
      <w:r>
        <w:rPr>
          <w:spacing w:val="-2"/>
        </w:rPr>
        <w:t>医疗手段恢复。</w:t>
      </w:r>
    </w:p>
    <w:p>
      <w:pPr>
        <w:pStyle w:val="BodyText"/>
        <w:spacing w:before="6"/>
        <w:rPr>
          <w:sz w:val="22"/>
        </w:rPr>
      </w:pPr>
    </w:p>
    <w:p>
      <w:pPr>
        <w:pStyle w:val="BodyText"/>
        <w:tabs>
          <w:tab w:pos="3081" w:val="left" w:leader="none"/>
        </w:tabs>
        <w:spacing w:line="256" w:lineRule="auto"/>
        <w:ind w:left="3081" w:right="322" w:hanging="1949"/>
      </w:pPr>
      <w:r>
        <w:rPr>
          <w:rFonts w:ascii="华文新魏" w:eastAsia="华文新魏" w:hint="eastAsia"/>
          <w:b/>
          <w:spacing w:val="-2"/>
          <w:position w:val="2"/>
        </w:rPr>
        <w:t>14</w:t>
      </w:r>
      <w:r>
        <w:rPr>
          <w:rFonts w:ascii="华文新魏" w:eastAsia="华文新魏" w:hint="eastAsia"/>
          <w:b/>
          <w:spacing w:val="-2"/>
          <w:position w:val="2"/>
        </w:rPr>
        <w:t>、</w:t>
      </w:r>
      <w:r>
        <w:rPr>
          <w:rFonts w:ascii="华文新魏" w:eastAsia="华文新魏" w:hint="eastAsia"/>
          <w:b/>
          <w:spacing w:val="-2"/>
          <w:position w:val="2"/>
        </w:rPr>
        <w:t>双</w:t>
      </w:r>
      <w:r>
        <w:rPr>
          <w:rFonts w:ascii="华文新魏" w:eastAsia="华文新魏" w:hint="eastAsia"/>
          <w:b/>
          <w:spacing w:val="-2"/>
          <w:position w:val="2"/>
        </w:rPr>
        <w:t>目失明*</w:t>
      </w:r>
      <w:r>
        <w:rPr>
          <w:rFonts w:ascii="华文新魏" w:eastAsia="华文新魏" w:hint="eastAsia"/>
          <w:b/>
          <w:position w:val="2"/>
        </w:rPr>
        <w:tab/>
      </w:r>
      <w:r>
        <w:rPr>
          <w:spacing w:val="-2"/>
        </w:rPr>
        <w:t>指</w:t>
      </w:r>
      <w:r>
        <w:rPr>
          <w:spacing w:val="-2"/>
        </w:rPr>
        <w:t>因</w:t>
      </w:r>
      <w:r>
        <w:rPr>
          <w:spacing w:val="-2"/>
        </w:rPr>
        <w:t>疾病或意外伤害导致</w:t>
      </w:r>
      <w:r>
        <w:rPr>
          <w:spacing w:val="-2"/>
        </w:rPr>
        <w:t>双</w:t>
      </w:r>
      <w:r>
        <w:rPr>
          <w:spacing w:val="-2"/>
        </w:rPr>
        <w:t>眼</w:t>
      </w:r>
      <w:r>
        <w:rPr>
          <w:spacing w:val="-2"/>
        </w:rPr>
        <w:t>视力永久不可逆性丧失</w:t>
      </w:r>
      <w:r>
        <w:rPr>
          <w:spacing w:val="-106"/>
        </w:rPr>
        <w:t>，</w:t>
      </w:r>
      <w:r>
        <w:rPr>
          <w:spacing w:val="-2"/>
        </w:rPr>
        <w:t>双眼中较好眼须满</w:t>
      </w:r>
      <w:r>
        <w:rPr>
          <w:spacing w:val="-2"/>
        </w:rPr>
        <w:t>足</w:t>
      </w:r>
      <w:r>
        <w:rPr>
          <w:spacing w:val="-2"/>
        </w:rPr>
        <w:t>下</w:t>
      </w:r>
      <w:r>
        <w:rPr>
          <w:spacing w:val="-2"/>
        </w:rPr>
        <w:t>列</w:t>
      </w:r>
      <w:r>
        <w:rPr>
          <w:spacing w:val="-2"/>
        </w:rPr>
        <w:t>至</w:t>
      </w:r>
      <w:r>
        <w:rPr>
          <w:spacing w:val="-2"/>
        </w:rPr>
        <w:t>少</w:t>
      </w:r>
      <w:r>
        <w:rPr>
          <w:spacing w:val="-2"/>
        </w:rPr>
        <w:t>一</w:t>
      </w:r>
      <w:r>
        <w:rPr>
          <w:spacing w:val="-2"/>
        </w:rPr>
        <w:t>项条件：</w:t>
      </w:r>
    </w:p>
    <w:p>
      <w:pPr>
        <w:pStyle w:val="BodyText"/>
        <w:spacing w:before="25"/>
        <w:ind w:left="3081"/>
      </w:pPr>
      <w:r>
        <w:rPr>
          <w:spacing w:val="-5"/>
        </w:rPr>
        <w:t>Ⅰ 眼球缺失或摘除；</w:t>
      </w:r>
    </w:p>
    <w:p>
      <w:pPr>
        <w:pStyle w:val="BodyText"/>
        <w:spacing w:line="278" w:lineRule="auto" w:before="43"/>
        <w:ind w:left="3081" w:right="219"/>
      </w:pPr>
      <w:r>
        <w:rPr>
          <w:spacing w:val="-10"/>
        </w:rPr>
        <w:t>Ⅱ 矫正视力低于 </w:t>
      </w:r>
      <w:r>
        <w:rPr>
          <w:spacing w:val="-2"/>
        </w:rPr>
        <w:t>0.02（采用国际标准视力表，如果使用其他视力表应进行换算</w:t>
      </w:r>
      <w:r>
        <w:rPr>
          <w:spacing w:val="-108"/>
        </w:rPr>
        <w:t>）</w:t>
      </w:r>
      <w:r>
        <w:rPr/>
        <w:t>；</w:t>
      </w:r>
      <w:r>
        <w:rPr>
          <w:spacing w:val="-54"/>
        </w:rPr>
        <w:t> </w:t>
      </w:r>
      <w:r>
        <w:rPr>
          <w:spacing w:val="-2"/>
        </w:rPr>
        <w:t>Ⅲ 视野半径小于 </w:t>
      </w:r>
      <w:r>
        <w:rPr/>
        <w:t>5</w:t>
      </w:r>
      <w:r>
        <w:rPr>
          <w:spacing w:val="-6"/>
        </w:rPr>
        <w:t> 度。</w:t>
      </w:r>
    </w:p>
    <w:p>
      <w:pPr>
        <w:spacing w:line="278" w:lineRule="auto" w:before="0"/>
        <w:ind w:left="3081" w:right="327" w:firstLine="0"/>
        <w:jc w:val="left"/>
        <w:rPr>
          <w:rFonts w:ascii="黑体" w:eastAsia="黑体" w:hint="eastAsia"/>
          <w:b/>
          <w:sz w:val="21"/>
        </w:rPr>
      </w:pPr>
      <w:r>
        <w:rPr>
          <w:rFonts w:ascii="黑体" w:eastAsia="黑体" w:hint="eastAsia"/>
          <w:b/>
          <w:spacing w:val="-5"/>
          <w:sz w:val="21"/>
        </w:rPr>
        <w:t>被保险人申请理赔时年龄必须在 </w:t>
      </w:r>
      <w:r>
        <w:rPr>
          <w:rFonts w:ascii="黑体" w:eastAsia="黑体" w:hint="eastAsia"/>
          <w:b/>
          <w:spacing w:val="-2"/>
          <w:sz w:val="21"/>
        </w:rPr>
        <w:t>3</w:t>
      </w:r>
      <w:r>
        <w:rPr>
          <w:rFonts w:ascii="黑体" w:eastAsia="黑体" w:hint="eastAsia"/>
          <w:b/>
          <w:spacing w:val="-11"/>
          <w:sz w:val="21"/>
        </w:rPr>
        <w:t> 周岁以上</w:t>
      </w:r>
      <w:r>
        <w:rPr>
          <w:rFonts w:ascii="黑体" w:eastAsia="黑体" w:hint="eastAsia"/>
          <w:b/>
          <w:spacing w:val="-2"/>
          <w:sz w:val="21"/>
        </w:rPr>
        <w:t>（眼球缺失或摘除的不受此限</w:t>
      </w:r>
      <w:r>
        <w:rPr>
          <w:rFonts w:ascii="黑体" w:eastAsia="黑体" w:hint="eastAsia"/>
          <w:b/>
          <w:spacing w:val="-62"/>
          <w:sz w:val="21"/>
        </w:rPr>
        <w:t>）</w:t>
      </w:r>
      <w:r>
        <w:rPr>
          <w:rFonts w:ascii="黑体" w:eastAsia="黑体" w:hint="eastAsia"/>
          <w:b/>
          <w:spacing w:val="-22"/>
          <w:sz w:val="21"/>
        </w:rPr>
        <w:t>，并且</w:t>
      </w:r>
      <w:r>
        <w:rPr>
          <w:rFonts w:ascii="黑体" w:eastAsia="黑体" w:hint="eastAsia"/>
          <w:b/>
          <w:spacing w:val="-2"/>
          <w:sz w:val="21"/>
        </w:rPr>
        <w:t>提供理赔当时的视力丧失诊断及检查证据。</w:t>
      </w:r>
    </w:p>
    <w:p>
      <w:pPr>
        <w:pStyle w:val="BodyText"/>
        <w:spacing w:before="7"/>
        <w:rPr>
          <w:rFonts w:ascii="黑体"/>
          <w:b/>
          <w:sz w:val="22"/>
        </w:rPr>
      </w:pPr>
    </w:p>
    <w:p>
      <w:pPr>
        <w:pStyle w:val="BodyText"/>
        <w:tabs>
          <w:tab w:pos="3081" w:val="left" w:leader="none"/>
        </w:tabs>
        <w:spacing w:line="256" w:lineRule="auto"/>
        <w:ind w:left="3081" w:right="322" w:hanging="1949"/>
      </w:pPr>
      <w:r>
        <w:rPr>
          <w:rFonts w:ascii="华文新魏" w:eastAsia="华文新魏" w:hint="eastAsia"/>
          <w:b/>
          <w:spacing w:val="-2"/>
          <w:position w:val="2"/>
        </w:rPr>
        <w:t>15</w:t>
      </w:r>
      <w:r>
        <w:rPr>
          <w:rFonts w:ascii="华文新魏" w:eastAsia="华文新魏" w:hint="eastAsia"/>
          <w:b/>
          <w:spacing w:val="-2"/>
          <w:position w:val="2"/>
        </w:rPr>
        <w:t>、</w:t>
      </w:r>
      <w:r>
        <w:rPr>
          <w:rFonts w:ascii="华文新魏" w:eastAsia="华文新魏" w:hint="eastAsia"/>
          <w:b/>
          <w:spacing w:val="-2"/>
          <w:position w:val="2"/>
        </w:rPr>
        <w:t>瘫</w:t>
      </w:r>
      <w:r>
        <w:rPr>
          <w:rFonts w:ascii="华文新魏" w:eastAsia="华文新魏" w:hint="eastAsia"/>
          <w:b/>
          <w:spacing w:val="-2"/>
          <w:position w:val="2"/>
        </w:rPr>
        <w:t>痪*</w:t>
      </w:r>
      <w:r>
        <w:rPr>
          <w:rFonts w:ascii="华文新魏" w:eastAsia="华文新魏" w:hint="eastAsia"/>
          <w:b/>
          <w:position w:val="2"/>
        </w:rPr>
        <w:tab/>
      </w:r>
      <w:r>
        <w:rPr>
          <w:spacing w:val="-2"/>
        </w:rPr>
        <w:t>指</w:t>
      </w:r>
      <w:r>
        <w:rPr>
          <w:spacing w:val="-2"/>
        </w:rPr>
        <w:t>因</w:t>
      </w:r>
      <w:r>
        <w:rPr>
          <w:spacing w:val="-2"/>
        </w:rPr>
        <w:t>疾病或意外伤害导致</w:t>
      </w:r>
      <w:r>
        <w:rPr>
          <w:spacing w:val="-2"/>
        </w:rPr>
        <w:t>两</w:t>
      </w:r>
      <w:r>
        <w:rPr>
          <w:spacing w:val="-2"/>
        </w:rPr>
        <w:t>肢</w:t>
      </w:r>
      <w:r>
        <w:rPr>
          <w:spacing w:val="-2"/>
        </w:rPr>
        <w:t>或两肢以上肢体随意</w:t>
      </w:r>
      <w:r>
        <w:rPr>
          <w:spacing w:val="-2"/>
        </w:rPr>
        <w:t>运</w:t>
      </w:r>
      <w:r>
        <w:rPr>
          <w:spacing w:val="-2"/>
        </w:rPr>
        <w:t>动</w:t>
      </w:r>
      <w:r>
        <w:rPr>
          <w:spacing w:val="-2"/>
        </w:rPr>
        <w:t>功能永久完全丧失</w:t>
      </w:r>
      <w:r>
        <w:rPr>
          <w:spacing w:val="-108"/>
        </w:rPr>
        <w:t>。</w:t>
      </w:r>
      <w:r>
        <w:rPr>
          <w:spacing w:val="-2"/>
        </w:rPr>
        <w:t>肢</w:t>
      </w:r>
      <w:r>
        <w:rPr>
          <w:spacing w:val="-2"/>
        </w:rPr>
        <w:t>体</w:t>
      </w:r>
      <w:r>
        <w:rPr>
          <w:spacing w:val="-2"/>
        </w:rPr>
        <w:t>随</w:t>
      </w:r>
      <w:r>
        <w:rPr>
          <w:spacing w:val="-2"/>
        </w:rPr>
        <w:t>意</w:t>
      </w:r>
      <w:r>
        <w:rPr>
          <w:spacing w:val="-2"/>
        </w:rPr>
        <w:t>运</w:t>
      </w:r>
      <w:r>
        <w:rPr>
          <w:spacing w:val="-2"/>
        </w:rPr>
        <w:t>动功能永久完全丧失</w:t>
      </w:r>
      <w:r>
        <w:rPr>
          <w:spacing w:val="-53"/>
        </w:rPr>
        <w:t>，</w:t>
      </w:r>
      <w:r>
        <w:rPr>
          <w:spacing w:val="-2"/>
        </w:rPr>
        <w:t>指疾病确诊</w:t>
      </w:r>
      <w:r>
        <w:rPr>
          <w:spacing w:val="-46"/>
        </w:rPr>
        <w:t> </w:t>
      </w:r>
      <w:r>
        <w:rPr>
          <w:spacing w:val="-2"/>
        </w:rPr>
        <w:t>180</w:t>
      </w:r>
      <w:r>
        <w:rPr>
          <w:spacing w:val="-47"/>
        </w:rPr>
        <w:t> </w:t>
      </w:r>
      <w:r>
        <w:rPr>
          <w:spacing w:val="-2"/>
        </w:rPr>
        <w:t>天后或</w:t>
      </w:r>
      <w:r>
        <w:rPr>
          <w:spacing w:val="-2"/>
        </w:rPr>
        <w:t>意</w:t>
      </w:r>
      <w:r>
        <w:rPr>
          <w:spacing w:val="-2"/>
        </w:rPr>
        <w:t>外</w:t>
      </w:r>
      <w:r>
        <w:rPr>
          <w:spacing w:val="-2"/>
        </w:rPr>
        <w:t>伤害发生</w:t>
      </w:r>
      <w:r>
        <w:rPr>
          <w:spacing w:val="-46"/>
        </w:rPr>
        <w:t> </w:t>
      </w:r>
      <w:r>
        <w:rPr>
          <w:spacing w:val="-2"/>
        </w:rPr>
        <w:t>180</w:t>
      </w:r>
      <w:r>
        <w:rPr>
          <w:spacing w:val="-46"/>
        </w:rPr>
        <w:t> </w:t>
      </w:r>
      <w:r>
        <w:rPr>
          <w:spacing w:val="-2"/>
        </w:rPr>
        <w:t>天后</w:t>
      </w:r>
      <w:r>
        <w:rPr>
          <w:spacing w:val="-56"/>
        </w:rPr>
        <w:t>，</w:t>
      </w:r>
      <w:r>
        <w:rPr>
          <w:spacing w:val="-2"/>
        </w:rPr>
        <w:t>每肢</w:t>
      </w:r>
      <w:r>
        <w:rPr>
          <w:spacing w:val="-10"/>
        </w:rPr>
        <w:t>三</w:t>
      </w:r>
    </w:p>
    <w:p>
      <w:pPr>
        <w:pStyle w:val="BodyText"/>
        <w:spacing w:before="25"/>
        <w:ind w:left="3081"/>
      </w:pPr>
      <w:r>
        <w:rPr>
          <w:spacing w:val="-4"/>
        </w:rPr>
        <w:t>大关节中的两大关节仍然完全僵硬，或肢体肌力在 </w:t>
      </w:r>
      <w:r>
        <w:rPr>
          <w:spacing w:val="-2"/>
        </w:rPr>
        <w:t>2</w:t>
      </w:r>
      <w:r>
        <w:rPr>
          <w:spacing w:val="-23"/>
        </w:rPr>
        <w:t> 级</w:t>
      </w:r>
      <w:r>
        <w:rPr>
          <w:spacing w:val="-2"/>
        </w:rPr>
        <w:t>（含）</w:t>
      </w:r>
      <w:r>
        <w:rPr>
          <w:spacing w:val="-5"/>
        </w:rPr>
        <w:t>以下。</w:t>
      </w:r>
    </w:p>
    <w:p>
      <w:pPr>
        <w:pStyle w:val="BodyText"/>
        <w:spacing w:before="11"/>
        <w:rPr>
          <w:sz w:val="25"/>
        </w:rPr>
      </w:pPr>
    </w:p>
    <w:p>
      <w:pPr>
        <w:tabs>
          <w:tab w:pos="3081" w:val="left" w:leader="none"/>
        </w:tabs>
        <w:spacing w:before="0"/>
        <w:ind w:left="1132" w:right="0" w:firstLine="0"/>
        <w:jc w:val="left"/>
        <w:rPr>
          <w:sz w:val="21"/>
        </w:rPr>
      </w:pPr>
      <w:r>
        <w:rPr>
          <w:rFonts w:ascii="华文新魏" w:eastAsia="华文新魏" w:hint="eastAsia"/>
          <w:b/>
          <w:spacing w:val="-8"/>
          <w:position w:val="2"/>
          <w:sz w:val="21"/>
        </w:rPr>
        <w:t>16、心</w:t>
      </w:r>
      <w:r>
        <w:rPr>
          <w:rFonts w:ascii="华文新魏" w:eastAsia="华文新魏" w:hint="eastAsia"/>
          <w:b/>
          <w:spacing w:val="-8"/>
          <w:position w:val="2"/>
          <w:sz w:val="21"/>
        </w:rPr>
        <w:t>脏</w:t>
      </w:r>
      <w:r>
        <w:rPr>
          <w:rFonts w:ascii="华文新魏" w:eastAsia="华文新魏" w:hint="eastAsia"/>
          <w:b/>
          <w:spacing w:val="-8"/>
          <w:position w:val="2"/>
          <w:sz w:val="21"/>
        </w:rPr>
        <w:t>瓣</w:t>
      </w:r>
      <w:r>
        <w:rPr>
          <w:rFonts w:ascii="华文新魏" w:eastAsia="华文新魏" w:hint="eastAsia"/>
          <w:b/>
          <w:spacing w:val="-8"/>
          <w:position w:val="2"/>
          <w:sz w:val="21"/>
        </w:rPr>
        <w:t>膜手术</w:t>
      </w:r>
      <w:r>
        <w:rPr>
          <w:rFonts w:ascii="华文新魏" w:eastAsia="华文新魏" w:hint="eastAsia"/>
          <w:b/>
          <w:spacing w:val="-10"/>
          <w:position w:val="2"/>
          <w:sz w:val="21"/>
        </w:rPr>
        <w:t>*</w:t>
      </w:r>
      <w:r>
        <w:rPr>
          <w:rFonts w:ascii="华文新魏" w:eastAsia="华文新魏" w:hint="eastAsia"/>
          <w:b/>
          <w:position w:val="2"/>
          <w:sz w:val="21"/>
        </w:rPr>
        <w:tab/>
      </w:r>
      <w:r>
        <w:rPr>
          <w:spacing w:val="-2"/>
          <w:sz w:val="21"/>
        </w:rPr>
        <w:t>指</w:t>
      </w:r>
      <w:r>
        <w:rPr>
          <w:spacing w:val="-2"/>
          <w:sz w:val="21"/>
        </w:rPr>
        <w:t>为</w:t>
      </w:r>
      <w:r>
        <w:rPr>
          <w:spacing w:val="-2"/>
          <w:sz w:val="21"/>
        </w:rPr>
        <w:t>治疗心脏瓣膜疾病，</w:t>
      </w:r>
      <w:r>
        <w:rPr>
          <w:spacing w:val="-2"/>
          <w:sz w:val="21"/>
        </w:rPr>
        <w:t>已</w:t>
      </w:r>
      <w:r>
        <w:rPr>
          <w:spacing w:val="-2"/>
          <w:sz w:val="21"/>
        </w:rPr>
        <w:t>经</w:t>
      </w:r>
      <w:r>
        <w:rPr>
          <w:spacing w:val="-2"/>
          <w:sz w:val="21"/>
        </w:rPr>
        <w:t>实施了切开心脏进行</w:t>
      </w:r>
      <w:r>
        <w:rPr>
          <w:spacing w:val="-2"/>
          <w:sz w:val="21"/>
        </w:rPr>
        <w:t>的</w:t>
      </w:r>
      <w:r>
        <w:rPr>
          <w:spacing w:val="-2"/>
          <w:sz w:val="21"/>
        </w:rPr>
        <w:t>心</w:t>
      </w:r>
      <w:r>
        <w:rPr>
          <w:spacing w:val="-2"/>
          <w:sz w:val="21"/>
        </w:rPr>
        <w:t>脏瓣膜置换或修复的手术</w:t>
      </w:r>
      <w:r>
        <w:rPr>
          <w:spacing w:val="-10"/>
          <w:sz w:val="21"/>
        </w:rPr>
        <w:t>。</w:t>
      </w:r>
    </w:p>
    <w:p>
      <w:pPr>
        <w:spacing w:before="23"/>
        <w:ind w:left="3081" w:right="0" w:firstLine="0"/>
        <w:jc w:val="left"/>
        <w:rPr>
          <w:rFonts w:ascii="黑体" w:eastAsia="黑体" w:hint="eastAsia"/>
          <w:b/>
          <w:sz w:val="21"/>
        </w:rPr>
      </w:pPr>
      <w:r>
        <w:rPr>
          <w:rFonts w:ascii="黑体" w:eastAsia="黑体" w:hint="eastAsia"/>
          <w:b/>
          <w:spacing w:val="-3"/>
          <w:sz w:val="21"/>
        </w:rPr>
        <w:t>所有未切开心脏的心脏瓣膜介入手术不在保障范围内。</w:t>
      </w:r>
    </w:p>
    <w:p>
      <w:pPr>
        <w:pStyle w:val="BodyText"/>
        <w:spacing w:before="7"/>
        <w:rPr>
          <w:rFonts w:ascii="黑体"/>
          <w:b/>
        </w:rPr>
      </w:pPr>
    </w:p>
    <w:p>
      <w:pPr>
        <w:spacing w:after="0"/>
        <w:rPr>
          <w:rFonts w:ascii="黑体"/>
        </w:rPr>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17、严重阿尔茨海</w:t>
      </w:r>
      <w:r>
        <w:rPr>
          <w:rFonts w:ascii="华文新魏" w:eastAsia="华文新魏" w:hint="eastAsia"/>
          <w:b/>
          <w:spacing w:val="-4"/>
          <w:sz w:val="21"/>
        </w:rPr>
        <w:t>默病*</w:t>
      </w:r>
    </w:p>
    <w:p>
      <w:pPr>
        <w:pStyle w:val="BodyText"/>
        <w:spacing w:line="278" w:lineRule="auto" w:before="79"/>
        <w:ind w:left="230" w:right="217"/>
      </w:pPr>
      <w:r>
        <w:rPr/>
        <w:br w:type="column"/>
      </w:r>
      <w:r>
        <w:rPr>
          <w:spacing w:val="-11"/>
        </w:rPr>
        <w:t>指因大脑进行性、不可逆性改变导致智能严重衰退或丧失，临床表现为严重的认知</w:t>
      </w:r>
      <w:r>
        <w:rPr>
          <w:spacing w:val="-2"/>
        </w:rPr>
        <w:t>功能障碍、精神行为异常和社交能力减退等，其日常生活必须持续受到他人监护。</w:t>
      </w:r>
      <w:r>
        <w:rPr>
          <w:spacing w:val="-2"/>
        </w:rPr>
        <w:t>须由头颅断层扫描</w:t>
      </w:r>
      <w:r>
        <w:rPr>
          <w:spacing w:val="22"/>
        </w:rPr>
        <w:t>（</w:t>
      </w:r>
      <w:r>
        <w:rPr>
          <w:spacing w:val="25"/>
        </w:rPr>
        <w:t>CT</w:t>
      </w:r>
      <w:r>
        <w:rPr>
          <w:spacing w:val="-83"/>
        </w:rPr>
        <w:t>）</w:t>
      </w:r>
      <w:r>
        <w:rPr>
          <w:spacing w:val="-2"/>
        </w:rPr>
        <w:t>、核磁共振检查（MRI）或正电子发射断层扫描（PET）等</w:t>
      </w:r>
      <w:r>
        <w:rPr>
          <w:spacing w:val="-2"/>
        </w:rPr>
        <w:t>影像学检查证实，并经相关专科医生确诊，且须满足下列至少一项条件：</w:t>
      </w:r>
    </w:p>
    <w:p>
      <w:pPr>
        <w:pStyle w:val="BodyText"/>
        <w:spacing w:line="278" w:lineRule="auto"/>
        <w:ind w:left="230" w:right="219"/>
      </w:pPr>
      <w:r>
        <w:rPr>
          <w:spacing w:val="-4"/>
        </w:rPr>
        <w:t>Ⅰ 由具有评估资格的专科医生根据临床痴呆评定量表</w:t>
      </w:r>
      <w:r>
        <w:rPr/>
        <w:t>（CDR，Clinical</w:t>
      </w:r>
      <w:r>
        <w:rPr>
          <w:spacing w:val="-17"/>
        </w:rPr>
        <w:t> </w:t>
      </w:r>
      <w:r>
        <w:rPr/>
        <w:t>Dementia Rating）</w:t>
      </w:r>
      <w:r>
        <w:rPr>
          <w:spacing w:val="-4"/>
        </w:rPr>
        <w:t>评估结果为 </w:t>
      </w:r>
      <w:r>
        <w:rPr/>
        <w:t>3</w:t>
      </w:r>
      <w:r>
        <w:rPr>
          <w:spacing w:val="-8"/>
        </w:rPr>
        <w:t> 分；</w:t>
      </w:r>
    </w:p>
    <w:p>
      <w:pPr>
        <w:pStyle w:val="BodyText"/>
        <w:spacing w:line="278" w:lineRule="auto"/>
        <w:ind w:left="230" w:right="322"/>
      </w:pPr>
      <w:r>
        <w:rPr>
          <w:spacing w:val="-6"/>
        </w:rPr>
        <w:t>Ⅱ 自主生活能力完全丧失，无法独立完成六项基本日常生活活动中的三项或三项</w:t>
      </w:r>
      <w:r>
        <w:rPr>
          <w:spacing w:val="-4"/>
        </w:rPr>
        <w:t>以上。</w:t>
      </w:r>
    </w:p>
    <w:p>
      <w:pPr>
        <w:spacing w:line="269" w:lineRule="exact" w:before="0"/>
        <w:ind w:left="230" w:right="0" w:firstLine="0"/>
        <w:jc w:val="left"/>
        <w:rPr>
          <w:rFonts w:ascii="黑体" w:eastAsia="黑体" w:hint="eastAsia"/>
          <w:b/>
          <w:sz w:val="21"/>
        </w:rPr>
      </w:pPr>
      <w:r>
        <w:rPr>
          <w:rFonts w:ascii="黑体" w:eastAsia="黑体" w:hint="eastAsia"/>
          <w:b/>
          <w:spacing w:val="-3"/>
          <w:sz w:val="21"/>
        </w:rPr>
        <w:t>阿尔茨海默病之外的其他类型痴呆不在保障范围内。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spacing w:before="7"/>
        <w:rPr>
          <w:rFonts w:ascii="黑体"/>
          <w:b/>
        </w:rPr>
      </w:pPr>
    </w:p>
    <w:p>
      <w:pPr>
        <w:pStyle w:val="BodyText"/>
        <w:tabs>
          <w:tab w:pos="3081" w:val="left" w:leader="none"/>
        </w:tabs>
        <w:spacing w:line="271" w:lineRule="auto" w:before="55"/>
        <w:ind w:left="3081" w:right="219" w:hanging="1949"/>
      </w:pPr>
      <w:r>
        <w:rPr>
          <w:rFonts w:ascii="华文新魏" w:eastAsia="华文新魏" w:hint="eastAsia"/>
          <w:b/>
          <w:spacing w:val="-2"/>
          <w:position w:val="2"/>
        </w:rPr>
        <w:t>18</w:t>
      </w:r>
      <w:r>
        <w:rPr>
          <w:rFonts w:ascii="华文新魏" w:eastAsia="华文新魏" w:hint="eastAsia"/>
          <w:b/>
          <w:spacing w:val="-2"/>
          <w:position w:val="2"/>
        </w:rPr>
        <w:t>、</w:t>
      </w:r>
      <w:r>
        <w:rPr>
          <w:rFonts w:ascii="华文新魏" w:eastAsia="华文新魏" w:hint="eastAsia"/>
          <w:b/>
          <w:spacing w:val="-2"/>
          <w:position w:val="2"/>
        </w:rPr>
        <w:t>严</w:t>
      </w:r>
      <w:r>
        <w:rPr>
          <w:rFonts w:ascii="华文新魏" w:eastAsia="华文新魏" w:hint="eastAsia"/>
          <w:b/>
          <w:spacing w:val="-2"/>
          <w:position w:val="2"/>
        </w:rPr>
        <w:t>重脑损伤*</w:t>
      </w:r>
      <w:r>
        <w:rPr>
          <w:rFonts w:ascii="华文新魏" w:eastAsia="华文新魏" w:hint="eastAsia"/>
          <w:b/>
          <w:position w:val="2"/>
        </w:rPr>
        <w:tab/>
      </w:r>
      <w:r>
        <w:rPr>
          <w:spacing w:val="-2"/>
        </w:rPr>
        <w:t>指</w:t>
      </w:r>
      <w:r>
        <w:rPr>
          <w:spacing w:val="-2"/>
        </w:rPr>
        <w:t>因</w:t>
      </w:r>
      <w:r>
        <w:rPr>
          <w:spacing w:val="-2"/>
        </w:rPr>
        <w:t>头部遭受机械性外力</w:t>
      </w:r>
      <w:r>
        <w:rPr>
          <w:spacing w:val="-108"/>
        </w:rPr>
        <w:t>，</w:t>
      </w:r>
      <w:r>
        <w:rPr>
          <w:spacing w:val="-2"/>
        </w:rPr>
        <w:t>引</w:t>
      </w:r>
      <w:r>
        <w:rPr>
          <w:spacing w:val="-2"/>
        </w:rPr>
        <w:t>起</w:t>
      </w:r>
      <w:r>
        <w:rPr>
          <w:spacing w:val="-2"/>
        </w:rPr>
        <w:t>脑重要部位损伤</w:t>
      </w:r>
      <w:r>
        <w:rPr>
          <w:spacing w:val="-106"/>
        </w:rPr>
        <w:t>，</w:t>
      </w:r>
      <w:r>
        <w:rPr>
          <w:spacing w:val="-2"/>
        </w:rPr>
        <w:t>导</w:t>
      </w:r>
      <w:r>
        <w:rPr>
          <w:spacing w:val="-2"/>
        </w:rPr>
        <w:t>致</w:t>
      </w:r>
      <w:r>
        <w:rPr>
          <w:spacing w:val="-2"/>
        </w:rPr>
        <w:t>神</w:t>
      </w:r>
      <w:r>
        <w:rPr>
          <w:spacing w:val="-2"/>
        </w:rPr>
        <w:t>经</w:t>
      </w:r>
      <w:r>
        <w:rPr>
          <w:spacing w:val="-2"/>
        </w:rPr>
        <w:t>系统永久性的功能障</w:t>
      </w:r>
      <w:r>
        <w:rPr>
          <w:spacing w:val="-2"/>
        </w:rPr>
        <w:t>碍</w:t>
      </w:r>
      <w:r>
        <w:rPr>
          <w:spacing w:val="-2"/>
        </w:rPr>
        <w:t>。</w:t>
      </w:r>
      <w:r>
        <w:rPr>
          <w:spacing w:val="-2"/>
        </w:rPr>
        <w:t>须</w:t>
      </w:r>
      <w:r>
        <w:rPr>
          <w:spacing w:val="-2"/>
        </w:rPr>
        <w:t>由</w:t>
      </w:r>
      <w:r>
        <w:rPr>
          <w:spacing w:val="-2"/>
        </w:rPr>
        <w:t>头颅断层扫描</w:t>
      </w:r>
      <w:r>
        <w:rPr>
          <w:spacing w:val="22"/>
        </w:rPr>
        <w:t>（</w:t>
      </w:r>
      <w:r>
        <w:rPr>
          <w:spacing w:val="25"/>
        </w:rPr>
        <w:t>CT</w:t>
      </w:r>
      <w:r>
        <w:rPr>
          <w:spacing w:val="-83"/>
        </w:rPr>
        <w:t>）</w:t>
      </w:r>
      <w:r>
        <w:rPr>
          <w:spacing w:val="-2"/>
        </w:rPr>
        <w:t>、</w:t>
      </w:r>
      <w:r>
        <w:rPr>
          <w:spacing w:val="-2"/>
        </w:rPr>
        <w:t>核</w:t>
      </w:r>
      <w:r>
        <w:rPr>
          <w:spacing w:val="-2"/>
        </w:rPr>
        <w:t>磁</w:t>
      </w:r>
      <w:r>
        <w:rPr>
          <w:spacing w:val="-2"/>
        </w:rPr>
        <w:t>共振检查（MRI）</w:t>
      </w:r>
      <w:r>
        <w:rPr>
          <w:spacing w:val="-2"/>
        </w:rPr>
        <w:t>或</w:t>
      </w:r>
      <w:r>
        <w:rPr>
          <w:spacing w:val="-2"/>
        </w:rPr>
        <w:t>正</w:t>
      </w:r>
      <w:r>
        <w:rPr>
          <w:spacing w:val="-2"/>
        </w:rPr>
        <w:t>电</w:t>
      </w:r>
      <w:r>
        <w:rPr>
          <w:spacing w:val="-2"/>
        </w:rPr>
        <w:t>子</w:t>
      </w:r>
      <w:r>
        <w:rPr>
          <w:spacing w:val="-2"/>
        </w:rPr>
        <w:t>发射断层扫描（PET）</w:t>
      </w:r>
      <w:r>
        <w:rPr>
          <w:spacing w:val="-2"/>
        </w:rPr>
        <w:t>等</w:t>
      </w:r>
      <w:r>
        <w:rPr/>
        <w:t>影像学检查证实。神经系</w:t>
      </w:r>
      <w:r>
        <w:rPr/>
        <w:t>统永久性的功能障碍，指脑损伤</w:t>
      </w:r>
      <w:r>
        <w:rPr>
          <w:spacing w:val="-52"/>
        </w:rPr>
        <w:t> </w:t>
      </w:r>
      <w:r>
        <w:rPr/>
        <w:t>180</w:t>
      </w:r>
      <w:r>
        <w:rPr>
          <w:spacing w:val="-55"/>
        </w:rPr>
        <w:t> </w:t>
      </w:r>
      <w:r>
        <w:rPr/>
        <w:t>天后，仍遗留</w:t>
      </w:r>
      <w:r>
        <w:rPr/>
        <w:t>下列至</w:t>
      </w:r>
      <w:r>
        <w:rPr>
          <w:spacing w:val="-2"/>
        </w:rPr>
        <w:t>少</w:t>
      </w:r>
      <w:r>
        <w:rPr>
          <w:spacing w:val="-2"/>
        </w:rPr>
        <w:t>一</w:t>
      </w:r>
      <w:r>
        <w:rPr>
          <w:spacing w:val="-2"/>
        </w:rPr>
        <w:t>种障碍：</w:t>
      </w:r>
    </w:p>
    <w:p>
      <w:pPr>
        <w:pStyle w:val="BodyText"/>
        <w:spacing w:before="6"/>
        <w:ind w:left="3081"/>
      </w:pPr>
      <w:r>
        <w:rPr>
          <w:spacing w:val="-8"/>
        </w:rPr>
        <w:t>Ⅰ 一肢</w:t>
      </w:r>
      <w:r>
        <w:rPr/>
        <w:t>（含）</w:t>
      </w:r>
      <w:r>
        <w:rPr>
          <w:spacing w:val="-8"/>
        </w:rPr>
        <w:t>以上肢体肌力 </w:t>
      </w:r>
      <w:r>
        <w:rPr/>
        <w:t>2</w:t>
      </w:r>
      <w:r>
        <w:rPr>
          <w:spacing w:val="-27"/>
        </w:rPr>
        <w:t> 级</w:t>
      </w:r>
      <w:r>
        <w:rPr/>
        <w:t>（含）</w:t>
      </w:r>
      <w:r>
        <w:rPr>
          <w:spacing w:val="-4"/>
        </w:rPr>
        <w:t>以下；</w:t>
      </w:r>
    </w:p>
    <w:p>
      <w:pPr>
        <w:pStyle w:val="BodyText"/>
        <w:spacing w:before="43"/>
        <w:ind w:left="3081"/>
      </w:pPr>
      <w:r>
        <w:rPr>
          <w:spacing w:val="-3"/>
        </w:rPr>
        <w:t>Ⅱ 语言能力完全丧失，或严重咀嚼吞咽功能障碍；</w:t>
      </w:r>
    </w:p>
    <w:p>
      <w:pPr>
        <w:pStyle w:val="BodyText"/>
        <w:spacing w:line="278" w:lineRule="auto" w:before="43"/>
        <w:ind w:left="3081" w:right="322"/>
      </w:pPr>
      <w:r>
        <w:rPr>
          <w:spacing w:val="-6"/>
        </w:rPr>
        <w:t>Ⅲ 自主生活能力完全丧失，无法独立完成六项基本日常生活活动中的三项或三项</w:t>
      </w:r>
      <w:r>
        <w:rPr>
          <w:spacing w:val="-4"/>
        </w:rPr>
        <w:t>以上。</w:t>
      </w: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19、严重原发性帕</w:t>
      </w:r>
      <w:r>
        <w:rPr>
          <w:rFonts w:ascii="华文新魏" w:eastAsia="华文新魏" w:hint="eastAsia"/>
          <w:b/>
          <w:spacing w:val="-4"/>
          <w:sz w:val="21"/>
        </w:rPr>
        <w:t>金森病*</w:t>
      </w:r>
    </w:p>
    <w:p>
      <w:pPr>
        <w:pStyle w:val="BodyText"/>
        <w:spacing w:line="278" w:lineRule="auto" w:before="79"/>
        <w:ind w:left="231" w:right="219"/>
      </w:pPr>
      <w:r>
        <w:rPr/>
        <w:br w:type="column"/>
      </w:r>
      <w:r>
        <w:rPr>
          <w:spacing w:val="-13"/>
        </w:rPr>
        <w:t>是一种中枢神经系统的退行性疾病，临床表现为运动迟缓、静止性震颤或肌强直等，</w:t>
      </w:r>
      <w:r>
        <w:rPr>
          <w:spacing w:val="-10"/>
        </w:rPr>
        <w:t>经相关专科医生确诊，且须满足自主生活能力完全丧失，无法独立完成六项基本日</w:t>
      </w:r>
      <w:r>
        <w:rPr>
          <w:spacing w:val="-2"/>
        </w:rPr>
        <w:t>常生活活动中的三项或三项以上。</w:t>
      </w:r>
    </w:p>
    <w:p>
      <w:pPr>
        <w:spacing w:line="269" w:lineRule="exact" w:before="0"/>
        <w:ind w:left="231" w:right="0" w:firstLine="0"/>
        <w:jc w:val="left"/>
        <w:rPr>
          <w:rFonts w:ascii="黑体" w:eastAsia="黑体" w:hint="eastAsia"/>
          <w:b/>
          <w:sz w:val="21"/>
        </w:rPr>
      </w:pPr>
      <w:r>
        <w:rPr>
          <w:rFonts w:ascii="黑体" w:eastAsia="黑体" w:hint="eastAsia"/>
          <w:b/>
          <w:spacing w:val="-3"/>
          <w:sz w:val="21"/>
        </w:rPr>
        <w:t>继发性帕金森综合征、帕金森叠加综合征不在保障范围内。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spacing w:before="7"/>
        <w:rPr>
          <w:rFonts w:ascii="黑体"/>
          <w:b/>
        </w:rPr>
      </w:pPr>
    </w:p>
    <w:p>
      <w:pPr>
        <w:tabs>
          <w:tab w:pos="3081" w:val="left" w:leader="none"/>
        </w:tabs>
        <w:spacing w:before="55"/>
        <w:ind w:left="1132" w:right="0" w:firstLine="0"/>
        <w:jc w:val="left"/>
        <w:rPr>
          <w:sz w:val="21"/>
        </w:rPr>
      </w:pPr>
      <w:r>
        <w:rPr>
          <w:rFonts w:ascii="华文新魏" w:hAnsi="华文新魏" w:eastAsia="华文新魏" w:hint="eastAsia"/>
          <w:b/>
          <w:spacing w:val="-2"/>
          <w:position w:val="2"/>
          <w:sz w:val="21"/>
        </w:rPr>
        <w:t>20</w:t>
      </w:r>
      <w:r>
        <w:rPr>
          <w:rFonts w:ascii="华文新魏" w:hAnsi="华文新魏" w:eastAsia="华文新魏" w:hint="eastAsia"/>
          <w:b/>
          <w:spacing w:val="-87"/>
          <w:position w:val="2"/>
          <w:sz w:val="21"/>
        </w:rPr>
        <w:t>、</w:t>
      </w:r>
      <w:r>
        <w:rPr>
          <w:rFonts w:ascii="华文新魏" w:hAnsi="华文新魏" w:eastAsia="华文新魏" w:hint="eastAsia"/>
          <w:b/>
          <w:spacing w:val="-2"/>
          <w:position w:val="2"/>
          <w:sz w:val="21"/>
        </w:rPr>
        <w:t>严</w:t>
      </w:r>
      <w:r>
        <w:rPr>
          <w:rFonts w:ascii="华文新魏" w:hAnsi="华文新魏" w:eastAsia="华文新魏" w:hint="eastAsia"/>
          <w:b/>
          <w:spacing w:val="-2"/>
          <w:position w:val="2"/>
          <w:sz w:val="21"/>
        </w:rPr>
        <w:t>重</w:t>
      </w:r>
      <w:r>
        <w:rPr>
          <w:rFonts w:ascii="华文新魏" w:hAnsi="华文新魏" w:eastAsia="华文新魏" w:hint="eastAsia"/>
          <w:b/>
          <w:spacing w:val="-2"/>
          <w:position w:val="2"/>
          <w:sz w:val="21"/>
        </w:rPr>
        <w:t>Ⅲ度烧伤</w:t>
      </w:r>
      <w:r>
        <w:rPr>
          <w:rFonts w:ascii="华文新魏" w:hAnsi="华文新魏" w:eastAsia="华文新魏" w:hint="eastAsia"/>
          <w:b/>
          <w:spacing w:val="-10"/>
          <w:position w:val="2"/>
          <w:sz w:val="21"/>
        </w:rPr>
        <w:t>*</w:t>
      </w:r>
      <w:r>
        <w:rPr>
          <w:rFonts w:ascii="华文新魏" w:hAnsi="华文新魏" w:eastAsia="华文新魏" w:hint="eastAsia"/>
          <w:b/>
          <w:position w:val="2"/>
          <w:sz w:val="21"/>
        </w:rPr>
        <w:tab/>
      </w:r>
      <w:r>
        <w:rPr>
          <w:spacing w:val="-2"/>
          <w:sz w:val="21"/>
        </w:rPr>
        <w:t>指</w:t>
      </w:r>
      <w:r>
        <w:rPr>
          <w:spacing w:val="-2"/>
          <w:sz w:val="21"/>
        </w:rPr>
        <w:t>烧</w:t>
      </w:r>
      <w:r>
        <w:rPr>
          <w:spacing w:val="-2"/>
          <w:sz w:val="21"/>
        </w:rPr>
        <w:t>伤程度为Ⅲ度，且Ⅲ</w:t>
      </w:r>
      <w:r>
        <w:rPr>
          <w:spacing w:val="-2"/>
          <w:sz w:val="21"/>
        </w:rPr>
        <w:t>度</w:t>
      </w:r>
      <w:r>
        <w:rPr>
          <w:spacing w:val="-2"/>
          <w:sz w:val="21"/>
        </w:rPr>
        <w:t>烧</w:t>
      </w:r>
      <w:r>
        <w:rPr>
          <w:spacing w:val="-2"/>
          <w:sz w:val="21"/>
        </w:rPr>
        <w:t>伤的面积达到全身体</w:t>
      </w:r>
      <w:r>
        <w:rPr>
          <w:spacing w:val="-2"/>
          <w:sz w:val="21"/>
        </w:rPr>
        <w:t>表</w:t>
      </w:r>
      <w:r>
        <w:rPr>
          <w:spacing w:val="-2"/>
          <w:sz w:val="21"/>
        </w:rPr>
        <w:t>面</w:t>
      </w:r>
      <w:r>
        <w:rPr>
          <w:spacing w:val="-2"/>
          <w:sz w:val="21"/>
        </w:rPr>
        <w:t>积的</w:t>
      </w:r>
      <w:r>
        <w:rPr>
          <w:spacing w:val="-40"/>
          <w:sz w:val="21"/>
        </w:rPr>
        <w:t> </w:t>
      </w:r>
      <w:r>
        <w:rPr>
          <w:spacing w:val="-2"/>
          <w:sz w:val="21"/>
        </w:rPr>
        <w:t>20％或</w:t>
      </w:r>
      <w:r>
        <w:rPr>
          <w:spacing w:val="-41"/>
          <w:sz w:val="21"/>
        </w:rPr>
        <w:t> </w:t>
      </w:r>
      <w:r>
        <w:rPr>
          <w:spacing w:val="-2"/>
          <w:sz w:val="21"/>
        </w:rPr>
        <w:t>20％</w:t>
      </w:r>
      <w:r>
        <w:rPr>
          <w:spacing w:val="-2"/>
          <w:sz w:val="21"/>
        </w:rPr>
        <w:t>以</w:t>
      </w:r>
      <w:r>
        <w:rPr>
          <w:spacing w:val="-2"/>
          <w:sz w:val="21"/>
        </w:rPr>
        <w:t>上</w:t>
      </w:r>
      <w:r>
        <w:rPr>
          <w:spacing w:val="-2"/>
          <w:sz w:val="21"/>
        </w:rPr>
        <w:t>。</w:t>
      </w:r>
      <w:r>
        <w:rPr>
          <w:spacing w:val="-10"/>
          <w:sz w:val="21"/>
        </w:rPr>
        <w:t>体</w:t>
      </w:r>
    </w:p>
    <w:p>
      <w:pPr>
        <w:spacing w:after="0"/>
        <w:jc w:val="left"/>
        <w:rPr>
          <w:sz w:val="21"/>
        </w:rPr>
        <w:sectPr>
          <w:type w:val="continuous"/>
          <w:pgSz w:w="11910" w:h="16840"/>
          <w:pgMar w:header="0" w:footer="655" w:top="140" w:bottom="280" w:left="560" w:right="480"/>
        </w:sectPr>
      </w:pPr>
    </w:p>
    <w:p>
      <w:pPr>
        <w:pStyle w:val="BodyText"/>
        <w:spacing w:before="58"/>
        <w:ind w:left="3081"/>
      </w:pPr>
      <w:r>
        <w:rPr>
          <w:spacing w:val="-3"/>
        </w:rPr>
        <w:t>表面积根据《中国新九分法》计算。</w:t>
      </w:r>
    </w:p>
    <w:p>
      <w:pPr>
        <w:pStyle w:val="BodyText"/>
        <w:spacing w:before="8"/>
      </w:pPr>
    </w:p>
    <w:p>
      <w:pPr>
        <w:spacing w:after="0"/>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21、严重特发性肺</w:t>
      </w:r>
      <w:r>
        <w:rPr>
          <w:rFonts w:ascii="华文新魏" w:eastAsia="华文新魏" w:hint="eastAsia"/>
          <w:b/>
          <w:spacing w:val="-2"/>
          <w:sz w:val="21"/>
        </w:rPr>
        <w:t>动脉高压*</w:t>
      </w:r>
    </w:p>
    <w:p>
      <w:pPr>
        <w:spacing w:line="271" w:lineRule="auto" w:before="78"/>
        <w:ind w:left="231" w:right="212" w:firstLine="0"/>
        <w:jc w:val="left"/>
        <w:rPr>
          <w:sz w:val="21"/>
        </w:rPr>
      </w:pPr>
      <w:r>
        <w:rPr/>
        <w:br w:type="column"/>
      </w:r>
      <w:r>
        <w:rPr>
          <w:spacing w:val="-7"/>
          <w:sz w:val="21"/>
        </w:rPr>
        <w:t>指不明原因的肺动脉压力持续性增高，进行性发展而导致的慢性疾病，已经造成永</w:t>
      </w:r>
      <w:r>
        <w:rPr>
          <w:sz w:val="21"/>
        </w:rPr>
        <w:t>久不可逆性的体力活动能力受限，达到</w:t>
      </w:r>
      <w:r>
        <w:rPr>
          <w:b/>
          <w:spacing w:val="-144"/>
          <w:sz w:val="21"/>
        </w:rPr>
        <w:t>美</w:t>
      </w:r>
      <w:r>
        <w:rPr>
          <w:spacing w:val="-58"/>
          <w:position w:val="-7"/>
          <w:sz w:val="21"/>
        </w:rPr>
        <w:t>．</w:t>
      </w:r>
      <w:r>
        <w:rPr>
          <w:b/>
          <w:spacing w:val="-144"/>
          <w:sz w:val="21"/>
        </w:rPr>
        <w:t>国</w:t>
      </w:r>
      <w:r>
        <w:rPr>
          <w:spacing w:val="-58"/>
          <w:position w:val="-7"/>
          <w:sz w:val="21"/>
        </w:rPr>
        <w:t>．</w:t>
      </w:r>
      <w:r>
        <w:rPr>
          <w:b/>
          <w:spacing w:val="-144"/>
          <w:sz w:val="21"/>
        </w:rPr>
        <w:t>纽</w:t>
      </w:r>
      <w:r>
        <w:rPr>
          <w:spacing w:val="-58"/>
          <w:position w:val="-7"/>
          <w:sz w:val="21"/>
        </w:rPr>
        <w:t>．</w:t>
      </w:r>
      <w:r>
        <w:rPr>
          <w:b/>
          <w:spacing w:val="-144"/>
          <w:sz w:val="21"/>
        </w:rPr>
        <w:t>约</w:t>
      </w:r>
      <w:r>
        <w:rPr>
          <w:spacing w:val="-58"/>
          <w:position w:val="-7"/>
          <w:sz w:val="21"/>
        </w:rPr>
        <w:t>．</w:t>
      </w:r>
      <w:r>
        <w:rPr>
          <w:b/>
          <w:spacing w:val="-144"/>
          <w:sz w:val="21"/>
        </w:rPr>
        <w:t>心</w:t>
      </w:r>
      <w:r>
        <w:rPr>
          <w:spacing w:val="-58"/>
          <w:position w:val="-7"/>
          <w:sz w:val="21"/>
        </w:rPr>
        <w:t>．</w:t>
      </w:r>
      <w:r>
        <w:rPr>
          <w:b/>
          <w:spacing w:val="-144"/>
          <w:sz w:val="21"/>
        </w:rPr>
        <w:t>脏</w:t>
      </w:r>
      <w:r>
        <w:rPr>
          <w:spacing w:val="-58"/>
          <w:position w:val="-7"/>
          <w:sz w:val="21"/>
        </w:rPr>
        <w:t>．</w:t>
      </w:r>
      <w:r>
        <w:rPr>
          <w:b/>
          <w:spacing w:val="-144"/>
          <w:sz w:val="21"/>
        </w:rPr>
        <w:t>病</w:t>
      </w:r>
      <w:r>
        <w:rPr>
          <w:spacing w:val="-58"/>
          <w:position w:val="-7"/>
          <w:sz w:val="21"/>
        </w:rPr>
        <w:t>．</w:t>
      </w:r>
      <w:r>
        <w:rPr>
          <w:b/>
          <w:spacing w:val="-144"/>
          <w:sz w:val="21"/>
        </w:rPr>
        <w:t>学</w:t>
      </w:r>
      <w:r>
        <w:rPr>
          <w:spacing w:val="-59"/>
          <w:position w:val="-7"/>
          <w:sz w:val="21"/>
        </w:rPr>
        <w:t>．</w:t>
      </w:r>
      <w:r>
        <w:rPr>
          <w:b/>
          <w:spacing w:val="-144"/>
          <w:sz w:val="21"/>
        </w:rPr>
        <w:t>会</w:t>
      </w:r>
      <w:r>
        <w:rPr>
          <w:spacing w:val="-59"/>
          <w:position w:val="-7"/>
          <w:sz w:val="21"/>
        </w:rPr>
        <w:t>．</w:t>
      </w:r>
      <w:r>
        <w:rPr>
          <w:b/>
          <w:spacing w:val="-144"/>
          <w:sz w:val="21"/>
        </w:rPr>
        <w:t>（</w:t>
      </w:r>
      <w:r>
        <w:rPr>
          <w:spacing w:val="-56"/>
          <w:position w:val="-7"/>
          <w:sz w:val="21"/>
        </w:rPr>
        <w:t>．</w:t>
      </w:r>
      <w:r>
        <w:rPr>
          <w:b/>
          <w:spacing w:val="-96"/>
          <w:w w:val="99"/>
          <w:sz w:val="21"/>
        </w:rPr>
        <w:t>N</w:t>
      </w:r>
      <w:r>
        <w:rPr>
          <w:spacing w:val="-116"/>
          <w:position w:val="-7"/>
          <w:sz w:val="21"/>
        </w:rPr>
        <w:t>．</w:t>
      </w:r>
      <w:r>
        <w:rPr>
          <w:b/>
          <w:spacing w:val="-96"/>
          <w:w w:val="99"/>
          <w:sz w:val="21"/>
        </w:rPr>
        <w:t>e</w:t>
      </w:r>
      <w:r>
        <w:rPr>
          <w:spacing w:val="-116"/>
          <w:position w:val="-7"/>
          <w:sz w:val="21"/>
        </w:rPr>
        <w:t>．</w:t>
      </w:r>
      <w:r>
        <w:rPr>
          <w:b/>
          <w:spacing w:val="-96"/>
          <w:w w:val="99"/>
          <w:sz w:val="21"/>
        </w:rPr>
        <w:t>w</w:t>
      </w:r>
      <w:r>
        <w:rPr>
          <w:spacing w:val="-1"/>
          <w:position w:val="-7"/>
          <w:sz w:val="21"/>
        </w:rPr>
        <w:t>．</w:t>
      </w:r>
      <w:r>
        <w:rPr>
          <w:b/>
          <w:spacing w:val="-96"/>
          <w:w w:val="99"/>
          <w:sz w:val="21"/>
        </w:rPr>
        <w:t>Y</w:t>
      </w:r>
      <w:r>
        <w:rPr>
          <w:spacing w:val="-116"/>
          <w:position w:val="-7"/>
          <w:sz w:val="21"/>
        </w:rPr>
        <w:t>．</w:t>
      </w:r>
      <w:r>
        <w:rPr>
          <w:b/>
          <w:spacing w:val="-96"/>
          <w:w w:val="99"/>
          <w:sz w:val="21"/>
        </w:rPr>
        <w:t>o</w:t>
      </w:r>
      <w:r>
        <w:rPr>
          <w:spacing w:val="-116"/>
          <w:position w:val="-7"/>
          <w:sz w:val="21"/>
        </w:rPr>
        <w:t>．</w:t>
      </w:r>
      <w:r>
        <w:rPr>
          <w:b/>
          <w:spacing w:val="-96"/>
          <w:w w:val="99"/>
          <w:sz w:val="21"/>
        </w:rPr>
        <w:t>r</w:t>
      </w:r>
      <w:r>
        <w:rPr>
          <w:spacing w:val="-116"/>
          <w:position w:val="-7"/>
          <w:sz w:val="21"/>
        </w:rPr>
        <w:t>．</w:t>
      </w:r>
      <w:r>
        <w:rPr>
          <w:b/>
          <w:spacing w:val="-96"/>
          <w:w w:val="99"/>
          <w:sz w:val="21"/>
        </w:rPr>
        <w:t>k</w:t>
      </w:r>
      <w:r>
        <w:rPr>
          <w:spacing w:val="1"/>
          <w:position w:val="-7"/>
          <w:sz w:val="21"/>
        </w:rPr>
        <w:t>．</w:t>
      </w:r>
      <w:r>
        <w:rPr>
          <w:b/>
          <w:spacing w:val="-96"/>
          <w:w w:val="99"/>
          <w:sz w:val="21"/>
        </w:rPr>
        <w:t>H</w:t>
      </w:r>
      <w:r>
        <w:rPr>
          <w:spacing w:val="-117"/>
          <w:position w:val="-7"/>
          <w:sz w:val="21"/>
        </w:rPr>
        <w:t>．</w:t>
      </w:r>
      <w:r>
        <w:rPr>
          <w:b/>
          <w:spacing w:val="-96"/>
          <w:w w:val="99"/>
          <w:sz w:val="21"/>
        </w:rPr>
        <w:t>e</w:t>
      </w:r>
      <w:r>
        <w:rPr>
          <w:spacing w:val="-117"/>
          <w:position w:val="-7"/>
          <w:sz w:val="21"/>
        </w:rPr>
        <w:t>．</w:t>
      </w:r>
      <w:r>
        <w:rPr>
          <w:b/>
          <w:spacing w:val="-96"/>
          <w:w w:val="99"/>
          <w:sz w:val="21"/>
        </w:rPr>
        <w:t>a</w:t>
      </w:r>
      <w:r>
        <w:rPr>
          <w:spacing w:val="-117"/>
          <w:position w:val="-7"/>
          <w:sz w:val="21"/>
        </w:rPr>
        <w:t>．</w:t>
      </w:r>
      <w:r>
        <w:rPr>
          <w:b/>
          <w:spacing w:val="-96"/>
          <w:w w:val="99"/>
          <w:sz w:val="21"/>
        </w:rPr>
        <w:t>r</w:t>
      </w:r>
      <w:r>
        <w:rPr>
          <w:spacing w:val="-117"/>
          <w:position w:val="-7"/>
          <w:sz w:val="21"/>
        </w:rPr>
        <w:t>．</w:t>
      </w:r>
      <w:r>
        <w:rPr>
          <w:b/>
          <w:spacing w:val="-96"/>
          <w:w w:val="99"/>
          <w:sz w:val="21"/>
        </w:rPr>
        <w:t>t</w:t>
      </w:r>
      <w:r>
        <w:rPr>
          <w:position w:val="-7"/>
          <w:sz w:val="21"/>
        </w:rPr>
        <w:t>． </w:t>
      </w:r>
      <w:r>
        <w:rPr>
          <w:b/>
          <w:spacing w:val="-107"/>
          <w:sz w:val="21"/>
        </w:rPr>
        <w:t>A</w:t>
      </w:r>
      <w:r>
        <w:rPr>
          <w:spacing w:val="-107"/>
          <w:position w:val="-7"/>
          <w:sz w:val="21"/>
        </w:rPr>
        <w:t>．</w:t>
      </w:r>
      <w:r>
        <w:rPr>
          <w:b/>
          <w:spacing w:val="-107"/>
          <w:sz w:val="21"/>
        </w:rPr>
        <w:t>s</w:t>
      </w:r>
      <w:r>
        <w:rPr>
          <w:spacing w:val="-107"/>
          <w:position w:val="-7"/>
          <w:sz w:val="21"/>
        </w:rPr>
        <w:t>．</w:t>
      </w:r>
      <w:r>
        <w:rPr>
          <w:b/>
          <w:spacing w:val="-107"/>
          <w:sz w:val="21"/>
        </w:rPr>
        <w:t>s</w:t>
      </w:r>
      <w:r>
        <w:rPr>
          <w:spacing w:val="-107"/>
          <w:position w:val="-7"/>
          <w:sz w:val="21"/>
        </w:rPr>
        <w:t>．</w:t>
      </w:r>
      <w:r>
        <w:rPr>
          <w:b/>
          <w:spacing w:val="-107"/>
          <w:sz w:val="21"/>
        </w:rPr>
        <w:t>o</w:t>
      </w:r>
      <w:r>
        <w:rPr>
          <w:spacing w:val="-107"/>
          <w:position w:val="-7"/>
          <w:sz w:val="21"/>
        </w:rPr>
        <w:t>．</w:t>
      </w:r>
      <w:r>
        <w:rPr>
          <w:b/>
          <w:spacing w:val="-107"/>
          <w:sz w:val="21"/>
        </w:rPr>
        <w:t>c</w:t>
      </w:r>
      <w:r>
        <w:rPr>
          <w:spacing w:val="-107"/>
          <w:position w:val="-7"/>
          <w:sz w:val="21"/>
        </w:rPr>
        <w:t>．</w:t>
      </w:r>
      <w:r>
        <w:rPr>
          <w:b/>
          <w:spacing w:val="-107"/>
          <w:sz w:val="21"/>
        </w:rPr>
        <w:t>i</w:t>
      </w:r>
      <w:r>
        <w:rPr>
          <w:spacing w:val="-107"/>
          <w:position w:val="-7"/>
          <w:sz w:val="21"/>
        </w:rPr>
        <w:t>．</w:t>
      </w:r>
      <w:r>
        <w:rPr>
          <w:b/>
          <w:spacing w:val="-107"/>
          <w:sz w:val="21"/>
        </w:rPr>
        <w:t>a</w:t>
      </w:r>
      <w:r>
        <w:rPr>
          <w:spacing w:val="-107"/>
          <w:position w:val="-7"/>
          <w:sz w:val="21"/>
        </w:rPr>
        <w:t>．</w:t>
      </w:r>
      <w:r>
        <w:rPr>
          <w:b/>
          <w:spacing w:val="-107"/>
          <w:sz w:val="21"/>
        </w:rPr>
        <w:t>t</w:t>
      </w:r>
      <w:r>
        <w:rPr>
          <w:spacing w:val="-107"/>
          <w:position w:val="-7"/>
          <w:sz w:val="21"/>
        </w:rPr>
        <w:t>．</w:t>
      </w:r>
      <w:r>
        <w:rPr>
          <w:b/>
          <w:spacing w:val="-107"/>
          <w:sz w:val="21"/>
        </w:rPr>
        <w:t>i</w:t>
      </w:r>
      <w:r>
        <w:rPr>
          <w:spacing w:val="-107"/>
          <w:position w:val="-7"/>
          <w:sz w:val="21"/>
        </w:rPr>
        <w:t>．</w:t>
      </w:r>
      <w:r>
        <w:rPr>
          <w:b/>
          <w:spacing w:val="-107"/>
          <w:sz w:val="21"/>
        </w:rPr>
        <w:t>o</w:t>
      </w:r>
      <w:r>
        <w:rPr>
          <w:spacing w:val="-107"/>
          <w:position w:val="-7"/>
          <w:sz w:val="21"/>
        </w:rPr>
        <w:t>．</w:t>
      </w:r>
      <w:r>
        <w:rPr>
          <w:b/>
          <w:spacing w:val="-107"/>
          <w:sz w:val="21"/>
        </w:rPr>
        <w:t>n</w:t>
      </w:r>
      <w:r>
        <w:rPr>
          <w:spacing w:val="-107"/>
          <w:position w:val="-7"/>
          <w:sz w:val="21"/>
        </w:rPr>
        <w:t>．</w:t>
      </w:r>
      <w:r>
        <w:rPr>
          <w:b/>
          <w:spacing w:val="-107"/>
          <w:sz w:val="21"/>
        </w:rPr>
        <w:t>，</w:t>
      </w:r>
      <w:r>
        <w:rPr>
          <w:spacing w:val="-107"/>
          <w:position w:val="-7"/>
          <w:sz w:val="21"/>
        </w:rPr>
        <w:t>．</w:t>
      </w:r>
      <w:r>
        <w:rPr>
          <w:b/>
          <w:spacing w:val="-107"/>
          <w:sz w:val="21"/>
        </w:rPr>
        <w:t>N</w:t>
      </w:r>
      <w:r>
        <w:rPr>
          <w:spacing w:val="-107"/>
          <w:position w:val="-7"/>
          <w:sz w:val="21"/>
        </w:rPr>
        <w:t>．</w:t>
      </w:r>
      <w:r>
        <w:rPr>
          <w:b/>
          <w:spacing w:val="-107"/>
          <w:sz w:val="21"/>
        </w:rPr>
        <w:t>Y</w:t>
      </w:r>
      <w:r>
        <w:rPr>
          <w:spacing w:val="-107"/>
          <w:position w:val="-7"/>
          <w:sz w:val="21"/>
        </w:rPr>
        <w:t>．</w:t>
      </w:r>
      <w:r>
        <w:rPr>
          <w:b/>
          <w:spacing w:val="-107"/>
          <w:sz w:val="21"/>
        </w:rPr>
        <w:t>H</w:t>
      </w:r>
      <w:r>
        <w:rPr>
          <w:spacing w:val="-107"/>
          <w:position w:val="-7"/>
          <w:sz w:val="21"/>
        </w:rPr>
        <w:t>．</w:t>
      </w:r>
      <w:r>
        <w:rPr>
          <w:b/>
          <w:spacing w:val="-107"/>
          <w:sz w:val="21"/>
        </w:rPr>
        <w:t>A</w:t>
      </w:r>
      <w:r>
        <w:rPr>
          <w:spacing w:val="-107"/>
          <w:position w:val="-7"/>
          <w:sz w:val="21"/>
        </w:rPr>
        <w:t>．</w:t>
      </w:r>
      <w:r>
        <w:rPr>
          <w:b/>
          <w:spacing w:val="-107"/>
          <w:sz w:val="21"/>
        </w:rPr>
        <w:t>）</w:t>
      </w:r>
      <w:r>
        <w:rPr>
          <w:spacing w:val="-107"/>
          <w:position w:val="-7"/>
          <w:sz w:val="21"/>
        </w:rPr>
        <w:t>．</w:t>
      </w:r>
      <w:r>
        <w:rPr>
          <w:b/>
          <w:spacing w:val="-149"/>
          <w:sz w:val="21"/>
        </w:rPr>
        <w:t>心</w:t>
      </w:r>
      <w:r>
        <w:rPr>
          <w:spacing w:val="-63"/>
          <w:position w:val="-7"/>
          <w:sz w:val="21"/>
        </w:rPr>
        <w:t>．</w:t>
      </w:r>
      <w:r>
        <w:rPr>
          <w:b/>
          <w:spacing w:val="-149"/>
          <w:sz w:val="21"/>
        </w:rPr>
        <w:t>功</w:t>
      </w:r>
      <w:r>
        <w:rPr>
          <w:spacing w:val="-63"/>
          <w:position w:val="-7"/>
          <w:sz w:val="21"/>
        </w:rPr>
        <w:t>．</w:t>
      </w:r>
      <w:r>
        <w:rPr>
          <w:b/>
          <w:spacing w:val="-149"/>
          <w:sz w:val="21"/>
        </w:rPr>
        <w:t>能</w:t>
      </w:r>
      <w:r>
        <w:rPr>
          <w:spacing w:val="-63"/>
          <w:position w:val="-7"/>
          <w:sz w:val="21"/>
        </w:rPr>
        <w:t>．</w:t>
      </w:r>
      <w:r>
        <w:rPr>
          <w:b/>
          <w:spacing w:val="-149"/>
          <w:sz w:val="21"/>
        </w:rPr>
        <w:t>状</w:t>
      </w:r>
      <w:r>
        <w:rPr>
          <w:spacing w:val="-63"/>
          <w:position w:val="-7"/>
          <w:sz w:val="21"/>
        </w:rPr>
        <w:t>．</w:t>
      </w:r>
      <w:r>
        <w:rPr>
          <w:b/>
          <w:spacing w:val="-149"/>
          <w:sz w:val="21"/>
        </w:rPr>
        <w:t>态</w:t>
      </w:r>
      <w:r>
        <w:rPr>
          <w:spacing w:val="-63"/>
          <w:position w:val="-7"/>
          <w:sz w:val="21"/>
        </w:rPr>
        <w:t>．</w:t>
      </w:r>
      <w:r>
        <w:rPr>
          <w:b/>
          <w:spacing w:val="-149"/>
          <w:sz w:val="21"/>
        </w:rPr>
        <w:t>分</w:t>
      </w:r>
      <w:r>
        <w:rPr>
          <w:spacing w:val="-63"/>
          <w:position w:val="-7"/>
          <w:sz w:val="21"/>
        </w:rPr>
        <w:t>．</w:t>
      </w:r>
      <w:r>
        <w:rPr>
          <w:b/>
          <w:spacing w:val="-149"/>
          <w:sz w:val="21"/>
        </w:rPr>
        <w:t>级</w:t>
      </w:r>
      <w:r>
        <w:rPr>
          <w:position w:val="-7"/>
          <w:sz w:val="21"/>
        </w:rPr>
        <w:t>．</w:t>
      </w:r>
      <w:r>
        <w:rPr>
          <w:sz w:val="21"/>
        </w:rPr>
        <w:t>（见注 10）IV 级，且静息状态下肺动脉平</w:t>
      </w:r>
      <w:r>
        <w:rPr>
          <w:spacing w:val="-10"/>
          <w:sz w:val="21"/>
        </w:rPr>
        <w:t>均压在 </w:t>
      </w:r>
      <w:r>
        <w:rPr>
          <w:sz w:val="21"/>
        </w:rPr>
        <w:t>36mmHg（含）以上。</w:t>
      </w:r>
    </w:p>
    <w:p>
      <w:pPr>
        <w:pStyle w:val="BodyText"/>
        <w:spacing w:line="278" w:lineRule="auto" w:before="9"/>
        <w:ind w:left="231" w:right="379"/>
      </w:pPr>
      <w:r>
        <w:rPr>
          <w:spacing w:val="-26"/>
        </w:rPr>
        <w:t>注 </w:t>
      </w:r>
      <w:r>
        <w:rPr/>
        <w:t>10：美国纽约心脏病学会（New</w:t>
      </w:r>
      <w:r>
        <w:rPr>
          <w:spacing w:val="-14"/>
        </w:rPr>
        <w:t> </w:t>
      </w:r>
      <w:r>
        <w:rPr/>
        <w:t>York</w:t>
      </w:r>
      <w:r>
        <w:rPr>
          <w:spacing w:val="-10"/>
        </w:rPr>
        <w:t> </w:t>
      </w:r>
      <w:r>
        <w:rPr/>
        <w:t>Heart</w:t>
      </w:r>
      <w:r>
        <w:rPr>
          <w:spacing w:val="-12"/>
        </w:rPr>
        <w:t> </w:t>
      </w:r>
      <w:r>
        <w:rPr/>
        <w:t>Association，NYHA）将心功能状</w:t>
      </w:r>
      <w:r>
        <w:rPr>
          <w:spacing w:val="-2"/>
        </w:rPr>
        <w:t>态分为四级：</w:t>
      </w:r>
    </w:p>
    <w:p>
      <w:pPr>
        <w:pStyle w:val="BodyText"/>
        <w:spacing w:line="278" w:lineRule="auto"/>
        <w:ind w:left="231" w:right="322"/>
      </w:pPr>
      <w:r>
        <w:rPr>
          <w:spacing w:val="-4"/>
        </w:rPr>
        <w:t>Ⅰ级：心脏病病人日常活动量不受限制，一般活动不引起乏力、呼吸困难等心衰症</w:t>
      </w:r>
      <w:r>
        <w:rPr>
          <w:spacing w:val="-6"/>
        </w:rPr>
        <w:t>状。</w:t>
      </w:r>
    </w:p>
    <w:p>
      <w:pPr>
        <w:pStyle w:val="BodyText"/>
        <w:spacing w:line="278" w:lineRule="auto"/>
        <w:ind w:left="231" w:right="322"/>
      </w:pPr>
      <w:r>
        <w:rPr>
          <w:spacing w:val="-4"/>
        </w:rPr>
        <w:t>Ⅱ级：心脏病病人体力活动轻度受限制，休息时无自觉症状，一般活动下可出现心</w:t>
      </w:r>
      <w:r>
        <w:rPr>
          <w:spacing w:val="-4"/>
        </w:rPr>
        <w:t>衰症状。</w:t>
      </w:r>
    </w:p>
    <w:p>
      <w:pPr>
        <w:pStyle w:val="BodyText"/>
        <w:spacing w:line="278" w:lineRule="auto"/>
        <w:ind w:left="231" w:right="322"/>
      </w:pPr>
      <w:r>
        <w:rPr>
          <w:spacing w:val="-2"/>
        </w:rPr>
        <w:t>Ⅲ级：心脏病病人体力活动明显受限，低于平时一般活动即引起心衰症状。</w:t>
      </w:r>
      <w:r>
        <w:rPr>
          <w:spacing w:val="80"/>
          <w:w w:val="150"/>
        </w:rPr>
        <w:t>  </w:t>
      </w:r>
      <w:r>
        <w:rPr>
          <w:spacing w:val="-4"/>
        </w:rPr>
        <w:t>Ⅳ级：心脏病病人不能从事任何体力活动，休息状态下也存在心衰症状，活动后加</w:t>
      </w:r>
      <w:r>
        <w:rPr>
          <w:spacing w:val="-6"/>
        </w:rPr>
        <w:t>重。</w:t>
      </w:r>
    </w:p>
    <w:p>
      <w:pPr>
        <w:spacing w:after="0" w:line="278" w:lineRule="auto"/>
        <w:sectPr>
          <w:type w:val="continuous"/>
          <w:pgSz w:w="11910" w:h="16840"/>
          <w:pgMar w:header="0" w:footer="655" w:top="140" w:bottom="280" w:left="560" w:right="480"/>
          <w:cols w:num="2" w:equalWidth="0">
            <w:col w:w="2811" w:space="40"/>
            <w:col w:w="8019"/>
          </w:cols>
        </w:sectPr>
      </w:pPr>
    </w:p>
    <w:p>
      <w:pPr>
        <w:pStyle w:val="BodyText"/>
        <w:spacing w:before="2"/>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22、严重运动神经</w:t>
      </w:r>
      <w:r>
        <w:rPr>
          <w:rFonts w:ascii="华文新魏" w:eastAsia="华文新魏" w:hint="eastAsia"/>
          <w:b/>
          <w:spacing w:val="-4"/>
          <w:sz w:val="21"/>
        </w:rPr>
        <w:t>元病*</w:t>
      </w:r>
    </w:p>
    <w:p>
      <w:pPr>
        <w:pStyle w:val="BodyText"/>
        <w:spacing w:line="278" w:lineRule="auto" w:before="79"/>
        <w:ind w:left="194" w:right="322"/>
        <w:jc w:val="both"/>
      </w:pPr>
      <w:r>
        <w:rPr/>
        <w:br w:type="column"/>
      </w:r>
      <w:r>
        <w:rPr>
          <w:spacing w:val="-7"/>
        </w:rPr>
        <w:t>是一组中枢神经系统运动神经元的进行性变性疾病，包括进行性脊肌萎缩症、进行</w:t>
      </w:r>
      <w:r>
        <w:rPr>
          <w:spacing w:val="-2"/>
        </w:rPr>
        <w:t>性延髓麻痹症、原发性侧索硬化症、肌萎缩性侧索硬化症,经相关专科医生确诊，</w:t>
      </w:r>
      <w:r>
        <w:rPr>
          <w:spacing w:val="-2"/>
        </w:rPr>
        <w:t>且须满足下列至少一项条件：</w:t>
      </w:r>
    </w:p>
    <w:p>
      <w:pPr>
        <w:pStyle w:val="BodyText"/>
        <w:spacing w:line="269" w:lineRule="exact"/>
        <w:ind w:left="194"/>
        <w:jc w:val="both"/>
      </w:pPr>
      <w:r>
        <w:rPr>
          <w:spacing w:val="-6"/>
        </w:rPr>
        <w:t>Ⅰ 严重咀嚼吞咽功能障碍；</w:t>
      </w:r>
    </w:p>
    <w:p>
      <w:pPr>
        <w:pStyle w:val="BodyText"/>
        <w:spacing w:before="43"/>
        <w:ind w:left="194"/>
        <w:jc w:val="both"/>
      </w:pPr>
      <w:r>
        <w:rPr>
          <w:spacing w:val="-4"/>
        </w:rPr>
        <w:t>Ⅱ 呼吸肌麻痹导致严重呼吸困难，且已经持续使用呼吸机 </w:t>
      </w:r>
      <w:r>
        <w:rPr>
          <w:spacing w:val="-2"/>
        </w:rPr>
        <w:t>7</w:t>
      </w:r>
      <w:r>
        <w:rPr>
          <w:spacing w:val="-25"/>
        </w:rPr>
        <w:t> 天</w:t>
      </w:r>
      <w:r>
        <w:rPr>
          <w:spacing w:val="-2"/>
        </w:rPr>
        <w:t>（含）</w:t>
      </w:r>
      <w:r>
        <w:rPr>
          <w:spacing w:val="-5"/>
        </w:rPr>
        <w:t>以上；</w:t>
      </w:r>
    </w:p>
    <w:p>
      <w:pPr>
        <w:pStyle w:val="BodyText"/>
        <w:spacing w:line="278" w:lineRule="auto" w:before="42"/>
        <w:ind w:left="194" w:right="322"/>
        <w:jc w:val="both"/>
      </w:pPr>
      <w:r>
        <w:rPr>
          <w:spacing w:val="-6"/>
        </w:rPr>
        <w:t>Ⅲ 自主生活能力完全丧失，无法独立完成六项基本日常生活活动中的三项或三项</w:t>
      </w:r>
      <w:r>
        <w:rPr>
          <w:spacing w:val="-4"/>
        </w:rPr>
        <w:t>以上。</w:t>
      </w:r>
    </w:p>
    <w:p>
      <w:pPr>
        <w:spacing w:after="0" w:line="278" w:lineRule="auto"/>
        <w:jc w:val="both"/>
        <w:sectPr>
          <w:type w:val="continuous"/>
          <w:pgSz w:w="11910" w:h="16840"/>
          <w:pgMar w:header="0" w:footer="655" w:top="140" w:bottom="280" w:left="560" w:right="480"/>
          <w:cols w:num="2" w:equalWidth="0">
            <w:col w:w="2847" w:space="40"/>
            <w:col w:w="7983"/>
          </w:cols>
        </w:sectPr>
      </w:pPr>
    </w:p>
    <w:p>
      <w:pPr>
        <w:pStyle w:val="BodyText"/>
        <w:spacing w:before="4"/>
        <w:rPr>
          <w:sz w:val="18"/>
        </w:rPr>
      </w:pPr>
    </w:p>
    <w:p>
      <w:pPr>
        <w:pStyle w:val="BodyText"/>
        <w:tabs>
          <w:tab w:pos="3081" w:val="left" w:leader="none"/>
        </w:tabs>
        <w:spacing w:line="256" w:lineRule="auto" w:before="54"/>
        <w:ind w:left="3081" w:right="322" w:hanging="1949"/>
      </w:pPr>
      <w:r>
        <w:rPr>
          <w:rFonts w:ascii="华文新魏" w:eastAsia="华文新魏" w:hint="eastAsia"/>
          <w:b/>
          <w:spacing w:val="-2"/>
          <w:position w:val="2"/>
        </w:rPr>
        <w:t>23</w:t>
      </w:r>
      <w:r>
        <w:rPr>
          <w:rFonts w:ascii="华文新魏" w:eastAsia="华文新魏" w:hint="eastAsia"/>
          <w:b/>
          <w:spacing w:val="-82"/>
          <w:position w:val="2"/>
        </w:rPr>
        <w:t>、</w:t>
      </w:r>
      <w:r>
        <w:rPr>
          <w:rFonts w:ascii="华文新魏" w:eastAsia="华文新魏" w:hint="eastAsia"/>
          <w:b/>
          <w:spacing w:val="-2"/>
          <w:position w:val="2"/>
        </w:rPr>
        <w:t>语</w:t>
      </w:r>
      <w:r>
        <w:rPr>
          <w:rFonts w:ascii="华文新魏" w:eastAsia="华文新魏" w:hint="eastAsia"/>
          <w:b/>
          <w:spacing w:val="-2"/>
          <w:position w:val="2"/>
        </w:rPr>
        <w:t>言</w:t>
      </w:r>
      <w:r>
        <w:rPr>
          <w:rFonts w:ascii="华文新魏" w:eastAsia="华文新魏" w:hint="eastAsia"/>
          <w:b/>
          <w:spacing w:val="-2"/>
          <w:position w:val="2"/>
        </w:rPr>
        <w:t>能</w:t>
      </w:r>
      <w:r>
        <w:rPr>
          <w:rFonts w:ascii="华文新魏" w:eastAsia="华文新魏" w:hint="eastAsia"/>
          <w:b/>
          <w:spacing w:val="-2"/>
          <w:position w:val="2"/>
        </w:rPr>
        <w:t>力丧失*</w:t>
      </w:r>
      <w:r>
        <w:rPr>
          <w:rFonts w:ascii="华文新魏" w:eastAsia="华文新魏" w:hint="eastAsia"/>
          <w:b/>
          <w:position w:val="2"/>
        </w:rPr>
        <w:tab/>
      </w:r>
      <w:r>
        <w:rPr/>
        <w:t>指因疾病或意外伤害导致</w:t>
      </w:r>
      <w:r>
        <w:rPr/>
        <w:t>语言能力完全丧失，经过</w:t>
      </w:r>
      <w:r>
        <w:rPr/>
        <w:t>积极治疗至少</w:t>
      </w:r>
      <w:r>
        <w:rPr>
          <w:spacing w:val="-52"/>
        </w:rPr>
        <w:t> </w:t>
      </w:r>
      <w:r>
        <w:rPr/>
        <w:t>12</w:t>
      </w:r>
      <w:r>
        <w:rPr>
          <w:spacing w:val="-53"/>
        </w:rPr>
        <w:t> </w:t>
      </w:r>
      <w:r>
        <w:rPr/>
        <w:t>个月（</w:t>
      </w:r>
      <w:r>
        <w:rPr/>
        <w:t>声</w:t>
      </w:r>
      <w:r>
        <w:rPr/>
        <w:t>带完</w:t>
      </w:r>
      <w:r>
        <w:rPr>
          <w:spacing w:val="-2"/>
        </w:rPr>
        <w:t>全</w:t>
      </w:r>
      <w:r>
        <w:rPr>
          <w:spacing w:val="-2"/>
        </w:rPr>
        <w:t>切</w:t>
      </w:r>
      <w:r>
        <w:rPr>
          <w:spacing w:val="-2"/>
        </w:rPr>
        <w:t>除不受此时间限制</w:t>
      </w:r>
      <w:r>
        <w:rPr>
          <w:spacing w:val="-108"/>
        </w:rPr>
        <w:t>）</w:t>
      </w:r>
      <w:r>
        <w:rPr>
          <w:spacing w:val="-3"/>
        </w:rPr>
        <w:t>，</w:t>
      </w:r>
      <w:r>
        <w:rPr>
          <w:spacing w:val="-2"/>
        </w:rPr>
        <w:t>仍</w:t>
      </w:r>
      <w:r>
        <w:rPr>
          <w:spacing w:val="-2"/>
        </w:rPr>
        <w:t>无</w:t>
      </w:r>
      <w:r>
        <w:rPr>
          <w:spacing w:val="-2"/>
        </w:rPr>
        <w:t>法通过现有医疗手段</w:t>
      </w:r>
      <w:r>
        <w:rPr>
          <w:spacing w:val="-2"/>
        </w:rPr>
        <w:t>恢</w:t>
      </w:r>
      <w:r>
        <w:rPr>
          <w:spacing w:val="-2"/>
        </w:rPr>
        <w:t>复</w:t>
      </w:r>
      <w:r>
        <w:rPr>
          <w:spacing w:val="-2"/>
        </w:rPr>
        <w:t>。</w:t>
      </w:r>
    </w:p>
    <w:p>
      <w:pPr>
        <w:spacing w:before="26"/>
        <w:ind w:left="3081" w:right="0" w:firstLine="0"/>
        <w:jc w:val="left"/>
        <w:rPr>
          <w:rFonts w:ascii="黑体" w:eastAsia="黑体" w:hint="eastAsia"/>
          <w:b/>
          <w:sz w:val="21"/>
        </w:rPr>
      </w:pPr>
      <w:r>
        <w:rPr>
          <w:rFonts w:ascii="黑体" w:eastAsia="黑体" w:hint="eastAsia"/>
          <w:b/>
          <w:spacing w:val="-3"/>
          <w:sz w:val="21"/>
        </w:rPr>
        <w:t>精神心理因素所致的语言能力丧失不在保障范围内。</w:t>
      </w:r>
    </w:p>
    <w:p>
      <w:pPr>
        <w:spacing w:line="278" w:lineRule="auto" w:before="42"/>
        <w:ind w:left="3081" w:right="401" w:firstLine="0"/>
        <w:jc w:val="left"/>
        <w:rPr>
          <w:rFonts w:ascii="黑体" w:eastAsia="黑体" w:hint="eastAsia"/>
          <w:b/>
          <w:sz w:val="21"/>
        </w:rPr>
      </w:pPr>
      <w:r>
        <w:rPr>
          <w:rFonts w:ascii="黑体" w:eastAsia="黑体" w:hint="eastAsia"/>
          <w:b/>
          <w:spacing w:val="-5"/>
          <w:sz w:val="21"/>
        </w:rPr>
        <w:t>被保险人申请理赔时年龄必须在 </w:t>
      </w:r>
      <w:r>
        <w:rPr>
          <w:rFonts w:ascii="黑体" w:eastAsia="黑体" w:hint="eastAsia"/>
          <w:b/>
          <w:spacing w:val="-2"/>
          <w:sz w:val="21"/>
        </w:rPr>
        <w:t>3</w:t>
      </w:r>
      <w:r>
        <w:rPr>
          <w:rFonts w:ascii="黑体" w:eastAsia="黑体" w:hint="eastAsia"/>
          <w:b/>
          <w:spacing w:val="-8"/>
          <w:sz w:val="21"/>
        </w:rPr>
        <w:t> 周岁以上，并且提供理赔当时的语言能力丧失</w:t>
      </w:r>
      <w:r>
        <w:rPr>
          <w:rFonts w:ascii="黑体" w:eastAsia="黑体" w:hint="eastAsia"/>
          <w:b/>
          <w:spacing w:val="-2"/>
          <w:sz w:val="21"/>
        </w:rPr>
        <w:t>诊断及检查证据。</w:t>
      </w:r>
    </w:p>
    <w:p>
      <w:pPr>
        <w:pStyle w:val="BodyText"/>
        <w:spacing w:before="3"/>
        <w:rPr>
          <w:rFonts w:ascii="黑体"/>
          <w:b/>
          <w:sz w:val="18"/>
        </w:rPr>
      </w:pPr>
    </w:p>
    <w:p>
      <w:pPr>
        <w:spacing w:after="0"/>
        <w:rPr>
          <w:rFonts w:ascii="黑体"/>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24、重型再生障碍</w:t>
      </w:r>
      <w:r>
        <w:rPr>
          <w:rFonts w:ascii="华文新魏" w:eastAsia="华文新魏" w:hint="eastAsia"/>
          <w:b/>
          <w:spacing w:val="-4"/>
          <w:sz w:val="21"/>
        </w:rPr>
        <w:t>性贫血*</w:t>
      </w:r>
    </w:p>
    <w:p>
      <w:pPr>
        <w:pStyle w:val="BodyText"/>
        <w:spacing w:line="278" w:lineRule="auto" w:before="79"/>
        <w:ind w:left="194" w:right="322"/>
      </w:pPr>
      <w:r>
        <w:rPr/>
        <w:br w:type="column"/>
      </w:r>
      <w:r>
        <w:rPr>
          <w:spacing w:val="-7"/>
        </w:rPr>
        <w:t>指因骨髓造血功能慢性持续性衰竭导致的贫血、中性粒细胞减少及血小板减少，且</w:t>
      </w:r>
      <w:r>
        <w:rPr>
          <w:spacing w:val="-2"/>
        </w:rPr>
        <w:t>须满足下列全部条件：</w:t>
      </w:r>
    </w:p>
    <w:p>
      <w:pPr>
        <w:pStyle w:val="BodyText"/>
        <w:spacing w:line="278" w:lineRule="auto"/>
        <w:ind w:left="194" w:right="322"/>
      </w:pPr>
      <w:r>
        <w:rPr>
          <w:spacing w:val="-6"/>
        </w:rPr>
        <w:t>Ⅰ 骨髓穿刺检查或骨髓活检结果支持诊断：骨髓细胞增生程度&lt;正常的 </w:t>
      </w:r>
      <w:r>
        <w:rPr>
          <w:spacing w:val="-2"/>
        </w:rPr>
        <w:t>25%；如≥</w:t>
      </w:r>
      <w:r>
        <w:rPr>
          <w:spacing w:val="-10"/>
        </w:rPr>
        <w:t>正常的 </w:t>
      </w:r>
      <w:r>
        <w:rPr/>
        <w:t>25%但&lt;50%，则残存的造血细胞应&lt;30%；</w:t>
      </w:r>
    </w:p>
    <w:p>
      <w:pPr>
        <w:pStyle w:val="BodyText"/>
        <w:spacing w:line="269" w:lineRule="exact"/>
        <w:ind w:left="194"/>
      </w:pPr>
      <w:r>
        <w:rPr>
          <w:spacing w:val="-6"/>
        </w:rPr>
        <w:t>Ⅱ 外周血象须具备以下三项条件：</w:t>
      </w:r>
    </w:p>
    <w:p>
      <w:pPr>
        <w:pStyle w:val="BodyText"/>
        <w:spacing w:before="32"/>
        <w:ind w:left="615"/>
      </w:pPr>
      <w:r>
        <w:rPr>
          <w:spacing w:val="-2"/>
        </w:rPr>
        <w:t>1.</w:t>
      </w:r>
      <w:r>
        <w:rPr>
          <w:spacing w:val="-9"/>
        </w:rPr>
        <w:t> 中性粒细胞绝对值&lt;</w:t>
      </w:r>
      <w:r>
        <w:rPr>
          <w:spacing w:val="-2"/>
        </w:rPr>
        <w:t>0.5×10</w:t>
      </w:r>
      <w:r>
        <w:rPr>
          <w:spacing w:val="-2"/>
          <w:position w:val="11"/>
          <w:sz w:val="11"/>
        </w:rPr>
        <w:t>9</w:t>
      </w:r>
      <w:r>
        <w:rPr>
          <w:spacing w:val="-2"/>
        </w:rPr>
        <w:t>/L；</w:t>
      </w:r>
    </w:p>
    <w:p>
      <w:pPr>
        <w:pStyle w:val="BodyText"/>
        <w:spacing w:before="33"/>
        <w:ind w:left="615"/>
      </w:pPr>
      <w:r>
        <w:rPr>
          <w:spacing w:val="-2"/>
        </w:rPr>
        <w:t>2.</w:t>
      </w:r>
      <w:r>
        <w:rPr>
          <w:spacing w:val="-10"/>
        </w:rPr>
        <w:t> 网织红细胞计数</w:t>
      </w:r>
      <w:r>
        <w:rPr>
          <w:spacing w:val="-2"/>
        </w:rPr>
        <w:t>&lt;20×10</w:t>
      </w:r>
      <w:r>
        <w:rPr>
          <w:spacing w:val="-2"/>
          <w:position w:val="11"/>
          <w:sz w:val="11"/>
        </w:rPr>
        <w:t>9</w:t>
      </w:r>
      <w:r>
        <w:rPr>
          <w:spacing w:val="-2"/>
        </w:rPr>
        <w:t>/L；</w:t>
      </w:r>
    </w:p>
    <w:p>
      <w:pPr>
        <w:pStyle w:val="ListParagraph"/>
        <w:numPr>
          <w:ilvl w:val="2"/>
          <w:numId w:val="14"/>
        </w:numPr>
        <w:tabs>
          <w:tab w:pos="875" w:val="left" w:leader="none"/>
        </w:tabs>
        <w:spacing w:line="240" w:lineRule="auto" w:before="34" w:after="0"/>
        <w:ind w:left="874" w:right="0" w:hanging="260"/>
        <w:jc w:val="left"/>
        <w:rPr>
          <w:sz w:val="21"/>
        </w:rPr>
      </w:pPr>
      <w:r>
        <w:rPr>
          <w:spacing w:val="-2"/>
          <w:sz w:val="21"/>
        </w:rPr>
        <w:t>血小板绝对值&lt;20×10</w:t>
      </w:r>
      <w:r>
        <w:rPr>
          <w:spacing w:val="-2"/>
          <w:position w:val="11"/>
          <w:sz w:val="11"/>
        </w:rPr>
        <w:t>9</w:t>
      </w:r>
      <w:r>
        <w:rPr>
          <w:spacing w:val="-2"/>
          <w:sz w:val="21"/>
        </w:rPr>
        <w:t>/L</w:t>
      </w:r>
      <w:r>
        <w:rPr>
          <w:spacing w:val="-10"/>
          <w:sz w:val="21"/>
        </w:rPr>
        <w:t>。</w:t>
      </w:r>
    </w:p>
    <w:p>
      <w:pPr>
        <w:spacing w:after="0" w:line="240" w:lineRule="auto"/>
        <w:jc w:val="left"/>
        <w:rPr>
          <w:sz w:val="21"/>
        </w:rPr>
        <w:sectPr>
          <w:type w:val="continuous"/>
          <w:pgSz w:w="11910" w:h="16840"/>
          <w:pgMar w:header="0" w:footer="655" w:top="140" w:bottom="280" w:left="560" w:right="480"/>
          <w:cols w:num="2" w:equalWidth="0">
            <w:col w:w="2847" w:space="40"/>
            <w:col w:w="7983"/>
          </w:cols>
        </w:sectPr>
      </w:pPr>
    </w:p>
    <w:p>
      <w:pPr>
        <w:pStyle w:val="BodyText"/>
        <w:spacing w:before="7"/>
      </w:pPr>
    </w:p>
    <w:p>
      <w:pPr>
        <w:pStyle w:val="BodyText"/>
        <w:spacing w:line="271" w:lineRule="auto" w:before="55"/>
        <w:ind w:left="3081" w:right="322" w:hanging="1949"/>
        <w:jc w:val="both"/>
      </w:pPr>
      <w:r>
        <w:rPr>
          <w:rFonts w:ascii="华文新魏" w:eastAsia="华文新魏" w:hint="eastAsia"/>
          <w:b/>
          <w:position w:val="2"/>
        </w:rPr>
        <w:t>25、主动脉手术* </w:t>
      </w:r>
      <w:r>
        <w:rPr/>
        <w:t>指为治疗主动脉疾病或主动脉创伤，已经实施了开胸（含胸腔镜下）或开腹（含腹</w:t>
      </w:r>
      <w:r>
        <w:rPr>
          <w:spacing w:val="-4"/>
        </w:rPr>
        <w:t>腔镜下）进行的切除、置换、修补病损主动脉血管、主动脉创伤后修复的手术。主</w:t>
      </w:r>
      <w:r>
        <w:rPr>
          <w:spacing w:val="-2"/>
        </w:rPr>
        <w:t>动脉指升主动脉、主动脉弓和降主动脉（含胸主动脉和腹主动脉</w:t>
      </w:r>
      <w:r>
        <w:rPr>
          <w:spacing w:val="-108"/>
        </w:rPr>
        <w:t>）</w:t>
      </w:r>
      <w:r>
        <w:rPr>
          <w:spacing w:val="-2"/>
        </w:rPr>
        <w:t>，不包括升主动</w:t>
      </w:r>
      <w:r>
        <w:rPr>
          <w:spacing w:val="-2"/>
        </w:rPr>
        <w:t>脉、主动脉弓和降主动脉的分支血管。</w:t>
      </w:r>
    </w:p>
    <w:p>
      <w:pPr>
        <w:spacing w:before="6"/>
        <w:ind w:left="3081" w:right="0" w:firstLine="0"/>
        <w:jc w:val="left"/>
        <w:rPr>
          <w:rFonts w:ascii="黑体" w:eastAsia="黑体" w:hint="eastAsia"/>
          <w:b/>
          <w:sz w:val="21"/>
        </w:rPr>
      </w:pPr>
      <w:r>
        <w:rPr>
          <w:rFonts w:ascii="黑体" w:eastAsia="黑体" w:hint="eastAsia"/>
          <w:b/>
          <w:spacing w:val="-3"/>
          <w:sz w:val="21"/>
        </w:rPr>
        <w:t>所有未实施开胸或开腹的动脉内介入治疗不在保障范围内。</w:t>
      </w:r>
    </w:p>
    <w:p>
      <w:pPr>
        <w:spacing w:after="0"/>
        <w:jc w:val="left"/>
        <w:rPr>
          <w:rFonts w:ascii="黑体" w:eastAsia="黑体" w:hint="eastAsia"/>
          <w:sz w:val="21"/>
        </w:rPr>
        <w:sectPr>
          <w:type w:val="continuous"/>
          <w:pgSz w:w="11910" w:h="16840"/>
          <w:pgMar w:header="0" w:footer="655" w:top="140" w:bottom="280" w:left="560" w:right="480"/>
        </w:sectPr>
      </w:pPr>
    </w:p>
    <w:p>
      <w:pPr>
        <w:pStyle w:val="BodyText"/>
        <w:spacing w:before="4"/>
        <w:rPr>
          <w:rFonts w:ascii="黑体"/>
          <w:b/>
          <w:sz w:val="10"/>
        </w:rPr>
      </w:pPr>
    </w:p>
    <w:p>
      <w:pPr>
        <w:spacing w:after="0"/>
        <w:rPr>
          <w:rFonts w:ascii="黑体"/>
          <w:sz w:val="10"/>
        </w:rPr>
        <w:sectPr>
          <w:pgSz w:w="11910" w:h="16840"/>
          <w:pgMar w:header="0" w:footer="655" w:top="158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26、严重慢性呼吸</w:t>
      </w:r>
      <w:r>
        <w:rPr>
          <w:rFonts w:ascii="华文新魏" w:eastAsia="华文新魏" w:hint="eastAsia"/>
          <w:b/>
          <w:spacing w:val="-4"/>
          <w:sz w:val="21"/>
        </w:rPr>
        <w:t>衰竭*</w:t>
      </w:r>
    </w:p>
    <w:p>
      <w:pPr>
        <w:pStyle w:val="BodyText"/>
        <w:spacing w:line="278" w:lineRule="auto" w:before="78"/>
        <w:ind w:left="195" w:right="322"/>
      </w:pPr>
      <w:r>
        <w:rPr/>
        <w:br w:type="column"/>
      </w:r>
      <w:r>
        <w:rPr>
          <w:spacing w:val="-7"/>
        </w:rPr>
        <w:t>指因慢性呼吸系统疾病导致永久不可逆性的呼吸衰竭，经过积极治疗 </w:t>
      </w:r>
      <w:r>
        <w:rPr/>
        <w:t>180</w:t>
      </w:r>
      <w:r>
        <w:rPr>
          <w:spacing w:val="-12"/>
        </w:rPr>
        <w:t> 天后满足</w:t>
      </w:r>
      <w:r>
        <w:rPr>
          <w:spacing w:val="-2"/>
        </w:rPr>
        <w:t>以下所有条件：</w:t>
      </w:r>
    </w:p>
    <w:p>
      <w:pPr>
        <w:pStyle w:val="BodyText"/>
        <w:spacing w:line="269" w:lineRule="exact"/>
        <w:ind w:left="195"/>
      </w:pPr>
      <w:r>
        <w:rPr>
          <w:spacing w:val="-5"/>
        </w:rPr>
        <w:t>Ⅰ 静息时出现呼吸困难；</w:t>
      </w:r>
    </w:p>
    <w:p>
      <w:pPr>
        <w:pStyle w:val="BodyText"/>
        <w:spacing w:line="278" w:lineRule="auto" w:before="43"/>
        <w:ind w:left="195" w:right="1433"/>
      </w:pPr>
      <w:r>
        <w:rPr>
          <w:position w:val="1"/>
        </w:rPr>
        <w:t>Ⅱ 肺功能第一秒用力呼气容积（FEV</w:t>
      </w:r>
      <w:r>
        <w:rPr>
          <w:sz w:val="11"/>
        </w:rPr>
        <w:t>1</w:t>
      </w:r>
      <w:r>
        <w:rPr>
          <w:position w:val="1"/>
        </w:rPr>
        <w:t>）占预计值的百分比＜30%；</w:t>
      </w:r>
      <w:r>
        <w:rPr>
          <w:spacing w:val="80"/>
          <w:position w:val="1"/>
        </w:rPr>
        <w:t> </w:t>
      </w:r>
      <w:r>
        <w:rPr>
          <w:spacing w:val="-6"/>
          <w:position w:val="1"/>
        </w:rPr>
        <w:t>Ⅲ 在静息状态、呼吸空气条件下，动脉血氧分压</w:t>
      </w:r>
      <w:r>
        <w:rPr>
          <w:position w:val="1"/>
        </w:rPr>
        <w:t>（PaO</w:t>
      </w:r>
      <w:r>
        <w:rPr>
          <w:sz w:val="11"/>
        </w:rPr>
        <w:t>2</w:t>
      </w:r>
      <w:r>
        <w:rPr>
          <w:position w:val="1"/>
        </w:rPr>
        <w:t>）＜50mmHg。</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pStyle w:val="BodyText"/>
        <w:tabs>
          <w:tab w:pos="3081" w:val="left" w:leader="none"/>
        </w:tabs>
        <w:spacing w:line="256" w:lineRule="auto" w:before="54"/>
        <w:ind w:left="3081" w:right="269" w:hanging="1949"/>
      </w:pPr>
      <w:r>
        <w:rPr>
          <w:rFonts w:ascii="华文新魏" w:eastAsia="华文新魏" w:hint="eastAsia"/>
          <w:b/>
          <w:spacing w:val="-2"/>
          <w:position w:val="2"/>
        </w:rPr>
        <w:t>27</w:t>
      </w:r>
      <w:r>
        <w:rPr>
          <w:rFonts w:ascii="华文新魏" w:eastAsia="华文新魏" w:hint="eastAsia"/>
          <w:b/>
          <w:spacing w:val="-82"/>
          <w:position w:val="2"/>
        </w:rPr>
        <w:t>、</w:t>
      </w:r>
      <w:r>
        <w:rPr>
          <w:rFonts w:ascii="华文新魏" w:eastAsia="华文新魏" w:hint="eastAsia"/>
          <w:b/>
          <w:spacing w:val="-2"/>
          <w:position w:val="2"/>
        </w:rPr>
        <w:t>严</w:t>
      </w:r>
      <w:r>
        <w:rPr>
          <w:rFonts w:ascii="华文新魏" w:eastAsia="华文新魏" w:hint="eastAsia"/>
          <w:b/>
          <w:spacing w:val="-2"/>
          <w:position w:val="2"/>
        </w:rPr>
        <w:t>重</w:t>
      </w:r>
      <w:r>
        <w:rPr>
          <w:rFonts w:ascii="华文新魏" w:eastAsia="华文新魏" w:hint="eastAsia"/>
          <w:b/>
          <w:spacing w:val="-2"/>
          <w:position w:val="2"/>
        </w:rPr>
        <w:t>克</w:t>
      </w:r>
      <w:r>
        <w:rPr>
          <w:rFonts w:ascii="华文新魏" w:eastAsia="华文新魏" w:hint="eastAsia"/>
          <w:b/>
          <w:spacing w:val="-2"/>
          <w:position w:val="2"/>
        </w:rPr>
        <w:t>罗恩病*</w:t>
      </w:r>
      <w:r>
        <w:rPr>
          <w:rFonts w:ascii="华文新魏" w:eastAsia="华文新魏" w:hint="eastAsia"/>
          <w:b/>
          <w:position w:val="2"/>
        </w:rPr>
        <w:tab/>
      </w:r>
      <w:r>
        <w:rPr/>
        <w:t>指一种慢性肉芽肿性肠炎，具有特征性的克罗恩病（Crohn</w:t>
      </w:r>
      <w:r>
        <w:rPr>
          <w:spacing w:val="-52"/>
        </w:rPr>
        <w:t> </w:t>
      </w:r>
      <w:r>
        <w:rPr/>
        <w:t>病）病理组织学变化，</w:t>
      </w:r>
      <w:r>
        <w:rPr>
          <w:spacing w:val="-2"/>
        </w:rPr>
        <w:t>须</w:t>
      </w:r>
      <w:r>
        <w:rPr>
          <w:spacing w:val="-2"/>
        </w:rPr>
        <w:t>根</w:t>
      </w:r>
      <w:r>
        <w:rPr>
          <w:spacing w:val="-2"/>
        </w:rPr>
        <w:t>据组织病理学特点诊</w:t>
      </w:r>
      <w:r>
        <w:rPr>
          <w:spacing w:val="-2"/>
        </w:rPr>
        <w:t>断</w:t>
      </w:r>
      <w:r>
        <w:rPr>
          <w:spacing w:val="-2"/>
        </w:rPr>
        <w:t>，且已经造成瘘管形成</w:t>
      </w:r>
      <w:r>
        <w:rPr>
          <w:spacing w:val="-2"/>
        </w:rPr>
        <w:t>并</w:t>
      </w:r>
      <w:r>
        <w:rPr>
          <w:spacing w:val="-2"/>
        </w:rPr>
        <w:t>伴</w:t>
      </w:r>
      <w:r>
        <w:rPr>
          <w:spacing w:val="-2"/>
        </w:rPr>
        <w:t>有肠梗阻或肠穿</w:t>
      </w:r>
      <w:r>
        <w:rPr>
          <w:spacing w:val="-2"/>
        </w:rPr>
        <w:t>孔</w:t>
      </w:r>
      <w:r>
        <w:rPr>
          <w:spacing w:val="-2"/>
        </w:rPr>
        <w:t>。</w:t>
      </w:r>
    </w:p>
    <w:p>
      <w:pPr>
        <w:pStyle w:val="BodyText"/>
        <w:spacing w:before="3"/>
        <w:rPr>
          <w:sz w:val="20"/>
        </w:rPr>
      </w:pPr>
    </w:p>
    <w:p>
      <w:pPr>
        <w:spacing w:after="0"/>
        <w:rPr>
          <w:sz w:val="20"/>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28、严重溃疡性结</w:t>
      </w:r>
      <w:r>
        <w:rPr>
          <w:rFonts w:ascii="华文新魏" w:eastAsia="华文新魏" w:hint="eastAsia"/>
          <w:b/>
          <w:spacing w:val="-4"/>
          <w:sz w:val="21"/>
        </w:rPr>
        <w:t>肠炎*</w:t>
      </w:r>
    </w:p>
    <w:p>
      <w:pPr>
        <w:pStyle w:val="BodyText"/>
        <w:spacing w:line="278" w:lineRule="auto" w:before="78"/>
        <w:ind w:left="194" w:right="322"/>
        <w:jc w:val="both"/>
      </w:pPr>
      <w:r>
        <w:rPr/>
        <w:br w:type="column"/>
      </w:r>
      <w:r>
        <w:rPr>
          <w:spacing w:val="-7"/>
        </w:rPr>
        <w:t>指伴有致命性电解质紊乱的急性暴发性溃疡性结肠炎，病变已经累及全结肠，表现</w:t>
      </w:r>
      <w:r>
        <w:rPr>
          <w:spacing w:val="-8"/>
        </w:rPr>
        <w:t>为严重的血便和系统性症状体征，须根据组织病理学特点诊断，且已经实施了结肠</w:t>
      </w:r>
      <w:r>
        <w:rPr>
          <w:spacing w:val="-2"/>
        </w:rPr>
        <w:t>切除或回肠造瘘术。</w:t>
      </w:r>
    </w:p>
    <w:p>
      <w:pPr>
        <w:spacing w:after="0" w:line="278" w:lineRule="auto"/>
        <w:jc w:val="both"/>
        <w:sectPr>
          <w:type w:val="continuous"/>
          <w:pgSz w:w="11910" w:h="16840"/>
          <w:pgMar w:header="0" w:footer="655" w:top="140" w:bottom="280" w:left="560" w:right="480"/>
          <w:cols w:num="2" w:equalWidth="0">
            <w:col w:w="2847" w:space="40"/>
            <w:col w:w="7983"/>
          </w:cols>
        </w:sectPr>
      </w:pPr>
    </w:p>
    <w:p>
      <w:pPr>
        <w:pStyle w:val="BodyText"/>
        <w:spacing w:before="4"/>
        <w:rPr>
          <w:sz w:val="18"/>
        </w:rPr>
      </w:pPr>
    </w:p>
    <w:p>
      <w:pPr>
        <w:spacing w:after="0"/>
        <w:rPr>
          <w:sz w:val="18"/>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29、严重多发性硬</w:t>
      </w:r>
      <w:r>
        <w:rPr>
          <w:rFonts w:ascii="华文新魏" w:eastAsia="华文新魏" w:hint="eastAsia"/>
          <w:b/>
          <w:spacing w:val="-6"/>
          <w:sz w:val="21"/>
        </w:rPr>
        <w:t>化症</w:t>
      </w:r>
    </w:p>
    <w:p>
      <w:pPr>
        <w:pStyle w:val="BodyText"/>
        <w:spacing w:line="278" w:lineRule="auto" w:before="78"/>
        <w:ind w:left="194" w:right="322"/>
        <w:jc w:val="both"/>
      </w:pPr>
      <w:r>
        <w:rPr/>
        <w:br w:type="column"/>
      </w:r>
      <w:r>
        <w:rPr>
          <w:spacing w:val="-7"/>
        </w:rPr>
        <w:t>多发性硬化为中枢神经系统白质多灶性脱髓鞘病变，病变有时累及灰质。多发性硬</w:t>
      </w:r>
      <w:r>
        <w:rPr>
          <w:spacing w:val="-11"/>
        </w:rPr>
        <w:t>化必须明确诊断，并且已经造成永久不可逆的神经系统功能损害。永久不可逆的神</w:t>
      </w:r>
      <w:r>
        <w:rPr>
          <w:spacing w:val="-1"/>
        </w:rPr>
        <w:t>经系统损害指被保险人持续 </w:t>
      </w:r>
      <w:r>
        <w:rPr/>
        <w:t>180 天无法独立完成下列基本日常生活活动：</w:t>
      </w:r>
    </w:p>
    <w:p>
      <w:pPr>
        <w:pStyle w:val="BodyText"/>
        <w:spacing w:line="269" w:lineRule="exact"/>
        <w:ind w:left="194"/>
        <w:jc w:val="both"/>
      </w:pPr>
      <w:r>
        <w:rPr>
          <w:spacing w:val="-3"/>
        </w:rPr>
        <w:t>Ⅰ 移动：自己从一个房间移动到另一个房间；或者</w:t>
      </w:r>
    </w:p>
    <w:p>
      <w:pPr>
        <w:pStyle w:val="BodyText"/>
        <w:spacing w:before="43"/>
        <w:ind w:left="194"/>
        <w:jc w:val="both"/>
      </w:pPr>
      <w:r>
        <w:rPr>
          <w:spacing w:val="-3"/>
        </w:rPr>
        <w:t>Ⅱ 进食：自己从已准备好的碗或碟中取食物放入口中。</w:t>
      </w:r>
    </w:p>
    <w:p>
      <w:pPr>
        <w:spacing w:after="0"/>
        <w:jc w:val="both"/>
        <w:sectPr>
          <w:type w:val="continuous"/>
          <w:pgSz w:w="11910" w:h="16840"/>
          <w:pgMar w:header="0" w:footer="655" w:top="140" w:bottom="280" w:left="560" w:right="480"/>
          <w:cols w:num="2" w:equalWidth="0">
            <w:col w:w="2847" w:space="40"/>
            <w:col w:w="7983"/>
          </w:cols>
        </w:sectPr>
      </w:pPr>
    </w:p>
    <w:p>
      <w:pPr>
        <w:pStyle w:val="BodyText"/>
        <w:spacing w:before="7"/>
      </w:pPr>
    </w:p>
    <w:p>
      <w:pPr>
        <w:spacing w:after="0"/>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z w:val="21"/>
        </w:rPr>
        <w:t>30</w:t>
      </w:r>
      <w:r>
        <w:rPr>
          <w:rFonts w:ascii="华文新魏" w:eastAsia="华文新魏" w:hint="eastAsia"/>
          <w:b/>
          <w:spacing w:val="-4"/>
          <w:sz w:val="21"/>
        </w:rPr>
        <w:t>、严重 </w:t>
      </w:r>
      <w:r>
        <w:rPr>
          <w:rFonts w:ascii="华文新魏" w:eastAsia="华文新魏" w:hint="eastAsia"/>
          <w:b/>
          <w:sz w:val="21"/>
        </w:rPr>
        <w:t>1</w:t>
      </w:r>
      <w:r>
        <w:rPr>
          <w:rFonts w:ascii="华文新魏" w:eastAsia="华文新魏" w:hint="eastAsia"/>
          <w:b/>
          <w:spacing w:val="-4"/>
          <w:sz w:val="21"/>
        </w:rPr>
        <w:t> 型糖尿</w:t>
      </w:r>
      <w:r>
        <w:rPr>
          <w:rFonts w:ascii="华文新魏" w:eastAsia="华文新魏" w:hint="eastAsia"/>
          <w:b/>
          <w:spacing w:val="-10"/>
          <w:sz w:val="21"/>
        </w:rPr>
        <w:t>病</w:t>
      </w:r>
    </w:p>
    <w:p>
      <w:pPr>
        <w:pStyle w:val="BodyText"/>
        <w:spacing w:line="278" w:lineRule="auto" w:before="79"/>
        <w:ind w:left="211" w:right="221"/>
      </w:pPr>
      <w:r>
        <w:rPr/>
        <w:br w:type="column"/>
      </w:r>
      <w:r>
        <w:rPr/>
        <w:t>1 型糖尿病的特征为由于胰岛素分泌绝对不足引起严重胰岛素缺乏导致慢性血糖</w:t>
      </w:r>
      <w:r>
        <w:rPr>
          <w:spacing w:val="-14"/>
        </w:rPr>
        <w:t>升高，需要依赖外源性胰岛素进行机体的葡萄糖代谢和维持生命。被保险人的 </w:t>
      </w:r>
      <w:r>
        <w:rPr/>
        <w:t>1 型</w:t>
      </w:r>
      <w:r>
        <w:rPr>
          <w:spacing w:val="-12"/>
        </w:rPr>
        <w:t>糖尿病必须明确诊断，而且有血胰岛素测定及血 </w:t>
      </w:r>
      <w:r>
        <w:rPr/>
        <w:t>C</w:t>
      </w:r>
      <w:r>
        <w:rPr>
          <w:spacing w:val="-16"/>
        </w:rPr>
        <w:t> 肽或尿 </w:t>
      </w:r>
      <w:r>
        <w:rPr/>
        <w:t>C</w:t>
      </w:r>
      <w:r>
        <w:rPr>
          <w:spacing w:val="-3"/>
        </w:rPr>
        <w:t> 肽测定结果支持诊断，</w:t>
      </w:r>
      <w:r>
        <w:rPr>
          <w:spacing w:val="-2"/>
        </w:rPr>
        <w:t>并且满足下列全部条件：</w:t>
      </w:r>
    </w:p>
    <w:p>
      <w:pPr>
        <w:pStyle w:val="BodyText"/>
        <w:spacing w:line="269" w:lineRule="exact"/>
        <w:ind w:left="211"/>
      </w:pPr>
      <w:r>
        <w:rPr>
          <w:spacing w:val="-8"/>
        </w:rPr>
        <w:t>Ⅰ 已经持续性地接受外源性胰岛素注射治疗连续 </w:t>
      </w:r>
      <w:r>
        <w:rPr/>
        <w:t>180</w:t>
      </w:r>
      <w:r>
        <w:rPr>
          <w:spacing w:val="-6"/>
        </w:rPr>
        <w:t> 天以上；</w:t>
      </w:r>
    </w:p>
    <w:p>
      <w:pPr>
        <w:pStyle w:val="BodyText"/>
        <w:spacing w:line="278" w:lineRule="auto" w:before="43"/>
        <w:ind w:left="211" w:right="322"/>
      </w:pPr>
      <w:r>
        <w:rPr>
          <w:spacing w:val="-6"/>
        </w:rPr>
        <w:t>Ⅱ 因需要已经接受了下列治疗：因严重心律失常植入了心脏起搏器；或因坏疽自</w:t>
      </w:r>
      <w:r>
        <w:rPr>
          <w:spacing w:val="-2"/>
        </w:rPr>
        <w:t>跖趾关节或以上切除了一趾或多趾。</w:t>
      </w:r>
    </w:p>
    <w:p>
      <w:pPr>
        <w:spacing w:after="0" w:line="278" w:lineRule="auto"/>
        <w:sectPr>
          <w:type w:val="continuous"/>
          <w:pgSz w:w="11910" w:h="16840"/>
          <w:pgMar w:header="0" w:footer="655" w:top="140" w:bottom="280" w:left="560" w:right="480"/>
          <w:cols w:num="2" w:equalWidth="0">
            <w:col w:w="2830" w:space="40"/>
            <w:col w:w="8000"/>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31、严重类风湿性</w:t>
      </w:r>
      <w:r>
        <w:rPr>
          <w:rFonts w:ascii="华文新魏" w:eastAsia="华文新魏" w:hint="eastAsia"/>
          <w:b/>
          <w:spacing w:val="-4"/>
          <w:sz w:val="21"/>
        </w:rPr>
        <w:t>关节炎</w:t>
      </w:r>
    </w:p>
    <w:p>
      <w:pPr>
        <w:pStyle w:val="BodyText"/>
        <w:spacing w:line="278" w:lineRule="auto" w:before="78"/>
        <w:ind w:left="230" w:right="322"/>
        <w:jc w:val="both"/>
      </w:pPr>
      <w:r>
        <w:rPr/>
        <w:br w:type="column"/>
      </w:r>
      <w:r>
        <w:rPr>
          <w:spacing w:val="-7"/>
        </w:rPr>
        <w:t>类风湿性关节炎为广泛分布的慢性进行性多关节病变，表现为关节严重变形，侵犯</w:t>
      </w:r>
      <w:r>
        <w:rPr>
          <w:spacing w:val="-4"/>
        </w:rPr>
        <w:t>至少三个主要关节或关节组，如：双手（多手指）关节、双足（多足趾）关节、双</w:t>
      </w:r>
      <w:r>
        <w:rPr>
          <w:spacing w:val="-14"/>
        </w:rPr>
        <w:t>腕关节、双膝关节和双髋关节。类风湿性关节炎必须明确诊断并且已经达到类风湿</w:t>
      </w:r>
      <w:r>
        <w:rPr>
          <w:spacing w:val="-5"/>
        </w:rPr>
        <w:t>性关节炎功能分级Ⅲ级以上的功能障碍</w:t>
      </w:r>
      <w:r>
        <w:rPr>
          <w:spacing w:val="-2"/>
        </w:rPr>
        <w:t>（</w:t>
      </w:r>
      <w:r>
        <w:rPr>
          <w:spacing w:val="-8"/>
        </w:rPr>
        <w:t>关节活动严重限制，不能完成大部分的日</w:t>
      </w:r>
      <w:r>
        <w:rPr>
          <w:spacing w:val="-2"/>
        </w:rPr>
        <w:t>常工作和活动）并且满足下列全部条件：</w:t>
      </w:r>
    </w:p>
    <w:p>
      <w:pPr>
        <w:pStyle w:val="BodyText"/>
        <w:spacing w:line="269" w:lineRule="exact"/>
        <w:ind w:left="230"/>
        <w:jc w:val="both"/>
      </w:pPr>
      <w:r>
        <w:rPr>
          <w:spacing w:val="-3"/>
        </w:rPr>
        <w:t>Ⅰ 晨僵；</w:t>
      </w:r>
    </w:p>
    <w:p>
      <w:pPr>
        <w:pStyle w:val="BodyText"/>
        <w:spacing w:before="43"/>
        <w:ind w:left="230"/>
        <w:jc w:val="both"/>
      </w:pPr>
      <w:r>
        <w:rPr>
          <w:spacing w:val="-4"/>
        </w:rPr>
        <w:t>Ⅱ 对称性关节炎；</w:t>
      </w:r>
    </w:p>
    <w:p>
      <w:pPr>
        <w:pStyle w:val="BodyText"/>
        <w:spacing w:line="278" w:lineRule="auto" w:before="43"/>
        <w:ind w:left="230" w:right="5380"/>
      </w:pPr>
      <w:r>
        <w:rPr/>
        <w:t>Ⅲ 类风湿性皮下结节； </w:t>
      </w:r>
      <w:r>
        <w:rPr>
          <w:spacing w:val="-6"/>
        </w:rPr>
        <w:t>Ⅳ 类风湿因子滴度升高；</w:t>
      </w:r>
    </w:p>
    <w:p>
      <w:pPr>
        <w:pStyle w:val="BodyText"/>
        <w:spacing w:before="1"/>
        <w:ind w:left="230"/>
      </w:pPr>
      <w:r>
        <w:rPr>
          <w:spacing w:val="-9"/>
        </w:rPr>
        <w:t>Ⅴ </w:t>
      </w:r>
      <w:r>
        <w:rPr/>
        <w:t>X</w:t>
      </w:r>
      <w:r>
        <w:rPr>
          <w:spacing w:val="-4"/>
        </w:rPr>
        <w:t> 线显示严重的关节</w:t>
      </w:r>
      <w:r>
        <w:rPr/>
        <w:t>（软骨和骨）</w:t>
      </w:r>
      <w:r>
        <w:rPr>
          <w:spacing w:val="-2"/>
        </w:rPr>
        <w:t>破坏和关节畸形。</w:t>
      </w:r>
    </w:p>
    <w:p>
      <w:pPr>
        <w:spacing w:after="0"/>
        <w:sectPr>
          <w:type w:val="continuous"/>
          <w:pgSz w:w="11910" w:h="16840"/>
          <w:pgMar w:header="0" w:footer="655" w:top="140" w:bottom="280" w:left="560" w:right="480"/>
          <w:cols w:num="2" w:equalWidth="0">
            <w:col w:w="2811" w:space="40"/>
            <w:col w:w="8019"/>
          </w:cols>
        </w:sectPr>
      </w:pPr>
    </w:p>
    <w:p>
      <w:pPr>
        <w:pStyle w:val="BodyText"/>
        <w:spacing w:before="7"/>
      </w:pPr>
    </w:p>
    <w:p>
      <w:pPr>
        <w:spacing w:after="0"/>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32、严重幼年型类</w:t>
      </w:r>
      <w:r>
        <w:rPr>
          <w:rFonts w:ascii="华文新魏" w:eastAsia="华文新魏" w:hint="eastAsia"/>
          <w:b/>
          <w:spacing w:val="-2"/>
          <w:sz w:val="21"/>
        </w:rPr>
        <w:t>风湿性关节炎</w:t>
      </w:r>
    </w:p>
    <w:p>
      <w:pPr>
        <w:pStyle w:val="BodyText"/>
        <w:spacing w:line="278" w:lineRule="auto" w:before="78"/>
        <w:ind w:left="195" w:right="322"/>
      </w:pPr>
      <w:r>
        <w:rPr/>
        <w:br w:type="column"/>
      </w:r>
      <w:r>
        <w:rPr>
          <w:spacing w:val="-7"/>
        </w:rPr>
        <w:t>幼年型类风湿关节炎是一种儿童期发病的慢性关节炎，其特点为在高热和系统性病</w:t>
      </w:r>
      <w:r>
        <w:rPr>
          <w:spacing w:val="-2"/>
        </w:rPr>
        <w:t>征出现数月后发生关节炎。</w:t>
      </w:r>
    </w:p>
    <w:p>
      <w:pPr>
        <w:spacing w:line="278" w:lineRule="auto" w:before="0"/>
        <w:ind w:left="195" w:right="405" w:firstLine="0"/>
        <w:jc w:val="left"/>
        <w:rPr>
          <w:rFonts w:ascii="黑体" w:eastAsia="黑体" w:hint="eastAsia"/>
          <w:b/>
          <w:sz w:val="21"/>
        </w:rPr>
      </w:pPr>
      <w:r>
        <w:rPr>
          <w:rFonts w:ascii="黑体" w:eastAsia="黑体" w:hint="eastAsia"/>
          <w:b/>
          <w:spacing w:val="-2"/>
          <w:sz w:val="21"/>
        </w:rPr>
        <w:t>本保单仅对实际接受了膝关节或髋关节置换手术治疗的严重的幼年型类风湿关节</w:t>
      </w:r>
      <w:r>
        <w:rPr>
          <w:rFonts w:ascii="黑体" w:eastAsia="黑体" w:hint="eastAsia"/>
          <w:b/>
          <w:spacing w:val="-2"/>
          <w:sz w:val="21"/>
        </w:rPr>
        <w:t>炎予以理赔。</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3"/>
        <w:rPr>
          <w:rFonts w:ascii="黑体"/>
          <w:b/>
          <w:sz w:val="18"/>
        </w:rPr>
      </w:pPr>
    </w:p>
    <w:p>
      <w:pPr>
        <w:tabs>
          <w:tab w:pos="3081" w:val="left" w:leader="none"/>
        </w:tabs>
        <w:spacing w:before="55"/>
        <w:ind w:left="1132" w:right="0" w:firstLine="0"/>
        <w:jc w:val="left"/>
        <w:rPr>
          <w:sz w:val="21"/>
        </w:rPr>
      </w:pPr>
      <w:r>
        <w:rPr>
          <w:rFonts w:ascii="华文新魏" w:eastAsia="华文新魏" w:hint="eastAsia"/>
          <w:b/>
          <w:spacing w:val="-2"/>
          <w:position w:val="2"/>
          <w:sz w:val="21"/>
        </w:rPr>
        <w:t>33</w:t>
      </w:r>
      <w:r>
        <w:rPr>
          <w:rFonts w:ascii="华文新魏" w:eastAsia="华文新魏" w:hint="eastAsia"/>
          <w:b/>
          <w:spacing w:val="-2"/>
          <w:position w:val="2"/>
          <w:sz w:val="21"/>
        </w:rPr>
        <w:t>、</w:t>
      </w:r>
      <w:r>
        <w:rPr>
          <w:rFonts w:ascii="华文新魏" w:eastAsia="华文新魏" w:hint="eastAsia"/>
          <w:b/>
          <w:spacing w:val="-2"/>
          <w:position w:val="2"/>
          <w:sz w:val="21"/>
        </w:rPr>
        <w:t>重</w:t>
      </w:r>
      <w:r>
        <w:rPr>
          <w:rFonts w:ascii="华文新魏" w:eastAsia="华文新魏" w:hint="eastAsia"/>
          <w:b/>
          <w:spacing w:val="-2"/>
          <w:position w:val="2"/>
          <w:sz w:val="21"/>
        </w:rPr>
        <w:t>症急性</w:t>
      </w:r>
      <w:r>
        <w:rPr>
          <w:rFonts w:ascii="华文新魏" w:eastAsia="华文新魏" w:hint="eastAsia"/>
          <w:b/>
          <w:spacing w:val="-2"/>
          <w:position w:val="2"/>
          <w:sz w:val="21"/>
        </w:rPr>
        <w:t>坏</w:t>
      </w:r>
      <w:r>
        <w:rPr>
          <w:rFonts w:ascii="华文新魏" w:eastAsia="华文新魏" w:hint="eastAsia"/>
          <w:b/>
          <w:spacing w:val="-10"/>
          <w:position w:val="2"/>
          <w:sz w:val="21"/>
        </w:rPr>
        <w:t>死</w:t>
      </w:r>
      <w:r>
        <w:rPr>
          <w:rFonts w:ascii="华文新魏" w:eastAsia="华文新魏" w:hint="eastAsia"/>
          <w:b/>
          <w:position w:val="2"/>
          <w:sz w:val="21"/>
        </w:rPr>
        <w:tab/>
      </w:r>
      <w:r>
        <w:rPr>
          <w:spacing w:val="-2"/>
          <w:sz w:val="21"/>
        </w:rPr>
        <w:t>是</w:t>
      </w:r>
      <w:r>
        <w:rPr>
          <w:spacing w:val="-2"/>
          <w:sz w:val="21"/>
        </w:rPr>
        <w:t>一</w:t>
      </w:r>
      <w:r>
        <w:rPr>
          <w:spacing w:val="-2"/>
          <w:sz w:val="21"/>
        </w:rPr>
        <w:t>种由细菌侵入皮下组</w:t>
      </w:r>
      <w:r>
        <w:rPr>
          <w:spacing w:val="-2"/>
          <w:sz w:val="21"/>
        </w:rPr>
        <w:t>织</w:t>
      </w:r>
      <w:r>
        <w:rPr>
          <w:spacing w:val="-2"/>
          <w:sz w:val="21"/>
        </w:rPr>
        <w:t>和</w:t>
      </w:r>
      <w:r>
        <w:rPr>
          <w:spacing w:val="-2"/>
          <w:sz w:val="21"/>
        </w:rPr>
        <w:t>筋膜引起的急性坏死</w:t>
      </w:r>
      <w:r>
        <w:rPr>
          <w:spacing w:val="-2"/>
          <w:sz w:val="21"/>
        </w:rPr>
        <w:t>性</w:t>
      </w:r>
      <w:r>
        <w:rPr>
          <w:spacing w:val="-2"/>
          <w:sz w:val="21"/>
        </w:rPr>
        <w:t>软</w:t>
      </w:r>
      <w:r>
        <w:rPr>
          <w:spacing w:val="-2"/>
          <w:sz w:val="21"/>
        </w:rPr>
        <w:t>组织感染，可伴有毒血症</w:t>
      </w:r>
      <w:r>
        <w:rPr>
          <w:spacing w:val="-10"/>
          <w:sz w:val="21"/>
        </w:rPr>
        <w:t>、</w:t>
      </w:r>
    </w:p>
    <w:p>
      <w:pPr>
        <w:spacing w:after="0"/>
        <w:jc w:val="left"/>
        <w:rPr>
          <w:sz w:val="21"/>
        </w:rPr>
        <w:sectPr>
          <w:type w:val="continuous"/>
          <w:pgSz w:w="11910" w:h="16840"/>
          <w:pgMar w:header="0" w:footer="655" w:top="140" w:bottom="280" w:left="560" w:right="480"/>
        </w:sectPr>
      </w:pPr>
    </w:p>
    <w:p>
      <w:pPr>
        <w:pStyle w:val="BodyText"/>
        <w:tabs>
          <w:tab w:pos="3081" w:val="left" w:leader="none"/>
        </w:tabs>
        <w:spacing w:line="256" w:lineRule="auto" w:before="34"/>
        <w:ind w:left="3081" w:right="217" w:hanging="1949"/>
      </w:pPr>
      <w:r>
        <w:rPr>
          <w:rFonts w:ascii="华文新魏" w:hAnsi="华文新魏" w:eastAsia="华文新魏" w:hint="eastAsia"/>
          <w:b/>
          <w:spacing w:val="-4"/>
          <w:position w:val="2"/>
        </w:rPr>
        <w:t>性</w:t>
      </w:r>
      <w:r>
        <w:rPr>
          <w:rFonts w:ascii="华文新魏" w:hAnsi="华文新魏" w:eastAsia="华文新魏" w:hint="eastAsia"/>
          <w:b/>
          <w:spacing w:val="-4"/>
          <w:position w:val="2"/>
        </w:rPr>
        <w:t>筋</w:t>
      </w:r>
      <w:r>
        <w:rPr>
          <w:rFonts w:ascii="华文新魏" w:hAnsi="华文新魏" w:eastAsia="华文新魏" w:hint="eastAsia"/>
          <w:b/>
          <w:spacing w:val="-4"/>
          <w:position w:val="2"/>
        </w:rPr>
        <w:t>膜炎</w:t>
      </w:r>
      <w:r>
        <w:rPr>
          <w:rFonts w:ascii="华文新魏" w:hAnsi="华文新魏" w:eastAsia="华文新魏" w:hint="eastAsia"/>
          <w:b/>
          <w:position w:val="2"/>
        </w:rPr>
        <w:tab/>
      </w:r>
      <w:r>
        <w:rPr>
          <w:spacing w:val="-2"/>
        </w:rPr>
        <w:t>败</w:t>
      </w:r>
      <w:r>
        <w:rPr>
          <w:spacing w:val="-2"/>
        </w:rPr>
        <w:t>血</w:t>
      </w:r>
      <w:r>
        <w:rPr>
          <w:spacing w:val="-2"/>
        </w:rPr>
        <w:t>症、中毒性休克、弥</w:t>
      </w:r>
      <w:r>
        <w:rPr>
          <w:spacing w:val="-2"/>
        </w:rPr>
        <w:t>漫</w:t>
      </w:r>
      <w:r>
        <w:rPr>
          <w:spacing w:val="-2"/>
        </w:rPr>
        <w:t>性</w:t>
      </w:r>
      <w:r>
        <w:rPr>
          <w:spacing w:val="-2"/>
        </w:rPr>
        <w:t>血管内凝血及多器官</w:t>
      </w:r>
      <w:r>
        <w:rPr>
          <w:spacing w:val="-2"/>
        </w:rPr>
        <w:t>衰</w:t>
      </w:r>
      <w:r>
        <w:rPr>
          <w:spacing w:val="-2"/>
        </w:rPr>
        <w:t>竭</w:t>
      </w:r>
      <w:r>
        <w:rPr>
          <w:spacing w:val="-2"/>
        </w:rPr>
        <w:t>。必须满足以下所有条件： </w:t>
      </w:r>
      <w:r>
        <w:rPr/>
        <w:t>Ⅰ 细菌培养和临床表现</w:t>
      </w:r>
      <w:r>
        <w:rPr/>
        <w:t>符</w:t>
      </w:r>
      <w:r>
        <w:rPr/>
        <w:t>合坏死性筋膜炎诊断标准；</w:t>
      </w:r>
    </w:p>
    <w:p>
      <w:pPr>
        <w:pStyle w:val="BodyText"/>
        <w:spacing w:before="26"/>
        <w:ind w:left="3081"/>
      </w:pPr>
      <w:r>
        <w:rPr>
          <w:spacing w:val="-6"/>
        </w:rPr>
        <w:t>Ⅱ 病情迅速恶化，有脓毒血症表现；</w:t>
      </w:r>
    </w:p>
    <w:p>
      <w:pPr>
        <w:pStyle w:val="BodyText"/>
        <w:spacing w:before="43"/>
        <w:ind w:left="3081"/>
      </w:pPr>
      <w:r>
        <w:rPr>
          <w:spacing w:val="-2"/>
        </w:rPr>
        <w:t>Ⅲ 受感染肢体被截肢（自腕关节或踝关节近端</w:t>
      </w:r>
      <w:r>
        <w:rPr>
          <w:spacing w:val="-106"/>
        </w:rPr>
        <w:t>）</w:t>
      </w:r>
      <w:r>
        <w:rPr>
          <w:spacing w:val="-10"/>
        </w:rPr>
        <w:t>。</w:t>
      </w:r>
    </w:p>
    <w:p>
      <w:pPr>
        <w:pStyle w:val="BodyText"/>
        <w:spacing w:before="7"/>
      </w:pPr>
    </w:p>
    <w:p>
      <w:pPr>
        <w:spacing w:after="0"/>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34、严重系统性硬</w:t>
      </w:r>
      <w:r>
        <w:rPr>
          <w:rFonts w:ascii="华文新魏" w:eastAsia="华文新魏" w:hint="eastAsia"/>
          <w:b/>
          <w:spacing w:val="-6"/>
          <w:sz w:val="21"/>
        </w:rPr>
        <w:t>皮病</w:t>
      </w:r>
    </w:p>
    <w:p>
      <w:pPr>
        <w:pStyle w:val="BodyText"/>
        <w:spacing w:line="278" w:lineRule="auto" w:before="78"/>
        <w:ind w:left="194" w:right="322"/>
      </w:pPr>
      <w:r>
        <w:rPr/>
        <w:br w:type="column"/>
      </w:r>
      <w:r>
        <w:rPr>
          <w:spacing w:val="-8"/>
        </w:rPr>
        <w:t>指一种以局限性或弥漫性皮肤增厚和皮肤、血管、内脏器官异常纤维化为特征的结</w:t>
      </w:r>
      <w:r>
        <w:rPr>
          <w:spacing w:val="-2"/>
        </w:rPr>
        <w:t>缔组织病。本病须经专科医生明确诊断，并须满足下列至少一项条件：</w:t>
      </w:r>
    </w:p>
    <w:p>
      <w:pPr>
        <w:pStyle w:val="BodyText"/>
        <w:spacing w:line="269" w:lineRule="exact"/>
        <w:ind w:left="194"/>
      </w:pPr>
      <w:r>
        <w:rPr>
          <w:spacing w:val="-3"/>
        </w:rPr>
        <w:t>Ⅰ 肺脏：肺部病变进而发展为肺间质纤维化和肺动脉高压；</w:t>
      </w:r>
    </w:p>
    <w:p>
      <w:pPr>
        <w:pStyle w:val="BodyText"/>
        <w:spacing w:line="278" w:lineRule="auto" w:before="43"/>
        <w:ind w:left="194" w:right="1373"/>
        <w:rPr>
          <w:rFonts w:ascii="黑体" w:hAnsi="黑体" w:eastAsia="黑体" w:hint="eastAsia"/>
          <w:b/>
        </w:rPr>
      </w:pPr>
      <w:r>
        <w:rPr>
          <w:spacing w:val="-6"/>
        </w:rPr>
        <w:t>Ⅱ 心脏：心功能受损达到美国纽约心脏病学会心功能状态分级Ⅳ级；</w:t>
      </w:r>
      <w:r>
        <w:rPr/>
        <w:t> Ⅲ 肾脏：肾脏受损导致双肾功能慢性不可逆衰竭，达到尿毒症期。</w:t>
      </w:r>
      <w:r>
        <w:rPr/>
        <w:t> </w:t>
      </w:r>
      <w:r>
        <w:rPr>
          <w:rFonts w:ascii="黑体" w:hAnsi="黑体" w:eastAsia="黑体" w:hint="eastAsia"/>
          <w:b/>
          <w:spacing w:val="-2"/>
        </w:rPr>
        <w:t>下列疾病不在本险种保障范围内：</w:t>
      </w:r>
    </w:p>
    <w:p>
      <w:pPr>
        <w:spacing w:line="269" w:lineRule="exact" w:before="0"/>
        <w:ind w:left="194" w:right="0" w:firstLine="0"/>
        <w:jc w:val="left"/>
        <w:rPr>
          <w:rFonts w:ascii="黑体" w:hAnsi="黑体" w:eastAsia="黑体" w:hint="eastAsia"/>
          <w:b/>
          <w:sz w:val="21"/>
        </w:rPr>
      </w:pPr>
      <w:r>
        <w:rPr>
          <w:b/>
          <w:spacing w:val="-3"/>
          <w:sz w:val="21"/>
        </w:rPr>
        <w:t>Ⅰ </w:t>
      </w:r>
      <w:r>
        <w:rPr>
          <w:rFonts w:ascii="黑体" w:hAnsi="黑体" w:eastAsia="黑体" w:hint="eastAsia"/>
          <w:b/>
          <w:sz w:val="21"/>
        </w:rPr>
        <w:t>局部性硬皮病（如：带状硬皮病、硬斑病</w:t>
      </w:r>
      <w:r>
        <w:rPr>
          <w:rFonts w:ascii="黑体" w:hAnsi="黑体" w:eastAsia="黑体" w:hint="eastAsia"/>
          <w:b/>
          <w:spacing w:val="-111"/>
          <w:sz w:val="21"/>
        </w:rPr>
        <w:t>）</w:t>
      </w:r>
      <w:r>
        <w:rPr>
          <w:rFonts w:ascii="黑体" w:hAnsi="黑体" w:eastAsia="黑体" w:hint="eastAsia"/>
          <w:b/>
          <w:spacing w:val="-5"/>
          <w:sz w:val="21"/>
        </w:rPr>
        <w:t>；</w:t>
      </w:r>
    </w:p>
    <w:p>
      <w:pPr>
        <w:spacing w:before="43"/>
        <w:ind w:left="194" w:right="0" w:firstLine="0"/>
        <w:jc w:val="left"/>
        <w:rPr>
          <w:rFonts w:ascii="黑体" w:hAnsi="黑体" w:eastAsia="黑体" w:hint="eastAsia"/>
          <w:b/>
          <w:sz w:val="21"/>
        </w:rPr>
      </w:pPr>
      <w:r>
        <w:rPr>
          <w:b/>
          <w:spacing w:val="-3"/>
          <w:sz w:val="21"/>
        </w:rPr>
        <w:t>Ⅱ </w:t>
      </w:r>
      <w:r>
        <w:rPr>
          <w:rFonts w:ascii="黑体" w:hAnsi="黑体" w:eastAsia="黑体" w:hint="eastAsia"/>
          <w:b/>
          <w:spacing w:val="-1"/>
          <w:sz w:val="21"/>
        </w:rPr>
        <w:t>嗜酸性粒细胞性筋膜炎；</w:t>
      </w:r>
    </w:p>
    <w:p>
      <w:pPr>
        <w:spacing w:before="44"/>
        <w:ind w:left="194" w:right="0" w:firstLine="0"/>
        <w:jc w:val="left"/>
        <w:rPr>
          <w:rFonts w:ascii="黑体" w:hAnsi="黑体" w:eastAsia="黑体" w:hint="eastAsia"/>
          <w:b/>
          <w:sz w:val="21"/>
        </w:rPr>
      </w:pPr>
      <w:r>
        <w:rPr>
          <w:b/>
          <w:spacing w:val="-3"/>
          <w:sz w:val="21"/>
        </w:rPr>
        <w:t>Ⅲ </w:t>
      </w:r>
      <w:r>
        <w:rPr>
          <w:rFonts w:ascii="黑体" w:hAnsi="黑体" w:eastAsia="黑体" w:hint="eastAsia"/>
          <w:b/>
          <w:sz w:val="21"/>
        </w:rPr>
        <w:t>CREST</w:t>
      </w:r>
      <w:r>
        <w:rPr>
          <w:rFonts w:ascii="黑体" w:hAnsi="黑体" w:eastAsia="黑体" w:hint="eastAsia"/>
          <w:b/>
          <w:spacing w:val="-14"/>
          <w:sz w:val="21"/>
        </w:rPr>
        <w:t> 综合征。</w:t>
      </w:r>
    </w:p>
    <w:p>
      <w:pPr>
        <w:spacing w:after="0"/>
        <w:jc w:val="left"/>
        <w:rPr>
          <w:rFonts w:ascii="黑体" w:hAns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35、急性坏死胰腺</w:t>
      </w:r>
      <w:r>
        <w:rPr>
          <w:rFonts w:ascii="华文新魏" w:eastAsia="华文新魏" w:hint="eastAsia"/>
          <w:b/>
          <w:spacing w:val="-2"/>
          <w:sz w:val="21"/>
        </w:rPr>
        <w:t>炎开腹手术</w:t>
      </w:r>
    </w:p>
    <w:p>
      <w:pPr>
        <w:pStyle w:val="BodyText"/>
        <w:spacing w:line="278" w:lineRule="auto" w:before="79"/>
        <w:ind w:left="194" w:right="322"/>
      </w:pPr>
      <w:r>
        <w:rPr/>
        <w:br w:type="column"/>
      </w:r>
      <w:r>
        <w:rPr>
          <w:spacing w:val="-8"/>
        </w:rPr>
        <w:t>指为治疗急性坏死性胰腺炎，实际实施了开腹进行的坏死组织清除术、病灶切除术</w:t>
      </w:r>
      <w:r>
        <w:rPr>
          <w:spacing w:val="-2"/>
        </w:rPr>
        <w:t>或胰腺部分切除术。</w:t>
      </w:r>
    </w:p>
    <w:p>
      <w:pPr>
        <w:spacing w:line="269" w:lineRule="exact" w:before="0"/>
        <w:ind w:left="194" w:right="0" w:firstLine="0"/>
        <w:jc w:val="left"/>
        <w:rPr>
          <w:rFonts w:ascii="黑体" w:eastAsia="黑体" w:hint="eastAsia"/>
          <w:b/>
          <w:sz w:val="21"/>
        </w:rPr>
      </w:pPr>
      <w:r>
        <w:rPr>
          <w:rFonts w:ascii="黑体" w:eastAsia="黑体" w:hint="eastAsia"/>
          <w:b/>
          <w:spacing w:val="-3"/>
          <w:sz w:val="21"/>
        </w:rPr>
        <w:t>因酒精作用所致的急性胰腺炎以及腹腔镜手术不在保障范围内。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36、严重原发性硬</w:t>
      </w:r>
      <w:r>
        <w:rPr>
          <w:rFonts w:ascii="华文新魏" w:eastAsia="华文新魏" w:hint="eastAsia"/>
          <w:b/>
          <w:spacing w:val="-2"/>
          <w:sz w:val="21"/>
        </w:rPr>
        <w:t>化性胆管炎</w:t>
      </w:r>
    </w:p>
    <w:p>
      <w:pPr>
        <w:pStyle w:val="BodyText"/>
        <w:spacing w:line="278" w:lineRule="auto" w:before="79"/>
        <w:ind w:left="194" w:right="322"/>
        <w:jc w:val="both"/>
      </w:pPr>
      <w:r>
        <w:rPr/>
        <w:br w:type="column"/>
      </w:r>
      <w:r>
        <w:rPr>
          <w:spacing w:val="-7"/>
        </w:rPr>
        <w:t>原发性硬化性胆管炎指一种胆汁淤积综合征，其特征是肝内、肝外胆道因非细菌性</w:t>
      </w:r>
      <w:r>
        <w:rPr>
          <w:spacing w:val="-4"/>
        </w:rPr>
        <w:t>炎症、慢性纤维化逐渐狭窄，并最终导致完全阻塞而发展为胆汁於积性肝硬化。须</w:t>
      </w:r>
      <w:r>
        <w:rPr>
          <w:spacing w:val="-2"/>
        </w:rPr>
        <w:t>满足下列全部条件：</w:t>
      </w:r>
    </w:p>
    <w:p>
      <w:pPr>
        <w:pStyle w:val="BodyText"/>
        <w:spacing w:line="269" w:lineRule="exact"/>
        <w:ind w:left="194"/>
        <w:jc w:val="both"/>
      </w:pPr>
      <w:r>
        <w:rPr>
          <w:spacing w:val="-5"/>
        </w:rPr>
        <w:t>Ⅰ 持续性黄疸病史；</w:t>
      </w:r>
    </w:p>
    <w:p>
      <w:pPr>
        <w:pStyle w:val="BodyText"/>
        <w:spacing w:line="278" w:lineRule="auto" w:before="43"/>
        <w:ind w:left="194" w:right="2531"/>
      </w:pPr>
      <w:r>
        <w:rPr>
          <w:spacing w:val="-5"/>
        </w:rPr>
        <w:t>Ⅱ 总胆红素和直接胆红素同时升高，血清 </w:t>
      </w:r>
      <w:r>
        <w:rPr/>
        <w:t>ALP&gt;200U/L； Ⅲ 经内镜逆行胰胆管造影（ERCP）影像学检查确诊；</w:t>
      </w:r>
      <w:r>
        <w:rPr>
          <w:spacing w:val="40"/>
        </w:rPr>
        <w:t> </w:t>
      </w:r>
      <w:r>
        <w:rPr/>
        <w:t>Ⅳ 出现胆汁於积性肝硬化或门脉高压。</w:t>
      </w:r>
    </w:p>
    <w:p>
      <w:pPr>
        <w:spacing w:before="0"/>
        <w:ind w:left="194" w:right="0" w:firstLine="0"/>
        <w:jc w:val="left"/>
        <w:rPr>
          <w:rFonts w:ascii="黑体" w:eastAsia="黑体" w:hint="eastAsia"/>
          <w:b/>
          <w:sz w:val="21"/>
        </w:rPr>
      </w:pPr>
      <w:r>
        <w:rPr>
          <w:rFonts w:ascii="黑体" w:eastAsia="黑体" w:hint="eastAsia"/>
          <w:b/>
          <w:spacing w:val="-3"/>
          <w:sz w:val="21"/>
        </w:rPr>
        <w:t>因肿瘤或胆管损伤等继发性的硬化性胆管炎不在保障范围内。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tabs>
          <w:tab w:pos="3081" w:val="left" w:leader="none"/>
        </w:tabs>
        <w:spacing w:line="256" w:lineRule="auto" w:before="55"/>
        <w:ind w:left="3081" w:right="332" w:hanging="1949"/>
        <w:jc w:val="left"/>
        <w:rPr>
          <w:rFonts w:ascii="黑体" w:eastAsia="黑体"/>
          <w:sz w:val="21"/>
        </w:rPr>
      </w:pPr>
      <w:r>
        <w:rPr>
          <w:rFonts w:ascii="华文新魏" w:eastAsia="华文新魏" w:hint="eastAsia"/>
          <w:b/>
          <w:spacing w:val="-1"/>
          <w:w w:val="100"/>
          <w:position w:val="2"/>
          <w:sz w:val="21"/>
        </w:rPr>
        <w:t>37</w:t>
      </w:r>
      <w:r>
        <w:rPr>
          <w:rFonts w:ascii="华文新魏" w:eastAsia="华文新魏" w:hint="eastAsia"/>
          <w:b/>
          <w:w w:val="100"/>
          <w:position w:val="2"/>
          <w:sz w:val="21"/>
        </w:rPr>
        <w:t>、颅</w:t>
      </w:r>
      <w:r>
        <w:rPr>
          <w:rFonts w:ascii="华文新魏" w:eastAsia="华文新魏" w:hint="eastAsia"/>
          <w:b/>
          <w:spacing w:val="-3"/>
          <w:w w:val="100"/>
          <w:position w:val="2"/>
          <w:sz w:val="21"/>
        </w:rPr>
        <w:t>脑</w:t>
      </w:r>
      <w:r>
        <w:rPr>
          <w:rFonts w:ascii="华文新魏" w:eastAsia="华文新魏" w:hint="eastAsia"/>
          <w:b/>
          <w:w w:val="100"/>
          <w:position w:val="2"/>
          <w:sz w:val="21"/>
        </w:rPr>
        <w:t>手术</w:t>
      </w:r>
      <w:r>
        <w:rPr>
          <w:rFonts w:ascii="华文新魏" w:eastAsia="华文新魏" w:hint="eastAsia"/>
          <w:b/>
          <w:position w:val="2"/>
          <w:sz w:val="21"/>
        </w:rPr>
        <w:tab/>
      </w:r>
      <w:r>
        <w:rPr>
          <w:spacing w:val="9"/>
          <w:w w:val="100"/>
          <w:sz w:val="21"/>
        </w:rPr>
        <w:t>被</w:t>
      </w:r>
      <w:r>
        <w:rPr>
          <w:spacing w:val="6"/>
          <w:w w:val="100"/>
          <w:sz w:val="21"/>
        </w:rPr>
        <w:t>保险</w:t>
      </w:r>
      <w:r>
        <w:rPr>
          <w:spacing w:val="9"/>
          <w:w w:val="100"/>
          <w:sz w:val="21"/>
        </w:rPr>
        <w:t>人</w:t>
      </w:r>
      <w:r>
        <w:rPr>
          <w:spacing w:val="6"/>
          <w:w w:val="100"/>
          <w:sz w:val="21"/>
        </w:rPr>
        <w:t>确已实</w:t>
      </w:r>
      <w:r>
        <w:rPr>
          <w:spacing w:val="9"/>
          <w:w w:val="100"/>
          <w:sz w:val="21"/>
        </w:rPr>
        <w:t>施</w:t>
      </w:r>
      <w:r>
        <w:rPr>
          <w:spacing w:val="6"/>
          <w:w w:val="100"/>
          <w:sz w:val="21"/>
        </w:rPr>
        <w:t>全麻下</w:t>
      </w:r>
      <w:r>
        <w:rPr>
          <w:spacing w:val="9"/>
          <w:w w:val="100"/>
          <w:sz w:val="21"/>
        </w:rPr>
        <w:t>的</w:t>
      </w:r>
      <w:r>
        <w:rPr>
          <w:spacing w:val="6"/>
          <w:w w:val="100"/>
          <w:sz w:val="21"/>
        </w:rPr>
        <w:t>开颅</w:t>
      </w:r>
      <w:r>
        <w:rPr>
          <w:spacing w:val="9"/>
          <w:w w:val="100"/>
          <w:sz w:val="21"/>
        </w:rPr>
        <w:t>手</w:t>
      </w:r>
      <w:r>
        <w:rPr>
          <w:spacing w:val="12"/>
          <w:w w:val="100"/>
          <w:sz w:val="21"/>
        </w:rPr>
        <w:t>术</w:t>
      </w:r>
      <w:r>
        <w:rPr>
          <w:rFonts w:ascii="黑体" w:eastAsia="黑体"/>
          <w:spacing w:val="7"/>
          <w:w w:val="100"/>
          <w:sz w:val="21"/>
        </w:rPr>
        <w:t>（</w:t>
      </w:r>
      <w:r>
        <w:rPr>
          <w:rFonts w:ascii="黑体" w:eastAsia="黑体" w:hint="eastAsia"/>
          <w:b/>
          <w:spacing w:val="9"/>
          <w:w w:val="100"/>
          <w:sz w:val="21"/>
        </w:rPr>
        <w:t>不包</w:t>
      </w:r>
      <w:r>
        <w:rPr>
          <w:rFonts w:ascii="黑体" w:eastAsia="黑体" w:hint="eastAsia"/>
          <w:b/>
          <w:spacing w:val="6"/>
          <w:w w:val="100"/>
          <w:sz w:val="21"/>
        </w:rPr>
        <w:t>括</w:t>
      </w:r>
      <w:r>
        <w:rPr>
          <w:rFonts w:ascii="黑体" w:eastAsia="黑体" w:hint="eastAsia"/>
          <w:b/>
          <w:spacing w:val="9"/>
          <w:w w:val="100"/>
          <w:sz w:val="21"/>
        </w:rPr>
        <w:t>颅</w:t>
      </w:r>
      <w:r>
        <w:rPr>
          <w:rFonts w:ascii="黑体" w:eastAsia="黑体" w:hint="eastAsia"/>
          <w:b/>
          <w:spacing w:val="6"/>
          <w:w w:val="100"/>
          <w:sz w:val="21"/>
        </w:rPr>
        <w:t>骨</w:t>
      </w:r>
      <w:r>
        <w:rPr>
          <w:rFonts w:ascii="黑体" w:eastAsia="黑体" w:hint="eastAsia"/>
          <w:b/>
          <w:spacing w:val="9"/>
          <w:w w:val="100"/>
          <w:sz w:val="21"/>
        </w:rPr>
        <w:t>钻孔手</w:t>
      </w:r>
      <w:r>
        <w:rPr>
          <w:rFonts w:ascii="黑体" w:eastAsia="黑体" w:hint="eastAsia"/>
          <w:b/>
          <w:spacing w:val="6"/>
          <w:w w:val="100"/>
          <w:sz w:val="21"/>
        </w:rPr>
        <w:t>术</w:t>
      </w:r>
      <w:r>
        <w:rPr>
          <w:rFonts w:ascii="黑体" w:eastAsia="黑体" w:hint="eastAsia"/>
          <w:b/>
          <w:spacing w:val="9"/>
          <w:w w:val="100"/>
          <w:sz w:val="21"/>
        </w:rPr>
        <w:t>和经</w:t>
      </w:r>
      <w:r>
        <w:rPr>
          <w:rFonts w:ascii="黑体" w:eastAsia="黑体" w:hint="eastAsia"/>
          <w:b/>
          <w:spacing w:val="6"/>
          <w:w w:val="100"/>
          <w:sz w:val="21"/>
        </w:rPr>
        <w:t>鼻</w:t>
      </w:r>
      <w:r>
        <w:rPr>
          <w:rFonts w:ascii="黑体" w:eastAsia="黑体" w:hint="eastAsia"/>
          <w:b/>
          <w:spacing w:val="9"/>
          <w:w w:val="100"/>
          <w:sz w:val="21"/>
        </w:rPr>
        <w:t>蝶</w:t>
      </w:r>
      <w:r>
        <w:rPr>
          <w:rFonts w:ascii="黑体" w:eastAsia="黑体" w:hint="eastAsia"/>
          <w:b/>
          <w:spacing w:val="6"/>
          <w:w w:val="100"/>
          <w:sz w:val="21"/>
        </w:rPr>
        <w:t>窦</w:t>
      </w:r>
      <w:r>
        <w:rPr>
          <w:rFonts w:ascii="黑体" w:eastAsia="黑体" w:hint="eastAsia"/>
          <w:b/>
          <w:spacing w:val="9"/>
          <w:w w:val="100"/>
          <w:sz w:val="21"/>
        </w:rPr>
        <w:t>入</w:t>
      </w:r>
      <w:r>
        <w:rPr>
          <w:rFonts w:ascii="黑体" w:eastAsia="黑体" w:hint="eastAsia"/>
          <w:b/>
          <w:spacing w:val="6"/>
          <w:w w:val="100"/>
          <w:sz w:val="21"/>
        </w:rPr>
        <w:t>颅</w:t>
      </w:r>
      <w:r>
        <w:rPr>
          <w:rFonts w:ascii="黑体" w:eastAsia="黑体" w:hint="eastAsia"/>
          <w:b/>
          <w:w w:val="100"/>
          <w:sz w:val="21"/>
        </w:rPr>
        <w:t>手</w:t>
      </w:r>
      <w:r>
        <w:rPr>
          <w:rFonts w:ascii="黑体" w:eastAsia="黑体" w:hint="eastAsia"/>
          <w:b/>
          <w:spacing w:val="3"/>
          <w:w w:val="100"/>
          <w:sz w:val="21"/>
        </w:rPr>
        <w:t>术</w:t>
      </w:r>
      <w:r>
        <w:rPr>
          <w:rFonts w:ascii="黑体" w:eastAsia="黑体"/>
          <w:spacing w:val="-108"/>
          <w:w w:val="100"/>
          <w:sz w:val="21"/>
        </w:rPr>
        <w:t>）。</w:t>
      </w:r>
    </w:p>
    <w:p>
      <w:pPr>
        <w:spacing w:line="278" w:lineRule="auto" w:before="25"/>
        <w:ind w:left="3081" w:right="334" w:firstLine="0"/>
        <w:jc w:val="left"/>
        <w:rPr>
          <w:rFonts w:ascii="黑体" w:eastAsia="黑体" w:hint="eastAsia"/>
          <w:b/>
          <w:sz w:val="21"/>
        </w:rPr>
      </w:pPr>
      <w:r>
        <w:rPr>
          <w:rFonts w:ascii="黑体" w:eastAsia="黑体" w:hint="eastAsia"/>
          <w:b/>
          <w:spacing w:val="-2"/>
          <w:sz w:val="21"/>
        </w:rPr>
        <w:t>因外伤及除脑垂体瘤、脑囊肿、颅内血管性疾病以外的良性颅内肿瘤而实施的脑</w:t>
      </w:r>
      <w:r>
        <w:rPr>
          <w:rFonts w:ascii="黑体" w:eastAsia="黑体" w:hint="eastAsia"/>
          <w:b/>
          <w:spacing w:val="-2"/>
          <w:sz w:val="21"/>
        </w:rPr>
        <w:t>外科手术不在保障范围之内。</w:t>
      </w:r>
    </w:p>
    <w:p>
      <w:pPr>
        <w:spacing w:line="269" w:lineRule="exact" w:before="0"/>
        <w:ind w:left="3081" w:right="0" w:firstLine="0"/>
        <w:jc w:val="left"/>
        <w:rPr>
          <w:rFonts w:ascii="黑体" w:eastAsia="黑体" w:hint="eastAsia"/>
          <w:b/>
          <w:sz w:val="21"/>
        </w:rPr>
      </w:pPr>
      <w:r>
        <w:rPr>
          <w:rFonts w:ascii="黑体" w:eastAsia="黑体" w:hint="eastAsia"/>
          <w:b/>
          <w:spacing w:val="-3"/>
          <w:sz w:val="21"/>
        </w:rPr>
        <w:t>理赔时必须提供由神经外科医生出具的诊断书及手术报告。</w:t>
      </w:r>
    </w:p>
    <w:p>
      <w:pPr>
        <w:pStyle w:val="BodyText"/>
        <w:spacing w:before="8"/>
        <w:rPr>
          <w:rFonts w:ascii="黑体"/>
          <w:b/>
        </w:rPr>
      </w:pPr>
    </w:p>
    <w:p>
      <w:pPr>
        <w:spacing w:after="0"/>
        <w:rPr>
          <w:rFonts w:ascii="黑体"/>
        </w:rPr>
        <w:sectPr>
          <w:type w:val="continuous"/>
          <w:pgSz w:w="11910" w:h="16840"/>
          <w:pgMar w:header="0" w:footer="655" w:top="140" w:bottom="280" w:left="560" w:right="480"/>
        </w:sectPr>
      </w:pPr>
    </w:p>
    <w:p>
      <w:pPr>
        <w:spacing w:before="55"/>
        <w:ind w:left="1132" w:right="0" w:firstLine="0"/>
        <w:jc w:val="left"/>
        <w:rPr>
          <w:rFonts w:ascii="华文新魏" w:hAnsi="华文新魏" w:eastAsia="华文新魏" w:hint="eastAsia"/>
          <w:b/>
          <w:sz w:val="21"/>
        </w:rPr>
      </w:pPr>
      <w:r>
        <w:rPr>
          <w:rFonts w:ascii="华文新魏" w:hAnsi="华文新魏" w:eastAsia="华文新魏" w:hint="eastAsia"/>
          <w:b/>
          <w:spacing w:val="-2"/>
          <w:sz w:val="21"/>
        </w:rPr>
        <w:t>38、系统性红斑狼疮-Ⅲ型或以上狼</w:t>
      </w:r>
      <w:r>
        <w:rPr>
          <w:rFonts w:ascii="华文新魏" w:hAnsi="华文新魏" w:eastAsia="华文新魏" w:hint="eastAsia"/>
          <w:b/>
          <w:spacing w:val="-4"/>
          <w:sz w:val="21"/>
        </w:rPr>
        <w:t>疮性肾炎</w:t>
      </w:r>
    </w:p>
    <w:p>
      <w:pPr>
        <w:pStyle w:val="BodyText"/>
        <w:spacing w:line="278" w:lineRule="auto" w:before="78"/>
        <w:ind w:left="194" w:right="322"/>
      </w:pPr>
      <w:r>
        <w:rPr/>
        <w:br w:type="column"/>
      </w:r>
      <w:r>
        <w:rPr>
          <w:spacing w:val="-8"/>
        </w:rPr>
        <w:t>系统性红斑狼疮是由多种因素引起，累及多系统的自身免疫性疾病。其特点是生成</w:t>
      </w:r>
      <w:r>
        <w:rPr>
          <w:spacing w:val="-2"/>
        </w:rPr>
        <w:t>自身抗体对抗多种自身抗原。多见于育龄妇女。</w:t>
      </w:r>
    </w:p>
    <w:p>
      <w:pPr>
        <w:spacing w:line="278" w:lineRule="auto" w:before="0"/>
        <w:ind w:left="194" w:right="322" w:firstLine="0"/>
        <w:jc w:val="both"/>
        <w:rPr>
          <w:rFonts w:ascii="黑体" w:hAnsi="黑体" w:eastAsia="黑体" w:hint="eastAsia"/>
          <w:b/>
          <w:sz w:val="21"/>
        </w:rPr>
      </w:pPr>
      <w:r>
        <w:rPr>
          <w:spacing w:val="-5"/>
          <w:sz w:val="21"/>
        </w:rPr>
        <w:t>此处所指的系统性红斑狼疮仅限于累及肾脏</w:t>
      </w:r>
      <w:r>
        <w:rPr>
          <w:spacing w:val="-2"/>
          <w:sz w:val="21"/>
        </w:rPr>
        <w:t>（</w:t>
      </w:r>
      <w:r>
        <w:rPr>
          <w:spacing w:val="-10"/>
          <w:sz w:val="21"/>
        </w:rPr>
        <w:t>经肾脏活检确认的，符合 </w:t>
      </w:r>
      <w:r>
        <w:rPr>
          <w:spacing w:val="-2"/>
          <w:sz w:val="21"/>
        </w:rPr>
        <w:t>WHO</w:t>
      </w:r>
      <w:r>
        <w:rPr>
          <w:spacing w:val="-8"/>
          <w:sz w:val="21"/>
        </w:rPr>
        <w:t> 诊断标</w:t>
      </w:r>
      <w:r>
        <w:rPr>
          <w:spacing w:val="-5"/>
          <w:sz w:val="21"/>
        </w:rPr>
        <w:t>准定义Ⅲ 型至Ⅴ型狼疮性肾炎</w:t>
      </w:r>
      <w:r>
        <w:rPr>
          <w:sz w:val="21"/>
        </w:rPr>
        <w:t>）的系统性红斑狼疮。</w:t>
      </w:r>
      <w:r>
        <w:rPr>
          <w:rFonts w:ascii="黑体" w:hAnsi="黑体" w:eastAsia="黑体" w:hint="eastAsia"/>
          <w:b/>
          <w:sz w:val="21"/>
        </w:rPr>
        <w:t>其他类型的红斑性狼疮，如</w:t>
      </w:r>
      <w:r>
        <w:rPr>
          <w:rFonts w:ascii="黑体" w:hAnsi="黑体" w:eastAsia="黑体" w:hint="eastAsia"/>
          <w:b/>
          <w:spacing w:val="-2"/>
          <w:sz w:val="21"/>
        </w:rPr>
        <w:t>盘状狼疮、仅累及血液及关节的狼疮不在本保单保障范围內。</w:t>
      </w:r>
    </w:p>
    <w:p>
      <w:pPr>
        <w:pStyle w:val="BodyText"/>
        <w:ind w:left="194"/>
      </w:pPr>
      <w:r>
        <w:rPr>
          <w:spacing w:val="-2"/>
        </w:rPr>
        <w:t>世界卫生组织（WHO）</w:t>
      </w:r>
      <w:r>
        <w:rPr>
          <w:spacing w:val="-4"/>
        </w:rPr>
        <w:t>狼疮性肾炎分型：</w:t>
      </w:r>
    </w:p>
    <w:p>
      <w:pPr>
        <w:pStyle w:val="BodyText"/>
        <w:spacing w:before="43"/>
        <w:ind w:left="194"/>
      </w:pPr>
      <w:r>
        <w:rPr>
          <w:spacing w:val="-5"/>
        </w:rPr>
        <w:t>Ⅰ 型</w:t>
      </w:r>
      <w:r>
        <w:rPr/>
        <w:t>（微小病变型）</w:t>
      </w:r>
      <w:r>
        <w:rPr>
          <w:spacing w:val="-4"/>
        </w:rPr>
        <w:t> 镜下阴性，尿液正常</w:t>
      </w:r>
    </w:p>
    <w:p>
      <w:pPr>
        <w:pStyle w:val="BodyText"/>
        <w:spacing w:line="278" w:lineRule="auto" w:before="43"/>
        <w:ind w:left="194" w:right="2948"/>
      </w:pPr>
      <w:r>
        <w:rPr>
          <w:spacing w:val="-6"/>
        </w:rPr>
        <w:t>Ⅱ 型</w:t>
      </w:r>
      <w:r>
        <w:rPr/>
        <w:t>（系膜病变型）</w:t>
      </w:r>
      <w:r>
        <w:rPr>
          <w:spacing w:val="-4"/>
        </w:rPr>
        <w:t> 中度蛋白尿，偶有尿沉渣改变</w:t>
      </w:r>
      <w:r>
        <w:rPr/>
        <w:t> Ⅲ 型（局灶及节段增生型） 蛋白尿，尿沉渣改变</w:t>
      </w:r>
    </w:p>
    <w:p>
      <w:pPr>
        <w:pStyle w:val="BodyText"/>
        <w:spacing w:line="278" w:lineRule="auto"/>
        <w:ind w:left="194" w:right="1685"/>
      </w:pPr>
      <w:r>
        <w:rPr>
          <w:spacing w:val="-5"/>
        </w:rPr>
        <w:t>Ⅳ 型</w:t>
      </w:r>
      <w:r>
        <w:rPr/>
        <w:t>（弥漫增生型）</w:t>
      </w:r>
      <w:r>
        <w:rPr>
          <w:spacing w:val="-4"/>
        </w:rPr>
        <w:t> 急性肾炎伴有尿沉渣改变及／或肾病综合征</w:t>
      </w:r>
      <w:r>
        <w:rPr/>
        <w:t> Ⅴ 型（膜型） 肾病综合征或重度蛋白尿</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4"/>
        <w:rPr>
          <w:sz w:val="10"/>
        </w:rPr>
      </w:pPr>
    </w:p>
    <w:p>
      <w:pPr>
        <w:spacing w:after="0"/>
        <w:rPr>
          <w:sz w:val="10"/>
        </w:rPr>
        <w:sectPr>
          <w:pgSz w:w="11910" w:h="16840"/>
          <w:pgMar w:header="0" w:footer="655" w:top="158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39、非阿尔茨海默</w:t>
      </w:r>
      <w:r>
        <w:rPr>
          <w:rFonts w:ascii="华文新魏" w:eastAsia="华文新魏" w:hint="eastAsia"/>
          <w:b/>
          <w:spacing w:val="-2"/>
          <w:sz w:val="21"/>
        </w:rPr>
        <w:t>病所致严重痴呆</w:t>
      </w:r>
    </w:p>
    <w:p>
      <w:pPr>
        <w:pStyle w:val="BodyText"/>
        <w:spacing w:line="278" w:lineRule="auto" w:before="78"/>
        <w:ind w:left="194" w:right="216"/>
      </w:pPr>
      <w:r>
        <w:rPr/>
        <w:br w:type="column"/>
      </w:r>
      <w:r>
        <w:rPr>
          <w:w w:val="100"/>
        </w:rPr>
        <w:t>指因阿尔茨海默病以外的脑的器质性疾病造成脑功能衰竭导致永久不可逆性的严</w:t>
      </w:r>
      <w:r>
        <w:rPr>
          <w:spacing w:val="-10"/>
          <w:w w:val="100"/>
        </w:rPr>
        <w:t>重痴呆，临床表现为明显的认知能力障碍、行为异常和社交能力减退。被保险人自</w:t>
      </w:r>
      <w:r>
        <w:rPr>
          <w:spacing w:val="-5"/>
          <w:w w:val="100"/>
        </w:rPr>
        <w:t>主生活能力完全丧失，无法独立完成六项基本日常生活活动中的三项或三项以上，</w:t>
      </w:r>
      <w:r>
        <w:rPr>
          <w:spacing w:val="-10"/>
          <w:w w:val="100"/>
        </w:rPr>
        <w:t>日常生活必须持续受到他人监护。导致痴呆的疾病必须明确诊断，并且由完整的临</w:t>
      </w:r>
      <w:r>
        <w:rPr>
          <w:spacing w:val="-5"/>
          <w:w w:val="100"/>
        </w:rPr>
        <w:t>床、实验室和影像学检查结果证实。</w:t>
      </w:r>
    </w:p>
    <w:p>
      <w:pPr>
        <w:spacing w:line="268" w:lineRule="exact" w:before="0"/>
        <w:ind w:left="194" w:right="0" w:firstLine="0"/>
        <w:jc w:val="left"/>
        <w:rPr>
          <w:rFonts w:ascii="黑体" w:eastAsia="黑体" w:hint="eastAsia"/>
          <w:b/>
          <w:sz w:val="21"/>
        </w:rPr>
      </w:pPr>
      <w:r>
        <w:rPr>
          <w:rFonts w:ascii="黑体" w:eastAsia="黑体" w:hint="eastAsia"/>
          <w:b/>
          <w:spacing w:val="-3"/>
          <w:sz w:val="21"/>
        </w:rPr>
        <w:t>神经官能症、精神疾病及酒精中毒所致脑损害不在保障范围内。</w:t>
      </w:r>
    </w:p>
    <w:p>
      <w:pPr>
        <w:spacing w:after="0" w:line="268" w:lineRule="exact"/>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40、经输血导致的</w:t>
      </w:r>
      <w:r>
        <w:rPr>
          <w:rFonts w:ascii="华文新魏" w:eastAsia="华文新魏" w:hint="eastAsia"/>
          <w:b/>
          <w:spacing w:val="-4"/>
          <w:sz w:val="21"/>
        </w:rPr>
        <w:t>人类免疫缺陷病毒</w:t>
      </w:r>
    </w:p>
    <w:p>
      <w:pPr>
        <w:spacing w:line="311" w:lineRule="exact" w:before="0"/>
        <w:ind w:left="1132" w:right="0" w:firstLine="0"/>
        <w:jc w:val="left"/>
        <w:rPr>
          <w:rFonts w:ascii="华文新魏" w:eastAsia="华文新魏" w:hint="eastAsia"/>
          <w:b/>
          <w:sz w:val="21"/>
        </w:rPr>
      </w:pPr>
      <w:r>
        <w:rPr>
          <w:rFonts w:ascii="华文新魏" w:eastAsia="华文新魏" w:hint="eastAsia"/>
          <w:b/>
          <w:spacing w:val="-2"/>
          <w:sz w:val="21"/>
        </w:rPr>
        <w:t>（HIV）</w:t>
      </w:r>
      <w:r>
        <w:rPr>
          <w:rFonts w:ascii="华文新魏" w:eastAsia="华文新魏" w:hint="eastAsia"/>
          <w:b/>
          <w:spacing w:val="-6"/>
          <w:sz w:val="21"/>
        </w:rPr>
        <w:t>感染</w:t>
      </w:r>
    </w:p>
    <w:p>
      <w:pPr>
        <w:pStyle w:val="BodyText"/>
        <w:spacing w:line="278" w:lineRule="auto" w:before="79"/>
        <w:ind w:left="190" w:right="1467"/>
      </w:pPr>
      <w:r>
        <w:rPr/>
        <w:br w:type="column"/>
      </w:r>
      <w:r>
        <w:rPr>
          <w:spacing w:val="-2"/>
        </w:rPr>
        <w:t>被保险人感染上人类免疫缺陷病毒（HIV）并且满足下列全部条件： </w:t>
      </w:r>
      <w:r>
        <w:rPr>
          <w:spacing w:val="-1"/>
        </w:rPr>
        <w:t>Ⅰ 在保障起始日或复效日之后，被保险人因输血而感染 </w:t>
      </w:r>
      <w:r>
        <w:rPr/>
        <w:t>HIV；</w:t>
      </w:r>
    </w:p>
    <w:p>
      <w:pPr>
        <w:pStyle w:val="BodyText"/>
        <w:spacing w:line="278" w:lineRule="auto"/>
        <w:ind w:left="190" w:right="322"/>
      </w:pPr>
      <w:r>
        <w:rPr>
          <w:spacing w:val="-6"/>
        </w:rPr>
        <w:t>Ⅱ 提供输血治疗的输血中心或本公司认可医院出具该项输血感染属医疗责任事故</w:t>
      </w:r>
      <w:r>
        <w:rPr>
          <w:spacing w:val="-2"/>
        </w:rPr>
        <w:t>的报告，或者法院终审裁定为医疗责任并且不准上诉；</w:t>
      </w:r>
    </w:p>
    <w:p>
      <w:pPr>
        <w:pStyle w:val="BodyText"/>
        <w:spacing w:line="269" w:lineRule="exact"/>
        <w:ind w:left="190"/>
      </w:pPr>
      <w:r>
        <w:rPr>
          <w:spacing w:val="-6"/>
        </w:rPr>
        <w:t>Ⅲ 受感染的被保险人不是血友病患者。</w:t>
      </w:r>
    </w:p>
    <w:p>
      <w:pPr>
        <w:spacing w:before="43"/>
        <w:ind w:left="190" w:right="0" w:firstLine="0"/>
        <w:jc w:val="left"/>
        <w:rPr>
          <w:rFonts w:ascii="黑体" w:eastAsia="黑体" w:hint="eastAsia"/>
          <w:b/>
          <w:sz w:val="21"/>
        </w:rPr>
      </w:pPr>
      <w:r>
        <w:rPr>
          <w:rFonts w:ascii="黑体" w:eastAsia="黑体" w:hint="eastAsia"/>
          <w:b/>
          <w:spacing w:val="-14"/>
          <w:sz w:val="21"/>
        </w:rPr>
        <w:t>在任何治愈艾滋病</w:t>
      </w:r>
      <w:r>
        <w:rPr>
          <w:rFonts w:ascii="黑体" w:eastAsia="黑体" w:hint="eastAsia"/>
          <w:b/>
          <w:spacing w:val="-4"/>
          <w:sz w:val="21"/>
        </w:rPr>
        <w:t>（AIDS）</w:t>
      </w:r>
      <w:r>
        <w:rPr>
          <w:rFonts w:ascii="黑体" w:eastAsia="黑体" w:hint="eastAsia"/>
          <w:b/>
          <w:spacing w:val="-14"/>
          <w:sz w:val="21"/>
        </w:rPr>
        <w:t>或阻止 </w:t>
      </w:r>
      <w:r>
        <w:rPr>
          <w:rFonts w:ascii="黑体" w:eastAsia="黑体" w:hint="eastAsia"/>
          <w:b/>
          <w:spacing w:val="-4"/>
          <w:sz w:val="21"/>
        </w:rPr>
        <w:t>HIV</w:t>
      </w:r>
      <w:r>
        <w:rPr>
          <w:rFonts w:ascii="黑体" w:eastAsia="黑体" w:hint="eastAsia"/>
          <w:b/>
          <w:spacing w:val="-12"/>
          <w:sz w:val="21"/>
        </w:rPr>
        <w:t> 病毒作用的疗法被发现以后，或能防止 </w:t>
      </w:r>
      <w:r>
        <w:rPr>
          <w:rFonts w:ascii="黑体" w:eastAsia="黑体" w:hint="eastAsia"/>
          <w:b/>
          <w:spacing w:val="-4"/>
          <w:sz w:val="21"/>
        </w:rPr>
        <w:t>AIDS</w:t>
      </w:r>
    </w:p>
    <w:p>
      <w:pPr>
        <w:spacing w:before="43"/>
        <w:ind w:left="190" w:right="0" w:firstLine="0"/>
        <w:jc w:val="left"/>
        <w:rPr>
          <w:rFonts w:ascii="黑体" w:eastAsia="黑体" w:hint="eastAsia"/>
          <w:b/>
          <w:sz w:val="21"/>
        </w:rPr>
      </w:pPr>
      <w:r>
        <w:rPr>
          <w:rFonts w:ascii="黑体" w:eastAsia="黑体" w:hint="eastAsia"/>
          <w:b/>
          <w:spacing w:val="-3"/>
          <w:sz w:val="21"/>
        </w:rPr>
        <w:t>发生的医疗方法被研究出来以后，则我们不再予以赔付。</w:t>
      </w:r>
    </w:p>
    <w:p>
      <w:pPr>
        <w:spacing w:line="278" w:lineRule="auto" w:before="43"/>
        <w:ind w:left="190" w:right="327" w:firstLine="0"/>
        <w:jc w:val="both"/>
        <w:rPr>
          <w:rFonts w:ascii="黑体" w:eastAsia="黑体" w:hint="eastAsia"/>
          <w:b/>
          <w:sz w:val="21"/>
        </w:rPr>
      </w:pPr>
      <w:r>
        <w:rPr>
          <w:rFonts w:ascii="黑体" w:eastAsia="黑体" w:hint="eastAsia"/>
          <w:b/>
          <w:sz w:val="21"/>
        </w:rPr>
        <w:t>任何因其他传播方式（包括：性传播或静脉注射毒品）</w:t>
      </w:r>
      <w:r>
        <w:rPr>
          <w:rFonts w:ascii="黑体" w:eastAsia="黑体" w:hint="eastAsia"/>
          <w:b/>
          <w:spacing w:val="-7"/>
          <w:sz w:val="21"/>
        </w:rPr>
        <w:t>导致的 </w:t>
      </w:r>
      <w:r>
        <w:rPr>
          <w:rFonts w:ascii="黑体" w:eastAsia="黑体" w:hint="eastAsia"/>
          <w:b/>
          <w:sz w:val="21"/>
        </w:rPr>
        <w:t>HIV</w:t>
      </w:r>
      <w:r>
        <w:rPr>
          <w:rFonts w:ascii="黑体" w:eastAsia="黑体" w:hint="eastAsia"/>
          <w:b/>
          <w:spacing w:val="-5"/>
          <w:sz w:val="21"/>
        </w:rPr>
        <w:t> 感染不在保障</w:t>
      </w:r>
      <w:r>
        <w:rPr>
          <w:rFonts w:ascii="黑体" w:eastAsia="黑体" w:hint="eastAsia"/>
          <w:b/>
          <w:spacing w:val="-2"/>
          <w:sz w:val="21"/>
        </w:rPr>
        <w:t>范围内。我们必须拥有获得使用被保险人的所有血液样本的权利和能够对这些样</w:t>
      </w:r>
      <w:r>
        <w:rPr>
          <w:rFonts w:ascii="黑体" w:eastAsia="黑体" w:hint="eastAsia"/>
          <w:b/>
          <w:spacing w:val="-2"/>
          <w:sz w:val="21"/>
        </w:rPr>
        <w:t>本进行独立检验的权利。</w:t>
      </w:r>
    </w:p>
    <w:p>
      <w:pPr>
        <w:spacing w:line="269" w:lineRule="exact" w:before="0"/>
        <w:ind w:left="190"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本合同责任免除条款第一节第六项不适用于此病种。</w:t>
      </w:r>
      <w:r>
        <w:rPr>
          <w:rFonts w:ascii="黑体" w:eastAsia="黑体" w:hint="eastAsia"/>
          <w:b/>
          <w:spacing w:val="-10"/>
          <w:sz w:val="21"/>
        </w:rPr>
        <w:t>）</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51" w:space="40"/>
            <w:col w:w="7979"/>
          </w:cols>
        </w:sectPr>
      </w:pPr>
    </w:p>
    <w:p>
      <w:pPr>
        <w:pStyle w:val="BodyText"/>
        <w:spacing w:before="8"/>
        <w:rPr>
          <w:rFonts w:ascii="黑体"/>
          <w:b/>
        </w:rPr>
      </w:pPr>
    </w:p>
    <w:p>
      <w:pPr>
        <w:spacing w:after="0"/>
        <w:rPr>
          <w:rFonts w:ascii="黑体"/>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41、丝虫病所致严</w:t>
      </w:r>
      <w:r>
        <w:rPr>
          <w:rFonts w:ascii="华文新魏" w:eastAsia="华文新魏" w:hint="eastAsia"/>
          <w:b/>
          <w:spacing w:val="-4"/>
          <w:sz w:val="21"/>
        </w:rPr>
        <w:t>重象皮肿</w:t>
      </w:r>
    </w:p>
    <w:p>
      <w:pPr>
        <w:pStyle w:val="BodyText"/>
        <w:spacing w:line="278" w:lineRule="auto" w:before="78"/>
        <w:ind w:left="230" w:right="322"/>
        <w:jc w:val="both"/>
      </w:pPr>
      <w:r>
        <w:rPr/>
        <w:br w:type="column"/>
      </w:r>
      <w:r>
        <w:rPr>
          <w:spacing w:val="-7"/>
        </w:rPr>
        <w:t>指因丝虫感染导致淋巴阻塞性出现严重淋巴水肿，达到国际淋巴学会淋巴肿分期第</w:t>
      </w:r>
      <w:r>
        <w:rPr>
          <w:spacing w:val="-2"/>
        </w:rPr>
        <w:t> </w:t>
      </w:r>
      <w:r>
        <w:rPr>
          <w:spacing w:val="-4"/>
        </w:rPr>
        <w:t>Ⅲ期，临床表现为肢体象皮肿，患肢较健肢增粗 30%以上，日常生活不能自理。此</w:t>
      </w:r>
      <w:r>
        <w:rPr>
          <w:spacing w:val="-2"/>
        </w:rPr>
        <w:t>病症须经专科医生根据临床表现和微丝蚴的化验结果确诊。</w:t>
      </w:r>
    </w:p>
    <w:p>
      <w:pPr>
        <w:spacing w:after="0" w:line="278" w:lineRule="auto"/>
        <w:jc w:val="both"/>
        <w:sectPr>
          <w:type w:val="continuous"/>
          <w:pgSz w:w="11910" w:h="16840"/>
          <w:pgMar w:header="0" w:footer="655" w:top="140" w:bottom="280" w:left="560" w:right="480"/>
          <w:cols w:num="2" w:equalWidth="0">
            <w:col w:w="2811" w:space="40"/>
            <w:col w:w="8019"/>
          </w:cols>
        </w:sectPr>
      </w:pPr>
    </w:p>
    <w:p>
      <w:pPr>
        <w:pStyle w:val="BodyText"/>
        <w:spacing w:before="3"/>
        <w:rPr>
          <w:sz w:val="18"/>
        </w:rPr>
      </w:pPr>
    </w:p>
    <w:p>
      <w:pPr>
        <w:pStyle w:val="BodyText"/>
        <w:tabs>
          <w:tab w:pos="3081" w:val="left" w:leader="none"/>
        </w:tabs>
        <w:spacing w:before="54"/>
        <w:ind w:left="1132"/>
      </w:pPr>
      <w:r>
        <w:rPr>
          <w:rFonts w:ascii="华文新魏" w:eastAsia="华文新魏" w:hint="eastAsia"/>
          <w:b/>
          <w:spacing w:val="-2"/>
          <w:position w:val="2"/>
        </w:rPr>
        <w:t>42</w:t>
      </w:r>
      <w:r>
        <w:rPr>
          <w:rFonts w:ascii="华文新魏" w:eastAsia="华文新魏" w:hint="eastAsia"/>
          <w:b/>
          <w:spacing w:val="-2"/>
          <w:position w:val="2"/>
        </w:rPr>
        <w:t>、</w:t>
      </w:r>
      <w:r>
        <w:rPr>
          <w:rFonts w:ascii="华文新魏" w:eastAsia="华文新魏" w:hint="eastAsia"/>
          <w:b/>
          <w:spacing w:val="-2"/>
          <w:position w:val="2"/>
        </w:rPr>
        <w:t>胰</w:t>
      </w:r>
      <w:r>
        <w:rPr>
          <w:rFonts w:ascii="华文新魏" w:eastAsia="华文新魏" w:hint="eastAsia"/>
          <w:b/>
          <w:spacing w:val="-2"/>
          <w:position w:val="2"/>
        </w:rPr>
        <w:t>腺</w:t>
      </w:r>
      <w:r>
        <w:rPr>
          <w:rFonts w:ascii="华文新魏" w:eastAsia="华文新魏" w:hint="eastAsia"/>
          <w:b/>
          <w:spacing w:val="-2"/>
          <w:position w:val="2"/>
        </w:rPr>
        <w:t>移</w:t>
      </w:r>
      <w:r>
        <w:rPr>
          <w:rFonts w:ascii="华文新魏" w:eastAsia="华文新魏" w:hint="eastAsia"/>
          <w:b/>
          <w:spacing w:val="-12"/>
          <w:position w:val="2"/>
        </w:rPr>
        <w:t>植</w:t>
      </w:r>
      <w:r>
        <w:rPr>
          <w:rFonts w:ascii="华文新魏" w:eastAsia="华文新魏" w:hint="eastAsia"/>
          <w:b/>
          <w:position w:val="2"/>
        </w:rPr>
        <w:tab/>
      </w:r>
      <w:r>
        <w:rPr>
          <w:spacing w:val="-2"/>
        </w:rPr>
        <w:t>指</w:t>
      </w:r>
      <w:r>
        <w:rPr>
          <w:spacing w:val="-2"/>
        </w:rPr>
        <w:t>因</w:t>
      </w:r>
      <w:r>
        <w:rPr>
          <w:spacing w:val="-2"/>
        </w:rPr>
        <w:t>胰腺功能衰竭，已经</w:t>
      </w:r>
      <w:r>
        <w:rPr>
          <w:spacing w:val="-2"/>
        </w:rPr>
        <w:t>实</w:t>
      </w:r>
      <w:r>
        <w:rPr>
          <w:spacing w:val="-2"/>
        </w:rPr>
        <w:t>施</w:t>
      </w:r>
      <w:r>
        <w:rPr>
          <w:spacing w:val="-2"/>
        </w:rPr>
        <w:t>了在全身麻醉下进行</w:t>
      </w:r>
      <w:r>
        <w:rPr>
          <w:spacing w:val="-2"/>
        </w:rPr>
        <w:t>的</w:t>
      </w:r>
      <w:r>
        <w:rPr>
          <w:spacing w:val="-2"/>
        </w:rPr>
        <w:t>胰</w:t>
      </w:r>
      <w:r>
        <w:rPr>
          <w:spacing w:val="-2"/>
        </w:rPr>
        <w:t>腺的异体器官移植手</w:t>
      </w:r>
      <w:r>
        <w:rPr>
          <w:spacing w:val="-2"/>
        </w:rPr>
        <w:t>术</w:t>
      </w:r>
      <w:r>
        <w:rPr>
          <w:spacing w:val="-10"/>
        </w:rPr>
        <w:t>。</w:t>
      </w:r>
    </w:p>
    <w:p>
      <w:pPr>
        <w:spacing w:before="24"/>
        <w:ind w:left="3081" w:right="0" w:firstLine="0"/>
        <w:jc w:val="left"/>
        <w:rPr>
          <w:rFonts w:ascii="黑体" w:eastAsia="黑体" w:hint="eastAsia"/>
          <w:b/>
          <w:sz w:val="21"/>
        </w:rPr>
      </w:pPr>
      <w:r>
        <w:rPr>
          <w:rFonts w:ascii="黑体" w:eastAsia="黑体" w:hint="eastAsia"/>
          <w:b/>
          <w:spacing w:val="-3"/>
          <w:sz w:val="21"/>
        </w:rPr>
        <w:t>单纯胰岛移植、部分胰腺组织或细胞的移植不在本保障范围之内。</w:t>
      </w: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43、严重慢性复发</w:t>
      </w:r>
      <w:r>
        <w:rPr>
          <w:rFonts w:ascii="华文新魏" w:eastAsia="华文新魏" w:hint="eastAsia"/>
          <w:b/>
          <w:spacing w:val="-4"/>
          <w:sz w:val="21"/>
        </w:rPr>
        <w:t>性胰腺炎</w:t>
      </w:r>
    </w:p>
    <w:p>
      <w:pPr>
        <w:pStyle w:val="BodyText"/>
        <w:spacing w:line="278" w:lineRule="auto" w:before="79"/>
        <w:ind w:left="194" w:right="322"/>
        <w:jc w:val="both"/>
      </w:pPr>
      <w:r>
        <w:rPr/>
        <w:br w:type="column"/>
      </w:r>
      <w:r>
        <w:rPr>
          <w:spacing w:val="-4"/>
        </w:rPr>
        <w:t>指慢性反复发作（3 次及以上）的胰腺炎症导致胰腺的广泛纤维化、坏死、弥漫性</w:t>
      </w:r>
      <w:r>
        <w:rPr>
          <w:spacing w:val="-10"/>
        </w:rPr>
        <w:t>钙化及假性囊肿形成，造成胰腺功能障碍出现严重糖尿病和营养不良。必须满足以</w:t>
      </w:r>
      <w:r>
        <w:rPr>
          <w:spacing w:val="-2"/>
        </w:rPr>
        <w:t>下所有条件：</w:t>
      </w:r>
    </w:p>
    <w:p>
      <w:pPr>
        <w:pStyle w:val="BodyText"/>
        <w:spacing w:line="278" w:lineRule="auto"/>
        <w:ind w:left="194" w:right="269"/>
      </w:pPr>
      <w:r>
        <w:rPr/>
        <w:t>Ⅰ 医疗记录证实存在有腹痛等典型症状的慢性胰腺炎急性反复发作超过三次；</w:t>
      </w:r>
      <w:r>
        <w:rPr>
          <w:spacing w:val="40"/>
        </w:rPr>
        <w:t> </w:t>
      </w:r>
      <w:r>
        <w:rPr>
          <w:spacing w:val="-13"/>
        </w:rPr>
        <w:t>Ⅱ </w:t>
      </w:r>
      <w:r>
        <w:rPr/>
        <w:t>CT</w:t>
      </w:r>
      <w:r>
        <w:rPr>
          <w:spacing w:val="-8"/>
        </w:rPr>
        <w:t> 显示胰腺广泛钙化或逆行胰胆管造影</w:t>
      </w:r>
      <w:r>
        <w:rPr/>
        <w:t>（ERCP）显示胰管扭曲、扩张和狭窄； </w:t>
      </w:r>
      <w:r>
        <w:rPr>
          <w:spacing w:val="-1"/>
        </w:rPr>
        <w:t>Ⅲ 接受胰岛素替代治疗和酶替代治疗 </w:t>
      </w:r>
      <w:r>
        <w:rPr/>
        <w:t>180</w:t>
      </w:r>
      <w:r>
        <w:rPr>
          <w:spacing w:val="-4"/>
        </w:rPr>
        <w:t> 天以上。</w:t>
      </w:r>
    </w:p>
    <w:p>
      <w:pPr>
        <w:spacing w:line="269" w:lineRule="exact" w:before="0"/>
        <w:ind w:left="194" w:right="0" w:firstLine="0"/>
        <w:jc w:val="left"/>
        <w:rPr>
          <w:rFonts w:ascii="黑体" w:eastAsia="黑体" w:hint="eastAsia"/>
          <w:b/>
          <w:sz w:val="21"/>
        </w:rPr>
      </w:pPr>
      <w:r>
        <w:rPr>
          <w:rFonts w:ascii="黑体" w:eastAsia="黑体" w:hint="eastAsia"/>
          <w:b/>
          <w:spacing w:val="-3"/>
          <w:sz w:val="21"/>
        </w:rPr>
        <w:t>酒精导致的慢性复发性胰腺炎不在本保障范围内。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44、严重肾髓质囊</w:t>
      </w:r>
      <w:r>
        <w:rPr>
          <w:rFonts w:ascii="华文新魏" w:eastAsia="华文新魏" w:hint="eastAsia"/>
          <w:b/>
          <w:spacing w:val="-6"/>
          <w:sz w:val="21"/>
        </w:rPr>
        <w:t>性病</w:t>
      </w:r>
    </w:p>
    <w:p>
      <w:pPr>
        <w:pStyle w:val="BodyText"/>
        <w:spacing w:before="78"/>
        <w:ind w:left="194"/>
      </w:pPr>
      <w:r>
        <w:rPr/>
        <w:br w:type="column"/>
      </w:r>
      <w:r>
        <w:rPr>
          <w:spacing w:val="-3"/>
        </w:rPr>
        <w:t>肾髓质囊性病的诊断须同时符合下列要求：</w:t>
      </w:r>
    </w:p>
    <w:p>
      <w:pPr>
        <w:pStyle w:val="BodyText"/>
        <w:spacing w:line="278" w:lineRule="auto" w:before="43"/>
        <w:ind w:left="194" w:right="2531"/>
      </w:pPr>
      <w:r>
        <w:rPr>
          <w:spacing w:val="-6"/>
        </w:rPr>
        <w:t>Ⅰ 肾髓质有囊肿、肾小管萎缩及间质纤维化等病理改变；</w:t>
      </w:r>
      <w:r>
        <w:rPr/>
        <w:t> Ⅱ 肾功能衰竭；</w:t>
      </w:r>
    </w:p>
    <w:p>
      <w:pPr>
        <w:spacing w:line="278" w:lineRule="auto" w:before="0"/>
        <w:ind w:left="194" w:right="4945" w:firstLine="0"/>
        <w:jc w:val="left"/>
        <w:rPr>
          <w:rFonts w:ascii="黑体" w:hAnsi="黑体" w:eastAsia="黑体" w:hint="eastAsia"/>
          <w:b/>
          <w:sz w:val="21"/>
        </w:rPr>
      </w:pPr>
      <w:r>
        <w:rPr>
          <w:spacing w:val="-6"/>
          <w:sz w:val="21"/>
        </w:rPr>
        <w:t>Ⅲ 诊断须由肾组织活检确定。</w:t>
      </w:r>
      <w:r>
        <w:rPr>
          <w:rFonts w:ascii="黑体" w:hAnsi="黑体" w:eastAsia="黑体" w:hint="eastAsia"/>
          <w:b/>
          <w:spacing w:val="-2"/>
          <w:sz w:val="21"/>
        </w:rPr>
        <w:t>以下情况不在本保障范围内： </w:t>
      </w:r>
      <w:r>
        <w:rPr>
          <w:rFonts w:ascii="黑体" w:hAnsi="黑体" w:eastAsia="黑体" w:hint="eastAsia"/>
          <w:b/>
          <w:sz w:val="21"/>
        </w:rPr>
        <w:t>Ⅰ 多囊肾；</w:t>
      </w:r>
    </w:p>
    <w:p>
      <w:pPr>
        <w:spacing w:line="269" w:lineRule="exact" w:before="0"/>
        <w:ind w:left="194" w:right="0" w:firstLine="0"/>
        <w:jc w:val="left"/>
        <w:rPr>
          <w:rFonts w:ascii="黑体" w:hAnsi="黑体" w:eastAsia="黑体" w:hint="eastAsia"/>
          <w:b/>
          <w:sz w:val="21"/>
        </w:rPr>
      </w:pPr>
      <w:r>
        <w:rPr>
          <w:rFonts w:ascii="黑体" w:hAnsi="黑体" w:eastAsia="黑体" w:hint="eastAsia"/>
          <w:b/>
          <w:spacing w:val="-3"/>
          <w:sz w:val="21"/>
        </w:rPr>
        <w:t>Ⅱ 多囊性肾发育不良和髓质海绵肾。</w:t>
      </w:r>
    </w:p>
    <w:p>
      <w:pPr>
        <w:spacing w:before="43"/>
        <w:ind w:left="194"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8"/>
        <w:rPr>
          <w:rFonts w:ascii="黑体"/>
          <w:b/>
        </w:rPr>
      </w:pPr>
    </w:p>
    <w:p>
      <w:pPr>
        <w:tabs>
          <w:tab w:pos="3081" w:val="left" w:leader="none"/>
        </w:tabs>
        <w:spacing w:before="55"/>
        <w:ind w:left="1132" w:right="0" w:firstLine="0"/>
        <w:jc w:val="left"/>
        <w:rPr>
          <w:sz w:val="21"/>
        </w:rPr>
      </w:pPr>
      <w:r>
        <w:rPr>
          <w:rFonts w:ascii="华文新魏" w:eastAsia="华文新魏" w:hint="eastAsia"/>
          <w:b/>
          <w:spacing w:val="-2"/>
          <w:position w:val="2"/>
          <w:sz w:val="21"/>
        </w:rPr>
        <w:t>45</w:t>
      </w:r>
      <w:r>
        <w:rPr>
          <w:rFonts w:ascii="华文新魏" w:eastAsia="华文新魏" w:hint="eastAsia"/>
          <w:b/>
          <w:spacing w:val="-2"/>
          <w:position w:val="2"/>
          <w:sz w:val="21"/>
        </w:rPr>
        <w:t>、</w:t>
      </w:r>
      <w:r>
        <w:rPr>
          <w:rFonts w:ascii="华文新魏" w:eastAsia="华文新魏" w:hint="eastAsia"/>
          <w:b/>
          <w:spacing w:val="-2"/>
          <w:position w:val="2"/>
          <w:sz w:val="21"/>
        </w:rPr>
        <w:t>肺</w:t>
      </w:r>
      <w:r>
        <w:rPr>
          <w:rFonts w:ascii="华文新魏" w:eastAsia="华文新魏" w:hint="eastAsia"/>
          <w:b/>
          <w:spacing w:val="-2"/>
          <w:position w:val="2"/>
          <w:sz w:val="21"/>
        </w:rPr>
        <w:t>源性心</w:t>
      </w:r>
      <w:r>
        <w:rPr>
          <w:rFonts w:ascii="华文新魏" w:eastAsia="华文新魏" w:hint="eastAsia"/>
          <w:b/>
          <w:spacing w:val="-2"/>
          <w:position w:val="2"/>
          <w:sz w:val="21"/>
        </w:rPr>
        <w:t>脏</w:t>
      </w:r>
      <w:r>
        <w:rPr>
          <w:rFonts w:ascii="华文新魏" w:eastAsia="华文新魏" w:hint="eastAsia"/>
          <w:b/>
          <w:spacing w:val="-10"/>
          <w:position w:val="2"/>
          <w:sz w:val="21"/>
        </w:rPr>
        <w:t>病</w:t>
      </w:r>
      <w:r>
        <w:rPr>
          <w:rFonts w:ascii="华文新魏" w:eastAsia="华文新魏" w:hint="eastAsia"/>
          <w:b/>
          <w:position w:val="2"/>
          <w:sz w:val="21"/>
        </w:rPr>
        <w:tab/>
      </w:r>
      <w:r>
        <w:rPr>
          <w:spacing w:val="-2"/>
          <w:sz w:val="21"/>
        </w:rPr>
        <w:t>指</w:t>
      </w:r>
      <w:r>
        <w:rPr>
          <w:spacing w:val="-2"/>
          <w:sz w:val="21"/>
        </w:rPr>
        <w:t>被</w:t>
      </w:r>
      <w:r>
        <w:rPr>
          <w:spacing w:val="-2"/>
          <w:sz w:val="21"/>
        </w:rPr>
        <w:t>保人因慢性肺部疾病</w:t>
      </w:r>
      <w:r>
        <w:rPr>
          <w:spacing w:val="-2"/>
          <w:sz w:val="21"/>
        </w:rPr>
        <w:t>导</w:t>
      </w:r>
      <w:r>
        <w:rPr>
          <w:spacing w:val="-2"/>
          <w:sz w:val="21"/>
        </w:rPr>
        <w:t>致</w:t>
      </w:r>
      <w:r>
        <w:rPr>
          <w:spacing w:val="-2"/>
          <w:sz w:val="21"/>
        </w:rPr>
        <w:t>慢性心功能损害造成</w:t>
      </w:r>
      <w:r>
        <w:rPr>
          <w:spacing w:val="-2"/>
          <w:sz w:val="21"/>
        </w:rPr>
        <w:t>永</w:t>
      </w:r>
      <w:r>
        <w:rPr>
          <w:spacing w:val="-2"/>
          <w:sz w:val="21"/>
        </w:rPr>
        <w:t>久</w:t>
      </w:r>
      <w:r>
        <w:rPr>
          <w:spacing w:val="-2"/>
          <w:sz w:val="21"/>
        </w:rPr>
        <w:t>不可逆性的心功能衰竭</w:t>
      </w:r>
      <w:r>
        <w:rPr>
          <w:spacing w:val="-108"/>
          <w:sz w:val="21"/>
        </w:rPr>
        <w:t>。</w:t>
      </w:r>
      <w:r>
        <w:rPr>
          <w:spacing w:val="-10"/>
          <w:sz w:val="21"/>
        </w:rPr>
        <w:t>心</w:t>
      </w:r>
    </w:p>
    <w:p>
      <w:pPr>
        <w:spacing w:after="0"/>
        <w:jc w:val="left"/>
        <w:rPr>
          <w:sz w:val="21"/>
        </w:rPr>
        <w:sectPr>
          <w:type w:val="continuous"/>
          <w:pgSz w:w="11910" w:h="16840"/>
          <w:pgMar w:header="0" w:footer="655" w:top="140" w:bottom="280" w:left="560" w:right="480"/>
        </w:sectPr>
      </w:pPr>
    </w:p>
    <w:p>
      <w:pPr>
        <w:pStyle w:val="BodyText"/>
        <w:spacing w:line="278" w:lineRule="auto" w:before="58"/>
        <w:ind w:left="3081" w:right="322"/>
      </w:pPr>
      <w:r>
        <w:rPr>
          <w:spacing w:val="-6"/>
        </w:rPr>
        <w:t>功能衰竭程度达到纽约心脏病学会的心功能分级标准之心功能Ⅳ级。被保险人永久</w:t>
      </w:r>
      <w:r>
        <w:rPr>
          <w:spacing w:val="-2"/>
        </w:rPr>
        <w:t>不可逆性的体力活动能力受限，不能从事任何体力活动。</w:t>
      </w:r>
    </w:p>
    <w:p>
      <w:pPr>
        <w:pStyle w:val="BodyText"/>
        <w:spacing w:before="3"/>
        <w:rPr>
          <w:sz w:val="18"/>
        </w:rPr>
      </w:pPr>
    </w:p>
    <w:p>
      <w:pPr>
        <w:spacing w:after="0"/>
        <w:rPr>
          <w:sz w:val="18"/>
        </w:rPr>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46、特发性慢性肾</w:t>
      </w:r>
      <w:r>
        <w:rPr>
          <w:rFonts w:ascii="华文新魏" w:eastAsia="华文新魏" w:hint="eastAsia"/>
          <w:b/>
          <w:spacing w:val="-4"/>
          <w:sz w:val="21"/>
        </w:rPr>
        <w:t>上腺皮质功能衰竭</w:t>
      </w:r>
    </w:p>
    <w:p>
      <w:pPr>
        <w:pStyle w:val="BodyText"/>
        <w:spacing w:line="278" w:lineRule="auto" w:before="78"/>
        <w:ind w:left="195" w:right="322"/>
      </w:pPr>
      <w:r>
        <w:rPr/>
        <w:br w:type="column"/>
      </w:r>
      <w:r>
        <w:rPr>
          <w:spacing w:val="-4"/>
        </w:rPr>
        <w:t>指自身免疫性肾上腺炎（既往称：特发性肾上腺皮质萎缩）导致肾上腺萎缩和慢性</w:t>
      </w:r>
      <w:r>
        <w:rPr>
          <w:spacing w:val="-2"/>
        </w:rPr>
        <w:t>肾上腺皮质功能减退。必须满足所有以下条件：</w:t>
      </w:r>
    </w:p>
    <w:p>
      <w:pPr>
        <w:pStyle w:val="BodyText"/>
        <w:spacing w:line="269" w:lineRule="exact"/>
        <w:ind w:left="195"/>
      </w:pPr>
      <w:r>
        <w:rPr>
          <w:spacing w:val="-3"/>
        </w:rPr>
        <w:t>Ⅰ 必须由专科医生明确诊断，符合所有以下诊断标准：</w:t>
      </w:r>
    </w:p>
    <w:p>
      <w:pPr>
        <w:pStyle w:val="ListParagraph"/>
        <w:numPr>
          <w:ilvl w:val="0"/>
          <w:numId w:val="15"/>
        </w:numPr>
        <w:tabs>
          <w:tab w:pos="725" w:val="left" w:leader="none"/>
        </w:tabs>
        <w:spacing w:line="240" w:lineRule="auto" w:before="43" w:after="0"/>
        <w:ind w:left="724" w:right="0" w:hanging="213"/>
        <w:jc w:val="left"/>
        <w:rPr>
          <w:sz w:val="21"/>
        </w:rPr>
      </w:pPr>
      <w:r>
        <w:rPr>
          <w:spacing w:val="-2"/>
          <w:sz w:val="21"/>
        </w:rPr>
        <w:t>血浆促肾上腺皮质激素(ACTH)水平测定，&gt;100pg/ml；</w:t>
      </w:r>
    </w:p>
    <w:p>
      <w:pPr>
        <w:pStyle w:val="ListParagraph"/>
        <w:numPr>
          <w:ilvl w:val="0"/>
          <w:numId w:val="15"/>
        </w:numPr>
        <w:tabs>
          <w:tab w:pos="827" w:val="left" w:leader="none"/>
        </w:tabs>
        <w:spacing w:line="278" w:lineRule="auto" w:before="43" w:after="0"/>
        <w:ind w:left="195" w:right="322" w:firstLine="317"/>
        <w:jc w:val="left"/>
        <w:rPr>
          <w:sz w:val="21"/>
        </w:rPr>
      </w:pPr>
      <w:r>
        <w:rPr>
          <w:spacing w:val="-12"/>
          <w:sz w:val="21"/>
        </w:rPr>
        <w:t>血浆肾素活性、血管紧张素Ⅱ和醛固酮测定，显示为原发性肾上腺皮质功能</w:t>
      </w:r>
      <w:r>
        <w:rPr>
          <w:spacing w:val="-4"/>
          <w:sz w:val="21"/>
        </w:rPr>
        <w:t>减退症；</w:t>
      </w:r>
    </w:p>
    <w:p>
      <w:pPr>
        <w:pStyle w:val="ListParagraph"/>
        <w:numPr>
          <w:ilvl w:val="0"/>
          <w:numId w:val="15"/>
        </w:numPr>
        <w:tabs>
          <w:tab w:pos="725" w:val="left" w:leader="none"/>
        </w:tabs>
        <w:spacing w:line="278" w:lineRule="auto" w:before="0" w:after="0"/>
        <w:ind w:left="195" w:right="533" w:firstLine="317"/>
        <w:jc w:val="left"/>
        <w:rPr>
          <w:sz w:val="21"/>
        </w:rPr>
      </w:pPr>
      <w:r>
        <w:rPr>
          <w:spacing w:val="-2"/>
          <w:sz w:val="21"/>
        </w:rPr>
        <w:t>促肾上腺皮质激素(ACTH)刺激试验显示为原发性肾上腺皮质功能减退症。 </w:t>
      </w:r>
      <w:r>
        <w:rPr>
          <w:spacing w:val="-1"/>
          <w:sz w:val="21"/>
        </w:rPr>
        <w:t>Ⅱ 已经采用皮质类固醇替代治疗 </w:t>
      </w:r>
      <w:r>
        <w:rPr>
          <w:sz w:val="21"/>
        </w:rPr>
        <w:t>180</w:t>
      </w:r>
      <w:r>
        <w:rPr>
          <w:spacing w:val="-4"/>
          <w:sz w:val="21"/>
        </w:rPr>
        <w:t> 天以上。</w:t>
      </w:r>
    </w:p>
    <w:p>
      <w:pPr>
        <w:spacing w:line="278" w:lineRule="auto" w:before="0"/>
        <w:ind w:left="195" w:right="327" w:firstLine="0"/>
        <w:jc w:val="left"/>
        <w:rPr>
          <w:rFonts w:ascii="黑体" w:eastAsia="黑体" w:hint="eastAsia"/>
          <w:b/>
          <w:sz w:val="21"/>
        </w:rPr>
      </w:pPr>
      <w:r>
        <w:rPr>
          <w:rFonts w:ascii="黑体" w:eastAsia="黑体" w:hint="eastAsia"/>
          <w:b/>
          <w:spacing w:val="-4"/>
          <w:sz w:val="21"/>
        </w:rPr>
        <w:t>肾上腺结核、HIV</w:t>
      </w:r>
      <w:r>
        <w:rPr>
          <w:rFonts w:ascii="黑体" w:eastAsia="黑体" w:hint="eastAsia"/>
          <w:b/>
          <w:spacing w:val="-11"/>
          <w:sz w:val="21"/>
        </w:rPr>
        <w:t> 感染或艾滋病、感染、肿瘤所致的原发性肾上腺皮质功能减退和</w:t>
      </w:r>
      <w:r>
        <w:rPr>
          <w:rFonts w:ascii="黑体" w:eastAsia="黑体" w:hint="eastAsia"/>
          <w:b/>
          <w:spacing w:val="-2"/>
          <w:sz w:val="21"/>
        </w:rPr>
        <w:t>继发性肾上腺皮质功能减退不在本保障范围内。</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3"/>
        <w:rPr>
          <w:rFonts w:ascii="黑体"/>
          <w:b/>
          <w:sz w:val="18"/>
        </w:rPr>
      </w:pPr>
    </w:p>
    <w:p>
      <w:pPr>
        <w:spacing w:after="0"/>
        <w:rPr>
          <w:rFonts w:ascii="黑体"/>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47、严重进行性核</w:t>
      </w:r>
      <w:r>
        <w:rPr>
          <w:rFonts w:ascii="华文新魏" w:eastAsia="华文新魏" w:hint="eastAsia"/>
          <w:b/>
          <w:spacing w:val="-4"/>
          <w:sz w:val="21"/>
        </w:rPr>
        <w:t>上性麻痹</w:t>
      </w:r>
    </w:p>
    <w:p>
      <w:pPr>
        <w:spacing w:before="0"/>
        <w:ind w:left="1132" w:right="0" w:firstLine="0"/>
        <w:jc w:val="left"/>
        <w:rPr>
          <w:rFonts w:ascii="华文新魏" w:eastAsia="华文新魏" w:hint="eastAsia"/>
          <w:b/>
          <w:sz w:val="21"/>
        </w:rPr>
      </w:pPr>
      <w:r>
        <w:rPr>
          <w:rFonts w:ascii="华文新魏" w:eastAsia="华文新魏" w:hint="eastAsia"/>
          <w:b/>
          <w:spacing w:val="-2"/>
          <w:sz w:val="21"/>
        </w:rPr>
        <w:t>(Steele-Rchardson- </w:t>
      </w:r>
      <w:r>
        <w:rPr>
          <w:rFonts w:ascii="华文新魏" w:eastAsia="华文新魏" w:hint="eastAsia"/>
          <w:b/>
          <w:sz w:val="21"/>
        </w:rPr>
        <w:t>Olszewski</w:t>
      </w:r>
      <w:r>
        <w:rPr>
          <w:rFonts w:ascii="华文新魏" w:eastAsia="华文新魏" w:hint="eastAsia"/>
          <w:b/>
          <w:spacing w:val="-4"/>
          <w:sz w:val="21"/>
        </w:rPr>
        <w:t> 综合征)</w:t>
      </w:r>
    </w:p>
    <w:p>
      <w:pPr>
        <w:pStyle w:val="BodyText"/>
        <w:spacing w:line="278" w:lineRule="auto" w:before="78"/>
        <w:ind w:left="194" w:right="322"/>
        <w:jc w:val="both"/>
      </w:pPr>
      <w:r>
        <w:rPr/>
        <w:br w:type="column"/>
      </w:r>
      <w:r>
        <w:rPr>
          <w:spacing w:val="-4"/>
        </w:rPr>
        <w:t>进行性核上性麻痹（PSP）</w:t>
      </w:r>
      <w:r>
        <w:rPr>
          <w:spacing w:val="-9"/>
        </w:rPr>
        <w:t>又称 </w:t>
      </w:r>
      <w:r>
        <w:rPr>
          <w:spacing w:val="-4"/>
        </w:rPr>
        <w:t>Steele-Rchardson-Olszewski</w:t>
      </w:r>
      <w:r>
        <w:rPr>
          <w:spacing w:val="-8"/>
        </w:rPr>
        <w:t> 综合征，是一种少见</w:t>
      </w:r>
      <w:r>
        <w:rPr>
          <w:spacing w:val="-4"/>
        </w:rPr>
        <w:t>的神经系统变性疾病，以假球麻痹、垂直性核上性眼肌麻痹、锥体外系肌僵直、步</w:t>
      </w:r>
      <w:r>
        <w:rPr>
          <w:spacing w:val="-5"/>
        </w:rPr>
        <w:t>态共济失调和轻度痴呆为主要临床特征。</w:t>
      </w:r>
      <w:r>
        <w:rPr>
          <w:spacing w:val="-2"/>
        </w:rPr>
        <w:t>PSP</w:t>
      </w:r>
      <w:r>
        <w:rPr>
          <w:spacing w:val="-4"/>
        </w:rPr>
        <w:t> 必须由本公司认可医院的神经内科专</w:t>
      </w:r>
      <w:r>
        <w:rPr>
          <w:spacing w:val="-11"/>
        </w:rPr>
        <w:t>科医生确诊，并且被保险人自主生活能力完全丧失，无法独立完成六项基本日常生</w:t>
      </w:r>
      <w:r>
        <w:rPr>
          <w:spacing w:val="-2"/>
        </w:rPr>
        <w:t>活活动中的三项或三项以上。</w:t>
      </w:r>
    </w:p>
    <w:p>
      <w:pPr>
        <w:spacing w:after="0" w:line="278" w:lineRule="auto"/>
        <w:jc w:val="both"/>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pStyle w:val="BodyText"/>
        <w:tabs>
          <w:tab w:pos="3081" w:val="left" w:leader="none"/>
        </w:tabs>
        <w:spacing w:line="256" w:lineRule="auto" w:before="55"/>
        <w:ind w:left="3081" w:right="322" w:hanging="1949"/>
      </w:pPr>
      <w:r>
        <w:rPr>
          <w:rFonts w:ascii="华文新魏" w:eastAsia="华文新魏" w:hint="eastAsia"/>
          <w:b/>
          <w:spacing w:val="-2"/>
          <w:position w:val="2"/>
        </w:rPr>
        <w:t>48</w:t>
      </w:r>
      <w:r>
        <w:rPr>
          <w:rFonts w:ascii="华文新魏" w:eastAsia="华文新魏" w:hint="eastAsia"/>
          <w:b/>
          <w:spacing w:val="-2"/>
          <w:position w:val="2"/>
        </w:rPr>
        <w:t>、</w:t>
      </w:r>
      <w:r>
        <w:rPr>
          <w:rFonts w:ascii="华文新魏" w:eastAsia="华文新魏" w:hint="eastAsia"/>
          <w:b/>
          <w:spacing w:val="-2"/>
          <w:position w:val="2"/>
        </w:rPr>
        <w:t>严</w:t>
      </w:r>
      <w:r>
        <w:rPr>
          <w:rFonts w:ascii="华文新魏" w:eastAsia="华文新魏" w:hint="eastAsia"/>
          <w:b/>
          <w:spacing w:val="-2"/>
          <w:position w:val="2"/>
        </w:rPr>
        <w:t>重</w:t>
      </w:r>
      <w:r>
        <w:rPr>
          <w:rFonts w:ascii="华文新魏" w:eastAsia="华文新魏" w:hint="eastAsia"/>
          <w:b/>
          <w:spacing w:val="-2"/>
          <w:position w:val="2"/>
        </w:rPr>
        <w:t>哮</w:t>
      </w:r>
      <w:r>
        <w:rPr>
          <w:rFonts w:ascii="华文新魏" w:eastAsia="华文新魏" w:hint="eastAsia"/>
          <w:b/>
          <w:spacing w:val="-2"/>
          <w:position w:val="2"/>
        </w:rPr>
        <w:t>喘</w:t>
      </w:r>
      <w:r>
        <w:rPr>
          <w:rFonts w:ascii="华文新魏" w:eastAsia="华文新魏" w:hint="eastAsia"/>
          <w:b/>
          <w:position w:val="2"/>
        </w:rPr>
        <w:tab/>
      </w:r>
      <w:r>
        <w:rPr>
          <w:spacing w:val="-2"/>
        </w:rPr>
        <w:t>指</w:t>
      </w:r>
      <w:r>
        <w:rPr>
          <w:spacing w:val="-2"/>
        </w:rPr>
        <w:t>一</w:t>
      </w:r>
      <w:r>
        <w:rPr>
          <w:spacing w:val="-2"/>
        </w:rPr>
        <w:t>种反复发作的严重支</w:t>
      </w:r>
      <w:r>
        <w:rPr>
          <w:spacing w:val="-2"/>
        </w:rPr>
        <w:t>气</w:t>
      </w:r>
      <w:r>
        <w:rPr>
          <w:spacing w:val="-2"/>
        </w:rPr>
        <w:t>管</w:t>
      </w:r>
      <w:r>
        <w:rPr>
          <w:spacing w:val="-2"/>
        </w:rPr>
        <w:t>阻塞性疾病</w:t>
      </w:r>
      <w:r>
        <w:rPr>
          <w:spacing w:val="-53"/>
        </w:rPr>
        <w:t>，</w:t>
      </w:r>
      <w:r>
        <w:rPr>
          <w:spacing w:val="-2"/>
        </w:rPr>
        <w:t>经我们</w:t>
      </w:r>
      <w:r>
        <w:rPr>
          <w:spacing w:val="-2"/>
        </w:rPr>
        <w:t>认</w:t>
      </w:r>
      <w:r>
        <w:rPr>
          <w:spacing w:val="-2"/>
        </w:rPr>
        <w:t>可</w:t>
      </w:r>
      <w:r>
        <w:rPr>
          <w:spacing w:val="-2"/>
        </w:rPr>
        <w:t>的专科医生确诊</w:t>
      </w:r>
      <w:r>
        <w:rPr>
          <w:spacing w:val="-53"/>
        </w:rPr>
        <w:t>，</w:t>
      </w:r>
      <w:r>
        <w:rPr>
          <w:spacing w:val="-2"/>
        </w:rPr>
        <w:t>且必须</w:t>
      </w:r>
      <w:r>
        <w:rPr>
          <w:spacing w:val="-2"/>
        </w:rPr>
        <w:t>同</w:t>
      </w:r>
      <w:r>
        <w:rPr>
          <w:spacing w:val="-2"/>
        </w:rPr>
        <w:t>时</w:t>
      </w:r>
      <w:r>
        <w:rPr>
          <w:spacing w:val="-2"/>
        </w:rPr>
        <w:t>符</w:t>
      </w:r>
      <w:r>
        <w:rPr>
          <w:spacing w:val="-2"/>
        </w:rPr>
        <w:t>合下列所有标准：</w:t>
      </w:r>
    </w:p>
    <w:p>
      <w:pPr>
        <w:pStyle w:val="BodyText"/>
        <w:spacing w:line="278" w:lineRule="auto" w:before="25"/>
        <w:ind w:left="3081" w:right="327"/>
      </w:pPr>
      <w:r>
        <w:rPr>
          <w:spacing w:val="-10"/>
        </w:rPr>
        <w:t>Ⅰ 过去两年中曾因哮喘持续状态</w:t>
      </w:r>
      <w:r>
        <w:rPr/>
        <w:t>（</w:t>
      </w:r>
      <w:r>
        <w:rPr>
          <w:spacing w:val="-7"/>
        </w:rPr>
        <w:t>指哮喘持续发作 </w:t>
      </w:r>
      <w:r>
        <w:rPr/>
        <w:t>24</w:t>
      </w:r>
      <w:r>
        <w:rPr>
          <w:spacing w:val="-8"/>
        </w:rPr>
        <w:t> 小时以上不能缓解</w:t>
      </w:r>
      <w:r>
        <w:rPr>
          <w:spacing w:val="-53"/>
        </w:rPr>
        <w:t>）</w:t>
      </w:r>
      <w:r>
        <w:rPr/>
        <w:t>住院治</w:t>
      </w:r>
      <w:r>
        <w:rPr>
          <w:spacing w:val="-6"/>
        </w:rPr>
        <w:t>疗；</w:t>
      </w:r>
    </w:p>
    <w:p>
      <w:pPr>
        <w:pStyle w:val="BodyText"/>
        <w:spacing w:line="269" w:lineRule="exact"/>
        <w:ind w:left="3081"/>
      </w:pPr>
      <w:r>
        <w:rPr>
          <w:spacing w:val="-6"/>
        </w:rPr>
        <w:t>Ⅱ 因慢性过度换气导致胸廓畸形；</w:t>
      </w:r>
    </w:p>
    <w:p>
      <w:pPr>
        <w:pStyle w:val="BodyText"/>
        <w:spacing w:before="43"/>
        <w:ind w:left="3081"/>
      </w:pPr>
      <w:r>
        <w:rPr>
          <w:spacing w:val="-6"/>
        </w:rPr>
        <w:t>Ⅲ 在家中需要医生处方的氧气治疗法；</w:t>
      </w:r>
    </w:p>
    <w:p>
      <w:pPr>
        <w:pStyle w:val="BodyText"/>
        <w:spacing w:before="43"/>
        <w:ind w:left="3081"/>
      </w:pPr>
      <w:r>
        <w:rPr>
          <w:spacing w:val="-3"/>
        </w:rPr>
        <w:t>Ⅳ 持续日常服用口服类固醇激素治疗持续至少六个月。</w:t>
      </w:r>
    </w:p>
    <w:p>
      <w:pPr>
        <w:pStyle w:val="BodyText"/>
        <w:spacing w:before="8"/>
      </w:pPr>
    </w:p>
    <w:p>
      <w:pPr>
        <w:spacing w:after="0"/>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49、严重冠状动脉</w:t>
      </w:r>
      <w:r>
        <w:rPr>
          <w:rFonts w:ascii="华文新魏" w:eastAsia="华文新魏" w:hint="eastAsia"/>
          <w:b/>
          <w:spacing w:val="-4"/>
          <w:sz w:val="21"/>
        </w:rPr>
        <w:t>粥样硬化性心脏病</w:t>
      </w:r>
    </w:p>
    <w:p>
      <w:pPr>
        <w:pStyle w:val="BodyText"/>
        <w:spacing w:line="278" w:lineRule="auto" w:before="78"/>
        <w:ind w:left="194" w:right="322"/>
      </w:pPr>
      <w:r>
        <w:rPr/>
        <w:br w:type="column"/>
      </w:r>
      <w:r>
        <w:rPr>
          <w:spacing w:val="-6"/>
        </w:rPr>
        <w:t>指经冠状动脉造影检查明确诊断为主要血管严重狭窄性病变，须满足下列至少一项</w:t>
      </w:r>
      <w:r>
        <w:rPr>
          <w:spacing w:val="-4"/>
        </w:rPr>
        <w:t>条件：</w:t>
      </w:r>
    </w:p>
    <w:p>
      <w:pPr>
        <w:pStyle w:val="BodyText"/>
        <w:spacing w:line="278" w:lineRule="auto"/>
        <w:ind w:left="194" w:right="374"/>
      </w:pPr>
      <w:r>
        <w:rPr>
          <w:spacing w:val="-8"/>
        </w:rPr>
        <w:t>Ⅰ 左冠状动脉主干和右冠状动脉中，一支血管管腔堵塞 </w:t>
      </w:r>
      <w:r>
        <w:rPr/>
        <w:t>75%以上，另一支血管管</w:t>
      </w:r>
      <w:r>
        <w:rPr>
          <w:spacing w:val="-10"/>
        </w:rPr>
        <w:t>腔堵塞 </w:t>
      </w:r>
      <w:r>
        <w:rPr/>
        <w:t>60%以上；</w:t>
      </w:r>
    </w:p>
    <w:p>
      <w:pPr>
        <w:pStyle w:val="BodyText"/>
        <w:spacing w:line="278" w:lineRule="auto"/>
        <w:ind w:left="194" w:right="375"/>
      </w:pPr>
      <w:r>
        <w:rPr>
          <w:spacing w:val="-8"/>
        </w:rPr>
        <w:t>Ⅱ 左前降支、左旋支和右冠状动脉中，至少一支血管官腔堵塞 </w:t>
      </w:r>
      <w:r>
        <w:rPr/>
        <w:t>75%以上，其他两</w:t>
      </w:r>
      <w:r>
        <w:rPr>
          <w:spacing w:val="-5"/>
        </w:rPr>
        <w:t>支血管官腔堵塞 </w:t>
      </w:r>
      <w:r>
        <w:rPr/>
        <w:t>60%以上。</w:t>
      </w:r>
    </w:p>
    <w:p>
      <w:pPr>
        <w:spacing w:line="278" w:lineRule="auto" w:before="0"/>
        <w:ind w:left="194" w:right="405" w:firstLine="0"/>
        <w:jc w:val="left"/>
        <w:rPr>
          <w:rFonts w:ascii="黑体" w:eastAsia="黑体" w:hint="eastAsia"/>
          <w:b/>
          <w:sz w:val="21"/>
        </w:rPr>
      </w:pPr>
      <w:r>
        <w:rPr>
          <w:rFonts w:ascii="黑体" w:eastAsia="黑体" w:hint="eastAsia"/>
          <w:b/>
          <w:spacing w:val="-2"/>
          <w:sz w:val="21"/>
        </w:rPr>
        <w:t>左前降支的分支血管、左旋支的分支血管及右冠状动脉的分支血管的狭窄不作为</w:t>
      </w:r>
      <w:r>
        <w:rPr>
          <w:rFonts w:ascii="黑体" w:eastAsia="黑体" w:hint="eastAsia"/>
          <w:b/>
          <w:spacing w:val="-2"/>
          <w:sz w:val="21"/>
        </w:rPr>
        <w:t>本保障的衡量指标。</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3"/>
        <w:rPr>
          <w:rFonts w:ascii="黑体"/>
          <w:b/>
          <w:sz w:val="18"/>
        </w:rPr>
      </w:pPr>
    </w:p>
    <w:p>
      <w:pPr>
        <w:tabs>
          <w:tab w:pos="3081" w:val="left" w:leader="none"/>
        </w:tabs>
        <w:spacing w:line="271" w:lineRule="auto" w:before="54"/>
        <w:ind w:left="3081" w:right="322" w:hanging="1949"/>
        <w:jc w:val="left"/>
        <w:rPr>
          <w:rFonts w:ascii="黑体" w:eastAsia="黑体" w:hint="eastAsia"/>
          <w:b/>
          <w:sz w:val="21"/>
        </w:rPr>
      </w:pPr>
      <w:r>
        <w:rPr>
          <w:rFonts w:ascii="华文新魏" w:eastAsia="华文新魏" w:hint="eastAsia"/>
          <w:b/>
          <w:spacing w:val="-2"/>
          <w:position w:val="2"/>
          <w:sz w:val="21"/>
        </w:rPr>
        <w:t>50、植物人</w:t>
      </w:r>
      <w:r>
        <w:rPr>
          <w:rFonts w:ascii="华文新魏" w:eastAsia="华文新魏" w:hint="eastAsia"/>
          <w:b/>
          <w:spacing w:val="-2"/>
          <w:position w:val="2"/>
          <w:sz w:val="21"/>
        </w:rPr>
        <w:t>状</w:t>
      </w:r>
      <w:r>
        <w:rPr>
          <w:rFonts w:ascii="华文新魏" w:eastAsia="华文新魏" w:hint="eastAsia"/>
          <w:b/>
          <w:spacing w:val="-2"/>
          <w:position w:val="2"/>
          <w:sz w:val="21"/>
        </w:rPr>
        <w:t>态</w:t>
      </w:r>
      <w:r>
        <w:rPr>
          <w:rFonts w:ascii="华文新魏" w:eastAsia="华文新魏" w:hint="eastAsia"/>
          <w:b/>
          <w:position w:val="2"/>
          <w:sz w:val="21"/>
        </w:rPr>
        <w:tab/>
      </w:r>
      <w:r>
        <w:rPr>
          <w:spacing w:val="-2"/>
          <w:sz w:val="21"/>
        </w:rPr>
        <w:t>植</w:t>
      </w:r>
      <w:r>
        <w:rPr>
          <w:spacing w:val="-2"/>
          <w:sz w:val="21"/>
        </w:rPr>
        <w:t>物</w:t>
      </w:r>
      <w:r>
        <w:rPr>
          <w:spacing w:val="-2"/>
          <w:sz w:val="21"/>
        </w:rPr>
        <w:t>人状态系指由于严重</w:t>
      </w:r>
      <w:r>
        <w:rPr>
          <w:spacing w:val="-2"/>
          <w:sz w:val="21"/>
        </w:rPr>
        <w:t>颅</w:t>
      </w:r>
      <w:r>
        <w:rPr>
          <w:spacing w:val="-2"/>
          <w:sz w:val="21"/>
        </w:rPr>
        <w:t>脑</w:t>
      </w:r>
      <w:r>
        <w:rPr>
          <w:spacing w:val="-2"/>
          <w:sz w:val="21"/>
        </w:rPr>
        <w:t>外伤造成大脑和/</w:t>
      </w:r>
      <w:r>
        <w:rPr>
          <w:spacing w:val="-2"/>
          <w:sz w:val="21"/>
        </w:rPr>
        <w:t>或</w:t>
      </w:r>
      <w:r>
        <w:rPr>
          <w:spacing w:val="-2"/>
          <w:sz w:val="21"/>
        </w:rPr>
        <w:t>脑</w:t>
      </w:r>
      <w:r>
        <w:rPr>
          <w:spacing w:val="-2"/>
          <w:sz w:val="21"/>
        </w:rPr>
        <w:t>干</w:t>
      </w:r>
      <w:r>
        <w:rPr>
          <w:spacing w:val="-2"/>
          <w:sz w:val="21"/>
        </w:rPr>
        <w:t>严</w:t>
      </w:r>
      <w:r>
        <w:rPr>
          <w:spacing w:val="-2"/>
          <w:sz w:val="21"/>
        </w:rPr>
        <w:t>重损害导致完全永久</w:t>
      </w:r>
      <w:r>
        <w:rPr>
          <w:spacing w:val="-2"/>
          <w:sz w:val="21"/>
        </w:rPr>
        <w:t>性</w:t>
      </w:r>
      <w:r>
        <w:rPr>
          <w:spacing w:val="-2"/>
          <w:sz w:val="21"/>
        </w:rPr>
        <w:t>的</w:t>
      </w:r>
      <w:r>
        <w:rPr>
          <w:spacing w:val="-2"/>
          <w:sz w:val="21"/>
        </w:rPr>
        <w:t>对</w:t>
      </w:r>
      <w:r>
        <w:rPr>
          <w:spacing w:val="-2"/>
          <w:sz w:val="21"/>
        </w:rPr>
        <w:t>自</w:t>
      </w:r>
      <w:r>
        <w:rPr>
          <w:spacing w:val="-2"/>
          <w:sz w:val="21"/>
        </w:rPr>
        <w:t>身和环境的意识丧失</w:t>
      </w:r>
      <w:r>
        <w:rPr>
          <w:spacing w:val="-2"/>
          <w:sz w:val="21"/>
        </w:rPr>
        <w:t>和</w:t>
      </w:r>
      <w:r>
        <w:rPr>
          <w:spacing w:val="-2"/>
          <w:sz w:val="21"/>
        </w:rPr>
        <w:t>中</w:t>
      </w:r>
      <w:r>
        <w:rPr>
          <w:spacing w:val="-2"/>
          <w:sz w:val="21"/>
        </w:rPr>
        <w:t>枢神经系统功能丧失</w:t>
      </w:r>
      <w:r>
        <w:rPr>
          <w:spacing w:val="-108"/>
          <w:sz w:val="21"/>
        </w:rPr>
        <w:t>，</w:t>
      </w:r>
      <w:r>
        <w:rPr>
          <w:spacing w:val="-2"/>
          <w:sz w:val="21"/>
        </w:rPr>
        <w:t>仅</w:t>
      </w:r>
      <w:r>
        <w:rPr>
          <w:spacing w:val="-2"/>
          <w:sz w:val="21"/>
        </w:rPr>
        <w:t>残</w:t>
      </w:r>
      <w:r>
        <w:rPr>
          <w:spacing w:val="-2"/>
          <w:sz w:val="21"/>
        </w:rPr>
        <w:t>存植物神经功能的疾</w:t>
      </w:r>
      <w:r>
        <w:rPr>
          <w:spacing w:val="-2"/>
          <w:sz w:val="21"/>
        </w:rPr>
        <w:t>病</w:t>
      </w:r>
      <w:r>
        <w:rPr>
          <w:spacing w:val="-2"/>
          <w:sz w:val="21"/>
        </w:rPr>
        <w:t>状</w:t>
      </w:r>
      <w:r>
        <w:rPr>
          <w:spacing w:val="-2"/>
          <w:sz w:val="21"/>
        </w:rPr>
        <w:t>态</w:t>
      </w:r>
      <w:r>
        <w:rPr>
          <w:spacing w:val="-2"/>
          <w:sz w:val="21"/>
        </w:rPr>
        <w:t>。</w:t>
      </w:r>
      <w:r>
        <w:rPr>
          <w:spacing w:val="-2"/>
          <w:sz w:val="21"/>
        </w:rPr>
        <w:t>诊断必须明确诊断并</w:t>
      </w:r>
      <w:r>
        <w:rPr>
          <w:spacing w:val="-2"/>
          <w:sz w:val="21"/>
        </w:rPr>
        <w:t>且</w:t>
      </w:r>
      <w:r>
        <w:rPr>
          <w:spacing w:val="-2"/>
          <w:sz w:val="21"/>
        </w:rPr>
        <w:t>具</w:t>
      </w:r>
      <w:r>
        <w:rPr>
          <w:spacing w:val="-2"/>
          <w:sz w:val="21"/>
        </w:rPr>
        <w:t>有严重颅脑外伤和脑</w:t>
      </w:r>
      <w:r>
        <w:rPr>
          <w:spacing w:val="-2"/>
          <w:sz w:val="21"/>
        </w:rPr>
        <w:t>损</w:t>
      </w:r>
      <w:r>
        <w:rPr>
          <w:spacing w:val="-2"/>
          <w:sz w:val="21"/>
        </w:rPr>
        <w:t>害</w:t>
      </w:r>
      <w:r>
        <w:rPr>
          <w:spacing w:val="-2"/>
          <w:sz w:val="21"/>
        </w:rPr>
        <w:t>的证据。</w:t>
      </w:r>
      <w:r>
        <w:rPr>
          <w:rFonts w:ascii="黑体" w:eastAsia="黑体" w:hint="eastAsia"/>
          <w:b/>
          <w:spacing w:val="-2"/>
          <w:sz w:val="21"/>
        </w:rPr>
        <w:t>植</w:t>
      </w:r>
      <w:r>
        <w:rPr>
          <w:rFonts w:ascii="黑体" w:eastAsia="黑体" w:hint="eastAsia"/>
          <w:b/>
          <w:spacing w:val="-2"/>
          <w:sz w:val="21"/>
        </w:rPr>
        <w:t>物</w:t>
      </w:r>
      <w:r>
        <w:rPr>
          <w:rFonts w:ascii="黑体" w:eastAsia="黑体" w:hint="eastAsia"/>
          <w:b/>
          <w:spacing w:val="-2"/>
          <w:sz w:val="21"/>
        </w:rPr>
        <w:t>人</w:t>
      </w:r>
      <w:r>
        <w:rPr>
          <w:rFonts w:ascii="黑体" w:eastAsia="黑体" w:hint="eastAsia"/>
          <w:b/>
          <w:spacing w:val="-2"/>
          <w:sz w:val="21"/>
        </w:rPr>
        <w:t>状</w:t>
      </w:r>
      <w:r>
        <w:rPr>
          <w:rFonts w:ascii="黑体" w:eastAsia="黑体" w:hint="eastAsia"/>
          <w:b/>
          <w:spacing w:val="-2"/>
          <w:sz w:val="21"/>
        </w:rPr>
        <w:t>态</w:t>
      </w:r>
      <w:r>
        <w:rPr>
          <w:rFonts w:ascii="黑体" w:eastAsia="黑体" w:hint="eastAsia"/>
          <w:b/>
          <w:spacing w:val="-2"/>
          <w:sz w:val="21"/>
        </w:rPr>
        <w:t>必</w:t>
      </w:r>
      <w:r>
        <w:rPr>
          <w:rFonts w:ascii="黑体" w:eastAsia="黑体" w:hint="eastAsia"/>
          <w:b/>
          <w:spacing w:val="-2"/>
          <w:sz w:val="21"/>
        </w:rPr>
        <w:t>须</w:t>
      </w:r>
      <w:r>
        <w:rPr>
          <w:rFonts w:ascii="黑体" w:eastAsia="黑体" w:hint="eastAsia"/>
          <w:b/>
          <w:sz w:val="21"/>
        </w:rPr>
        <w:t>持续</w:t>
      </w:r>
      <w:r>
        <w:rPr>
          <w:rFonts w:ascii="黑体" w:eastAsia="黑体" w:hint="eastAsia"/>
          <w:b/>
          <w:spacing w:val="-21"/>
          <w:sz w:val="21"/>
        </w:rPr>
        <w:t> </w:t>
      </w:r>
      <w:r>
        <w:rPr>
          <w:rFonts w:ascii="黑体" w:eastAsia="黑体" w:hint="eastAsia"/>
          <w:b/>
          <w:sz w:val="21"/>
        </w:rPr>
        <w:t>30</w:t>
      </w:r>
      <w:r>
        <w:rPr>
          <w:rFonts w:ascii="黑体" w:eastAsia="黑体" w:hint="eastAsia"/>
          <w:b/>
          <w:spacing w:val="-23"/>
          <w:sz w:val="21"/>
        </w:rPr>
        <w:t> </w:t>
      </w:r>
      <w:r>
        <w:rPr>
          <w:rFonts w:ascii="黑体" w:eastAsia="黑体" w:hint="eastAsia"/>
          <w:b/>
          <w:sz w:val="21"/>
        </w:rPr>
        <w:t>天以上方可申请理</w:t>
      </w:r>
      <w:r>
        <w:rPr>
          <w:rFonts w:ascii="黑体" w:eastAsia="黑体" w:hint="eastAsia"/>
          <w:b/>
          <w:sz w:val="21"/>
        </w:rPr>
        <w:t>赔。</w:t>
      </w:r>
    </w:p>
    <w:p>
      <w:pPr>
        <w:spacing w:before="7"/>
        <w:ind w:left="3081" w:right="0" w:firstLine="0"/>
        <w:jc w:val="left"/>
        <w:rPr>
          <w:rFonts w:ascii="黑体" w:eastAsia="黑体" w:hint="eastAsia"/>
          <w:b/>
          <w:sz w:val="21"/>
        </w:rPr>
      </w:pPr>
      <w:r>
        <w:rPr>
          <w:rFonts w:ascii="黑体" w:eastAsia="黑体" w:hint="eastAsia"/>
          <w:b/>
          <w:spacing w:val="-3"/>
          <w:sz w:val="21"/>
        </w:rPr>
        <w:t>由于酗酒或滥用药物所致的植物人状态除外。</w:t>
      </w: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line="312" w:lineRule="exact" w:before="56"/>
        <w:ind w:left="1132" w:right="0" w:firstLine="0"/>
        <w:jc w:val="left"/>
        <w:rPr>
          <w:rFonts w:ascii="华文新魏" w:eastAsia="华文新魏" w:hint="eastAsia"/>
          <w:b/>
          <w:sz w:val="21"/>
        </w:rPr>
      </w:pPr>
      <w:r>
        <w:rPr>
          <w:rFonts w:ascii="华文新魏" w:eastAsia="华文新魏" w:hint="eastAsia"/>
          <w:b/>
          <w:spacing w:val="-4"/>
          <w:sz w:val="21"/>
        </w:rPr>
        <w:t>51</w:t>
      </w:r>
      <w:r>
        <w:rPr>
          <w:rFonts w:ascii="华文新魏" w:eastAsia="华文新魏" w:hint="eastAsia"/>
          <w:b/>
          <w:spacing w:val="-5"/>
          <w:sz w:val="21"/>
        </w:rPr>
        <w:t>、严重疯牛病(克</w:t>
      </w:r>
    </w:p>
    <w:p>
      <w:pPr>
        <w:spacing w:line="312" w:lineRule="exact" w:before="0"/>
        <w:ind w:left="1132" w:right="0" w:firstLine="0"/>
        <w:jc w:val="left"/>
        <w:rPr>
          <w:rFonts w:ascii="华文新魏" w:eastAsia="华文新魏" w:hint="eastAsia"/>
          <w:b/>
          <w:sz w:val="21"/>
        </w:rPr>
      </w:pPr>
      <w:r>
        <w:rPr>
          <w:rFonts w:ascii="华文新魏" w:eastAsia="华文新魏" w:hint="eastAsia"/>
          <w:b/>
          <w:spacing w:val="-2"/>
          <w:sz w:val="21"/>
        </w:rPr>
        <w:t>-雅氏病/CJD</w:t>
      </w:r>
      <w:r>
        <w:rPr>
          <w:rFonts w:ascii="华文新魏" w:eastAsia="华文新魏" w:hint="eastAsia"/>
          <w:b/>
          <w:spacing w:val="-5"/>
          <w:sz w:val="21"/>
        </w:rPr>
        <w:t>/人类</w:t>
      </w:r>
    </w:p>
    <w:p>
      <w:pPr>
        <w:pStyle w:val="BodyText"/>
        <w:spacing w:line="278" w:lineRule="auto" w:before="78"/>
        <w:ind w:left="171" w:right="322"/>
      </w:pPr>
      <w:r>
        <w:rPr/>
        <w:br w:type="column"/>
      </w:r>
      <w:r>
        <w:rPr>
          <w:spacing w:val="-9"/>
        </w:rPr>
        <w:t>是一种传染性海绵状脑病，临床表现为快速进行性痴呆、肌阵挛和特征性脑电图变</w:t>
      </w:r>
      <w:r>
        <w:rPr>
          <w:spacing w:val="-12"/>
        </w:rPr>
        <w:t>化。本病须经本公司认可医院的专科医生根据 </w:t>
      </w:r>
      <w:r>
        <w:rPr>
          <w:spacing w:val="-2"/>
        </w:rPr>
        <w:t>WHO</w:t>
      </w:r>
      <w:r>
        <w:rPr>
          <w:spacing w:val="-13"/>
        </w:rPr>
        <w:t> 诊断标准明确诊断，并且被保险</w:t>
      </w:r>
    </w:p>
    <w:p>
      <w:pPr>
        <w:spacing w:after="0" w:line="278" w:lineRule="auto"/>
        <w:sectPr>
          <w:type w:val="continuous"/>
          <w:pgSz w:w="11910" w:h="16840"/>
          <w:pgMar w:header="0" w:footer="655" w:top="140" w:bottom="280" w:left="560" w:right="480"/>
          <w:cols w:num="2" w:equalWidth="0">
            <w:col w:w="2871" w:space="40"/>
            <w:col w:w="7959"/>
          </w:cols>
        </w:sectPr>
      </w:pPr>
    </w:p>
    <w:p>
      <w:pPr>
        <w:pStyle w:val="BodyText"/>
        <w:tabs>
          <w:tab w:pos="3081" w:val="left" w:leader="none"/>
        </w:tabs>
        <w:spacing w:line="256" w:lineRule="auto" w:before="34"/>
        <w:ind w:left="3081" w:right="322" w:hanging="1949"/>
      </w:pPr>
      <w:r>
        <w:rPr>
          <w:rFonts w:ascii="华文新魏" w:eastAsia="华文新魏" w:hint="eastAsia"/>
          <w:b/>
          <w:spacing w:val="-4"/>
          <w:position w:val="2"/>
        </w:rPr>
        <w:t>疯</w:t>
      </w:r>
      <w:r>
        <w:rPr>
          <w:rFonts w:ascii="华文新魏" w:eastAsia="华文新魏" w:hint="eastAsia"/>
          <w:b/>
          <w:spacing w:val="-4"/>
          <w:position w:val="2"/>
        </w:rPr>
        <w:t>牛</w:t>
      </w:r>
      <w:r>
        <w:rPr>
          <w:rFonts w:ascii="华文新魏" w:eastAsia="华文新魏" w:hint="eastAsia"/>
          <w:b/>
          <w:spacing w:val="-4"/>
          <w:position w:val="2"/>
        </w:rPr>
        <w:t>病)</w:t>
      </w:r>
      <w:r>
        <w:rPr>
          <w:rFonts w:ascii="华文新魏" w:eastAsia="华文新魏" w:hint="eastAsia"/>
          <w:b/>
          <w:position w:val="2"/>
        </w:rPr>
        <w:tab/>
      </w:r>
      <w:r>
        <w:rPr>
          <w:spacing w:val="-2"/>
        </w:rPr>
        <w:t>人</w:t>
      </w:r>
      <w:r>
        <w:rPr>
          <w:spacing w:val="-2"/>
        </w:rPr>
        <w:t>自</w:t>
      </w:r>
      <w:r>
        <w:rPr>
          <w:spacing w:val="-2"/>
        </w:rPr>
        <w:t>主生活能力完全丧失</w:t>
      </w:r>
      <w:r>
        <w:rPr>
          <w:spacing w:val="-108"/>
        </w:rPr>
        <w:t>，</w:t>
      </w:r>
      <w:r>
        <w:rPr>
          <w:spacing w:val="-2"/>
        </w:rPr>
        <w:t>无</w:t>
      </w:r>
      <w:r>
        <w:rPr>
          <w:spacing w:val="-2"/>
        </w:rPr>
        <w:t>法</w:t>
      </w:r>
      <w:r>
        <w:rPr>
          <w:spacing w:val="-2"/>
        </w:rPr>
        <w:t>独立完成六项基本日</w:t>
      </w:r>
      <w:r>
        <w:rPr>
          <w:spacing w:val="-2"/>
        </w:rPr>
        <w:t>常</w:t>
      </w:r>
      <w:r>
        <w:rPr>
          <w:spacing w:val="-2"/>
        </w:rPr>
        <w:t>生</w:t>
      </w:r>
      <w:r>
        <w:rPr>
          <w:spacing w:val="-2"/>
        </w:rPr>
        <w:t>活活动中的三项或三</w:t>
      </w:r>
      <w:r>
        <w:rPr>
          <w:spacing w:val="-2"/>
        </w:rPr>
        <w:t>项</w:t>
      </w:r>
      <w:r>
        <w:rPr>
          <w:spacing w:val="-2"/>
        </w:rPr>
        <w:t>以</w:t>
      </w:r>
      <w:r>
        <w:rPr>
          <w:spacing w:val="-6"/>
        </w:rPr>
        <w:t>上</w:t>
      </w:r>
      <w:r>
        <w:rPr>
          <w:spacing w:val="-6"/>
        </w:rPr>
        <w:t>。</w:t>
      </w:r>
    </w:p>
    <w:p>
      <w:pPr>
        <w:spacing w:before="26"/>
        <w:ind w:left="3081" w:right="0" w:firstLine="0"/>
        <w:jc w:val="left"/>
        <w:rPr>
          <w:rFonts w:ascii="黑体" w:eastAsia="黑体" w:hint="eastAsia"/>
          <w:b/>
          <w:sz w:val="21"/>
        </w:rPr>
      </w:pPr>
      <w:r>
        <w:rPr>
          <w:rFonts w:ascii="黑体" w:eastAsia="黑体" w:hint="eastAsia"/>
          <w:b/>
          <w:spacing w:val="-3"/>
          <w:sz w:val="21"/>
        </w:rPr>
        <w:t>疑似病例不在本保障范围内。</w:t>
      </w:r>
    </w:p>
    <w:p>
      <w:pPr>
        <w:pStyle w:val="BodyText"/>
        <w:spacing w:before="7"/>
        <w:rPr>
          <w:rFonts w:ascii="黑体"/>
          <w:b/>
        </w:rPr>
      </w:pPr>
    </w:p>
    <w:p>
      <w:pPr>
        <w:spacing w:after="0"/>
        <w:rPr>
          <w:rFonts w:ascii="黑体"/>
        </w:rPr>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52、严重自身免疫</w:t>
      </w:r>
      <w:r>
        <w:rPr>
          <w:rFonts w:ascii="华文新魏" w:eastAsia="华文新魏" w:hint="eastAsia"/>
          <w:b/>
          <w:spacing w:val="-4"/>
          <w:sz w:val="21"/>
        </w:rPr>
        <w:t>性肝炎</w:t>
      </w:r>
    </w:p>
    <w:p>
      <w:pPr>
        <w:pStyle w:val="BodyText"/>
        <w:spacing w:line="278" w:lineRule="auto" w:before="78"/>
        <w:ind w:left="194" w:right="322"/>
        <w:jc w:val="both"/>
      </w:pPr>
      <w:r>
        <w:rPr/>
        <w:br w:type="column"/>
      </w:r>
      <w:r>
        <w:rPr>
          <w:spacing w:val="-6"/>
        </w:rPr>
        <w:t>自身免疫性肝炎是一种原因不明的慢性肝脏的坏死性炎性疾病，机体免疫机制被破</w:t>
      </w:r>
      <w:r>
        <w:rPr>
          <w:spacing w:val="-12"/>
        </w:rPr>
        <w:t>坏，产生针对肝脏自身抗原的抗体导致自身免疫反应，从而破坏肝细胞造成肝脏炎</w:t>
      </w:r>
      <w:r>
        <w:rPr>
          <w:spacing w:val="-2"/>
        </w:rPr>
        <w:t>症坏死，进而发展为肝硬化。必须满足所有以下条件：</w:t>
      </w:r>
    </w:p>
    <w:p>
      <w:pPr>
        <w:pStyle w:val="BodyText"/>
        <w:spacing w:line="269" w:lineRule="exact"/>
        <w:ind w:left="194"/>
        <w:jc w:val="both"/>
      </w:pPr>
      <w:r>
        <w:rPr>
          <w:spacing w:val="-5"/>
        </w:rPr>
        <w:t>Ⅰ 高</w:t>
      </w:r>
      <w:r>
        <w:rPr/>
        <w:t>γ</w:t>
      </w:r>
      <w:r>
        <w:rPr>
          <w:spacing w:val="-2"/>
        </w:rPr>
        <w:t>球蛋白血症；</w:t>
      </w:r>
    </w:p>
    <w:p>
      <w:pPr>
        <w:pStyle w:val="BodyText"/>
        <w:spacing w:line="278" w:lineRule="auto" w:before="43"/>
        <w:ind w:left="194" w:right="221"/>
        <w:jc w:val="both"/>
      </w:pPr>
      <w:r>
        <w:rPr>
          <w:spacing w:val="-7"/>
        </w:rPr>
        <w:t>Ⅱ 血液中存在高水平的自身免疫抗体，如 </w:t>
      </w:r>
      <w:r>
        <w:rPr>
          <w:spacing w:val="-6"/>
        </w:rPr>
        <w:t>ANA（抗核抗体</w:t>
      </w:r>
      <w:r>
        <w:rPr>
          <w:spacing w:val="-108"/>
        </w:rPr>
        <w:t>）</w:t>
      </w:r>
      <w:r>
        <w:rPr>
          <w:spacing w:val="-6"/>
        </w:rPr>
        <w:t>、SMA（抗平滑肌抗体</w:t>
      </w:r>
      <w:r>
        <w:rPr>
          <w:spacing w:val="-106"/>
        </w:rPr>
        <w:t>）</w:t>
      </w:r>
      <w:r>
        <w:rPr>
          <w:spacing w:val="-6"/>
        </w:rPr>
        <w:t>、</w:t>
      </w:r>
      <w:r>
        <w:rPr>
          <w:spacing w:val="-7"/>
        </w:rPr>
        <w:t>抗 </w:t>
      </w:r>
      <w:r>
        <w:rPr/>
        <w:t>LKM1</w:t>
      </w:r>
      <w:r>
        <w:rPr>
          <w:spacing w:val="-4"/>
        </w:rPr>
        <w:t> 抗体或抗-</w:t>
      </w:r>
      <w:r>
        <w:rPr/>
        <w:t>SLA/LP</w:t>
      </w:r>
      <w:r>
        <w:rPr>
          <w:spacing w:val="-5"/>
        </w:rPr>
        <w:t> 抗体；</w:t>
      </w:r>
    </w:p>
    <w:p>
      <w:pPr>
        <w:pStyle w:val="BodyText"/>
        <w:spacing w:line="269" w:lineRule="exact"/>
        <w:ind w:left="194"/>
        <w:jc w:val="both"/>
      </w:pPr>
      <w:r>
        <w:rPr>
          <w:spacing w:val="-6"/>
        </w:rPr>
        <w:t>Ⅲ 肝脏活检证实免疫性肝炎；</w:t>
      </w:r>
    </w:p>
    <w:p>
      <w:pPr>
        <w:pStyle w:val="BodyText"/>
        <w:spacing w:before="43"/>
        <w:ind w:left="194"/>
        <w:jc w:val="both"/>
      </w:pPr>
      <w:r>
        <w:rPr>
          <w:spacing w:val="-3"/>
        </w:rPr>
        <w:t>Ⅳ 临床已经出现腹水、食道静脉曲张和脾肿大等肝硬化表现。</w:t>
      </w:r>
    </w:p>
    <w:p>
      <w:pPr>
        <w:spacing w:after="0"/>
        <w:jc w:val="both"/>
        <w:sectPr>
          <w:type w:val="continuous"/>
          <w:pgSz w:w="11910" w:h="16840"/>
          <w:pgMar w:header="0" w:footer="655" w:top="140" w:bottom="280" w:left="560" w:right="480"/>
          <w:cols w:num="2" w:equalWidth="0">
            <w:col w:w="2847" w:space="40"/>
            <w:col w:w="7983"/>
          </w:cols>
        </w:sectPr>
      </w:pPr>
    </w:p>
    <w:p>
      <w:pPr>
        <w:pStyle w:val="BodyText"/>
        <w:spacing w:before="8"/>
      </w:pPr>
    </w:p>
    <w:p>
      <w:pPr>
        <w:spacing w:after="0"/>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53、一肢及单眼缺</w:t>
      </w:r>
      <w:r>
        <w:rPr>
          <w:rFonts w:ascii="华文新魏" w:eastAsia="华文新魏" w:hint="eastAsia"/>
          <w:b/>
          <w:spacing w:val="-10"/>
          <w:sz w:val="21"/>
        </w:rPr>
        <w:t>失</w:t>
      </w:r>
    </w:p>
    <w:p>
      <w:pPr>
        <w:pStyle w:val="BodyText"/>
        <w:spacing w:line="278" w:lineRule="auto" w:before="79"/>
        <w:ind w:left="194" w:right="322"/>
      </w:pPr>
      <w:r>
        <w:rPr/>
        <w:br w:type="column"/>
      </w:r>
      <w:r>
        <w:rPr>
          <w:spacing w:val="-6"/>
        </w:rPr>
        <w:t>因疾病或意外伤害导致单眼视力丧失及任何一肢自腕关节或踝关节近端</w:t>
      </w:r>
      <w:r>
        <w:rPr>
          <w:spacing w:val="-2"/>
        </w:rPr>
        <w:t>（靠近躯干</w:t>
      </w:r>
      <w:r>
        <w:rPr>
          <w:spacing w:val="-2"/>
        </w:rPr>
        <w:t>端）以上完全性断离。</w:t>
      </w:r>
    </w:p>
    <w:p>
      <w:pPr>
        <w:pStyle w:val="BodyText"/>
        <w:spacing w:line="278" w:lineRule="auto"/>
        <w:ind w:left="194" w:right="527"/>
      </w:pPr>
      <w:r>
        <w:rPr>
          <w:spacing w:val="-2"/>
        </w:rPr>
        <w:t>单眼视力丧失指单眼视力永久不可逆性丧失，患眼须满足下列至少一项条件： </w:t>
      </w:r>
      <w:r>
        <w:rPr/>
        <w:t>Ⅰ 眼球缺失或摘除；</w:t>
      </w:r>
    </w:p>
    <w:p>
      <w:pPr>
        <w:pStyle w:val="BodyText"/>
        <w:spacing w:line="278" w:lineRule="auto"/>
        <w:ind w:left="194" w:right="216"/>
      </w:pPr>
      <w:r>
        <w:rPr>
          <w:spacing w:val="-10"/>
        </w:rPr>
        <w:t>Ⅱ 矫正视力低于 </w:t>
      </w:r>
      <w:r>
        <w:rPr>
          <w:spacing w:val="-2"/>
        </w:rPr>
        <w:t>0.02（采用国际标准视力表，如果使用其它视力表应进行换算</w:t>
      </w:r>
      <w:r>
        <w:rPr>
          <w:spacing w:val="-106"/>
        </w:rPr>
        <w:t>）</w:t>
      </w:r>
      <w:r>
        <w:rPr/>
        <w:t>；</w:t>
      </w:r>
      <w:r>
        <w:rPr>
          <w:spacing w:val="-53"/>
        </w:rPr>
        <w:t> </w:t>
      </w:r>
      <w:r>
        <w:rPr>
          <w:spacing w:val="-2"/>
        </w:rPr>
        <w:t>Ⅲ 视野半径小于 </w:t>
      </w:r>
      <w:r>
        <w:rPr/>
        <w:t>5</w:t>
      </w:r>
      <w:r>
        <w:rPr>
          <w:spacing w:val="-6"/>
        </w:rPr>
        <w:t> 度。</w:t>
      </w:r>
    </w:p>
    <w:p>
      <w:pPr>
        <w:spacing w:line="278" w:lineRule="auto" w:before="0"/>
        <w:ind w:left="194" w:right="405" w:firstLine="0"/>
        <w:jc w:val="left"/>
        <w:rPr>
          <w:rFonts w:ascii="黑体" w:eastAsia="黑体" w:hint="eastAsia"/>
          <w:b/>
          <w:sz w:val="21"/>
        </w:rPr>
      </w:pPr>
      <w:r>
        <w:rPr>
          <w:rFonts w:ascii="黑体" w:eastAsia="黑体" w:hint="eastAsia"/>
          <w:b/>
          <w:spacing w:val="-2"/>
          <w:sz w:val="21"/>
        </w:rPr>
        <w:t>被保险人申请理赔时年龄必须在三周岁以上，并且提供理赔当时的视力丧失诊断</w:t>
      </w:r>
      <w:r>
        <w:rPr>
          <w:rFonts w:ascii="黑体" w:eastAsia="黑体" w:hint="eastAsia"/>
          <w:b/>
          <w:spacing w:val="-2"/>
          <w:sz w:val="21"/>
        </w:rPr>
        <w:t>及检查证据。</w:t>
      </w:r>
    </w:p>
    <w:p>
      <w:pPr>
        <w:spacing w:line="269" w:lineRule="exact" w:before="0"/>
        <w:ind w:left="194" w:right="0" w:firstLine="0"/>
        <w:jc w:val="left"/>
        <w:rPr>
          <w:rFonts w:ascii="黑体" w:eastAsia="黑体" w:hint="eastAsia"/>
          <w:b/>
          <w:sz w:val="21"/>
        </w:rPr>
      </w:pPr>
      <w:r>
        <w:rPr>
          <w:rFonts w:ascii="黑体" w:eastAsia="黑体" w:hint="eastAsia"/>
          <w:b/>
          <w:spacing w:val="-3"/>
          <w:sz w:val="21"/>
        </w:rPr>
        <w:t>投保时已有单眼缺失或有一肢缺失的不在本保障范围内。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5"/>
        <w:ind w:left="1132" w:right="0" w:firstLine="0"/>
        <w:jc w:val="both"/>
        <w:rPr>
          <w:rFonts w:ascii="华文新魏" w:eastAsia="华文新魏" w:hint="eastAsia"/>
          <w:b/>
          <w:sz w:val="21"/>
        </w:rPr>
      </w:pPr>
      <w:r>
        <w:rPr>
          <w:rFonts w:ascii="华文新魏" w:eastAsia="华文新魏" w:hint="eastAsia"/>
          <w:b/>
          <w:spacing w:val="-2"/>
          <w:sz w:val="21"/>
        </w:rPr>
        <w:t>54、因职业关系导</w:t>
      </w:r>
      <w:r>
        <w:rPr>
          <w:rFonts w:ascii="华文新魏" w:eastAsia="华文新魏" w:hint="eastAsia"/>
          <w:b/>
          <w:spacing w:val="-2"/>
          <w:sz w:val="21"/>
        </w:rPr>
        <w:t>致的人类免疫缺陷</w:t>
      </w:r>
      <w:r>
        <w:rPr>
          <w:rFonts w:ascii="华文新魏" w:eastAsia="华文新魏" w:hint="eastAsia"/>
          <w:b/>
          <w:spacing w:val="-4"/>
          <w:sz w:val="21"/>
        </w:rPr>
        <w:t>病毒感染</w:t>
      </w:r>
    </w:p>
    <w:p>
      <w:pPr>
        <w:pStyle w:val="BodyText"/>
        <w:spacing w:line="278" w:lineRule="auto" w:before="78"/>
        <w:ind w:left="194" w:right="322"/>
      </w:pPr>
      <w:r>
        <w:rPr/>
        <w:br w:type="column"/>
      </w:r>
      <w:r>
        <w:rPr>
          <w:spacing w:val="-8"/>
        </w:rPr>
        <w:t>被保险人在其常规职业工作过程中遭遇外伤，或者职业需要处理血液或者其他体液</w:t>
      </w:r>
      <w:r>
        <w:rPr>
          <w:spacing w:val="-2"/>
        </w:rPr>
        <w:t>时感染上人类免疫缺陷病毒</w:t>
      </w:r>
      <w:r>
        <w:rPr>
          <w:spacing w:val="20"/>
        </w:rPr>
        <w:t>（H</w:t>
      </w:r>
      <w:r>
        <w:rPr>
          <w:spacing w:val="17"/>
        </w:rPr>
        <w:t>I</w:t>
      </w:r>
      <w:r>
        <w:rPr>
          <w:spacing w:val="19"/>
        </w:rPr>
        <w:t>V</w:t>
      </w:r>
      <w:r>
        <w:rPr>
          <w:spacing w:val="-86"/>
        </w:rPr>
        <w:t>）</w:t>
      </w:r>
      <w:r>
        <w:rPr>
          <w:spacing w:val="-2"/>
        </w:rPr>
        <w:t>。必须满足下列全部条件：</w:t>
      </w:r>
    </w:p>
    <w:p>
      <w:pPr>
        <w:pStyle w:val="BodyText"/>
        <w:spacing w:line="278" w:lineRule="auto"/>
        <w:ind w:left="194" w:right="322"/>
      </w:pPr>
      <w:r>
        <w:rPr>
          <w:spacing w:val="-6"/>
        </w:rPr>
        <w:t>Ⅰ 感染必须是在被保险人正在从事其职业工作中发生，该职业必须属于以下列职</w:t>
      </w:r>
      <w:r>
        <w:rPr>
          <w:spacing w:val="-6"/>
        </w:rPr>
        <w:t>业：</w:t>
      </w:r>
    </w:p>
    <w:p>
      <w:pPr>
        <w:pStyle w:val="BodyText"/>
        <w:spacing w:line="278" w:lineRule="auto"/>
        <w:ind w:left="194" w:right="217"/>
      </w:pPr>
      <w:r>
        <w:rPr>
          <w:spacing w:val="-2"/>
        </w:rPr>
        <w:t>医生和牙科医生、护士、医院化验室工作人员、医院护工、医生助理和牙医助理、</w:t>
      </w:r>
      <w:r>
        <w:rPr>
          <w:spacing w:val="-2"/>
        </w:rPr>
        <w:t>救护车工作人员、助产士、消防队员、警察、狱警。</w:t>
      </w:r>
    </w:p>
    <w:p>
      <w:pPr>
        <w:pStyle w:val="BodyText"/>
        <w:spacing w:line="269" w:lineRule="exact"/>
        <w:ind w:left="194"/>
      </w:pPr>
      <w:r>
        <w:rPr>
          <w:spacing w:val="-5"/>
        </w:rPr>
        <w:t>Ⅱ 血清转化必须出现在事故发生后的 </w:t>
      </w:r>
      <w:r>
        <w:rPr>
          <w:spacing w:val="-2"/>
        </w:rPr>
        <w:t>6</w:t>
      </w:r>
      <w:r>
        <w:rPr>
          <w:spacing w:val="-12"/>
        </w:rPr>
        <w:t> 个月以内；</w:t>
      </w:r>
    </w:p>
    <w:p>
      <w:pPr>
        <w:pStyle w:val="BodyText"/>
        <w:spacing w:line="278" w:lineRule="auto" w:before="43"/>
        <w:ind w:left="194" w:right="322"/>
      </w:pPr>
      <w:r>
        <w:rPr>
          <w:spacing w:val="-9"/>
        </w:rPr>
        <w:t>Ⅲ 必须提供被保险人在所报事故发生后的 </w:t>
      </w:r>
      <w:r>
        <w:rPr/>
        <w:t>5</w:t>
      </w:r>
      <w:r>
        <w:rPr>
          <w:spacing w:val="-8"/>
        </w:rPr>
        <w:t> 天以内进行的检查报告，该报告必须</w:t>
      </w:r>
      <w:r>
        <w:rPr>
          <w:spacing w:val="-2"/>
        </w:rPr>
        <w:t>显示被保险人血液 </w:t>
      </w:r>
      <w:r>
        <w:rPr/>
        <w:t>HIV</w:t>
      </w:r>
      <w:r>
        <w:rPr>
          <w:spacing w:val="-6"/>
        </w:rPr>
        <w:t> 病毒阴性和/或 </w:t>
      </w:r>
      <w:r>
        <w:rPr/>
        <w:t>HIV</w:t>
      </w:r>
      <w:r>
        <w:rPr>
          <w:spacing w:val="-4"/>
        </w:rPr>
        <w:t> 抗体阴性；</w:t>
      </w:r>
    </w:p>
    <w:p>
      <w:pPr>
        <w:spacing w:line="278" w:lineRule="auto" w:before="0"/>
        <w:ind w:left="194" w:right="216" w:firstLine="0"/>
        <w:jc w:val="left"/>
        <w:rPr>
          <w:rFonts w:ascii="黑体" w:hAnsi="黑体" w:eastAsia="黑体" w:hint="eastAsia"/>
          <w:b/>
          <w:sz w:val="21"/>
        </w:rPr>
      </w:pPr>
      <w:r>
        <w:rPr>
          <w:w w:val="100"/>
          <w:sz w:val="21"/>
        </w:rPr>
        <w:t>Ⅳ</w:t>
      </w:r>
      <w:r>
        <w:rPr>
          <w:spacing w:val="1"/>
          <w:sz w:val="21"/>
        </w:rPr>
        <w:t> </w:t>
      </w:r>
      <w:r>
        <w:rPr>
          <w:spacing w:val="-3"/>
          <w:w w:val="100"/>
          <w:sz w:val="21"/>
        </w:rPr>
        <w:t>必须在事故发生后的</w:t>
      </w:r>
      <w:r>
        <w:rPr>
          <w:spacing w:val="-55"/>
          <w:sz w:val="21"/>
        </w:rPr>
        <w:t> </w:t>
      </w:r>
      <w:r>
        <w:rPr>
          <w:spacing w:val="-3"/>
          <w:w w:val="100"/>
          <w:sz w:val="21"/>
        </w:rPr>
        <w:t>1</w:t>
      </w:r>
      <w:r>
        <w:rPr>
          <w:w w:val="100"/>
          <w:sz w:val="21"/>
        </w:rPr>
        <w:t>2</w:t>
      </w:r>
      <w:r>
        <w:rPr>
          <w:spacing w:val="-53"/>
          <w:sz w:val="21"/>
        </w:rPr>
        <w:t> </w:t>
      </w:r>
      <w:r>
        <w:rPr>
          <w:spacing w:val="-3"/>
          <w:w w:val="100"/>
          <w:sz w:val="21"/>
        </w:rPr>
        <w:t>个月内证实被保险人体内存在</w:t>
      </w:r>
      <w:r>
        <w:rPr>
          <w:spacing w:val="-52"/>
          <w:sz w:val="21"/>
        </w:rPr>
        <w:t> </w:t>
      </w:r>
      <w:r>
        <w:rPr>
          <w:w w:val="100"/>
          <w:sz w:val="21"/>
        </w:rPr>
        <w:t>HIV</w:t>
      </w:r>
      <w:r>
        <w:rPr>
          <w:spacing w:val="-55"/>
          <w:sz w:val="21"/>
        </w:rPr>
        <w:t> </w:t>
      </w:r>
      <w:r>
        <w:rPr>
          <w:spacing w:val="-3"/>
          <w:w w:val="100"/>
          <w:sz w:val="21"/>
        </w:rPr>
        <w:t>病毒或者</w:t>
      </w:r>
      <w:r>
        <w:rPr>
          <w:spacing w:val="-53"/>
          <w:sz w:val="21"/>
        </w:rPr>
        <w:t> </w:t>
      </w:r>
      <w:r>
        <w:rPr>
          <w:w w:val="100"/>
          <w:sz w:val="21"/>
        </w:rPr>
        <w:t>HIV</w:t>
      </w:r>
      <w:r>
        <w:rPr>
          <w:spacing w:val="-55"/>
          <w:sz w:val="21"/>
        </w:rPr>
        <w:t> </w:t>
      </w:r>
      <w:r>
        <w:rPr>
          <w:w w:val="100"/>
          <w:sz w:val="21"/>
        </w:rPr>
        <w:t>抗体。</w:t>
      </w:r>
      <w:r>
        <w:rPr>
          <w:rFonts w:ascii="黑体" w:hAnsi="黑体" w:eastAsia="黑体" w:hint="eastAsia"/>
          <w:b/>
          <w:spacing w:val="-2"/>
          <w:w w:val="100"/>
          <w:sz w:val="21"/>
        </w:rPr>
        <w:t>在任何治愈艾滋病</w:t>
      </w:r>
      <w:r>
        <w:rPr>
          <w:rFonts w:ascii="黑体" w:hAnsi="黑体" w:eastAsia="黑体" w:hint="eastAsia"/>
          <w:b/>
          <w:w w:val="100"/>
          <w:sz w:val="21"/>
        </w:rPr>
        <w:t>（</w:t>
      </w:r>
      <w:r>
        <w:rPr>
          <w:rFonts w:ascii="黑体" w:hAnsi="黑体" w:eastAsia="黑体" w:hint="eastAsia"/>
          <w:b/>
          <w:w w:val="99"/>
          <w:sz w:val="21"/>
        </w:rPr>
        <w:t>AIDS</w:t>
      </w:r>
      <w:r>
        <w:rPr>
          <w:rFonts w:ascii="黑体" w:hAnsi="黑体" w:eastAsia="黑体" w:hint="eastAsia"/>
          <w:b/>
          <w:spacing w:val="-8"/>
          <w:w w:val="100"/>
          <w:sz w:val="21"/>
        </w:rPr>
        <w:t>）</w:t>
      </w:r>
      <w:r>
        <w:rPr>
          <w:rFonts w:ascii="黑体" w:hAnsi="黑体" w:eastAsia="黑体" w:hint="eastAsia"/>
          <w:b/>
          <w:spacing w:val="-3"/>
          <w:w w:val="100"/>
          <w:sz w:val="21"/>
        </w:rPr>
        <w:t>或阻止人类免疫缺陷病毒</w:t>
      </w:r>
      <w:r>
        <w:rPr>
          <w:rFonts w:ascii="黑体" w:hAnsi="黑体" w:eastAsia="黑体" w:hint="eastAsia"/>
          <w:b/>
          <w:w w:val="100"/>
          <w:sz w:val="21"/>
        </w:rPr>
        <w:t>（</w:t>
      </w:r>
      <w:r>
        <w:rPr>
          <w:rFonts w:ascii="黑体" w:hAnsi="黑体" w:eastAsia="黑体" w:hint="eastAsia"/>
          <w:b/>
          <w:w w:val="99"/>
          <w:sz w:val="21"/>
        </w:rPr>
        <w:t>HIV</w:t>
      </w:r>
      <w:r>
        <w:rPr>
          <w:rFonts w:ascii="黑体" w:hAnsi="黑体" w:eastAsia="黑体" w:hint="eastAsia"/>
          <w:b/>
          <w:spacing w:val="-8"/>
          <w:w w:val="100"/>
          <w:sz w:val="21"/>
        </w:rPr>
        <w:t>）</w:t>
      </w:r>
      <w:r>
        <w:rPr>
          <w:rFonts w:ascii="黑体" w:hAnsi="黑体" w:eastAsia="黑体" w:hint="eastAsia"/>
          <w:b/>
          <w:spacing w:val="-2"/>
          <w:w w:val="100"/>
          <w:sz w:val="21"/>
        </w:rPr>
        <w:t>作用的疗法被发现以</w:t>
      </w:r>
      <w:r>
        <w:rPr>
          <w:rFonts w:ascii="黑体" w:hAnsi="黑体" w:eastAsia="黑体" w:hint="eastAsia"/>
          <w:b/>
          <w:spacing w:val="1"/>
          <w:w w:val="100"/>
          <w:sz w:val="21"/>
        </w:rPr>
        <w:t>后，或能防止艾滋病</w:t>
      </w:r>
      <w:r>
        <w:rPr>
          <w:rFonts w:ascii="黑体" w:hAnsi="黑体" w:eastAsia="黑体" w:hint="eastAsia"/>
          <w:b/>
          <w:spacing w:val="5"/>
          <w:w w:val="100"/>
          <w:sz w:val="21"/>
        </w:rPr>
        <w:t>（</w:t>
      </w:r>
      <w:r>
        <w:rPr>
          <w:rFonts w:ascii="黑体" w:hAnsi="黑体" w:eastAsia="黑体" w:hint="eastAsia"/>
          <w:b/>
          <w:w w:val="99"/>
          <w:sz w:val="21"/>
        </w:rPr>
        <w:t>AI</w:t>
      </w:r>
      <w:r>
        <w:rPr>
          <w:rFonts w:ascii="黑体" w:hAnsi="黑体" w:eastAsia="黑体" w:hint="eastAsia"/>
          <w:b/>
          <w:spacing w:val="-3"/>
          <w:w w:val="99"/>
          <w:sz w:val="21"/>
        </w:rPr>
        <w:t>D</w:t>
      </w:r>
      <w:r>
        <w:rPr>
          <w:rFonts w:ascii="黑体" w:hAnsi="黑体" w:eastAsia="黑体" w:hint="eastAsia"/>
          <w:b/>
          <w:spacing w:val="2"/>
          <w:w w:val="99"/>
          <w:sz w:val="21"/>
        </w:rPr>
        <w:t>S</w:t>
      </w:r>
      <w:r>
        <w:rPr>
          <w:rFonts w:ascii="黑体" w:hAnsi="黑体" w:eastAsia="黑体" w:hint="eastAsia"/>
          <w:b/>
          <w:spacing w:val="2"/>
          <w:w w:val="100"/>
          <w:sz w:val="21"/>
        </w:rPr>
        <w:t>）</w:t>
      </w:r>
      <w:r>
        <w:rPr>
          <w:rFonts w:ascii="黑体" w:hAnsi="黑体" w:eastAsia="黑体" w:hint="eastAsia"/>
          <w:b/>
          <w:w w:val="100"/>
          <w:sz w:val="21"/>
        </w:rPr>
        <w:t>发生的医疗方法被研究出来以后，则我们不再予以赔付。</w:t>
      </w:r>
    </w:p>
    <w:p>
      <w:pPr>
        <w:spacing w:line="278" w:lineRule="auto" w:before="0"/>
        <w:ind w:left="194" w:right="327" w:firstLine="0"/>
        <w:jc w:val="left"/>
        <w:rPr>
          <w:rFonts w:ascii="黑体" w:eastAsia="黑体" w:hint="eastAsia"/>
          <w:b/>
          <w:sz w:val="21"/>
        </w:rPr>
      </w:pPr>
      <w:r>
        <w:rPr>
          <w:rFonts w:ascii="黑体" w:eastAsia="黑体" w:hint="eastAsia"/>
          <w:b/>
          <w:sz w:val="21"/>
        </w:rPr>
        <w:t>任何因其他传播方式（包括：性传播或静脉注射毒品）</w:t>
      </w:r>
      <w:r>
        <w:rPr>
          <w:rFonts w:ascii="黑体" w:eastAsia="黑体" w:hint="eastAsia"/>
          <w:b/>
          <w:spacing w:val="-7"/>
          <w:sz w:val="21"/>
        </w:rPr>
        <w:t>导致的 </w:t>
      </w:r>
      <w:r>
        <w:rPr>
          <w:rFonts w:ascii="黑体" w:eastAsia="黑体" w:hint="eastAsia"/>
          <w:b/>
          <w:sz w:val="21"/>
        </w:rPr>
        <w:t>HIV</w:t>
      </w:r>
      <w:r>
        <w:rPr>
          <w:rFonts w:ascii="黑体" w:eastAsia="黑体" w:hint="eastAsia"/>
          <w:b/>
          <w:spacing w:val="-5"/>
          <w:sz w:val="21"/>
        </w:rPr>
        <w:t> 感染不在本保</w:t>
      </w:r>
      <w:r>
        <w:rPr>
          <w:rFonts w:ascii="黑体" w:eastAsia="黑体" w:hint="eastAsia"/>
          <w:b/>
          <w:spacing w:val="-2"/>
          <w:sz w:val="21"/>
        </w:rPr>
        <w:t>障范围内。</w:t>
      </w:r>
    </w:p>
    <w:p>
      <w:pPr>
        <w:spacing w:before="0"/>
        <w:ind w:left="194"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本合同责任免除条款第一节第六项不适用于此病种。</w:t>
      </w:r>
      <w:r>
        <w:rPr>
          <w:rFonts w:ascii="黑体" w:eastAsia="黑体" w:hint="eastAsia"/>
          <w:b/>
          <w:spacing w:val="-10"/>
          <w:sz w:val="21"/>
        </w:rPr>
        <w:t>）</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55、严重瑞氏综合</w:t>
      </w:r>
      <w:r>
        <w:rPr>
          <w:rFonts w:ascii="华文新魏" w:eastAsia="华文新魏" w:hint="eastAsia"/>
          <w:b/>
          <w:spacing w:val="-10"/>
          <w:sz w:val="21"/>
        </w:rPr>
        <w:t>征</w:t>
      </w:r>
    </w:p>
    <w:p>
      <w:pPr>
        <w:pStyle w:val="BodyText"/>
        <w:spacing w:line="278" w:lineRule="auto" w:before="79"/>
        <w:ind w:left="194" w:right="217"/>
      </w:pPr>
      <w:r>
        <w:rPr/>
        <w:br w:type="column"/>
      </w:r>
      <w:r>
        <w:rPr>
          <w:spacing w:val="-8"/>
          <w:w w:val="100"/>
        </w:rPr>
        <w:t>瑞氏综合征是线粒体功能障碍性疾病。导致脂肪代谢障碍，引起短链脂肪酸、血氨</w:t>
      </w:r>
      <w:r>
        <w:rPr>
          <w:spacing w:val="-5"/>
          <w:w w:val="100"/>
        </w:rPr>
        <w:t>升高，造成脑水肿。主要临床表现为急性发热、反复呕吐、惊厥及意识障碍等等。</w:t>
      </w:r>
      <w:r>
        <w:rPr>
          <w:w w:val="100"/>
        </w:rPr>
        <w:t>肝脏活检是确诊的重要手段。瑞氏综合征需由本公司认可医院的儿科专科医生确</w:t>
      </w:r>
      <w:r>
        <w:rPr>
          <w:spacing w:val="-3"/>
          <w:w w:val="100"/>
        </w:rPr>
        <w:t>诊，并符合下列所有条件：</w:t>
      </w:r>
    </w:p>
    <w:p>
      <w:pPr>
        <w:pStyle w:val="BodyText"/>
        <w:spacing w:line="269" w:lineRule="exact"/>
        <w:ind w:left="194"/>
      </w:pPr>
      <w:r>
        <w:rPr>
          <w:spacing w:val="-3"/>
        </w:rPr>
        <w:t>Ⅰ 有脑水肿和颅内压升高的脑脊液检查和影像学检查证据；</w:t>
      </w:r>
    </w:p>
    <w:p>
      <w:pPr>
        <w:spacing w:after="0" w:line="269" w:lineRule="exact"/>
        <w:sectPr>
          <w:type w:val="continuous"/>
          <w:pgSz w:w="11910" w:h="16840"/>
          <w:pgMar w:header="0" w:footer="655" w:top="140" w:bottom="280" w:left="560" w:right="480"/>
          <w:cols w:num="2" w:equalWidth="0">
            <w:col w:w="2847" w:space="40"/>
            <w:col w:w="7983"/>
          </w:cols>
        </w:sectPr>
      </w:pPr>
    </w:p>
    <w:p>
      <w:pPr>
        <w:pStyle w:val="BodyText"/>
        <w:spacing w:before="58"/>
        <w:ind w:left="3081"/>
      </w:pPr>
      <w:r>
        <w:rPr>
          <w:spacing w:val="-9"/>
        </w:rPr>
        <w:t>Ⅱ 血氨超过正常值的 </w:t>
      </w:r>
      <w:r>
        <w:rPr/>
        <w:t>3</w:t>
      </w:r>
      <w:r>
        <w:rPr>
          <w:spacing w:val="-22"/>
        </w:rPr>
        <w:t> 倍；</w:t>
      </w:r>
    </w:p>
    <w:p>
      <w:pPr>
        <w:pStyle w:val="BodyText"/>
        <w:spacing w:before="43"/>
        <w:ind w:left="3081"/>
      </w:pPr>
      <w:r>
        <w:rPr>
          <w:spacing w:val="-9"/>
        </w:rPr>
        <w:t>Ⅲ 临床出现昏迷，病程至少达到疾病分期第 </w:t>
      </w:r>
      <w:r>
        <w:rPr/>
        <w:t>3</w:t>
      </w:r>
      <w:r>
        <w:rPr>
          <w:spacing w:val="-22"/>
        </w:rPr>
        <w:t> 期。</w:t>
      </w:r>
    </w:p>
    <w:p>
      <w:pPr>
        <w:pStyle w:val="BodyText"/>
        <w:spacing w:before="11"/>
        <w:rPr>
          <w:sz w:val="25"/>
        </w:rPr>
      </w:pPr>
    </w:p>
    <w:p>
      <w:pPr>
        <w:pStyle w:val="BodyText"/>
        <w:spacing w:line="268" w:lineRule="auto"/>
        <w:ind w:left="3081" w:right="322" w:hanging="1949"/>
        <w:jc w:val="both"/>
      </w:pPr>
      <w:r>
        <w:rPr>
          <w:rFonts w:ascii="华文新魏" w:eastAsia="华文新魏" w:hint="eastAsia"/>
          <w:b/>
          <w:position w:val="2"/>
        </w:rPr>
        <w:t>56</w:t>
      </w:r>
      <w:r>
        <w:rPr>
          <w:rFonts w:ascii="华文新魏" w:eastAsia="华文新魏" w:hint="eastAsia"/>
          <w:b/>
          <w:spacing w:val="53"/>
          <w:position w:val="2"/>
        </w:rPr>
        <w:t>、严重川崎病 </w:t>
      </w:r>
      <w:r>
        <w:rPr>
          <w:spacing w:val="-7"/>
        </w:rPr>
        <w:t>指一种原因未明的血管炎综合征，临床表现为急性发热，皮肤粘膜病损和淋巴结肿</w:t>
      </w:r>
      <w:r>
        <w:rPr>
          <w:spacing w:val="-4"/>
        </w:rPr>
        <w:t>大。本病必须经专科医生明确诊断，且必须由血管造影或超声心动图检查证实，满</w:t>
      </w:r>
      <w:r>
        <w:rPr>
          <w:spacing w:val="-2"/>
        </w:rPr>
        <w:t>足下列至少一项条件：</w:t>
      </w:r>
    </w:p>
    <w:p>
      <w:pPr>
        <w:pStyle w:val="BodyText"/>
        <w:spacing w:line="278" w:lineRule="auto" w:before="7"/>
        <w:ind w:left="3081" w:right="742"/>
        <w:jc w:val="both"/>
      </w:pPr>
      <w:r>
        <w:rPr>
          <w:spacing w:val="-6"/>
        </w:rPr>
        <w:t>Ⅰ 伴有冠状动脉瘤，且冠状动脉瘤于最初急性发病后持续至少一百八十天；</w:t>
      </w:r>
      <w:r>
        <w:rPr/>
        <w:t> Ⅱ 伴有冠状动脉瘤，且实际接受了对冠状动脉瘤进行的手术治疗。</w:t>
      </w:r>
    </w:p>
    <w:p>
      <w:pPr>
        <w:pStyle w:val="BodyText"/>
        <w:spacing w:before="6"/>
        <w:rPr>
          <w:sz w:val="22"/>
        </w:rPr>
      </w:pPr>
    </w:p>
    <w:p>
      <w:pPr>
        <w:pStyle w:val="BodyText"/>
        <w:tabs>
          <w:tab w:pos="3081" w:val="left" w:leader="none"/>
        </w:tabs>
        <w:spacing w:line="256" w:lineRule="auto"/>
        <w:ind w:left="3081" w:right="425" w:hanging="1949"/>
      </w:pPr>
      <w:r>
        <w:rPr>
          <w:rFonts w:ascii="华文新魏" w:eastAsia="华文新魏" w:hint="eastAsia"/>
          <w:b/>
          <w:spacing w:val="-2"/>
          <w:position w:val="2"/>
        </w:rPr>
        <w:t>57</w:t>
      </w:r>
      <w:r>
        <w:rPr>
          <w:rFonts w:ascii="华文新魏" w:eastAsia="华文新魏" w:hint="eastAsia"/>
          <w:b/>
          <w:spacing w:val="-2"/>
          <w:position w:val="2"/>
        </w:rPr>
        <w:t>、</w:t>
      </w:r>
      <w:r>
        <w:rPr>
          <w:rFonts w:ascii="华文新魏" w:eastAsia="华文新魏" w:hint="eastAsia"/>
          <w:b/>
          <w:spacing w:val="-2"/>
          <w:position w:val="2"/>
        </w:rPr>
        <w:t>严</w:t>
      </w:r>
      <w:r>
        <w:rPr>
          <w:rFonts w:ascii="华文新魏" w:eastAsia="华文新魏" w:hint="eastAsia"/>
          <w:b/>
          <w:spacing w:val="-2"/>
          <w:position w:val="2"/>
        </w:rPr>
        <w:t>重心肌炎</w:t>
      </w:r>
      <w:r>
        <w:rPr>
          <w:rFonts w:ascii="华文新魏" w:eastAsia="华文新魏" w:hint="eastAsia"/>
          <w:b/>
          <w:position w:val="2"/>
        </w:rPr>
        <w:tab/>
      </w:r>
      <w:r>
        <w:rPr>
          <w:spacing w:val="-2"/>
        </w:rPr>
        <w:t>指</w:t>
      </w:r>
      <w:r>
        <w:rPr>
          <w:spacing w:val="-2"/>
        </w:rPr>
        <w:t>被</w:t>
      </w:r>
      <w:r>
        <w:rPr>
          <w:spacing w:val="-2"/>
        </w:rPr>
        <w:t>保险人因严重心肌炎</w:t>
      </w:r>
      <w:r>
        <w:rPr>
          <w:spacing w:val="-2"/>
        </w:rPr>
        <w:t>性</w:t>
      </w:r>
      <w:r>
        <w:rPr>
          <w:spacing w:val="-2"/>
        </w:rPr>
        <w:t>病</w:t>
      </w:r>
      <w:r>
        <w:rPr>
          <w:spacing w:val="-2"/>
        </w:rPr>
        <w:t>变导致心功能损害造</w:t>
      </w:r>
      <w:r>
        <w:rPr>
          <w:spacing w:val="-2"/>
        </w:rPr>
        <w:t>成</w:t>
      </w:r>
      <w:r>
        <w:rPr>
          <w:spacing w:val="-2"/>
        </w:rPr>
        <w:t>持</w:t>
      </w:r>
      <w:r>
        <w:rPr>
          <w:spacing w:val="-2"/>
        </w:rPr>
        <w:t>续的永久不可逆性的</w:t>
      </w:r>
      <w:r>
        <w:rPr>
          <w:spacing w:val="-2"/>
        </w:rPr>
        <w:t>心</w:t>
      </w:r>
      <w:r>
        <w:rPr>
          <w:spacing w:val="-2"/>
        </w:rPr>
        <w:t>功</w:t>
      </w:r>
      <w:r>
        <w:rPr>
          <w:spacing w:val="-2"/>
        </w:rPr>
        <w:t>能</w:t>
      </w:r>
      <w:r>
        <w:rPr>
          <w:spacing w:val="-2"/>
        </w:rPr>
        <w:t>衰</w:t>
      </w:r>
      <w:r>
        <w:rPr>
          <w:spacing w:val="-2"/>
        </w:rPr>
        <w:t>竭。必须满足所有以</w:t>
      </w:r>
      <w:r>
        <w:rPr>
          <w:spacing w:val="-2"/>
        </w:rPr>
        <w:t>下</w:t>
      </w:r>
      <w:r>
        <w:rPr>
          <w:spacing w:val="-2"/>
        </w:rPr>
        <w:t>条</w:t>
      </w:r>
      <w:r>
        <w:rPr>
          <w:spacing w:val="-2"/>
        </w:rPr>
        <w:t>件：</w:t>
      </w:r>
    </w:p>
    <w:p>
      <w:pPr>
        <w:pStyle w:val="BodyText"/>
        <w:spacing w:line="278" w:lineRule="auto" w:before="25"/>
        <w:ind w:left="3081" w:right="322"/>
      </w:pPr>
      <w:r>
        <w:rPr>
          <w:spacing w:val="-6"/>
        </w:rPr>
        <w:t>Ⅰ 心功能衰竭程度达到纽约心脏病学会的心功能分级标准之心功能Ⅳ级，或左室</w:t>
      </w:r>
      <w:r>
        <w:rPr>
          <w:spacing w:val="-6"/>
        </w:rPr>
        <w:t>射血分数低于 </w:t>
      </w:r>
      <w:r>
        <w:rPr/>
        <w:t>30%；</w:t>
      </w:r>
    </w:p>
    <w:p>
      <w:pPr>
        <w:pStyle w:val="BodyText"/>
        <w:spacing w:before="1"/>
        <w:ind w:left="3081"/>
      </w:pPr>
      <w:r>
        <w:rPr>
          <w:spacing w:val="-10"/>
        </w:rPr>
        <w:t>Ⅱ 持续不间断 </w:t>
      </w:r>
      <w:r>
        <w:rPr/>
        <w:t>180</w:t>
      </w:r>
      <w:r>
        <w:rPr>
          <w:spacing w:val="-14"/>
        </w:rPr>
        <w:t> 天以上；</w:t>
      </w:r>
    </w:p>
    <w:p>
      <w:pPr>
        <w:pStyle w:val="BodyText"/>
        <w:spacing w:before="42"/>
        <w:ind w:left="3081"/>
      </w:pPr>
      <w:r>
        <w:rPr>
          <w:spacing w:val="-3"/>
        </w:rPr>
        <w:t>Ⅲ 被保险人永久不可逆性的体力活动能力受限，不能从事任何体力活动。</w:t>
      </w:r>
    </w:p>
    <w:p>
      <w:pPr>
        <w:pStyle w:val="BodyText"/>
        <w:spacing w:before="8"/>
      </w:pPr>
    </w:p>
    <w:p>
      <w:pPr>
        <w:spacing w:after="0"/>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58、需手术切除的</w:t>
      </w:r>
      <w:r>
        <w:rPr>
          <w:rFonts w:ascii="华文新魏" w:eastAsia="华文新魏" w:hint="eastAsia"/>
          <w:b/>
          <w:spacing w:val="-2"/>
          <w:sz w:val="21"/>
        </w:rPr>
        <w:t>嗜铬细胞瘤</w:t>
      </w:r>
    </w:p>
    <w:p>
      <w:pPr>
        <w:pStyle w:val="BodyText"/>
        <w:spacing w:line="278" w:lineRule="auto" w:before="78"/>
        <w:ind w:left="194" w:right="332"/>
      </w:pPr>
      <w:r>
        <w:rPr/>
        <w:br w:type="column"/>
      </w:r>
      <w:r>
        <w:rPr>
          <w:spacing w:val="-2"/>
        </w:rPr>
        <w:t>指发生在肾上腺或肾上腺外嗜铬组织的以分泌过多的儿茶酚胺为表现的神经内分</w:t>
      </w:r>
      <w:r>
        <w:rPr>
          <w:spacing w:val="-2"/>
        </w:rPr>
        <w:t>泌肿瘤。嗜铬细胞瘤必须明确诊断，并且满足下列所有条件：</w:t>
      </w:r>
    </w:p>
    <w:p>
      <w:pPr>
        <w:pStyle w:val="BodyText"/>
        <w:spacing w:line="269" w:lineRule="exact"/>
        <w:ind w:left="194"/>
      </w:pPr>
      <w:r>
        <w:rPr>
          <w:spacing w:val="-6"/>
        </w:rPr>
        <w:t>Ⅰ 临床有高血压症候群表现；</w:t>
      </w:r>
    </w:p>
    <w:p>
      <w:pPr>
        <w:pStyle w:val="BodyText"/>
        <w:spacing w:before="43"/>
        <w:ind w:left="194"/>
      </w:pPr>
      <w:r>
        <w:rPr>
          <w:spacing w:val="-6"/>
        </w:rPr>
        <w:t>Ⅱ 已经实施了嗜铬细胞瘤切除手术。</w:t>
      </w:r>
    </w:p>
    <w:p>
      <w:pPr>
        <w:spacing w:after="0"/>
        <w:sectPr>
          <w:type w:val="continuous"/>
          <w:pgSz w:w="11910" w:h="16840"/>
          <w:pgMar w:header="0" w:footer="655" w:top="140" w:bottom="280" w:left="560" w:right="480"/>
          <w:cols w:num="2" w:equalWidth="0">
            <w:col w:w="2847" w:space="40"/>
            <w:col w:w="7983"/>
          </w:cols>
        </w:sectPr>
      </w:pPr>
    </w:p>
    <w:p>
      <w:pPr>
        <w:pStyle w:val="BodyText"/>
        <w:spacing w:before="8"/>
      </w:pPr>
    </w:p>
    <w:p>
      <w:pPr>
        <w:spacing w:after="0"/>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59、严重肠道疾病</w:t>
      </w:r>
      <w:r>
        <w:rPr>
          <w:rFonts w:ascii="华文新魏" w:eastAsia="华文新魏" w:hint="eastAsia"/>
          <w:b/>
          <w:spacing w:val="-4"/>
          <w:sz w:val="21"/>
        </w:rPr>
        <w:t>并发症</w:t>
      </w:r>
    </w:p>
    <w:p>
      <w:pPr>
        <w:pStyle w:val="BodyText"/>
        <w:spacing w:line="278" w:lineRule="auto" w:before="78"/>
        <w:ind w:left="195" w:right="1433"/>
      </w:pPr>
      <w:r>
        <w:rPr/>
        <w:br w:type="column"/>
      </w:r>
      <w:r>
        <w:rPr>
          <w:spacing w:val="-2"/>
        </w:rPr>
        <w:t>严重肠道疾病或外伤导致小肠损害并发症，必须满足以下所有条件： </w:t>
      </w:r>
      <w:r>
        <w:rPr/>
        <w:t>Ⅰ 至少切除了三分之二小肠；</w:t>
      </w:r>
    </w:p>
    <w:p>
      <w:pPr>
        <w:pStyle w:val="BodyText"/>
        <w:spacing w:line="269" w:lineRule="exact"/>
        <w:ind w:left="195"/>
      </w:pPr>
      <w:r>
        <w:rPr>
          <w:spacing w:val="-10"/>
        </w:rPr>
        <w:t>Ⅱ 完全肠外营养支持 </w:t>
      </w:r>
      <w:r>
        <w:rPr/>
        <w:t>3</w:t>
      </w:r>
      <w:r>
        <w:rPr>
          <w:spacing w:val="-12"/>
        </w:rPr>
        <w:t> 个月以上。</w:t>
      </w:r>
    </w:p>
    <w:p>
      <w:pPr>
        <w:spacing w:after="0" w:line="269" w:lineRule="exact"/>
        <w:sectPr>
          <w:type w:val="continuous"/>
          <w:pgSz w:w="11910" w:h="16840"/>
          <w:pgMar w:header="0" w:footer="655" w:top="140" w:bottom="280" w:left="560" w:right="480"/>
          <w:cols w:num="2" w:equalWidth="0">
            <w:col w:w="2847" w:space="40"/>
            <w:col w:w="7983"/>
          </w:cols>
        </w:sectPr>
      </w:pPr>
    </w:p>
    <w:p>
      <w:pPr>
        <w:pStyle w:val="BodyText"/>
        <w:spacing w:before="8"/>
      </w:pPr>
    </w:p>
    <w:p>
      <w:pPr>
        <w:spacing w:after="0"/>
        <w:sectPr>
          <w:type w:val="continuous"/>
          <w:pgSz w:w="11910" w:h="16840"/>
          <w:pgMar w:header="0" w:footer="655" w:top="140" w:bottom="280" w:left="560" w:right="480"/>
        </w:sectPr>
      </w:pPr>
    </w:p>
    <w:p>
      <w:pPr>
        <w:spacing w:before="56"/>
        <w:ind w:left="1132" w:right="0" w:firstLine="0"/>
        <w:jc w:val="left"/>
        <w:rPr>
          <w:rFonts w:ascii="华文新魏" w:hAnsi="华文新魏" w:eastAsia="华文新魏" w:hint="eastAsia"/>
          <w:b/>
          <w:sz w:val="21"/>
        </w:rPr>
      </w:pPr>
      <w:r>
        <w:rPr>
          <w:rFonts w:ascii="华文新魏" w:hAnsi="华文新魏" w:eastAsia="华文新魏" w:hint="eastAsia"/>
          <w:b/>
          <w:spacing w:val="-2"/>
          <w:sz w:val="21"/>
        </w:rPr>
        <w:t>60、严重Ⅲ度房室</w:t>
      </w:r>
      <w:r>
        <w:rPr>
          <w:rFonts w:ascii="华文新魏" w:hAnsi="华文新魏" w:eastAsia="华文新魏" w:hint="eastAsia"/>
          <w:b/>
          <w:spacing w:val="-4"/>
          <w:sz w:val="21"/>
        </w:rPr>
        <w:t>传导阻滞</w:t>
      </w:r>
    </w:p>
    <w:p>
      <w:pPr>
        <w:pStyle w:val="BodyText"/>
        <w:spacing w:line="278" w:lineRule="auto" w:before="78"/>
        <w:ind w:left="190" w:right="322"/>
      </w:pPr>
      <w:r>
        <w:rPr/>
        <w:br w:type="column"/>
      </w:r>
      <w:r>
        <w:rPr>
          <w:spacing w:val="-9"/>
        </w:rPr>
        <w:t>指心房激动在房室交界区、房室束及其分支内发生阻滞，不能正常地传到心室的心</w:t>
      </w:r>
      <w:r>
        <w:rPr>
          <w:spacing w:val="-2"/>
        </w:rPr>
        <w:t>脏传导性疾病，须满足下列所有条件：</w:t>
      </w:r>
    </w:p>
    <w:p>
      <w:pPr>
        <w:pStyle w:val="BodyText"/>
        <w:spacing w:line="278" w:lineRule="auto"/>
        <w:ind w:left="190" w:right="2522"/>
      </w:pPr>
      <w:r>
        <w:rPr>
          <w:spacing w:val="-6"/>
        </w:rPr>
        <w:t>Ⅰ 心电图显示房室搏动彼此独立，心室率</w:t>
      </w:r>
      <w:r>
        <w:rPr/>
        <w:t>&lt;50</w:t>
      </w:r>
      <w:r>
        <w:rPr>
          <w:spacing w:val="-10"/>
        </w:rPr>
        <w:t> 次/分钟；</w:t>
      </w:r>
      <w:r>
        <w:rPr/>
        <w:t> Ⅱ 出现阿-斯综合征或心力衰竭的表现；</w:t>
      </w:r>
    </w:p>
    <w:p>
      <w:pPr>
        <w:pStyle w:val="BodyText"/>
        <w:spacing w:line="269" w:lineRule="exact"/>
        <w:ind w:left="190"/>
      </w:pPr>
      <w:r>
        <w:rPr>
          <w:spacing w:val="-8"/>
        </w:rPr>
        <w:t>Ⅲ 必须持续性依赖心脏起搏器维持心脏正常功能，且已经放置永久性心脏起搏器。</w:t>
      </w:r>
    </w:p>
    <w:p>
      <w:pPr>
        <w:spacing w:after="0" w:line="269" w:lineRule="exact"/>
        <w:sectPr>
          <w:type w:val="continuous"/>
          <w:pgSz w:w="11910" w:h="16840"/>
          <w:pgMar w:header="0" w:footer="655" w:top="140" w:bottom="280" w:left="560" w:right="480"/>
          <w:cols w:num="2" w:equalWidth="0">
            <w:col w:w="2852" w:space="40"/>
            <w:col w:w="7978"/>
          </w:cols>
        </w:sectPr>
      </w:pPr>
    </w:p>
    <w:p>
      <w:pPr>
        <w:pStyle w:val="BodyText"/>
        <w:spacing w:before="8"/>
      </w:pPr>
    </w:p>
    <w:p>
      <w:pPr>
        <w:pStyle w:val="BodyText"/>
        <w:tabs>
          <w:tab w:pos="3081" w:val="left" w:leader="none"/>
        </w:tabs>
        <w:spacing w:line="268" w:lineRule="auto" w:before="55"/>
        <w:ind w:left="3081" w:right="216" w:hanging="1949"/>
      </w:pPr>
      <w:r>
        <w:rPr>
          <w:rFonts w:ascii="华文新魏" w:eastAsia="华文新魏" w:hint="eastAsia"/>
          <w:b/>
          <w:spacing w:val="-2"/>
          <w:position w:val="2"/>
        </w:rPr>
        <w:t>61</w:t>
      </w:r>
      <w:r>
        <w:rPr>
          <w:rFonts w:ascii="华文新魏" w:eastAsia="华文新魏" w:hint="eastAsia"/>
          <w:b/>
          <w:spacing w:val="-2"/>
          <w:position w:val="2"/>
        </w:rPr>
        <w:t>、</w:t>
      </w:r>
      <w:r>
        <w:rPr>
          <w:rFonts w:ascii="华文新魏" w:eastAsia="华文新魏" w:hint="eastAsia"/>
          <w:b/>
          <w:spacing w:val="-2"/>
          <w:position w:val="2"/>
        </w:rPr>
        <w:t>重</w:t>
      </w:r>
      <w:r>
        <w:rPr>
          <w:rFonts w:ascii="华文新魏" w:eastAsia="华文新魏" w:hint="eastAsia"/>
          <w:b/>
          <w:spacing w:val="-2"/>
          <w:position w:val="2"/>
        </w:rPr>
        <w:t>症手足</w:t>
      </w:r>
      <w:r>
        <w:rPr>
          <w:rFonts w:ascii="华文新魏" w:eastAsia="华文新魏" w:hint="eastAsia"/>
          <w:b/>
          <w:spacing w:val="-2"/>
          <w:position w:val="2"/>
        </w:rPr>
        <w:t>口</w:t>
      </w:r>
      <w:r>
        <w:rPr>
          <w:rFonts w:ascii="华文新魏" w:eastAsia="华文新魏" w:hint="eastAsia"/>
          <w:b/>
          <w:spacing w:val="-2"/>
          <w:position w:val="2"/>
        </w:rPr>
        <w:t>病</w:t>
      </w:r>
      <w:r>
        <w:rPr>
          <w:rFonts w:ascii="华文新魏" w:eastAsia="华文新魏" w:hint="eastAsia"/>
          <w:b/>
          <w:position w:val="2"/>
        </w:rPr>
        <w:tab/>
      </w:r>
      <w:r>
        <w:rPr>
          <w:spacing w:val="-2"/>
        </w:rPr>
        <w:t>指</w:t>
      </w:r>
      <w:r>
        <w:rPr>
          <w:spacing w:val="-2"/>
        </w:rPr>
        <w:t>由</w:t>
      </w:r>
      <w:r>
        <w:rPr>
          <w:spacing w:val="-2"/>
        </w:rPr>
        <w:t>肠道病毒引起的急性</w:t>
      </w:r>
      <w:r>
        <w:rPr>
          <w:spacing w:val="-2"/>
        </w:rPr>
        <w:t>传</w:t>
      </w:r>
      <w:r>
        <w:rPr>
          <w:spacing w:val="-2"/>
        </w:rPr>
        <w:t>染</w:t>
      </w:r>
      <w:r>
        <w:rPr>
          <w:spacing w:val="-2"/>
        </w:rPr>
        <w:t>病，主要症状表现为</w:t>
      </w:r>
      <w:r>
        <w:rPr>
          <w:spacing w:val="-2"/>
        </w:rPr>
        <w:t>手</w:t>
      </w:r>
      <w:r>
        <w:rPr>
          <w:spacing w:val="-2"/>
        </w:rPr>
        <w:t>、</w:t>
      </w:r>
      <w:r>
        <w:rPr>
          <w:spacing w:val="-2"/>
        </w:rPr>
        <w:t>足、口腔等部位的斑丘疹</w:t>
      </w:r>
      <w:r>
        <w:rPr>
          <w:spacing w:val="-2"/>
        </w:rPr>
        <w:t>、</w:t>
      </w:r>
      <w:r>
        <w:rPr>
          <w:spacing w:val="-2"/>
        </w:rPr>
        <w:t>疱</w:t>
      </w:r>
      <w:r>
        <w:rPr>
          <w:spacing w:val="-2"/>
        </w:rPr>
        <w:t>疹</w:t>
      </w:r>
      <w:r>
        <w:rPr>
          <w:spacing w:val="-56"/>
        </w:rPr>
        <w:t>。</w:t>
      </w:r>
      <w:r>
        <w:rPr>
          <w:spacing w:val="-2"/>
        </w:rPr>
        <w:t>经我们认可的医疗</w:t>
      </w:r>
      <w:r>
        <w:rPr>
          <w:spacing w:val="-2"/>
        </w:rPr>
        <w:t>机</w:t>
      </w:r>
      <w:r>
        <w:rPr>
          <w:spacing w:val="-2"/>
        </w:rPr>
        <w:t>构</w:t>
      </w:r>
      <w:r>
        <w:rPr>
          <w:spacing w:val="-2"/>
        </w:rPr>
        <w:t>的儿科专科医生确诊</w:t>
      </w:r>
      <w:r>
        <w:rPr>
          <w:spacing w:val="-2"/>
        </w:rPr>
        <w:t>为</w:t>
      </w:r>
      <w:r>
        <w:rPr>
          <w:spacing w:val="-2"/>
        </w:rPr>
        <w:t>患</w:t>
      </w:r>
      <w:r>
        <w:rPr>
          <w:spacing w:val="-2"/>
        </w:rPr>
        <w:t>有手足口病</w:t>
      </w:r>
      <w:r>
        <w:rPr>
          <w:spacing w:val="-53"/>
        </w:rPr>
        <w:t>，</w:t>
      </w:r>
      <w:r>
        <w:rPr>
          <w:spacing w:val="-2"/>
        </w:rPr>
        <w:t>并伴有下列</w:t>
      </w:r>
      <w:r>
        <w:rPr>
          <w:spacing w:val="-2"/>
        </w:rPr>
        <w:t>三</w:t>
      </w:r>
      <w:r>
        <w:rPr>
          <w:spacing w:val="-2"/>
        </w:rPr>
        <w:t>项</w:t>
      </w:r>
      <w:r>
        <w:rPr>
          <w:spacing w:val="-2"/>
        </w:rPr>
        <w:t>中</w:t>
      </w:r>
      <w:r>
        <w:rPr>
          <w:spacing w:val="-2"/>
        </w:rPr>
        <w:t>的任意一项并发</w:t>
      </w:r>
      <w:r>
        <w:rPr>
          <w:spacing w:val="-2"/>
        </w:rPr>
        <w:t>症</w:t>
      </w:r>
      <w:r>
        <w:rPr>
          <w:spacing w:val="-2"/>
        </w:rPr>
        <w:t>：</w:t>
      </w:r>
    </w:p>
    <w:p>
      <w:pPr>
        <w:pStyle w:val="BodyText"/>
        <w:spacing w:line="278" w:lineRule="auto" w:before="6"/>
        <w:ind w:left="3081" w:right="430"/>
      </w:pPr>
      <w:r>
        <w:rPr>
          <w:spacing w:val="-5"/>
        </w:rPr>
        <w:t>Ⅰ 有脑膜炎或脑炎并发症， 且导致意识障碍或瘫痪的临床表现及实验室检查证</w:t>
      </w:r>
      <w:r>
        <w:rPr>
          <w:spacing w:val="-6"/>
        </w:rPr>
        <w:t>据；</w:t>
      </w:r>
    </w:p>
    <w:p>
      <w:pPr>
        <w:pStyle w:val="BodyText"/>
        <w:spacing w:line="269" w:lineRule="exact"/>
        <w:ind w:left="3081"/>
      </w:pPr>
      <w:r>
        <w:rPr>
          <w:spacing w:val="-3"/>
        </w:rPr>
        <w:t>Ⅱ 有肺水肿并发症，且导致呼吸衰竭的临床表现及实验室检查证据；</w:t>
      </w:r>
    </w:p>
    <w:p>
      <w:pPr>
        <w:pStyle w:val="BodyText"/>
        <w:spacing w:before="44"/>
        <w:ind w:left="3081"/>
      </w:pPr>
      <w:r>
        <w:rPr>
          <w:spacing w:val="-3"/>
        </w:rPr>
        <w:t>Ⅲ 有心肌炎并发症，且导致心脏扩大或心力衰竭的临床表现及实验室检查证据。</w:t>
      </w:r>
    </w:p>
    <w:p>
      <w:pPr>
        <w:pStyle w:val="BodyText"/>
        <w:spacing w:before="7"/>
      </w:pPr>
    </w:p>
    <w:p>
      <w:pPr>
        <w:spacing w:after="0"/>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62、严重感染性心</w:t>
      </w:r>
      <w:r>
        <w:rPr>
          <w:rFonts w:ascii="华文新魏" w:eastAsia="华文新魏" w:hint="eastAsia"/>
          <w:b/>
          <w:spacing w:val="-4"/>
          <w:sz w:val="21"/>
        </w:rPr>
        <w:t>内膜炎</w:t>
      </w:r>
    </w:p>
    <w:p>
      <w:pPr>
        <w:pStyle w:val="BodyText"/>
        <w:spacing w:line="278" w:lineRule="auto" w:before="79"/>
        <w:ind w:left="194" w:right="1983"/>
      </w:pPr>
      <w:r>
        <w:rPr/>
        <w:br w:type="column"/>
      </w:r>
      <w:r>
        <w:rPr>
          <w:spacing w:val="-2"/>
        </w:rPr>
        <w:t>指因感染性病原体造成心脏内膜发炎，并符合下列所有条件： </w:t>
      </w:r>
      <w:r>
        <w:rPr/>
        <w:t>Ⅰ 血液培养测试结果为阳性，证实存在感染病原体：</w:t>
      </w:r>
    </w:p>
    <w:p>
      <w:pPr>
        <w:pStyle w:val="ListParagraph"/>
        <w:numPr>
          <w:ilvl w:val="0"/>
          <w:numId w:val="16"/>
        </w:numPr>
        <w:tabs>
          <w:tab w:pos="827" w:val="left" w:leader="none"/>
        </w:tabs>
        <w:spacing w:line="278" w:lineRule="auto" w:before="0" w:after="0"/>
        <w:ind w:left="194" w:right="324" w:firstLine="317"/>
        <w:jc w:val="left"/>
        <w:rPr>
          <w:sz w:val="21"/>
        </w:rPr>
      </w:pPr>
      <w:r>
        <w:rPr>
          <w:spacing w:val="-13"/>
          <w:sz w:val="21"/>
        </w:rPr>
        <w:t>微生物：在赘生物、栓塞的赘生物或心脏内脓疡经培养或组织检查证实有微</w:t>
      </w:r>
      <w:r>
        <w:rPr>
          <w:spacing w:val="-4"/>
          <w:sz w:val="21"/>
        </w:rPr>
        <w:t>生物；或</w:t>
      </w:r>
    </w:p>
    <w:p>
      <w:pPr>
        <w:pStyle w:val="ListParagraph"/>
        <w:numPr>
          <w:ilvl w:val="0"/>
          <w:numId w:val="16"/>
        </w:numPr>
        <w:tabs>
          <w:tab w:pos="827" w:val="left" w:leader="none"/>
        </w:tabs>
        <w:spacing w:line="269" w:lineRule="exact" w:before="0" w:after="0"/>
        <w:ind w:left="826" w:right="0" w:hanging="315"/>
        <w:jc w:val="left"/>
        <w:rPr>
          <w:sz w:val="21"/>
        </w:rPr>
      </w:pPr>
      <w:r>
        <w:rPr>
          <w:spacing w:val="-3"/>
          <w:sz w:val="21"/>
        </w:rPr>
        <w:t>病理性病灶：组织病理学检查证实赘生物或心脏内脓疡有活动性心内膜炎；</w:t>
      </w:r>
    </w:p>
    <w:p>
      <w:pPr>
        <w:spacing w:after="0" w:line="269" w:lineRule="exact"/>
        <w:jc w:val="left"/>
        <w:rPr>
          <w:sz w:val="21"/>
        </w:rPr>
        <w:sectPr>
          <w:type w:val="continuous"/>
          <w:pgSz w:w="11910" w:h="16840"/>
          <w:pgMar w:header="0" w:footer="655" w:top="140" w:bottom="280" w:left="560" w:right="480"/>
          <w:cols w:num="2" w:equalWidth="0">
            <w:col w:w="2847" w:space="40"/>
            <w:col w:w="7983"/>
          </w:cols>
        </w:sectPr>
      </w:pPr>
    </w:p>
    <w:p>
      <w:pPr>
        <w:pStyle w:val="BodyText"/>
        <w:spacing w:before="42"/>
        <w:ind w:left="3081"/>
      </w:pPr>
      <w:r>
        <w:rPr>
          <w:w w:val="100"/>
        </w:rPr>
        <w:t>或</w:t>
      </w:r>
    </w:p>
    <w:p>
      <w:pPr>
        <w:spacing w:after="0"/>
        <w:sectPr>
          <w:type w:val="continuous"/>
          <w:pgSz w:w="11910" w:h="16840"/>
          <w:pgMar w:header="0" w:footer="655" w:top="140" w:bottom="280" w:left="560" w:right="480"/>
        </w:sectPr>
      </w:pPr>
    </w:p>
    <w:p>
      <w:pPr>
        <w:pStyle w:val="ListParagraph"/>
        <w:numPr>
          <w:ilvl w:val="0"/>
          <w:numId w:val="16"/>
        </w:numPr>
        <w:tabs>
          <w:tab w:pos="3713" w:val="left" w:leader="none"/>
        </w:tabs>
        <w:spacing w:line="240" w:lineRule="auto" w:before="58" w:after="0"/>
        <w:ind w:left="3713" w:right="0" w:hanging="315"/>
        <w:jc w:val="left"/>
        <w:rPr>
          <w:sz w:val="21"/>
        </w:rPr>
      </w:pPr>
      <w:r>
        <w:rPr>
          <w:spacing w:val="-3"/>
          <w:sz w:val="21"/>
        </w:rPr>
        <w:t>分别两次血液培养证实有典型的病原体且与心内膜炎吻合；或</w:t>
      </w:r>
    </w:p>
    <w:p>
      <w:pPr>
        <w:pStyle w:val="ListParagraph"/>
        <w:numPr>
          <w:ilvl w:val="0"/>
          <w:numId w:val="16"/>
        </w:numPr>
        <w:tabs>
          <w:tab w:pos="3713" w:val="left" w:leader="none"/>
        </w:tabs>
        <w:spacing w:line="240" w:lineRule="auto" w:before="43" w:after="0"/>
        <w:ind w:left="3713" w:right="0" w:hanging="315"/>
        <w:jc w:val="left"/>
        <w:rPr>
          <w:sz w:val="21"/>
        </w:rPr>
      </w:pPr>
      <w:r>
        <w:rPr>
          <w:spacing w:val="-3"/>
          <w:sz w:val="21"/>
        </w:rPr>
        <w:t>持续血液培养证实有病原体阳性反应，且与心内膜炎吻合。</w:t>
      </w:r>
    </w:p>
    <w:p>
      <w:pPr>
        <w:pStyle w:val="BodyText"/>
        <w:spacing w:line="278" w:lineRule="auto" w:before="43"/>
        <w:ind w:left="3081" w:right="380"/>
      </w:pPr>
      <w:r>
        <w:rPr>
          <w:spacing w:val="-6"/>
        </w:rPr>
        <w:t>Ⅱ 心内膜炎引起中度心瓣膜闭锁不全</w:t>
      </w:r>
      <w:r>
        <w:rPr/>
        <w:t>（</w:t>
      </w:r>
      <w:r>
        <w:rPr>
          <w:spacing w:val="-10"/>
        </w:rPr>
        <w:t>指返流分数 </w:t>
      </w:r>
      <w:r>
        <w:rPr/>
        <w:t>20%或以上）或中度心瓣膜狭窄（</w:t>
      </w:r>
      <w:r>
        <w:rPr>
          <w:spacing w:val="-3"/>
        </w:rPr>
        <w:t>指心瓣膜开口范围小于或等于正常的 </w:t>
      </w:r>
      <w:r>
        <w:rPr>
          <w:spacing w:val="22"/>
        </w:rPr>
        <w:t>30</w:t>
      </w:r>
      <w:r>
        <w:rPr>
          <w:spacing w:val="19"/>
        </w:rPr>
        <w:t>%</w:t>
      </w:r>
      <w:r>
        <w:rPr>
          <w:spacing w:val="-84"/>
        </w:rPr>
        <w:t>）</w:t>
      </w:r>
      <w:r>
        <w:rPr>
          <w:spacing w:val="9"/>
        </w:rPr>
        <w:t>；及</w:t>
      </w:r>
    </w:p>
    <w:p>
      <w:pPr>
        <w:pStyle w:val="BodyText"/>
        <w:spacing w:line="269" w:lineRule="exact"/>
        <w:ind w:left="3081"/>
      </w:pPr>
      <w:r>
        <w:rPr>
          <w:spacing w:val="-3"/>
        </w:rPr>
        <w:t>Ⅲ 心内膜炎及心瓣膜病损须经心脏专科医生确诊。</w:t>
      </w:r>
    </w:p>
    <w:p>
      <w:pPr>
        <w:pStyle w:val="BodyText"/>
        <w:spacing w:before="7"/>
      </w:pPr>
    </w:p>
    <w:p>
      <w:pPr>
        <w:spacing w:after="0"/>
        <w:sectPr>
          <w:pgSz w:w="11910" w:h="16840"/>
          <w:pgMar w:header="0" w:footer="655" w:top="1420" w:bottom="840" w:left="560" w:right="480"/>
        </w:sectPr>
      </w:pPr>
    </w:p>
    <w:p>
      <w:pPr>
        <w:spacing w:before="56"/>
        <w:ind w:left="1132" w:right="0" w:firstLine="0"/>
        <w:jc w:val="both"/>
        <w:rPr>
          <w:rFonts w:ascii="华文新魏" w:eastAsia="华文新魏" w:hint="eastAsia"/>
          <w:b/>
          <w:sz w:val="21"/>
        </w:rPr>
      </w:pPr>
      <w:r>
        <w:rPr>
          <w:rFonts w:ascii="华文新魏" w:eastAsia="华文新魏" w:hint="eastAsia"/>
          <w:b/>
          <w:spacing w:val="-2"/>
          <w:sz w:val="21"/>
        </w:rPr>
        <w:t>63、败血症导致的</w:t>
      </w:r>
      <w:r>
        <w:rPr>
          <w:rFonts w:ascii="华文新魏" w:eastAsia="华文新魏" w:hint="eastAsia"/>
          <w:b/>
          <w:spacing w:val="-2"/>
          <w:sz w:val="21"/>
        </w:rPr>
        <w:t>多器官功能障碍综</w:t>
      </w:r>
      <w:r>
        <w:rPr>
          <w:rFonts w:ascii="华文新魏" w:eastAsia="华文新魏" w:hint="eastAsia"/>
          <w:b/>
          <w:spacing w:val="-6"/>
          <w:sz w:val="21"/>
        </w:rPr>
        <w:t>合症</w:t>
      </w:r>
    </w:p>
    <w:p>
      <w:pPr>
        <w:pStyle w:val="BodyText"/>
        <w:spacing w:line="278" w:lineRule="auto" w:before="79"/>
        <w:ind w:left="194" w:right="216"/>
      </w:pPr>
      <w:r>
        <w:rPr/>
        <w:br w:type="column"/>
      </w:r>
      <w:r>
        <w:rPr>
          <w:spacing w:val="-2"/>
        </w:rPr>
        <w:t>指由本公司认可医院的专科医生确诊为败血症，并由血液或骨髓检查证实致病菌，</w:t>
      </w:r>
      <w:r>
        <w:rPr>
          <w:spacing w:val="-1"/>
        </w:rPr>
        <w:t>伴发一个或多个器官系统生理功能障碍，并因该疾病入住重症监护病房至少 </w:t>
      </w:r>
      <w:r>
        <w:rPr/>
        <w:t>96</w:t>
      </w:r>
      <w:r>
        <w:rPr>
          <w:spacing w:val="-11"/>
        </w:rPr>
        <w:t> 小</w:t>
      </w:r>
      <w:r>
        <w:rPr>
          <w:spacing w:val="-2"/>
        </w:rPr>
        <w:t>时，同时至少满足以下一条标准：</w:t>
      </w:r>
    </w:p>
    <w:p>
      <w:pPr>
        <w:pStyle w:val="BodyText"/>
        <w:spacing w:line="278" w:lineRule="auto"/>
        <w:ind w:left="194" w:right="3700"/>
      </w:pPr>
      <w:r>
        <w:rPr>
          <w:spacing w:val="-6"/>
        </w:rPr>
        <w:t>Ⅰ 呼吸衰竭，需要进行气管插管机械通气；</w:t>
      </w:r>
      <w:r>
        <w:rPr/>
        <w:t> Ⅱ 凝血血小板计数&lt;50x10³/微升；</w:t>
      </w:r>
    </w:p>
    <w:p>
      <w:pPr>
        <w:pStyle w:val="BodyText"/>
        <w:spacing w:line="278" w:lineRule="auto"/>
        <w:ind w:left="194" w:right="2787"/>
      </w:pPr>
      <w:r>
        <w:rPr>
          <w:spacing w:val="-4"/>
        </w:rPr>
        <w:t>Ⅲ 肝功能不全，胆红素&gt; </w:t>
      </w:r>
      <w:r>
        <w:rPr/>
        <w:t>6mg/</w:t>
      </w:r>
      <w:r>
        <w:rPr>
          <w:spacing w:val="-7"/>
        </w:rPr>
        <w:t> </w:t>
      </w:r>
      <w:r>
        <w:rPr/>
        <w:t>dl</w:t>
      </w:r>
      <w:r>
        <w:rPr>
          <w:spacing w:val="-16"/>
        </w:rPr>
        <w:t> 或&gt; </w:t>
      </w:r>
      <w:r>
        <w:rPr/>
        <w:t>102μmol/L； Ⅳ 已经使用强心剂；</w:t>
      </w:r>
    </w:p>
    <w:p>
      <w:pPr>
        <w:pStyle w:val="BodyText"/>
        <w:ind w:left="194"/>
      </w:pPr>
      <w:r>
        <w:rPr>
          <w:spacing w:val="-4"/>
        </w:rPr>
        <w:t>Ⅴ 昏迷：格拉斯哥昏迷评分</w:t>
      </w:r>
      <w:r>
        <w:rPr/>
        <w:t>（GCS）</w:t>
      </w:r>
      <w:r>
        <w:rPr>
          <w:spacing w:val="-4"/>
        </w:rPr>
        <w:t>&lt;= </w:t>
      </w:r>
      <w:r>
        <w:rPr>
          <w:spacing w:val="-5"/>
        </w:rPr>
        <w:t>9；</w:t>
      </w:r>
    </w:p>
    <w:p>
      <w:pPr>
        <w:pStyle w:val="BodyText"/>
        <w:spacing w:before="43"/>
        <w:ind w:left="194"/>
      </w:pPr>
      <w:r>
        <w:rPr>
          <w:spacing w:val="-4"/>
        </w:rPr>
        <w:t>Ⅵ 肾功能衰竭，血清肌酐</w:t>
      </w:r>
      <w:r>
        <w:rPr/>
        <w:t>&gt;300μmol/</w:t>
      </w:r>
      <w:r>
        <w:rPr>
          <w:spacing w:val="-8"/>
        </w:rPr>
        <w:t> </w:t>
      </w:r>
      <w:r>
        <w:rPr/>
        <w:t>L</w:t>
      </w:r>
      <w:r>
        <w:rPr>
          <w:spacing w:val="-28"/>
        </w:rPr>
        <w:t> 或</w:t>
      </w:r>
      <w:r>
        <w:rPr/>
        <w:t>&gt;3.5mg</w:t>
      </w:r>
      <w:r>
        <w:rPr>
          <w:spacing w:val="-5"/>
        </w:rPr>
        <w:t> / </w:t>
      </w:r>
      <w:r>
        <w:rPr/>
        <w:t>dl</w:t>
      </w:r>
      <w:r>
        <w:rPr>
          <w:spacing w:val="-14"/>
        </w:rPr>
        <w:t> 或尿量</w:t>
      </w:r>
      <w:r>
        <w:rPr>
          <w:spacing w:val="-2"/>
        </w:rPr>
        <w:t>&lt;500ml/d；</w:t>
      </w:r>
    </w:p>
    <w:p>
      <w:pPr>
        <w:spacing w:before="43"/>
        <w:ind w:left="194" w:right="0" w:firstLine="0"/>
        <w:jc w:val="left"/>
        <w:rPr>
          <w:rFonts w:ascii="黑体" w:eastAsia="黑体" w:hint="eastAsia"/>
          <w:b/>
          <w:sz w:val="21"/>
        </w:rPr>
      </w:pPr>
      <w:r>
        <w:rPr>
          <w:rFonts w:ascii="黑体" w:eastAsia="黑体" w:hint="eastAsia"/>
          <w:b/>
          <w:spacing w:val="-3"/>
          <w:sz w:val="21"/>
        </w:rPr>
        <w:t>非败血症引起的多器官功能障碍综合征不在保障范围内。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both"/>
        <w:rPr>
          <w:rFonts w:ascii="华文新魏" w:eastAsia="华文新魏" w:hint="eastAsia"/>
          <w:b/>
          <w:sz w:val="21"/>
        </w:rPr>
      </w:pPr>
      <w:r>
        <w:rPr>
          <w:rFonts w:ascii="华文新魏" w:eastAsia="华文新魏" w:hint="eastAsia"/>
          <w:b/>
          <w:spacing w:val="-2"/>
          <w:sz w:val="21"/>
        </w:rPr>
        <w:t>64、因器官移植导</w:t>
      </w:r>
      <w:r>
        <w:rPr>
          <w:rFonts w:ascii="华文新魏" w:eastAsia="华文新魏" w:hint="eastAsia"/>
          <w:b/>
          <w:spacing w:val="-2"/>
          <w:sz w:val="21"/>
        </w:rPr>
        <w:t>致的艾滋病病毒感</w:t>
      </w:r>
      <w:r>
        <w:rPr>
          <w:rFonts w:ascii="华文新魏" w:eastAsia="华文新魏" w:hint="eastAsia"/>
          <w:b/>
          <w:spacing w:val="-10"/>
          <w:sz w:val="21"/>
        </w:rPr>
        <w:t>染</w:t>
      </w:r>
    </w:p>
    <w:p>
      <w:pPr>
        <w:pStyle w:val="BodyText"/>
        <w:spacing w:line="278" w:lineRule="auto" w:before="78"/>
        <w:ind w:left="194" w:right="216"/>
      </w:pPr>
      <w:r>
        <w:rPr/>
        <w:br w:type="column"/>
      </w:r>
      <w:r>
        <w:rPr>
          <w:spacing w:val="-5"/>
        </w:rPr>
        <w:t>被保险人因接受器官移植感染上人类免疫缺陷病毒</w:t>
      </w:r>
      <w:r>
        <w:rPr>
          <w:spacing w:val="-2"/>
        </w:rPr>
        <w:t>（HIV）并且满足下列全部条件： </w:t>
      </w:r>
      <w:r>
        <w:rPr/>
        <w:t>Ⅰ 在保障起始日或复效日之后，被保险人接受器官移植，并因此感染人类免疫缺</w:t>
      </w:r>
      <w:r>
        <w:rPr>
          <w:spacing w:val="-4"/>
        </w:rPr>
        <w:t>陷病毒</w:t>
      </w:r>
      <w:r>
        <w:rPr>
          <w:spacing w:val="32"/>
        </w:rPr>
        <w:t>（H</w:t>
      </w:r>
      <w:r>
        <w:rPr>
          <w:spacing w:val="29"/>
        </w:rPr>
        <w:t>I</w:t>
      </w:r>
      <w:r>
        <w:rPr>
          <w:spacing w:val="31"/>
        </w:rPr>
        <w:t>V</w:t>
      </w:r>
      <w:r>
        <w:rPr>
          <w:spacing w:val="-74"/>
        </w:rPr>
        <w:t>）；</w:t>
      </w:r>
    </w:p>
    <w:p>
      <w:pPr>
        <w:pStyle w:val="BodyText"/>
        <w:spacing w:line="278" w:lineRule="auto"/>
        <w:ind w:left="194" w:right="322"/>
      </w:pPr>
      <w:r>
        <w:rPr>
          <w:spacing w:val="-6"/>
        </w:rPr>
        <w:t>Ⅱ 提供器官移植治疗的器官移植中心或本公司认可医院出具该项器官移植感染，</w:t>
      </w:r>
      <w:r>
        <w:rPr>
          <w:spacing w:val="-2"/>
        </w:rPr>
        <w:t>属于医疗责任事故的报告，或者法院终审裁定为医疗责任并且不准上诉；</w:t>
      </w:r>
    </w:p>
    <w:p>
      <w:pPr>
        <w:spacing w:line="278" w:lineRule="auto" w:before="0"/>
        <w:ind w:left="194" w:right="322" w:firstLine="0"/>
        <w:jc w:val="both"/>
        <w:rPr>
          <w:rFonts w:ascii="黑体" w:hAnsi="黑体" w:eastAsia="黑体" w:hint="eastAsia"/>
          <w:b/>
          <w:sz w:val="21"/>
        </w:rPr>
      </w:pPr>
      <w:r>
        <w:rPr>
          <w:spacing w:val="-6"/>
          <w:sz w:val="21"/>
        </w:rPr>
        <w:t>Ⅲ 提供器官移植治疗的器官移植中心或本公司认可医院必须拥有合法经营执照。</w:t>
      </w:r>
      <w:r>
        <w:rPr>
          <w:rFonts w:ascii="黑体" w:hAnsi="黑体" w:eastAsia="黑体" w:hint="eastAsia"/>
          <w:b/>
          <w:spacing w:val="-2"/>
          <w:sz w:val="21"/>
        </w:rPr>
        <w:t>在任何治愈艾滋病（AIDS）或阻止人类免疫缺陷病毒（HIV）作用的疗法被发现以</w:t>
      </w:r>
      <w:r>
        <w:rPr>
          <w:rFonts w:ascii="黑体" w:hAnsi="黑体" w:eastAsia="黑体" w:hint="eastAsia"/>
          <w:b/>
          <w:spacing w:val="-2"/>
          <w:sz w:val="21"/>
        </w:rPr>
        <w:t>后，或能防止艾滋病（AIDS）发生的医疗方法被研究出来以后，本保障将不再予</w:t>
      </w:r>
      <w:r>
        <w:rPr>
          <w:rFonts w:ascii="黑体" w:hAnsi="黑体" w:eastAsia="黑体" w:hint="eastAsia"/>
          <w:b/>
          <w:spacing w:val="-4"/>
          <w:sz w:val="21"/>
        </w:rPr>
        <w:t>以赔付。</w:t>
      </w:r>
    </w:p>
    <w:p>
      <w:pPr>
        <w:spacing w:line="278" w:lineRule="auto" w:before="0"/>
        <w:ind w:left="194" w:right="327" w:firstLine="0"/>
        <w:jc w:val="both"/>
        <w:rPr>
          <w:rFonts w:ascii="黑体" w:eastAsia="黑体" w:hint="eastAsia"/>
          <w:b/>
          <w:sz w:val="21"/>
        </w:rPr>
      </w:pPr>
      <w:r>
        <w:rPr>
          <w:rFonts w:ascii="黑体" w:eastAsia="黑体" w:hint="eastAsia"/>
          <w:b/>
          <w:sz w:val="21"/>
        </w:rPr>
        <w:t>任何因其他传播方式（包括：性传播或静脉注射毒品）</w:t>
      </w:r>
      <w:r>
        <w:rPr>
          <w:rFonts w:ascii="黑体" w:eastAsia="黑体" w:hint="eastAsia"/>
          <w:b/>
          <w:spacing w:val="-7"/>
          <w:sz w:val="21"/>
        </w:rPr>
        <w:t>导致的 </w:t>
      </w:r>
      <w:r>
        <w:rPr>
          <w:rFonts w:ascii="黑体" w:eastAsia="黑体" w:hint="eastAsia"/>
          <w:b/>
          <w:sz w:val="21"/>
        </w:rPr>
        <w:t>HIV</w:t>
      </w:r>
      <w:r>
        <w:rPr>
          <w:rFonts w:ascii="黑体" w:eastAsia="黑体" w:hint="eastAsia"/>
          <w:b/>
          <w:spacing w:val="-5"/>
          <w:sz w:val="21"/>
        </w:rPr>
        <w:t> 感染不在本保</w:t>
      </w:r>
      <w:r>
        <w:rPr>
          <w:rFonts w:ascii="黑体" w:eastAsia="黑体" w:hint="eastAsia"/>
          <w:b/>
          <w:spacing w:val="-2"/>
          <w:sz w:val="21"/>
        </w:rPr>
        <w:t>障范围内。</w:t>
      </w:r>
    </w:p>
    <w:p>
      <w:pPr>
        <w:spacing w:line="269" w:lineRule="exact" w:before="0"/>
        <w:ind w:left="194"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本合同责任免除条款第一节第六项不适用于此病种。</w:t>
      </w:r>
      <w:r>
        <w:rPr>
          <w:rFonts w:ascii="黑体" w:eastAsia="黑体" w:hint="eastAsia"/>
          <w:b/>
          <w:spacing w:val="-10"/>
          <w:sz w:val="21"/>
        </w:rPr>
        <w:t>）</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65、严重肺淋巴管</w:t>
      </w:r>
      <w:r>
        <w:rPr>
          <w:rFonts w:ascii="华文新魏" w:eastAsia="华文新魏" w:hint="eastAsia"/>
          <w:b/>
          <w:spacing w:val="-4"/>
          <w:sz w:val="21"/>
        </w:rPr>
        <w:t>肌瘤病</w:t>
      </w:r>
    </w:p>
    <w:p>
      <w:pPr>
        <w:pStyle w:val="BodyText"/>
        <w:spacing w:line="278" w:lineRule="auto" w:before="79"/>
        <w:ind w:left="194" w:right="322"/>
      </w:pPr>
      <w:r>
        <w:rPr/>
        <w:br w:type="column"/>
      </w:r>
      <w:r>
        <w:rPr>
          <w:spacing w:val="-4"/>
        </w:rPr>
        <w:t>肺淋巴管肌瘤病是一种弥漫性肺部疾病，主要病理改变为肺间质、支气管、血管和</w:t>
      </w:r>
      <w:r>
        <w:rPr>
          <w:spacing w:val="-2"/>
        </w:rPr>
        <w:t>淋巴管内出现未成熟的平滑肌异常增生，同时需满足下列全部条件：</w:t>
      </w:r>
    </w:p>
    <w:p>
      <w:pPr>
        <w:pStyle w:val="BodyText"/>
        <w:spacing w:line="269" w:lineRule="exact"/>
        <w:ind w:left="194"/>
      </w:pPr>
      <w:r>
        <w:rPr>
          <w:spacing w:val="-5"/>
        </w:rPr>
        <w:t>Ⅰ 经组织病理学诊断；</w:t>
      </w:r>
    </w:p>
    <w:p>
      <w:pPr>
        <w:pStyle w:val="BodyText"/>
        <w:spacing w:before="43"/>
        <w:ind w:left="194"/>
      </w:pPr>
      <w:r>
        <w:rPr>
          <w:spacing w:val="-8"/>
        </w:rPr>
        <w:t>Ⅱ </w:t>
      </w:r>
      <w:r>
        <w:rPr/>
        <w:t>CT</w:t>
      </w:r>
      <w:r>
        <w:rPr>
          <w:spacing w:val="-9"/>
        </w:rPr>
        <w:t> 显示双肺弥漫性囊性改变；</w:t>
      </w:r>
    </w:p>
    <w:p>
      <w:pPr>
        <w:pStyle w:val="BodyText"/>
        <w:spacing w:line="278" w:lineRule="auto" w:before="43"/>
        <w:ind w:left="194" w:right="322"/>
      </w:pPr>
      <w:r>
        <w:rPr>
          <w:spacing w:val="-6"/>
        </w:rPr>
        <w:t>Ⅲ 休息时出现呼吸困难或并经本公司认可医院的专科医生认可有必要进行肺移植</w:t>
      </w:r>
      <w:r>
        <w:rPr>
          <w:spacing w:val="-4"/>
        </w:rPr>
        <w:t>手术。</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66、严重原发性骨</w:t>
      </w:r>
      <w:r>
        <w:rPr>
          <w:rFonts w:ascii="华文新魏" w:eastAsia="华文新魏" w:hint="eastAsia"/>
          <w:b/>
          <w:spacing w:val="-4"/>
          <w:sz w:val="21"/>
        </w:rPr>
        <w:t>髓纤维化</w:t>
      </w:r>
    </w:p>
    <w:p>
      <w:pPr>
        <w:pStyle w:val="BodyText"/>
        <w:spacing w:line="278" w:lineRule="auto" w:before="78"/>
        <w:ind w:left="194" w:right="322"/>
        <w:jc w:val="both"/>
      </w:pPr>
      <w:r>
        <w:rPr/>
        <w:br w:type="column"/>
      </w:r>
      <w:r>
        <w:rPr>
          <w:spacing w:val="-7"/>
        </w:rPr>
        <w:t>原发性骨髓纤维化为原因不明的骨髓中成纤维细胞增殖，伴有髓外造血，表现为进</w:t>
      </w:r>
      <w:r>
        <w:rPr>
          <w:spacing w:val="-14"/>
        </w:rPr>
        <w:t>行性贫血、脾肿大等症状。本疾病须根据骨髓的活组织检查和周围血象检查由我们</w:t>
      </w:r>
      <w:r>
        <w:rPr>
          <w:spacing w:val="-7"/>
        </w:rPr>
        <w:t>认可的医院血液科专科医生明确诊断，并至少符合下列条件中的三项，且符合条件</w:t>
      </w:r>
      <w:r>
        <w:rPr>
          <w:spacing w:val="-4"/>
        </w:rPr>
        <w:t>的状态持续 </w:t>
      </w:r>
      <w:r>
        <w:rPr/>
        <w:t>180</w:t>
      </w:r>
      <w:r>
        <w:rPr>
          <w:spacing w:val="-5"/>
        </w:rPr>
        <w:t> 天及以上，并已经实际实施了针对此症的治疗：</w:t>
      </w:r>
    </w:p>
    <w:p>
      <w:pPr>
        <w:pStyle w:val="BodyText"/>
        <w:spacing w:line="269" w:lineRule="exact"/>
        <w:ind w:left="194"/>
        <w:jc w:val="both"/>
      </w:pPr>
      <w:r>
        <w:rPr>
          <w:spacing w:val="-2"/>
        </w:rPr>
        <w:t>Ⅰ 血红蛋白&lt;100g/L；</w:t>
      </w:r>
    </w:p>
    <w:p>
      <w:pPr>
        <w:pStyle w:val="BodyText"/>
        <w:spacing w:line="273" w:lineRule="auto" w:before="33"/>
        <w:ind w:left="194" w:right="5207"/>
        <w:jc w:val="both"/>
      </w:pPr>
      <w:r>
        <w:rPr/>
        <w:t>Ⅱ 白细胞计数&gt;25*10</w:t>
      </w:r>
      <w:r>
        <w:rPr>
          <w:position w:val="11"/>
          <w:sz w:val="11"/>
        </w:rPr>
        <w:t>9</w:t>
      </w:r>
      <w:r>
        <w:rPr/>
        <w:t>/L； Ⅲ 外周血原始细胞≥ 1%； </w:t>
      </w:r>
      <w:r>
        <w:rPr>
          <w:spacing w:val="-5"/>
        </w:rPr>
        <w:t>Ⅳ 血小板计数&lt;</w:t>
      </w:r>
      <w:r>
        <w:rPr/>
        <w:t>100*10</w:t>
      </w:r>
      <w:r>
        <w:rPr>
          <w:position w:val="11"/>
          <w:sz w:val="11"/>
        </w:rPr>
        <w:t>9</w:t>
      </w:r>
      <w:r>
        <w:rPr/>
        <w:t>/L</w:t>
      </w:r>
      <w:r>
        <w:rPr>
          <w:spacing w:val="-10"/>
        </w:rPr>
        <w:t>。</w:t>
      </w:r>
    </w:p>
    <w:p>
      <w:pPr>
        <w:spacing w:after="0" w:line="273" w:lineRule="auto"/>
        <w:jc w:val="both"/>
        <w:sectPr>
          <w:type w:val="continuous"/>
          <w:pgSz w:w="11910" w:h="16840"/>
          <w:pgMar w:header="0" w:footer="655" w:top="140" w:bottom="280" w:left="560" w:right="480"/>
          <w:cols w:num="2" w:equalWidth="0">
            <w:col w:w="2847" w:space="40"/>
            <w:col w:w="7983"/>
          </w:cols>
        </w:sectPr>
      </w:pPr>
    </w:p>
    <w:p>
      <w:pPr>
        <w:spacing w:before="58"/>
        <w:ind w:left="3081" w:right="0" w:firstLine="0"/>
        <w:jc w:val="left"/>
        <w:rPr>
          <w:rFonts w:ascii="黑体" w:eastAsia="黑体" w:hint="eastAsia"/>
          <w:b/>
          <w:sz w:val="21"/>
        </w:rPr>
      </w:pPr>
      <w:r>
        <w:rPr>
          <w:rFonts w:ascii="黑体" w:eastAsia="黑体" w:hint="eastAsia"/>
          <w:b/>
          <w:spacing w:val="-3"/>
          <w:sz w:val="21"/>
        </w:rPr>
        <w:t>任何其它病因导致的继发性骨髓纤维化不在保障范围内。</w:t>
      </w:r>
    </w:p>
    <w:p>
      <w:pPr>
        <w:pStyle w:val="BodyText"/>
        <w:spacing w:before="8"/>
        <w:rPr>
          <w:rFonts w:ascii="黑体"/>
          <w:b/>
        </w:rPr>
      </w:pPr>
    </w:p>
    <w:p>
      <w:pPr>
        <w:spacing w:after="0"/>
        <w:rPr>
          <w:rFonts w:ascii="黑体"/>
        </w:rPr>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67、严重骨髓增生</w:t>
      </w:r>
      <w:r>
        <w:rPr>
          <w:rFonts w:ascii="华文新魏" w:eastAsia="华文新魏" w:hint="eastAsia"/>
          <w:b/>
          <w:spacing w:val="-2"/>
          <w:sz w:val="21"/>
        </w:rPr>
        <w:t>异常综合征</w:t>
      </w:r>
    </w:p>
    <w:p>
      <w:pPr>
        <w:pStyle w:val="BodyText"/>
        <w:spacing w:line="278" w:lineRule="auto" w:before="78"/>
        <w:ind w:left="194" w:right="322"/>
        <w:jc w:val="both"/>
      </w:pPr>
      <w:r>
        <w:rPr/>
        <w:br w:type="column"/>
      </w:r>
      <w:r>
        <w:rPr>
          <w:spacing w:val="-2"/>
        </w:rPr>
        <w:t>严重骨髓增生异常综合征(myelodysplastic</w:t>
      </w:r>
      <w:r>
        <w:rPr>
          <w:spacing w:val="-25"/>
        </w:rPr>
        <w:t> </w:t>
      </w:r>
      <w:r>
        <w:rPr>
          <w:spacing w:val="-2"/>
        </w:rPr>
        <w:t>syndromes，MDS)是起源于造血干细胞</w:t>
      </w:r>
      <w:r>
        <w:rPr>
          <w:spacing w:val="-4"/>
        </w:rPr>
        <w:t>的一组异质性髓系克隆性疾病，特点是髓系细胞发育异常，表现为无效造血、难治</w:t>
      </w:r>
      <w:r>
        <w:rPr>
          <w:spacing w:val="-13"/>
        </w:rPr>
        <w:t>性血细胞减少，本保单所指的严重的骨髓异常增生综合征需由我们认可医院的骨髓</w:t>
      </w:r>
      <w:r>
        <w:rPr>
          <w:spacing w:val="-2"/>
        </w:rPr>
        <w:t>检查支持诊断，并由血液科专科医生确诊；同时须满足下列条件之一：</w:t>
      </w:r>
    </w:p>
    <w:p>
      <w:pPr>
        <w:pStyle w:val="BodyText"/>
        <w:spacing w:line="269" w:lineRule="exact"/>
        <w:ind w:left="194"/>
        <w:jc w:val="both"/>
      </w:pPr>
      <w:r>
        <w:rPr>
          <w:spacing w:val="-3"/>
        </w:rPr>
        <w:t>Ⅰ 已接受至少累计三十日的化疗或已接受骨髓移植治疗。</w:t>
      </w:r>
    </w:p>
    <w:p>
      <w:pPr>
        <w:pStyle w:val="BodyText"/>
        <w:spacing w:line="278" w:lineRule="auto" w:before="43"/>
        <w:ind w:left="194" w:right="322"/>
        <w:jc w:val="both"/>
      </w:pPr>
      <w:r>
        <w:rPr>
          <w:spacing w:val="-7"/>
        </w:rPr>
        <w:t>Ⅱ 根据“骨髓增生异常综合征修订国际预后积分系统</w:t>
      </w:r>
      <w:r>
        <w:rPr>
          <w:spacing w:val="-2"/>
        </w:rPr>
        <w:t>（IPSS-</w:t>
      </w:r>
      <w:r>
        <w:rPr>
          <w:spacing w:val="32"/>
        </w:rPr>
        <w:t>R</w:t>
      </w:r>
      <w:r>
        <w:rPr>
          <w:spacing w:val="-71"/>
        </w:rPr>
        <w:t>）</w:t>
      </w:r>
      <w:r>
        <w:rPr>
          <w:spacing w:val="6"/>
        </w:rPr>
        <w:t>”积分≥</w:t>
      </w:r>
      <w:r>
        <w:rPr>
          <w:spacing w:val="-2"/>
        </w:rPr>
        <w:t>3，属于</w:t>
      </w:r>
      <w:r>
        <w:rPr>
          <w:spacing w:val="-2"/>
        </w:rPr>
        <w:t>中危及以上组。</w:t>
      </w:r>
    </w:p>
    <w:p>
      <w:pPr>
        <w:pStyle w:val="BodyText"/>
        <w:spacing w:line="269" w:lineRule="exact"/>
        <w:ind w:left="194"/>
      </w:pPr>
      <w:r>
        <w:rPr>
          <w:spacing w:val="-3"/>
        </w:rPr>
        <w:t>化疗日数的计算以被保险人实际服用、注射化疗药物的天数为准。</w:t>
      </w:r>
    </w:p>
    <w:p>
      <w:pPr>
        <w:spacing w:before="43"/>
        <w:ind w:left="194" w:right="0" w:firstLine="0"/>
        <w:jc w:val="left"/>
        <w:rPr>
          <w:rFonts w:ascii="黑体" w:eastAsia="黑体" w:hint="eastAsia"/>
          <w:b/>
          <w:sz w:val="21"/>
        </w:rPr>
      </w:pPr>
      <w:r>
        <w:rPr>
          <w:rFonts w:ascii="黑体" w:eastAsia="黑体" w:hint="eastAsia"/>
          <w:b/>
          <w:spacing w:val="-3"/>
          <w:sz w:val="21"/>
        </w:rPr>
        <w:t>疑似病例不在保障范围之内。</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68、埃博拉病毒感</w:t>
      </w:r>
      <w:r>
        <w:rPr>
          <w:rFonts w:ascii="华文新魏" w:eastAsia="华文新魏" w:hint="eastAsia"/>
          <w:b/>
          <w:spacing w:val="-10"/>
          <w:sz w:val="21"/>
        </w:rPr>
        <w:t>染</w:t>
      </w:r>
    </w:p>
    <w:p>
      <w:pPr>
        <w:pStyle w:val="BodyText"/>
        <w:spacing w:line="278" w:lineRule="auto" w:before="79"/>
        <w:ind w:left="194" w:right="322"/>
      </w:pPr>
      <w:r>
        <w:rPr/>
        <w:br w:type="column"/>
      </w:r>
      <w:r>
        <w:rPr>
          <w:spacing w:val="-6"/>
        </w:rPr>
        <w:t>埃博拉病毒感染指埃博拉病毒感染导致的急性出血性传染病。必须满足下列全部条</w:t>
      </w:r>
      <w:r>
        <w:rPr>
          <w:spacing w:val="-6"/>
        </w:rPr>
        <w:t>件：</w:t>
      </w:r>
    </w:p>
    <w:p>
      <w:pPr>
        <w:pStyle w:val="BodyText"/>
        <w:spacing w:line="278" w:lineRule="auto"/>
        <w:ind w:left="194" w:right="322"/>
      </w:pPr>
      <w:r>
        <w:rPr>
          <w:spacing w:val="-6"/>
        </w:rPr>
        <w:t>Ⅰ 有实验室检查证据证实存在埃博拉病毒感染，经国家认可的有合法资质的传染</w:t>
      </w:r>
      <w:r>
        <w:rPr>
          <w:spacing w:val="-2"/>
        </w:rPr>
        <w:t>病专家确诊、并上报国家疾病控制中心接受了隔离和治疗；</w:t>
      </w:r>
    </w:p>
    <w:p>
      <w:pPr>
        <w:pStyle w:val="BodyText"/>
        <w:spacing w:line="278" w:lineRule="auto"/>
        <w:ind w:left="194" w:right="4945"/>
      </w:pPr>
      <w:r>
        <w:rPr>
          <w:spacing w:val="-6"/>
        </w:rPr>
        <w:t>Ⅱ 存在广泛出血的临床表现；</w:t>
      </w:r>
      <w:r>
        <w:rPr/>
        <w:t> </w:t>
      </w:r>
      <w:r>
        <w:rPr>
          <w:spacing w:val="-2"/>
        </w:rPr>
        <w:t>Ⅲ 病程持续 </w:t>
      </w:r>
      <w:r>
        <w:rPr/>
        <w:t>30</w:t>
      </w:r>
      <w:r>
        <w:rPr>
          <w:spacing w:val="-4"/>
        </w:rPr>
        <w:t> 天以上。</w:t>
      </w:r>
    </w:p>
    <w:p>
      <w:pPr>
        <w:spacing w:line="278" w:lineRule="auto" w:before="0"/>
        <w:ind w:left="194" w:right="405" w:firstLine="0"/>
        <w:jc w:val="left"/>
        <w:rPr>
          <w:rFonts w:ascii="黑体" w:eastAsia="黑体" w:hint="eastAsia"/>
          <w:b/>
          <w:sz w:val="21"/>
        </w:rPr>
      </w:pPr>
      <w:r>
        <w:rPr>
          <w:rFonts w:ascii="黑体" w:eastAsia="黑体" w:hint="eastAsia"/>
          <w:b/>
          <w:spacing w:val="-2"/>
          <w:sz w:val="21"/>
        </w:rPr>
        <w:t>单纯实验室诊断但没有临床出血表现的或者在确诊之前已经死亡的不在保障范围</w:t>
      </w:r>
      <w:r>
        <w:rPr>
          <w:rFonts w:ascii="黑体" w:eastAsia="黑体" w:hint="eastAsia"/>
          <w:b/>
          <w:spacing w:val="-6"/>
          <w:sz w:val="21"/>
        </w:rPr>
        <w:t>内。</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2"/>
        <w:rPr>
          <w:rFonts w:ascii="黑体"/>
          <w:b/>
          <w:sz w:val="18"/>
        </w:rPr>
      </w:pPr>
    </w:p>
    <w:p>
      <w:pPr>
        <w:pStyle w:val="BodyText"/>
        <w:tabs>
          <w:tab w:pos="3081" w:val="left" w:leader="none"/>
        </w:tabs>
        <w:spacing w:line="268" w:lineRule="auto" w:before="55"/>
        <w:ind w:left="3081" w:right="217" w:hanging="1949"/>
      </w:pPr>
      <w:r>
        <w:rPr>
          <w:rFonts w:ascii="华文新魏" w:hAnsi="华文新魏" w:eastAsia="华文新魏" w:hint="eastAsia"/>
          <w:b/>
          <w:spacing w:val="-2"/>
          <w:position w:val="2"/>
        </w:rPr>
        <w:t>69</w:t>
      </w:r>
      <w:r>
        <w:rPr>
          <w:rFonts w:ascii="华文新魏" w:hAnsi="华文新魏" w:eastAsia="华文新魏" w:hint="eastAsia"/>
          <w:b/>
          <w:spacing w:val="-2"/>
          <w:position w:val="2"/>
        </w:rPr>
        <w:t>、</w:t>
      </w:r>
      <w:r>
        <w:rPr>
          <w:rFonts w:ascii="华文新魏" w:hAnsi="华文新魏" w:eastAsia="华文新魏" w:hint="eastAsia"/>
          <w:b/>
          <w:spacing w:val="-2"/>
          <w:position w:val="2"/>
        </w:rPr>
        <w:t>严</w:t>
      </w:r>
      <w:r>
        <w:rPr>
          <w:rFonts w:ascii="华文新魏" w:hAnsi="华文新魏" w:eastAsia="华文新魏" w:hint="eastAsia"/>
          <w:b/>
          <w:spacing w:val="-2"/>
          <w:position w:val="2"/>
        </w:rPr>
        <w:t>重面部</w:t>
      </w:r>
      <w:r>
        <w:rPr>
          <w:rFonts w:ascii="华文新魏" w:hAnsi="华文新魏" w:eastAsia="华文新魏" w:hint="eastAsia"/>
          <w:b/>
          <w:spacing w:val="-2"/>
          <w:position w:val="2"/>
        </w:rPr>
        <w:t>烧</w:t>
      </w:r>
      <w:r>
        <w:rPr>
          <w:rFonts w:ascii="华文新魏" w:hAnsi="华文新魏" w:eastAsia="华文新魏" w:hint="eastAsia"/>
          <w:b/>
          <w:spacing w:val="-2"/>
          <w:position w:val="2"/>
        </w:rPr>
        <w:t>伤</w:t>
      </w:r>
      <w:r>
        <w:rPr>
          <w:rFonts w:ascii="华文新魏" w:hAnsi="华文新魏" w:eastAsia="华文新魏" w:hint="eastAsia"/>
          <w:b/>
          <w:position w:val="2"/>
        </w:rPr>
        <w:tab/>
      </w:r>
      <w:r>
        <w:rPr/>
        <w:t>指面部烧伤程度为Ⅲ度，</w:t>
      </w:r>
      <w:r>
        <w:rPr/>
        <w:t>且Ⅲ度烧伤的面积达到面</w:t>
      </w:r>
      <w:r>
        <w:rPr/>
        <w:t>部表面</w:t>
      </w:r>
      <w:r>
        <w:rPr/>
        <w:t>积</w:t>
      </w:r>
      <w:r>
        <w:rPr/>
        <w:t>的</w:t>
      </w:r>
      <w:r>
        <w:rPr>
          <w:spacing w:val="-20"/>
        </w:rPr>
        <w:t> </w:t>
      </w:r>
      <w:r>
        <w:rPr/>
        <w:t>80%或</w:t>
      </w:r>
      <w:r>
        <w:rPr>
          <w:spacing w:val="-21"/>
        </w:rPr>
        <w:t> </w:t>
      </w:r>
      <w:r>
        <w:rPr/>
        <w:t>80%</w:t>
      </w:r>
      <w:r>
        <w:rPr/>
        <w:t>以</w:t>
      </w:r>
      <w:r>
        <w:rPr/>
        <w:t>上</w:t>
      </w:r>
      <w:r>
        <w:rPr/>
        <w:t>。面</w:t>
      </w:r>
      <w:r>
        <w:rPr>
          <w:spacing w:val="-2"/>
        </w:rPr>
        <w:t>部</w:t>
      </w:r>
      <w:r>
        <w:rPr>
          <w:spacing w:val="-2"/>
        </w:rPr>
        <w:t>的</w:t>
      </w:r>
      <w:r>
        <w:rPr>
          <w:spacing w:val="-2"/>
        </w:rPr>
        <w:t>范围指上至发际、下</w:t>
      </w:r>
      <w:r>
        <w:rPr>
          <w:spacing w:val="-2"/>
        </w:rPr>
        <w:t>至</w:t>
      </w:r>
      <w:r>
        <w:rPr>
          <w:spacing w:val="-2"/>
        </w:rPr>
        <w:t>下</w:t>
      </w:r>
      <w:r>
        <w:rPr>
          <w:spacing w:val="-2"/>
        </w:rPr>
        <w:t>颌下缘、两侧至下颌</w:t>
      </w:r>
      <w:r>
        <w:rPr>
          <w:spacing w:val="-2"/>
        </w:rPr>
        <w:t>支</w:t>
      </w:r>
      <w:r>
        <w:rPr>
          <w:spacing w:val="-2"/>
        </w:rPr>
        <w:t>后</w:t>
      </w:r>
      <w:r>
        <w:rPr>
          <w:spacing w:val="-2"/>
        </w:rPr>
        <w:t>缘之间的区域，包括额部</w:t>
      </w:r>
      <w:r>
        <w:rPr>
          <w:spacing w:val="-2"/>
        </w:rPr>
        <w:t>、</w:t>
      </w:r>
      <w:r>
        <w:rPr>
          <w:spacing w:val="-2"/>
        </w:rPr>
        <w:t>眼</w:t>
      </w:r>
      <w:r>
        <w:rPr>
          <w:spacing w:val="-2"/>
        </w:rPr>
        <w:t>部</w:t>
      </w:r>
      <w:r>
        <w:rPr>
          <w:spacing w:val="-2"/>
        </w:rPr>
        <w:t>、眶部、鼻部、口唇</w:t>
      </w:r>
      <w:r>
        <w:rPr>
          <w:spacing w:val="-2"/>
        </w:rPr>
        <w:t>部</w:t>
      </w:r>
      <w:r>
        <w:rPr>
          <w:spacing w:val="-2"/>
        </w:rPr>
        <w:t>、</w:t>
      </w:r>
      <w:r>
        <w:rPr>
          <w:spacing w:val="-2"/>
        </w:rPr>
        <w:t>颏部、颧部、颊部和</w:t>
      </w:r>
      <w:r>
        <w:rPr>
          <w:spacing w:val="-2"/>
        </w:rPr>
        <w:t>腮</w:t>
      </w:r>
      <w:r>
        <w:rPr>
          <w:spacing w:val="-2"/>
        </w:rPr>
        <w:t>腺</w:t>
      </w:r>
      <w:r>
        <w:rPr>
          <w:spacing w:val="-2"/>
        </w:rPr>
        <w:t>咬肌部。</w:t>
      </w:r>
    </w:p>
    <w:p>
      <w:pPr>
        <w:pStyle w:val="BodyText"/>
        <w:spacing w:before="10"/>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70、主动脉夹层血</w:t>
      </w:r>
      <w:r>
        <w:rPr>
          <w:rFonts w:ascii="华文新魏" w:eastAsia="华文新魏" w:hint="eastAsia"/>
          <w:b/>
          <w:spacing w:val="-10"/>
          <w:sz w:val="21"/>
        </w:rPr>
        <w:t>肿</w:t>
      </w:r>
    </w:p>
    <w:p>
      <w:pPr>
        <w:pStyle w:val="BodyText"/>
        <w:spacing w:line="278" w:lineRule="auto" w:before="79"/>
        <w:ind w:left="190" w:right="322"/>
        <w:jc w:val="both"/>
        <w:rPr>
          <w:rFonts w:ascii="黑体" w:eastAsia="黑体" w:hint="eastAsia"/>
          <w:b/>
        </w:rPr>
      </w:pPr>
      <w:r>
        <w:rPr/>
        <w:br w:type="column"/>
      </w:r>
      <w:r>
        <w:rPr>
          <w:spacing w:val="-6"/>
        </w:rPr>
        <w:t>指主动脉腔内的血流通过主动脉内膜的破裂口进入主动脉内壁而形成血肿。被保险</w:t>
      </w:r>
      <w:r>
        <w:rPr>
          <w:spacing w:val="-8"/>
        </w:rPr>
        <w:t>人需通过断层扫描</w:t>
      </w:r>
      <w:r>
        <w:rPr>
          <w:spacing w:val="19"/>
        </w:rPr>
        <w:t>（CT</w:t>
      </w:r>
      <w:r>
        <w:rPr>
          <w:spacing w:val="-89"/>
        </w:rPr>
        <w:t>）</w:t>
      </w:r>
      <w:r>
        <w:rPr>
          <w:spacing w:val="-8"/>
        </w:rPr>
        <w:t>、核磁共振检查</w:t>
      </w:r>
      <w:r>
        <w:rPr>
          <w:spacing w:val="14"/>
        </w:rPr>
        <w:t>（MR</w:t>
      </w:r>
      <w:r>
        <w:rPr>
          <w:spacing w:val="11"/>
        </w:rPr>
        <w:t>I</w:t>
      </w:r>
      <w:r>
        <w:rPr>
          <w:spacing w:val="-94"/>
        </w:rPr>
        <w:t>）</w:t>
      </w:r>
      <w:r>
        <w:rPr>
          <w:spacing w:val="-8"/>
        </w:rPr>
        <w:t>、磁共振血管检验法（MRA）或血管</w:t>
      </w:r>
      <w:r>
        <w:rPr>
          <w:spacing w:val="-2"/>
        </w:rPr>
        <w:t>扫描等检查，</w:t>
      </w:r>
      <w:r>
        <w:rPr>
          <w:rFonts w:ascii="黑体" w:eastAsia="黑体" w:hint="eastAsia"/>
          <w:b/>
          <w:spacing w:val="-2"/>
        </w:rPr>
        <w:t>并且实施了胸腹切开的直视主动脉手术。</w:t>
      </w:r>
    </w:p>
    <w:p>
      <w:pPr>
        <w:spacing w:after="0" w:line="278" w:lineRule="auto"/>
        <w:jc w:val="both"/>
        <w:rPr>
          <w:rFonts w:ascii="黑体" w:eastAsia="黑体" w:hint="eastAsia"/>
        </w:rPr>
        <w:sectPr>
          <w:type w:val="continuous"/>
          <w:pgSz w:w="11910" w:h="16840"/>
          <w:pgMar w:header="0" w:footer="655" w:top="140" w:bottom="280" w:left="560" w:right="480"/>
          <w:cols w:num="2" w:equalWidth="0">
            <w:col w:w="2852" w:space="40"/>
            <w:col w:w="7978"/>
          </w:cols>
        </w:sectPr>
      </w:pPr>
    </w:p>
    <w:p>
      <w:pPr>
        <w:pStyle w:val="BodyText"/>
        <w:spacing w:before="2"/>
        <w:rPr>
          <w:rFonts w:ascii="黑体"/>
          <w:b/>
          <w:sz w:val="18"/>
        </w:rPr>
      </w:pPr>
    </w:p>
    <w:p>
      <w:pPr>
        <w:spacing w:after="0"/>
        <w:rPr>
          <w:rFonts w:ascii="黑体"/>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71、严重慢性缩窄</w:t>
      </w:r>
      <w:r>
        <w:rPr>
          <w:rFonts w:ascii="华文新魏" w:eastAsia="华文新魏" w:hint="eastAsia"/>
          <w:b/>
          <w:spacing w:val="-4"/>
          <w:sz w:val="21"/>
        </w:rPr>
        <w:t>型心包炎</w:t>
      </w:r>
    </w:p>
    <w:p>
      <w:pPr>
        <w:pStyle w:val="BodyText"/>
        <w:spacing w:line="278" w:lineRule="auto" w:before="79"/>
        <w:ind w:left="230" w:right="217"/>
      </w:pPr>
      <w:r>
        <w:rPr/>
        <w:br w:type="column"/>
      </w:r>
      <w:r>
        <w:rPr>
          <w:spacing w:val="-2"/>
        </w:rPr>
        <w:t>由于慢性心包炎症导致心包脏层和壁层广泛瘢痕粘连、增厚和钙化，心包腔闭塞，</w:t>
      </w:r>
      <w:r>
        <w:rPr>
          <w:spacing w:val="-2"/>
        </w:rPr>
        <w:t>形成一个纤维瘢痕外壳，使心脏和大血管根部受压，阻碍心脏的舒张。被保险人被</w:t>
      </w:r>
      <w:r>
        <w:rPr>
          <w:spacing w:val="-2"/>
        </w:rPr>
        <w:t>明确诊断为慢性缩窄性心包炎且必须满足以下所有条件：</w:t>
      </w:r>
    </w:p>
    <w:p>
      <w:pPr>
        <w:pStyle w:val="BodyText"/>
        <w:spacing w:line="278" w:lineRule="auto"/>
        <w:ind w:left="230" w:right="379"/>
      </w:pPr>
      <w:r>
        <w:rPr>
          <w:spacing w:val="-12"/>
        </w:rPr>
        <w:t>Ⅰ 心功能衰竭达到美国纽约心脏病学会心功能状态分级Ⅳ级，并持续 </w:t>
      </w:r>
      <w:r>
        <w:rPr/>
        <w:t>180</w:t>
      </w:r>
      <w:r>
        <w:rPr>
          <w:spacing w:val="-12"/>
        </w:rPr>
        <w:t> 天以上；</w:t>
      </w:r>
      <w:r>
        <w:rPr/>
        <w:t> Ⅱ 实际接受了以下任何一种手术路径的心包剥脱或心包切除手术：</w:t>
      </w:r>
    </w:p>
    <w:p>
      <w:pPr>
        <w:pStyle w:val="ListParagraph"/>
        <w:numPr>
          <w:ilvl w:val="0"/>
          <w:numId w:val="17"/>
        </w:numPr>
        <w:tabs>
          <w:tab w:pos="863" w:val="left" w:leader="none"/>
        </w:tabs>
        <w:spacing w:line="269" w:lineRule="exact" w:before="0" w:after="0"/>
        <w:ind w:left="862" w:right="0" w:hanging="315"/>
        <w:jc w:val="left"/>
        <w:rPr>
          <w:sz w:val="21"/>
        </w:rPr>
      </w:pPr>
      <w:r>
        <w:rPr>
          <w:spacing w:val="-4"/>
          <w:sz w:val="21"/>
        </w:rPr>
        <w:t>胸骨正中切口；</w:t>
      </w:r>
    </w:p>
    <w:p>
      <w:pPr>
        <w:pStyle w:val="ListParagraph"/>
        <w:numPr>
          <w:ilvl w:val="0"/>
          <w:numId w:val="17"/>
        </w:numPr>
        <w:tabs>
          <w:tab w:pos="863" w:val="left" w:leader="none"/>
        </w:tabs>
        <w:spacing w:line="240" w:lineRule="auto" w:before="42" w:after="0"/>
        <w:ind w:left="862" w:right="0" w:hanging="315"/>
        <w:jc w:val="left"/>
        <w:rPr>
          <w:sz w:val="21"/>
        </w:rPr>
      </w:pPr>
      <w:r>
        <w:rPr>
          <w:spacing w:val="-4"/>
          <w:sz w:val="21"/>
        </w:rPr>
        <w:t>双侧前胸切口；</w:t>
      </w:r>
    </w:p>
    <w:p>
      <w:pPr>
        <w:pStyle w:val="ListParagraph"/>
        <w:numPr>
          <w:ilvl w:val="0"/>
          <w:numId w:val="17"/>
        </w:numPr>
        <w:tabs>
          <w:tab w:pos="863" w:val="left" w:leader="none"/>
        </w:tabs>
        <w:spacing w:line="240" w:lineRule="auto" w:before="43" w:after="0"/>
        <w:ind w:left="862" w:right="0" w:hanging="315"/>
        <w:jc w:val="left"/>
        <w:rPr>
          <w:sz w:val="21"/>
        </w:rPr>
      </w:pPr>
      <w:r>
        <w:rPr>
          <w:spacing w:val="-4"/>
          <w:sz w:val="21"/>
        </w:rPr>
        <w:t>左前胸肋间切口。</w:t>
      </w:r>
    </w:p>
    <w:p>
      <w:pPr>
        <w:spacing w:before="44"/>
        <w:ind w:left="230" w:right="0" w:firstLine="0"/>
        <w:jc w:val="left"/>
        <w:rPr>
          <w:rFonts w:ascii="黑体" w:eastAsia="黑体" w:hint="eastAsia"/>
          <w:b/>
          <w:sz w:val="21"/>
        </w:rPr>
      </w:pPr>
      <w:r>
        <w:rPr>
          <w:rFonts w:ascii="黑体" w:eastAsia="黑体" w:hint="eastAsia"/>
          <w:b/>
          <w:spacing w:val="-3"/>
          <w:sz w:val="21"/>
        </w:rPr>
        <w:t>经胸腔镜、胸壁打孔进行的手术、心包粘连松解手术不在保障范围内。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72、艾森门格综合</w:t>
      </w:r>
      <w:r>
        <w:rPr>
          <w:rFonts w:ascii="华文新魏" w:eastAsia="华文新魏" w:hint="eastAsia"/>
          <w:b/>
          <w:spacing w:val="-10"/>
          <w:sz w:val="21"/>
        </w:rPr>
        <w:t>征</w:t>
      </w:r>
    </w:p>
    <w:p>
      <w:pPr>
        <w:pStyle w:val="BodyText"/>
        <w:spacing w:line="278" w:lineRule="auto" w:before="79"/>
        <w:ind w:left="195" w:right="322"/>
      </w:pPr>
      <w:r>
        <w:rPr/>
        <w:br w:type="column"/>
      </w:r>
      <w:r>
        <w:rPr>
          <w:spacing w:val="-7"/>
        </w:rPr>
        <w:t>因心脏病导致的严重肺动脉高压及右向左分流。诊断必须由心脏专科医生经超声心</w:t>
      </w:r>
      <w:r>
        <w:rPr>
          <w:spacing w:val="-2"/>
        </w:rPr>
        <w:t>动图和心导管检查证实及需符合以下所有标准：</w:t>
      </w:r>
    </w:p>
    <w:p>
      <w:pPr>
        <w:pStyle w:val="BodyText"/>
        <w:spacing w:line="269" w:lineRule="exact"/>
        <w:ind w:left="195"/>
      </w:pPr>
      <w:r>
        <w:rPr>
          <w:spacing w:val="-8"/>
        </w:rPr>
        <w:t>Ⅰ 平均肺动脉压高于 </w:t>
      </w:r>
      <w:r>
        <w:rPr>
          <w:spacing w:val="-2"/>
        </w:rPr>
        <w:t>40mmHg；</w:t>
      </w:r>
    </w:p>
    <w:p>
      <w:pPr>
        <w:pStyle w:val="BodyText"/>
        <w:spacing w:line="278" w:lineRule="auto" w:before="43"/>
        <w:ind w:left="195" w:right="3579"/>
      </w:pPr>
      <w:r>
        <w:rPr>
          <w:spacing w:val="-10"/>
        </w:rPr>
        <w:t>Ⅱ 肺血管阻力高于 </w:t>
      </w:r>
      <w:r>
        <w:rPr/>
        <w:t>3mm/L/min（Wood</w:t>
      </w:r>
      <w:r>
        <w:rPr>
          <w:spacing w:val="-18"/>
        </w:rPr>
        <w:t> 单位</w:t>
      </w:r>
      <w:r>
        <w:rPr>
          <w:spacing w:val="-112"/>
        </w:rPr>
        <w:t>）</w:t>
      </w:r>
      <w:r>
        <w:rPr>
          <w:spacing w:val="-6"/>
        </w:rPr>
        <w:t>；</w:t>
      </w:r>
      <w:r>
        <w:rPr>
          <w:spacing w:val="-59"/>
        </w:rPr>
        <w:t> </w:t>
      </w:r>
      <w:r>
        <w:rPr>
          <w:spacing w:val="-2"/>
        </w:rPr>
        <w:t>Ⅲ 正常肺微血管楔压低于 </w:t>
      </w:r>
      <w:r>
        <w:rPr/>
        <w:t>15mmHg。</w:t>
      </w:r>
    </w:p>
    <w:p>
      <w:pPr>
        <w:spacing w:line="269" w:lineRule="exact" w:before="0"/>
        <w:ind w:left="195" w:right="0" w:firstLine="0"/>
        <w:jc w:val="left"/>
        <w:rPr>
          <w:rFonts w:ascii="黑体" w:eastAsia="黑体"/>
          <w:sz w:val="21"/>
        </w:rPr>
      </w:pPr>
      <w:r>
        <w:rPr>
          <w:rFonts w:ascii="黑体" w:eastAsia="黑体" w:hint="eastAsia"/>
          <w:b/>
          <w:spacing w:val="-2"/>
          <w:sz w:val="21"/>
        </w:rPr>
        <w:t>先天性心脏病所致的艾森门格综合征不在本保障范围</w:t>
      </w:r>
      <w:r>
        <w:rPr>
          <w:rFonts w:ascii="黑体" w:eastAsia="黑体"/>
          <w:spacing w:val="-10"/>
          <w:sz w:val="21"/>
        </w:rPr>
        <w:t>。</w:t>
      </w:r>
    </w:p>
    <w:p>
      <w:pPr>
        <w:spacing w:after="0" w:line="269" w:lineRule="exact"/>
        <w:jc w:val="left"/>
        <w:rPr>
          <w:rFonts w:ascii="黑体" w:eastAsia="黑体"/>
          <w:sz w:val="21"/>
        </w:rPr>
        <w:sectPr>
          <w:type w:val="continuous"/>
          <w:pgSz w:w="11910" w:h="16840"/>
          <w:pgMar w:header="0" w:footer="655" w:top="140" w:bottom="280" w:left="560" w:right="480"/>
          <w:cols w:num="2" w:equalWidth="0">
            <w:col w:w="2847" w:space="40"/>
            <w:col w:w="7983"/>
          </w:cols>
        </w:sectPr>
      </w:pPr>
    </w:p>
    <w:p>
      <w:pPr>
        <w:spacing w:before="58"/>
        <w:ind w:left="3081"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pStyle w:val="BodyText"/>
        <w:spacing w:before="8"/>
        <w:rPr>
          <w:rFonts w:ascii="黑体"/>
          <w:b/>
        </w:rPr>
      </w:pPr>
    </w:p>
    <w:p>
      <w:pPr>
        <w:spacing w:after="0"/>
        <w:rPr>
          <w:rFonts w:ascii="黑体"/>
        </w:rPr>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73、严重脊髓小脑</w:t>
      </w:r>
      <w:r>
        <w:rPr>
          <w:rFonts w:ascii="华文新魏" w:eastAsia="华文新魏" w:hint="eastAsia"/>
          <w:b/>
          <w:spacing w:val="-4"/>
          <w:sz w:val="21"/>
        </w:rPr>
        <w:t>变性症</w:t>
      </w:r>
    </w:p>
    <w:p>
      <w:pPr>
        <w:pStyle w:val="BodyText"/>
        <w:spacing w:line="278" w:lineRule="auto" w:before="78"/>
        <w:ind w:left="194" w:right="322"/>
      </w:pPr>
      <w:r>
        <w:rPr/>
        <w:br w:type="column"/>
      </w:r>
      <w:r>
        <w:rPr>
          <w:spacing w:val="-6"/>
        </w:rPr>
        <w:t>脊髓小脑变性症为一组以小脑萎缩和共济失调为主要临床特点的疾病。必须符合所</w:t>
      </w:r>
      <w:r>
        <w:rPr>
          <w:spacing w:val="-2"/>
        </w:rPr>
        <w:t>有以下条件：</w:t>
      </w:r>
    </w:p>
    <w:p>
      <w:pPr>
        <w:pStyle w:val="BodyText"/>
        <w:spacing w:line="269" w:lineRule="exact"/>
        <w:ind w:left="194"/>
      </w:pPr>
      <w:r>
        <w:rPr>
          <w:spacing w:val="-3"/>
        </w:rPr>
        <w:t>Ⅰ 脊髓小脑变性症必须由本公司认可医院诊断，并有以下证据支持：</w:t>
      </w:r>
    </w:p>
    <w:p>
      <w:pPr>
        <w:pStyle w:val="ListParagraph"/>
        <w:numPr>
          <w:ilvl w:val="0"/>
          <w:numId w:val="18"/>
        </w:numPr>
        <w:tabs>
          <w:tab w:pos="827" w:val="left" w:leader="none"/>
        </w:tabs>
        <w:spacing w:line="240" w:lineRule="auto" w:before="43" w:after="0"/>
        <w:ind w:left="826" w:right="0" w:hanging="315"/>
        <w:jc w:val="left"/>
        <w:rPr>
          <w:sz w:val="21"/>
        </w:rPr>
      </w:pPr>
      <w:r>
        <w:rPr>
          <w:spacing w:val="-3"/>
          <w:sz w:val="21"/>
        </w:rPr>
        <w:t>影像学检查证实存在小脑萎缩；</w:t>
      </w:r>
    </w:p>
    <w:p>
      <w:pPr>
        <w:pStyle w:val="ListParagraph"/>
        <w:numPr>
          <w:ilvl w:val="0"/>
          <w:numId w:val="18"/>
        </w:numPr>
        <w:tabs>
          <w:tab w:pos="827" w:val="left" w:leader="none"/>
        </w:tabs>
        <w:spacing w:line="240" w:lineRule="auto" w:before="43" w:after="0"/>
        <w:ind w:left="826" w:right="0" w:hanging="315"/>
        <w:jc w:val="left"/>
        <w:rPr>
          <w:sz w:val="21"/>
        </w:rPr>
      </w:pPr>
      <w:r>
        <w:rPr>
          <w:spacing w:val="-3"/>
          <w:sz w:val="21"/>
        </w:rPr>
        <w:t>临床表现存在共济失调、语言障碍和肌张力异常。</w:t>
      </w:r>
    </w:p>
    <w:p>
      <w:pPr>
        <w:pStyle w:val="BodyText"/>
        <w:spacing w:line="278" w:lineRule="auto" w:before="43"/>
        <w:ind w:left="194" w:right="322"/>
      </w:pPr>
      <w:r>
        <w:rPr>
          <w:spacing w:val="-6"/>
        </w:rPr>
        <w:t>Ⅱ 被保险人运动功能严重障碍，自主生活能力完全丧失，无法独立完成六项基本</w:t>
      </w:r>
      <w:r>
        <w:rPr>
          <w:spacing w:val="-2"/>
        </w:rPr>
        <w:t>日常生活活动中的三项或三项以上。</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74、严重进行性多</w:t>
      </w:r>
      <w:r>
        <w:rPr>
          <w:rFonts w:ascii="华文新魏" w:eastAsia="华文新魏" w:hint="eastAsia"/>
          <w:b/>
          <w:spacing w:val="-2"/>
          <w:sz w:val="21"/>
        </w:rPr>
        <w:t>灶性白质脑病</w:t>
      </w:r>
    </w:p>
    <w:p>
      <w:pPr>
        <w:pStyle w:val="BodyText"/>
        <w:spacing w:line="278" w:lineRule="auto" w:before="78"/>
        <w:ind w:left="194" w:right="322"/>
      </w:pPr>
      <w:r>
        <w:rPr/>
        <w:br w:type="column"/>
      </w:r>
      <w:r>
        <w:rPr>
          <w:spacing w:val="-9"/>
        </w:rPr>
        <w:t>是一种亚急性脱髓鞘脑病，其病原体多为乳头多瘤空泡病毒，常常发生于免疫缺陷</w:t>
      </w:r>
      <w:r>
        <w:rPr>
          <w:spacing w:val="-2"/>
        </w:rPr>
        <w:t>病人。必须满足下列所有条件：</w:t>
      </w:r>
    </w:p>
    <w:p>
      <w:pPr>
        <w:pStyle w:val="BodyText"/>
        <w:spacing w:line="269" w:lineRule="exact"/>
        <w:ind w:left="194"/>
      </w:pPr>
      <w:r>
        <w:rPr>
          <w:spacing w:val="-5"/>
        </w:rPr>
        <w:t>Ⅰ 根据脑组织活检确诊；</w:t>
      </w:r>
    </w:p>
    <w:p>
      <w:pPr>
        <w:pStyle w:val="BodyText"/>
        <w:spacing w:line="278" w:lineRule="auto" w:before="43"/>
        <w:ind w:left="194" w:right="322"/>
      </w:pPr>
      <w:r>
        <w:rPr>
          <w:spacing w:val="-6"/>
        </w:rPr>
        <w:t>Ⅱ 永久不可逆丧失自主生活能力，无法独立完成六项基本日常生活活动中的三项</w:t>
      </w:r>
      <w:r>
        <w:rPr>
          <w:spacing w:val="-2"/>
        </w:rPr>
        <w:t>或三项以上。</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75、严重强直性脊</w:t>
      </w:r>
      <w:r>
        <w:rPr>
          <w:rFonts w:ascii="华文新魏" w:eastAsia="华文新魏" w:hint="eastAsia"/>
          <w:b/>
          <w:spacing w:val="-6"/>
          <w:sz w:val="21"/>
        </w:rPr>
        <w:t>柱炎</w:t>
      </w:r>
    </w:p>
    <w:p>
      <w:pPr>
        <w:pStyle w:val="BodyText"/>
        <w:spacing w:line="278" w:lineRule="auto" w:before="79"/>
        <w:ind w:left="194" w:right="322"/>
      </w:pPr>
      <w:r>
        <w:rPr/>
        <w:br w:type="column"/>
      </w:r>
      <w:r>
        <w:rPr>
          <w:spacing w:val="-7"/>
        </w:rPr>
        <w:t>强直性脊柱炎是一种慢性全身性炎性疾病，主要侵犯脊柱导致脊柱畸形。强直性脊</w:t>
      </w:r>
      <w:r>
        <w:rPr>
          <w:spacing w:val="-2"/>
        </w:rPr>
        <w:t>柱炎必须明确诊断并且满足下列所有条件：</w:t>
      </w:r>
    </w:p>
    <w:p>
      <w:pPr>
        <w:pStyle w:val="BodyText"/>
        <w:spacing w:line="269" w:lineRule="exact"/>
        <w:ind w:left="194"/>
      </w:pPr>
      <w:r>
        <w:rPr>
          <w:spacing w:val="-4"/>
        </w:rPr>
        <w:t>Ⅰ 严重脊柱畸形；</w:t>
      </w:r>
    </w:p>
    <w:p>
      <w:pPr>
        <w:pStyle w:val="BodyText"/>
        <w:spacing w:line="278" w:lineRule="auto" w:before="43"/>
        <w:ind w:left="194" w:right="322"/>
      </w:pPr>
      <w:r>
        <w:rPr>
          <w:spacing w:val="-6"/>
        </w:rPr>
        <w:t>Ⅱ 永久不可逆丧失自主生活能力，无法独立完成六项基本日常生活活动中的三项</w:t>
      </w:r>
      <w:r>
        <w:rPr>
          <w:spacing w:val="-2"/>
        </w:rPr>
        <w:t>或三项以上。</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2"/>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76、严重多处臂丛</w:t>
      </w:r>
      <w:r>
        <w:rPr>
          <w:rFonts w:ascii="华文新魏" w:eastAsia="华文新魏" w:hint="eastAsia"/>
          <w:b/>
          <w:spacing w:val="-2"/>
          <w:sz w:val="21"/>
        </w:rPr>
        <w:t>神经根性撕脱</w:t>
      </w:r>
    </w:p>
    <w:p>
      <w:pPr>
        <w:pStyle w:val="BodyText"/>
        <w:spacing w:line="278" w:lineRule="auto" w:before="79"/>
        <w:ind w:left="194" w:right="322"/>
        <w:rPr>
          <w:rFonts w:ascii="黑体" w:eastAsia="黑体" w:hint="eastAsia"/>
          <w:b/>
        </w:rPr>
      </w:pPr>
      <w:r>
        <w:rPr/>
        <w:br w:type="column"/>
      </w:r>
      <w:r>
        <w:rPr>
          <w:spacing w:val="-7"/>
        </w:rPr>
        <w:t>由于疾病或意外导致至少两根臂丛神经根性撕脱，且自确诊 </w:t>
      </w:r>
      <w:r>
        <w:rPr/>
        <w:t>180</w:t>
      </w:r>
      <w:r>
        <w:rPr>
          <w:spacing w:val="-8"/>
        </w:rPr>
        <w:t> 天后仍遗留双侧手</w:t>
      </w:r>
      <w:r>
        <w:rPr>
          <w:spacing w:val="-2"/>
        </w:rPr>
        <w:t>臂感觉功能与运动功能完全永久性丧失。</w:t>
      </w:r>
      <w:r>
        <w:rPr>
          <w:rFonts w:ascii="黑体" w:eastAsia="黑体" w:hint="eastAsia"/>
          <w:b/>
          <w:spacing w:val="-2"/>
        </w:rPr>
        <w:t>须有电生理检查结果证实。</w:t>
      </w:r>
    </w:p>
    <w:p>
      <w:pPr>
        <w:spacing w:after="0" w:line="278" w:lineRule="auto"/>
        <w:rPr>
          <w:rFonts w:ascii="黑体" w:eastAsia="黑体" w:hint="eastAsia"/>
        </w:rPr>
        <w:sectPr>
          <w:type w:val="continuous"/>
          <w:pgSz w:w="11910" w:h="16840"/>
          <w:pgMar w:header="0" w:footer="655" w:top="140" w:bottom="280" w:left="560" w:right="480"/>
          <w:cols w:num="2" w:equalWidth="0">
            <w:col w:w="2847" w:space="40"/>
            <w:col w:w="7983"/>
          </w:cols>
        </w:sectPr>
      </w:pPr>
    </w:p>
    <w:p>
      <w:pPr>
        <w:pStyle w:val="BodyText"/>
        <w:spacing w:before="3"/>
        <w:rPr>
          <w:rFonts w:ascii="黑体"/>
          <w:b/>
          <w:sz w:val="18"/>
        </w:rPr>
      </w:pPr>
    </w:p>
    <w:p>
      <w:pPr>
        <w:spacing w:after="0"/>
        <w:rPr>
          <w:rFonts w:ascii="黑体"/>
          <w:sz w:val="18"/>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77、溶血性尿毒综</w:t>
      </w:r>
      <w:r>
        <w:rPr>
          <w:rFonts w:ascii="华文新魏" w:eastAsia="华文新魏" w:hint="eastAsia"/>
          <w:b/>
          <w:spacing w:val="-6"/>
          <w:sz w:val="21"/>
        </w:rPr>
        <w:t>合征</w:t>
      </w:r>
    </w:p>
    <w:p>
      <w:pPr>
        <w:spacing w:line="278" w:lineRule="auto" w:before="78"/>
        <w:ind w:left="194" w:right="322" w:firstLine="0"/>
        <w:jc w:val="left"/>
        <w:rPr>
          <w:sz w:val="21"/>
        </w:rPr>
      </w:pPr>
      <w:r>
        <w:rPr/>
        <w:br w:type="column"/>
      </w:r>
      <w:r>
        <w:rPr>
          <w:spacing w:val="-4"/>
          <w:sz w:val="21"/>
        </w:rPr>
        <w:t>一种由于感染导致的急性综合征，引起红细胞溶血，肾功能衰竭及尿毒症。溶血尿</w:t>
      </w:r>
      <w:r>
        <w:rPr>
          <w:spacing w:val="-2"/>
          <w:sz w:val="21"/>
        </w:rPr>
        <w:t>毒综合征必须由血液和肾脏专科医生诊断，</w:t>
      </w:r>
      <w:r>
        <w:rPr>
          <w:rFonts w:ascii="黑体" w:eastAsia="黑体" w:hint="eastAsia"/>
          <w:b/>
          <w:spacing w:val="-2"/>
          <w:sz w:val="21"/>
        </w:rPr>
        <w:t>被保险人理赔时年龄须在二十五周岁</w:t>
      </w:r>
      <w:r>
        <w:rPr>
          <w:rFonts w:ascii="黑体" w:eastAsia="黑体" w:hint="eastAsia"/>
          <w:b/>
          <w:spacing w:val="-2"/>
          <w:sz w:val="21"/>
        </w:rPr>
        <w:t>以下</w:t>
      </w:r>
      <w:r>
        <w:rPr>
          <w:spacing w:val="-2"/>
          <w:sz w:val="21"/>
        </w:rPr>
        <w:t>，并且满足下列所有条件：</w:t>
      </w:r>
    </w:p>
    <w:p>
      <w:pPr>
        <w:pStyle w:val="BodyText"/>
        <w:spacing w:line="278" w:lineRule="auto"/>
        <w:ind w:left="194" w:right="1162"/>
      </w:pPr>
      <w:r>
        <w:rPr>
          <w:spacing w:val="-6"/>
        </w:rPr>
        <w:t>Ⅰ 实验室检查确认有溶血性贫血、血尿、尿毒症、血小板减少性紫癜；</w:t>
      </w:r>
      <w:r>
        <w:rPr/>
        <w:t> Ⅱ 因肾脏功能衰竭实施了肾脏透析治疗。</w:t>
      </w:r>
    </w:p>
    <w:p>
      <w:pPr>
        <w:spacing w:line="278" w:lineRule="auto" w:before="0"/>
        <w:ind w:left="194" w:right="405" w:firstLine="0"/>
        <w:jc w:val="left"/>
        <w:rPr>
          <w:rFonts w:ascii="黑体" w:eastAsia="黑体" w:hint="eastAsia"/>
          <w:b/>
          <w:sz w:val="21"/>
        </w:rPr>
      </w:pPr>
      <w:r>
        <w:rPr>
          <w:rFonts w:ascii="黑体" w:eastAsia="黑体" w:hint="eastAsia"/>
          <w:b/>
          <w:spacing w:val="-2"/>
          <w:sz w:val="21"/>
        </w:rPr>
        <w:t>任何非因感染导致的溶血性贫血，如：自身免疫性溶血性贫血、与红细胞膜缺陷</w:t>
      </w:r>
      <w:r>
        <w:rPr>
          <w:rFonts w:ascii="黑体" w:eastAsia="黑体" w:hint="eastAsia"/>
          <w:b/>
          <w:spacing w:val="-2"/>
          <w:sz w:val="21"/>
        </w:rPr>
        <w:t>有关的溶血性贫血、红细胞酶病、血红蛋白病等，不在本保障范围内。</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2"/>
        <w:rPr>
          <w:rFonts w:ascii="黑体"/>
          <w:b/>
          <w:sz w:val="18"/>
        </w:rPr>
      </w:pPr>
    </w:p>
    <w:p>
      <w:pPr>
        <w:spacing w:after="0"/>
        <w:rPr>
          <w:rFonts w:ascii="黑体"/>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z w:val="21"/>
        </w:rPr>
        <w:t>78、Brugada</w:t>
      </w:r>
      <w:r>
        <w:rPr>
          <w:rFonts w:ascii="华文新魏" w:eastAsia="华文新魏" w:hint="eastAsia"/>
          <w:b/>
          <w:spacing w:val="-5"/>
          <w:sz w:val="21"/>
        </w:rPr>
        <w:t> 综合</w:t>
      </w:r>
      <w:r>
        <w:rPr>
          <w:rFonts w:ascii="华文新魏" w:eastAsia="华文新魏" w:hint="eastAsia"/>
          <w:b/>
          <w:spacing w:val="-10"/>
          <w:sz w:val="21"/>
        </w:rPr>
        <w:t>征</w:t>
      </w:r>
    </w:p>
    <w:p>
      <w:pPr>
        <w:pStyle w:val="BodyText"/>
        <w:spacing w:line="278" w:lineRule="auto" w:before="79"/>
        <w:ind w:left="231" w:right="217"/>
      </w:pPr>
      <w:r>
        <w:rPr/>
        <w:br w:type="column"/>
      </w:r>
      <w:r>
        <w:rPr>
          <w:spacing w:val="-4"/>
        </w:rPr>
        <w:t>指由心脏专科医生诊断为夜间呼吸骤停（Brugada）综合征，且满足下列全部条件： </w:t>
      </w:r>
      <w:r>
        <w:rPr/>
        <w:t>Ⅰ 有晕厥或心脏骤停病史，并提供完整的诊疗记录；</w:t>
      </w:r>
    </w:p>
    <w:p>
      <w:pPr>
        <w:pStyle w:val="BodyText"/>
        <w:spacing w:line="278" w:lineRule="auto"/>
        <w:ind w:left="231" w:right="4266"/>
      </w:pPr>
      <w:r>
        <w:rPr>
          <w:spacing w:val="-6"/>
        </w:rPr>
        <w:t>Ⅱ 心电图有典型的Ⅰ型 </w:t>
      </w:r>
      <w:r>
        <w:rPr/>
        <w:t>Brugada</w:t>
      </w:r>
      <w:r>
        <w:rPr>
          <w:spacing w:val="-18"/>
        </w:rPr>
        <w:t> 波；</w:t>
      </w:r>
      <w:r>
        <w:rPr/>
        <w:t> Ⅲ 已经安装了永久性心脏除颤器。</w:t>
      </w:r>
    </w:p>
    <w:p>
      <w:pPr>
        <w:spacing w:after="0" w:line="278" w:lineRule="auto"/>
        <w:sectPr>
          <w:type w:val="continuous"/>
          <w:pgSz w:w="11910" w:h="16840"/>
          <w:pgMar w:header="0" w:footer="655" w:top="140" w:bottom="280" w:left="560" w:right="480"/>
          <w:cols w:num="2" w:equalWidth="0">
            <w:col w:w="2811" w:space="40"/>
            <w:col w:w="8019"/>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79、严重巨细胞动</w:t>
      </w:r>
      <w:r>
        <w:rPr>
          <w:rFonts w:ascii="华文新魏" w:eastAsia="华文新魏" w:hint="eastAsia"/>
          <w:b/>
          <w:spacing w:val="-6"/>
          <w:sz w:val="21"/>
        </w:rPr>
        <w:t>脉炎</w:t>
      </w:r>
    </w:p>
    <w:p>
      <w:pPr>
        <w:pStyle w:val="BodyText"/>
        <w:spacing w:line="278" w:lineRule="auto" w:before="78"/>
        <w:ind w:left="194" w:right="322"/>
        <w:jc w:val="both"/>
      </w:pPr>
      <w:r>
        <w:rPr/>
        <w:br w:type="column"/>
      </w:r>
      <w:r>
        <w:rPr>
          <w:spacing w:val="-4"/>
        </w:rPr>
        <w:t>巨细胞动脉炎又称颅动脉炎、颞动脉炎、肉芽肿性动脉炎，须经本公司认可医院的</w:t>
      </w:r>
      <w:r>
        <w:rPr>
          <w:spacing w:val="-10"/>
        </w:rPr>
        <w:t>专科医生明确诊断，并造成永久不可逆性的单个肢体功能障碍或单眼失明。单眼失</w:t>
      </w:r>
      <w:r>
        <w:rPr>
          <w:spacing w:val="-2"/>
        </w:rPr>
        <w:t>明指单眼视力永久不可逆性丧失，患眼须满足下列至少一项条件：</w:t>
      </w:r>
    </w:p>
    <w:p>
      <w:pPr>
        <w:pStyle w:val="BodyText"/>
        <w:spacing w:line="269" w:lineRule="exact"/>
        <w:ind w:left="194"/>
        <w:jc w:val="both"/>
      </w:pPr>
      <w:r>
        <w:rPr>
          <w:spacing w:val="-5"/>
        </w:rPr>
        <w:t>Ⅰ 眼球缺失或者摘除；</w:t>
      </w:r>
    </w:p>
    <w:p>
      <w:pPr>
        <w:pStyle w:val="BodyText"/>
        <w:spacing w:line="278" w:lineRule="auto" w:before="43"/>
        <w:ind w:left="194" w:right="216"/>
        <w:jc w:val="both"/>
      </w:pPr>
      <w:r>
        <w:rPr>
          <w:spacing w:val="-9"/>
        </w:rPr>
        <w:t>Ⅱ 矫正视力低于 </w:t>
      </w:r>
      <w:r>
        <w:rPr>
          <w:spacing w:val="-2"/>
        </w:rPr>
        <w:t>0.02（采用国际标准视力表，如果使用其它视力表应进行换算</w:t>
      </w:r>
      <w:r>
        <w:rPr>
          <w:spacing w:val="-106"/>
        </w:rPr>
        <w:t>）</w:t>
      </w:r>
      <w:r>
        <w:rPr/>
        <w:t>；</w:t>
      </w:r>
      <w:r>
        <w:rPr>
          <w:spacing w:val="-53"/>
        </w:rPr>
        <w:t> </w:t>
      </w:r>
      <w:r>
        <w:rPr>
          <w:spacing w:val="-2"/>
        </w:rPr>
        <w:t>Ⅲ 视野半径小于 </w:t>
      </w:r>
      <w:r>
        <w:rPr/>
        <w:t>5</w:t>
      </w:r>
      <w:r>
        <w:rPr>
          <w:spacing w:val="-6"/>
        </w:rPr>
        <w:t> 度。</w:t>
      </w:r>
    </w:p>
    <w:p>
      <w:pPr>
        <w:spacing w:after="0" w:line="278" w:lineRule="auto"/>
        <w:jc w:val="both"/>
        <w:sectPr>
          <w:type w:val="continuous"/>
          <w:pgSz w:w="11910" w:h="16840"/>
          <w:pgMar w:header="0" w:footer="655" w:top="140" w:bottom="280" w:left="560" w:right="480"/>
          <w:cols w:num="2" w:equalWidth="0">
            <w:col w:w="2847" w:space="40"/>
            <w:col w:w="7983"/>
          </w:cols>
        </w:sectPr>
      </w:pPr>
    </w:p>
    <w:p>
      <w:pPr>
        <w:spacing w:before="35"/>
        <w:ind w:left="1132" w:right="0" w:firstLine="0"/>
        <w:jc w:val="left"/>
        <w:rPr>
          <w:rFonts w:ascii="华文新魏" w:eastAsia="华文新魏" w:hint="eastAsia"/>
          <w:b/>
          <w:sz w:val="21"/>
        </w:rPr>
      </w:pPr>
      <w:r>
        <w:rPr>
          <w:rFonts w:ascii="华文新魏" w:eastAsia="华文新魏" w:hint="eastAsia"/>
          <w:b/>
          <w:spacing w:val="-2"/>
          <w:sz w:val="21"/>
        </w:rPr>
        <w:t>80、严重继发性肺</w:t>
      </w:r>
      <w:r>
        <w:rPr>
          <w:rFonts w:ascii="华文新魏" w:eastAsia="华文新魏" w:hint="eastAsia"/>
          <w:b/>
          <w:spacing w:val="-4"/>
          <w:sz w:val="21"/>
        </w:rPr>
        <w:t>动脉高压</w:t>
      </w:r>
    </w:p>
    <w:p>
      <w:pPr>
        <w:pStyle w:val="BodyText"/>
        <w:spacing w:line="278" w:lineRule="auto" w:before="58"/>
        <w:ind w:left="190" w:right="322"/>
        <w:jc w:val="both"/>
      </w:pPr>
      <w:r>
        <w:rPr/>
        <w:br w:type="column"/>
      </w:r>
      <w:r>
        <w:rPr>
          <w:spacing w:val="-9"/>
        </w:rPr>
        <w:t>继发性肺动脉压力持续增高，导致右心室肥厚，已经造成永久不可逆性的体力活动</w:t>
      </w:r>
      <w:r>
        <w:rPr>
          <w:spacing w:val="-2"/>
        </w:rPr>
        <w:t>能力受限，达到美国纽约心脏病学会（New</w:t>
      </w:r>
      <w:r>
        <w:rPr>
          <w:spacing w:val="-13"/>
        </w:rPr>
        <w:t> </w:t>
      </w:r>
      <w:r>
        <w:rPr>
          <w:spacing w:val="-2"/>
        </w:rPr>
        <w:t>York</w:t>
      </w:r>
      <w:r>
        <w:rPr>
          <w:spacing w:val="-13"/>
        </w:rPr>
        <w:t> </w:t>
      </w:r>
      <w:r>
        <w:rPr>
          <w:spacing w:val="-2"/>
        </w:rPr>
        <w:t>Heart</w:t>
      </w:r>
      <w:r>
        <w:rPr>
          <w:spacing w:val="-13"/>
        </w:rPr>
        <w:t> </w:t>
      </w:r>
      <w:r>
        <w:rPr>
          <w:spacing w:val="-2"/>
        </w:rPr>
        <w:t>Association，NYHA）心功</w:t>
      </w:r>
      <w:r>
        <w:rPr/>
        <w:t>能状态分级 IV 级，且静息状态下肺动脉平均压在 36mmHg（含） 以上。</w:t>
      </w:r>
    </w:p>
    <w:p>
      <w:pPr>
        <w:spacing w:before="0"/>
        <w:ind w:left="190" w:right="0" w:firstLine="0"/>
        <w:jc w:val="left"/>
        <w:rPr>
          <w:rFonts w:ascii="黑体" w:eastAsia="黑体" w:hint="eastAsia"/>
          <w:b/>
          <w:sz w:val="21"/>
        </w:rPr>
      </w:pPr>
      <w:r>
        <w:rPr>
          <w:rFonts w:ascii="黑体" w:eastAsia="黑体" w:hint="eastAsia"/>
          <w:b/>
          <w:spacing w:val="-3"/>
          <w:sz w:val="21"/>
        </w:rPr>
        <w:t>所有先天性心脏疾病直接或间接引起的肺动脉高压也不在保障责任范围内。</w:t>
      </w:r>
    </w:p>
    <w:p>
      <w:pPr>
        <w:spacing w:after="0"/>
        <w:jc w:val="left"/>
        <w:rPr>
          <w:rFonts w:ascii="黑体" w:eastAsia="黑体" w:hint="eastAsia"/>
          <w:sz w:val="21"/>
        </w:rPr>
        <w:sectPr>
          <w:pgSz w:w="11910" w:h="16840"/>
          <w:pgMar w:header="0" w:footer="655" w:top="1420" w:bottom="840" w:left="560" w:right="480"/>
          <w:cols w:num="2" w:equalWidth="0">
            <w:col w:w="2852" w:space="40"/>
            <w:col w:w="7978"/>
          </w:cols>
        </w:sectPr>
      </w:pPr>
    </w:p>
    <w:p>
      <w:pPr>
        <w:pStyle w:val="BodyText"/>
        <w:spacing w:before="7"/>
        <w:rPr>
          <w:rFonts w:ascii="黑体"/>
          <w:b/>
        </w:rPr>
      </w:pPr>
    </w:p>
    <w:p>
      <w:pPr>
        <w:pStyle w:val="BodyText"/>
        <w:tabs>
          <w:tab w:pos="3081" w:val="left" w:leader="none"/>
        </w:tabs>
        <w:spacing w:line="271" w:lineRule="auto" w:before="55"/>
        <w:ind w:left="3081" w:right="322" w:hanging="1949"/>
        <w:jc w:val="both"/>
      </w:pPr>
      <w:r>
        <w:rPr>
          <w:rFonts w:ascii="华文新魏" w:eastAsia="华文新魏" w:hint="eastAsia"/>
          <w:b/>
          <w:spacing w:val="-2"/>
          <w:position w:val="2"/>
        </w:rPr>
        <w:t>81</w:t>
      </w:r>
      <w:r>
        <w:rPr>
          <w:rFonts w:ascii="华文新魏" w:eastAsia="华文新魏" w:hint="eastAsia"/>
          <w:b/>
          <w:spacing w:val="-2"/>
          <w:position w:val="2"/>
        </w:rPr>
        <w:t>、</w:t>
      </w:r>
      <w:r>
        <w:rPr>
          <w:rFonts w:ascii="华文新魏" w:eastAsia="华文新魏" w:hint="eastAsia"/>
          <w:b/>
          <w:spacing w:val="-2"/>
          <w:position w:val="2"/>
        </w:rPr>
        <w:t>严</w:t>
      </w:r>
      <w:r>
        <w:rPr>
          <w:rFonts w:ascii="华文新魏" w:eastAsia="华文新魏" w:hint="eastAsia"/>
          <w:b/>
          <w:spacing w:val="-2"/>
          <w:position w:val="2"/>
        </w:rPr>
        <w:t>重</w:t>
      </w:r>
      <w:r>
        <w:rPr>
          <w:rFonts w:ascii="华文新魏" w:eastAsia="华文新魏" w:hint="eastAsia"/>
          <w:b/>
          <w:spacing w:val="-2"/>
          <w:position w:val="2"/>
        </w:rPr>
        <w:t>癫</w:t>
      </w:r>
      <w:r>
        <w:rPr>
          <w:rFonts w:ascii="华文新魏" w:eastAsia="华文新魏" w:hint="eastAsia"/>
          <w:b/>
          <w:spacing w:val="-2"/>
          <w:position w:val="2"/>
        </w:rPr>
        <w:t>痫</w:t>
      </w:r>
      <w:r>
        <w:rPr>
          <w:rFonts w:ascii="华文新魏" w:eastAsia="华文新魏" w:hint="eastAsia"/>
          <w:b/>
          <w:position w:val="2"/>
        </w:rPr>
        <w:tab/>
      </w:r>
      <w:r>
        <w:rPr/>
        <w:t>本病的诊断须由神经科或</w:t>
      </w:r>
      <w:r>
        <w:rPr/>
        <w:t>儿科专科医生根据典型临</w:t>
      </w:r>
      <w:r>
        <w:rPr/>
        <w:t>床症状和脑电图及</w:t>
      </w:r>
      <w:r>
        <w:rPr>
          <w:spacing w:val="-27"/>
        </w:rPr>
        <w:t> </w:t>
      </w:r>
      <w:r>
        <w:rPr/>
        <w:t>MRI</w:t>
      </w:r>
      <w:r>
        <w:rPr/>
        <w:t>、</w:t>
      </w:r>
      <w:r>
        <w:rPr/>
        <w:t>PET、 </w:t>
      </w:r>
      <w:r>
        <w:rPr>
          <w:spacing w:val="-2"/>
        </w:rPr>
        <w:t>CT</w:t>
      </w:r>
      <w:r>
        <w:rPr>
          <w:spacing w:val="-19"/>
        </w:rPr>
        <w:t> </w:t>
      </w:r>
      <w:r>
        <w:rPr>
          <w:spacing w:val="-2"/>
        </w:rPr>
        <w:t>等影相学检查做出</w:t>
      </w:r>
      <w:r>
        <w:rPr>
          <w:spacing w:val="-2"/>
        </w:rPr>
        <w:t>。</w:t>
      </w:r>
      <w:r>
        <w:rPr>
          <w:spacing w:val="-2"/>
        </w:rPr>
        <w:t>理</w:t>
      </w:r>
      <w:r>
        <w:rPr>
          <w:spacing w:val="-2"/>
        </w:rPr>
        <w:t>赔</w:t>
      </w:r>
      <w:r>
        <w:rPr>
          <w:spacing w:val="-2"/>
        </w:rPr>
        <w:t>时</w:t>
      </w:r>
      <w:r>
        <w:rPr>
          <w:spacing w:val="-2"/>
        </w:rPr>
        <w:t>必须提供</w:t>
      </w:r>
      <w:r>
        <w:rPr>
          <w:spacing w:val="-20"/>
        </w:rPr>
        <w:t> </w:t>
      </w:r>
      <w:r>
        <w:rPr>
          <w:spacing w:val="-2"/>
        </w:rPr>
        <w:t>6</w:t>
      </w:r>
      <w:r>
        <w:rPr>
          <w:spacing w:val="-24"/>
        </w:rPr>
        <w:t> </w:t>
      </w:r>
      <w:r>
        <w:rPr>
          <w:spacing w:val="-2"/>
        </w:rPr>
        <w:t>个月以上</w:t>
      </w:r>
      <w:r>
        <w:rPr>
          <w:spacing w:val="-2"/>
        </w:rPr>
        <w:t>的</w:t>
      </w:r>
      <w:r>
        <w:rPr>
          <w:spacing w:val="-2"/>
        </w:rPr>
        <w:t>相</w:t>
      </w:r>
      <w:r>
        <w:rPr>
          <w:spacing w:val="-2"/>
        </w:rPr>
        <w:t>关病历记录证明被保</w:t>
      </w:r>
      <w:r>
        <w:rPr>
          <w:spacing w:val="-2"/>
        </w:rPr>
        <w:t>险</w:t>
      </w:r>
      <w:r>
        <w:rPr>
          <w:spacing w:val="-2"/>
        </w:rPr>
        <w:t>人</w:t>
      </w:r>
      <w:r>
        <w:rPr>
          <w:spacing w:val="-2"/>
        </w:rPr>
        <w:t>存</w:t>
      </w:r>
      <w:r>
        <w:rPr>
          <w:spacing w:val="-2"/>
        </w:rPr>
        <w:t>在</w:t>
      </w:r>
      <w:r>
        <w:rPr>
          <w:spacing w:val="-2"/>
        </w:rPr>
        <w:t>经抗癫痫药物治疗无</w:t>
      </w:r>
      <w:r>
        <w:rPr>
          <w:spacing w:val="-2"/>
        </w:rPr>
        <w:t>效</w:t>
      </w:r>
      <w:r>
        <w:rPr>
          <w:spacing w:val="-2"/>
        </w:rPr>
        <w:t>而</w:t>
      </w:r>
      <w:r>
        <w:rPr>
          <w:spacing w:val="-2"/>
        </w:rPr>
        <w:t>反复发作的强直阵挛</w:t>
      </w:r>
      <w:r>
        <w:rPr>
          <w:spacing w:val="-2"/>
        </w:rPr>
        <w:t>性</w:t>
      </w:r>
      <w:r>
        <w:rPr>
          <w:spacing w:val="-2"/>
        </w:rPr>
        <w:t>发</w:t>
      </w:r>
      <w:r>
        <w:rPr>
          <w:spacing w:val="-2"/>
        </w:rPr>
        <w:t>作或癫痫大发作</w:t>
      </w:r>
      <w:r>
        <w:rPr>
          <w:spacing w:val="-106"/>
        </w:rPr>
        <w:t>，</w:t>
      </w:r>
      <w:r>
        <w:rPr>
          <w:spacing w:val="-2"/>
        </w:rPr>
        <w:t>且</w:t>
      </w:r>
      <w:r>
        <w:rPr>
          <w:spacing w:val="-2"/>
        </w:rPr>
        <w:t>已</w:t>
      </w:r>
      <w:r>
        <w:rPr>
          <w:spacing w:val="-2"/>
        </w:rPr>
        <w:t>行</w:t>
      </w:r>
      <w:r>
        <w:rPr>
          <w:spacing w:val="-2"/>
        </w:rPr>
        <w:t>神</w:t>
      </w:r>
      <w:r>
        <w:rPr>
          <w:spacing w:val="-2"/>
        </w:rPr>
        <w:t>经</w:t>
      </w:r>
      <w:r>
        <w:rPr>
          <w:spacing w:val="-2"/>
        </w:rPr>
        <w:t>外</w:t>
      </w:r>
      <w:r>
        <w:rPr>
          <w:spacing w:val="-2"/>
        </w:rPr>
        <w:t>科手术以治疗反复发</w:t>
      </w:r>
      <w:r>
        <w:rPr>
          <w:spacing w:val="-2"/>
        </w:rPr>
        <w:t>作</w:t>
      </w:r>
      <w:r>
        <w:rPr>
          <w:spacing w:val="-2"/>
        </w:rPr>
        <w:t>的</w:t>
      </w:r>
      <w:r>
        <w:rPr>
          <w:spacing w:val="-2"/>
        </w:rPr>
        <w:t>癫</w:t>
      </w:r>
      <w:r>
        <w:rPr>
          <w:spacing w:val="-2"/>
        </w:rPr>
        <w:t>痫</w:t>
      </w:r>
      <w:r>
        <w:rPr>
          <w:spacing w:val="-2"/>
        </w:rPr>
        <w:t>。</w:t>
      </w:r>
    </w:p>
    <w:p>
      <w:pPr>
        <w:spacing w:before="6"/>
        <w:ind w:left="3081" w:right="0" w:firstLine="0"/>
        <w:jc w:val="left"/>
        <w:rPr>
          <w:rFonts w:ascii="黑体" w:eastAsia="黑体" w:hint="eastAsia"/>
          <w:b/>
          <w:sz w:val="21"/>
        </w:rPr>
      </w:pPr>
      <w:r>
        <w:rPr>
          <w:rFonts w:ascii="黑体" w:eastAsia="黑体" w:hint="eastAsia"/>
          <w:b/>
          <w:spacing w:val="-2"/>
          <w:sz w:val="21"/>
        </w:rPr>
        <w:t>发热性惊厥以及没有全身性发作的失神发作（癫痫小发作）</w:t>
      </w:r>
      <w:r>
        <w:rPr>
          <w:rFonts w:ascii="黑体" w:eastAsia="黑体" w:hint="eastAsia"/>
          <w:b/>
          <w:spacing w:val="-3"/>
          <w:sz w:val="21"/>
        </w:rPr>
        <w:t>不在本保障范围内。</w:t>
      </w:r>
    </w:p>
    <w:p>
      <w:pPr>
        <w:pStyle w:val="BodyText"/>
        <w:spacing w:before="11"/>
        <w:rPr>
          <w:rFonts w:ascii="黑体"/>
          <w:b/>
          <w:sz w:val="25"/>
        </w:rPr>
      </w:pPr>
    </w:p>
    <w:p>
      <w:pPr>
        <w:pStyle w:val="BodyText"/>
        <w:tabs>
          <w:tab w:pos="3081" w:val="left" w:leader="none"/>
        </w:tabs>
        <w:spacing w:line="273" w:lineRule="auto"/>
        <w:ind w:left="3081" w:right="322" w:hanging="1949"/>
      </w:pPr>
      <w:r>
        <w:rPr>
          <w:rFonts w:ascii="华文新魏" w:eastAsia="华文新魏" w:hint="eastAsia"/>
          <w:b/>
          <w:spacing w:val="-2"/>
          <w:position w:val="2"/>
        </w:rPr>
        <w:t>82</w:t>
      </w:r>
      <w:r>
        <w:rPr>
          <w:rFonts w:ascii="华文新魏" w:eastAsia="华文新魏" w:hint="eastAsia"/>
          <w:b/>
          <w:spacing w:val="-2"/>
          <w:position w:val="2"/>
        </w:rPr>
        <w:t>、</w:t>
      </w:r>
      <w:r>
        <w:rPr>
          <w:rFonts w:ascii="华文新魏" w:eastAsia="华文新魏" w:hint="eastAsia"/>
          <w:b/>
          <w:spacing w:val="-2"/>
          <w:position w:val="2"/>
        </w:rPr>
        <w:t>神</w:t>
      </w:r>
      <w:r>
        <w:rPr>
          <w:rFonts w:ascii="华文新魏" w:eastAsia="华文新魏" w:hint="eastAsia"/>
          <w:b/>
          <w:spacing w:val="-2"/>
          <w:position w:val="2"/>
        </w:rPr>
        <w:t>经白塞病</w:t>
      </w:r>
      <w:r>
        <w:rPr>
          <w:rFonts w:ascii="华文新魏" w:eastAsia="华文新魏" w:hint="eastAsia"/>
          <w:b/>
          <w:position w:val="2"/>
        </w:rPr>
        <w:tab/>
      </w:r>
      <w:r>
        <w:rPr>
          <w:spacing w:val="-2"/>
        </w:rPr>
        <w:t>白</w:t>
      </w:r>
      <w:r>
        <w:rPr>
          <w:spacing w:val="-2"/>
        </w:rPr>
        <w:t>塞</w:t>
      </w:r>
      <w:r>
        <w:rPr>
          <w:spacing w:val="-2"/>
        </w:rPr>
        <w:t>病是一种慢性全身性</w:t>
      </w:r>
      <w:r>
        <w:rPr>
          <w:spacing w:val="-2"/>
        </w:rPr>
        <w:t>血</w:t>
      </w:r>
      <w:r>
        <w:rPr>
          <w:spacing w:val="-2"/>
        </w:rPr>
        <w:t>管</w:t>
      </w:r>
      <w:r>
        <w:rPr>
          <w:spacing w:val="-2"/>
        </w:rPr>
        <w:t>炎症性疾病</w:t>
      </w:r>
      <w:r>
        <w:rPr>
          <w:spacing w:val="-53"/>
        </w:rPr>
        <w:t>，</w:t>
      </w:r>
      <w:r>
        <w:rPr>
          <w:spacing w:val="-2"/>
        </w:rPr>
        <w:t>主要表</w:t>
      </w:r>
      <w:r>
        <w:rPr>
          <w:spacing w:val="-2"/>
        </w:rPr>
        <w:t>现</w:t>
      </w:r>
      <w:r>
        <w:rPr>
          <w:spacing w:val="-2"/>
        </w:rPr>
        <w:t>为</w:t>
      </w:r>
      <w:r>
        <w:rPr>
          <w:spacing w:val="-2"/>
        </w:rPr>
        <w:t>复发性口腔溃疡</w:t>
      </w:r>
      <w:r>
        <w:rPr>
          <w:spacing w:val="-53"/>
        </w:rPr>
        <w:t>、</w:t>
      </w:r>
      <w:r>
        <w:rPr>
          <w:spacing w:val="-2"/>
        </w:rPr>
        <w:t>生殖器</w:t>
      </w:r>
      <w:r>
        <w:rPr>
          <w:spacing w:val="-2"/>
        </w:rPr>
        <w:t>溃</w:t>
      </w:r>
      <w:r>
        <w:rPr>
          <w:spacing w:val="-4"/>
        </w:rPr>
        <w:t>疡</w:t>
      </w:r>
      <w:r>
        <w:rPr>
          <w:spacing w:val="-4"/>
        </w:rPr>
        <w:t>、眼炎及皮肤损害，并</w:t>
      </w:r>
      <w:r>
        <w:rPr>
          <w:spacing w:val="-4"/>
        </w:rPr>
        <w:t>可</w:t>
      </w:r>
      <w:r>
        <w:rPr>
          <w:spacing w:val="-4"/>
        </w:rPr>
        <w:t>累</w:t>
      </w:r>
      <w:r>
        <w:rPr>
          <w:spacing w:val="-4"/>
        </w:rPr>
        <w:t>及大</w:t>
      </w:r>
      <w:r>
        <w:rPr>
          <w:spacing w:val="-4"/>
        </w:rPr>
        <w:t>血</w:t>
      </w:r>
      <w:r>
        <w:rPr>
          <w:spacing w:val="-4"/>
        </w:rPr>
        <w:t>管</w:t>
      </w:r>
      <w:r>
        <w:rPr>
          <w:spacing w:val="-4"/>
        </w:rPr>
        <w:t>、神经</w:t>
      </w:r>
      <w:r>
        <w:rPr>
          <w:spacing w:val="-4"/>
        </w:rPr>
        <w:t>系</w:t>
      </w:r>
      <w:r>
        <w:rPr>
          <w:spacing w:val="-4"/>
        </w:rPr>
        <w:t>统</w:t>
      </w:r>
      <w:r>
        <w:rPr>
          <w:spacing w:val="-4"/>
        </w:rPr>
        <w:t>、消化道、肺、肾等等。</w:t>
      </w:r>
      <w:r>
        <w:rPr>
          <w:spacing w:val="-4"/>
        </w:rPr>
        <w:t>累</w:t>
      </w:r>
      <w:r>
        <w:rPr>
          <w:spacing w:val="-4"/>
        </w:rPr>
        <w:t>及</w:t>
      </w:r>
      <w:r>
        <w:rPr>
          <w:spacing w:val="-4"/>
        </w:rPr>
        <w:t>神</w:t>
      </w:r>
      <w:r>
        <w:rPr>
          <w:spacing w:val="-2"/>
        </w:rPr>
        <w:t>经</w:t>
      </w:r>
      <w:r>
        <w:rPr>
          <w:spacing w:val="-2"/>
        </w:rPr>
        <w:t>系</w:t>
      </w:r>
      <w:r>
        <w:rPr>
          <w:spacing w:val="-2"/>
        </w:rPr>
        <w:t>统损害的白塞病称为</w:t>
      </w:r>
      <w:r>
        <w:rPr>
          <w:spacing w:val="-2"/>
        </w:rPr>
        <w:t>神</w:t>
      </w:r>
      <w:r>
        <w:rPr>
          <w:spacing w:val="-2"/>
        </w:rPr>
        <w:t>经</w:t>
      </w:r>
      <w:r>
        <w:rPr>
          <w:spacing w:val="-2"/>
        </w:rPr>
        <w:t>白塞病</w:t>
      </w:r>
      <w:r>
        <w:rPr>
          <w:spacing w:val="-53"/>
        </w:rPr>
        <w:t>。</w:t>
      </w:r>
      <w:r>
        <w:rPr>
          <w:spacing w:val="-2"/>
        </w:rPr>
        <w:t>神经白塞病</w:t>
      </w:r>
      <w:r>
        <w:rPr>
          <w:spacing w:val="-2"/>
        </w:rPr>
        <w:t>必</w:t>
      </w:r>
      <w:r>
        <w:rPr>
          <w:spacing w:val="-2"/>
        </w:rPr>
        <w:t>须</w:t>
      </w:r>
      <w:r>
        <w:rPr>
          <w:spacing w:val="-2"/>
        </w:rPr>
        <w:t>明确诊断</w:t>
      </w:r>
      <w:r>
        <w:rPr>
          <w:spacing w:val="-56"/>
        </w:rPr>
        <w:t>，</w:t>
      </w:r>
      <w:r>
        <w:rPr>
          <w:spacing w:val="-2"/>
        </w:rPr>
        <w:t>并且已经造成</w:t>
      </w:r>
      <w:r>
        <w:rPr>
          <w:spacing w:val="-2"/>
        </w:rPr>
        <w:t>永</w:t>
      </w:r>
      <w:r>
        <w:rPr/>
        <w:t>久不可逆的神经系统功能</w:t>
      </w:r>
      <w:r>
        <w:rPr/>
        <w:t>损害。永久不可逆的神经</w:t>
      </w:r>
      <w:r>
        <w:rPr/>
        <w:t>系统损害指被保险人</w:t>
      </w:r>
      <w:r>
        <w:rPr/>
        <w:t>持</w:t>
      </w:r>
      <w:r>
        <w:rPr/>
        <w:t>续</w:t>
      </w:r>
      <w:r>
        <w:rPr>
          <w:spacing w:val="-46"/>
        </w:rPr>
        <w:t> </w:t>
      </w:r>
      <w:r>
        <w:rPr/>
        <w:t>180</w:t>
      </w:r>
      <w:r>
        <w:rPr>
          <w:spacing w:val="-2"/>
        </w:rPr>
        <w:t>天</w:t>
      </w:r>
      <w:r>
        <w:rPr>
          <w:spacing w:val="-2"/>
        </w:rPr>
        <w:t>无</w:t>
      </w:r>
      <w:r>
        <w:rPr>
          <w:spacing w:val="-2"/>
        </w:rPr>
        <w:t>法独立完成下列基本</w:t>
      </w:r>
      <w:r>
        <w:rPr>
          <w:spacing w:val="-2"/>
        </w:rPr>
        <w:t>日</w:t>
      </w:r>
      <w:r>
        <w:rPr>
          <w:spacing w:val="-2"/>
        </w:rPr>
        <w:t>常</w:t>
      </w:r>
      <w:r>
        <w:rPr>
          <w:spacing w:val="-2"/>
        </w:rPr>
        <w:t>生活活动之</w:t>
      </w:r>
      <w:r>
        <w:rPr>
          <w:spacing w:val="-2"/>
        </w:rPr>
        <w:t>一</w:t>
      </w:r>
      <w:r>
        <w:rPr>
          <w:spacing w:val="-2"/>
        </w:rPr>
        <w:t>：</w:t>
      </w:r>
    </w:p>
    <w:p>
      <w:pPr>
        <w:pStyle w:val="BodyText"/>
        <w:spacing w:before="1"/>
        <w:ind w:left="3081"/>
      </w:pPr>
      <w:r>
        <w:rPr>
          <w:spacing w:val="-6"/>
        </w:rPr>
        <w:t>Ⅰ 移动：自己从一个房间到另一个房间；</w:t>
      </w:r>
    </w:p>
    <w:p>
      <w:pPr>
        <w:pStyle w:val="BodyText"/>
        <w:spacing w:before="43"/>
        <w:ind w:left="3081"/>
      </w:pPr>
      <w:r>
        <w:rPr>
          <w:spacing w:val="-3"/>
        </w:rPr>
        <w:t>Ⅱ 进食：自己从已准备好的碗或碟中取食物放入口中。</w:t>
      </w:r>
    </w:p>
    <w:p>
      <w:pPr>
        <w:pStyle w:val="BodyText"/>
        <w:spacing w:before="7"/>
      </w:pPr>
    </w:p>
    <w:p>
      <w:pPr>
        <w:spacing w:after="0"/>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83、室壁瘤切除手</w:t>
      </w:r>
      <w:r>
        <w:rPr>
          <w:rFonts w:ascii="华文新魏" w:eastAsia="华文新魏" w:hint="eastAsia"/>
          <w:b/>
          <w:spacing w:val="-10"/>
          <w:sz w:val="21"/>
        </w:rPr>
        <w:t>术</w:t>
      </w:r>
    </w:p>
    <w:p>
      <w:pPr>
        <w:pStyle w:val="BodyText"/>
        <w:spacing w:before="79"/>
        <w:ind w:left="194"/>
      </w:pPr>
      <w:r>
        <w:rPr/>
        <w:br w:type="column"/>
      </w:r>
      <w:r>
        <w:rPr>
          <w:spacing w:val="-2"/>
        </w:rPr>
        <w:t>指因心肌梗死导致室壁瘤，实际实施了</w:t>
      </w:r>
      <w:r>
        <w:rPr>
          <w:rFonts w:ascii="黑体" w:eastAsia="黑体" w:hint="eastAsia"/>
          <w:b/>
          <w:spacing w:val="-2"/>
        </w:rPr>
        <w:t>开胸开心</w:t>
      </w:r>
      <w:r>
        <w:rPr>
          <w:spacing w:val="-3"/>
        </w:rPr>
        <w:t>室壁瘤切除手术治疗。</w:t>
      </w:r>
    </w:p>
    <w:p>
      <w:pPr>
        <w:spacing w:after="0"/>
        <w:sectPr>
          <w:type w:val="continuous"/>
          <w:pgSz w:w="11910" w:h="16840"/>
          <w:pgMar w:header="0" w:footer="655" w:top="140" w:bottom="280" w:left="560" w:right="480"/>
          <w:cols w:num="2" w:equalWidth="0">
            <w:col w:w="2847" w:space="40"/>
            <w:col w:w="7983"/>
          </w:cols>
        </w:sectPr>
      </w:pPr>
    </w:p>
    <w:p>
      <w:pPr>
        <w:pStyle w:val="BodyText"/>
        <w:spacing w:before="12"/>
        <w:rPr>
          <w:sz w:val="19"/>
        </w:rPr>
      </w:pPr>
    </w:p>
    <w:p>
      <w:pPr>
        <w:pStyle w:val="BodyText"/>
        <w:tabs>
          <w:tab w:pos="3081" w:val="left" w:leader="none"/>
        </w:tabs>
        <w:spacing w:line="256" w:lineRule="auto" w:before="54"/>
        <w:ind w:left="3081" w:right="322" w:hanging="1949"/>
      </w:pPr>
      <w:r>
        <w:rPr>
          <w:rFonts w:ascii="华文新魏" w:eastAsia="华文新魏" w:hint="eastAsia"/>
          <w:b/>
          <w:spacing w:val="-2"/>
          <w:position w:val="2"/>
        </w:rPr>
        <w:t>84</w:t>
      </w:r>
      <w:r>
        <w:rPr>
          <w:rFonts w:ascii="华文新魏" w:eastAsia="华文新魏" w:hint="eastAsia"/>
          <w:b/>
          <w:spacing w:val="-2"/>
          <w:position w:val="2"/>
        </w:rPr>
        <w:t>、</w:t>
      </w:r>
      <w:r>
        <w:rPr>
          <w:rFonts w:ascii="华文新魏" w:eastAsia="华文新魏" w:hint="eastAsia"/>
          <w:b/>
          <w:spacing w:val="-2"/>
          <w:position w:val="2"/>
        </w:rPr>
        <w:t>脑</w:t>
      </w:r>
      <w:r>
        <w:rPr>
          <w:rFonts w:ascii="华文新魏" w:eastAsia="华文新魏" w:hint="eastAsia"/>
          <w:b/>
          <w:spacing w:val="-2"/>
          <w:position w:val="2"/>
        </w:rPr>
        <w:t>型</w:t>
      </w:r>
      <w:r>
        <w:rPr>
          <w:rFonts w:ascii="华文新魏" w:eastAsia="华文新魏" w:hint="eastAsia"/>
          <w:b/>
          <w:spacing w:val="-2"/>
          <w:position w:val="2"/>
        </w:rPr>
        <w:t>疟</w:t>
      </w:r>
      <w:r>
        <w:rPr>
          <w:rFonts w:ascii="华文新魏" w:eastAsia="华文新魏" w:hint="eastAsia"/>
          <w:b/>
          <w:spacing w:val="-2"/>
          <w:position w:val="2"/>
        </w:rPr>
        <w:t>疾</w:t>
      </w:r>
      <w:r>
        <w:rPr>
          <w:rFonts w:ascii="华文新魏" w:eastAsia="华文新魏" w:hint="eastAsia"/>
          <w:b/>
          <w:position w:val="2"/>
        </w:rPr>
        <w:tab/>
      </w:r>
      <w:r>
        <w:rPr>
          <w:spacing w:val="-2"/>
        </w:rPr>
        <w:t>恶</w:t>
      </w:r>
      <w:r>
        <w:rPr>
          <w:spacing w:val="-2"/>
        </w:rPr>
        <w:t>性</w:t>
      </w:r>
      <w:r>
        <w:rPr>
          <w:spacing w:val="-2"/>
        </w:rPr>
        <w:t>疟原虫严重感染导致</w:t>
      </w:r>
      <w:r>
        <w:rPr>
          <w:spacing w:val="-2"/>
        </w:rPr>
        <w:t>的</w:t>
      </w:r>
      <w:r>
        <w:rPr>
          <w:spacing w:val="-2"/>
        </w:rPr>
        <w:t>脑</w:t>
      </w:r>
      <w:r>
        <w:rPr>
          <w:spacing w:val="-2"/>
        </w:rPr>
        <w:t>病或脑型疟疾</w:t>
      </w:r>
      <w:r>
        <w:rPr>
          <w:spacing w:val="-56"/>
        </w:rPr>
        <w:t>，</w:t>
      </w:r>
      <w:r>
        <w:rPr>
          <w:spacing w:val="-2"/>
        </w:rPr>
        <w:t>以昏</w:t>
      </w:r>
      <w:r>
        <w:rPr>
          <w:spacing w:val="-2"/>
        </w:rPr>
        <w:t>迷</w:t>
      </w:r>
      <w:r>
        <w:rPr>
          <w:spacing w:val="-2"/>
        </w:rPr>
        <w:t>为</w:t>
      </w:r>
      <w:r>
        <w:rPr>
          <w:spacing w:val="-2"/>
        </w:rPr>
        <w:t>主要特征</w:t>
      </w:r>
      <w:r>
        <w:rPr>
          <w:spacing w:val="-56"/>
        </w:rPr>
        <w:t>。</w:t>
      </w:r>
      <w:r>
        <w:rPr>
          <w:spacing w:val="-2"/>
        </w:rPr>
        <w:t>脑型疟疾的诊</w:t>
      </w:r>
      <w:r>
        <w:rPr>
          <w:spacing w:val="-2"/>
        </w:rPr>
        <w:t>断</w:t>
      </w:r>
      <w:r>
        <w:rPr>
          <w:spacing w:val="-2"/>
        </w:rPr>
        <w:t>须</w:t>
      </w:r>
      <w:r>
        <w:rPr>
          <w:spacing w:val="-2"/>
        </w:rPr>
        <w:t>由</w:t>
      </w:r>
      <w:r>
        <w:rPr>
          <w:spacing w:val="-2"/>
        </w:rPr>
        <w:t>专科医生确认，且外</w:t>
      </w:r>
      <w:r>
        <w:rPr>
          <w:spacing w:val="-2"/>
        </w:rPr>
        <w:t>周</w:t>
      </w:r>
      <w:r>
        <w:rPr>
          <w:spacing w:val="-2"/>
        </w:rPr>
        <w:t>血</w:t>
      </w:r>
      <w:r>
        <w:rPr>
          <w:spacing w:val="-2"/>
        </w:rPr>
        <w:t>涂片存在恶性疟原虫。</w:t>
      </w:r>
    </w:p>
    <w:p>
      <w:pPr>
        <w:spacing w:before="26"/>
        <w:ind w:left="3081" w:right="0" w:firstLine="0"/>
        <w:jc w:val="left"/>
        <w:rPr>
          <w:rFonts w:ascii="黑体" w:eastAsia="黑体" w:hint="eastAsia"/>
          <w:b/>
          <w:sz w:val="21"/>
        </w:rPr>
      </w:pPr>
      <w:r>
        <w:rPr>
          <w:rFonts w:ascii="黑体" w:eastAsia="黑体" w:hint="eastAsia"/>
          <w:b/>
          <w:spacing w:val="-3"/>
          <w:sz w:val="21"/>
        </w:rPr>
        <w:t>其他明确病因导致的脑病不在保障范围内。</w:t>
      </w: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z w:val="21"/>
        </w:rPr>
        <w:t>85</w:t>
      </w:r>
      <w:r>
        <w:rPr>
          <w:rFonts w:ascii="华文新魏" w:eastAsia="华文新魏" w:hint="eastAsia"/>
          <w:b/>
          <w:spacing w:val="-19"/>
          <w:sz w:val="21"/>
        </w:rPr>
        <w:t>、严重 </w:t>
      </w:r>
      <w:r>
        <w:rPr>
          <w:rFonts w:ascii="华文新魏" w:eastAsia="华文新魏" w:hint="eastAsia"/>
          <w:b/>
          <w:sz w:val="21"/>
        </w:rPr>
        <w:t>III</w:t>
      </w:r>
      <w:r>
        <w:rPr>
          <w:rFonts w:ascii="华文新魏" w:eastAsia="华文新魏" w:hint="eastAsia"/>
          <w:b/>
          <w:spacing w:val="-4"/>
          <w:sz w:val="21"/>
        </w:rPr>
        <w:t> 度冻伤</w:t>
      </w:r>
      <w:r>
        <w:rPr>
          <w:rFonts w:ascii="华文新魏" w:eastAsia="华文新魏" w:hint="eastAsia"/>
          <w:b/>
          <w:spacing w:val="-4"/>
          <w:sz w:val="21"/>
        </w:rPr>
        <w:t>导致截肢</w:t>
      </w:r>
    </w:p>
    <w:p>
      <w:pPr>
        <w:pStyle w:val="BodyText"/>
        <w:spacing w:line="278" w:lineRule="auto" w:before="79"/>
        <w:ind w:left="171" w:right="217"/>
      </w:pPr>
      <w:r>
        <w:rPr/>
        <w:br w:type="column"/>
      </w:r>
      <w:r>
        <w:rPr>
          <w:spacing w:val="-4"/>
        </w:rPr>
        <w:t>冻伤是由于寒冷潮湿作用引起的人体局部或全身损伤。指冻伤程度达到 </w:t>
      </w:r>
      <w:r>
        <w:rPr/>
        <w:t>III</w:t>
      </w:r>
      <w:r>
        <w:rPr>
          <w:spacing w:val="-21"/>
        </w:rPr>
        <w:t> 度，且</w:t>
      </w:r>
      <w:r>
        <w:rPr>
          <w:spacing w:val="-2"/>
        </w:rPr>
        <w:t>导致一个或一个以上肢体自腕关节或踝关节近端（靠近躯干端）以上完全性断离。</w:t>
      </w:r>
    </w:p>
    <w:p>
      <w:pPr>
        <w:spacing w:after="0" w:line="278" w:lineRule="auto"/>
        <w:sectPr>
          <w:type w:val="continuous"/>
          <w:pgSz w:w="11910" w:h="16840"/>
          <w:pgMar w:header="0" w:footer="655" w:top="140" w:bottom="280" w:left="560" w:right="480"/>
          <w:cols w:num="2" w:equalWidth="0">
            <w:col w:w="2871" w:space="40"/>
            <w:col w:w="7959"/>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86、弥漫性血管内</w:t>
      </w:r>
      <w:r>
        <w:rPr>
          <w:rFonts w:ascii="华文新魏" w:eastAsia="华文新魏" w:hint="eastAsia"/>
          <w:b/>
          <w:spacing w:val="-6"/>
          <w:sz w:val="21"/>
        </w:rPr>
        <w:t>凝血</w:t>
      </w:r>
    </w:p>
    <w:p>
      <w:pPr>
        <w:pStyle w:val="BodyText"/>
        <w:spacing w:line="278" w:lineRule="auto" w:before="78"/>
        <w:ind w:left="194" w:right="322"/>
        <w:jc w:val="both"/>
      </w:pPr>
      <w:r>
        <w:rPr/>
        <w:br w:type="column"/>
      </w:r>
      <w:r>
        <w:rPr>
          <w:spacing w:val="-6"/>
        </w:rPr>
        <w:t>指血液凝固系统和纤溶系统的过度活动导致微血管血栓形成、血小板及凝血因子耗</w:t>
      </w:r>
      <w:r>
        <w:rPr>
          <w:spacing w:val="-11"/>
        </w:rPr>
        <w:t>竭和严重出血，需要输注血浆和浓缩血小板进行治疗。须提供同时具有下列条件中</w:t>
      </w:r>
      <w:r>
        <w:rPr>
          <w:spacing w:val="-2"/>
        </w:rPr>
        <w:t>的至少三项的检验报告：</w:t>
      </w:r>
    </w:p>
    <w:p>
      <w:pPr>
        <w:pStyle w:val="BodyText"/>
        <w:spacing w:line="269" w:lineRule="exact"/>
        <w:ind w:left="194"/>
        <w:jc w:val="both"/>
      </w:pPr>
      <w:r>
        <w:rPr>
          <w:spacing w:val="-4"/>
        </w:rPr>
        <w:t>Ⅰ 血小板计数&lt;</w:t>
      </w:r>
      <w:r>
        <w:rPr/>
        <w:t>100×10</w:t>
      </w:r>
      <w:r>
        <w:rPr>
          <w:position w:val="11"/>
          <w:sz w:val="11"/>
        </w:rPr>
        <w:t>9</w:t>
      </w:r>
      <w:r>
        <w:rPr/>
        <w:t>/L</w:t>
      </w:r>
      <w:r>
        <w:rPr>
          <w:spacing w:val="-5"/>
        </w:rPr>
        <w:t> 或者呈进行性下降；</w:t>
      </w:r>
    </w:p>
    <w:p>
      <w:pPr>
        <w:pStyle w:val="BodyText"/>
        <w:spacing w:line="278" w:lineRule="auto" w:before="43"/>
        <w:ind w:left="194" w:right="1846"/>
        <w:jc w:val="both"/>
      </w:pPr>
      <w:r>
        <w:rPr>
          <w:spacing w:val="-6"/>
        </w:rPr>
        <w:t>Ⅱ 血浆纤维蛋白原含量</w:t>
      </w:r>
      <w:r>
        <w:rPr/>
        <w:t>&lt;1.5g/L</w:t>
      </w:r>
      <w:r>
        <w:rPr>
          <w:spacing w:val="-9"/>
        </w:rPr>
        <w:t> 或者</w:t>
      </w:r>
      <w:r>
        <w:rPr/>
        <w:t>&gt;4g/L</w:t>
      </w:r>
      <w:r>
        <w:rPr>
          <w:spacing w:val="-5"/>
        </w:rPr>
        <w:t> 或者呈进行性下降；</w:t>
      </w:r>
      <w:r>
        <w:rPr/>
        <w:t> Ⅲ 3P</w:t>
      </w:r>
      <w:r>
        <w:rPr>
          <w:spacing w:val="1"/>
        </w:rPr>
        <w:t> 试验阳性或者血浆</w:t>
      </w:r>
      <w:r>
        <w:rPr/>
        <w:t>FDP&gt;20mg/L；</w:t>
      </w:r>
    </w:p>
    <w:p>
      <w:pPr>
        <w:pStyle w:val="BodyText"/>
        <w:spacing w:line="269" w:lineRule="exact"/>
        <w:ind w:left="194"/>
        <w:jc w:val="both"/>
      </w:pPr>
      <w:r>
        <w:rPr>
          <w:spacing w:val="-2"/>
        </w:rPr>
        <w:t>Ⅳ 凝血酶原时间&gt;15</w:t>
      </w:r>
      <w:r>
        <w:rPr>
          <w:spacing w:val="-14"/>
        </w:rPr>
        <w:t> 秒或者超过对照组 </w:t>
      </w:r>
      <w:r>
        <w:rPr>
          <w:spacing w:val="-2"/>
        </w:rPr>
        <w:t>3</w:t>
      </w:r>
      <w:r>
        <w:rPr>
          <w:spacing w:val="-14"/>
        </w:rPr>
        <w:t> 秒以上。</w:t>
      </w:r>
    </w:p>
    <w:p>
      <w:pPr>
        <w:spacing w:after="0" w:line="269" w:lineRule="exact"/>
        <w:jc w:val="both"/>
        <w:sectPr>
          <w:type w:val="continuous"/>
          <w:pgSz w:w="11910" w:h="16840"/>
          <w:pgMar w:header="0" w:footer="655" w:top="140" w:bottom="280" w:left="560" w:right="480"/>
          <w:cols w:num="2" w:equalWidth="0">
            <w:col w:w="2847" w:space="40"/>
            <w:col w:w="7983"/>
          </w:cols>
        </w:sectPr>
      </w:pPr>
    </w:p>
    <w:p>
      <w:pPr>
        <w:pStyle w:val="BodyText"/>
        <w:spacing w:before="8"/>
      </w:pPr>
    </w:p>
    <w:p>
      <w:pPr>
        <w:spacing w:after="0"/>
        <w:sectPr>
          <w:type w:val="continuous"/>
          <w:pgSz w:w="11910" w:h="16840"/>
          <w:pgMar w:header="0" w:footer="655" w:top="140" w:bottom="280" w:left="560" w:right="480"/>
        </w:sectPr>
      </w:pPr>
    </w:p>
    <w:p>
      <w:pPr>
        <w:spacing w:line="312" w:lineRule="exact" w:before="56"/>
        <w:ind w:left="1132" w:right="0" w:firstLine="0"/>
        <w:jc w:val="left"/>
        <w:rPr>
          <w:rFonts w:ascii="华文新魏" w:eastAsia="华文新魏" w:hint="eastAsia"/>
          <w:b/>
          <w:sz w:val="21"/>
        </w:rPr>
      </w:pPr>
      <w:r>
        <w:rPr>
          <w:rFonts w:ascii="华文新魏" w:eastAsia="华文新魏" w:hint="eastAsia"/>
          <w:b/>
          <w:spacing w:val="-2"/>
          <w:sz w:val="21"/>
        </w:rPr>
        <w:t>87</w:t>
      </w:r>
      <w:r>
        <w:rPr>
          <w:rFonts w:ascii="华文新魏" w:eastAsia="华文新魏" w:hint="eastAsia"/>
          <w:b/>
          <w:spacing w:val="-4"/>
          <w:sz w:val="21"/>
        </w:rPr>
        <w:t>、急性肺损伤</w:t>
      </w:r>
    </w:p>
    <w:p>
      <w:pPr>
        <w:spacing w:before="0"/>
        <w:ind w:left="1132" w:right="0" w:firstLine="0"/>
        <w:jc w:val="left"/>
        <w:rPr>
          <w:rFonts w:ascii="华文新魏" w:eastAsia="华文新魏" w:hint="eastAsia"/>
          <w:b/>
          <w:sz w:val="21"/>
        </w:rPr>
      </w:pPr>
      <w:r>
        <w:rPr>
          <w:rFonts w:ascii="华文新魏" w:eastAsia="华文新魏" w:hint="eastAsia"/>
          <w:b/>
          <w:spacing w:val="-6"/>
          <w:sz w:val="21"/>
        </w:rPr>
        <w:t>（ALI）或急性呼吸</w:t>
      </w:r>
      <w:r>
        <w:rPr>
          <w:rFonts w:ascii="华文新魏" w:eastAsia="华文新魏" w:hint="eastAsia"/>
          <w:b/>
          <w:spacing w:val="-2"/>
          <w:sz w:val="21"/>
        </w:rPr>
        <w:t>窘迫综合征</w:t>
      </w:r>
    </w:p>
    <w:p>
      <w:pPr>
        <w:spacing w:line="311" w:lineRule="exact" w:before="0"/>
        <w:ind w:left="1132" w:right="0" w:firstLine="0"/>
        <w:jc w:val="left"/>
        <w:rPr>
          <w:rFonts w:ascii="华文新魏" w:eastAsia="华文新魏" w:hint="eastAsia"/>
          <w:b/>
          <w:sz w:val="21"/>
        </w:rPr>
      </w:pPr>
      <w:r>
        <w:rPr>
          <w:rFonts w:ascii="华文新魏" w:eastAsia="华文新魏" w:hint="eastAsia"/>
          <w:b/>
          <w:spacing w:val="-2"/>
          <w:sz w:val="21"/>
        </w:rPr>
        <w:t>（ARDS）</w:t>
      </w:r>
    </w:p>
    <w:p>
      <w:pPr>
        <w:pStyle w:val="BodyText"/>
        <w:spacing w:line="278" w:lineRule="auto" w:before="78"/>
        <w:ind w:left="171" w:right="322"/>
        <w:jc w:val="both"/>
      </w:pPr>
      <w:r>
        <w:rPr/>
        <w:br w:type="column"/>
      </w:r>
      <w:r>
        <w:rPr>
          <w:spacing w:val="-6"/>
        </w:rPr>
        <w:t>指一种由于肺泡毛细血管和肺泡上皮细胞损伤引起的弥漫性肺间质及肺泡水肿，以</w:t>
      </w:r>
      <w:r>
        <w:rPr>
          <w:spacing w:val="-11"/>
        </w:rPr>
        <w:t>进行性低氧血症、呼吸窘迫为特征的急性呼吸综合征。须由呼吸科或者重症监护室</w:t>
      </w:r>
      <w:r>
        <w:rPr>
          <w:spacing w:val="-2"/>
        </w:rPr>
        <w:t>专科医生明确诊断，并须满足下列全部条件：</w:t>
      </w:r>
    </w:p>
    <w:p>
      <w:pPr>
        <w:pStyle w:val="BodyText"/>
        <w:spacing w:line="278" w:lineRule="auto"/>
        <w:ind w:left="171" w:right="3346"/>
      </w:pPr>
      <w:r>
        <w:rPr>
          <w:spacing w:val="11"/>
        </w:rPr>
        <w:t>Ⅰ 急性发作</w:t>
      </w:r>
      <w:r>
        <w:rPr/>
        <w:t>（</w:t>
      </w:r>
      <w:r>
        <w:rPr>
          <w:spacing w:val="-7"/>
        </w:rPr>
        <w:t>原发疾病起病后 </w:t>
      </w:r>
      <w:r>
        <w:rPr/>
        <w:t>7</w:t>
      </w:r>
      <w:r>
        <w:rPr>
          <w:spacing w:val="-12"/>
        </w:rPr>
        <w:t> 天内发病</w:t>
      </w:r>
      <w:r>
        <w:rPr>
          <w:spacing w:val="-108"/>
        </w:rPr>
        <w:t>）</w:t>
      </w:r>
      <w:r>
        <w:rPr/>
        <w:t>；</w:t>
      </w:r>
      <w:r>
        <w:rPr>
          <w:spacing w:val="-54"/>
        </w:rPr>
        <w:t> </w:t>
      </w:r>
      <w:r>
        <w:rPr/>
        <w:t>Ⅱ 影像学检查证实双肺浸润影；</w:t>
      </w:r>
    </w:p>
    <w:p>
      <w:pPr>
        <w:pStyle w:val="BodyText"/>
        <w:spacing w:line="269" w:lineRule="exact"/>
        <w:ind w:left="171"/>
      </w:pPr>
      <w:r>
        <w:rPr>
          <w:spacing w:val="28"/>
        </w:rPr>
        <w:t>Ⅲ </w:t>
      </w:r>
      <w:r>
        <w:rPr/>
        <w:t>PEEP(呼气末正压)≥5</w:t>
      </w:r>
      <w:r>
        <w:rPr>
          <w:spacing w:val="-55"/>
        </w:rPr>
        <w:t> </w:t>
      </w:r>
      <w:r>
        <w:rPr/>
        <w:t>cmH2O</w:t>
      </w:r>
      <w:r>
        <w:rPr>
          <w:spacing w:val="-19"/>
        </w:rPr>
        <w:t> 时，</w:t>
      </w:r>
      <w:r>
        <w:rPr/>
        <w:t>PaO2/FiO2（动脉氧分压/吸入氧浓度）</w:t>
      </w:r>
      <w:r>
        <w:rPr>
          <w:spacing w:val="-5"/>
        </w:rPr>
        <w:t>低于</w:t>
      </w:r>
    </w:p>
    <w:p>
      <w:pPr>
        <w:pStyle w:val="BodyText"/>
        <w:spacing w:before="43"/>
        <w:ind w:left="171"/>
      </w:pPr>
      <w:r>
        <w:rPr>
          <w:spacing w:val="-2"/>
        </w:rPr>
        <w:t>200mmHg；</w:t>
      </w:r>
    </w:p>
    <w:p>
      <w:pPr>
        <w:pStyle w:val="BodyText"/>
        <w:spacing w:before="43"/>
        <w:ind w:left="171"/>
      </w:pPr>
      <w:r>
        <w:rPr/>
        <w:t>Ⅳ</w:t>
      </w:r>
      <w:r>
        <w:rPr>
          <w:spacing w:val="38"/>
          <w:w w:val="150"/>
        </w:rPr>
        <w:t> </w:t>
      </w:r>
      <w:r>
        <w:rPr>
          <w:spacing w:val="-2"/>
        </w:rPr>
        <w:t>非心源性导致的肺水肿。</w:t>
      </w:r>
    </w:p>
    <w:p>
      <w:pPr>
        <w:spacing w:after="0"/>
        <w:sectPr>
          <w:type w:val="continuous"/>
          <w:pgSz w:w="11910" w:h="16840"/>
          <w:pgMar w:header="0" w:footer="655" w:top="140" w:bottom="280" w:left="560" w:right="480"/>
          <w:cols w:num="2" w:equalWidth="0">
            <w:col w:w="2871" w:space="40"/>
            <w:col w:w="7959"/>
          </w:cols>
        </w:sectPr>
      </w:pPr>
    </w:p>
    <w:p>
      <w:pPr>
        <w:pStyle w:val="BodyText"/>
        <w:spacing w:before="4"/>
        <w:rPr>
          <w:sz w:val="10"/>
        </w:rPr>
      </w:pPr>
    </w:p>
    <w:p>
      <w:pPr>
        <w:pStyle w:val="BodyText"/>
        <w:tabs>
          <w:tab w:pos="3081" w:val="left" w:leader="none"/>
        </w:tabs>
        <w:spacing w:line="256" w:lineRule="auto" w:before="54"/>
        <w:ind w:left="3081" w:right="322" w:hanging="1949"/>
      </w:pPr>
      <w:r>
        <w:rPr>
          <w:rFonts w:ascii="华文新魏" w:eastAsia="华文新魏" w:hint="eastAsia"/>
          <w:b/>
          <w:spacing w:val="-2"/>
          <w:position w:val="2"/>
        </w:rPr>
        <w:t>88</w:t>
      </w:r>
      <w:r>
        <w:rPr>
          <w:rFonts w:ascii="华文新魏" w:eastAsia="华文新魏" w:hint="eastAsia"/>
          <w:b/>
          <w:spacing w:val="-2"/>
          <w:position w:val="2"/>
        </w:rPr>
        <w:t>、</w:t>
      </w:r>
      <w:r>
        <w:rPr>
          <w:rFonts w:ascii="华文新魏" w:eastAsia="华文新魏" w:hint="eastAsia"/>
          <w:b/>
          <w:spacing w:val="-2"/>
          <w:position w:val="2"/>
        </w:rPr>
        <w:t>心</w:t>
      </w:r>
      <w:r>
        <w:rPr>
          <w:rFonts w:ascii="华文新魏" w:eastAsia="华文新魏" w:hint="eastAsia"/>
          <w:b/>
          <w:spacing w:val="-2"/>
          <w:position w:val="2"/>
        </w:rPr>
        <w:t>脏粘液瘤</w:t>
      </w:r>
      <w:r>
        <w:rPr>
          <w:rFonts w:ascii="华文新魏" w:eastAsia="华文新魏" w:hint="eastAsia"/>
          <w:b/>
          <w:position w:val="2"/>
        </w:rPr>
        <w:tab/>
      </w:r>
      <w:r>
        <w:rPr>
          <w:spacing w:val="-2"/>
        </w:rPr>
        <w:t>指</w:t>
      </w:r>
      <w:r>
        <w:rPr>
          <w:spacing w:val="-2"/>
        </w:rPr>
        <w:t>经</w:t>
      </w:r>
      <w:r>
        <w:rPr>
          <w:spacing w:val="-2"/>
        </w:rPr>
        <w:t>本公司认可医院的心</w:t>
      </w:r>
      <w:r>
        <w:rPr>
          <w:spacing w:val="-2"/>
        </w:rPr>
        <w:t>脏</w:t>
      </w:r>
      <w:r>
        <w:rPr>
          <w:spacing w:val="-2"/>
        </w:rPr>
        <w:t>专</w:t>
      </w:r>
      <w:r>
        <w:rPr>
          <w:spacing w:val="-2"/>
        </w:rPr>
        <w:t>科医生确诊的心脏原</w:t>
      </w:r>
      <w:r>
        <w:rPr>
          <w:spacing w:val="-2"/>
        </w:rPr>
        <w:t>发</w:t>
      </w:r>
      <w:r>
        <w:rPr>
          <w:spacing w:val="-2"/>
        </w:rPr>
        <w:t>性</w:t>
      </w:r>
      <w:r>
        <w:rPr>
          <w:spacing w:val="-2"/>
        </w:rPr>
        <w:t>良性心脏肿瘤</w:t>
      </w:r>
      <w:r>
        <w:rPr>
          <w:spacing w:val="-108"/>
        </w:rPr>
        <w:t>，</w:t>
      </w:r>
      <w:r>
        <w:rPr>
          <w:spacing w:val="-2"/>
        </w:rPr>
        <w:t>并</w:t>
      </w:r>
      <w:r>
        <w:rPr>
          <w:spacing w:val="-2"/>
        </w:rPr>
        <w:t>经</w:t>
      </w:r>
      <w:r>
        <w:rPr>
          <w:spacing w:val="-2"/>
        </w:rPr>
        <w:t>术</w:t>
      </w:r>
      <w:r>
        <w:rPr>
          <w:spacing w:val="-2"/>
        </w:rPr>
        <w:t>后</w:t>
      </w:r>
      <w:r>
        <w:rPr>
          <w:spacing w:val="-2"/>
        </w:rPr>
        <w:t>病</w:t>
      </w:r>
      <w:r>
        <w:rPr>
          <w:spacing w:val="-2"/>
        </w:rPr>
        <w:t>理</w:t>
      </w:r>
      <w:r>
        <w:rPr>
          <w:spacing w:val="-2"/>
        </w:rPr>
        <w:t>或</w:t>
      </w:r>
      <w:r>
        <w:rPr>
          <w:spacing w:val="-2"/>
        </w:rPr>
        <w:t>细胞学诊断。</w:t>
      </w:r>
    </w:p>
    <w:p>
      <w:pPr>
        <w:pStyle w:val="BodyText"/>
        <w:spacing w:before="6"/>
        <w:rPr>
          <w:sz w:val="24"/>
        </w:rPr>
      </w:pPr>
    </w:p>
    <w:p>
      <w:pPr>
        <w:pStyle w:val="BodyText"/>
        <w:tabs>
          <w:tab w:pos="3081" w:val="left" w:leader="none"/>
        </w:tabs>
        <w:spacing w:line="256" w:lineRule="auto"/>
        <w:ind w:left="3081" w:right="322" w:hanging="1949"/>
      </w:pPr>
      <w:r>
        <w:rPr>
          <w:rFonts w:ascii="华文新魏" w:eastAsia="华文新魏" w:hint="eastAsia"/>
          <w:b/>
          <w:spacing w:val="-2"/>
          <w:position w:val="2"/>
        </w:rPr>
        <w:t>89</w:t>
      </w:r>
      <w:r>
        <w:rPr>
          <w:rFonts w:ascii="华文新魏" w:eastAsia="华文新魏" w:hint="eastAsia"/>
          <w:b/>
          <w:spacing w:val="-2"/>
          <w:position w:val="2"/>
        </w:rPr>
        <w:t>、</w:t>
      </w:r>
      <w:r>
        <w:rPr>
          <w:rFonts w:ascii="华文新魏" w:eastAsia="华文新魏" w:hint="eastAsia"/>
          <w:b/>
          <w:spacing w:val="-2"/>
          <w:position w:val="2"/>
        </w:rPr>
        <w:t>范</w:t>
      </w:r>
      <w:r>
        <w:rPr>
          <w:rFonts w:ascii="华文新魏" w:eastAsia="华文新魏" w:hint="eastAsia"/>
          <w:b/>
          <w:spacing w:val="-2"/>
          <w:position w:val="2"/>
        </w:rPr>
        <w:t>可尼综</w:t>
      </w:r>
      <w:r>
        <w:rPr>
          <w:rFonts w:ascii="华文新魏" w:eastAsia="华文新魏" w:hint="eastAsia"/>
          <w:b/>
          <w:spacing w:val="-2"/>
          <w:position w:val="2"/>
        </w:rPr>
        <w:t>合</w:t>
      </w:r>
      <w:r>
        <w:rPr>
          <w:rFonts w:ascii="华文新魏" w:eastAsia="华文新魏" w:hint="eastAsia"/>
          <w:b/>
          <w:spacing w:val="-2"/>
          <w:position w:val="2"/>
        </w:rPr>
        <w:t>征</w:t>
      </w:r>
      <w:r>
        <w:rPr>
          <w:rFonts w:ascii="华文新魏" w:eastAsia="华文新魏" w:hint="eastAsia"/>
          <w:b/>
          <w:position w:val="2"/>
        </w:rPr>
        <w:tab/>
      </w:r>
      <w:r>
        <w:rPr/>
        <w:t>也称</w:t>
      </w:r>
      <w:r>
        <w:rPr>
          <w:spacing w:val="-52"/>
        </w:rPr>
        <w:t> </w:t>
      </w:r>
      <w:r>
        <w:rPr/>
        <w:t>Fanconi</w:t>
      </w:r>
      <w:r>
        <w:rPr>
          <w:spacing w:val="-53"/>
        </w:rPr>
        <w:t> </w:t>
      </w:r>
      <w:r>
        <w:rPr/>
        <w:t>综合征</w:t>
      </w:r>
      <w:r>
        <w:rPr>
          <w:spacing w:val="-53"/>
        </w:rPr>
        <w:t>，</w:t>
      </w:r>
      <w:r>
        <w:rPr/>
        <w:t>指</w:t>
      </w:r>
      <w:r>
        <w:rPr/>
        <w:t>近端肾小管的功能异常引</w:t>
      </w:r>
      <w:r>
        <w:rPr/>
        <w:t>起的一组症候群</w:t>
      </w:r>
      <w:r>
        <w:rPr>
          <w:spacing w:val="-53"/>
        </w:rPr>
        <w:t>。</w:t>
      </w:r>
      <w:r>
        <w:rPr/>
        <w:t>须经专科医</w:t>
      </w:r>
      <w:r>
        <w:rPr/>
        <w:t>生</w:t>
      </w:r>
      <w:r>
        <w:rPr>
          <w:spacing w:val="-2"/>
        </w:rPr>
        <w:t>诊</w:t>
      </w:r>
      <w:r>
        <w:rPr>
          <w:spacing w:val="-2"/>
        </w:rPr>
        <w:t>断</w:t>
      </w:r>
      <w:r>
        <w:rPr>
          <w:spacing w:val="-2"/>
        </w:rPr>
        <w:t>，且须满足下列至少</w:t>
      </w:r>
      <w:r>
        <w:rPr>
          <w:spacing w:val="-2"/>
        </w:rPr>
        <w:t>三</w:t>
      </w:r>
      <w:r>
        <w:rPr>
          <w:spacing w:val="-2"/>
        </w:rPr>
        <w:t>项</w:t>
      </w:r>
      <w:r>
        <w:rPr>
          <w:spacing w:val="-2"/>
        </w:rPr>
        <w:t>条</w:t>
      </w:r>
      <w:r>
        <w:rPr>
          <w:spacing w:val="-2"/>
        </w:rPr>
        <w:t>件</w:t>
      </w:r>
      <w:r>
        <w:rPr>
          <w:spacing w:val="-2"/>
        </w:rPr>
        <w:t>：</w:t>
      </w:r>
    </w:p>
    <w:p>
      <w:pPr>
        <w:pStyle w:val="BodyText"/>
        <w:spacing w:before="26"/>
        <w:ind w:left="3081"/>
      </w:pPr>
      <w:r>
        <w:rPr>
          <w:spacing w:val="-3"/>
        </w:rPr>
        <w:t>Ⅰ 尿液检查出现肾性糖尿、全氨基酸糖尿或磷酸盐尿；</w:t>
      </w:r>
    </w:p>
    <w:p>
      <w:pPr>
        <w:pStyle w:val="BodyText"/>
        <w:spacing w:line="278" w:lineRule="auto" w:before="42"/>
        <w:ind w:left="3081" w:right="1992"/>
      </w:pPr>
      <w:r>
        <w:rPr>
          <w:spacing w:val="-6"/>
        </w:rPr>
        <w:t>Ⅱ 血液检查出现低磷血症、低尿酸血症或近端肾小管酸中毒；</w:t>
      </w:r>
      <w:r>
        <w:rPr/>
        <w:t> Ⅲ 出现骨质疏松、骨骼畸形或尿路结石；</w:t>
      </w:r>
    </w:p>
    <w:p>
      <w:pPr>
        <w:pStyle w:val="BodyText"/>
        <w:spacing w:line="269" w:lineRule="exact"/>
        <w:ind w:left="3081"/>
      </w:pPr>
      <w:r>
        <w:rPr>
          <w:spacing w:val="-12"/>
        </w:rPr>
        <w:t>Ⅳ 通过骨髓片、白细胞、直肠黏膜中的结晶分析或裂隙灯检查角膜有胱氨酸结晶。</w:t>
      </w:r>
    </w:p>
    <w:p>
      <w:pPr>
        <w:spacing w:before="43"/>
        <w:ind w:left="3081" w:right="0" w:firstLine="0"/>
        <w:jc w:val="left"/>
        <w:rPr>
          <w:rFonts w:ascii="黑体" w:eastAsia="黑体" w:hint="eastAsia"/>
          <w:b/>
          <w:sz w:val="21"/>
        </w:rPr>
      </w:pPr>
      <w:r>
        <w:rPr>
          <w:rFonts w:ascii="黑体" w:eastAsia="黑体" w:hint="eastAsia"/>
          <w:b/>
          <w:spacing w:val="-3"/>
          <w:sz w:val="21"/>
        </w:rPr>
        <w:t>被保险人在三周岁之前罹患该疾病，本公司不承担保险责任。</w:t>
      </w:r>
    </w:p>
    <w:p>
      <w:pPr>
        <w:pStyle w:val="BodyText"/>
        <w:spacing w:before="8"/>
        <w:rPr>
          <w:rFonts w:ascii="黑体"/>
          <w:b/>
        </w:rPr>
      </w:pPr>
    </w:p>
    <w:p>
      <w:pPr>
        <w:spacing w:after="0"/>
        <w:rPr>
          <w:rFonts w:ascii="黑体"/>
        </w:rPr>
        <w:sectPr>
          <w:pgSz w:w="11910" w:h="16840"/>
          <w:pgMar w:header="0" w:footer="655" w:top="158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90、严重出血性登</w:t>
      </w:r>
      <w:r>
        <w:rPr>
          <w:rFonts w:ascii="华文新魏" w:eastAsia="华文新魏" w:hint="eastAsia"/>
          <w:b/>
          <w:spacing w:val="-6"/>
          <w:sz w:val="21"/>
        </w:rPr>
        <w:t>革热</w:t>
      </w:r>
    </w:p>
    <w:p>
      <w:pPr>
        <w:pStyle w:val="BodyText"/>
        <w:spacing w:line="278" w:lineRule="auto" w:before="78"/>
        <w:ind w:left="190" w:right="322"/>
      </w:pPr>
      <w:r>
        <w:rPr/>
        <w:br w:type="column"/>
      </w:r>
      <w:r>
        <w:rPr>
          <w:spacing w:val="-8"/>
        </w:rPr>
        <w:t>是由登革热病毒引起的急性传染病，须经专科医生明确诊断，并须出现下列一种或</w:t>
      </w:r>
      <w:r>
        <w:rPr>
          <w:spacing w:val="-2"/>
        </w:rPr>
        <w:t>多种严重登革热的临床表现：</w:t>
      </w:r>
    </w:p>
    <w:p>
      <w:pPr>
        <w:pStyle w:val="BodyText"/>
        <w:spacing w:before="1"/>
        <w:ind w:left="190"/>
      </w:pPr>
      <w:r>
        <w:rPr>
          <w:spacing w:val="-7"/>
        </w:rPr>
        <w:t>Ⅰ 血浆渗漏致休克或胸腔积液伴呼吸困难；</w:t>
      </w:r>
    </w:p>
    <w:p>
      <w:pPr>
        <w:pStyle w:val="BodyText"/>
        <w:spacing w:line="278" w:lineRule="auto" w:before="43"/>
        <w:ind w:left="190" w:right="322"/>
      </w:pPr>
      <w:r>
        <w:rPr>
          <w:spacing w:val="-6"/>
        </w:rPr>
        <w:t>Ⅱ 严重出血：消化道出血、阴道大出血、颅内出血、肉眼血尿或皮下血肿</w:t>
      </w:r>
      <w:r>
        <w:rPr/>
        <w:t>（不包</w:t>
      </w:r>
      <w:r>
        <w:rPr>
          <w:spacing w:val="-2"/>
        </w:rPr>
        <w:t>括皮下出血点</w:t>
      </w:r>
      <w:r>
        <w:rPr>
          <w:spacing w:val="-108"/>
        </w:rPr>
        <w:t>）</w:t>
      </w:r>
      <w:r>
        <w:rPr/>
        <w:t>；</w:t>
      </w:r>
    </w:p>
    <w:p>
      <w:pPr>
        <w:pStyle w:val="BodyText"/>
        <w:spacing w:line="278" w:lineRule="auto"/>
        <w:ind w:left="190" w:right="327"/>
      </w:pPr>
      <w:r>
        <w:rPr>
          <w:spacing w:val="-6"/>
        </w:rPr>
        <w:t>Ⅲ 严重器官损害或衰竭：肝脏损伤</w:t>
      </w:r>
      <w:r>
        <w:rPr>
          <w:spacing w:val="-2"/>
        </w:rPr>
        <w:t>（ALT</w:t>
      </w:r>
      <w:r>
        <w:rPr>
          <w:spacing w:val="-13"/>
        </w:rPr>
        <w:t> 或 </w:t>
      </w:r>
      <w:r>
        <w:rPr>
          <w:spacing w:val="4"/>
        </w:rPr>
        <w:t>A</w:t>
      </w:r>
      <w:r>
        <w:rPr>
          <w:spacing w:val="7"/>
        </w:rPr>
        <w:t>ST&gt;</w:t>
      </w:r>
      <w:r>
        <w:rPr>
          <w:spacing w:val="4"/>
        </w:rPr>
        <w:t>10</w:t>
      </w:r>
      <w:r>
        <w:rPr>
          <w:spacing w:val="7"/>
        </w:rPr>
        <w:t>00IU/</w:t>
      </w:r>
      <w:r>
        <w:rPr>
          <w:spacing w:val="4"/>
        </w:rPr>
        <w:t>L</w:t>
      </w:r>
      <w:r>
        <w:rPr>
          <w:spacing w:val="-99"/>
        </w:rPr>
        <w:t>）</w:t>
      </w:r>
      <w:r>
        <w:rPr>
          <w:spacing w:val="-2"/>
        </w:rPr>
        <w:t>、ARDS（急性呼吸窘</w:t>
      </w:r>
      <w:r>
        <w:rPr>
          <w:spacing w:val="-2"/>
        </w:rPr>
        <w:t>迫综合征</w:t>
      </w:r>
      <w:r>
        <w:rPr>
          <w:spacing w:val="-108"/>
        </w:rPr>
        <w:t>）</w:t>
      </w:r>
      <w:r>
        <w:rPr>
          <w:spacing w:val="-2"/>
        </w:rPr>
        <w:t>、急性心功能衰竭、急性肾功能衰竭、脑病。</w:t>
      </w:r>
    </w:p>
    <w:p>
      <w:pPr>
        <w:spacing w:line="269" w:lineRule="exact" w:before="0"/>
        <w:ind w:left="190" w:right="0" w:firstLine="0"/>
        <w:jc w:val="left"/>
        <w:rPr>
          <w:rFonts w:ascii="黑体" w:eastAsia="黑体" w:hint="eastAsia"/>
          <w:b/>
          <w:sz w:val="21"/>
        </w:rPr>
      </w:pPr>
      <w:r>
        <w:rPr>
          <w:rFonts w:ascii="黑体" w:eastAsia="黑体" w:hint="eastAsia"/>
          <w:b/>
          <w:spacing w:val="-3"/>
          <w:sz w:val="21"/>
        </w:rPr>
        <w:t>非出血性登革热并不在保障范围内。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52" w:space="40"/>
            <w:col w:w="7978"/>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5"/>
        <w:ind w:left="1132" w:right="0" w:firstLine="0"/>
        <w:jc w:val="both"/>
        <w:rPr>
          <w:rFonts w:ascii="华文新魏" w:eastAsia="华文新魏" w:hint="eastAsia"/>
          <w:b/>
          <w:sz w:val="21"/>
        </w:rPr>
      </w:pPr>
      <w:r>
        <w:rPr>
          <w:rFonts w:ascii="华文新魏" w:eastAsia="华文新魏" w:hint="eastAsia"/>
          <w:b/>
          <w:spacing w:val="-2"/>
          <w:sz w:val="21"/>
        </w:rPr>
        <w:t>91、严重的脊髓空</w:t>
      </w:r>
      <w:r>
        <w:rPr>
          <w:rFonts w:ascii="华文新魏" w:eastAsia="华文新魏" w:hint="eastAsia"/>
          <w:b/>
          <w:spacing w:val="-2"/>
          <w:sz w:val="21"/>
        </w:rPr>
        <w:t>洞症或严重的延髓</w:t>
      </w:r>
      <w:r>
        <w:rPr>
          <w:rFonts w:ascii="华文新魏" w:eastAsia="华文新魏" w:hint="eastAsia"/>
          <w:b/>
          <w:spacing w:val="-4"/>
          <w:sz w:val="21"/>
        </w:rPr>
        <w:t>空洞症</w:t>
      </w:r>
    </w:p>
    <w:p>
      <w:pPr>
        <w:pStyle w:val="BodyText"/>
        <w:spacing w:line="278" w:lineRule="auto" w:before="78"/>
        <w:ind w:left="223" w:right="322"/>
        <w:jc w:val="both"/>
      </w:pPr>
      <w:r>
        <w:rPr/>
        <w:br w:type="column"/>
      </w:r>
      <w:r>
        <w:rPr>
          <w:spacing w:val="-7"/>
        </w:rPr>
        <w:t>脊髓空洞症为慢性进行性的脊髓变性性疾病，其特征为脊髓内空洞形成。表现为感</w:t>
      </w:r>
      <w:r>
        <w:rPr>
          <w:spacing w:val="-4"/>
        </w:rPr>
        <w:t>觉异常、肌萎缩及神经营养障碍。脊髓空洞症累及延髓称为延髓空洞症，表现为延</w:t>
      </w:r>
      <w:r>
        <w:rPr>
          <w:spacing w:val="-12"/>
        </w:rPr>
        <w:t>髓麻痹。脊髓空洞症必须明确诊断并且造成永久不可逆的神经系统功能障碍，存在</w:t>
      </w:r>
      <w:r>
        <w:rPr>
          <w:spacing w:val="-4"/>
        </w:rPr>
        <w:t>持续至少 </w:t>
      </w:r>
      <w:r>
        <w:rPr/>
        <w:t>180</w:t>
      </w:r>
      <w:r>
        <w:rPr>
          <w:spacing w:val="-5"/>
        </w:rPr>
        <w:t> 天以上的神经系统功能缺失并满足下列任一条件：</w:t>
      </w:r>
    </w:p>
    <w:p>
      <w:pPr>
        <w:pStyle w:val="BodyText"/>
        <w:spacing w:line="278" w:lineRule="auto"/>
        <w:ind w:left="223" w:right="2422"/>
        <w:jc w:val="both"/>
      </w:pPr>
      <w:r>
        <w:rPr>
          <w:spacing w:val="-6"/>
        </w:rPr>
        <w:t>Ⅰ 延髓麻痹呈现显著舌肌萎缩、构音困难和吞咽困难；或</w:t>
      </w:r>
      <w:r>
        <w:rPr/>
        <w:t> </w:t>
      </w:r>
      <w:r>
        <w:rPr>
          <w:spacing w:val="-1"/>
        </w:rPr>
        <w:t>Ⅱ 双手萎缩呈“爪形手”，肌力 </w:t>
      </w:r>
      <w:r>
        <w:rPr/>
        <w:t>2</w:t>
      </w:r>
      <w:r>
        <w:rPr>
          <w:spacing w:val="-4"/>
        </w:rPr>
        <w:t> 级或以下。</w:t>
      </w:r>
    </w:p>
    <w:p>
      <w:pPr>
        <w:spacing w:after="0" w:line="278" w:lineRule="auto"/>
        <w:jc w:val="both"/>
        <w:sectPr>
          <w:type w:val="continuous"/>
          <w:pgSz w:w="11910" w:h="16840"/>
          <w:pgMar w:header="0" w:footer="655" w:top="140" w:bottom="280" w:left="560" w:right="480"/>
          <w:cols w:num="2" w:equalWidth="0">
            <w:col w:w="2818" w:space="40"/>
            <w:col w:w="8012"/>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line="312" w:lineRule="exact" w:before="56"/>
        <w:ind w:left="1132" w:right="0" w:firstLine="0"/>
        <w:jc w:val="left"/>
        <w:rPr>
          <w:rFonts w:ascii="华文新魏" w:eastAsia="华文新魏" w:hint="eastAsia"/>
          <w:b/>
          <w:sz w:val="21"/>
        </w:rPr>
      </w:pPr>
      <w:r>
        <w:rPr>
          <w:rFonts w:ascii="华文新魏" w:eastAsia="华文新魏" w:hint="eastAsia"/>
          <w:b/>
          <w:spacing w:val="-2"/>
          <w:sz w:val="21"/>
        </w:rPr>
        <w:t>92</w:t>
      </w:r>
      <w:r>
        <w:rPr>
          <w:rFonts w:ascii="华文新魏" w:eastAsia="华文新魏" w:hint="eastAsia"/>
          <w:b/>
          <w:spacing w:val="-4"/>
          <w:sz w:val="21"/>
        </w:rPr>
        <w:t>、侵蚀性葡萄胎</w:t>
      </w:r>
    </w:p>
    <w:p>
      <w:pPr>
        <w:spacing w:line="312" w:lineRule="exact" w:before="0"/>
        <w:ind w:left="1132" w:right="0" w:firstLine="0"/>
        <w:jc w:val="left"/>
        <w:rPr>
          <w:rFonts w:ascii="华文新魏" w:eastAsia="华文新魏" w:hint="eastAsia"/>
          <w:b/>
          <w:sz w:val="21"/>
        </w:rPr>
      </w:pPr>
      <w:r>
        <w:rPr>
          <w:rFonts w:ascii="华文新魏" w:eastAsia="华文新魏" w:hint="eastAsia"/>
          <w:b/>
          <w:spacing w:val="-2"/>
          <w:sz w:val="21"/>
        </w:rPr>
        <w:t>（恶性葡萄胎</w:t>
      </w:r>
      <w:r>
        <w:rPr>
          <w:rFonts w:ascii="华文新魏" w:eastAsia="华文新魏" w:hint="eastAsia"/>
          <w:b/>
          <w:spacing w:val="-12"/>
          <w:sz w:val="21"/>
        </w:rPr>
        <w:t>）</w:t>
      </w:r>
    </w:p>
    <w:p>
      <w:pPr>
        <w:pStyle w:val="BodyText"/>
        <w:spacing w:line="278" w:lineRule="auto" w:before="78"/>
        <w:ind w:left="194" w:right="426"/>
      </w:pPr>
      <w:r>
        <w:rPr/>
        <w:br w:type="column"/>
      </w:r>
      <w:r>
        <w:rPr>
          <w:spacing w:val="-2"/>
        </w:rPr>
        <w:t>该类疾病是指异常增生的绒毛组织浸润性生长侵入子宫肌层或转移至其他器官或</w:t>
      </w:r>
      <w:r>
        <w:rPr>
          <w:spacing w:val="-2"/>
        </w:rPr>
        <w:t>组织的葡萄胎，并已经进行化疗或手术治疗的。</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6"/>
        <w:ind w:left="1132" w:right="0" w:firstLine="0"/>
        <w:jc w:val="both"/>
        <w:rPr>
          <w:rFonts w:ascii="华文新魏" w:eastAsia="华文新魏" w:hint="eastAsia"/>
          <w:b/>
          <w:sz w:val="21"/>
        </w:rPr>
      </w:pPr>
      <w:r>
        <w:rPr>
          <w:rFonts w:ascii="华文新魏" w:eastAsia="华文新魏" w:hint="eastAsia"/>
          <w:b/>
          <w:spacing w:val="-2"/>
          <w:sz w:val="21"/>
        </w:rPr>
        <w:t>93、严重心脏衰竭 </w:t>
      </w:r>
      <w:r>
        <w:rPr>
          <w:rFonts w:ascii="华文新魏" w:eastAsia="华文新魏" w:hint="eastAsia"/>
          <w:b/>
          <w:sz w:val="21"/>
        </w:rPr>
        <w:t>CRT</w:t>
      </w:r>
      <w:r>
        <w:rPr>
          <w:rFonts w:ascii="华文新魏" w:eastAsia="华文新魏" w:hint="eastAsia"/>
          <w:b/>
          <w:spacing w:val="-4"/>
          <w:sz w:val="21"/>
        </w:rPr>
        <w:t> 心脏再同步治</w:t>
      </w:r>
      <w:r>
        <w:rPr>
          <w:rFonts w:ascii="华文新魏" w:eastAsia="华文新魏" w:hint="eastAsia"/>
          <w:b/>
          <w:spacing w:val="-10"/>
          <w:sz w:val="21"/>
        </w:rPr>
        <w:t>疗</w:t>
      </w:r>
    </w:p>
    <w:p>
      <w:pPr>
        <w:pStyle w:val="BodyText"/>
        <w:spacing w:line="278" w:lineRule="auto" w:before="78"/>
        <w:ind w:left="194" w:right="322"/>
        <w:jc w:val="both"/>
      </w:pPr>
      <w:r>
        <w:rPr/>
        <w:br w:type="column"/>
      </w:r>
      <w:r>
        <w:rPr>
          <w:spacing w:val="-2"/>
        </w:rPr>
        <w:t>指因缺血性心脏病或扩张性心肌病导致慢性严重心脏衰竭，被保险人实际接受了 </w:t>
      </w:r>
      <w:r>
        <w:rPr>
          <w:spacing w:val="-4"/>
        </w:rPr>
        <w:t>CRT 治疗，以矫正心室收缩不协调和改善心脏功能。接受治疗之前必须满足下列所</w:t>
      </w:r>
      <w:r>
        <w:rPr>
          <w:spacing w:val="-4"/>
        </w:rPr>
        <w:t>有条件：</w:t>
      </w:r>
    </w:p>
    <w:p>
      <w:pPr>
        <w:pStyle w:val="BodyText"/>
        <w:spacing w:line="269" w:lineRule="exact"/>
        <w:ind w:left="194"/>
        <w:jc w:val="both"/>
      </w:pPr>
      <w:r>
        <w:rPr>
          <w:spacing w:val="-4"/>
        </w:rPr>
        <w:t>Ⅰ 心功能衰竭程度达到纽约心脏病学会的心功能分级标准之心功能 </w:t>
      </w:r>
      <w:r>
        <w:rPr/>
        <w:t>III</w:t>
      </w:r>
      <w:r>
        <w:rPr>
          <w:spacing w:val="-6"/>
        </w:rPr>
        <w:t> 级或 </w:t>
      </w:r>
      <w:r>
        <w:rPr>
          <w:spacing w:val="-5"/>
        </w:rPr>
        <w:t>IV</w:t>
      </w:r>
    </w:p>
    <w:p>
      <w:pPr>
        <w:pStyle w:val="BodyText"/>
        <w:spacing w:before="43"/>
        <w:ind w:left="194"/>
      </w:pPr>
      <w:r>
        <w:rPr>
          <w:spacing w:val="-5"/>
        </w:rPr>
        <w:t>级；</w:t>
      </w:r>
    </w:p>
    <w:p>
      <w:pPr>
        <w:pStyle w:val="BodyText"/>
        <w:spacing w:line="278" w:lineRule="auto" w:before="43"/>
        <w:ind w:left="194" w:right="4980"/>
      </w:pPr>
      <w:r>
        <w:rPr>
          <w:spacing w:val="-2"/>
        </w:rPr>
        <w:t>Ⅱ 左室射血分数低于 </w:t>
      </w:r>
      <w:r>
        <w:rPr/>
        <w:t>35%； </w:t>
      </w:r>
      <w:r>
        <w:rPr>
          <w:spacing w:val="-6"/>
        </w:rPr>
        <w:t>Ⅲ 左室舒张末期内径≥</w:t>
      </w:r>
      <w:r>
        <w:rPr/>
        <w:t>55mm</w:t>
      </w:r>
      <w:r>
        <w:rPr/>
        <w:t>； Ⅳ QRS</w:t>
      </w:r>
      <w:r>
        <w:rPr>
          <w:spacing w:val="-5"/>
        </w:rPr>
        <w:t> 时间≥</w:t>
      </w:r>
      <w:r>
        <w:rPr/>
        <w:t>130msec；</w:t>
      </w:r>
    </w:p>
    <w:p>
      <w:pPr>
        <w:pStyle w:val="BodyText"/>
        <w:spacing w:before="1"/>
        <w:ind w:left="194"/>
      </w:pPr>
      <w:r>
        <w:rPr>
          <w:spacing w:val="-6"/>
        </w:rPr>
        <w:t>Ⅴ 药物治疗效果不佳，仍有症状。</w:t>
      </w:r>
    </w:p>
    <w:p>
      <w:pPr>
        <w:spacing w:after="0"/>
        <w:sectPr>
          <w:type w:val="continuous"/>
          <w:pgSz w:w="11910" w:h="16840"/>
          <w:pgMar w:header="0" w:footer="655" w:top="140" w:bottom="280" w:left="560" w:right="480"/>
          <w:cols w:num="2" w:equalWidth="0">
            <w:col w:w="2847" w:space="40"/>
            <w:col w:w="7983"/>
          </w:cols>
        </w:sectPr>
      </w:pPr>
    </w:p>
    <w:p>
      <w:pPr>
        <w:pStyle w:val="BodyText"/>
        <w:spacing w:before="7"/>
      </w:pPr>
    </w:p>
    <w:p>
      <w:pPr>
        <w:pStyle w:val="BodyText"/>
        <w:tabs>
          <w:tab w:pos="3081" w:val="left" w:leader="none"/>
        </w:tabs>
        <w:spacing w:line="256" w:lineRule="auto" w:before="55"/>
        <w:ind w:left="3081" w:right="1686" w:hanging="1949"/>
      </w:pPr>
      <w:r>
        <w:rPr>
          <w:rFonts w:ascii="华文新魏" w:hAnsi="华文新魏" w:eastAsia="华文新魏" w:hint="eastAsia"/>
          <w:b/>
          <w:spacing w:val="-2"/>
          <w:position w:val="2"/>
        </w:rPr>
        <w:t>94</w:t>
      </w:r>
      <w:r>
        <w:rPr>
          <w:rFonts w:ascii="华文新魏" w:hAnsi="华文新魏" w:eastAsia="华文新魏" w:hint="eastAsia"/>
          <w:b/>
          <w:spacing w:val="-2"/>
          <w:position w:val="2"/>
        </w:rPr>
        <w:t>、</w:t>
      </w:r>
      <w:r>
        <w:rPr>
          <w:rFonts w:ascii="华文新魏" w:hAnsi="华文新魏" w:eastAsia="华文新魏" w:hint="eastAsia"/>
          <w:b/>
          <w:spacing w:val="-2"/>
          <w:position w:val="2"/>
        </w:rPr>
        <w:t>肺</w:t>
      </w:r>
      <w:r>
        <w:rPr>
          <w:rFonts w:ascii="华文新魏" w:hAnsi="华文新魏" w:eastAsia="华文新魏" w:hint="eastAsia"/>
          <w:b/>
          <w:spacing w:val="-2"/>
          <w:position w:val="2"/>
        </w:rPr>
        <w:t>孢子菌</w:t>
      </w:r>
      <w:r>
        <w:rPr>
          <w:rFonts w:ascii="华文新魏" w:hAnsi="华文新魏" w:eastAsia="华文新魏" w:hint="eastAsia"/>
          <w:b/>
          <w:spacing w:val="-2"/>
          <w:position w:val="2"/>
        </w:rPr>
        <w:t>肺</w:t>
      </w:r>
      <w:r>
        <w:rPr>
          <w:rFonts w:ascii="华文新魏" w:hAnsi="华文新魏" w:eastAsia="华文新魏" w:hint="eastAsia"/>
          <w:b/>
          <w:spacing w:val="-2"/>
          <w:position w:val="2"/>
        </w:rPr>
        <w:t>炎</w:t>
      </w:r>
      <w:r>
        <w:rPr>
          <w:rFonts w:ascii="华文新魏" w:hAnsi="华文新魏" w:eastAsia="华文新魏" w:hint="eastAsia"/>
          <w:b/>
          <w:position w:val="2"/>
        </w:rPr>
        <w:tab/>
      </w:r>
      <w:r>
        <w:rPr>
          <w:spacing w:val="-2"/>
        </w:rPr>
        <w:t>指</w:t>
      </w:r>
      <w:r>
        <w:rPr>
          <w:spacing w:val="-2"/>
        </w:rPr>
        <w:t>由</w:t>
      </w:r>
      <w:r>
        <w:rPr>
          <w:spacing w:val="-2"/>
        </w:rPr>
        <w:t>肺孢子菌引起的间质</w:t>
      </w:r>
      <w:r>
        <w:rPr>
          <w:spacing w:val="-2"/>
        </w:rPr>
        <w:t>性</w:t>
      </w:r>
      <w:r>
        <w:rPr>
          <w:spacing w:val="-2"/>
        </w:rPr>
        <w:t>浆</w:t>
      </w:r>
      <w:r>
        <w:rPr>
          <w:spacing w:val="-2"/>
        </w:rPr>
        <w:t>细胞性肺炎，且满足</w:t>
      </w:r>
      <w:r>
        <w:rPr>
          <w:spacing w:val="-2"/>
        </w:rPr>
        <w:t>下</w:t>
      </w:r>
      <w:r>
        <w:rPr>
          <w:spacing w:val="-2"/>
        </w:rPr>
        <w:t>列</w:t>
      </w:r>
      <w:r>
        <w:rPr>
          <w:spacing w:val="-2"/>
        </w:rPr>
        <w:t>全部条</w:t>
      </w:r>
      <w:r>
        <w:rPr>
          <w:spacing w:val="-2"/>
        </w:rPr>
        <w:t>件</w:t>
      </w:r>
      <w:r>
        <w:rPr>
          <w:spacing w:val="-2"/>
        </w:rPr>
        <w:t>： </w:t>
      </w:r>
      <w:r>
        <w:rPr/>
        <w:t>Ⅰ 第一秒末用力呼气量</w:t>
      </w:r>
      <w:r>
        <w:rPr/>
        <w:t>（FEV1）</w:t>
      </w:r>
      <w:r>
        <w:rPr/>
        <w:t>小</w:t>
      </w:r>
      <w:r>
        <w:rPr/>
        <w:t>于</w:t>
      </w:r>
      <w:r>
        <w:rPr>
          <w:spacing w:val="-22"/>
        </w:rPr>
        <w:t> </w:t>
      </w:r>
      <w:r>
        <w:rPr/>
        <w:t>1 </w:t>
      </w:r>
      <w:r>
        <w:rPr/>
        <w:t>升；</w:t>
      </w:r>
    </w:p>
    <w:p>
      <w:pPr>
        <w:pStyle w:val="BodyText"/>
        <w:spacing w:line="278" w:lineRule="auto" w:before="25"/>
        <w:ind w:left="3081" w:right="3549"/>
      </w:pPr>
      <w:r>
        <w:rPr>
          <w:spacing w:val="-10"/>
        </w:rPr>
        <w:t>Ⅱ 气道内阻力增加，至少达到 </w:t>
      </w:r>
      <w:r>
        <w:rPr/>
        <w:t>0.5kPa/L/s； Ⅲ 残气容积占肺总量（TLC）</w:t>
      </w:r>
      <w:r>
        <w:rPr>
          <w:spacing w:val="-9"/>
        </w:rPr>
        <w:t>的 </w:t>
      </w:r>
      <w:r>
        <w:rPr/>
        <w:t>60%以上；</w:t>
      </w:r>
    </w:p>
    <w:p>
      <w:pPr>
        <w:spacing w:after="0" w:line="278" w:lineRule="auto"/>
        <w:sectPr>
          <w:type w:val="continuous"/>
          <w:pgSz w:w="11910" w:h="16840"/>
          <w:pgMar w:header="0" w:footer="655" w:top="140" w:bottom="280" w:left="560" w:right="480"/>
        </w:sectPr>
      </w:pPr>
    </w:p>
    <w:p>
      <w:pPr>
        <w:pStyle w:val="BodyText"/>
        <w:spacing w:line="278" w:lineRule="auto" w:before="58"/>
        <w:ind w:left="3081" w:right="3843"/>
      </w:pPr>
      <w:r>
        <w:rPr>
          <w:spacing w:val="-9"/>
        </w:rPr>
        <w:t>Ⅳ 胸内气体容积升高，超过基值的 </w:t>
      </w:r>
      <w:r>
        <w:rPr/>
        <w:t>170%； Ⅴ PaO2&lt;60mmHg，PaCO2&gt;50mmHg。</w:t>
      </w:r>
    </w:p>
    <w:p>
      <w:pPr>
        <w:pStyle w:val="BodyText"/>
        <w:spacing w:before="3"/>
        <w:rPr>
          <w:sz w:val="18"/>
        </w:rPr>
      </w:pPr>
    </w:p>
    <w:p>
      <w:pPr>
        <w:spacing w:after="0"/>
        <w:rPr>
          <w:sz w:val="18"/>
        </w:rPr>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95、严重席汉氏综</w:t>
      </w:r>
      <w:r>
        <w:rPr>
          <w:rFonts w:ascii="华文新魏" w:eastAsia="华文新魏" w:hint="eastAsia"/>
          <w:b/>
          <w:spacing w:val="-6"/>
          <w:sz w:val="21"/>
        </w:rPr>
        <w:t>合征</w:t>
      </w:r>
    </w:p>
    <w:p>
      <w:pPr>
        <w:pStyle w:val="BodyText"/>
        <w:spacing w:line="278" w:lineRule="auto" w:before="78"/>
        <w:ind w:left="194" w:right="322"/>
        <w:jc w:val="both"/>
      </w:pPr>
      <w:r>
        <w:rPr/>
        <w:br w:type="column"/>
      </w:r>
      <w:r>
        <w:rPr>
          <w:spacing w:val="-10"/>
        </w:rPr>
        <w:t>指因产后大出血并发休克、全身循环衰竭、弥漫性血管内凝血导致脑垂体缺血坏死</w:t>
      </w:r>
      <w:r>
        <w:rPr>
          <w:spacing w:val="-4"/>
        </w:rPr>
        <w:t>和垂体分泌激素不足，造成性腺、甲状腺、肾上腺皮质功能减退。必须满足下列所</w:t>
      </w:r>
      <w:r>
        <w:rPr>
          <w:spacing w:val="-4"/>
        </w:rPr>
        <w:t>有条件：</w:t>
      </w:r>
    </w:p>
    <w:p>
      <w:pPr>
        <w:pStyle w:val="BodyText"/>
        <w:spacing w:line="269" w:lineRule="exact"/>
        <w:ind w:left="194"/>
        <w:jc w:val="both"/>
      </w:pPr>
      <w:r>
        <w:rPr>
          <w:spacing w:val="-5"/>
        </w:rPr>
        <w:t>Ⅰ 产后大出血休克病史；</w:t>
      </w:r>
    </w:p>
    <w:p>
      <w:pPr>
        <w:pStyle w:val="BodyText"/>
        <w:spacing w:line="278" w:lineRule="auto" w:before="43"/>
        <w:ind w:left="194" w:right="3700"/>
      </w:pPr>
      <w:r>
        <w:rPr/>
        <w:t>Ⅱ 严重腺垂体功能破坏，破坏程度&gt;95%； </w:t>
      </w:r>
      <w:r>
        <w:rPr>
          <w:spacing w:val="-6"/>
        </w:rPr>
        <w:t>Ⅲ 影像学检查显示脑垂体严重萎缩或消失；</w:t>
      </w:r>
      <w:r>
        <w:rPr/>
        <w:t> Ⅳ 实验室检查显示：</w:t>
      </w:r>
    </w:p>
    <w:p>
      <w:pPr>
        <w:pStyle w:val="ListParagraph"/>
        <w:numPr>
          <w:ilvl w:val="0"/>
          <w:numId w:val="19"/>
        </w:numPr>
        <w:tabs>
          <w:tab w:pos="827" w:val="left" w:leader="none"/>
        </w:tabs>
        <w:spacing w:line="269" w:lineRule="exact" w:before="0" w:after="0"/>
        <w:ind w:left="826" w:right="0" w:hanging="315"/>
        <w:jc w:val="left"/>
        <w:rPr>
          <w:sz w:val="21"/>
        </w:rPr>
      </w:pPr>
      <w:r>
        <w:rPr>
          <w:spacing w:val="-3"/>
          <w:sz w:val="21"/>
        </w:rPr>
        <w:t>垂体前叶激素全面低下；和</w:t>
      </w:r>
    </w:p>
    <w:p>
      <w:pPr>
        <w:pStyle w:val="ListParagraph"/>
        <w:numPr>
          <w:ilvl w:val="0"/>
          <w:numId w:val="19"/>
        </w:numPr>
        <w:tabs>
          <w:tab w:pos="827" w:val="left" w:leader="none"/>
        </w:tabs>
        <w:spacing w:line="278" w:lineRule="auto" w:before="43" w:after="0"/>
        <w:ind w:left="194" w:right="218" w:firstLine="317"/>
        <w:jc w:val="left"/>
        <w:rPr>
          <w:sz w:val="21"/>
        </w:rPr>
      </w:pPr>
      <w:r>
        <w:rPr>
          <w:spacing w:val="-16"/>
          <w:sz w:val="21"/>
        </w:rPr>
        <w:t>性激素、甲状腺素、肾上腺皮质激素全面低下</w:t>
      </w:r>
      <w:r>
        <w:rPr>
          <w:spacing w:val="-2"/>
          <w:sz w:val="21"/>
        </w:rPr>
        <w:t>（</w:t>
      </w:r>
      <w:r>
        <w:rPr>
          <w:spacing w:val="-9"/>
          <w:sz w:val="21"/>
        </w:rPr>
        <w:t>包括生长激素、促甲状腺素、</w:t>
      </w:r>
      <w:r>
        <w:rPr>
          <w:spacing w:val="-2"/>
          <w:sz w:val="21"/>
        </w:rPr>
        <w:t>促肾上腺皮质激素、卵泡刺激素和黄体生成素</w:t>
      </w:r>
      <w:r>
        <w:rPr>
          <w:spacing w:val="-106"/>
          <w:sz w:val="21"/>
        </w:rPr>
        <w:t>）</w:t>
      </w:r>
      <w:r>
        <w:rPr>
          <w:sz w:val="21"/>
        </w:rPr>
        <w:t>；</w:t>
      </w:r>
    </w:p>
    <w:p>
      <w:pPr>
        <w:pStyle w:val="BodyText"/>
        <w:ind w:left="194"/>
      </w:pPr>
      <w:r>
        <w:rPr>
          <w:spacing w:val="-3"/>
        </w:rPr>
        <w:t>Ⅴ 需要终身激素替代治疗以维持身体功能，持续服用各种替代激素超过一年。</w:t>
      </w:r>
    </w:p>
    <w:p>
      <w:pPr>
        <w:spacing w:before="43"/>
        <w:ind w:left="194" w:right="0" w:firstLine="0"/>
        <w:jc w:val="left"/>
        <w:rPr>
          <w:rFonts w:ascii="黑体" w:eastAsia="黑体" w:hint="eastAsia"/>
          <w:b/>
          <w:sz w:val="21"/>
        </w:rPr>
      </w:pPr>
      <w:r>
        <w:rPr>
          <w:rFonts w:ascii="黑体" w:eastAsia="黑体" w:hint="eastAsia"/>
          <w:b/>
          <w:spacing w:val="-3"/>
          <w:sz w:val="21"/>
        </w:rPr>
        <w:t>垂体功能部分低下及其他原因所致垂体功能低下不在保障范围之内。</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8"/>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96、皮质基底节变</w:t>
      </w:r>
      <w:r>
        <w:rPr>
          <w:rFonts w:ascii="华文新魏" w:eastAsia="华文新魏" w:hint="eastAsia"/>
          <w:b/>
          <w:spacing w:val="-10"/>
          <w:sz w:val="21"/>
        </w:rPr>
        <w:t>性</w:t>
      </w:r>
    </w:p>
    <w:p>
      <w:pPr>
        <w:pStyle w:val="BodyText"/>
        <w:spacing w:line="278" w:lineRule="auto" w:before="78"/>
        <w:ind w:left="194" w:right="322"/>
        <w:jc w:val="both"/>
      </w:pPr>
      <w:r>
        <w:rPr/>
        <w:br w:type="column"/>
      </w:r>
      <w:r>
        <w:rPr>
          <w:spacing w:val="-4"/>
        </w:rPr>
        <w:t>指一种慢性进展性神经变性疾病，以不对称发作的无动性强直综合征、失用、肌张</w:t>
      </w:r>
      <w:r>
        <w:rPr>
          <w:spacing w:val="-8"/>
        </w:rPr>
        <w:t>力障碍及姿势异常为其临床特征。经本公司认可医院的专科医生明确诊断，被保险</w:t>
      </w:r>
      <w:r>
        <w:rPr>
          <w:spacing w:val="-11"/>
        </w:rPr>
        <w:t>人自主生活能力完全丧失，无法独立完成六项基本日常生活活动中的三项或三项以</w:t>
      </w:r>
      <w:r>
        <w:rPr>
          <w:spacing w:val="-2"/>
        </w:rPr>
        <w:t>上，日常生活必须持续受到他人监护。</w:t>
      </w:r>
    </w:p>
    <w:p>
      <w:pPr>
        <w:spacing w:after="0" w:line="278" w:lineRule="auto"/>
        <w:jc w:val="both"/>
        <w:sectPr>
          <w:type w:val="continuous"/>
          <w:pgSz w:w="11910" w:h="16840"/>
          <w:pgMar w:header="0" w:footer="655" w:top="140" w:bottom="280" w:left="560" w:right="480"/>
          <w:cols w:num="2" w:equalWidth="0">
            <w:col w:w="2847" w:space="40"/>
            <w:col w:w="7983"/>
          </w:cols>
        </w:sectPr>
      </w:pPr>
    </w:p>
    <w:p>
      <w:pPr>
        <w:pStyle w:val="BodyText"/>
        <w:spacing w:before="3"/>
        <w:rPr>
          <w:sz w:val="18"/>
        </w:rPr>
      </w:pPr>
    </w:p>
    <w:p>
      <w:pPr>
        <w:pStyle w:val="BodyText"/>
        <w:tabs>
          <w:tab w:pos="3081" w:val="left" w:leader="none"/>
        </w:tabs>
        <w:spacing w:line="256" w:lineRule="auto" w:before="55"/>
        <w:ind w:left="3081" w:right="322" w:hanging="1949"/>
      </w:pPr>
      <w:r>
        <w:rPr>
          <w:rFonts w:ascii="华文新魏" w:eastAsia="华文新魏" w:hint="eastAsia"/>
          <w:b/>
          <w:spacing w:val="-2"/>
          <w:position w:val="2"/>
        </w:rPr>
        <w:t>97</w:t>
      </w:r>
      <w:r>
        <w:rPr>
          <w:rFonts w:ascii="华文新魏" w:eastAsia="华文新魏" w:hint="eastAsia"/>
          <w:b/>
          <w:spacing w:val="-2"/>
          <w:position w:val="2"/>
        </w:rPr>
        <w:t>、</w:t>
      </w:r>
      <w:r>
        <w:rPr>
          <w:rFonts w:ascii="华文新魏" w:eastAsia="华文新魏" w:hint="eastAsia"/>
          <w:b/>
          <w:spacing w:val="-2"/>
          <w:position w:val="2"/>
        </w:rPr>
        <w:t>严</w:t>
      </w:r>
      <w:r>
        <w:rPr>
          <w:rFonts w:ascii="华文新魏" w:eastAsia="华文新魏" w:hint="eastAsia"/>
          <w:b/>
          <w:spacing w:val="-2"/>
          <w:position w:val="2"/>
        </w:rPr>
        <w:t>重气性</w:t>
      </w:r>
      <w:r>
        <w:rPr>
          <w:rFonts w:ascii="华文新魏" w:eastAsia="华文新魏" w:hint="eastAsia"/>
          <w:b/>
          <w:spacing w:val="-2"/>
          <w:position w:val="2"/>
        </w:rPr>
        <w:t>坏</w:t>
      </w:r>
      <w:r>
        <w:rPr>
          <w:rFonts w:ascii="华文新魏" w:eastAsia="华文新魏" w:hint="eastAsia"/>
          <w:b/>
          <w:spacing w:val="-2"/>
          <w:position w:val="2"/>
        </w:rPr>
        <w:t>疽</w:t>
      </w:r>
      <w:r>
        <w:rPr>
          <w:rFonts w:ascii="华文新魏" w:eastAsia="华文新魏" w:hint="eastAsia"/>
          <w:b/>
          <w:position w:val="2"/>
        </w:rPr>
        <w:tab/>
      </w:r>
      <w:r>
        <w:rPr>
          <w:spacing w:val="-2"/>
        </w:rPr>
        <w:t>指</w:t>
      </w:r>
      <w:r>
        <w:rPr>
          <w:spacing w:val="-2"/>
        </w:rPr>
        <w:t>由</w:t>
      </w:r>
      <w:r>
        <w:rPr>
          <w:spacing w:val="-2"/>
        </w:rPr>
        <w:t>梭状芽胞杆菌所致的</w:t>
      </w:r>
      <w:r>
        <w:rPr>
          <w:spacing w:val="-2"/>
        </w:rPr>
        <w:t>肌</w:t>
      </w:r>
      <w:r>
        <w:rPr>
          <w:spacing w:val="-2"/>
        </w:rPr>
        <w:t>坏</w:t>
      </w:r>
      <w:r>
        <w:rPr>
          <w:spacing w:val="-2"/>
        </w:rPr>
        <w:t>死或肌炎</w:t>
      </w:r>
      <w:r>
        <w:rPr>
          <w:spacing w:val="-108"/>
        </w:rPr>
        <w:t>。</w:t>
      </w:r>
      <w:r>
        <w:rPr>
          <w:spacing w:val="-2"/>
        </w:rPr>
        <w:t>须经本</w:t>
      </w:r>
      <w:r>
        <w:rPr>
          <w:spacing w:val="-2"/>
        </w:rPr>
        <w:t>公</w:t>
      </w:r>
      <w:r>
        <w:rPr>
          <w:spacing w:val="-2"/>
        </w:rPr>
        <w:t>司</w:t>
      </w:r>
      <w:r>
        <w:rPr>
          <w:spacing w:val="-2"/>
        </w:rPr>
        <w:t>认</w:t>
      </w:r>
      <w:r>
        <w:rPr>
          <w:spacing w:val="-2"/>
        </w:rPr>
        <w:t>可</w:t>
      </w:r>
      <w:r>
        <w:rPr>
          <w:spacing w:val="-2"/>
        </w:rPr>
        <w:t>的医院的专科医生明</w:t>
      </w:r>
      <w:r>
        <w:rPr>
          <w:spacing w:val="-2"/>
        </w:rPr>
        <w:t>确</w:t>
      </w:r>
      <w:r>
        <w:rPr>
          <w:spacing w:val="-2"/>
        </w:rPr>
        <w:t>诊</w:t>
      </w:r>
      <w:r>
        <w:rPr>
          <w:spacing w:val="-2"/>
        </w:rPr>
        <w:t>断</w:t>
      </w:r>
      <w:r>
        <w:rPr>
          <w:spacing w:val="-2"/>
        </w:rPr>
        <w:t>，且须满足下列全部条</w:t>
      </w:r>
      <w:r>
        <w:rPr>
          <w:spacing w:val="-2"/>
        </w:rPr>
        <w:t>件</w:t>
      </w:r>
      <w:r>
        <w:rPr>
          <w:spacing w:val="-2"/>
        </w:rPr>
        <w:t>：</w:t>
      </w:r>
    </w:p>
    <w:p>
      <w:pPr>
        <w:pStyle w:val="BodyText"/>
        <w:spacing w:line="278" w:lineRule="auto" w:before="25"/>
        <w:ind w:left="3081" w:right="4440"/>
      </w:pPr>
      <w:r>
        <w:rPr>
          <w:spacing w:val="-6"/>
        </w:rPr>
        <w:t>Ⅰ 符合气性坏疽的一般临床表现；</w:t>
      </w:r>
      <w:r>
        <w:rPr/>
        <w:t> Ⅱ 细菌培养检出致病菌；</w:t>
      </w:r>
    </w:p>
    <w:p>
      <w:pPr>
        <w:pStyle w:val="BodyText"/>
        <w:ind w:left="3081"/>
      </w:pPr>
      <w:r>
        <w:rPr>
          <w:spacing w:val="-2"/>
        </w:rPr>
        <w:t>Ⅲ 受感染肢体被截肢（自腕关节或踝关节近端</w:t>
      </w:r>
      <w:r>
        <w:rPr>
          <w:spacing w:val="-106"/>
        </w:rPr>
        <w:t>）</w:t>
      </w:r>
      <w:r>
        <w:rPr>
          <w:spacing w:val="-10"/>
        </w:rPr>
        <w:t>。</w:t>
      </w:r>
    </w:p>
    <w:p>
      <w:pPr>
        <w:spacing w:before="43"/>
        <w:ind w:left="3081" w:right="0" w:firstLine="0"/>
        <w:jc w:val="left"/>
        <w:rPr>
          <w:rFonts w:ascii="黑体" w:eastAsia="黑体" w:hint="eastAsia"/>
          <w:b/>
          <w:sz w:val="21"/>
        </w:rPr>
      </w:pPr>
      <w:r>
        <w:rPr>
          <w:rFonts w:ascii="黑体" w:eastAsia="黑体" w:hint="eastAsia"/>
          <w:b/>
          <w:spacing w:val="-3"/>
          <w:sz w:val="21"/>
        </w:rPr>
        <w:t>清创术不在保障范围内。</w:t>
      </w: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98、严重亚历山大</w:t>
      </w:r>
      <w:r>
        <w:rPr>
          <w:rFonts w:ascii="华文新魏" w:eastAsia="华文新魏" w:hint="eastAsia"/>
          <w:b/>
          <w:spacing w:val="-10"/>
          <w:sz w:val="21"/>
        </w:rPr>
        <w:t>病</w:t>
      </w:r>
    </w:p>
    <w:p>
      <w:pPr>
        <w:pStyle w:val="BodyText"/>
        <w:spacing w:line="278" w:lineRule="auto" w:before="79"/>
        <w:ind w:left="195" w:right="322"/>
        <w:jc w:val="both"/>
      </w:pPr>
      <w:r>
        <w:rPr/>
        <w:br w:type="column"/>
      </w:r>
      <w:r>
        <w:rPr>
          <w:spacing w:val="-2"/>
        </w:rPr>
        <w:t>亚历山大病（Alexander’s</w:t>
      </w:r>
      <w:r>
        <w:rPr>
          <w:spacing w:val="-25"/>
        </w:rPr>
        <w:t> </w:t>
      </w:r>
      <w:r>
        <w:rPr>
          <w:spacing w:val="-2"/>
        </w:rPr>
        <w:t>Disease）是一种遗传性中枢神经系统退行性病变，特</w:t>
      </w:r>
      <w:r>
        <w:rPr>
          <w:spacing w:val="-4"/>
        </w:rPr>
        <w:t>点为脑白质营养不良性。临床表现为惊厥发作、智力下降、球麻痹、共济失调、痉</w:t>
      </w:r>
      <w:r>
        <w:rPr>
          <w:spacing w:val="-4"/>
        </w:rPr>
        <w:t>性瘫痪。亚历山大病必须被明确诊断，并且造成永久性神经系统功能障碍。被保险</w:t>
      </w:r>
      <w:r>
        <w:rPr>
          <w:spacing w:val="-11"/>
        </w:rPr>
        <w:t>人自主生活能力完全丧失，无法独立完成六项基本日常生活活动中的三项或三项以</w:t>
      </w:r>
      <w:r>
        <w:rPr>
          <w:spacing w:val="-2"/>
        </w:rPr>
        <w:t>上，日常生活必须持续接受他人护理。</w:t>
      </w:r>
    </w:p>
    <w:p>
      <w:pPr>
        <w:spacing w:line="269" w:lineRule="exact" w:before="0"/>
        <w:ind w:left="195" w:right="0" w:firstLine="0"/>
        <w:jc w:val="left"/>
        <w:rPr>
          <w:rFonts w:ascii="黑体" w:eastAsia="黑体" w:hint="eastAsia"/>
          <w:b/>
          <w:sz w:val="21"/>
        </w:rPr>
      </w:pPr>
      <w:r>
        <w:rPr>
          <w:rFonts w:ascii="黑体" w:eastAsia="黑体" w:hint="eastAsia"/>
          <w:b/>
          <w:spacing w:val="-3"/>
          <w:sz w:val="21"/>
        </w:rPr>
        <w:t>未明确诊断的疑似病例不在本保障范围之内。</w:t>
      </w:r>
    </w:p>
    <w:p>
      <w:pPr>
        <w:spacing w:before="43"/>
        <w:ind w:left="195"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99、严重骨生长不</w:t>
      </w:r>
      <w:r>
        <w:rPr>
          <w:rFonts w:ascii="华文新魏" w:eastAsia="华文新魏" w:hint="eastAsia"/>
          <w:b/>
          <w:spacing w:val="-6"/>
          <w:sz w:val="21"/>
        </w:rPr>
        <w:t>全症</w:t>
      </w:r>
    </w:p>
    <w:p>
      <w:pPr>
        <w:pStyle w:val="BodyText"/>
        <w:spacing w:line="278" w:lineRule="auto" w:before="79"/>
        <w:ind w:left="194" w:right="216"/>
      </w:pPr>
      <w:r>
        <w:rPr/>
        <w:br w:type="column"/>
      </w:r>
      <w:r>
        <w:rPr>
          <w:spacing w:val="-8"/>
        </w:rPr>
        <w:t>是一种胶原病，特征为骨易碎，骨质疏松和易骨折。该病有 </w:t>
      </w:r>
      <w:r>
        <w:rPr>
          <w:spacing w:val="-6"/>
        </w:rPr>
        <w:t>4</w:t>
      </w:r>
      <w:r>
        <w:rPr>
          <w:spacing w:val="-13"/>
        </w:rPr>
        <w:t> 种类型：Ⅰ型、Ⅱ型、</w:t>
      </w:r>
      <w:r>
        <w:rPr>
          <w:spacing w:val="-6"/>
        </w:rPr>
        <w:t> </w:t>
      </w:r>
      <w:r>
        <w:rPr>
          <w:spacing w:val="-2"/>
        </w:rPr>
        <w:t>Ⅲ型、Ⅳ型。</w:t>
      </w:r>
      <w:r>
        <w:rPr>
          <w:rFonts w:ascii="黑体" w:hAnsi="黑体" w:eastAsia="黑体" w:hint="eastAsia"/>
          <w:b/>
          <w:spacing w:val="-2"/>
        </w:rPr>
        <w:t>本合同只保障Ⅲ型成骨不全的情形</w:t>
      </w:r>
      <w:r>
        <w:rPr>
          <w:spacing w:val="-2"/>
        </w:rPr>
        <w:t>，其主要临床特点有：发展迟缓、</w:t>
      </w:r>
      <w:r>
        <w:rPr>
          <w:spacing w:val="-12"/>
        </w:rPr>
        <w:t>多发性骨折、进行性脊柱后侧凸及听力损害。Ⅲ型成骨不全的诊断必须根据身体检</w:t>
      </w:r>
      <w:r>
        <w:rPr/>
        <w:t>查，家族史，X</w:t>
      </w:r>
      <w:r>
        <w:rPr>
          <w:spacing w:val="-7"/>
        </w:rPr>
        <w:t> 线检查和皮肤活检报告资料确诊。</w:t>
      </w:r>
    </w:p>
    <w:p>
      <w:pPr>
        <w:spacing w:before="0"/>
        <w:ind w:left="194"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100</w:t>
      </w:r>
      <w:r>
        <w:rPr>
          <w:rFonts w:ascii="华文新魏" w:eastAsia="华文新魏" w:hint="eastAsia"/>
          <w:b/>
          <w:spacing w:val="-14"/>
          <w:sz w:val="21"/>
        </w:rPr>
        <w:t>、严重肾上腺脑</w:t>
      </w:r>
      <w:r>
        <w:rPr>
          <w:rFonts w:ascii="华文新魏" w:eastAsia="华文新魏" w:hint="eastAsia"/>
          <w:b/>
          <w:spacing w:val="-2"/>
          <w:sz w:val="21"/>
        </w:rPr>
        <w:t>白质营养不良</w:t>
      </w:r>
    </w:p>
    <w:p>
      <w:pPr>
        <w:pStyle w:val="BodyText"/>
        <w:spacing w:line="278" w:lineRule="auto" w:before="79"/>
        <w:ind w:left="171" w:right="322"/>
        <w:jc w:val="both"/>
      </w:pPr>
      <w:r>
        <w:rPr/>
        <w:br w:type="column"/>
      </w:r>
      <w:r>
        <w:rPr>
          <w:spacing w:val="-8"/>
        </w:rPr>
        <w:t>指一种最常见的过氧化物酶体病，主要累及肾上腺和脑白质，主要表现为进行性的</w:t>
      </w:r>
      <w:r>
        <w:rPr>
          <w:spacing w:val="-4"/>
        </w:rPr>
        <w:t>精神运动障碍，视力及听力下降和（或）肾上腺皮质功能低下等。须经专科医生诊</w:t>
      </w:r>
      <w:r>
        <w:rPr>
          <w:spacing w:val="-13"/>
        </w:rPr>
        <w:t>断，且已经造成自主生活能力完全丧失，无法独立完成六项基本日常生活活动中的</w:t>
      </w:r>
    </w:p>
    <w:p>
      <w:pPr>
        <w:spacing w:after="0" w:line="278" w:lineRule="auto"/>
        <w:jc w:val="both"/>
        <w:sectPr>
          <w:type w:val="continuous"/>
          <w:pgSz w:w="11910" w:h="16840"/>
          <w:pgMar w:header="0" w:footer="655" w:top="140" w:bottom="280" w:left="560" w:right="480"/>
          <w:cols w:num="2" w:equalWidth="0">
            <w:col w:w="2871" w:space="40"/>
            <w:col w:w="7959"/>
          </w:cols>
        </w:sectPr>
      </w:pPr>
    </w:p>
    <w:p>
      <w:pPr>
        <w:spacing w:before="58"/>
        <w:ind w:left="3081" w:right="0" w:firstLine="0"/>
        <w:jc w:val="left"/>
        <w:rPr>
          <w:rFonts w:ascii="黑体" w:eastAsia="黑体" w:hint="eastAsia"/>
          <w:b/>
          <w:sz w:val="21"/>
        </w:rPr>
      </w:pPr>
      <w:r>
        <w:rPr>
          <w:spacing w:val="-5"/>
          <w:sz w:val="21"/>
        </w:rPr>
        <w:t>三项或三项以上，持续至少 </w:t>
      </w:r>
      <w:r>
        <w:rPr>
          <w:spacing w:val="-2"/>
          <w:sz w:val="21"/>
        </w:rPr>
        <w:t>180</w:t>
      </w:r>
      <w:r>
        <w:rPr>
          <w:spacing w:val="-16"/>
          <w:sz w:val="21"/>
        </w:rPr>
        <w:t> 天。</w:t>
      </w:r>
      <w:r>
        <w:rPr>
          <w:rFonts w:ascii="黑体" w:eastAsia="黑体" w:hint="eastAsia"/>
          <w:b/>
          <w:spacing w:val="-3"/>
          <w:sz w:val="21"/>
        </w:rPr>
        <w:t>本合同仅对三周岁以上的被保险人予以理赔。</w:t>
      </w:r>
    </w:p>
    <w:p>
      <w:pPr>
        <w:spacing w:before="43"/>
        <w:ind w:left="3081"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pStyle w:val="BodyText"/>
        <w:spacing w:before="8"/>
        <w:rPr>
          <w:rFonts w:ascii="黑体"/>
          <w:b/>
        </w:rPr>
      </w:pPr>
    </w:p>
    <w:p>
      <w:pPr>
        <w:spacing w:after="0"/>
        <w:rPr>
          <w:rFonts w:ascii="黑体"/>
        </w:rPr>
        <w:sectPr>
          <w:pgSz w:w="11910" w:h="16840"/>
          <w:pgMar w:header="0" w:footer="655" w:top="142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4"/>
          <w:sz w:val="21"/>
        </w:rPr>
        <w:t>101、肺泡蛋白质沉</w:t>
      </w:r>
      <w:r>
        <w:rPr>
          <w:rFonts w:ascii="华文新魏" w:eastAsia="华文新魏" w:hint="eastAsia"/>
          <w:b/>
          <w:spacing w:val="-6"/>
          <w:sz w:val="21"/>
        </w:rPr>
        <w:t>积症</w:t>
      </w:r>
    </w:p>
    <w:p>
      <w:pPr>
        <w:pStyle w:val="BodyText"/>
        <w:spacing w:line="278" w:lineRule="auto" w:before="78"/>
        <w:ind w:left="170" w:right="322"/>
      </w:pPr>
      <w:r>
        <w:rPr/>
        <w:br w:type="column"/>
      </w:r>
      <w:r>
        <w:rPr>
          <w:spacing w:val="-8"/>
        </w:rPr>
        <w:t>肺泡蛋白质沉积症是一种弥漫性肺部疾病，其组织学特征为肺泡腔内及终末细支气</w:t>
      </w:r>
      <w:r>
        <w:rPr>
          <w:spacing w:val="-2"/>
        </w:rPr>
        <w:t>管内堆积过量的磷脂蛋白样物质。理赔时须满足下列所有条件：</w:t>
      </w:r>
    </w:p>
    <w:p>
      <w:pPr>
        <w:pStyle w:val="BodyText"/>
        <w:spacing w:line="278" w:lineRule="auto"/>
        <w:ind w:left="170" w:right="322"/>
      </w:pPr>
      <w:r>
        <w:rPr>
          <w:spacing w:val="-7"/>
        </w:rPr>
        <w:t>Ⅰ 支气管镜活检或开胸肺活检病理检查证实肺泡内充满有过碘酸雪夫</w:t>
      </w:r>
      <w:r>
        <w:rPr>
          <w:spacing w:val="-2"/>
        </w:rPr>
        <w:t>（PAS）染色</w:t>
      </w:r>
      <w:r>
        <w:rPr>
          <w:spacing w:val="-2"/>
        </w:rPr>
        <w:t>阳性的蛋白样物质；</w:t>
      </w:r>
    </w:p>
    <w:p>
      <w:pPr>
        <w:pStyle w:val="BodyText"/>
        <w:spacing w:line="269" w:lineRule="exact"/>
        <w:ind w:left="170"/>
      </w:pPr>
      <w:r>
        <w:rPr>
          <w:spacing w:val="-3"/>
        </w:rPr>
        <w:t>Ⅱ 被保人因中重度呼吸困难或低氧血症而实际已行全身麻醉下的全肺灌洗治疗。</w:t>
      </w:r>
    </w:p>
    <w:p>
      <w:pPr>
        <w:spacing w:after="0" w:line="269" w:lineRule="exact"/>
        <w:sectPr>
          <w:type w:val="continuous"/>
          <w:pgSz w:w="11910" w:h="16840"/>
          <w:pgMar w:header="0" w:footer="655" w:top="140" w:bottom="280" w:left="560" w:right="480"/>
          <w:cols w:num="2" w:equalWidth="0">
            <w:col w:w="2871" w:space="40"/>
            <w:col w:w="7959"/>
          </w:cols>
        </w:sectPr>
      </w:pPr>
    </w:p>
    <w:p>
      <w:pPr>
        <w:pStyle w:val="BodyText"/>
        <w:spacing w:before="7"/>
      </w:pPr>
    </w:p>
    <w:p>
      <w:pPr>
        <w:spacing w:after="0"/>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102</w:t>
      </w:r>
      <w:r>
        <w:rPr>
          <w:rFonts w:ascii="华文新魏" w:eastAsia="华文新魏" w:hint="eastAsia"/>
          <w:b/>
          <w:spacing w:val="-13"/>
          <w:sz w:val="21"/>
        </w:rPr>
        <w:t>、严重脊髓灰质</w:t>
      </w:r>
      <w:r>
        <w:rPr>
          <w:rFonts w:ascii="华文新魏" w:eastAsia="华文新魏" w:hint="eastAsia"/>
          <w:b/>
          <w:spacing w:val="-10"/>
          <w:sz w:val="21"/>
        </w:rPr>
        <w:t>炎</w:t>
      </w:r>
    </w:p>
    <w:p>
      <w:pPr>
        <w:spacing w:line="278" w:lineRule="auto" w:before="79"/>
        <w:ind w:left="171" w:right="322" w:firstLine="0"/>
        <w:jc w:val="both"/>
        <w:rPr>
          <w:sz w:val="21"/>
        </w:rPr>
      </w:pPr>
      <w:r>
        <w:rPr/>
        <w:br w:type="column"/>
      </w:r>
      <w:r>
        <w:rPr>
          <w:spacing w:val="-7"/>
          <w:w w:val="100"/>
          <w:sz w:val="21"/>
        </w:rPr>
        <w:t>脊髓灰质炎是由于脊髓灰质炎病毒感染所致的瘫痪性疾病，临床表现为运动功能损</w:t>
      </w:r>
      <w:r>
        <w:rPr>
          <w:w w:val="100"/>
          <w:sz w:val="21"/>
        </w:rPr>
        <w:t>害或呼吸无力。脊髓灰质炎必须明确诊断。</w:t>
      </w:r>
      <w:r>
        <w:rPr>
          <w:rFonts w:ascii="黑体" w:eastAsia="黑体" w:hint="eastAsia"/>
          <w:b/>
          <w:spacing w:val="2"/>
          <w:w w:val="100"/>
          <w:sz w:val="21"/>
        </w:rPr>
        <w:t>本保单仅对脊髓灰质炎造成的神经系</w:t>
      </w:r>
      <w:r>
        <w:rPr>
          <w:rFonts w:ascii="黑体" w:eastAsia="黑体" w:hint="eastAsia"/>
          <w:b/>
          <w:spacing w:val="5"/>
          <w:w w:val="100"/>
          <w:sz w:val="21"/>
        </w:rPr>
        <w:t>统功能损害导致被保险人一肢或一肢以上肢体机能永久完全丧失的情况予以理赔。</w:t>
      </w:r>
      <w:r>
        <w:rPr>
          <w:spacing w:val="-3"/>
          <w:w w:val="100"/>
          <w:sz w:val="21"/>
        </w:rPr>
        <w:t>肢体机能永久完全丧失，指疾病确诊</w:t>
      </w:r>
      <w:r>
        <w:rPr>
          <w:spacing w:val="-5"/>
          <w:sz w:val="21"/>
        </w:rPr>
        <w:t> </w:t>
      </w:r>
      <w:r>
        <w:rPr>
          <w:w w:val="100"/>
          <w:sz w:val="21"/>
        </w:rPr>
        <w:t>180</w:t>
      </w:r>
      <w:r>
        <w:rPr>
          <w:spacing w:val="-2"/>
          <w:sz w:val="21"/>
        </w:rPr>
        <w:t> </w:t>
      </w:r>
      <w:r>
        <w:rPr>
          <w:spacing w:val="-3"/>
          <w:w w:val="100"/>
          <w:sz w:val="21"/>
        </w:rPr>
        <w:t>天后，每肢三大关节中的两大关节仍然完全僵硬，或不能随意识活动。</w:t>
      </w:r>
    </w:p>
    <w:p>
      <w:pPr>
        <w:spacing w:after="0" w:line="278" w:lineRule="auto"/>
        <w:jc w:val="both"/>
        <w:rPr>
          <w:sz w:val="21"/>
        </w:rPr>
        <w:sectPr>
          <w:type w:val="continuous"/>
          <w:pgSz w:w="11910" w:h="16840"/>
          <w:pgMar w:header="0" w:footer="655" w:top="140" w:bottom="280" w:left="560" w:right="480"/>
          <w:cols w:num="2" w:equalWidth="0">
            <w:col w:w="2871" w:space="40"/>
            <w:col w:w="7959"/>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103</w:t>
      </w:r>
      <w:r>
        <w:rPr>
          <w:rFonts w:ascii="华文新魏" w:eastAsia="华文新魏" w:hint="eastAsia"/>
          <w:b/>
          <w:spacing w:val="-13"/>
          <w:sz w:val="21"/>
        </w:rPr>
        <w:t>、严重原发性心</w:t>
      </w:r>
      <w:r>
        <w:rPr>
          <w:rFonts w:ascii="华文新魏" w:eastAsia="华文新魏" w:hint="eastAsia"/>
          <w:b/>
          <w:spacing w:val="-6"/>
          <w:sz w:val="21"/>
        </w:rPr>
        <w:t>肌病</w:t>
      </w:r>
    </w:p>
    <w:p>
      <w:pPr>
        <w:pStyle w:val="BodyText"/>
        <w:spacing w:line="278" w:lineRule="auto" w:before="78"/>
        <w:ind w:left="171" w:right="322"/>
        <w:jc w:val="both"/>
      </w:pPr>
      <w:r>
        <w:rPr/>
        <w:br w:type="column"/>
      </w:r>
      <w:r>
        <w:rPr>
          <w:spacing w:val="-8"/>
        </w:rPr>
        <w:t>指不明原因引起的一类心肌病变，包括原发性扩张型心肌病、原发性肥厚型心肌病</w:t>
      </w:r>
      <w:r>
        <w:rPr>
          <w:spacing w:val="-10"/>
        </w:rPr>
        <w:t>及原发性限制型心肌病三种，病变必须已造成事实上心室功能障碍而出现明显的心</w:t>
      </w:r>
      <w:r>
        <w:rPr>
          <w:spacing w:val="-15"/>
        </w:rPr>
        <w:t>功能衰竭</w:t>
      </w:r>
      <w:r>
        <w:rPr>
          <w:spacing w:val="-2"/>
        </w:rPr>
        <w:t>（</w:t>
      </w:r>
      <w:r>
        <w:rPr>
          <w:spacing w:val="-4"/>
        </w:rPr>
        <w:t>指按照美国纽约心脏病学会提出的新功能状态分级的标准判定，心功能</w:t>
      </w:r>
      <w:r>
        <w:rPr>
          <w:spacing w:val="-2"/>
        </w:rPr>
        <w:t>状态已达Ⅳ级</w:t>
      </w:r>
      <w:r>
        <w:rPr>
          <w:spacing w:val="-108"/>
        </w:rPr>
        <w:t>）</w:t>
      </w:r>
      <w:r>
        <w:rPr>
          <w:spacing w:val="-4"/>
        </w:rPr>
        <w:t>，且Ⅳ级心功能衰竭状态已持续至少 </w:t>
      </w:r>
      <w:r>
        <w:rPr>
          <w:spacing w:val="-2"/>
        </w:rPr>
        <w:t>180</w:t>
      </w:r>
      <w:r>
        <w:rPr>
          <w:spacing w:val="-7"/>
        </w:rPr>
        <w:t> 日。本病须经专科医生明</w:t>
      </w:r>
      <w:r>
        <w:rPr>
          <w:spacing w:val="-4"/>
        </w:rPr>
        <w:t>确诊断。</w:t>
      </w:r>
    </w:p>
    <w:p>
      <w:pPr>
        <w:spacing w:line="269" w:lineRule="exact" w:before="0"/>
        <w:ind w:left="171" w:right="0" w:firstLine="0"/>
        <w:jc w:val="left"/>
        <w:rPr>
          <w:rFonts w:ascii="黑体" w:eastAsia="黑体" w:hint="eastAsia"/>
          <w:b/>
          <w:sz w:val="21"/>
        </w:rPr>
      </w:pPr>
      <w:r>
        <w:rPr>
          <w:rFonts w:ascii="黑体" w:eastAsia="黑体" w:hint="eastAsia"/>
          <w:b/>
          <w:spacing w:val="-3"/>
          <w:sz w:val="21"/>
        </w:rPr>
        <w:t>继发于全身性疾病或其他器官系统疾病造成的心肌病变不在保障范围内。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7"/>
        <w:rPr>
          <w:rFonts w:ascii="黑体"/>
          <w:b/>
        </w:rPr>
      </w:pPr>
    </w:p>
    <w:p>
      <w:pPr>
        <w:spacing w:after="0"/>
        <w:rPr>
          <w:rFonts w:ascii="黑体"/>
        </w:rPr>
        <w:sectPr>
          <w:type w:val="continuous"/>
          <w:pgSz w:w="11910" w:h="16840"/>
          <w:pgMar w:header="0" w:footer="655" w:top="140" w:bottom="280" w:left="560" w:right="480"/>
        </w:sectPr>
      </w:pPr>
    </w:p>
    <w:p>
      <w:pPr>
        <w:spacing w:line="312" w:lineRule="exact" w:before="56"/>
        <w:ind w:left="1132" w:right="0" w:firstLine="0"/>
        <w:jc w:val="left"/>
        <w:rPr>
          <w:rFonts w:ascii="华文新魏" w:eastAsia="华文新魏" w:hint="eastAsia"/>
          <w:b/>
          <w:sz w:val="21"/>
        </w:rPr>
      </w:pPr>
      <w:r>
        <w:rPr>
          <w:rFonts w:ascii="华文新魏" w:eastAsia="华文新魏" w:hint="eastAsia"/>
          <w:b/>
          <w:spacing w:val="-2"/>
          <w:sz w:val="21"/>
        </w:rPr>
        <w:t>104</w:t>
      </w:r>
      <w:r>
        <w:rPr>
          <w:rFonts w:ascii="华文新魏" w:eastAsia="华文新魏" w:hint="eastAsia"/>
          <w:b/>
          <w:spacing w:val="-4"/>
          <w:sz w:val="21"/>
        </w:rPr>
        <w:t>、严重全身性</w:t>
      </w:r>
    </w:p>
    <w:p>
      <w:pPr>
        <w:spacing w:line="312" w:lineRule="exact" w:before="0"/>
        <w:ind w:left="1132" w:right="0" w:firstLine="0"/>
        <w:jc w:val="left"/>
        <w:rPr>
          <w:rFonts w:ascii="华文新魏" w:eastAsia="华文新魏" w:hint="eastAsia"/>
          <w:b/>
          <w:sz w:val="21"/>
        </w:rPr>
      </w:pPr>
      <w:r>
        <w:rPr>
          <w:rFonts w:ascii="华文新魏" w:eastAsia="华文新魏" w:hint="eastAsia"/>
          <w:b/>
          <w:spacing w:val="-2"/>
          <w:sz w:val="21"/>
        </w:rPr>
        <w:t>（型）</w:t>
      </w:r>
      <w:r>
        <w:rPr>
          <w:rFonts w:ascii="华文新魏" w:eastAsia="华文新魏" w:hint="eastAsia"/>
          <w:b/>
          <w:spacing w:val="-4"/>
          <w:sz w:val="21"/>
        </w:rPr>
        <w:t>重症肌无力</w:t>
      </w:r>
    </w:p>
    <w:p>
      <w:pPr>
        <w:pStyle w:val="BodyText"/>
        <w:spacing w:before="79"/>
        <w:ind w:left="223"/>
      </w:pPr>
      <w:r>
        <w:rPr/>
        <w:br w:type="column"/>
      </w:r>
      <w:r>
        <w:rPr>
          <w:spacing w:val="-3"/>
        </w:rPr>
        <w:t>重症肌无力是一种神经肌肉接头传递障碍所致的疾病，表现为局部或全身骨骼肌</w:t>
      </w:r>
    </w:p>
    <w:p>
      <w:pPr>
        <w:pStyle w:val="BodyText"/>
        <w:spacing w:line="278" w:lineRule="auto" w:before="43"/>
        <w:ind w:left="223" w:right="322"/>
      </w:pPr>
      <w:r>
        <w:rPr>
          <w:spacing w:val="-4"/>
        </w:rPr>
        <w:t>（特别是眼外肌）极易疲劳。疾病可以累及呼吸肌、上肢或下肢的近端肌群或全身</w:t>
      </w:r>
      <w:r>
        <w:rPr>
          <w:spacing w:val="-2"/>
        </w:rPr>
        <w:t>肌肉，必须满足下列全部条件：</w:t>
      </w:r>
    </w:p>
    <w:p>
      <w:pPr>
        <w:pStyle w:val="BodyText"/>
        <w:ind w:left="223"/>
      </w:pPr>
      <w:r>
        <w:rPr>
          <w:spacing w:val="-3"/>
        </w:rPr>
        <w:t>Ⅰ 经药物治疗和胸腺切除治疗一年以上仍无法控制病情；</w:t>
      </w:r>
    </w:p>
    <w:p>
      <w:pPr>
        <w:pStyle w:val="BodyText"/>
        <w:spacing w:line="278" w:lineRule="auto" w:before="43"/>
        <w:ind w:left="223" w:right="322"/>
      </w:pPr>
      <w:r>
        <w:rPr>
          <w:spacing w:val="-6"/>
        </w:rPr>
        <w:t>Ⅱ 自主生活能力完全丧失，无法独立完成六项基本日常生活活动中的三项或三项</w:t>
      </w:r>
      <w:r>
        <w:rPr>
          <w:spacing w:val="-4"/>
        </w:rPr>
        <w:t>以上。</w:t>
      </w:r>
    </w:p>
    <w:p>
      <w:pPr>
        <w:spacing w:after="0" w:line="278" w:lineRule="auto"/>
        <w:sectPr>
          <w:type w:val="continuous"/>
          <w:pgSz w:w="11910" w:h="16840"/>
          <w:pgMar w:header="0" w:footer="655" w:top="140" w:bottom="280" w:left="560" w:right="480"/>
          <w:cols w:num="2" w:equalWidth="0">
            <w:col w:w="2818" w:space="40"/>
            <w:col w:w="8012"/>
          </w:cols>
        </w:sectPr>
      </w:pPr>
    </w:p>
    <w:p>
      <w:pPr>
        <w:pStyle w:val="BodyText"/>
        <w:spacing w:before="3"/>
        <w:rPr>
          <w:sz w:val="18"/>
        </w:rPr>
      </w:pPr>
    </w:p>
    <w:p>
      <w:pPr>
        <w:spacing w:after="0"/>
        <w:rPr>
          <w:sz w:val="18"/>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105</w:t>
      </w:r>
      <w:r>
        <w:rPr>
          <w:rFonts w:ascii="华文新魏" w:eastAsia="华文新魏" w:hint="eastAsia"/>
          <w:b/>
          <w:spacing w:val="-13"/>
          <w:sz w:val="21"/>
        </w:rPr>
        <w:t>、严重肌营养不</w:t>
      </w:r>
      <w:r>
        <w:rPr>
          <w:rFonts w:ascii="华文新魏" w:eastAsia="华文新魏" w:hint="eastAsia"/>
          <w:b/>
          <w:spacing w:val="-6"/>
          <w:sz w:val="21"/>
        </w:rPr>
        <w:t>良症</w:t>
      </w:r>
    </w:p>
    <w:p>
      <w:pPr>
        <w:pStyle w:val="BodyText"/>
        <w:spacing w:line="278" w:lineRule="auto" w:before="78"/>
        <w:ind w:left="171" w:right="322"/>
      </w:pPr>
      <w:r>
        <w:rPr/>
        <w:br w:type="column"/>
      </w:r>
      <w:r>
        <w:rPr>
          <w:spacing w:val="-10"/>
        </w:rPr>
        <w:t>指一组遗传性肌肉变性病变，临床特征为与神经系统无关的骨骼肌肉对称地进行性</w:t>
      </w:r>
      <w:r>
        <w:rPr>
          <w:spacing w:val="-2"/>
        </w:rPr>
        <w:t>无力和萎缩。其诊断需满足下列全部条件：</w:t>
      </w:r>
    </w:p>
    <w:p>
      <w:pPr>
        <w:pStyle w:val="BodyText"/>
        <w:spacing w:line="269" w:lineRule="exact"/>
        <w:ind w:left="171"/>
      </w:pPr>
      <w:r>
        <w:rPr>
          <w:spacing w:val="-7"/>
        </w:rPr>
        <w:t>Ⅰ 肌电图显示典型肌营养不良症的阳性改变；</w:t>
      </w:r>
    </w:p>
    <w:p>
      <w:pPr>
        <w:pStyle w:val="BodyText"/>
        <w:spacing w:line="278" w:lineRule="auto" w:before="43"/>
        <w:ind w:left="171" w:right="322"/>
      </w:pPr>
      <w:r>
        <w:rPr/>
        <w:t>Ⅱ 肌肉活检的病理学诊断符合肌营养不良症的肌肉细胞变性\坏死等阳性改变； </w:t>
      </w:r>
      <w:r>
        <w:rPr>
          <w:spacing w:val="-6"/>
        </w:rPr>
        <w:t>Ⅲ 已导致被保险人持续超过三个月无法独立完成六项基本日常生活活动中的三项</w:t>
      </w:r>
      <w:r>
        <w:rPr>
          <w:spacing w:val="-2"/>
        </w:rPr>
        <w:t>或三项以上。</w:t>
      </w:r>
    </w:p>
    <w:p>
      <w:pPr>
        <w:spacing w:after="0" w:line="278" w:lineRule="auto"/>
        <w:sectPr>
          <w:type w:val="continuous"/>
          <w:pgSz w:w="11910" w:h="16840"/>
          <w:pgMar w:header="0" w:footer="655" w:top="140" w:bottom="280" w:left="560" w:right="480"/>
          <w:cols w:num="2" w:equalWidth="0">
            <w:col w:w="2871" w:space="40"/>
            <w:col w:w="7959"/>
          </w:cols>
        </w:sectPr>
      </w:pPr>
    </w:p>
    <w:p>
      <w:pPr>
        <w:pStyle w:val="BodyText"/>
        <w:spacing w:before="3"/>
        <w:rPr>
          <w:sz w:val="18"/>
        </w:rPr>
      </w:pPr>
    </w:p>
    <w:p>
      <w:pPr>
        <w:pStyle w:val="BodyText"/>
        <w:tabs>
          <w:tab w:pos="3081" w:val="left" w:leader="none"/>
        </w:tabs>
        <w:spacing w:line="268" w:lineRule="auto" w:before="54"/>
        <w:ind w:left="3081" w:right="217" w:hanging="1949"/>
      </w:pPr>
      <w:r>
        <w:rPr>
          <w:rFonts w:ascii="华文新魏" w:eastAsia="华文新魏" w:hint="eastAsia"/>
          <w:b/>
          <w:spacing w:val="-2"/>
          <w:position w:val="2"/>
        </w:rPr>
        <w:t>106</w:t>
      </w:r>
      <w:r>
        <w:rPr>
          <w:rFonts w:ascii="华文新魏" w:eastAsia="华文新魏" w:hint="eastAsia"/>
          <w:b/>
          <w:spacing w:val="-65"/>
          <w:position w:val="2"/>
        </w:rPr>
        <w:t>、</w:t>
      </w:r>
      <w:r>
        <w:rPr>
          <w:rFonts w:ascii="华文新魏" w:eastAsia="华文新魏" w:hint="eastAsia"/>
          <w:b/>
          <w:spacing w:val="-2"/>
          <w:position w:val="2"/>
        </w:rPr>
        <w:t>肝豆状</w:t>
      </w:r>
      <w:r>
        <w:rPr>
          <w:rFonts w:ascii="华文新魏" w:eastAsia="华文新魏" w:hint="eastAsia"/>
          <w:b/>
          <w:spacing w:val="-2"/>
          <w:position w:val="2"/>
        </w:rPr>
        <w:t>核</w:t>
      </w:r>
      <w:r>
        <w:rPr>
          <w:rFonts w:ascii="华文新魏" w:eastAsia="华文新魏" w:hint="eastAsia"/>
          <w:b/>
          <w:spacing w:val="-2"/>
          <w:position w:val="2"/>
        </w:rPr>
        <w:t>变</w:t>
      </w:r>
      <w:r>
        <w:rPr>
          <w:rFonts w:ascii="华文新魏" w:eastAsia="华文新魏" w:hint="eastAsia"/>
          <w:b/>
          <w:spacing w:val="-2"/>
          <w:position w:val="2"/>
        </w:rPr>
        <w:t>性</w:t>
      </w:r>
      <w:r>
        <w:rPr>
          <w:rFonts w:ascii="华文新魏" w:eastAsia="华文新魏" w:hint="eastAsia"/>
          <w:b/>
          <w:position w:val="2"/>
        </w:rPr>
        <w:tab/>
      </w:r>
      <w:r>
        <w:rPr>
          <w:spacing w:val="-2"/>
        </w:rPr>
        <w:t>肝</w:t>
      </w:r>
      <w:r>
        <w:rPr>
          <w:spacing w:val="-2"/>
        </w:rPr>
        <w:t>豆</w:t>
      </w:r>
      <w:r>
        <w:rPr>
          <w:spacing w:val="-2"/>
        </w:rPr>
        <w:t>状核变性是一种遗传</w:t>
      </w:r>
      <w:r>
        <w:rPr>
          <w:spacing w:val="-2"/>
        </w:rPr>
        <w:t>性</w:t>
      </w:r>
      <w:r>
        <w:rPr>
          <w:spacing w:val="-2"/>
        </w:rPr>
        <w:t>铜</w:t>
      </w:r>
      <w:r>
        <w:rPr>
          <w:spacing w:val="-2"/>
        </w:rPr>
        <w:t>代谢障碍疾病。表现</w:t>
      </w:r>
      <w:r>
        <w:rPr>
          <w:spacing w:val="-2"/>
        </w:rPr>
        <w:t>为</w:t>
      </w:r>
      <w:r>
        <w:rPr>
          <w:spacing w:val="-2"/>
        </w:rPr>
        <w:t>体</w:t>
      </w:r>
      <w:r>
        <w:rPr>
          <w:spacing w:val="-2"/>
        </w:rPr>
        <w:t>内的铜离子在肝、脑、肾</w:t>
      </w:r>
      <w:r>
        <w:rPr>
          <w:spacing w:val="-2"/>
        </w:rPr>
        <w:t>、</w:t>
      </w:r>
      <w:r>
        <w:rPr>
          <w:spacing w:val="-2"/>
        </w:rPr>
        <w:t>角</w:t>
      </w:r>
      <w:r>
        <w:rPr>
          <w:spacing w:val="-2"/>
        </w:rPr>
        <w:t>膜</w:t>
      </w:r>
      <w:r>
        <w:rPr>
          <w:spacing w:val="-2"/>
        </w:rPr>
        <w:t>等处沉积，引起进行</w:t>
      </w:r>
      <w:r>
        <w:rPr>
          <w:spacing w:val="-2"/>
        </w:rPr>
        <w:t>性</w:t>
      </w:r>
      <w:r>
        <w:rPr>
          <w:spacing w:val="-2"/>
        </w:rPr>
        <w:t>加</w:t>
      </w:r>
      <w:r>
        <w:rPr>
          <w:spacing w:val="-2"/>
        </w:rPr>
        <w:t>重的肝硬化、锥体外</w:t>
      </w:r>
      <w:r>
        <w:rPr>
          <w:spacing w:val="-2"/>
        </w:rPr>
        <w:t>系</w:t>
      </w:r>
      <w:r>
        <w:rPr>
          <w:spacing w:val="-2"/>
        </w:rPr>
        <w:t>症</w:t>
      </w:r>
      <w:r>
        <w:rPr>
          <w:spacing w:val="-2"/>
        </w:rPr>
        <w:t>状、精神症状、肾损害及</w:t>
      </w:r>
      <w:r>
        <w:rPr>
          <w:spacing w:val="-2"/>
        </w:rPr>
        <w:t>角</w:t>
      </w:r>
      <w:r>
        <w:rPr>
          <w:spacing w:val="-2"/>
        </w:rPr>
        <w:t>膜</w:t>
      </w:r>
      <w:r>
        <w:rPr>
          <w:spacing w:val="-2"/>
        </w:rPr>
        <w:t>色</w:t>
      </w:r>
      <w:r>
        <w:rPr>
          <w:spacing w:val="-2"/>
        </w:rPr>
        <w:t>素环。肝豆状核变性</w:t>
      </w:r>
      <w:r>
        <w:rPr>
          <w:spacing w:val="-2"/>
        </w:rPr>
        <w:t>必</w:t>
      </w:r>
      <w:r>
        <w:rPr>
          <w:spacing w:val="-2"/>
        </w:rPr>
        <w:t>须</w:t>
      </w:r>
      <w:r>
        <w:rPr>
          <w:spacing w:val="-2"/>
        </w:rPr>
        <w:t>明确诊断并且满足以</w:t>
      </w:r>
      <w:r>
        <w:rPr>
          <w:spacing w:val="-2"/>
        </w:rPr>
        <w:t>下</w:t>
      </w:r>
      <w:r>
        <w:rPr>
          <w:spacing w:val="-2"/>
        </w:rPr>
        <w:t>条</w:t>
      </w:r>
      <w:r>
        <w:rPr>
          <w:spacing w:val="-2"/>
        </w:rPr>
        <w:t>件之一：</w:t>
      </w:r>
    </w:p>
    <w:p>
      <w:pPr>
        <w:pStyle w:val="BodyText"/>
        <w:spacing w:line="278" w:lineRule="auto" w:before="8"/>
        <w:ind w:left="3081" w:right="322"/>
      </w:pPr>
      <w:r>
        <w:rPr>
          <w:spacing w:val="-6"/>
        </w:rPr>
        <w:t>Ⅰ 帕金森综合征或其他神经系统功能损害，自主生活能力完全丧失，无法独立完</w:t>
      </w:r>
      <w:r>
        <w:rPr>
          <w:spacing w:val="-2"/>
        </w:rPr>
        <w:t>成六项基本日常生活活动中的三项或三项以上；</w:t>
      </w:r>
    </w:p>
    <w:p>
      <w:pPr>
        <w:pStyle w:val="BodyText"/>
        <w:spacing w:line="278" w:lineRule="auto"/>
        <w:ind w:left="3081" w:right="953"/>
      </w:pPr>
      <w:r>
        <w:rPr>
          <w:spacing w:val="-6"/>
        </w:rPr>
        <w:t>Ⅱ 失代偿性肝硬化，临床已经出现腹水、食道静脉曲张和脾肿大等表现；</w:t>
      </w:r>
      <w:r>
        <w:rPr/>
        <w:t> Ⅲ 慢性肾功能衰竭，已开始肾脏透析治疗；</w:t>
      </w:r>
    </w:p>
    <w:p>
      <w:pPr>
        <w:pStyle w:val="BodyText"/>
        <w:spacing w:line="269" w:lineRule="exact"/>
        <w:ind w:left="3081"/>
      </w:pPr>
      <w:r>
        <w:rPr>
          <w:spacing w:val="-6"/>
        </w:rPr>
        <w:t>Ⅳ 接受了肝移植或肾移植手术。</w:t>
      </w:r>
    </w:p>
    <w:p>
      <w:pPr>
        <w:spacing w:before="42"/>
        <w:ind w:left="3081"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spacing w:after="0"/>
        <w:jc w:val="left"/>
        <w:rPr>
          <w:rFonts w:ascii="黑体" w:eastAsia="黑体" w:hint="eastAsia"/>
          <w:sz w:val="21"/>
        </w:rPr>
        <w:sectPr>
          <w:type w:val="continuous"/>
          <w:pgSz w:w="11910" w:h="16840"/>
          <w:pgMar w:header="0" w:footer="655" w:top="140" w:bottom="280" w:left="560" w:right="480"/>
        </w:sectPr>
      </w:pPr>
    </w:p>
    <w:p>
      <w:pPr>
        <w:pStyle w:val="BodyText"/>
        <w:spacing w:before="4"/>
        <w:rPr>
          <w:rFonts w:ascii="黑体"/>
          <w:b/>
          <w:sz w:val="10"/>
        </w:rPr>
      </w:pPr>
    </w:p>
    <w:p>
      <w:pPr>
        <w:pStyle w:val="BodyText"/>
        <w:spacing w:line="271" w:lineRule="auto" w:before="54"/>
        <w:ind w:left="3081" w:right="322" w:hanging="1949"/>
        <w:jc w:val="both"/>
      </w:pPr>
      <w:r>
        <w:rPr>
          <w:rFonts w:ascii="华文新魏" w:eastAsia="华文新魏" w:hint="eastAsia"/>
          <w:b/>
          <w:position w:val="2"/>
        </w:rPr>
        <w:t>107</w:t>
      </w:r>
      <w:r>
        <w:rPr>
          <w:rFonts w:ascii="华文新魏" w:eastAsia="华文新魏" w:hint="eastAsia"/>
          <w:b/>
          <w:spacing w:val="40"/>
          <w:position w:val="2"/>
        </w:rPr>
        <w:t>、闭锁综合征 </w:t>
      </w:r>
      <w:r>
        <w:rPr>
          <w:spacing w:val="-7"/>
        </w:rPr>
        <w:t>由于双侧脑桥基底部病变，脑干腹侧的皮质核束和皮质脊髓束受损，而导致的缄默</w:t>
      </w:r>
      <w:r>
        <w:rPr>
          <w:spacing w:val="-11"/>
        </w:rPr>
        <w:t>和四肢瘫痪。临床表现为意识清醒或仅有轻微损害，除睁闭眼和眼球上下运动外其</w:t>
      </w:r>
      <w:r>
        <w:rPr>
          <w:spacing w:val="-4"/>
        </w:rPr>
        <w:t>它全部运动、吞咽、语言功能均丧失。诊断必须经神经科医生确认，并必须持续至</w:t>
      </w:r>
      <w:r>
        <w:rPr>
          <w:spacing w:val="-2"/>
        </w:rPr>
        <w:t>少一个月病史记录。</w:t>
      </w:r>
    </w:p>
    <w:p>
      <w:pPr>
        <w:pStyle w:val="BodyText"/>
        <w:rPr>
          <w:sz w:val="23"/>
        </w:rPr>
      </w:pPr>
    </w:p>
    <w:p>
      <w:pPr>
        <w:pStyle w:val="BodyText"/>
        <w:tabs>
          <w:tab w:pos="3081" w:val="left" w:leader="none"/>
        </w:tabs>
        <w:spacing w:line="256" w:lineRule="auto"/>
        <w:ind w:left="3081" w:right="323" w:hanging="1949"/>
      </w:pPr>
      <w:r>
        <w:rPr>
          <w:rFonts w:ascii="华文新魏" w:eastAsia="华文新魏" w:hint="eastAsia"/>
          <w:b/>
          <w:spacing w:val="-2"/>
          <w:position w:val="2"/>
        </w:rPr>
        <w:t>108、脊</w:t>
      </w:r>
      <w:r>
        <w:rPr>
          <w:rFonts w:ascii="华文新魏" w:eastAsia="华文新魏" w:hint="eastAsia"/>
          <w:b/>
          <w:spacing w:val="-2"/>
          <w:position w:val="2"/>
        </w:rPr>
        <w:t>柱</w:t>
      </w:r>
      <w:r>
        <w:rPr>
          <w:rFonts w:ascii="华文新魏" w:eastAsia="华文新魏" w:hint="eastAsia"/>
          <w:b/>
          <w:spacing w:val="-2"/>
          <w:position w:val="2"/>
        </w:rPr>
        <w:t>裂</w:t>
      </w:r>
      <w:r>
        <w:rPr>
          <w:rFonts w:ascii="华文新魏" w:eastAsia="华文新魏" w:hint="eastAsia"/>
          <w:b/>
          <w:position w:val="2"/>
        </w:rPr>
        <w:tab/>
      </w:r>
      <w:r>
        <w:rPr>
          <w:spacing w:val="-4"/>
        </w:rPr>
        <w:t>指</w:t>
      </w:r>
      <w:r>
        <w:rPr>
          <w:spacing w:val="-4"/>
        </w:rPr>
        <w:t>脊</w:t>
      </w:r>
      <w:r>
        <w:rPr>
          <w:spacing w:val="-4"/>
        </w:rPr>
        <w:t>椎或颅骨不完全闭合，导致脊髓脊膜</w:t>
      </w:r>
      <w:r>
        <w:rPr>
          <w:spacing w:val="-4"/>
        </w:rPr>
        <w:t>突</w:t>
      </w:r>
      <w:r>
        <w:rPr>
          <w:spacing w:val="-4"/>
        </w:rPr>
        <w:t>出</w:t>
      </w:r>
      <w:r>
        <w:rPr>
          <w:spacing w:val="-4"/>
        </w:rPr>
        <w:t>，</w:t>
      </w:r>
      <w:r>
        <w:rPr>
          <w:spacing w:val="-4"/>
        </w:rPr>
        <w:t>脑</w:t>
      </w:r>
      <w:r>
        <w:rPr>
          <w:spacing w:val="-4"/>
        </w:rPr>
        <w:t>（</w:t>
      </w:r>
      <w:r>
        <w:rPr>
          <w:spacing w:val="-4"/>
        </w:rPr>
        <w:t>脊</w:t>
      </w:r>
      <w:r>
        <w:rPr>
          <w:spacing w:val="-4"/>
        </w:rPr>
        <w:t>）膜突出或脑膨出，</w:t>
      </w:r>
      <w:r>
        <w:rPr>
          <w:spacing w:val="-4"/>
        </w:rPr>
        <w:t>并</w:t>
      </w:r>
      <w:r>
        <w:rPr>
          <w:spacing w:val="-4"/>
        </w:rPr>
        <w:t>至</w:t>
      </w:r>
      <w:r>
        <w:rPr>
          <w:spacing w:val="-4"/>
        </w:rPr>
        <w:t>少</w:t>
      </w:r>
      <w:r>
        <w:rPr>
          <w:spacing w:val="-2"/>
        </w:rPr>
        <w:t>合</w:t>
      </w:r>
      <w:r>
        <w:rPr>
          <w:spacing w:val="-2"/>
        </w:rPr>
        <w:t>并</w:t>
      </w:r>
      <w:r>
        <w:rPr>
          <w:spacing w:val="-2"/>
        </w:rPr>
        <w:t>下列异常中的一</w:t>
      </w:r>
      <w:r>
        <w:rPr>
          <w:spacing w:val="-2"/>
        </w:rPr>
        <w:t>项</w:t>
      </w:r>
      <w:r>
        <w:rPr>
          <w:spacing w:val="-2"/>
        </w:rPr>
        <w:t>：</w:t>
      </w:r>
    </w:p>
    <w:p>
      <w:pPr>
        <w:pStyle w:val="BodyText"/>
        <w:spacing w:before="25"/>
        <w:ind w:left="3081"/>
      </w:pPr>
      <w:r>
        <w:rPr>
          <w:spacing w:val="-4"/>
        </w:rPr>
        <w:t>Ⅰ 大小便失禁；</w:t>
      </w:r>
    </w:p>
    <w:p>
      <w:pPr>
        <w:pStyle w:val="BodyText"/>
        <w:spacing w:before="43"/>
        <w:ind w:left="3081"/>
      </w:pPr>
      <w:r>
        <w:rPr>
          <w:spacing w:val="-3"/>
        </w:rPr>
        <w:t>Ⅱ 部分或完全性下肢瘫痪或畸形等神经学上的异常。</w:t>
      </w:r>
    </w:p>
    <w:p>
      <w:pPr>
        <w:spacing w:line="278" w:lineRule="auto" w:before="43"/>
        <w:ind w:left="3081" w:right="327" w:firstLine="0"/>
        <w:jc w:val="left"/>
        <w:rPr>
          <w:rFonts w:ascii="黑体" w:eastAsia="黑体" w:hint="eastAsia"/>
          <w:b/>
          <w:sz w:val="21"/>
        </w:rPr>
      </w:pPr>
      <w:r>
        <w:rPr>
          <w:rFonts w:ascii="黑体" w:eastAsia="黑体" w:hint="eastAsia"/>
          <w:b/>
          <w:spacing w:val="-5"/>
          <w:sz w:val="21"/>
        </w:rPr>
        <w:t>但不包括由 </w:t>
      </w:r>
      <w:r>
        <w:rPr>
          <w:rFonts w:ascii="黑体" w:eastAsia="黑体" w:hint="eastAsia"/>
          <w:b/>
          <w:sz w:val="21"/>
        </w:rPr>
        <w:t>X</w:t>
      </w:r>
      <w:r>
        <w:rPr>
          <w:rFonts w:ascii="黑体" w:eastAsia="黑体" w:hint="eastAsia"/>
          <w:b/>
          <w:spacing w:val="-5"/>
          <w:sz w:val="21"/>
        </w:rPr>
        <w:t> 线摄片发现的没有合并脊椎脊膜突出或脑</w:t>
      </w:r>
      <w:r>
        <w:rPr>
          <w:rFonts w:ascii="黑体" w:eastAsia="黑体" w:hint="eastAsia"/>
          <w:b/>
          <w:sz w:val="21"/>
        </w:rPr>
        <w:t>（脊）膜突出的隐形脊椎</w:t>
      </w:r>
      <w:r>
        <w:rPr>
          <w:rFonts w:ascii="黑体" w:eastAsia="黑体" w:hint="eastAsia"/>
          <w:b/>
          <w:spacing w:val="-6"/>
          <w:sz w:val="21"/>
        </w:rPr>
        <w:t>裂。</w:t>
      </w:r>
    </w:p>
    <w:p>
      <w:pPr>
        <w:spacing w:line="269" w:lineRule="exact" w:before="0"/>
        <w:ind w:left="3081"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pStyle w:val="BodyText"/>
        <w:rPr>
          <w:rFonts w:ascii="黑体"/>
          <w:b/>
          <w:sz w:val="27"/>
        </w:rPr>
      </w:pPr>
    </w:p>
    <w:p>
      <w:pPr>
        <w:pStyle w:val="BodyText"/>
        <w:tabs>
          <w:tab w:pos="3081" w:val="left" w:leader="none"/>
        </w:tabs>
        <w:spacing w:line="225" w:lineRule="auto"/>
        <w:ind w:left="3081" w:right="322" w:hanging="1949"/>
        <w:jc w:val="both"/>
      </w:pPr>
      <w:r>
        <w:rPr>
          <w:rFonts w:ascii="华文新魏" w:eastAsia="华文新魏" w:hint="eastAsia"/>
          <w:b/>
          <w:spacing w:val="-2"/>
        </w:rPr>
        <w:t>109、库</w:t>
      </w:r>
      <w:r>
        <w:rPr>
          <w:rFonts w:ascii="华文新魏" w:eastAsia="华文新魏" w:hint="eastAsia"/>
          <w:b/>
          <w:spacing w:val="-2"/>
        </w:rPr>
        <w:t>鲁</w:t>
      </w:r>
      <w:r>
        <w:rPr>
          <w:rFonts w:ascii="华文新魏" w:eastAsia="华文新魏" w:hint="eastAsia"/>
          <w:b/>
          <w:spacing w:val="-2"/>
        </w:rPr>
        <w:t>病</w:t>
      </w:r>
      <w:r>
        <w:rPr>
          <w:rFonts w:ascii="华文新魏" w:eastAsia="华文新魏" w:hint="eastAsia"/>
          <w:b/>
        </w:rPr>
        <w:tab/>
      </w:r>
      <w:r>
        <w:rPr>
          <w:spacing w:val="-4"/>
        </w:rPr>
        <w:t>指</w:t>
      </w:r>
      <w:r>
        <w:rPr>
          <w:spacing w:val="-4"/>
        </w:rPr>
        <w:t>一</w:t>
      </w:r>
      <w:r>
        <w:rPr>
          <w:spacing w:val="-4"/>
        </w:rPr>
        <w:t>种亚急性传染性朊蛋</w:t>
      </w:r>
      <w:r>
        <w:rPr>
          <w:spacing w:val="-4"/>
        </w:rPr>
        <w:t>白</w:t>
      </w:r>
      <w:r>
        <w:rPr>
          <w:spacing w:val="-4"/>
        </w:rPr>
        <w:t>病</w:t>
      </w:r>
      <w:r>
        <w:rPr>
          <w:spacing w:val="-4"/>
        </w:rPr>
        <w:t>。临床表现为共济失调、震颤、不自主运动，在</w:t>
      </w:r>
      <w:r>
        <w:rPr>
          <w:spacing w:val="-4"/>
        </w:rPr>
        <w:t>病</w:t>
      </w:r>
      <w:r>
        <w:rPr>
          <w:spacing w:val="-4"/>
        </w:rPr>
        <w:t>程</w:t>
      </w:r>
      <w:r>
        <w:rPr>
          <w:spacing w:val="-2"/>
        </w:rPr>
        <w:t>晚</w:t>
      </w:r>
      <w:r>
        <w:rPr>
          <w:spacing w:val="-2"/>
        </w:rPr>
        <w:t>期</w:t>
      </w:r>
      <w:r>
        <w:rPr>
          <w:spacing w:val="-2"/>
        </w:rPr>
        <w:t>出现进行性加重的痴呆</w:t>
      </w:r>
      <w:r>
        <w:rPr>
          <w:spacing w:val="-53"/>
        </w:rPr>
        <w:t>，</w:t>
      </w:r>
      <w:r>
        <w:rPr>
          <w:spacing w:val="-2"/>
        </w:rPr>
        <w:t>神经异常</w:t>
      </w:r>
      <w:r>
        <w:rPr>
          <w:spacing w:val="-56"/>
        </w:rPr>
        <w:t>。</w:t>
      </w:r>
      <w:r>
        <w:rPr>
          <w:spacing w:val="-2"/>
        </w:rPr>
        <w:t>该病必</w:t>
      </w:r>
      <w:r>
        <w:rPr>
          <w:spacing w:val="-2"/>
        </w:rPr>
        <w:t>须</w:t>
      </w:r>
      <w:r>
        <w:rPr>
          <w:spacing w:val="-2"/>
        </w:rPr>
        <w:t>由</w:t>
      </w:r>
      <w:r>
        <w:rPr>
          <w:spacing w:val="-2"/>
        </w:rPr>
        <w:t>专</w:t>
      </w:r>
      <w:r>
        <w:rPr>
          <w:spacing w:val="-2"/>
        </w:rPr>
        <w:t>科</w:t>
      </w:r>
      <w:r>
        <w:rPr>
          <w:spacing w:val="-2"/>
        </w:rPr>
        <w:t>医生根据检测出的脑</w:t>
      </w:r>
      <w:r>
        <w:rPr>
          <w:spacing w:val="-2"/>
        </w:rPr>
        <w:t>组</w:t>
      </w:r>
      <w:r>
        <w:rPr>
          <w:spacing w:val="-2"/>
        </w:rPr>
        <w:t>织</w:t>
      </w:r>
      <w:r>
        <w:rPr>
          <w:spacing w:val="-2"/>
        </w:rPr>
        <w:t>中</w:t>
      </w:r>
      <w:r>
        <w:rPr>
          <w:spacing w:val="-2"/>
        </w:rPr>
        <w:t>的</w:t>
      </w:r>
      <w:r>
        <w:rPr>
          <w:spacing w:val="-2"/>
        </w:rPr>
        <w:t>致病蛋白而明确诊断。</w:t>
      </w:r>
    </w:p>
    <w:p>
      <w:pPr>
        <w:pStyle w:val="BodyText"/>
        <w:spacing w:before="4"/>
        <w:rPr>
          <w:sz w:val="19"/>
        </w:rPr>
      </w:pPr>
    </w:p>
    <w:p>
      <w:pPr>
        <w:spacing w:after="0"/>
        <w:rPr>
          <w:sz w:val="19"/>
        </w:rPr>
        <w:sectPr>
          <w:pgSz w:w="11910" w:h="16840"/>
          <w:pgMar w:header="0" w:footer="655" w:top="1580" w:bottom="840" w:left="560" w:right="480"/>
        </w:sectPr>
      </w:pPr>
    </w:p>
    <w:p>
      <w:pPr>
        <w:spacing w:before="70"/>
        <w:ind w:left="1132" w:right="0" w:firstLine="0"/>
        <w:jc w:val="left"/>
        <w:rPr>
          <w:rFonts w:ascii="华文新魏" w:eastAsia="华文新魏" w:hint="eastAsia"/>
          <w:b/>
          <w:sz w:val="21"/>
        </w:rPr>
      </w:pPr>
      <w:r>
        <w:rPr>
          <w:rFonts w:ascii="华文新魏" w:eastAsia="华文新魏" w:hint="eastAsia"/>
          <w:b/>
          <w:spacing w:val="-4"/>
          <w:sz w:val="21"/>
        </w:rPr>
        <w:t>110、自身免疫性脑</w:t>
      </w:r>
      <w:r>
        <w:rPr>
          <w:rFonts w:ascii="华文新魏" w:eastAsia="华文新魏" w:hint="eastAsia"/>
          <w:b/>
          <w:spacing w:val="-10"/>
          <w:sz w:val="21"/>
        </w:rPr>
        <w:t>炎</w:t>
      </w:r>
    </w:p>
    <w:p>
      <w:pPr>
        <w:pStyle w:val="BodyText"/>
        <w:spacing w:line="242" w:lineRule="auto" w:before="71"/>
        <w:ind w:left="170" w:right="322"/>
        <w:jc w:val="both"/>
      </w:pPr>
      <w:r>
        <w:rPr/>
        <w:br w:type="column"/>
      </w:r>
      <w:r>
        <w:rPr/>
        <w:t>自身免疫性脑炎（Autoimmune</w:t>
      </w:r>
      <w:r>
        <w:rPr>
          <w:spacing w:val="-27"/>
        </w:rPr>
        <w:t> </w:t>
      </w:r>
      <w:r>
        <w:rPr/>
        <w:t>Encephalitis，AE）泛指一类由自身免疫机制介导</w:t>
      </w:r>
      <w:r>
        <w:rPr>
          <w:spacing w:val="-4"/>
        </w:rPr>
        <w:t>的脑炎。临床以精神行为异常、癫痫发作、近事记忆障碍等多灶或弥漫性脑损害为</w:t>
      </w:r>
      <w:r>
        <w:rPr>
          <w:spacing w:val="-2"/>
        </w:rPr>
        <w:t>主要表现。</w:t>
      </w:r>
    </w:p>
    <w:p>
      <w:pPr>
        <w:pStyle w:val="BodyText"/>
        <w:spacing w:line="242" w:lineRule="auto" w:before="1"/>
        <w:ind w:left="170" w:right="332"/>
      </w:pPr>
      <w:r>
        <w:rPr>
          <w:spacing w:val="-2"/>
        </w:rPr>
        <w:t>自身免疫性脑炎须经我们认可的医院的专科医生明确诊断，并须满足下列全部条</w:t>
      </w:r>
      <w:r>
        <w:rPr>
          <w:spacing w:val="-6"/>
        </w:rPr>
        <w:t>件：</w:t>
      </w:r>
    </w:p>
    <w:p>
      <w:pPr>
        <w:pStyle w:val="BodyText"/>
        <w:spacing w:before="1"/>
        <w:ind w:left="170"/>
      </w:pPr>
      <w:r>
        <w:rPr>
          <w:spacing w:val="-5"/>
        </w:rPr>
        <w:t>Ⅰ 急性或亚急性起病，具备以下 </w:t>
      </w:r>
      <w:r>
        <w:rPr>
          <w:spacing w:val="-2"/>
        </w:rPr>
        <w:t>1</w:t>
      </w:r>
      <w:r>
        <w:rPr>
          <w:spacing w:val="-10"/>
        </w:rPr>
        <w:t> 个或多个神经与精神症状或临床综合征。</w:t>
      </w:r>
    </w:p>
    <w:p>
      <w:pPr>
        <w:pStyle w:val="ListParagraph"/>
        <w:numPr>
          <w:ilvl w:val="0"/>
          <w:numId w:val="20"/>
        </w:numPr>
        <w:tabs>
          <w:tab w:pos="803" w:val="left" w:leader="none"/>
        </w:tabs>
        <w:spacing w:line="240" w:lineRule="auto" w:before="3" w:after="0"/>
        <w:ind w:left="802" w:right="0" w:hanging="315"/>
        <w:jc w:val="left"/>
        <w:rPr>
          <w:sz w:val="21"/>
        </w:rPr>
      </w:pPr>
      <w:r>
        <w:rPr>
          <w:spacing w:val="-2"/>
          <w:sz w:val="21"/>
        </w:rPr>
        <w:t>边缘系统症状：近事记忆减退、癫痫发作、精神行为异常，3</w:t>
      </w:r>
      <w:r>
        <w:rPr>
          <w:spacing w:val="-15"/>
          <w:sz w:val="21"/>
        </w:rPr>
        <w:t> 个症状中的 </w:t>
      </w:r>
      <w:r>
        <w:rPr>
          <w:spacing w:val="-10"/>
          <w:sz w:val="21"/>
        </w:rPr>
        <w:t>1</w:t>
      </w:r>
    </w:p>
    <w:p>
      <w:pPr>
        <w:pStyle w:val="BodyText"/>
        <w:spacing w:before="4"/>
        <w:ind w:left="170"/>
      </w:pPr>
      <w:r>
        <w:rPr>
          <w:spacing w:val="-4"/>
        </w:rPr>
        <w:t>个或多个；</w:t>
      </w:r>
    </w:p>
    <w:p>
      <w:pPr>
        <w:pStyle w:val="ListParagraph"/>
        <w:numPr>
          <w:ilvl w:val="0"/>
          <w:numId w:val="20"/>
        </w:numPr>
        <w:tabs>
          <w:tab w:pos="803" w:val="left" w:leader="none"/>
        </w:tabs>
        <w:spacing w:line="240" w:lineRule="auto" w:before="3" w:after="0"/>
        <w:ind w:left="802" w:right="0" w:hanging="315"/>
        <w:jc w:val="left"/>
        <w:rPr>
          <w:sz w:val="21"/>
        </w:rPr>
      </w:pPr>
      <w:r>
        <w:rPr>
          <w:spacing w:val="-3"/>
          <w:sz w:val="21"/>
        </w:rPr>
        <w:t>脑炎综合征：弥漫性或多灶性脑损害的临床表现；</w:t>
      </w:r>
    </w:p>
    <w:p>
      <w:pPr>
        <w:pStyle w:val="ListParagraph"/>
        <w:numPr>
          <w:ilvl w:val="0"/>
          <w:numId w:val="20"/>
        </w:numPr>
        <w:tabs>
          <w:tab w:pos="803" w:val="left" w:leader="none"/>
        </w:tabs>
        <w:spacing w:line="240" w:lineRule="auto" w:before="4" w:after="0"/>
        <w:ind w:left="802" w:right="0" w:hanging="315"/>
        <w:jc w:val="left"/>
        <w:rPr>
          <w:sz w:val="21"/>
        </w:rPr>
      </w:pPr>
      <w:r>
        <w:rPr>
          <w:spacing w:val="-2"/>
          <w:sz w:val="21"/>
        </w:rPr>
        <w:t>基底核和（或）</w:t>
      </w:r>
      <w:r>
        <w:rPr>
          <w:spacing w:val="-3"/>
          <w:sz w:val="21"/>
        </w:rPr>
        <w:t>间脑/下丘脑受累的临床表现；</w:t>
      </w:r>
    </w:p>
    <w:p>
      <w:pPr>
        <w:pStyle w:val="ListParagraph"/>
        <w:numPr>
          <w:ilvl w:val="0"/>
          <w:numId w:val="20"/>
        </w:numPr>
        <w:tabs>
          <w:tab w:pos="803" w:val="left" w:leader="none"/>
        </w:tabs>
        <w:spacing w:line="240" w:lineRule="auto" w:before="2" w:after="0"/>
        <w:ind w:left="802" w:right="0" w:hanging="315"/>
        <w:jc w:val="left"/>
        <w:rPr>
          <w:sz w:val="21"/>
        </w:rPr>
      </w:pPr>
      <w:r>
        <w:rPr>
          <w:spacing w:val="-3"/>
          <w:sz w:val="21"/>
        </w:rPr>
        <w:t>精神障碍，且精神心理专科认为不符合非器质疾病。</w:t>
      </w:r>
    </w:p>
    <w:p>
      <w:pPr>
        <w:pStyle w:val="BodyText"/>
        <w:spacing w:before="5"/>
        <w:ind w:left="170"/>
      </w:pPr>
      <w:r>
        <w:rPr>
          <w:spacing w:val="1"/>
        </w:rPr>
        <w:t>Ⅱ 具有以下 </w:t>
      </w:r>
      <w:r>
        <w:rPr/>
        <w:t>1</w:t>
      </w:r>
      <w:r>
        <w:rPr>
          <w:spacing w:val="-9"/>
        </w:rPr>
        <w:t> 个或多个的辅助检查发现，或者合并相关肿瘤。</w:t>
      </w:r>
    </w:p>
    <w:p>
      <w:pPr>
        <w:pStyle w:val="ListParagraph"/>
        <w:numPr>
          <w:ilvl w:val="0"/>
          <w:numId w:val="21"/>
        </w:numPr>
        <w:tabs>
          <w:tab w:pos="803" w:val="left" w:leader="none"/>
        </w:tabs>
        <w:spacing w:line="244" w:lineRule="auto" w:before="2" w:after="0"/>
        <w:ind w:left="170" w:right="322" w:firstLine="317"/>
        <w:jc w:val="both"/>
        <w:rPr>
          <w:sz w:val="21"/>
        </w:rPr>
      </w:pPr>
      <w:r>
        <w:rPr>
          <w:spacing w:val="-4"/>
          <w:sz w:val="21"/>
        </w:rPr>
        <w:t>脑脊液异常：脑脊液白细胞增多；或者脑脊液细胞学呈淋巴细胞性炎症；或</w:t>
      </w:r>
      <w:r>
        <w:rPr>
          <w:spacing w:val="-2"/>
          <w:sz w:val="21"/>
        </w:rPr>
        <w:t>者脑脊液寡克隆区带阳性；</w:t>
      </w:r>
    </w:p>
    <w:p>
      <w:pPr>
        <w:pStyle w:val="ListParagraph"/>
        <w:numPr>
          <w:ilvl w:val="0"/>
          <w:numId w:val="21"/>
        </w:numPr>
        <w:tabs>
          <w:tab w:pos="803" w:val="left" w:leader="none"/>
        </w:tabs>
        <w:spacing w:line="242" w:lineRule="auto" w:before="0" w:after="0"/>
        <w:ind w:left="170" w:right="322" w:firstLine="317"/>
        <w:jc w:val="both"/>
        <w:rPr>
          <w:sz w:val="21"/>
        </w:rPr>
      </w:pPr>
      <w:r>
        <w:rPr>
          <w:w w:val="95"/>
          <w:sz w:val="21"/>
        </w:rPr>
        <w:t>神经影像学或电生</w:t>
      </w:r>
      <w:r>
        <w:rPr>
          <w:w w:val="95"/>
          <w:sz w:val="21"/>
        </w:rPr>
        <w:t>理</w:t>
      </w:r>
      <w:r>
        <w:rPr>
          <w:w w:val="95"/>
          <w:sz w:val="21"/>
        </w:rPr>
        <w:t>异</w:t>
      </w:r>
      <w:r>
        <w:rPr>
          <w:w w:val="95"/>
          <w:sz w:val="21"/>
        </w:rPr>
        <w:t>常：MRI 边缘</w:t>
      </w:r>
      <w:r>
        <w:rPr>
          <w:w w:val="95"/>
          <w:sz w:val="21"/>
        </w:rPr>
        <w:t>系</w:t>
      </w:r>
      <w:r>
        <w:rPr>
          <w:w w:val="95"/>
          <w:sz w:val="21"/>
        </w:rPr>
        <w:t>统</w:t>
      </w:r>
      <w:r>
        <w:rPr>
          <w:w w:val="95"/>
          <w:sz w:val="21"/>
        </w:rPr>
        <w:t> T2 </w:t>
      </w:r>
      <w:r>
        <w:rPr>
          <w:w w:val="95"/>
          <w:sz w:val="21"/>
        </w:rPr>
        <w:t>或</w:t>
      </w:r>
      <w:r>
        <w:rPr>
          <w:w w:val="95"/>
          <w:sz w:val="21"/>
        </w:rPr>
        <w:t>者</w:t>
      </w:r>
      <w:r>
        <w:rPr>
          <w:w w:val="95"/>
          <w:sz w:val="21"/>
        </w:rPr>
        <w:t> FLAIR 异常信号，单</w:t>
      </w:r>
      <w:r>
        <w:rPr>
          <w:w w:val="95"/>
          <w:sz w:val="21"/>
        </w:rPr>
        <w:t>侧</w:t>
      </w:r>
      <w:r>
        <w:rPr>
          <w:w w:val="95"/>
          <w:sz w:val="21"/>
        </w:rPr>
        <w:t>或</w:t>
      </w:r>
      <w:r>
        <w:rPr>
          <w:w w:val="95"/>
          <w:sz w:val="21"/>
        </w:rPr>
        <w:t>双</w:t>
      </w:r>
      <w:r>
        <w:rPr>
          <w:w w:val="95"/>
          <w:sz w:val="21"/>
        </w:rPr>
        <w:t>侧</w:t>
      </w:r>
      <w:r>
        <w:rPr>
          <w:w w:val="95"/>
          <w:sz w:val="21"/>
        </w:rPr>
        <w:t>，或者其他区域的 T2 或 FLAIR 异常信号（除外</w:t>
      </w:r>
      <w:r>
        <w:rPr>
          <w:w w:val="95"/>
          <w:sz w:val="21"/>
        </w:rPr>
        <w:t>非</w:t>
      </w:r>
      <w:r>
        <w:rPr>
          <w:w w:val="95"/>
          <w:sz w:val="21"/>
        </w:rPr>
        <w:t>特</w:t>
      </w:r>
      <w:r>
        <w:rPr>
          <w:w w:val="95"/>
          <w:sz w:val="21"/>
        </w:rPr>
        <w:t>异性白质改变和卒中</w:t>
      </w:r>
      <w:r>
        <w:rPr>
          <w:spacing w:val="-72"/>
          <w:w w:val="95"/>
          <w:sz w:val="21"/>
        </w:rPr>
        <w:t>）</w:t>
      </w:r>
      <w:r>
        <w:rPr>
          <w:spacing w:val="-36"/>
          <w:w w:val="95"/>
          <w:sz w:val="21"/>
        </w:rPr>
        <w:t>；或</w:t>
      </w:r>
      <w:r>
        <w:rPr>
          <w:spacing w:val="-6"/>
          <w:sz w:val="21"/>
        </w:rPr>
        <w:t>者 PET</w:t>
      </w:r>
      <w:r>
        <w:rPr>
          <w:spacing w:val="-8"/>
          <w:sz w:val="21"/>
        </w:rPr>
        <w:t> 边缘系统高代谢改变，或者多发的皮质和</w:t>
      </w:r>
      <w:r>
        <w:rPr>
          <w:spacing w:val="-6"/>
          <w:sz w:val="21"/>
        </w:rPr>
        <w:t>（或）基底核高代谢；或者脑电图</w:t>
      </w:r>
      <w:r>
        <w:rPr>
          <w:spacing w:val="-2"/>
          <w:sz w:val="21"/>
        </w:rPr>
        <w:t>异常：局灶性癫痫或癫痫样放电（位于颞叶或颞叶以外</w:t>
      </w:r>
      <w:r>
        <w:rPr>
          <w:spacing w:val="-108"/>
          <w:sz w:val="21"/>
        </w:rPr>
        <w:t>）</w:t>
      </w:r>
      <w:r>
        <w:rPr>
          <w:spacing w:val="-2"/>
          <w:sz w:val="21"/>
        </w:rPr>
        <w:t>，或者弥漫或多灶分布的</w:t>
      </w:r>
      <w:r>
        <w:rPr>
          <w:spacing w:val="-2"/>
          <w:sz w:val="21"/>
        </w:rPr>
        <w:t>慢波节律；</w:t>
      </w:r>
    </w:p>
    <w:p>
      <w:pPr>
        <w:pStyle w:val="ListParagraph"/>
        <w:numPr>
          <w:ilvl w:val="0"/>
          <w:numId w:val="21"/>
        </w:numPr>
        <w:tabs>
          <w:tab w:pos="803" w:val="left" w:leader="none"/>
        </w:tabs>
        <w:spacing w:line="242" w:lineRule="auto" w:before="0" w:after="0"/>
        <w:ind w:left="170" w:right="216" w:firstLine="317"/>
        <w:jc w:val="both"/>
        <w:rPr>
          <w:sz w:val="21"/>
        </w:rPr>
      </w:pPr>
      <w:r>
        <w:rPr>
          <w:spacing w:val="-2"/>
          <w:sz w:val="21"/>
        </w:rPr>
        <w:t>与自身免疫性脑炎相关的特定类型的肿瘤，如边缘性脑炎合并小细胞肺癌，</w:t>
      </w:r>
      <w:r>
        <w:rPr>
          <w:spacing w:val="-10"/>
          <w:sz w:val="21"/>
        </w:rPr>
        <w:t>抗 </w:t>
      </w:r>
      <w:r>
        <w:rPr>
          <w:sz w:val="21"/>
        </w:rPr>
        <w:t>NMDAR</w:t>
      </w:r>
      <w:r>
        <w:rPr>
          <w:spacing w:val="-5"/>
          <w:sz w:val="21"/>
        </w:rPr>
        <w:t> 脑炎合并畸胎瘤。</w:t>
      </w:r>
    </w:p>
    <w:p>
      <w:pPr>
        <w:pStyle w:val="BodyText"/>
        <w:spacing w:line="242" w:lineRule="auto" w:before="2"/>
        <w:ind w:left="170" w:right="324"/>
      </w:pPr>
      <w:r>
        <w:rPr>
          <w:spacing w:val="-9"/>
        </w:rPr>
        <w:t>Ⅲ 抗神经元表面抗原的自身抗体阳性，其中抗 </w:t>
      </w:r>
      <w:r>
        <w:rPr/>
        <w:t>NMDAR</w:t>
      </w:r>
      <w:r>
        <w:rPr>
          <w:spacing w:val="-8"/>
        </w:rPr>
        <w:t> 抗体检测主要以脑脊液阳性</w:t>
      </w:r>
      <w:r>
        <w:rPr>
          <w:spacing w:val="-4"/>
        </w:rPr>
        <w:t>为准。</w:t>
      </w:r>
    </w:p>
    <w:p>
      <w:pPr>
        <w:pStyle w:val="BodyText"/>
        <w:spacing w:before="2"/>
        <w:ind w:left="170"/>
      </w:pPr>
      <w:r>
        <w:rPr/>
        <w:t>Ⅳ</w:t>
      </w:r>
      <w:r>
        <w:rPr>
          <w:spacing w:val="38"/>
          <w:w w:val="150"/>
        </w:rPr>
        <w:t> </w:t>
      </w:r>
      <w:r>
        <w:rPr>
          <w:spacing w:val="-1"/>
        </w:rPr>
        <w:t>合理地排除其他病因。</w:t>
      </w:r>
    </w:p>
    <w:p>
      <w:pPr>
        <w:spacing w:after="0"/>
        <w:sectPr>
          <w:type w:val="continuous"/>
          <w:pgSz w:w="11910" w:h="16840"/>
          <w:pgMar w:header="0" w:footer="655" w:top="140" w:bottom="280" w:left="560" w:right="480"/>
          <w:cols w:num="2" w:equalWidth="0">
            <w:col w:w="2871" w:space="40"/>
            <w:col w:w="7959"/>
          </w:cols>
        </w:sectPr>
      </w:pPr>
    </w:p>
    <w:p>
      <w:pPr>
        <w:pStyle w:val="BodyText"/>
        <w:spacing w:before="11"/>
        <w:rPr>
          <w:sz w:val="18"/>
        </w:rPr>
      </w:pPr>
    </w:p>
    <w:p>
      <w:pPr>
        <w:pStyle w:val="BodyText"/>
        <w:spacing w:line="225" w:lineRule="auto" w:before="84"/>
        <w:ind w:left="3081" w:right="322" w:hanging="1949"/>
        <w:jc w:val="both"/>
      </w:pPr>
      <w:r>
        <w:rPr>
          <w:rFonts w:ascii="华文新魏" w:eastAsia="华文新魏" w:hint="eastAsia"/>
          <w:b/>
        </w:rPr>
        <w:t>111、严重肺结节病 </w:t>
      </w:r>
      <w:r>
        <w:rPr>
          <w:spacing w:val="-6"/>
        </w:rPr>
        <w:t>结节病是一种原因未明的慢性肉芽肿病，可侵犯全身多个器官，以肺和淋巴结受累</w:t>
      </w:r>
      <w:r>
        <w:rPr>
          <w:spacing w:val="-12"/>
        </w:rPr>
        <w:t>最为常见。严重肺结节病表现为肺的广泛纤维化导致慢性呼吸功能衰竭。必须满足</w:t>
      </w:r>
      <w:r>
        <w:rPr>
          <w:spacing w:val="-2"/>
        </w:rPr>
        <w:t>下列所有条件：</w:t>
      </w:r>
    </w:p>
    <w:p>
      <w:pPr>
        <w:pStyle w:val="BodyText"/>
        <w:spacing w:before="4"/>
        <w:ind w:left="3081"/>
      </w:pPr>
      <w:r>
        <w:rPr>
          <w:spacing w:val="2"/>
        </w:rPr>
        <w:t>Ⅰ 肺结节病的</w:t>
      </w:r>
      <w:r>
        <w:rPr/>
        <w:t>X</w:t>
      </w:r>
      <w:r>
        <w:rPr>
          <w:spacing w:val="-19"/>
        </w:rPr>
        <w:t> 线分期为 </w:t>
      </w:r>
      <w:r>
        <w:rPr/>
        <w:t>IV</w:t>
      </w:r>
      <w:r>
        <w:rPr>
          <w:spacing w:val="-9"/>
        </w:rPr>
        <w:t> 期，即广泛肺纤维化；</w:t>
      </w:r>
    </w:p>
    <w:p>
      <w:pPr>
        <w:pStyle w:val="BodyText"/>
        <w:spacing w:before="5"/>
        <w:ind w:left="3081"/>
      </w:pPr>
      <w:r>
        <w:rPr/>
        <w:t>Ⅱ 永久不可逆性的慢性呼吸功能衰竭，临床持续 180 天动脉血氧分压</w:t>
      </w:r>
      <w:r>
        <w:rPr>
          <w:spacing w:val="-2"/>
        </w:rPr>
        <w:t>（PaO2）</w:t>
      </w:r>
    </w:p>
    <w:p>
      <w:pPr>
        <w:pStyle w:val="BodyText"/>
        <w:spacing w:before="2"/>
        <w:ind w:left="3081"/>
      </w:pPr>
      <w:r>
        <w:rPr>
          <w:spacing w:val="-2"/>
        </w:rPr>
        <w:t>&lt;50mmHg</w:t>
      </w:r>
      <w:r>
        <w:rPr>
          <w:spacing w:val="-8"/>
        </w:rPr>
        <w:t> 和动脉血氧饱和度</w:t>
      </w:r>
      <w:r>
        <w:rPr>
          <w:spacing w:val="-2"/>
        </w:rPr>
        <w:t>（SaO2）&lt;80</w:t>
      </w:r>
      <w:r>
        <w:rPr>
          <w:spacing w:val="-6"/>
        </w:rPr>
        <w:t>%。</w:t>
      </w:r>
    </w:p>
    <w:p>
      <w:pPr>
        <w:spacing w:after="0"/>
        <w:sectPr>
          <w:type w:val="continuous"/>
          <w:pgSz w:w="11910" w:h="16840"/>
          <w:pgMar w:header="0" w:footer="655" w:top="140" w:bottom="280" w:left="560" w:right="480"/>
        </w:sectPr>
      </w:pPr>
    </w:p>
    <w:p>
      <w:pPr>
        <w:pStyle w:val="BodyText"/>
        <w:spacing w:before="1"/>
        <w:rPr>
          <w:sz w:val="9"/>
        </w:rPr>
      </w:pPr>
    </w:p>
    <w:p>
      <w:pPr>
        <w:spacing w:after="0"/>
        <w:rPr>
          <w:sz w:val="9"/>
        </w:rPr>
        <w:sectPr>
          <w:pgSz w:w="11910" w:h="16840"/>
          <w:pgMar w:header="0" w:footer="655" w:top="1580" w:bottom="840" w:left="560" w:right="480"/>
        </w:sectPr>
      </w:pPr>
    </w:p>
    <w:p>
      <w:pPr>
        <w:spacing w:before="71"/>
        <w:ind w:left="1132" w:right="0" w:firstLine="0"/>
        <w:jc w:val="left"/>
        <w:rPr>
          <w:rFonts w:ascii="华文新魏" w:eastAsia="华文新魏" w:hint="eastAsia"/>
          <w:b/>
          <w:sz w:val="21"/>
        </w:rPr>
      </w:pPr>
      <w:r>
        <w:rPr>
          <w:rFonts w:ascii="华文新魏" w:eastAsia="华文新魏" w:hint="eastAsia"/>
          <w:b/>
          <w:spacing w:val="-4"/>
          <w:sz w:val="21"/>
        </w:rPr>
        <w:t>112、严重脊髓血管</w:t>
      </w:r>
      <w:r>
        <w:rPr>
          <w:rFonts w:ascii="华文新魏" w:eastAsia="华文新魏" w:hint="eastAsia"/>
          <w:b/>
          <w:spacing w:val="-4"/>
          <w:sz w:val="21"/>
        </w:rPr>
        <w:t>病后遗症</w:t>
      </w:r>
    </w:p>
    <w:p>
      <w:pPr>
        <w:pStyle w:val="BodyText"/>
        <w:spacing w:line="242" w:lineRule="auto" w:before="72"/>
        <w:ind w:left="171" w:right="322"/>
        <w:jc w:val="both"/>
      </w:pPr>
      <w:r>
        <w:rPr/>
        <w:br w:type="column"/>
      </w:r>
      <w:r>
        <w:rPr>
          <w:spacing w:val="-7"/>
        </w:rPr>
        <w:t>指脊髓血管的突发病变引起脊髓梗塞或脊髓出血，导致永久性不可逆的神经系统功</w:t>
      </w:r>
      <w:r>
        <w:rPr>
          <w:spacing w:val="-4"/>
        </w:rPr>
        <w:t>能损害，表现为截瘫或四肢瘫。永久性不可逆的神经系统功能损害指疾病确诊 180</w:t>
      </w:r>
      <w:r>
        <w:rPr>
          <w:spacing w:val="-2"/>
        </w:rPr>
        <w:t>天后，仍然遗留后遗症并且无法独立完成下列基本日常生活活动之一：</w:t>
      </w:r>
    </w:p>
    <w:p>
      <w:pPr>
        <w:pStyle w:val="BodyText"/>
        <w:spacing w:before="3"/>
        <w:ind w:left="171"/>
        <w:jc w:val="both"/>
      </w:pPr>
      <w:r>
        <w:rPr>
          <w:spacing w:val="-6"/>
        </w:rPr>
        <w:t>Ⅰ 移动：自己从一个房间到另一个房间；</w:t>
      </w:r>
    </w:p>
    <w:p>
      <w:pPr>
        <w:pStyle w:val="BodyText"/>
        <w:spacing w:before="2"/>
        <w:ind w:left="171"/>
        <w:jc w:val="both"/>
      </w:pPr>
      <w:r>
        <w:rPr>
          <w:spacing w:val="-3"/>
        </w:rPr>
        <w:t>Ⅱ 进食：自己从已准备好的碗或碟中取食物放入口中。</w:t>
      </w:r>
    </w:p>
    <w:p>
      <w:pPr>
        <w:spacing w:after="0"/>
        <w:jc w:val="both"/>
        <w:sectPr>
          <w:type w:val="continuous"/>
          <w:pgSz w:w="11910" w:h="16840"/>
          <w:pgMar w:header="0" w:footer="655" w:top="140" w:bottom="280" w:left="560" w:right="480"/>
          <w:cols w:num="2" w:equalWidth="0">
            <w:col w:w="2871" w:space="40"/>
            <w:col w:w="7959"/>
          </w:cols>
        </w:sectPr>
      </w:pPr>
    </w:p>
    <w:p>
      <w:pPr>
        <w:pStyle w:val="BodyText"/>
        <w:spacing w:before="2"/>
        <w:rPr>
          <w:sz w:val="19"/>
        </w:rPr>
      </w:pPr>
    </w:p>
    <w:p>
      <w:pPr>
        <w:spacing w:after="0"/>
        <w:rPr>
          <w:sz w:val="19"/>
        </w:rPr>
        <w:sectPr>
          <w:type w:val="continuous"/>
          <w:pgSz w:w="11910" w:h="16840"/>
          <w:pgMar w:header="0" w:footer="655" w:top="140" w:bottom="280" w:left="560" w:right="480"/>
        </w:sectPr>
      </w:pPr>
    </w:p>
    <w:p>
      <w:pPr>
        <w:spacing w:before="70"/>
        <w:ind w:left="1132" w:right="0" w:firstLine="0"/>
        <w:jc w:val="left"/>
        <w:rPr>
          <w:rFonts w:ascii="华文新魏" w:eastAsia="华文新魏" w:hint="eastAsia"/>
          <w:b/>
          <w:sz w:val="21"/>
        </w:rPr>
      </w:pPr>
      <w:r>
        <w:rPr>
          <w:rFonts w:ascii="华文新魏" w:eastAsia="华文新魏" w:hint="eastAsia"/>
          <w:b/>
          <w:spacing w:val="-4"/>
          <w:sz w:val="21"/>
        </w:rPr>
        <w:t>113、特定的横贯性</w:t>
      </w:r>
      <w:r>
        <w:rPr>
          <w:rFonts w:ascii="华文新魏" w:eastAsia="华文新魏" w:hint="eastAsia"/>
          <w:b/>
          <w:spacing w:val="-2"/>
          <w:sz w:val="21"/>
        </w:rPr>
        <w:t>脊髓炎后遗症</w:t>
      </w:r>
    </w:p>
    <w:p>
      <w:pPr>
        <w:pStyle w:val="BodyText"/>
        <w:spacing w:line="242" w:lineRule="auto" w:before="72"/>
        <w:ind w:left="171" w:right="846"/>
      </w:pPr>
      <w:r>
        <w:rPr/>
        <w:br w:type="column"/>
      </w:r>
      <w:r>
        <w:rPr>
          <w:spacing w:val="-2"/>
        </w:rPr>
        <w:t>脊髓炎是一种炎症性脊髓疾病。横贯性脊髓炎是指炎症扩展横贯整个脊髓，</w:t>
      </w:r>
      <w:r>
        <w:rPr>
          <w:spacing w:val="-2"/>
        </w:rPr>
        <w:t>表现为运动障碍、感觉障碍和自主神经功能障碍。</w:t>
      </w:r>
    </w:p>
    <w:p>
      <w:pPr>
        <w:pStyle w:val="BodyText"/>
        <w:spacing w:line="244" w:lineRule="auto"/>
        <w:ind w:left="171" w:right="1057"/>
      </w:pPr>
      <w:r>
        <w:rPr>
          <w:spacing w:val="-2"/>
        </w:rPr>
        <w:t>特定的横贯性脊髓炎后遗症指诊断为横贯性脊髓炎且已经造成永久不可逆</w:t>
      </w:r>
      <w:r>
        <w:rPr>
          <w:spacing w:val="-2"/>
        </w:rPr>
        <w:t>的神经系统功能障碍，无法独立完成下列基本日常生活活动之一：</w:t>
      </w:r>
    </w:p>
    <w:p>
      <w:pPr>
        <w:pStyle w:val="BodyText"/>
        <w:spacing w:line="265" w:lineRule="exact"/>
        <w:ind w:left="171"/>
      </w:pPr>
      <w:r>
        <w:rPr/>
        <w:t>Ⅰ</w:t>
      </w:r>
      <w:r>
        <w:rPr>
          <w:spacing w:val="29"/>
          <w:w w:val="150"/>
        </w:rPr>
        <w:t> </w:t>
      </w:r>
      <w:r>
        <w:rPr>
          <w:spacing w:val="-1"/>
        </w:rPr>
        <w:t>移动：自己从一个房间到另一个房间；</w:t>
      </w:r>
    </w:p>
    <w:p>
      <w:pPr>
        <w:pStyle w:val="BodyText"/>
        <w:spacing w:before="3"/>
        <w:ind w:left="171"/>
      </w:pPr>
      <w:r>
        <w:rPr>
          <w:spacing w:val="-1"/>
        </w:rPr>
        <w:t>Ⅱ 进食：自己从已准备好的碗或碟中取食物放入口中。</w:t>
      </w:r>
    </w:p>
    <w:p>
      <w:pPr>
        <w:spacing w:after="0"/>
        <w:sectPr>
          <w:type w:val="continuous"/>
          <w:pgSz w:w="11910" w:h="16840"/>
          <w:pgMar w:header="0" w:footer="655" w:top="140" w:bottom="280" w:left="560" w:right="480"/>
          <w:cols w:num="2" w:equalWidth="0">
            <w:col w:w="2871" w:space="40"/>
            <w:col w:w="7959"/>
          </w:cols>
        </w:sectPr>
      </w:pPr>
    </w:p>
    <w:p>
      <w:pPr>
        <w:pStyle w:val="BodyText"/>
        <w:rPr>
          <w:sz w:val="19"/>
        </w:rPr>
      </w:pPr>
    </w:p>
    <w:p>
      <w:pPr>
        <w:spacing w:after="0"/>
        <w:rPr>
          <w:sz w:val="19"/>
        </w:rPr>
        <w:sectPr>
          <w:type w:val="continuous"/>
          <w:pgSz w:w="11910" w:h="16840"/>
          <w:pgMar w:header="0" w:footer="655" w:top="140" w:bottom="280" w:left="560" w:right="480"/>
        </w:sectPr>
      </w:pPr>
    </w:p>
    <w:p>
      <w:pPr>
        <w:spacing w:before="70"/>
        <w:ind w:left="1132" w:right="0" w:firstLine="0"/>
        <w:jc w:val="left"/>
        <w:rPr>
          <w:rFonts w:ascii="华文新魏" w:eastAsia="华文新魏" w:hint="eastAsia"/>
          <w:b/>
          <w:sz w:val="21"/>
        </w:rPr>
      </w:pPr>
      <w:r>
        <w:rPr>
          <w:rFonts w:ascii="华文新魏" w:eastAsia="华文新魏" w:hint="eastAsia"/>
          <w:b/>
          <w:spacing w:val="-4"/>
          <w:sz w:val="21"/>
        </w:rPr>
        <w:t>114、特发性肺纤维</w:t>
      </w:r>
      <w:r>
        <w:rPr>
          <w:rFonts w:ascii="华文新魏" w:eastAsia="华文新魏" w:hint="eastAsia"/>
          <w:b/>
          <w:spacing w:val="-10"/>
          <w:sz w:val="21"/>
        </w:rPr>
        <w:t>化</w:t>
      </w:r>
    </w:p>
    <w:p>
      <w:pPr>
        <w:spacing w:line="242" w:lineRule="auto" w:before="71"/>
        <w:ind w:left="171" w:right="219" w:firstLine="0"/>
        <w:jc w:val="left"/>
        <w:rPr>
          <w:rFonts w:ascii="黑体" w:eastAsia="黑体" w:hint="eastAsia"/>
          <w:b/>
          <w:sz w:val="21"/>
        </w:rPr>
      </w:pPr>
      <w:r>
        <w:rPr/>
        <w:br w:type="column"/>
      </w:r>
      <w:r>
        <w:rPr>
          <w:spacing w:val="-17"/>
          <w:sz w:val="21"/>
        </w:rPr>
        <w:t>是一种原因不明的、进行性的、局限于肺部的以纤维化伴蜂窝状改变为特征的疾病，</w:t>
      </w:r>
      <w:r>
        <w:rPr>
          <w:spacing w:val="-2"/>
          <w:sz w:val="21"/>
        </w:rPr>
        <w:t>可表现为呼吸困难、咳嗽咳痰、消瘦、乏力，终末期可出现呼吸衰竭和右心衰竭体</w:t>
      </w:r>
      <w:r>
        <w:rPr>
          <w:sz w:val="21"/>
        </w:rPr>
        <w:t>征。诊断需经外科肺活检病理证实或高分辨率 CT</w:t>
      </w:r>
      <w:r>
        <w:rPr>
          <w:spacing w:val="-37"/>
          <w:sz w:val="21"/>
        </w:rPr>
        <w:t> </w:t>
      </w:r>
      <w:r>
        <w:rPr>
          <w:sz w:val="21"/>
        </w:rPr>
        <w:t>（ HRCT ）证实为典型的普通型间质性肺炎（ UIP </w:t>
      </w:r>
      <w:r>
        <w:rPr>
          <w:spacing w:val="-106"/>
          <w:sz w:val="21"/>
        </w:rPr>
        <w:t>）</w:t>
      </w:r>
      <w:r>
        <w:rPr>
          <w:sz w:val="21"/>
        </w:rPr>
        <w:t>。 </w:t>
      </w:r>
      <w:r>
        <w:rPr>
          <w:rFonts w:ascii="黑体" w:eastAsia="黑体" w:hint="eastAsia"/>
          <w:b/>
          <w:sz w:val="21"/>
        </w:rPr>
        <w:t>其他已知原因（例如环境和职业暴露、结缔组织病、药物毒性）导致的间质性肺疾病（ ILD ）不在保障范围内。</w:t>
      </w:r>
    </w:p>
    <w:p>
      <w:pPr>
        <w:spacing w:after="0" w:line="242" w:lineRule="auto"/>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2"/>
        <w:rPr>
          <w:rFonts w:ascii="黑体"/>
          <w:b/>
          <w:sz w:val="19"/>
        </w:rPr>
      </w:pPr>
    </w:p>
    <w:p>
      <w:pPr>
        <w:spacing w:after="0"/>
        <w:rPr>
          <w:rFonts w:ascii="黑体"/>
          <w:sz w:val="19"/>
        </w:rPr>
        <w:sectPr>
          <w:type w:val="continuous"/>
          <w:pgSz w:w="11910" w:h="16840"/>
          <w:pgMar w:header="0" w:footer="655" w:top="140" w:bottom="280" w:left="560" w:right="480"/>
        </w:sectPr>
      </w:pPr>
    </w:p>
    <w:p>
      <w:pPr>
        <w:spacing w:before="70"/>
        <w:ind w:left="1132" w:right="0" w:firstLine="0"/>
        <w:jc w:val="left"/>
        <w:rPr>
          <w:rFonts w:ascii="华文新魏" w:eastAsia="华文新魏" w:hint="eastAsia"/>
          <w:b/>
          <w:sz w:val="21"/>
        </w:rPr>
      </w:pPr>
      <w:r>
        <w:rPr>
          <w:rFonts w:ascii="华文新魏" w:eastAsia="华文新魏" w:hint="eastAsia"/>
          <w:b/>
          <w:spacing w:val="-4"/>
          <w:sz w:val="21"/>
        </w:rPr>
        <w:t>115、严重血管性痴</w:t>
      </w:r>
      <w:r>
        <w:rPr>
          <w:rFonts w:ascii="华文新魏" w:eastAsia="华文新魏" w:hint="eastAsia"/>
          <w:b/>
          <w:spacing w:val="-10"/>
          <w:sz w:val="21"/>
        </w:rPr>
        <w:t>呆</w:t>
      </w:r>
    </w:p>
    <w:p>
      <w:pPr>
        <w:pStyle w:val="BodyText"/>
        <w:spacing w:line="242" w:lineRule="auto" w:before="71"/>
        <w:ind w:left="171" w:right="217"/>
        <w:rPr>
          <w:rFonts w:ascii="黑体" w:eastAsia="黑体" w:hint="eastAsia"/>
          <w:b/>
        </w:rPr>
      </w:pPr>
      <w:r>
        <w:rPr/>
        <w:br w:type="column"/>
      </w:r>
      <w:r>
        <w:rPr>
          <w:spacing w:val="-12"/>
        </w:rPr>
        <w:t>指由缺血性卒中、出血性卒中和造成记忆、认知和行为等脑区低灌注的脑血管疾病</w:t>
      </w:r>
      <w:r>
        <w:rPr>
          <w:spacing w:val="-8"/>
        </w:rPr>
        <w:t>所致的严重认知功能障碍综合征。被保险人自主生活能力完全丧失，无法独立完成</w:t>
      </w:r>
      <w:r>
        <w:rPr>
          <w:spacing w:val="-7"/>
        </w:rPr>
        <w:t>六项基本日常生活活动中的三项或三项以上，日常生活必须持续受到他人监护。导</w:t>
      </w:r>
      <w:r>
        <w:rPr>
          <w:spacing w:val="-2"/>
        </w:rPr>
        <w:t>致痴呆的疾病必须明确诊断，并且有完整的临床、实验室和影像学检查结果证实。</w:t>
      </w:r>
      <w:r>
        <w:rPr>
          <w:rFonts w:ascii="黑体" w:eastAsia="黑体" w:hint="eastAsia"/>
          <w:b/>
          <w:spacing w:val="-2"/>
        </w:rPr>
        <w:t>神经官能症，精神疾病及酒精中毒所致脑损害不在保障范围内。</w:t>
      </w:r>
    </w:p>
    <w:p>
      <w:pPr>
        <w:spacing w:after="0" w:line="242" w:lineRule="auto"/>
        <w:rPr>
          <w:rFonts w:ascii="黑体" w:eastAsia="黑体" w:hint="eastAsia"/>
        </w:rPr>
        <w:sectPr>
          <w:type w:val="continuous"/>
          <w:pgSz w:w="11910" w:h="16840"/>
          <w:pgMar w:header="0" w:footer="655" w:top="140" w:bottom="280" w:left="560" w:right="480"/>
          <w:cols w:num="2" w:equalWidth="0">
            <w:col w:w="2871" w:space="40"/>
            <w:col w:w="7959"/>
          </w:cols>
        </w:sectPr>
      </w:pPr>
    </w:p>
    <w:p>
      <w:pPr>
        <w:pStyle w:val="BodyText"/>
        <w:spacing w:before="12"/>
        <w:rPr>
          <w:rFonts w:ascii="黑体"/>
          <w:b/>
          <w:sz w:val="18"/>
        </w:rPr>
      </w:pPr>
    </w:p>
    <w:p>
      <w:pPr>
        <w:spacing w:after="0"/>
        <w:rPr>
          <w:rFonts w:ascii="黑体"/>
          <w:sz w:val="18"/>
        </w:rPr>
        <w:sectPr>
          <w:type w:val="continuous"/>
          <w:pgSz w:w="11910" w:h="16840"/>
          <w:pgMar w:header="0" w:footer="655" w:top="140" w:bottom="280" w:left="560" w:right="480"/>
        </w:sectPr>
      </w:pPr>
    </w:p>
    <w:p>
      <w:pPr>
        <w:spacing w:before="71"/>
        <w:ind w:left="1132" w:right="0" w:firstLine="0"/>
        <w:jc w:val="left"/>
        <w:rPr>
          <w:rFonts w:ascii="华文新魏" w:eastAsia="华文新魏" w:hint="eastAsia"/>
          <w:b/>
          <w:sz w:val="21"/>
        </w:rPr>
      </w:pPr>
      <w:r>
        <w:rPr>
          <w:rFonts w:ascii="华文新魏" w:eastAsia="华文新魏" w:hint="eastAsia"/>
          <w:b/>
          <w:spacing w:val="-4"/>
          <w:sz w:val="21"/>
        </w:rPr>
        <w:t>116、严重额颞叶痴</w:t>
      </w:r>
      <w:r>
        <w:rPr>
          <w:rFonts w:ascii="华文新魏" w:eastAsia="华文新魏" w:hint="eastAsia"/>
          <w:b/>
          <w:spacing w:val="-10"/>
          <w:sz w:val="21"/>
        </w:rPr>
        <w:t>呆</w:t>
      </w:r>
    </w:p>
    <w:p>
      <w:pPr>
        <w:pStyle w:val="BodyText"/>
        <w:spacing w:line="242" w:lineRule="auto" w:before="72"/>
        <w:ind w:left="171" w:right="322"/>
        <w:jc w:val="both"/>
      </w:pPr>
      <w:r>
        <w:rPr/>
        <w:br w:type="column"/>
      </w:r>
      <w:r>
        <w:rPr>
          <w:spacing w:val="-7"/>
        </w:rPr>
        <w:t>指一组以额颞叶萎缩为特征的痴呆综合征，临床以明显的人格、行为改变和认知障</w:t>
      </w:r>
      <w:r>
        <w:rPr>
          <w:spacing w:val="-13"/>
        </w:rPr>
        <w:t>碍为特征。被保险人自主生活能力完全丧失，无法独立完成六项基本日常生活活动</w:t>
      </w:r>
      <w:r>
        <w:rPr>
          <w:spacing w:val="-10"/>
        </w:rPr>
        <w:t>中的三项或三项以上，日常生活必须持续受到他人监护。导致痴呆的疾病必须明确</w:t>
      </w:r>
      <w:r>
        <w:rPr>
          <w:spacing w:val="-2"/>
        </w:rPr>
        <w:t>诊断，并且有完整的临床、实验室和影像学检查结果证实。</w:t>
      </w:r>
    </w:p>
    <w:p>
      <w:pPr>
        <w:spacing w:before="3"/>
        <w:ind w:left="171" w:right="0" w:firstLine="0"/>
        <w:jc w:val="left"/>
        <w:rPr>
          <w:rFonts w:ascii="黑体" w:eastAsia="黑体" w:hint="eastAsia"/>
          <w:b/>
          <w:sz w:val="21"/>
        </w:rPr>
      </w:pPr>
      <w:r>
        <w:rPr>
          <w:rFonts w:ascii="黑体" w:eastAsia="黑体" w:hint="eastAsia"/>
          <w:b/>
          <w:spacing w:val="-3"/>
          <w:sz w:val="21"/>
        </w:rPr>
        <w:t>神经官能症，精神疾病及酒精中毒所致脑损害不在保障范围内。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1"/>
        <w:rPr>
          <w:rFonts w:ascii="黑体"/>
          <w:b/>
          <w:sz w:val="19"/>
        </w:rPr>
      </w:pPr>
    </w:p>
    <w:p>
      <w:pPr>
        <w:spacing w:after="0"/>
        <w:rPr>
          <w:rFonts w:ascii="黑体"/>
          <w:sz w:val="19"/>
        </w:rPr>
        <w:sectPr>
          <w:type w:val="continuous"/>
          <w:pgSz w:w="11910" w:h="16840"/>
          <w:pgMar w:header="0" w:footer="655" w:top="140" w:bottom="280" w:left="560" w:right="480"/>
        </w:sectPr>
      </w:pPr>
    </w:p>
    <w:p>
      <w:pPr>
        <w:spacing w:before="71"/>
        <w:ind w:left="1132" w:right="0" w:firstLine="0"/>
        <w:jc w:val="left"/>
        <w:rPr>
          <w:rFonts w:ascii="华文新魏" w:eastAsia="华文新魏" w:hint="eastAsia"/>
          <w:b/>
          <w:sz w:val="21"/>
        </w:rPr>
      </w:pPr>
      <w:r>
        <w:rPr>
          <w:rFonts w:ascii="华文新魏" w:eastAsia="华文新魏" w:hint="eastAsia"/>
          <w:b/>
          <w:spacing w:val="-4"/>
          <w:sz w:val="21"/>
        </w:rPr>
        <w:t>117、严重路易体痴</w:t>
      </w:r>
      <w:r>
        <w:rPr>
          <w:rFonts w:ascii="华文新魏" w:eastAsia="华文新魏" w:hint="eastAsia"/>
          <w:b/>
          <w:spacing w:val="-10"/>
          <w:sz w:val="21"/>
        </w:rPr>
        <w:t>呆</w:t>
      </w:r>
    </w:p>
    <w:p>
      <w:pPr>
        <w:pStyle w:val="BodyText"/>
        <w:spacing w:line="242" w:lineRule="auto" w:before="72"/>
        <w:ind w:left="171" w:right="322"/>
        <w:jc w:val="both"/>
      </w:pPr>
      <w:r>
        <w:rPr/>
        <w:br w:type="column"/>
      </w:r>
      <w:r>
        <w:rPr>
          <w:spacing w:val="-7"/>
        </w:rPr>
        <w:t>指一组在临床和病理表现上以波动性认知功能障碍、视幻觉和帕金森综合征为临床</w:t>
      </w:r>
      <w:r>
        <w:rPr>
          <w:spacing w:val="-4"/>
        </w:rPr>
        <w:t>特点，以路易体为病理特征的神经变性疾病。被保险人自主生活能力完全丧失，无</w:t>
      </w:r>
      <w:r>
        <w:rPr>
          <w:spacing w:val="-7"/>
        </w:rPr>
        <w:t>法独立完成六项基本日常生活活动中的三项或三项以上，日常生活必须持续受到他</w:t>
      </w:r>
      <w:r>
        <w:rPr>
          <w:spacing w:val="-4"/>
        </w:rPr>
        <w:t>人监护。导致痴呆的疾病必须明确诊断，并且有完整的临床、实验室和影像学检查</w:t>
      </w:r>
      <w:r>
        <w:rPr>
          <w:spacing w:val="-2"/>
        </w:rPr>
        <w:t>结果证实。</w:t>
      </w:r>
    </w:p>
    <w:p>
      <w:pPr>
        <w:spacing w:before="2"/>
        <w:ind w:left="171" w:right="0" w:firstLine="0"/>
        <w:jc w:val="left"/>
        <w:rPr>
          <w:rFonts w:ascii="黑体" w:eastAsia="黑体" w:hint="eastAsia"/>
          <w:b/>
          <w:sz w:val="21"/>
        </w:rPr>
      </w:pPr>
      <w:r>
        <w:rPr>
          <w:rFonts w:ascii="黑体" w:eastAsia="黑体" w:hint="eastAsia"/>
          <w:b/>
          <w:spacing w:val="-3"/>
          <w:sz w:val="21"/>
        </w:rPr>
        <w:t>神经官能症，精神疾病及酒精中毒所致脑损害不在保障范围内。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12"/>
        <w:rPr>
          <w:rFonts w:ascii="黑体"/>
          <w:b/>
          <w:sz w:val="18"/>
        </w:rPr>
      </w:pPr>
    </w:p>
    <w:p>
      <w:pPr>
        <w:spacing w:after="0"/>
        <w:rPr>
          <w:rFonts w:ascii="黑体"/>
          <w:sz w:val="18"/>
        </w:rPr>
        <w:sectPr>
          <w:type w:val="continuous"/>
          <w:pgSz w:w="11910" w:h="16840"/>
          <w:pgMar w:header="0" w:footer="655" w:top="140" w:bottom="280" w:left="560" w:right="480"/>
        </w:sectPr>
      </w:pPr>
    </w:p>
    <w:p>
      <w:pPr>
        <w:spacing w:before="70"/>
        <w:ind w:left="1132" w:right="0" w:firstLine="0"/>
        <w:jc w:val="left"/>
        <w:rPr>
          <w:rFonts w:ascii="华文新魏" w:eastAsia="华文新魏" w:hint="eastAsia"/>
          <w:b/>
          <w:sz w:val="21"/>
        </w:rPr>
      </w:pPr>
      <w:r>
        <w:rPr>
          <w:rFonts w:ascii="华文新魏" w:eastAsia="华文新魏" w:hint="eastAsia"/>
          <w:b/>
          <w:spacing w:val="-4"/>
          <w:sz w:val="21"/>
        </w:rPr>
        <w:t>118、创伤弧菌感染</w:t>
      </w:r>
      <w:r>
        <w:rPr>
          <w:rFonts w:ascii="华文新魏" w:eastAsia="华文新魏" w:hint="eastAsia"/>
          <w:b/>
          <w:spacing w:val="-6"/>
          <w:sz w:val="21"/>
        </w:rPr>
        <w:t>截肢</w:t>
      </w:r>
    </w:p>
    <w:p>
      <w:pPr>
        <w:pStyle w:val="BodyText"/>
        <w:spacing w:line="244" w:lineRule="auto" w:before="71"/>
        <w:ind w:left="171" w:right="1566"/>
      </w:pPr>
      <w:r>
        <w:rPr/>
        <w:br w:type="column"/>
      </w:r>
      <w:r>
        <w:rPr>
          <w:spacing w:val="-2"/>
        </w:rPr>
        <w:t>因创伤弧菌感染导致败血症和肢体损害。必须满足下列所有条件： </w:t>
      </w:r>
      <w:r>
        <w:rPr/>
        <w:t>Ⅰ 近期被海鲜刺伤或肢体创口接触海水史；</w:t>
      </w:r>
    </w:p>
    <w:p>
      <w:pPr>
        <w:pStyle w:val="BodyText"/>
        <w:spacing w:line="244" w:lineRule="auto"/>
        <w:ind w:left="171" w:right="4031"/>
      </w:pPr>
      <w:r>
        <w:rPr>
          <w:spacing w:val="-6"/>
        </w:rPr>
        <w:t>Ⅱ 病原学检查证实致病菌为创伤弧菌；</w:t>
      </w:r>
      <w:r>
        <w:rPr/>
        <w:t> Ⅲ 出现脓毒败血症或休克；</w:t>
      </w:r>
    </w:p>
    <w:p>
      <w:pPr>
        <w:pStyle w:val="BodyText"/>
        <w:spacing w:line="265" w:lineRule="exact"/>
        <w:ind w:left="171"/>
      </w:pPr>
      <w:r>
        <w:rPr>
          <w:spacing w:val="-2"/>
        </w:rPr>
        <w:t>Ⅳ 受感染肢体被截肢（自腕关节或踝关节近端</w:t>
      </w:r>
      <w:r>
        <w:rPr>
          <w:spacing w:val="-106"/>
        </w:rPr>
        <w:t>）</w:t>
      </w:r>
      <w:r>
        <w:rPr>
          <w:spacing w:val="-10"/>
        </w:rPr>
        <w:t>。</w:t>
      </w:r>
    </w:p>
    <w:p>
      <w:pPr>
        <w:spacing w:after="0" w:line="265" w:lineRule="exact"/>
        <w:sectPr>
          <w:type w:val="continuous"/>
          <w:pgSz w:w="11910" w:h="16840"/>
          <w:pgMar w:header="0" w:footer="655" w:top="140" w:bottom="280" w:left="560" w:right="480"/>
          <w:cols w:num="2" w:equalWidth="0">
            <w:col w:w="2871" w:space="40"/>
            <w:col w:w="7959"/>
          </w:cols>
        </w:sectPr>
      </w:pPr>
    </w:p>
    <w:p>
      <w:pPr>
        <w:pStyle w:val="BodyText"/>
        <w:spacing w:before="11"/>
        <w:rPr>
          <w:sz w:val="18"/>
        </w:rPr>
      </w:pPr>
    </w:p>
    <w:p>
      <w:pPr>
        <w:spacing w:after="0"/>
        <w:rPr>
          <w:sz w:val="18"/>
        </w:rPr>
        <w:sectPr>
          <w:type w:val="continuous"/>
          <w:pgSz w:w="11910" w:h="16840"/>
          <w:pgMar w:header="0" w:footer="655" w:top="140" w:bottom="280" w:left="560" w:right="480"/>
        </w:sectPr>
      </w:pPr>
    </w:p>
    <w:p>
      <w:pPr>
        <w:spacing w:before="71"/>
        <w:ind w:left="1132" w:right="0" w:firstLine="0"/>
        <w:jc w:val="left"/>
        <w:rPr>
          <w:rFonts w:ascii="华文新魏" w:eastAsia="华文新魏" w:hint="eastAsia"/>
          <w:b/>
          <w:sz w:val="21"/>
        </w:rPr>
      </w:pPr>
      <w:r>
        <w:rPr>
          <w:rFonts w:ascii="华文新魏" w:eastAsia="华文新魏" w:hint="eastAsia"/>
          <w:b/>
          <w:spacing w:val="-4"/>
          <w:sz w:val="21"/>
        </w:rPr>
        <w:t>119、重症心肌炎伴</w:t>
      </w:r>
      <w:r>
        <w:rPr>
          <w:rFonts w:ascii="华文新魏" w:eastAsia="华文新魏" w:hint="eastAsia"/>
          <w:b/>
          <w:spacing w:val="-2"/>
          <w:sz w:val="21"/>
        </w:rPr>
        <w:t>充血性心力衰竭</w:t>
      </w:r>
    </w:p>
    <w:p>
      <w:pPr>
        <w:pStyle w:val="BodyText"/>
        <w:spacing w:line="242" w:lineRule="auto" w:before="72"/>
        <w:ind w:left="171" w:right="219"/>
      </w:pPr>
      <w:r>
        <w:rPr/>
        <w:br w:type="column"/>
      </w:r>
      <w:r>
        <w:rPr>
          <w:spacing w:val="-13"/>
        </w:rPr>
        <w:t>指心肌的局限性或弥漫性炎性病变，心肌纤维发生变性和坏死，导致心脏功能衰竭，</w:t>
      </w:r>
      <w:r>
        <w:rPr>
          <w:spacing w:val="-2"/>
        </w:rPr>
        <w:t>但先天性疾病造成的除外。其诊断标准必须同时符合下列所有条件：</w:t>
      </w:r>
    </w:p>
    <w:p>
      <w:pPr>
        <w:pStyle w:val="BodyText"/>
        <w:spacing w:before="1"/>
        <w:ind w:left="171"/>
      </w:pPr>
      <w:r>
        <w:rPr>
          <w:spacing w:val="-3"/>
        </w:rPr>
        <w:t>Ⅰ 明确的心肌炎诊断，须同时具备下列临床表现及检查结果：</w:t>
      </w:r>
    </w:p>
    <w:p>
      <w:pPr>
        <w:pStyle w:val="ListParagraph"/>
        <w:numPr>
          <w:ilvl w:val="0"/>
          <w:numId w:val="22"/>
        </w:numPr>
        <w:tabs>
          <w:tab w:pos="803" w:val="left" w:leader="none"/>
        </w:tabs>
        <w:spacing w:line="240" w:lineRule="auto" w:before="2" w:after="0"/>
        <w:ind w:left="802" w:right="0" w:hanging="315"/>
        <w:jc w:val="left"/>
        <w:rPr>
          <w:sz w:val="21"/>
        </w:rPr>
      </w:pPr>
      <w:r>
        <w:rPr>
          <w:spacing w:val="-3"/>
          <w:sz w:val="21"/>
        </w:rPr>
        <w:t>胸痛、心悸、全身乏力的症状；</w:t>
      </w:r>
    </w:p>
    <w:p>
      <w:pPr>
        <w:pStyle w:val="ListParagraph"/>
        <w:numPr>
          <w:ilvl w:val="0"/>
          <w:numId w:val="22"/>
        </w:numPr>
        <w:tabs>
          <w:tab w:pos="803" w:val="left" w:leader="none"/>
        </w:tabs>
        <w:spacing w:line="240" w:lineRule="auto" w:before="5" w:after="0"/>
        <w:ind w:left="802" w:right="0" w:hanging="315"/>
        <w:jc w:val="left"/>
        <w:rPr>
          <w:sz w:val="21"/>
        </w:rPr>
      </w:pPr>
      <w:r>
        <w:rPr>
          <w:spacing w:val="-3"/>
          <w:sz w:val="21"/>
        </w:rPr>
        <w:t>新近的心电图改变提示心肌炎；</w:t>
      </w:r>
    </w:p>
    <w:p>
      <w:pPr>
        <w:spacing w:after="0" w:line="240" w:lineRule="auto"/>
        <w:jc w:val="left"/>
        <w:rPr>
          <w:sz w:val="21"/>
        </w:rPr>
        <w:sectPr>
          <w:type w:val="continuous"/>
          <w:pgSz w:w="11910" w:h="16840"/>
          <w:pgMar w:header="0" w:footer="655" w:top="140" w:bottom="280" w:left="560" w:right="480"/>
          <w:cols w:num="2" w:equalWidth="0">
            <w:col w:w="2871" w:space="40"/>
            <w:col w:w="7959"/>
          </w:cols>
        </w:sectPr>
      </w:pPr>
    </w:p>
    <w:p>
      <w:pPr>
        <w:pStyle w:val="ListParagraph"/>
        <w:numPr>
          <w:ilvl w:val="0"/>
          <w:numId w:val="22"/>
        </w:numPr>
        <w:tabs>
          <w:tab w:pos="3713" w:val="left" w:leader="none"/>
        </w:tabs>
        <w:spacing w:line="244" w:lineRule="auto" w:before="56" w:after="0"/>
        <w:ind w:left="3081" w:right="2105" w:firstLine="317"/>
        <w:jc w:val="left"/>
        <w:rPr>
          <w:sz w:val="21"/>
        </w:rPr>
      </w:pPr>
      <w:r>
        <w:rPr>
          <w:spacing w:val="-2"/>
          <w:sz w:val="21"/>
        </w:rPr>
        <w:t>体检有心脏扩大、心音减弱、心动过速或过缓等体征。</w:t>
      </w:r>
      <w:r>
        <w:rPr>
          <w:spacing w:val="-2"/>
          <w:sz w:val="21"/>
        </w:rPr>
        <w:t> </w:t>
      </w:r>
      <w:r>
        <w:rPr>
          <w:spacing w:val="-1"/>
          <w:sz w:val="21"/>
        </w:rPr>
        <w:t>Ⅱ 心力衰竭诊断，满足下列临床表现及检查结果达 </w:t>
      </w:r>
      <w:r>
        <w:rPr>
          <w:sz w:val="21"/>
        </w:rPr>
        <w:t>4</w:t>
      </w:r>
      <w:r>
        <w:rPr>
          <w:spacing w:val="-5"/>
          <w:sz w:val="21"/>
        </w:rPr>
        <w:t> 项：</w:t>
      </w:r>
    </w:p>
    <w:p>
      <w:pPr>
        <w:pStyle w:val="ListParagraph"/>
        <w:numPr>
          <w:ilvl w:val="0"/>
          <w:numId w:val="23"/>
        </w:numPr>
        <w:tabs>
          <w:tab w:pos="3713" w:val="left" w:leader="none"/>
        </w:tabs>
        <w:spacing w:line="265" w:lineRule="exact" w:before="0" w:after="0"/>
        <w:ind w:left="3713" w:right="0" w:hanging="315"/>
        <w:jc w:val="left"/>
        <w:rPr>
          <w:sz w:val="21"/>
        </w:rPr>
      </w:pPr>
      <w:r>
        <w:rPr>
          <w:spacing w:val="-4"/>
          <w:sz w:val="21"/>
        </w:rPr>
        <w:t>突发呼吸困难；</w:t>
      </w:r>
    </w:p>
    <w:p>
      <w:pPr>
        <w:pStyle w:val="ListParagraph"/>
        <w:numPr>
          <w:ilvl w:val="0"/>
          <w:numId w:val="23"/>
        </w:numPr>
        <w:tabs>
          <w:tab w:pos="3713" w:val="left" w:leader="none"/>
        </w:tabs>
        <w:spacing w:line="240" w:lineRule="auto" w:before="5" w:after="0"/>
        <w:ind w:left="3713" w:right="0" w:hanging="315"/>
        <w:jc w:val="left"/>
        <w:rPr>
          <w:sz w:val="21"/>
        </w:rPr>
      </w:pPr>
      <w:r>
        <w:rPr>
          <w:spacing w:val="-3"/>
          <w:sz w:val="21"/>
        </w:rPr>
        <w:t>心动过速、室性奔马律；</w:t>
      </w:r>
    </w:p>
    <w:p>
      <w:pPr>
        <w:pStyle w:val="ListParagraph"/>
        <w:numPr>
          <w:ilvl w:val="0"/>
          <w:numId w:val="23"/>
        </w:numPr>
        <w:tabs>
          <w:tab w:pos="3713" w:val="left" w:leader="none"/>
        </w:tabs>
        <w:spacing w:line="240" w:lineRule="auto" w:before="2" w:after="0"/>
        <w:ind w:left="3713" w:right="0" w:hanging="315"/>
        <w:jc w:val="left"/>
        <w:rPr>
          <w:sz w:val="21"/>
        </w:rPr>
      </w:pPr>
      <w:r>
        <w:rPr>
          <w:spacing w:val="-3"/>
          <w:sz w:val="21"/>
        </w:rPr>
        <w:t>心脏肿大、肺部啰音；</w:t>
      </w:r>
    </w:p>
    <w:p>
      <w:pPr>
        <w:pStyle w:val="ListParagraph"/>
        <w:numPr>
          <w:ilvl w:val="0"/>
          <w:numId w:val="23"/>
        </w:numPr>
        <w:tabs>
          <w:tab w:pos="3713" w:val="left" w:leader="none"/>
        </w:tabs>
        <w:spacing w:line="240" w:lineRule="auto" w:before="4" w:after="0"/>
        <w:ind w:left="3713" w:right="0" w:hanging="315"/>
        <w:jc w:val="left"/>
        <w:rPr>
          <w:sz w:val="21"/>
        </w:rPr>
      </w:pPr>
      <w:r>
        <w:rPr>
          <w:spacing w:val="-2"/>
          <w:sz w:val="21"/>
        </w:rPr>
        <w:t>颈静脉压&gt;2.1KPa</w:t>
      </w:r>
      <w:r>
        <w:rPr>
          <w:spacing w:val="-9"/>
          <w:sz w:val="21"/>
        </w:rPr>
        <w:t> 并有肝肿大或身体水肿；</w:t>
      </w:r>
    </w:p>
    <w:p>
      <w:pPr>
        <w:pStyle w:val="ListParagraph"/>
        <w:numPr>
          <w:ilvl w:val="0"/>
          <w:numId w:val="23"/>
        </w:numPr>
        <w:tabs>
          <w:tab w:pos="3713" w:val="left" w:leader="none"/>
        </w:tabs>
        <w:spacing w:line="240" w:lineRule="auto" w:before="2" w:after="0"/>
        <w:ind w:left="3713" w:right="0" w:hanging="315"/>
        <w:jc w:val="left"/>
        <w:rPr>
          <w:sz w:val="21"/>
        </w:rPr>
      </w:pPr>
      <w:r>
        <w:rPr>
          <w:spacing w:val="-3"/>
          <w:sz w:val="21"/>
        </w:rPr>
        <w:t>新近的心电图改变提示心力衰竭；</w:t>
      </w:r>
    </w:p>
    <w:p>
      <w:pPr>
        <w:pStyle w:val="ListParagraph"/>
        <w:numPr>
          <w:ilvl w:val="0"/>
          <w:numId w:val="23"/>
        </w:numPr>
        <w:tabs>
          <w:tab w:pos="3713" w:val="left" w:leader="none"/>
        </w:tabs>
        <w:spacing w:line="240" w:lineRule="auto" w:before="5" w:after="0"/>
        <w:ind w:left="3713" w:right="0" w:hanging="315"/>
        <w:jc w:val="left"/>
        <w:rPr>
          <w:sz w:val="21"/>
        </w:rPr>
      </w:pPr>
      <w:r>
        <w:rPr>
          <w:spacing w:val="-2"/>
          <w:sz w:val="21"/>
        </w:rPr>
        <w:t>X</w:t>
      </w:r>
      <w:r>
        <w:rPr>
          <w:spacing w:val="-10"/>
          <w:sz w:val="21"/>
        </w:rPr>
        <w:t> 线胸片：肺淤血或心影扩大；</w:t>
      </w:r>
    </w:p>
    <w:p>
      <w:pPr>
        <w:pStyle w:val="ListParagraph"/>
        <w:numPr>
          <w:ilvl w:val="0"/>
          <w:numId w:val="23"/>
        </w:numPr>
        <w:tabs>
          <w:tab w:pos="3713" w:val="left" w:leader="none"/>
        </w:tabs>
        <w:spacing w:line="242" w:lineRule="auto" w:before="2" w:after="0"/>
        <w:ind w:left="3081" w:right="322" w:firstLine="317"/>
        <w:jc w:val="left"/>
        <w:rPr>
          <w:sz w:val="21"/>
        </w:rPr>
      </w:pPr>
      <w:r>
        <w:rPr>
          <w:spacing w:val="-4"/>
          <w:sz w:val="21"/>
        </w:rPr>
        <w:t>超声心动图检查：心脏及大血管的解剖结构改变、血液动力学改变、心功能</w:t>
      </w:r>
      <w:r>
        <w:rPr>
          <w:spacing w:val="-2"/>
          <w:sz w:val="21"/>
        </w:rPr>
        <w:t>情况改变提示心力衰竭。</w:t>
      </w:r>
    </w:p>
    <w:p>
      <w:pPr>
        <w:pStyle w:val="BodyText"/>
        <w:spacing w:before="7"/>
        <w:rPr>
          <w:sz w:val="26"/>
        </w:rPr>
      </w:pPr>
    </w:p>
    <w:p>
      <w:pPr>
        <w:pStyle w:val="BodyText"/>
        <w:spacing w:line="208" w:lineRule="auto"/>
        <w:ind w:left="3081" w:right="1266" w:hanging="1949"/>
        <w:jc w:val="both"/>
      </w:pPr>
      <w:r>
        <w:rPr>
          <w:rFonts w:ascii="华文新魏" w:hAnsi="华文新魏" w:eastAsia="华文新魏" w:hint="eastAsia"/>
          <w:b/>
        </w:rPr>
        <w:t>120</w:t>
      </w:r>
      <w:r>
        <w:rPr>
          <w:rFonts w:ascii="华文新魏" w:hAnsi="华文新魏" w:eastAsia="华文新魏" w:hint="eastAsia"/>
          <w:b/>
          <w:spacing w:val="-10"/>
        </w:rPr>
        <w:t>、严重大动脉炎 </w:t>
      </w:r>
      <w:r>
        <w:rPr/>
        <w:t>指经心脏或血管外科专科医生确诊的大动脉炎，须满足下列全部条件： </w:t>
      </w:r>
      <w:r>
        <w:rPr>
          <w:spacing w:val="5"/>
        </w:rPr>
        <w:t>Ⅰ 红细胞沉降率及</w:t>
      </w:r>
      <w:r>
        <w:rPr/>
        <w:t>C 反应蛋白高于正常值；</w:t>
      </w:r>
    </w:p>
    <w:p>
      <w:pPr>
        <w:pStyle w:val="BodyText"/>
        <w:spacing w:before="12"/>
        <w:ind w:left="3081"/>
        <w:jc w:val="both"/>
      </w:pPr>
      <w:r>
        <w:rPr>
          <w:spacing w:val="-5"/>
        </w:rPr>
        <w:t>Ⅱ 超声检查、</w:t>
      </w:r>
      <w:r>
        <w:rPr/>
        <w:t>CTA</w:t>
      </w:r>
      <w:r>
        <w:rPr>
          <w:spacing w:val="-6"/>
        </w:rPr>
        <w:t> 检查或血管造影检查证实主动脉及其主要分支存在狭窄。</w:t>
      </w:r>
    </w:p>
    <w:p>
      <w:pPr>
        <w:pStyle w:val="BodyText"/>
        <w:spacing w:line="242" w:lineRule="auto" w:before="2"/>
        <w:ind w:left="3081" w:right="322"/>
        <w:jc w:val="both"/>
      </w:pPr>
      <w:r>
        <w:rPr>
          <w:spacing w:val="-4"/>
        </w:rPr>
        <w:t>这里的“主动脉及其主要分支”指：升主动脉、主动脉弓及其分支（头臂干、左颈</w:t>
      </w:r>
      <w:r>
        <w:rPr>
          <w:spacing w:val="-2"/>
        </w:rPr>
        <w:t>总动脉、左锁骨下动脉</w:t>
      </w:r>
      <w:r>
        <w:rPr>
          <w:spacing w:val="-108"/>
        </w:rPr>
        <w:t>）</w:t>
      </w:r>
      <w:r>
        <w:rPr>
          <w:spacing w:val="-2"/>
        </w:rPr>
        <w:t>、胸主动脉、腹主动脉及其主要分支（腹腔干、肠系膜上</w:t>
      </w:r>
      <w:r>
        <w:rPr>
          <w:spacing w:val="-2"/>
        </w:rPr>
        <w:t>动脉、肠系膜下动脉、肾动脉</w:t>
      </w:r>
      <w:r>
        <w:rPr>
          <w:spacing w:val="-108"/>
        </w:rPr>
        <w:t>）</w:t>
      </w:r>
      <w:r>
        <w:rPr>
          <w:spacing w:val="-2"/>
        </w:rPr>
        <w:t>。</w:t>
      </w:r>
    </w:p>
    <w:p>
      <w:pPr>
        <w:pStyle w:val="BodyText"/>
        <w:spacing w:before="1"/>
        <w:rPr>
          <w:sz w:val="19"/>
        </w:rPr>
      </w:pPr>
    </w:p>
    <w:p>
      <w:pPr>
        <w:spacing w:after="0"/>
        <w:rPr>
          <w:sz w:val="19"/>
        </w:rPr>
        <w:sectPr>
          <w:pgSz w:w="11910" w:h="16840"/>
          <w:pgMar w:header="0" w:footer="655" w:top="1400" w:bottom="840" w:left="560" w:right="480"/>
        </w:sectPr>
      </w:pPr>
    </w:p>
    <w:p>
      <w:pPr>
        <w:pStyle w:val="ListParagraph"/>
        <w:numPr>
          <w:ilvl w:val="1"/>
          <w:numId w:val="14"/>
        </w:numPr>
        <w:tabs>
          <w:tab w:pos="1132" w:val="left" w:leader="none"/>
          <w:tab w:pos="1133" w:val="left" w:leader="none"/>
        </w:tabs>
        <w:spacing w:line="240" w:lineRule="auto" w:before="93" w:after="0"/>
        <w:ind w:left="1132" w:right="0" w:hanging="904"/>
        <w:jc w:val="left"/>
        <w:rPr>
          <w:b/>
          <w:sz w:val="21"/>
        </w:rPr>
      </w:pPr>
      <w:r>
        <w:rPr>
          <w:b/>
          <w:spacing w:val="-2"/>
          <w:sz w:val="21"/>
        </w:rPr>
        <w:t>首次患本合同约定</w:t>
      </w:r>
    </w:p>
    <w:p>
      <w:pPr>
        <w:spacing w:before="43"/>
        <w:ind w:left="1132" w:right="0" w:firstLine="0"/>
        <w:jc w:val="left"/>
        <w:rPr>
          <w:b/>
          <w:sz w:val="21"/>
        </w:rPr>
      </w:pPr>
      <w:r>
        <w:rPr>
          <w:b/>
          <w:spacing w:val="-2"/>
          <w:sz w:val="21"/>
        </w:rPr>
        <w:t>的轻症疾病</w:t>
      </w:r>
    </w:p>
    <w:p>
      <w:pPr>
        <w:pStyle w:val="BodyText"/>
        <w:spacing w:before="71"/>
        <w:ind w:left="219"/>
      </w:pPr>
      <w:r>
        <w:rPr/>
        <w:br w:type="column"/>
      </w:r>
      <w:r>
        <w:rPr>
          <w:spacing w:val="-3"/>
        </w:rPr>
        <w:t>指被保险人患同时符合以下条件的轻症疾病：</w:t>
      </w:r>
    </w:p>
    <w:p>
      <w:pPr>
        <w:pStyle w:val="BodyText"/>
        <w:spacing w:before="24"/>
        <w:ind w:left="219"/>
      </w:pPr>
      <w:r>
        <w:rPr>
          <w:spacing w:val="-3"/>
        </w:rPr>
        <w:t>(一)被保险人自出生后首次出现该轻症疾病之症状体征；</w:t>
      </w:r>
    </w:p>
    <w:p>
      <w:pPr>
        <w:pStyle w:val="BodyText"/>
        <w:spacing w:line="278" w:lineRule="auto" w:before="43"/>
        <w:ind w:left="639" w:right="323" w:hanging="421"/>
      </w:pPr>
      <w:r>
        <w:rPr>
          <w:spacing w:val="-2"/>
        </w:rPr>
        <w:t>(二)被保险人在本合同有效期间内首次出现该轻症疾病之症状体征并被确诊患该</w:t>
      </w:r>
      <w:r>
        <w:rPr>
          <w:spacing w:val="-2"/>
        </w:rPr>
        <w:t>轻症疾病；</w:t>
      </w:r>
    </w:p>
    <w:p>
      <w:pPr>
        <w:pStyle w:val="BodyText"/>
        <w:spacing w:line="278" w:lineRule="auto"/>
        <w:ind w:left="219" w:right="3368"/>
      </w:pPr>
      <w:r>
        <w:rPr>
          <w:spacing w:val="-2"/>
        </w:rPr>
        <w:t>(三)该轻症疾病之症状体征符合本合同的定义； (四)该轻症疾病已在本合同中列明。</w:t>
      </w:r>
    </w:p>
    <w:p>
      <w:pPr>
        <w:spacing w:line="278" w:lineRule="auto" w:before="0"/>
        <w:ind w:left="219" w:right="404" w:firstLine="0"/>
        <w:jc w:val="left"/>
        <w:rPr>
          <w:rFonts w:ascii="黑体" w:eastAsia="黑体" w:hint="eastAsia"/>
          <w:b/>
          <w:sz w:val="21"/>
        </w:rPr>
      </w:pPr>
      <w:r>
        <w:rPr>
          <w:rFonts w:ascii="黑体" w:eastAsia="黑体" w:hint="eastAsia"/>
          <w:b/>
          <w:spacing w:val="-2"/>
          <w:sz w:val="21"/>
        </w:rPr>
        <w:t>对于被保险人在本合同生效日前出现的本合同所列的轻症疾病，本公司不承担给</w:t>
      </w:r>
      <w:r>
        <w:rPr>
          <w:rFonts w:ascii="黑体" w:eastAsia="黑体" w:hint="eastAsia"/>
          <w:b/>
          <w:spacing w:val="-2"/>
          <w:sz w:val="21"/>
        </w:rPr>
        <w:t>付保险金责任。</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23" w:space="40"/>
            <w:col w:w="8007"/>
          </w:cols>
        </w:sectPr>
      </w:pPr>
    </w:p>
    <w:p>
      <w:pPr>
        <w:pStyle w:val="BodyText"/>
        <w:spacing w:before="2"/>
        <w:rPr>
          <w:rFonts w:ascii="黑体"/>
          <w:b/>
          <w:sz w:val="12"/>
        </w:rPr>
      </w:pPr>
    </w:p>
    <w:p>
      <w:pPr>
        <w:pStyle w:val="ListParagraph"/>
        <w:numPr>
          <w:ilvl w:val="1"/>
          <w:numId w:val="14"/>
        </w:numPr>
        <w:tabs>
          <w:tab w:pos="1132" w:val="left" w:leader="none"/>
          <w:tab w:pos="1133" w:val="left" w:leader="none"/>
          <w:tab w:pos="3081" w:val="left" w:leader="none"/>
        </w:tabs>
        <w:spacing w:line="278" w:lineRule="auto" w:before="72" w:after="0"/>
        <w:ind w:left="3081" w:right="322" w:hanging="2852"/>
        <w:jc w:val="left"/>
        <w:rPr>
          <w:sz w:val="21"/>
        </w:rPr>
      </w:pPr>
      <w:r>
        <w:rPr>
          <w:b/>
          <w:spacing w:val="-4"/>
          <w:sz w:val="21"/>
        </w:rPr>
        <w:t>轻</w:t>
      </w:r>
      <w:r>
        <w:rPr>
          <w:b/>
          <w:spacing w:val="-4"/>
          <w:sz w:val="21"/>
        </w:rPr>
        <w:t>症</w:t>
      </w:r>
      <w:r>
        <w:rPr>
          <w:b/>
          <w:spacing w:val="-4"/>
          <w:sz w:val="21"/>
        </w:rPr>
        <w:t>疾</w:t>
      </w:r>
      <w:r>
        <w:rPr>
          <w:b/>
          <w:spacing w:val="-4"/>
          <w:sz w:val="21"/>
        </w:rPr>
        <w:t>病</w:t>
      </w:r>
      <w:r>
        <w:rPr>
          <w:b/>
          <w:sz w:val="21"/>
        </w:rPr>
        <w:tab/>
      </w:r>
      <w:r>
        <w:rPr>
          <w:sz w:val="21"/>
        </w:rPr>
        <w:t>指被保险人发生符合以下</w:t>
      </w:r>
      <w:r>
        <w:rPr>
          <w:sz w:val="21"/>
        </w:rPr>
        <w:t>疾病定义所述条件的疾</w:t>
      </w:r>
      <w:r>
        <w:rPr>
          <w:spacing w:val="-56"/>
          <w:sz w:val="21"/>
        </w:rPr>
        <w:t>病</w:t>
      </w:r>
      <w:r>
        <w:rPr>
          <w:sz w:val="21"/>
        </w:rPr>
        <w:t>（共</w:t>
      </w:r>
      <w:r>
        <w:rPr>
          <w:spacing w:val="-52"/>
          <w:sz w:val="21"/>
        </w:rPr>
        <w:t> </w:t>
      </w:r>
      <w:r>
        <w:rPr>
          <w:sz w:val="21"/>
        </w:rPr>
        <w:t>55</w:t>
      </w:r>
      <w:r>
        <w:rPr>
          <w:spacing w:val="-52"/>
          <w:sz w:val="21"/>
        </w:rPr>
        <w:t> </w:t>
      </w:r>
      <w:r>
        <w:rPr>
          <w:sz w:val="21"/>
        </w:rPr>
        <w:t>种</w:t>
      </w:r>
      <w:r>
        <w:rPr>
          <w:spacing w:val="-81"/>
          <w:sz w:val="21"/>
        </w:rPr>
        <w:t>），</w:t>
      </w:r>
      <w:r>
        <w:rPr>
          <w:sz w:val="21"/>
        </w:rPr>
        <w:t>应当由专科医</w:t>
      </w:r>
      <w:r>
        <w:rPr>
          <w:sz w:val="21"/>
        </w:rPr>
        <w:t>生明</w:t>
      </w:r>
      <w:r>
        <w:rPr>
          <w:spacing w:val="-4"/>
          <w:sz w:val="21"/>
        </w:rPr>
        <w:t>确</w:t>
      </w:r>
      <w:r>
        <w:rPr>
          <w:spacing w:val="-4"/>
          <w:sz w:val="21"/>
        </w:rPr>
        <w:t>诊</w:t>
      </w:r>
      <w:r>
        <w:rPr>
          <w:spacing w:val="-4"/>
          <w:sz w:val="21"/>
        </w:rPr>
        <w:t>断。</w:t>
      </w:r>
    </w:p>
    <w:p>
      <w:pPr>
        <w:pStyle w:val="BodyText"/>
        <w:spacing w:line="269" w:lineRule="exact"/>
        <w:ind w:left="3081"/>
      </w:pPr>
      <w:r>
        <w:rPr>
          <w:spacing w:val="-2"/>
        </w:rPr>
        <w:t>下列有*</w:t>
      </w:r>
      <w:r>
        <w:rPr>
          <w:spacing w:val="-10"/>
        </w:rPr>
        <w:t>所标注的第 </w:t>
      </w:r>
      <w:r>
        <w:rPr>
          <w:spacing w:val="-2"/>
        </w:rPr>
        <w:t>1</w:t>
      </w:r>
      <w:r>
        <w:rPr>
          <w:spacing w:val="-26"/>
        </w:rPr>
        <w:t> 至第 </w:t>
      </w:r>
      <w:r>
        <w:rPr>
          <w:spacing w:val="-2"/>
        </w:rPr>
        <w:t>3</w:t>
      </w:r>
      <w:r>
        <w:rPr>
          <w:spacing w:val="-10"/>
        </w:rPr>
        <w:t> 项为中国保险行业协会颁布的《重大疾病保险的疾病</w:t>
      </w:r>
    </w:p>
    <w:p>
      <w:pPr>
        <w:pStyle w:val="BodyText"/>
        <w:spacing w:line="278" w:lineRule="auto" w:before="43"/>
        <w:ind w:left="3081" w:right="324"/>
      </w:pPr>
      <w:r>
        <w:rPr/>
        <w:t>定义使用规范（2020</w:t>
      </w:r>
      <w:r>
        <w:rPr>
          <w:spacing w:val="-10"/>
        </w:rPr>
        <w:t> 年修订版</w:t>
      </w:r>
      <w:r>
        <w:rPr>
          <w:spacing w:val="-108"/>
        </w:rPr>
        <w:t>）</w:t>
      </w:r>
      <w:r>
        <w:rPr>
          <w:spacing w:val="-9"/>
        </w:rPr>
        <w:t>》规定的 </w:t>
      </w:r>
      <w:r>
        <w:rPr/>
        <w:t>3</w:t>
      </w:r>
      <w:r>
        <w:rPr>
          <w:spacing w:val="-11"/>
        </w:rPr>
        <w:t> 种轻度疾病定义，第 </w:t>
      </w:r>
      <w:r>
        <w:rPr/>
        <w:t>4</w:t>
      </w:r>
      <w:r>
        <w:rPr>
          <w:spacing w:val="-24"/>
        </w:rPr>
        <w:t> 至第 </w:t>
      </w:r>
      <w:r>
        <w:rPr/>
        <w:t>55</w:t>
      </w:r>
      <w:r>
        <w:rPr>
          <w:spacing w:val="-12"/>
        </w:rPr>
        <w:t> 项为本</w:t>
      </w:r>
      <w:r>
        <w:rPr>
          <w:spacing w:val="-2"/>
        </w:rPr>
        <w:t>公司增加的疾病种类并自行制定的疾病定义。</w:t>
      </w:r>
    </w:p>
    <w:p>
      <w:pPr>
        <w:pStyle w:val="BodyText"/>
        <w:spacing w:before="6"/>
        <w:rPr>
          <w:sz w:val="11"/>
        </w:rPr>
      </w:pPr>
    </w:p>
    <w:p>
      <w:pPr>
        <w:spacing w:after="0"/>
        <w:rPr>
          <w:sz w:val="11"/>
        </w:rPr>
        <w:sectPr>
          <w:type w:val="continuous"/>
          <w:pgSz w:w="11910" w:h="16840"/>
          <w:pgMar w:header="0" w:footer="655" w:top="140" w:bottom="280" w:left="560" w:right="480"/>
        </w:sectPr>
      </w:pPr>
    </w:p>
    <w:p>
      <w:pPr>
        <w:spacing w:before="56"/>
        <w:ind w:left="1132" w:right="0" w:firstLine="0"/>
        <w:jc w:val="left"/>
        <w:rPr>
          <w:rFonts w:ascii="华文新魏" w:hAnsi="华文新魏" w:eastAsia="华文新魏" w:hint="eastAsia"/>
          <w:b/>
          <w:sz w:val="21"/>
        </w:rPr>
      </w:pPr>
      <w:r>
        <w:rPr>
          <w:rFonts w:ascii="华文新魏" w:hAnsi="华文新魏" w:eastAsia="华文新魏" w:hint="eastAsia"/>
          <w:b/>
          <w:spacing w:val="-6"/>
          <w:sz w:val="21"/>
        </w:rPr>
        <w:t>1、恶性肿瘤——轻度*</w:t>
      </w:r>
    </w:p>
    <w:p>
      <w:pPr>
        <w:pStyle w:val="BodyText"/>
        <w:spacing w:line="278" w:lineRule="auto" w:before="78"/>
        <w:ind w:left="171" w:right="219"/>
      </w:pPr>
      <w:r>
        <w:rPr/>
        <w:br w:type="column"/>
      </w:r>
      <w:r>
        <w:rPr>
          <w:spacing w:val="-12"/>
        </w:rPr>
        <w:t>指恶性细胞不受控制的进行性增长和扩散，浸润和破坏周围正常组织，可以经血管、</w:t>
      </w:r>
      <w:r>
        <w:rPr>
          <w:spacing w:val="-7"/>
        </w:rPr>
        <w:t>淋巴管和体腔扩散转移到身体其他部位，病灶经组织病理学检查</w:t>
      </w:r>
      <w:r>
        <w:rPr>
          <w:spacing w:val="-2"/>
        </w:rPr>
        <w:t>（涵盖骨髓病理学</w:t>
      </w:r>
      <w:r>
        <w:rPr>
          <w:spacing w:val="26"/>
        </w:rPr>
        <w:t>检查）</w:t>
      </w:r>
      <w:r>
        <w:rPr>
          <w:spacing w:val="14"/>
        </w:rPr>
        <w:t>结果明确诊断， 临床诊断属于世界卫生组织</w:t>
      </w:r>
      <w:r>
        <w:rPr/>
        <w:t>（</w:t>
      </w:r>
      <w:r>
        <w:rPr>
          <w:spacing w:val="-70"/>
        </w:rPr>
        <w:t> </w:t>
      </w:r>
      <w:r>
        <w:rPr/>
        <w:t>WHO</w:t>
      </w:r>
      <w:r>
        <w:rPr>
          <w:spacing w:val="-11"/>
        </w:rPr>
        <w:t> ， </w:t>
      </w:r>
      <w:r>
        <w:rPr/>
        <w:t>World Health </w:t>
      </w:r>
      <w:r>
        <w:rPr>
          <w:spacing w:val="6"/>
        </w:rPr>
        <w:t>Organ</w:t>
      </w:r>
      <w:r>
        <w:rPr>
          <w:spacing w:val="3"/>
        </w:rPr>
        <w:t>i</w:t>
      </w:r>
      <w:r>
        <w:rPr>
          <w:spacing w:val="6"/>
        </w:rPr>
        <w:t>zat</w:t>
      </w:r>
      <w:r>
        <w:rPr>
          <w:spacing w:val="3"/>
        </w:rPr>
        <w:t>i</w:t>
      </w:r>
      <w:r>
        <w:rPr>
          <w:spacing w:val="6"/>
        </w:rPr>
        <w:t>on</w:t>
      </w:r>
      <w:r>
        <w:rPr>
          <w:spacing w:val="-102"/>
        </w:rPr>
        <w:t>）</w:t>
      </w:r>
      <w:r>
        <w:rPr>
          <w:spacing w:val="-2"/>
        </w:rPr>
        <w:t>《疾病和有关健康问题的国际统计分类》第十次修订版（ICD-10）</w:t>
      </w:r>
      <w:r>
        <w:rPr>
          <w:spacing w:val="-2"/>
        </w:rPr>
        <w:t>的恶性肿瘤类别及《国际疾病分类肿瘤学专辑》第三版（ICD-O-3）的肿瘤形态学</w:t>
      </w:r>
      <w:r>
        <w:rPr>
          <w:spacing w:val="-8"/>
        </w:rPr>
        <w:t>编码属于 </w:t>
      </w:r>
      <w:r>
        <w:rPr/>
        <w:t>3、6、9（恶性肿瘤）范畴，但不在“恶性肿瘤——重度”保障范围的疾</w:t>
      </w:r>
      <w:r>
        <w:rPr>
          <w:spacing w:val="-2"/>
        </w:rPr>
        <w:t>病。且特指下列六项之一：</w:t>
      </w:r>
    </w:p>
    <w:p>
      <w:pPr>
        <w:pStyle w:val="BodyText"/>
        <w:ind w:left="171"/>
      </w:pPr>
      <w:r>
        <w:rPr>
          <w:spacing w:val="-9"/>
        </w:rPr>
        <w:t>Ⅰ </w:t>
      </w:r>
      <w:r>
        <w:rPr/>
        <w:t>TNM</w:t>
      </w:r>
      <w:r>
        <w:rPr>
          <w:spacing w:val="-9"/>
        </w:rPr>
        <w:t> 分期为Ⅰ期的甲状腺癌；</w:t>
      </w:r>
    </w:p>
    <w:p>
      <w:pPr>
        <w:pStyle w:val="BodyText"/>
        <w:spacing w:before="43"/>
        <w:ind w:left="171"/>
      </w:pPr>
      <w:r>
        <w:rPr>
          <w:spacing w:val="-10"/>
          <w:position w:val="1"/>
        </w:rPr>
        <w:t>Ⅱ </w:t>
      </w:r>
      <w:r>
        <w:rPr>
          <w:position w:val="1"/>
        </w:rPr>
        <w:t>TNM</w:t>
      </w:r>
      <w:r>
        <w:rPr>
          <w:spacing w:val="-22"/>
          <w:position w:val="1"/>
        </w:rPr>
        <w:t> 分期为 </w:t>
      </w:r>
      <w:r>
        <w:rPr>
          <w:position w:val="1"/>
        </w:rPr>
        <w:t>T</w:t>
      </w:r>
      <w:r>
        <w:rPr>
          <w:sz w:val="11"/>
        </w:rPr>
        <w:t>1</w:t>
      </w:r>
      <w:r>
        <w:rPr>
          <w:position w:val="1"/>
        </w:rPr>
        <w:t>N</w:t>
      </w:r>
      <w:r>
        <w:rPr>
          <w:sz w:val="11"/>
        </w:rPr>
        <w:t>0</w:t>
      </w:r>
      <w:r>
        <w:rPr>
          <w:position w:val="1"/>
        </w:rPr>
        <w:t>M</w:t>
      </w:r>
      <w:r>
        <w:rPr>
          <w:sz w:val="11"/>
        </w:rPr>
        <w:t>0</w:t>
      </w:r>
      <w:r>
        <w:rPr>
          <w:spacing w:val="-29"/>
          <w:sz w:val="11"/>
        </w:rPr>
        <w:t> </w:t>
      </w:r>
      <w:r>
        <w:rPr>
          <w:spacing w:val="-2"/>
          <w:position w:val="1"/>
        </w:rPr>
        <w:t>期的前列腺癌；</w:t>
      </w:r>
    </w:p>
    <w:p>
      <w:pPr>
        <w:pStyle w:val="BodyText"/>
        <w:spacing w:line="278" w:lineRule="auto" w:before="43"/>
        <w:ind w:left="171" w:right="1999"/>
      </w:pPr>
      <w:r>
        <w:rPr>
          <w:spacing w:val="-6"/>
        </w:rPr>
        <w:t>Ⅲ 黑色素瘤以外的未发生淋巴结和远处转移的皮肤恶性肿瘤；</w:t>
      </w:r>
      <w:r>
        <w:rPr/>
        <w:t> </w:t>
      </w:r>
      <w:r>
        <w:rPr>
          <w:spacing w:val="-5"/>
        </w:rPr>
        <w:t>Ⅳ 相当于 </w:t>
      </w:r>
      <w:r>
        <w:rPr/>
        <w:t>Binet</w:t>
      </w:r>
      <w:r>
        <w:rPr>
          <w:spacing w:val="-11"/>
        </w:rPr>
        <w:t> 分期方案 </w:t>
      </w:r>
      <w:r>
        <w:rPr/>
        <w:t>A</w:t>
      </w:r>
      <w:r>
        <w:rPr>
          <w:spacing w:val="-5"/>
        </w:rPr>
        <w:t> 期程度的慢性淋巴细胞白血病；</w:t>
      </w:r>
      <w:r>
        <w:rPr/>
        <w:t> </w:t>
      </w:r>
      <w:r>
        <w:rPr>
          <w:spacing w:val="-5"/>
        </w:rPr>
        <w:t>Ⅴ 相当于 </w:t>
      </w:r>
      <w:r>
        <w:rPr/>
        <w:t>Ann Arbor</w:t>
      </w:r>
      <w:r>
        <w:rPr>
          <w:spacing w:val="-6"/>
        </w:rPr>
        <w:t> 分期方案Ⅰ期程度的何杰金氏病；</w:t>
      </w:r>
    </w:p>
    <w:p>
      <w:pPr>
        <w:pStyle w:val="BodyText"/>
        <w:spacing w:line="269" w:lineRule="exact"/>
        <w:ind w:left="171"/>
      </w:pPr>
      <w:r>
        <w:rPr>
          <w:spacing w:val="-6"/>
        </w:rPr>
        <w:t>Ⅵ 未发生淋巴结和远处转移且 </w:t>
      </w:r>
      <w:r>
        <w:rPr>
          <w:spacing w:val="-2"/>
        </w:rPr>
        <w:t>WHO</w:t>
      </w:r>
      <w:r>
        <w:rPr>
          <w:spacing w:val="-21"/>
        </w:rPr>
        <w:t> 分级为 </w:t>
      </w:r>
      <w:r>
        <w:rPr>
          <w:spacing w:val="-2"/>
        </w:rPr>
        <w:t>G1</w:t>
      </w:r>
      <w:r>
        <w:rPr>
          <w:spacing w:val="-37"/>
        </w:rPr>
        <w:t> 级别</w:t>
      </w:r>
      <w:r>
        <w:rPr>
          <w:spacing w:val="-2"/>
        </w:rPr>
        <w:t>（核分裂像&lt;10/50</w:t>
      </w:r>
      <w:r>
        <w:rPr>
          <w:spacing w:val="-51"/>
        </w:rPr>
        <w:t> </w:t>
      </w:r>
      <w:r>
        <w:rPr>
          <w:spacing w:val="-2"/>
        </w:rPr>
        <w:t>HPF</w:t>
      </w:r>
      <w:r>
        <w:rPr>
          <w:spacing w:val="-34"/>
        </w:rPr>
        <w:t> 和 </w:t>
      </w:r>
      <w:r>
        <w:rPr>
          <w:spacing w:val="-2"/>
        </w:rPr>
        <w:t>ki-</w:t>
      </w:r>
      <w:r>
        <w:rPr>
          <w:spacing w:val="-5"/>
        </w:rPr>
        <w:t>67</w:t>
      </w:r>
    </w:p>
    <w:p>
      <w:pPr>
        <w:pStyle w:val="BodyText"/>
        <w:spacing w:before="43"/>
        <w:ind w:left="171"/>
      </w:pPr>
      <w:r>
        <w:rPr>
          <w:spacing w:val="-2"/>
        </w:rPr>
        <w:t>≤2%）</w:t>
      </w:r>
      <w:r>
        <w:rPr>
          <w:spacing w:val="-3"/>
        </w:rPr>
        <w:t>的神经内分泌肿瘤。</w:t>
      </w:r>
    </w:p>
    <w:p>
      <w:pPr>
        <w:spacing w:after="0"/>
        <w:sectPr>
          <w:type w:val="continuous"/>
          <w:pgSz w:w="11910" w:h="16840"/>
          <w:pgMar w:header="0" w:footer="655" w:top="140" w:bottom="280" w:left="560" w:right="480"/>
          <w:cols w:num="2" w:equalWidth="0">
            <w:col w:w="2871" w:space="40"/>
            <w:col w:w="7959"/>
          </w:cols>
        </w:sectPr>
      </w:pPr>
    </w:p>
    <w:p>
      <w:pPr>
        <w:spacing w:before="58"/>
        <w:ind w:left="3081" w:right="0" w:firstLine="0"/>
        <w:jc w:val="left"/>
        <w:rPr>
          <w:rFonts w:ascii="黑体" w:hAnsi="黑体" w:eastAsia="黑体" w:hint="eastAsia"/>
          <w:b/>
          <w:sz w:val="21"/>
        </w:rPr>
      </w:pPr>
      <w:r>
        <w:rPr>
          <w:rFonts w:ascii="黑体" w:hAnsi="黑体" w:eastAsia="黑体" w:hint="eastAsia"/>
          <w:b/>
          <w:spacing w:val="-10"/>
          <w:sz w:val="21"/>
        </w:rPr>
        <w:t>下列疾病不属于“恶性肿瘤——轻度”，不在保障范围内：</w:t>
      </w:r>
    </w:p>
    <w:p>
      <w:pPr>
        <w:spacing w:line="278" w:lineRule="auto" w:before="43"/>
        <w:ind w:left="3081" w:right="324" w:firstLine="0"/>
        <w:jc w:val="left"/>
        <w:rPr>
          <w:rFonts w:ascii="黑体" w:eastAsia="黑体" w:hint="eastAsia"/>
          <w:b/>
          <w:sz w:val="21"/>
        </w:rPr>
      </w:pPr>
      <w:r>
        <w:rPr>
          <w:rFonts w:ascii="黑体" w:eastAsia="黑体" w:hint="eastAsia"/>
          <w:b/>
          <w:spacing w:val="-2"/>
          <w:sz w:val="21"/>
        </w:rPr>
        <w:t>ICD-O-3</w:t>
      </w:r>
      <w:r>
        <w:rPr>
          <w:rFonts w:ascii="黑体" w:eastAsia="黑体" w:hint="eastAsia"/>
          <w:b/>
          <w:spacing w:val="-13"/>
          <w:sz w:val="21"/>
        </w:rPr>
        <w:t> 肿瘤形态学编码属于 </w:t>
      </w:r>
      <w:r>
        <w:rPr>
          <w:rFonts w:ascii="黑体" w:eastAsia="黑体" w:hint="eastAsia"/>
          <w:b/>
          <w:spacing w:val="-2"/>
          <w:sz w:val="21"/>
        </w:rPr>
        <w:t>0（良性肿瘤</w:t>
      </w:r>
      <w:r>
        <w:rPr>
          <w:rFonts w:ascii="黑体" w:eastAsia="黑体" w:hint="eastAsia"/>
          <w:b/>
          <w:spacing w:val="-106"/>
          <w:sz w:val="21"/>
        </w:rPr>
        <w:t>）</w:t>
      </w:r>
      <w:r>
        <w:rPr>
          <w:rFonts w:ascii="黑体" w:eastAsia="黑体" w:hint="eastAsia"/>
          <w:b/>
          <w:spacing w:val="-2"/>
          <w:sz w:val="21"/>
        </w:rPr>
        <w:t>、1（动态未定性肿瘤</w:t>
      </w:r>
      <w:r>
        <w:rPr>
          <w:rFonts w:ascii="黑体" w:eastAsia="黑体" w:hint="eastAsia"/>
          <w:b/>
          <w:spacing w:val="-106"/>
          <w:sz w:val="21"/>
        </w:rPr>
        <w:t>）</w:t>
      </w:r>
      <w:r>
        <w:rPr>
          <w:rFonts w:ascii="黑体" w:eastAsia="黑体" w:hint="eastAsia"/>
          <w:b/>
          <w:spacing w:val="-2"/>
          <w:sz w:val="21"/>
        </w:rPr>
        <w:t>、2（原位癌和</w:t>
      </w:r>
      <w:r>
        <w:rPr>
          <w:rFonts w:ascii="黑体" w:eastAsia="黑体" w:hint="eastAsia"/>
          <w:b/>
          <w:spacing w:val="-2"/>
          <w:sz w:val="21"/>
        </w:rPr>
        <w:t>非侵袭性癌）范畴的疾病，如：</w:t>
      </w:r>
    </w:p>
    <w:p>
      <w:pPr>
        <w:pStyle w:val="ListParagraph"/>
        <w:numPr>
          <w:ilvl w:val="0"/>
          <w:numId w:val="24"/>
        </w:numPr>
        <w:tabs>
          <w:tab w:pos="3294" w:val="left" w:leader="none"/>
        </w:tabs>
        <w:spacing w:line="278" w:lineRule="auto" w:before="0" w:after="0"/>
        <w:ind w:left="3081" w:right="402" w:firstLine="0"/>
        <w:jc w:val="left"/>
        <w:rPr>
          <w:rFonts w:ascii="黑体" w:eastAsia="黑体" w:hint="eastAsia"/>
          <w:b/>
          <w:sz w:val="21"/>
        </w:rPr>
      </w:pPr>
      <w:r>
        <w:rPr>
          <w:rFonts w:ascii="黑体" w:eastAsia="黑体" w:hint="eastAsia"/>
          <w:b/>
          <w:spacing w:val="-2"/>
          <w:sz w:val="21"/>
        </w:rPr>
        <w:t>原位癌，癌前病变，非浸润性癌，非侵袭性癌，肿瘤细胞未侵犯基底层，上皮</w:t>
      </w:r>
      <w:r>
        <w:rPr>
          <w:rFonts w:ascii="黑体" w:eastAsia="黑体" w:hint="eastAsia"/>
          <w:b/>
          <w:spacing w:val="-2"/>
          <w:sz w:val="21"/>
        </w:rPr>
        <w:t>内瘤变，细胞不典型性增生等；</w:t>
      </w:r>
    </w:p>
    <w:p>
      <w:pPr>
        <w:pStyle w:val="ListParagraph"/>
        <w:numPr>
          <w:ilvl w:val="0"/>
          <w:numId w:val="24"/>
        </w:numPr>
        <w:tabs>
          <w:tab w:pos="3294" w:val="left" w:leader="none"/>
        </w:tabs>
        <w:spacing w:line="269" w:lineRule="exact" w:before="0" w:after="0"/>
        <w:ind w:left="3294" w:right="0" w:hanging="213"/>
        <w:jc w:val="left"/>
        <w:rPr>
          <w:rFonts w:ascii="黑体" w:eastAsia="黑体" w:hint="eastAsia"/>
          <w:b/>
          <w:sz w:val="21"/>
        </w:rPr>
      </w:pPr>
      <w:r>
        <w:rPr>
          <w:rFonts w:ascii="黑体" w:eastAsia="黑体" w:hint="eastAsia"/>
          <w:b/>
          <w:spacing w:val="-3"/>
          <w:sz w:val="21"/>
        </w:rPr>
        <w:t>交界性肿瘤，交界恶性肿瘤，肿瘤低度恶性潜能，潜在低度恶性肿瘤等。</w:t>
      </w:r>
    </w:p>
    <w:p>
      <w:pPr>
        <w:pStyle w:val="BodyText"/>
        <w:spacing w:before="3"/>
        <w:rPr>
          <w:rFonts w:ascii="黑体"/>
          <w:b/>
          <w:sz w:val="23"/>
        </w:rPr>
      </w:pPr>
    </w:p>
    <w:p>
      <w:pPr>
        <w:spacing w:after="0"/>
        <w:rPr>
          <w:rFonts w:ascii="黑体"/>
          <w:sz w:val="23"/>
        </w:rPr>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w:t>
      </w:r>
      <w:r>
        <w:rPr>
          <w:rFonts w:ascii="华文新魏" w:eastAsia="华文新魏" w:hint="eastAsia"/>
          <w:b/>
          <w:spacing w:val="-13"/>
          <w:sz w:val="21"/>
        </w:rPr>
        <w:t>、较轻急性心肌梗</w:t>
      </w:r>
      <w:r>
        <w:rPr>
          <w:rFonts w:ascii="华文新魏" w:eastAsia="华文新魏" w:hint="eastAsia"/>
          <w:b/>
          <w:spacing w:val="-6"/>
          <w:sz w:val="21"/>
        </w:rPr>
        <w:t>死*</w:t>
      </w:r>
    </w:p>
    <w:p>
      <w:pPr>
        <w:pStyle w:val="BodyText"/>
        <w:spacing w:line="278" w:lineRule="auto" w:before="79"/>
        <w:ind w:left="170" w:right="426"/>
      </w:pPr>
      <w:r>
        <w:rPr/>
        <w:br w:type="column"/>
      </w:r>
      <w:r>
        <w:rPr>
          <w:spacing w:val="-2"/>
        </w:rPr>
        <w:t>急性心肌梗死指由于冠状动脉闭塞或梗阻引起部分心肌严重的持久性缺血造成急</w:t>
      </w:r>
      <w:r>
        <w:rPr>
          <w:spacing w:val="-2"/>
        </w:rPr>
        <w:t>性心肌坏死。急性心肌梗死的诊断必须依据国际国内诊断标准，符合</w:t>
      </w:r>
    </w:p>
    <w:p>
      <w:pPr>
        <w:pStyle w:val="BodyText"/>
        <w:spacing w:line="278" w:lineRule="auto"/>
        <w:ind w:left="170" w:right="221"/>
      </w:pPr>
      <w:r>
        <w:rPr>
          <w:spacing w:val="-12"/>
        </w:rPr>
        <w:t>Ⅰ 检测到肌酸激酶同工酶</w:t>
      </w:r>
      <w:r>
        <w:rPr>
          <w:spacing w:val="-2"/>
        </w:rPr>
        <w:t>（CK-MB）</w:t>
      </w:r>
      <w:r>
        <w:rPr>
          <w:spacing w:val="-13"/>
        </w:rPr>
        <w:t>或肌钙蛋白</w:t>
      </w:r>
      <w:r>
        <w:rPr>
          <w:spacing w:val="-2"/>
        </w:rPr>
        <w:t>（cTn）升高和/或降低的动态变化，</w:t>
      </w:r>
      <w:r>
        <w:rPr>
          <w:spacing w:val="-2"/>
        </w:rPr>
        <w:t>至少一次达到或超过心肌梗死的临床诊断标准；</w:t>
      </w:r>
    </w:p>
    <w:p>
      <w:pPr>
        <w:pStyle w:val="BodyText"/>
        <w:spacing w:line="278" w:lineRule="auto"/>
        <w:ind w:left="170" w:right="322"/>
        <w:jc w:val="both"/>
      </w:pPr>
      <w:r>
        <w:rPr>
          <w:spacing w:val="-6"/>
        </w:rPr>
        <w:t>Ⅱ 同时存在下列之一的证据，包括：缺血性胸痛症状、新发生的缺血性心电图改</w:t>
      </w:r>
      <w:r>
        <w:rPr>
          <w:spacing w:val="-12"/>
        </w:rPr>
        <w:t>变、新生成的病理性 </w:t>
      </w:r>
      <w:r>
        <w:rPr>
          <w:spacing w:val="-2"/>
        </w:rPr>
        <w:t>Q</w:t>
      </w:r>
      <w:r>
        <w:rPr>
          <w:spacing w:val="-11"/>
        </w:rPr>
        <w:t> 波、影像学证据显示有新出现的心肌活性丧失或新出现局部</w:t>
      </w:r>
      <w:r>
        <w:rPr>
          <w:spacing w:val="-2"/>
        </w:rPr>
        <w:t>室壁运动异常、冠脉造影证实存在冠状动脉血栓。</w:t>
      </w:r>
    </w:p>
    <w:p>
      <w:pPr>
        <w:pStyle w:val="BodyText"/>
        <w:spacing w:line="278" w:lineRule="auto"/>
        <w:ind w:left="170" w:right="322"/>
      </w:pPr>
      <w:r>
        <w:rPr>
          <w:spacing w:val="-6"/>
        </w:rPr>
        <w:t>较轻急性心肌梗死指依照上述标准被明确诊断为急性心肌梗死，但未达到“较重急</w:t>
      </w:r>
      <w:r>
        <w:rPr>
          <w:spacing w:val="-2"/>
        </w:rPr>
        <w:t>性心肌梗死”的给付标准。</w:t>
      </w:r>
    </w:p>
    <w:p>
      <w:pPr>
        <w:spacing w:line="269" w:lineRule="exact" w:before="0"/>
        <w:ind w:left="170" w:right="0" w:firstLine="0"/>
        <w:jc w:val="left"/>
        <w:rPr>
          <w:rFonts w:ascii="黑体" w:eastAsia="黑体" w:hint="eastAsia"/>
          <w:b/>
          <w:sz w:val="21"/>
        </w:rPr>
      </w:pPr>
      <w:r>
        <w:rPr>
          <w:rFonts w:ascii="黑体" w:eastAsia="黑体" w:hint="eastAsia"/>
          <w:b/>
          <w:w w:val="95"/>
          <w:sz w:val="21"/>
        </w:rPr>
        <w:t>其</w:t>
      </w:r>
      <w:r>
        <w:rPr>
          <w:rFonts w:ascii="黑体" w:eastAsia="黑体" w:hint="eastAsia"/>
          <w:b/>
          <w:w w:val="95"/>
          <w:sz w:val="21"/>
        </w:rPr>
        <w:t>他</w:t>
      </w:r>
      <w:r>
        <w:rPr>
          <w:rFonts w:ascii="黑体" w:eastAsia="黑体" w:hint="eastAsia"/>
          <w:b/>
          <w:w w:val="95"/>
          <w:sz w:val="21"/>
        </w:rPr>
        <w:t>非</w:t>
      </w:r>
      <w:r>
        <w:rPr>
          <w:rFonts w:ascii="黑体" w:eastAsia="黑体" w:hint="eastAsia"/>
          <w:b/>
          <w:w w:val="95"/>
          <w:sz w:val="21"/>
        </w:rPr>
        <w:t>冠</w:t>
      </w:r>
      <w:r>
        <w:rPr>
          <w:rFonts w:ascii="黑体" w:eastAsia="黑体" w:hint="eastAsia"/>
          <w:b/>
          <w:w w:val="95"/>
          <w:sz w:val="21"/>
        </w:rPr>
        <w:t>状</w:t>
      </w:r>
      <w:r>
        <w:rPr>
          <w:rFonts w:ascii="黑体" w:eastAsia="黑体" w:hint="eastAsia"/>
          <w:b/>
          <w:w w:val="95"/>
          <w:sz w:val="21"/>
        </w:rPr>
        <w:t>动</w:t>
      </w:r>
      <w:r>
        <w:rPr>
          <w:rFonts w:ascii="黑体" w:eastAsia="黑体" w:hint="eastAsia"/>
          <w:b/>
          <w:w w:val="95"/>
          <w:sz w:val="21"/>
        </w:rPr>
        <w:t>脉</w:t>
      </w:r>
      <w:r>
        <w:rPr>
          <w:rFonts w:ascii="黑体" w:eastAsia="黑体" w:hint="eastAsia"/>
          <w:b/>
          <w:w w:val="95"/>
          <w:sz w:val="21"/>
        </w:rPr>
        <w:t>阻</w:t>
      </w:r>
      <w:r>
        <w:rPr>
          <w:rFonts w:ascii="黑体" w:eastAsia="黑体" w:hint="eastAsia"/>
          <w:b/>
          <w:w w:val="95"/>
          <w:sz w:val="21"/>
        </w:rPr>
        <w:t>塞性疾</w:t>
      </w:r>
      <w:r>
        <w:rPr>
          <w:rFonts w:ascii="黑体" w:eastAsia="黑体" w:hint="eastAsia"/>
          <w:b/>
          <w:w w:val="95"/>
          <w:sz w:val="21"/>
        </w:rPr>
        <w:t>病</w:t>
      </w:r>
      <w:r>
        <w:rPr>
          <w:rFonts w:ascii="黑体" w:eastAsia="黑体" w:hint="eastAsia"/>
          <w:b/>
          <w:w w:val="95"/>
          <w:sz w:val="21"/>
        </w:rPr>
        <w:t>引</w:t>
      </w:r>
      <w:r>
        <w:rPr>
          <w:rFonts w:ascii="黑体" w:eastAsia="黑体" w:hint="eastAsia"/>
          <w:b/>
          <w:w w:val="95"/>
          <w:sz w:val="21"/>
        </w:rPr>
        <w:t>起</w:t>
      </w:r>
      <w:r>
        <w:rPr>
          <w:rFonts w:ascii="黑体" w:eastAsia="黑体" w:hint="eastAsia"/>
          <w:b/>
          <w:w w:val="95"/>
          <w:sz w:val="21"/>
        </w:rPr>
        <w:t>的</w:t>
      </w:r>
      <w:r>
        <w:rPr>
          <w:rFonts w:ascii="黑体" w:eastAsia="黑体" w:hint="eastAsia"/>
          <w:b/>
          <w:w w:val="95"/>
          <w:sz w:val="21"/>
        </w:rPr>
        <w:t>肌</w:t>
      </w:r>
      <w:r>
        <w:rPr>
          <w:rFonts w:ascii="黑体" w:eastAsia="黑体" w:hint="eastAsia"/>
          <w:b/>
          <w:w w:val="95"/>
          <w:sz w:val="21"/>
        </w:rPr>
        <w:t>钙</w:t>
      </w:r>
      <w:r>
        <w:rPr>
          <w:rFonts w:ascii="黑体" w:eastAsia="黑体" w:hint="eastAsia"/>
          <w:b/>
          <w:w w:val="95"/>
          <w:sz w:val="21"/>
        </w:rPr>
        <w:t>蛋</w:t>
      </w:r>
      <w:r>
        <w:rPr>
          <w:rFonts w:ascii="黑体" w:eastAsia="黑体" w:hint="eastAsia"/>
          <w:b/>
          <w:w w:val="95"/>
          <w:sz w:val="21"/>
        </w:rPr>
        <w:t>白</w:t>
      </w:r>
      <w:r>
        <w:rPr>
          <w:rFonts w:ascii="黑体" w:eastAsia="黑体" w:hint="eastAsia"/>
          <w:b/>
          <w:w w:val="95"/>
          <w:sz w:val="21"/>
        </w:rPr>
        <w:t>（cTn）</w:t>
      </w:r>
      <w:r>
        <w:rPr>
          <w:rFonts w:ascii="黑体" w:eastAsia="黑体" w:hint="eastAsia"/>
          <w:b/>
          <w:w w:val="95"/>
          <w:sz w:val="21"/>
        </w:rPr>
        <w:t>升</w:t>
      </w:r>
      <w:r>
        <w:rPr>
          <w:rFonts w:ascii="黑体" w:eastAsia="黑体" w:hint="eastAsia"/>
          <w:b/>
          <w:w w:val="95"/>
          <w:sz w:val="21"/>
        </w:rPr>
        <w:t>高</w:t>
      </w:r>
      <w:r>
        <w:rPr>
          <w:rFonts w:ascii="黑体" w:eastAsia="黑体" w:hint="eastAsia"/>
          <w:b/>
          <w:w w:val="95"/>
          <w:sz w:val="21"/>
        </w:rPr>
        <w:t>不</w:t>
      </w:r>
      <w:r>
        <w:rPr>
          <w:rFonts w:ascii="黑体" w:eastAsia="黑体" w:hint="eastAsia"/>
          <w:b/>
          <w:w w:val="95"/>
          <w:sz w:val="21"/>
        </w:rPr>
        <w:t>在</w:t>
      </w:r>
      <w:r>
        <w:rPr>
          <w:rFonts w:ascii="黑体" w:eastAsia="黑体" w:hint="eastAsia"/>
          <w:b/>
          <w:w w:val="95"/>
          <w:sz w:val="21"/>
        </w:rPr>
        <w:t>保</w:t>
      </w:r>
      <w:r>
        <w:rPr>
          <w:rFonts w:ascii="黑体" w:eastAsia="黑体" w:hint="eastAsia"/>
          <w:b/>
          <w:w w:val="95"/>
          <w:sz w:val="21"/>
        </w:rPr>
        <w:t>障</w:t>
      </w:r>
      <w:r>
        <w:rPr>
          <w:rFonts w:ascii="黑体" w:eastAsia="黑体" w:hint="eastAsia"/>
          <w:b/>
          <w:w w:val="95"/>
          <w:sz w:val="21"/>
        </w:rPr>
        <w:t>范</w:t>
      </w:r>
      <w:r>
        <w:rPr>
          <w:rFonts w:ascii="黑体" w:eastAsia="黑体" w:hint="eastAsia"/>
          <w:b/>
          <w:w w:val="95"/>
          <w:sz w:val="21"/>
        </w:rPr>
        <w:t>围</w:t>
      </w:r>
      <w:r>
        <w:rPr>
          <w:rFonts w:ascii="黑体" w:eastAsia="黑体" w:hint="eastAsia"/>
          <w:b/>
          <w:spacing w:val="-5"/>
          <w:w w:val="95"/>
          <w:sz w:val="21"/>
        </w:rPr>
        <w:t>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9"/>
        <w:rPr>
          <w:rFonts w:ascii="黑体"/>
          <w:b/>
          <w:sz w:val="15"/>
        </w:rPr>
      </w:pPr>
    </w:p>
    <w:p>
      <w:pPr>
        <w:spacing w:after="0"/>
        <w:rPr>
          <w:rFonts w:ascii="黑体"/>
          <w:sz w:val="15"/>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w:t>
      </w:r>
      <w:r>
        <w:rPr>
          <w:rFonts w:ascii="华文新魏" w:eastAsia="华文新魏" w:hint="eastAsia"/>
          <w:b/>
          <w:spacing w:val="-13"/>
          <w:sz w:val="21"/>
        </w:rPr>
        <w:t>、轻度脑中风后遗</w:t>
      </w:r>
      <w:r>
        <w:rPr>
          <w:rFonts w:ascii="华文新魏" w:eastAsia="华文新魏" w:hint="eastAsia"/>
          <w:b/>
          <w:spacing w:val="-6"/>
          <w:sz w:val="21"/>
        </w:rPr>
        <w:t>症*</w:t>
      </w:r>
    </w:p>
    <w:p>
      <w:pPr>
        <w:pStyle w:val="BodyText"/>
        <w:spacing w:line="278" w:lineRule="auto" w:before="79"/>
        <w:ind w:left="170" w:right="322"/>
      </w:pPr>
      <w:r>
        <w:rPr/>
        <w:br w:type="column"/>
      </w:r>
      <w:r>
        <w:rPr>
          <w:spacing w:val="-2"/>
        </w:rPr>
        <w:t>指因脑血管的突发病变引起脑血管出血、栓塞或梗塞，须由头颅断层扫描</w:t>
      </w:r>
      <w:r>
        <w:rPr>
          <w:spacing w:val="23"/>
        </w:rPr>
        <w:t>（</w:t>
      </w:r>
      <w:r>
        <w:rPr>
          <w:spacing w:val="22"/>
        </w:rPr>
        <w:t>C</w:t>
      </w:r>
      <w:r>
        <w:rPr>
          <w:spacing w:val="25"/>
        </w:rPr>
        <w:t>T</w:t>
      </w:r>
      <w:r>
        <w:rPr>
          <w:spacing w:val="-81"/>
        </w:rPr>
        <w:t>）</w:t>
      </w:r>
      <w:r>
        <w:rPr>
          <w:spacing w:val="-106"/>
        </w:rPr>
        <w:t>、</w:t>
      </w:r>
      <w:r>
        <w:rPr>
          <w:spacing w:val="-2"/>
        </w:rPr>
        <w:t>核磁共振检查（MRI）等影像学检查证实，并导致神经系统永久性的功能障碍，但</w:t>
      </w:r>
      <w:r>
        <w:rPr>
          <w:spacing w:val="-6"/>
        </w:rPr>
        <w:t>未达到“严重脑中风后遗症”的给付标准，在疾病确诊 </w:t>
      </w:r>
      <w:r>
        <w:rPr>
          <w:spacing w:val="-4"/>
        </w:rPr>
        <w:t>180</w:t>
      </w:r>
      <w:r>
        <w:rPr>
          <w:spacing w:val="-11"/>
        </w:rPr>
        <w:t> 天后，仍遗留下列至少</w:t>
      </w:r>
      <w:r>
        <w:rPr>
          <w:spacing w:val="-2"/>
        </w:rPr>
        <w:t>一种障碍：</w:t>
      </w:r>
    </w:p>
    <w:p>
      <w:pPr>
        <w:pStyle w:val="BodyText"/>
        <w:spacing w:line="269" w:lineRule="exact"/>
        <w:ind w:left="170"/>
      </w:pPr>
      <w:r>
        <w:rPr>
          <w:spacing w:val="-6"/>
        </w:rPr>
        <w:t>Ⅰ 一肢</w:t>
      </w:r>
      <w:r>
        <w:rPr/>
        <w:t>（含）</w:t>
      </w:r>
      <w:r>
        <w:rPr>
          <w:spacing w:val="-7"/>
        </w:rPr>
        <w:t>以上肢体肌力为 </w:t>
      </w:r>
      <w:r>
        <w:rPr/>
        <w:t>3</w:t>
      </w:r>
      <w:r>
        <w:rPr>
          <w:spacing w:val="-22"/>
        </w:rPr>
        <w:t> 级；</w:t>
      </w:r>
    </w:p>
    <w:p>
      <w:pPr>
        <w:pStyle w:val="BodyText"/>
        <w:spacing w:before="43"/>
        <w:ind w:left="170"/>
      </w:pPr>
      <w:r>
        <w:rPr>
          <w:spacing w:val="-3"/>
        </w:rPr>
        <w:t>Ⅱ 自主生活能力部分丧失，无法独立完成六项基本日常生活活动中的两项。</w:t>
      </w:r>
    </w:p>
    <w:p>
      <w:pPr>
        <w:spacing w:after="0"/>
        <w:sectPr>
          <w:type w:val="continuous"/>
          <w:pgSz w:w="11910" w:h="16840"/>
          <w:pgMar w:header="0" w:footer="655" w:top="140" w:bottom="280" w:left="560" w:right="480"/>
          <w:cols w:num="2" w:equalWidth="0">
            <w:col w:w="2871" w:space="40"/>
            <w:col w:w="7959"/>
          </w:cols>
        </w:sectPr>
      </w:pPr>
    </w:p>
    <w:p>
      <w:pPr>
        <w:pStyle w:val="BodyText"/>
        <w:spacing w:before="8"/>
        <w:rPr>
          <w:sz w:val="11"/>
        </w:rPr>
      </w:pPr>
    </w:p>
    <w:p>
      <w:pPr>
        <w:pStyle w:val="BodyText"/>
        <w:tabs>
          <w:tab w:pos="3081" w:val="left" w:leader="none"/>
        </w:tabs>
        <w:spacing w:line="256" w:lineRule="auto" w:before="55"/>
        <w:ind w:left="3081" w:right="322" w:hanging="1949"/>
      </w:pPr>
      <w:r>
        <w:rPr>
          <w:rFonts w:ascii="华文新魏" w:eastAsia="华文新魏" w:hint="eastAsia"/>
          <w:b/>
          <w:spacing w:val="-2"/>
          <w:position w:val="2"/>
        </w:rPr>
        <w:t>4</w:t>
      </w:r>
      <w:r>
        <w:rPr>
          <w:rFonts w:ascii="华文新魏" w:eastAsia="华文新魏" w:hint="eastAsia"/>
          <w:b/>
          <w:spacing w:val="-68"/>
          <w:position w:val="2"/>
        </w:rPr>
        <w:t>、</w:t>
      </w:r>
      <w:r>
        <w:rPr>
          <w:rFonts w:ascii="华文新魏" w:eastAsia="华文新魏" w:hint="eastAsia"/>
          <w:b/>
          <w:spacing w:val="-2"/>
          <w:position w:val="2"/>
        </w:rPr>
        <w:t>慢性肾功</w:t>
      </w:r>
      <w:r>
        <w:rPr>
          <w:rFonts w:ascii="华文新魏" w:eastAsia="华文新魏" w:hint="eastAsia"/>
          <w:b/>
          <w:spacing w:val="-2"/>
          <w:position w:val="2"/>
        </w:rPr>
        <w:t>能</w:t>
      </w:r>
      <w:r>
        <w:rPr>
          <w:rFonts w:ascii="华文新魏" w:eastAsia="华文新魏" w:hint="eastAsia"/>
          <w:b/>
          <w:spacing w:val="-2"/>
          <w:position w:val="2"/>
        </w:rPr>
        <w:t>衰</w:t>
      </w:r>
      <w:r>
        <w:rPr>
          <w:rFonts w:ascii="华文新魏" w:eastAsia="华文新魏" w:hint="eastAsia"/>
          <w:b/>
          <w:spacing w:val="-2"/>
          <w:position w:val="2"/>
        </w:rPr>
        <w:t>竭</w:t>
      </w:r>
      <w:r>
        <w:rPr>
          <w:rFonts w:ascii="华文新魏" w:eastAsia="华文新魏" w:hint="eastAsia"/>
          <w:b/>
          <w:position w:val="2"/>
        </w:rPr>
        <w:tab/>
      </w:r>
      <w:r>
        <w:rPr>
          <w:spacing w:val="-2"/>
        </w:rPr>
        <w:t>指</w:t>
      </w:r>
      <w:r>
        <w:rPr>
          <w:spacing w:val="-2"/>
        </w:rPr>
        <w:t>被</w:t>
      </w:r>
      <w:r>
        <w:rPr>
          <w:spacing w:val="-2"/>
        </w:rPr>
        <w:t>保险人因双肾功能慢</w:t>
      </w:r>
      <w:r>
        <w:rPr>
          <w:spacing w:val="-2"/>
        </w:rPr>
        <w:t>性</w:t>
      </w:r>
      <w:r>
        <w:rPr>
          <w:spacing w:val="-2"/>
        </w:rPr>
        <w:t>不</w:t>
      </w:r>
      <w:r>
        <w:rPr>
          <w:spacing w:val="-2"/>
        </w:rPr>
        <w:t>可逆性损害</w:t>
      </w:r>
      <w:r>
        <w:rPr>
          <w:spacing w:val="-53"/>
        </w:rPr>
        <w:t>，</w:t>
      </w:r>
      <w:r>
        <w:rPr>
          <w:spacing w:val="-2"/>
        </w:rPr>
        <w:t>达到肾</w:t>
      </w:r>
      <w:r>
        <w:rPr>
          <w:spacing w:val="-2"/>
        </w:rPr>
        <w:t>功</w:t>
      </w:r>
      <w:r>
        <w:rPr>
          <w:spacing w:val="-2"/>
        </w:rPr>
        <w:t>能</w:t>
      </w:r>
      <w:r>
        <w:rPr>
          <w:spacing w:val="-2"/>
        </w:rPr>
        <w:t>衰竭期</w:t>
      </w:r>
      <w:r>
        <w:rPr>
          <w:spacing w:val="-53"/>
        </w:rPr>
        <w:t>，</w:t>
      </w:r>
      <w:r>
        <w:rPr>
          <w:spacing w:val="-2"/>
        </w:rPr>
        <w:t>诊断必须满足所</w:t>
      </w:r>
      <w:r>
        <w:rPr>
          <w:spacing w:val="-2"/>
        </w:rPr>
        <w:t>有</w:t>
      </w:r>
      <w:r>
        <w:rPr>
          <w:spacing w:val="-4"/>
        </w:rPr>
        <w:t>以</w:t>
      </w:r>
      <w:r>
        <w:rPr>
          <w:spacing w:val="-4"/>
        </w:rPr>
        <w:t>下</w:t>
      </w:r>
      <w:r>
        <w:rPr>
          <w:spacing w:val="-4"/>
        </w:rPr>
        <w:t>标</w:t>
      </w:r>
      <w:r>
        <w:rPr>
          <w:spacing w:val="-4"/>
        </w:rPr>
        <w:t>准</w:t>
      </w:r>
      <w:r>
        <w:rPr>
          <w:spacing w:val="-4"/>
        </w:rPr>
        <w:t>。</w:t>
      </w:r>
    </w:p>
    <w:p>
      <w:pPr>
        <w:pStyle w:val="BodyText"/>
        <w:spacing w:line="278" w:lineRule="auto" w:before="25"/>
        <w:ind w:left="3081" w:right="1200"/>
      </w:pPr>
      <w:r>
        <w:rPr>
          <w:spacing w:val="-6"/>
        </w:rPr>
        <w:t>Ⅰ 肾小球滤过率</w:t>
      </w:r>
      <w:r>
        <w:rPr/>
        <w:t>（GFR）&lt;25ml/min</w:t>
      </w:r>
      <w:r>
        <w:rPr>
          <w:spacing w:val="-9"/>
        </w:rPr>
        <w:t> 或肌酐清除率</w:t>
      </w:r>
      <w:r>
        <w:rPr/>
        <w:t>（Ccr）&lt;25ml/min； Ⅱ 血肌酐（Scr）&gt;5mg/dl</w:t>
      </w:r>
      <w:r>
        <w:rPr>
          <w:spacing w:val="-6"/>
        </w:rPr>
        <w:t> 或&gt;</w:t>
      </w:r>
      <w:r>
        <w:rPr/>
        <w:t>442umol/L；</w:t>
      </w:r>
    </w:p>
    <w:p>
      <w:pPr>
        <w:pStyle w:val="BodyText"/>
        <w:spacing w:line="269" w:lineRule="exact"/>
        <w:ind w:left="3081"/>
      </w:pPr>
      <w:r>
        <w:rPr>
          <w:spacing w:val="-13"/>
        </w:rPr>
        <w:t>Ⅲ 持续 </w:t>
      </w:r>
      <w:r>
        <w:rPr/>
        <w:t>180</w:t>
      </w:r>
      <w:r>
        <w:rPr>
          <w:spacing w:val="-22"/>
        </w:rPr>
        <w:t> 天。</w:t>
      </w:r>
    </w:p>
    <w:p>
      <w:pPr>
        <w:pStyle w:val="BodyText"/>
        <w:spacing w:before="4"/>
        <w:rPr>
          <w:sz w:val="16"/>
        </w:rPr>
      </w:pPr>
    </w:p>
    <w:p>
      <w:pPr>
        <w:tabs>
          <w:tab w:pos="3081" w:val="left" w:leader="none"/>
        </w:tabs>
        <w:spacing w:before="0"/>
        <w:ind w:left="1132" w:right="0" w:firstLine="0"/>
        <w:jc w:val="left"/>
        <w:rPr>
          <w:sz w:val="21"/>
        </w:rPr>
      </w:pPr>
      <w:r>
        <w:rPr>
          <w:rFonts w:ascii="华文新魏" w:eastAsia="华文新魏" w:hint="eastAsia"/>
          <w:b/>
          <w:spacing w:val="-2"/>
          <w:position w:val="2"/>
          <w:sz w:val="21"/>
        </w:rPr>
        <w:t>5</w:t>
      </w:r>
      <w:r>
        <w:rPr>
          <w:rFonts w:ascii="华文新魏" w:eastAsia="华文新魏" w:hint="eastAsia"/>
          <w:b/>
          <w:spacing w:val="-2"/>
          <w:position w:val="2"/>
          <w:sz w:val="21"/>
        </w:rPr>
        <w:t>、</w:t>
      </w:r>
      <w:r>
        <w:rPr>
          <w:rFonts w:ascii="华文新魏" w:eastAsia="华文新魏" w:hint="eastAsia"/>
          <w:b/>
          <w:spacing w:val="-2"/>
          <w:position w:val="2"/>
          <w:sz w:val="21"/>
        </w:rPr>
        <w:t>肾</w:t>
      </w:r>
      <w:r>
        <w:rPr>
          <w:rFonts w:ascii="华文新魏" w:eastAsia="华文新魏" w:hint="eastAsia"/>
          <w:b/>
          <w:spacing w:val="-2"/>
          <w:position w:val="2"/>
          <w:sz w:val="21"/>
        </w:rPr>
        <w:t>脏</w:t>
      </w:r>
      <w:r>
        <w:rPr>
          <w:rFonts w:ascii="华文新魏" w:eastAsia="华文新魏" w:hint="eastAsia"/>
          <w:b/>
          <w:spacing w:val="-2"/>
          <w:position w:val="2"/>
          <w:sz w:val="21"/>
        </w:rPr>
        <w:t>切</w:t>
      </w:r>
      <w:r>
        <w:rPr>
          <w:rFonts w:ascii="华文新魏" w:eastAsia="华文新魏" w:hint="eastAsia"/>
          <w:b/>
          <w:spacing w:val="-10"/>
          <w:position w:val="2"/>
          <w:sz w:val="21"/>
        </w:rPr>
        <w:t>除</w:t>
      </w:r>
      <w:r>
        <w:rPr>
          <w:rFonts w:ascii="华文新魏" w:eastAsia="华文新魏" w:hint="eastAsia"/>
          <w:b/>
          <w:position w:val="2"/>
          <w:sz w:val="21"/>
        </w:rPr>
        <w:tab/>
      </w:r>
      <w:r>
        <w:rPr>
          <w:spacing w:val="-2"/>
          <w:sz w:val="21"/>
        </w:rPr>
        <w:t>因</w:t>
      </w:r>
      <w:r>
        <w:rPr>
          <w:spacing w:val="-2"/>
          <w:sz w:val="21"/>
        </w:rPr>
        <w:t>肾</w:t>
      </w:r>
      <w:r>
        <w:rPr>
          <w:spacing w:val="-2"/>
          <w:sz w:val="21"/>
        </w:rPr>
        <w:t>脏疾病或外伤而确实</w:t>
      </w:r>
      <w:r>
        <w:rPr>
          <w:spacing w:val="-2"/>
          <w:sz w:val="21"/>
        </w:rPr>
        <w:t>已</w:t>
      </w:r>
      <w:r>
        <w:rPr>
          <w:spacing w:val="-2"/>
          <w:sz w:val="21"/>
        </w:rPr>
        <w:t>经</w:t>
      </w:r>
      <w:r>
        <w:rPr>
          <w:spacing w:val="-2"/>
          <w:sz w:val="21"/>
        </w:rPr>
        <w:t>接受手术切除左肾</w:t>
      </w:r>
      <w:r>
        <w:rPr>
          <w:spacing w:val="-2"/>
          <w:sz w:val="21"/>
        </w:rPr>
        <w:t>和</w:t>
      </w:r>
      <w:r>
        <w:rPr>
          <w:spacing w:val="-2"/>
          <w:sz w:val="21"/>
        </w:rPr>
        <w:t>/</w:t>
      </w:r>
      <w:r>
        <w:rPr>
          <w:spacing w:val="-2"/>
          <w:sz w:val="21"/>
        </w:rPr>
        <w:t>或</w:t>
      </w:r>
      <w:r>
        <w:rPr>
          <w:spacing w:val="-2"/>
          <w:sz w:val="21"/>
        </w:rPr>
        <w:t>右</w:t>
      </w:r>
      <w:r>
        <w:rPr>
          <w:spacing w:val="-2"/>
          <w:sz w:val="21"/>
        </w:rPr>
        <w:t>肾</w:t>
      </w:r>
      <w:r>
        <w:rPr>
          <w:spacing w:val="-10"/>
          <w:sz w:val="21"/>
        </w:rPr>
        <w:t>。</w:t>
      </w:r>
    </w:p>
    <w:p>
      <w:pPr>
        <w:spacing w:line="278" w:lineRule="auto" w:before="23"/>
        <w:ind w:left="3081" w:right="404" w:firstLine="0"/>
        <w:jc w:val="left"/>
        <w:rPr>
          <w:rFonts w:ascii="黑体" w:eastAsia="黑体" w:hint="eastAsia"/>
          <w:b/>
          <w:sz w:val="21"/>
        </w:rPr>
      </w:pPr>
      <w:r>
        <w:rPr>
          <w:rFonts w:ascii="黑体" w:eastAsia="黑体" w:hint="eastAsia"/>
          <w:b/>
          <w:spacing w:val="-2"/>
          <w:sz w:val="21"/>
        </w:rPr>
        <w:t>手术必须被本公司认可医院的专科医生视为必要的。因捐赠肾脏而所需的手术或</w:t>
      </w:r>
      <w:r>
        <w:rPr>
          <w:rFonts w:ascii="黑体" w:eastAsia="黑体" w:hint="eastAsia"/>
          <w:b/>
          <w:spacing w:val="-2"/>
          <w:sz w:val="21"/>
        </w:rPr>
        <w:t>部分切除不在保障范围内。</w:t>
      </w:r>
    </w:p>
    <w:p>
      <w:pPr>
        <w:pStyle w:val="BodyText"/>
        <w:spacing w:before="9"/>
        <w:rPr>
          <w:rFonts w:ascii="黑体"/>
          <w:b/>
          <w:sz w:val="11"/>
        </w:rPr>
      </w:pPr>
    </w:p>
    <w:p>
      <w:pPr>
        <w:spacing w:after="0"/>
        <w:rPr>
          <w:rFonts w:ascii="黑体"/>
          <w:sz w:val="11"/>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6</w:t>
      </w:r>
      <w:r>
        <w:rPr>
          <w:rFonts w:ascii="华文新魏" w:eastAsia="华文新魏" w:hint="eastAsia"/>
          <w:b/>
          <w:spacing w:val="-13"/>
          <w:sz w:val="21"/>
        </w:rPr>
        <w:t>、急性出血坏死性</w:t>
      </w:r>
      <w:r>
        <w:rPr>
          <w:rFonts w:ascii="华文新魏" w:eastAsia="华文新魏" w:hint="eastAsia"/>
          <w:b/>
          <w:spacing w:val="-4"/>
          <w:sz w:val="21"/>
        </w:rPr>
        <w:t>胰腺炎腹腔镜手术</w:t>
      </w:r>
    </w:p>
    <w:p>
      <w:pPr>
        <w:pStyle w:val="BodyText"/>
        <w:spacing w:line="278" w:lineRule="auto" w:before="78"/>
        <w:ind w:left="170" w:right="322"/>
      </w:pPr>
      <w:r>
        <w:rPr/>
        <w:br w:type="column"/>
      </w:r>
      <w:r>
        <w:rPr>
          <w:spacing w:val="-7"/>
        </w:rPr>
        <w:t>指被保险人被确诊为急性出血性坏死性胰腺炎，并实际接受了腹腔镜手术治疗，以</w:t>
      </w:r>
      <w:r>
        <w:rPr>
          <w:spacing w:val="-2"/>
        </w:rPr>
        <w:t>进行坏死组织清除、坏死病灶切除或胰腺切除。</w:t>
      </w:r>
    </w:p>
    <w:p>
      <w:pPr>
        <w:spacing w:line="269" w:lineRule="exact" w:before="0"/>
        <w:ind w:left="170" w:right="0" w:firstLine="0"/>
        <w:jc w:val="left"/>
        <w:rPr>
          <w:rFonts w:ascii="黑体" w:eastAsia="黑体" w:hint="eastAsia"/>
          <w:b/>
          <w:sz w:val="21"/>
        </w:rPr>
      </w:pPr>
      <w:r>
        <w:rPr>
          <w:rFonts w:ascii="黑体" w:eastAsia="黑体" w:hint="eastAsia"/>
          <w:b/>
          <w:spacing w:val="-3"/>
          <w:sz w:val="21"/>
        </w:rPr>
        <w:t>因酗酒或饮酒过量所致的急性坏死性胰腺炎不在本保单保障范围内。</w:t>
      </w:r>
    </w:p>
    <w:p>
      <w:pPr>
        <w:spacing w:after="0" w:line="269" w:lineRule="exact"/>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12"/>
        <w:rPr>
          <w:rFonts w:ascii="黑体"/>
          <w:b/>
          <w:sz w:val="14"/>
        </w:rPr>
      </w:pPr>
    </w:p>
    <w:p>
      <w:pPr>
        <w:pStyle w:val="BodyText"/>
        <w:tabs>
          <w:tab w:pos="3081" w:val="left" w:leader="none"/>
        </w:tabs>
        <w:spacing w:line="256" w:lineRule="auto" w:before="54"/>
        <w:ind w:left="3081" w:right="322" w:hanging="1949"/>
      </w:pPr>
      <w:r>
        <w:rPr>
          <w:rFonts w:ascii="华文新魏" w:eastAsia="华文新魏" w:hint="eastAsia"/>
          <w:b/>
          <w:spacing w:val="-2"/>
          <w:position w:val="2"/>
        </w:rPr>
        <w:t>7</w:t>
      </w:r>
      <w:r>
        <w:rPr>
          <w:rFonts w:ascii="华文新魏" w:eastAsia="华文新魏" w:hint="eastAsia"/>
          <w:b/>
          <w:spacing w:val="-2"/>
          <w:position w:val="2"/>
        </w:rPr>
        <w:t>、</w:t>
      </w:r>
      <w:r>
        <w:rPr>
          <w:rFonts w:ascii="华文新魏" w:eastAsia="华文新魏" w:hint="eastAsia"/>
          <w:b/>
          <w:spacing w:val="-2"/>
          <w:position w:val="2"/>
        </w:rPr>
        <w:t>肝</w:t>
      </w:r>
      <w:r>
        <w:rPr>
          <w:rFonts w:ascii="华文新魏" w:eastAsia="华文新魏" w:hint="eastAsia"/>
          <w:b/>
          <w:spacing w:val="-2"/>
          <w:position w:val="2"/>
        </w:rPr>
        <w:t>叶</w:t>
      </w:r>
      <w:r>
        <w:rPr>
          <w:rFonts w:ascii="华文新魏" w:eastAsia="华文新魏" w:hint="eastAsia"/>
          <w:b/>
          <w:spacing w:val="-2"/>
          <w:position w:val="2"/>
        </w:rPr>
        <w:t>切</w:t>
      </w:r>
      <w:r>
        <w:rPr>
          <w:rFonts w:ascii="华文新魏" w:eastAsia="华文新魏" w:hint="eastAsia"/>
          <w:b/>
          <w:spacing w:val="-2"/>
          <w:position w:val="2"/>
        </w:rPr>
        <w:t>除</w:t>
      </w:r>
      <w:r>
        <w:rPr>
          <w:rFonts w:ascii="华文新魏" w:eastAsia="华文新魏" w:hint="eastAsia"/>
          <w:b/>
          <w:position w:val="2"/>
        </w:rPr>
        <w:tab/>
      </w:r>
      <w:r>
        <w:rPr>
          <w:spacing w:val="-2"/>
        </w:rPr>
        <w:t>指</w:t>
      </w:r>
      <w:r>
        <w:rPr>
          <w:spacing w:val="-2"/>
        </w:rPr>
        <w:t>因</w:t>
      </w:r>
      <w:r>
        <w:rPr>
          <w:spacing w:val="-2"/>
        </w:rPr>
        <w:t>疾病或意外伤害实际</w:t>
      </w:r>
      <w:r>
        <w:rPr>
          <w:spacing w:val="-2"/>
        </w:rPr>
        <w:t>实</w:t>
      </w:r>
      <w:r>
        <w:rPr>
          <w:spacing w:val="-2"/>
        </w:rPr>
        <w:t>施</w:t>
      </w:r>
      <w:r>
        <w:rPr>
          <w:spacing w:val="-2"/>
        </w:rPr>
        <w:t>的肝脏部分切除术</w:t>
      </w:r>
      <w:r>
        <w:rPr>
          <w:spacing w:val="-108"/>
        </w:rPr>
        <w:t>，</w:t>
      </w:r>
      <w:r>
        <w:rPr>
          <w:spacing w:val="-2"/>
        </w:rPr>
        <w:t>手</w:t>
      </w:r>
      <w:r>
        <w:rPr>
          <w:spacing w:val="-2"/>
        </w:rPr>
        <w:t>术</w:t>
      </w:r>
      <w:r>
        <w:rPr>
          <w:spacing w:val="-2"/>
        </w:rPr>
        <w:t>须</w:t>
      </w:r>
      <w:r>
        <w:rPr>
          <w:spacing w:val="-2"/>
        </w:rPr>
        <w:t>有至少一个完整的肝</w:t>
      </w:r>
      <w:r>
        <w:rPr>
          <w:spacing w:val="-2"/>
        </w:rPr>
        <w:t>叶</w:t>
      </w:r>
      <w:r>
        <w:rPr>
          <w:spacing w:val="-2"/>
        </w:rPr>
        <w:t>切</w:t>
      </w:r>
      <w:r>
        <w:rPr>
          <w:spacing w:val="-6"/>
        </w:rPr>
        <w:t>除</w:t>
      </w:r>
      <w:r>
        <w:rPr>
          <w:spacing w:val="-6"/>
        </w:rPr>
        <w:t>。</w:t>
      </w:r>
    </w:p>
    <w:p>
      <w:pPr>
        <w:pStyle w:val="BodyText"/>
        <w:spacing w:before="12"/>
        <w:rPr>
          <w:sz w:val="17"/>
        </w:rPr>
      </w:pPr>
    </w:p>
    <w:p>
      <w:pPr>
        <w:pStyle w:val="BodyText"/>
        <w:tabs>
          <w:tab w:pos="3081" w:val="left" w:leader="none"/>
        </w:tabs>
        <w:spacing w:line="256" w:lineRule="auto"/>
        <w:ind w:left="3081" w:right="322" w:hanging="1949"/>
      </w:pPr>
      <w:r>
        <w:rPr>
          <w:rFonts w:ascii="华文新魏" w:eastAsia="华文新魏" w:hint="eastAsia"/>
          <w:b/>
          <w:spacing w:val="-2"/>
          <w:position w:val="2"/>
        </w:rPr>
        <w:t>8</w:t>
      </w:r>
      <w:r>
        <w:rPr>
          <w:rFonts w:ascii="华文新魏" w:eastAsia="华文新魏" w:hint="eastAsia"/>
          <w:b/>
          <w:spacing w:val="-2"/>
          <w:position w:val="2"/>
        </w:rPr>
        <w:t>、</w:t>
      </w:r>
      <w:r>
        <w:rPr>
          <w:rFonts w:ascii="华文新魏" w:eastAsia="华文新魏" w:hint="eastAsia"/>
          <w:b/>
          <w:spacing w:val="-2"/>
          <w:position w:val="2"/>
        </w:rPr>
        <w:t>单</w:t>
      </w:r>
      <w:r>
        <w:rPr>
          <w:rFonts w:ascii="华文新魏" w:eastAsia="华文新魏" w:hint="eastAsia"/>
          <w:b/>
          <w:spacing w:val="-2"/>
          <w:position w:val="2"/>
        </w:rPr>
        <w:t>侧肺脏</w:t>
      </w:r>
      <w:r>
        <w:rPr>
          <w:rFonts w:ascii="华文新魏" w:eastAsia="华文新魏" w:hint="eastAsia"/>
          <w:b/>
          <w:spacing w:val="-2"/>
          <w:position w:val="2"/>
        </w:rPr>
        <w:t>切</w:t>
      </w:r>
      <w:r>
        <w:rPr>
          <w:rFonts w:ascii="华文新魏" w:eastAsia="华文新魏" w:hint="eastAsia"/>
          <w:b/>
          <w:spacing w:val="-2"/>
          <w:position w:val="2"/>
        </w:rPr>
        <w:t>除</w:t>
      </w:r>
      <w:r>
        <w:rPr>
          <w:rFonts w:ascii="华文新魏" w:eastAsia="华文新魏" w:hint="eastAsia"/>
          <w:b/>
          <w:position w:val="2"/>
        </w:rPr>
        <w:tab/>
      </w:r>
      <w:r>
        <w:rPr>
          <w:spacing w:val="-2"/>
        </w:rPr>
        <w:t>因</w:t>
      </w:r>
      <w:r>
        <w:rPr>
          <w:spacing w:val="-2"/>
        </w:rPr>
        <w:t>疾</w:t>
      </w:r>
      <w:r>
        <w:rPr>
          <w:spacing w:val="-2"/>
        </w:rPr>
        <w:t>病或意外伤害实际实</w:t>
      </w:r>
      <w:r>
        <w:rPr>
          <w:spacing w:val="-2"/>
        </w:rPr>
        <w:t>施</w:t>
      </w:r>
      <w:r>
        <w:rPr>
          <w:spacing w:val="-2"/>
        </w:rPr>
        <w:t>的</w:t>
      </w:r>
      <w:r>
        <w:rPr>
          <w:spacing w:val="-2"/>
        </w:rPr>
        <w:t>一侧肺脏切除术</w:t>
      </w:r>
      <w:r>
        <w:rPr>
          <w:spacing w:val="-106"/>
        </w:rPr>
        <w:t>，</w:t>
      </w:r>
      <w:r>
        <w:rPr>
          <w:spacing w:val="-2"/>
        </w:rPr>
        <w:t>部</w:t>
      </w:r>
      <w:r>
        <w:rPr>
          <w:spacing w:val="-2"/>
        </w:rPr>
        <w:t>分</w:t>
      </w:r>
      <w:r>
        <w:rPr>
          <w:spacing w:val="-2"/>
        </w:rPr>
        <w:t>切</w:t>
      </w:r>
      <w:r>
        <w:rPr>
          <w:spacing w:val="-2"/>
        </w:rPr>
        <w:t>除</w:t>
      </w:r>
      <w:r>
        <w:rPr>
          <w:spacing w:val="-2"/>
        </w:rPr>
        <w:t>手术和肺脏捐献引起</w:t>
      </w:r>
      <w:r>
        <w:rPr>
          <w:spacing w:val="-2"/>
        </w:rPr>
        <w:t>的</w:t>
      </w:r>
      <w:r>
        <w:rPr>
          <w:spacing w:val="-2"/>
        </w:rPr>
        <w:t>手</w:t>
      </w:r>
      <w:r>
        <w:rPr>
          <w:spacing w:val="-2"/>
        </w:rPr>
        <w:t>术</w:t>
      </w:r>
      <w:r>
        <w:rPr>
          <w:spacing w:val="-2"/>
        </w:rPr>
        <w:t>不</w:t>
      </w:r>
      <w:r>
        <w:rPr>
          <w:spacing w:val="-2"/>
        </w:rPr>
        <w:t>在保障范围</w:t>
      </w:r>
      <w:r>
        <w:rPr>
          <w:spacing w:val="-2"/>
        </w:rPr>
        <w:t>内</w:t>
      </w:r>
      <w:r>
        <w:rPr>
          <w:spacing w:val="-2"/>
        </w:rPr>
        <w:t>。</w:t>
      </w:r>
    </w:p>
    <w:p>
      <w:pPr>
        <w:pStyle w:val="BodyText"/>
        <w:spacing w:before="8"/>
        <w:rPr>
          <w:sz w:val="13"/>
        </w:rPr>
      </w:pPr>
    </w:p>
    <w:p>
      <w:pPr>
        <w:spacing w:after="0"/>
        <w:rPr>
          <w:sz w:val="13"/>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9</w:t>
      </w:r>
      <w:r>
        <w:rPr>
          <w:rFonts w:ascii="华文新魏" w:eastAsia="华文新魏" w:hint="eastAsia"/>
          <w:b/>
          <w:spacing w:val="-13"/>
          <w:sz w:val="21"/>
        </w:rPr>
        <w:t>、双侧卵巢或睾丸</w:t>
      </w:r>
      <w:r>
        <w:rPr>
          <w:rFonts w:ascii="华文新魏" w:eastAsia="华文新魏" w:hint="eastAsia"/>
          <w:b/>
          <w:spacing w:val="-4"/>
          <w:sz w:val="21"/>
        </w:rPr>
        <w:t>切除术</w:t>
      </w:r>
    </w:p>
    <w:p>
      <w:pPr>
        <w:pStyle w:val="BodyText"/>
        <w:spacing w:before="79"/>
        <w:ind w:left="170"/>
      </w:pPr>
      <w:r>
        <w:rPr/>
        <w:br w:type="column"/>
      </w:r>
      <w:r>
        <w:rPr>
          <w:spacing w:val="-3"/>
        </w:rPr>
        <w:t>指为治疗疾病实际接受了双侧卵巢或双侧睾丸完全切除手术。</w:t>
      </w:r>
    </w:p>
    <w:p>
      <w:pPr>
        <w:spacing w:before="42"/>
        <w:ind w:left="170" w:right="0" w:firstLine="0"/>
        <w:jc w:val="left"/>
        <w:rPr>
          <w:rFonts w:ascii="黑体" w:eastAsia="黑体" w:hint="eastAsia"/>
          <w:b/>
          <w:sz w:val="21"/>
        </w:rPr>
      </w:pPr>
      <w:r>
        <w:rPr>
          <w:rFonts w:ascii="黑体" w:eastAsia="黑体" w:hint="eastAsia"/>
          <w:b/>
          <w:spacing w:val="-3"/>
          <w:sz w:val="21"/>
        </w:rPr>
        <w:t>部分卵巢或睾丸切除不在保障范围。</w:t>
      </w:r>
    </w:p>
    <w:p>
      <w:pPr>
        <w:spacing w:after="0"/>
        <w:jc w:val="left"/>
        <w:rPr>
          <w:rFonts w:ascii="黑体" w:eastAsia="黑体" w:hint="eastAsia"/>
          <w:sz w:val="21"/>
        </w:rPr>
        <w:sectPr>
          <w:type w:val="continuous"/>
          <w:pgSz w:w="11910" w:h="16840"/>
          <w:pgMar w:header="0" w:footer="655" w:top="140" w:bottom="280" w:left="560" w:right="480"/>
          <w:cols w:num="2" w:equalWidth="0">
            <w:col w:w="2871" w:space="40"/>
            <w:col w:w="7959"/>
          </w:cols>
        </w:sectPr>
      </w:pPr>
    </w:p>
    <w:p>
      <w:pPr>
        <w:pStyle w:val="BodyText"/>
        <w:spacing w:before="4"/>
        <w:rPr>
          <w:rFonts w:ascii="黑体"/>
          <w:b/>
          <w:sz w:val="10"/>
        </w:rPr>
      </w:pPr>
    </w:p>
    <w:p>
      <w:pPr>
        <w:spacing w:after="0"/>
        <w:rPr>
          <w:rFonts w:ascii="黑体"/>
          <w:sz w:val="10"/>
        </w:rPr>
        <w:sectPr>
          <w:pgSz w:w="11910" w:h="16840"/>
          <w:pgMar w:header="0" w:footer="655" w:top="1580" w:bottom="84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10、胆总管小肠吻</w:t>
      </w:r>
      <w:r>
        <w:rPr>
          <w:rFonts w:ascii="华文新魏" w:eastAsia="华文新魏" w:hint="eastAsia"/>
          <w:b/>
          <w:spacing w:val="-6"/>
          <w:sz w:val="21"/>
        </w:rPr>
        <w:t>合术</w:t>
      </w:r>
    </w:p>
    <w:p>
      <w:pPr>
        <w:pStyle w:val="BodyText"/>
        <w:spacing w:before="78"/>
        <w:ind w:left="226"/>
      </w:pPr>
      <w:r>
        <w:rPr/>
        <w:br w:type="column"/>
      </w:r>
      <w:r>
        <w:rPr>
          <w:spacing w:val="-3"/>
        </w:rPr>
        <w:t>因疾病或胆道损伤导致实际接受涉及胆总管小肠吻合术的胆道重建手术。</w:t>
      </w:r>
    </w:p>
    <w:p>
      <w:pPr>
        <w:spacing w:line="278" w:lineRule="auto" w:before="43"/>
        <w:ind w:left="226" w:right="330" w:firstLine="0"/>
        <w:jc w:val="left"/>
        <w:rPr>
          <w:rFonts w:ascii="黑体" w:eastAsia="黑体" w:hint="eastAsia"/>
          <w:b/>
          <w:sz w:val="21"/>
        </w:rPr>
      </w:pPr>
      <w:r>
        <w:rPr>
          <w:rFonts w:ascii="黑体" w:eastAsia="黑体" w:hint="eastAsia"/>
          <w:b/>
          <w:spacing w:val="5"/>
          <w:w w:val="100"/>
          <w:sz w:val="21"/>
        </w:rPr>
        <w:t>诊断及治疗均须在本公司认可的医院内由专科医生认为是医疗必须的情况下进</w:t>
      </w:r>
      <w:r>
        <w:rPr>
          <w:rFonts w:ascii="黑体" w:eastAsia="黑体" w:hint="eastAsia"/>
          <w:b/>
          <w:spacing w:val="-3"/>
          <w:w w:val="100"/>
          <w:sz w:val="21"/>
        </w:rPr>
        <w:t>行。因胆道闭锁等先天性疾病而导致进行的胆道手术并不在本保障范围內。</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16" w:space="40"/>
            <w:col w:w="8014"/>
          </w:cols>
        </w:sectPr>
      </w:pPr>
    </w:p>
    <w:p>
      <w:pPr>
        <w:pStyle w:val="BodyText"/>
        <w:spacing w:before="9"/>
        <w:rPr>
          <w:rFonts w:ascii="黑体"/>
          <w:b/>
          <w:sz w:val="16"/>
        </w:rPr>
      </w:pPr>
    </w:p>
    <w:p>
      <w:pPr>
        <w:spacing w:after="0"/>
        <w:rPr>
          <w:rFonts w:ascii="黑体"/>
          <w:sz w:val="16"/>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11、中度严重溃疡</w:t>
      </w:r>
      <w:r>
        <w:rPr>
          <w:rFonts w:ascii="华文新魏" w:eastAsia="华文新魏" w:hint="eastAsia"/>
          <w:b/>
          <w:spacing w:val="-4"/>
          <w:sz w:val="21"/>
        </w:rPr>
        <w:t>性结肠炎</w:t>
      </w:r>
    </w:p>
    <w:p>
      <w:pPr>
        <w:pStyle w:val="BodyText"/>
        <w:spacing w:line="278" w:lineRule="auto" w:before="78"/>
        <w:ind w:left="266" w:right="2613"/>
      </w:pPr>
      <w:r>
        <w:rPr/>
        <w:br w:type="column"/>
      </w:r>
      <w:r>
        <w:rPr>
          <w:spacing w:val="-2"/>
        </w:rPr>
        <w:t>本保障所指的溃疡性结肠炎须满足下列所有理赔条件： </w:t>
      </w:r>
      <w:r>
        <w:rPr>
          <w:spacing w:val="-6"/>
        </w:rPr>
        <w:t>Ⅰ 须经由内窥镜检查证实该疾病侵犯全部结肠及直肠；</w:t>
      </w:r>
      <w:r>
        <w:rPr/>
        <w:t> Ⅱ 活检病理学组织切片检查证实为溃疡性结肠炎；</w:t>
      </w:r>
    </w:p>
    <w:p>
      <w:pPr>
        <w:pStyle w:val="BodyText"/>
        <w:spacing w:line="269" w:lineRule="exact"/>
        <w:ind w:left="266"/>
      </w:pPr>
      <w:r>
        <w:rPr>
          <w:spacing w:val="-5"/>
        </w:rPr>
        <w:t>Ⅲ 经专科医生以类固醇或免疫抑制剂连续治疗至少 </w:t>
      </w:r>
      <w:r>
        <w:rPr>
          <w:spacing w:val="-2"/>
        </w:rPr>
        <w:t>180</w:t>
      </w:r>
      <w:r>
        <w:rPr>
          <w:spacing w:val="-20"/>
        </w:rPr>
        <w:t> 天。</w:t>
      </w:r>
    </w:p>
    <w:p>
      <w:pPr>
        <w:spacing w:line="278" w:lineRule="auto" w:before="43"/>
        <w:ind w:left="266" w:right="330" w:firstLine="0"/>
        <w:jc w:val="left"/>
        <w:rPr>
          <w:rFonts w:ascii="黑体" w:eastAsia="黑体" w:hint="eastAsia"/>
          <w:b/>
          <w:sz w:val="21"/>
        </w:rPr>
      </w:pPr>
      <w:r>
        <w:rPr>
          <w:rFonts w:ascii="黑体" w:eastAsia="黑体" w:hint="eastAsia"/>
          <w:b/>
          <w:spacing w:val="5"/>
          <w:w w:val="100"/>
          <w:sz w:val="21"/>
        </w:rPr>
        <w:t>诊断及治疗均须在本公司认可的医院内由专科医生认为是医疗必须的情况下进行。</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775" w:space="40"/>
            <w:col w:w="8055"/>
          </w:cols>
        </w:sectPr>
      </w:pPr>
    </w:p>
    <w:p>
      <w:pPr>
        <w:pStyle w:val="BodyText"/>
        <w:rPr>
          <w:rFonts w:ascii="黑体"/>
          <w:b/>
          <w:sz w:val="10"/>
        </w:rPr>
      </w:pPr>
    </w:p>
    <w:p>
      <w:pPr>
        <w:spacing w:after="0"/>
        <w:rPr>
          <w:rFonts w:ascii="黑体"/>
          <w:sz w:val="10"/>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12、中度严重克隆</w:t>
      </w:r>
      <w:r>
        <w:rPr>
          <w:rFonts w:ascii="华文新魏" w:eastAsia="华文新魏" w:hint="eastAsia"/>
          <w:b/>
          <w:spacing w:val="-10"/>
          <w:sz w:val="21"/>
        </w:rPr>
        <w:t>病</w:t>
      </w:r>
    </w:p>
    <w:p>
      <w:pPr>
        <w:pStyle w:val="BodyText"/>
        <w:spacing w:before="78"/>
        <w:ind w:left="230"/>
      </w:pPr>
      <w:r>
        <w:rPr/>
        <w:br w:type="column"/>
      </w:r>
      <w:r>
        <w:rPr>
          <w:spacing w:val="-3"/>
        </w:rPr>
        <w:t>克隆病是一种慢性肉芽肿性肠炎，具有特征性的克隆病病理组织学变化。</w:t>
      </w:r>
    </w:p>
    <w:p>
      <w:pPr>
        <w:spacing w:line="278" w:lineRule="auto" w:before="44"/>
        <w:ind w:left="230" w:right="329" w:firstLine="0"/>
        <w:jc w:val="left"/>
        <w:rPr>
          <w:rFonts w:ascii="黑体" w:eastAsia="黑体" w:hint="eastAsia"/>
          <w:b/>
          <w:sz w:val="21"/>
        </w:rPr>
      </w:pPr>
      <w:r>
        <w:rPr>
          <w:rFonts w:ascii="黑体" w:eastAsia="黑体" w:hint="eastAsia"/>
          <w:b/>
          <w:spacing w:val="-2"/>
          <w:sz w:val="21"/>
        </w:rPr>
        <w:t>诊断必须由本公司认可医院的专科医生经内窥镜及肠病理活检结果证实，同时经</w:t>
      </w:r>
      <w:r>
        <w:rPr>
          <w:rFonts w:ascii="黑体" w:eastAsia="黑体" w:hint="eastAsia"/>
          <w:b/>
          <w:spacing w:val="-1"/>
          <w:sz w:val="21"/>
        </w:rPr>
        <w:t>专科医生以类固醇或免疫抑制剂连续治疗至少 </w:t>
      </w:r>
      <w:r>
        <w:rPr>
          <w:rFonts w:ascii="黑体" w:eastAsia="黑体" w:hint="eastAsia"/>
          <w:b/>
          <w:sz w:val="21"/>
        </w:rPr>
        <w:t>180</w:t>
      </w:r>
      <w:r>
        <w:rPr>
          <w:rFonts w:ascii="黑体" w:eastAsia="黑体" w:hint="eastAsia"/>
          <w:b/>
          <w:spacing w:val="-5"/>
          <w:sz w:val="21"/>
        </w:rPr>
        <w:t> 天，方符合理赔条件。</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rPr>
          <w:rFonts w:ascii="黑体"/>
          <w:b/>
          <w:sz w:val="16"/>
        </w:rPr>
      </w:pPr>
    </w:p>
    <w:p>
      <w:pPr>
        <w:pStyle w:val="BodyText"/>
        <w:tabs>
          <w:tab w:pos="3081" w:val="left" w:leader="none"/>
        </w:tabs>
        <w:spacing w:line="256" w:lineRule="auto" w:before="54"/>
        <w:ind w:left="3081" w:right="322" w:hanging="1949"/>
      </w:pPr>
      <w:r>
        <w:rPr>
          <w:rFonts w:ascii="华文新魏" w:eastAsia="华文新魏" w:hint="eastAsia"/>
          <w:b/>
          <w:spacing w:val="-2"/>
          <w:position w:val="2"/>
        </w:rPr>
        <w:t>13、原位癌</w:t>
      </w:r>
      <w:r>
        <w:rPr>
          <w:rFonts w:ascii="华文新魏" w:eastAsia="华文新魏" w:hint="eastAsia"/>
          <w:b/>
          <w:position w:val="2"/>
        </w:rPr>
        <w:tab/>
      </w:r>
      <w:r>
        <w:rPr>
          <w:spacing w:val="-2"/>
        </w:rPr>
        <w:t>指</w:t>
      </w:r>
      <w:r>
        <w:rPr>
          <w:spacing w:val="-2"/>
        </w:rPr>
        <w:t>恶</w:t>
      </w:r>
      <w:r>
        <w:rPr>
          <w:spacing w:val="-2"/>
        </w:rPr>
        <w:t>性细胞局限于上皮内</w:t>
      </w:r>
      <w:r>
        <w:rPr>
          <w:spacing w:val="-2"/>
        </w:rPr>
        <w:t>尚</w:t>
      </w:r>
      <w:r>
        <w:rPr>
          <w:spacing w:val="-2"/>
        </w:rPr>
        <w:t>未</w:t>
      </w:r>
      <w:r>
        <w:rPr>
          <w:spacing w:val="-2"/>
        </w:rPr>
        <w:t>穿破基底膜浸润周围</w:t>
      </w:r>
      <w:r>
        <w:rPr>
          <w:spacing w:val="-2"/>
        </w:rPr>
        <w:t>正</w:t>
      </w:r>
      <w:r>
        <w:rPr>
          <w:spacing w:val="-2"/>
        </w:rPr>
        <w:t>常</w:t>
      </w:r>
      <w:r>
        <w:rPr>
          <w:spacing w:val="-2"/>
        </w:rPr>
        <w:t>组织的癌细胞新生物</w:t>
      </w:r>
      <w:r>
        <w:rPr>
          <w:spacing w:val="-108"/>
        </w:rPr>
        <w:t>。</w:t>
      </w:r>
      <w:r>
        <w:rPr>
          <w:spacing w:val="-2"/>
        </w:rPr>
        <w:t>必</w:t>
      </w:r>
      <w:r>
        <w:rPr>
          <w:spacing w:val="-2"/>
        </w:rPr>
        <w:t>须</w:t>
      </w:r>
      <w:r>
        <w:rPr>
          <w:spacing w:val="-2"/>
        </w:rPr>
        <w:t>经</w:t>
      </w:r>
      <w:r>
        <w:rPr>
          <w:spacing w:val="-2"/>
        </w:rPr>
        <w:t>对</w:t>
      </w:r>
      <w:r>
        <w:rPr>
          <w:spacing w:val="-2"/>
        </w:rPr>
        <w:t>固定活组织的组织病</w:t>
      </w:r>
      <w:r>
        <w:rPr>
          <w:spacing w:val="-2"/>
        </w:rPr>
        <w:t>理</w:t>
      </w:r>
      <w:r>
        <w:rPr>
          <w:spacing w:val="-2"/>
        </w:rPr>
        <w:t>学</w:t>
      </w:r>
      <w:r>
        <w:rPr>
          <w:spacing w:val="-2"/>
        </w:rPr>
        <w:t>检查明确诊断为原位癌</w:t>
      </w:r>
      <w:r>
        <w:rPr>
          <w:spacing w:val="-106"/>
        </w:rPr>
        <w:t>，</w:t>
      </w:r>
      <w:r>
        <w:rPr>
          <w:spacing w:val="-2"/>
        </w:rPr>
        <w:t>临床诊断属于世界</w:t>
      </w:r>
      <w:r>
        <w:rPr>
          <w:spacing w:val="-2"/>
        </w:rPr>
        <w:t>卫</w:t>
      </w:r>
      <w:r>
        <w:rPr>
          <w:spacing w:val="-2"/>
        </w:rPr>
        <w:t>生</w:t>
      </w:r>
      <w:r>
        <w:rPr>
          <w:spacing w:val="-2"/>
        </w:rPr>
        <w:t>组</w:t>
      </w:r>
      <w:r>
        <w:rPr>
          <w:spacing w:val="-10"/>
        </w:rPr>
        <w:t>织</w:t>
      </w:r>
    </w:p>
    <w:p>
      <w:pPr>
        <w:pStyle w:val="BodyText"/>
        <w:spacing w:line="278" w:lineRule="auto" w:before="26"/>
        <w:ind w:left="3081" w:right="276"/>
      </w:pPr>
      <w:r>
        <w:rPr>
          <w:spacing w:val="-2"/>
        </w:rPr>
        <w:t>《疾病和有关健康问题的国际统计分类》第十次修订版（</w:t>
      </w:r>
      <w:r>
        <w:rPr>
          <w:rFonts w:ascii="Calibri" w:eastAsia="Calibri"/>
          <w:spacing w:val="-2"/>
        </w:rPr>
        <w:t>ICD-10</w:t>
      </w:r>
      <w:r>
        <w:rPr>
          <w:spacing w:val="-2"/>
        </w:rPr>
        <w:t>）的原位癌范畴，</w:t>
      </w:r>
      <w:r>
        <w:rPr>
          <w:spacing w:val="-2"/>
        </w:rPr>
        <w:t>并且已经接受了针对原位癌病灶的手术切除治疗。</w:t>
      </w:r>
    </w:p>
    <w:p>
      <w:pPr>
        <w:spacing w:line="269" w:lineRule="exact" w:before="0"/>
        <w:ind w:left="3081" w:right="0" w:firstLine="0"/>
        <w:jc w:val="left"/>
        <w:rPr>
          <w:rFonts w:ascii="黑体" w:eastAsia="黑体" w:hint="eastAsia"/>
          <w:b/>
          <w:sz w:val="21"/>
        </w:rPr>
      </w:pPr>
      <w:r>
        <w:rPr>
          <w:rFonts w:ascii="黑体" w:eastAsia="黑体" w:hint="eastAsia"/>
          <w:b/>
          <w:spacing w:val="-3"/>
          <w:sz w:val="21"/>
        </w:rPr>
        <w:t>任何细胞病理学检查结果均不能作为诊断依据。</w:t>
      </w:r>
    </w:p>
    <w:p>
      <w:pPr>
        <w:pStyle w:val="BodyText"/>
        <w:spacing w:before="10"/>
        <w:rPr>
          <w:rFonts w:ascii="黑体"/>
          <w:b/>
          <w:sz w:val="19"/>
        </w:rPr>
      </w:pPr>
    </w:p>
    <w:p>
      <w:pPr>
        <w:pStyle w:val="BodyText"/>
        <w:tabs>
          <w:tab w:pos="3081" w:val="left" w:leader="none"/>
        </w:tabs>
        <w:spacing w:line="268" w:lineRule="auto" w:before="1"/>
        <w:ind w:left="3081" w:right="217" w:hanging="1949"/>
      </w:pPr>
      <w:r>
        <w:rPr>
          <w:rFonts w:ascii="华文新魏" w:hAnsi="华文新魏" w:eastAsia="华文新魏" w:hint="eastAsia"/>
          <w:b/>
          <w:spacing w:val="-2"/>
          <w:position w:val="2"/>
        </w:rPr>
        <w:t>14</w:t>
      </w:r>
      <w:r>
        <w:rPr>
          <w:rFonts w:ascii="华文新魏" w:hAnsi="华文新魏" w:eastAsia="华文新魏" w:hint="eastAsia"/>
          <w:b/>
          <w:spacing w:val="-2"/>
          <w:position w:val="2"/>
        </w:rPr>
        <w:t>、</w:t>
      </w:r>
      <w:r>
        <w:rPr>
          <w:rFonts w:ascii="华文新魏" w:hAnsi="华文新魏" w:eastAsia="华文新魏" w:hint="eastAsia"/>
          <w:b/>
          <w:spacing w:val="-2"/>
          <w:position w:val="2"/>
        </w:rPr>
        <w:t>糖</w:t>
      </w:r>
      <w:r>
        <w:rPr>
          <w:rFonts w:ascii="华文新魏" w:hAnsi="华文新魏" w:eastAsia="华文新魏" w:hint="eastAsia"/>
          <w:b/>
          <w:spacing w:val="-2"/>
          <w:position w:val="2"/>
        </w:rPr>
        <w:t>尿病肾病</w:t>
      </w:r>
      <w:r>
        <w:rPr>
          <w:rFonts w:ascii="华文新魏" w:hAnsi="华文新魏" w:eastAsia="华文新魏" w:hint="eastAsia"/>
          <w:b/>
          <w:position w:val="2"/>
        </w:rPr>
        <w:tab/>
      </w:r>
      <w:r>
        <w:rPr>
          <w:spacing w:val="-2"/>
        </w:rPr>
        <w:t>指</w:t>
      </w:r>
      <w:r>
        <w:rPr>
          <w:spacing w:val="-2"/>
        </w:rPr>
        <w:t>被</w:t>
      </w:r>
      <w:r>
        <w:rPr>
          <w:spacing w:val="-2"/>
        </w:rPr>
        <w:t>保险人被确诊为糖尿</w:t>
      </w:r>
      <w:r>
        <w:rPr>
          <w:spacing w:val="-2"/>
        </w:rPr>
        <w:t>病</w:t>
      </w:r>
      <w:r>
        <w:rPr>
          <w:spacing w:val="-2"/>
        </w:rPr>
        <w:t>，且因该病导致糖尿病</w:t>
      </w:r>
      <w:r>
        <w:rPr>
          <w:spacing w:val="-2"/>
        </w:rPr>
        <w:t>肾</w:t>
      </w:r>
      <w:r>
        <w:rPr>
          <w:spacing w:val="-2"/>
        </w:rPr>
        <w:t>病</w:t>
      </w:r>
      <w:r>
        <w:rPr>
          <w:spacing w:val="-2"/>
        </w:rPr>
        <w:t>，必须满足下列全部条件： </w:t>
      </w:r>
      <w:r>
        <w:rPr/>
        <w:t>Ⅰ 肾小球滤过率（</w:t>
      </w:r>
      <w:r>
        <w:rPr/>
        <w:t>使用 MDRD 公</w:t>
      </w:r>
      <w:r>
        <w:rPr/>
        <w:t>式</w:t>
      </w:r>
      <w:r>
        <w:rPr/>
        <w:t>或 Cockcroft-Gault 公式计算的结果</w:t>
      </w:r>
      <w:r>
        <w:rPr>
          <w:spacing w:val="-106"/>
        </w:rPr>
        <w:t>）</w:t>
      </w:r>
      <w:r>
        <w:rPr>
          <w:spacing w:val="-3"/>
        </w:rPr>
        <w:t>，</w:t>
      </w:r>
      <w:r>
        <w:rPr/>
        <w:t>低</w:t>
      </w:r>
      <w:r>
        <w:rPr/>
        <w:t>于 25mL/min/1.73</w:t>
      </w:r>
      <w:r>
        <w:rPr>
          <w:spacing w:val="-19"/>
        </w:rPr>
        <w:t> </w:t>
      </w:r>
      <w:r>
        <w:rPr/>
        <w:t>平方米，</w:t>
      </w:r>
      <w:r>
        <w:rPr/>
        <w:t>且此状态须持续</w:t>
      </w:r>
      <w:r>
        <w:rPr/>
        <w:t>至</w:t>
      </w:r>
      <w:r>
        <w:rPr/>
        <w:t>少</w:t>
      </w:r>
      <w:r>
        <w:rPr>
          <w:spacing w:val="-15"/>
        </w:rPr>
        <w:t> </w:t>
      </w:r>
      <w:r>
        <w:rPr/>
        <w:t>90</w:t>
      </w:r>
      <w:r>
        <w:rPr>
          <w:spacing w:val="-19"/>
        </w:rPr>
        <w:t> </w:t>
      </w:r>
      <w:r>
        <w:rPr/>
        <w:t>天</w:t>
      </w:r>
      <w:r>
        <w:rPr/>
        <w:t>；</w:t>
      </w:r>
    </w:p>
    <w:p>
      <w:pPr>
        <w:spacing w:line="278" w:lineRule="auto" w:before="4"/>
        <w:ind w:left="3081" w:right="1635" w:firstLine="0"/>
        <w:jc w:val="left"/>
        <w:rPr>
          <w:rFonts w:ascii="黑体" w:hAnsi="黑体" w:eastAsia="黑体" w:hint="eastAsia"/>
          <w:b/>
          <w:sz w:val="21"/>
        </w:rPr>
      </w:pPr>
      <w:r>
        <w:rPr>
          <w:spacing w:val="-6"/>
          <w:sz w:val="21"/>
        </w:rPr>
        <w:t>Ⅱ 持续性大量蛋白尿</w:t>
      </w:r>
      <w:r>
        <w:rPr>
          <w:sz w:val="21"/>
        </w:rPr>
        <w:t>（UAE&gt;200μg/min）</w:t>
      </w:r>
      <w:r>
        <w:rPr>
          <w:spacing w:val="-8"/>
          <w:sz w:val="21"/>
        </w:rPr>
        <w:t>或蛋白尿大于 </w:t>
      </w:r>
      <w:r>
        <w:rPr>
          <w:sz w:val="21"/>
        </w:rPr>
        <w:t>500mg/d； Ⅲ </w:t>
      </w:r>
      <w:r>
        <w:rPr>
          <w:rFonts w:ascii="黑体" w:hAnsi="黑体" w:eastAsia="黑体" w:hint="eastAsia"/>
          <w:b/>
          <w:sz w:val="21"/>
        </w:rPr>
        <w:t>慢性肾功能障碍的诊断必须由泌尿科或肾脏科医生确认。</w:t>
      </w:r>
    </w:p>
    <w:p>
      <w:pPr>
        <w:pStyle w:val="BodyText"/>
        <w:spacing w:before="9"/>
        <w:rPr>
          <w:rFonts w:ascii="黑体"/>
          <w:b/>
          <w:sz w:val="16"/>
        </w:rPr>
      </w:pPr>
    </w:p>
    <w:p>
      <w:pPr>
        <w:pStyle w:val="BodyText"/>
        <w:spacing w:line="268" w:lineRule="auto"/>
        <w:ind w:left="3081" w:right="322" w:hanging="1949"/>
        <w:jc w:val="both"/>
      </w:pPr>
      <w:r>
        <w:rPr>
          <w:rFonts w:ascii="华文新魏" w:eastAsia="华文新魏" w:hint="eastAsia"/>
          <w:b/>
          <w:position w:val="2"/>
        </w:rPr>
        <w:t>15</w:t>
      </w:r>
      <w:r>
        <w:rPr>
          <w:rFonts w:ascii="华文新魏" w:eastAsia="华文新魏" w:hint="eastAsia"/>
          <w:b/>
          <w:spacing w:val="58"/>
          <w:position w:val="2"/>
        </w:rPr>
        <w:t>、早期肝硬化 </w:t>
      </w:r>
      <w:r>
        <w:rPr>
          <w:spacing w:val="-6"/>
        </w:rPr>
        <w:t>肝硬化为各种慢性肝病发展的晚期阶段。肝硬化须由专科医生明确诊断。必须由活</w:t>
      </w:r>
      <w:r>
        <w:rPr>
          <w:spacing w:val="-7"/>
        </w:rPr>
        <w:t>检证实有再生的肝细胞结节和典型的肝组织纤维化。下列条件必须全部满足并至少</w:t>
      </w:r>
      <w:r>
        <w:rPr>
          <w:spacing w:val="-4"/>
        </w:rPr>
        <w:t>持续一年：</w:t>
      </w:r>
    </w:p>
    <w:p>
      <w:pPr>
        <w:pStyle w:val="BodyText"/>
        <w:spacing w:line="278" w:lineRule="auto" w:before="7"/>
        <w:ind w:left="3081" w:right="3037"/>
      </w:pPr>
      <w:r>
        <w:rPr>
          <w:spacing w:val="-9"/>
        </w:rPr>
        <w:t>Ⅰ 持续性黄疸，胆红素水平升高超过 </w:t>
      </w:r>
      <w:r>
        <w:rPr/>
        <w:t>50μmol/L； </w:t>
      </w:r>
      <w:r>
        <w:rPr>
          <w:spacing w:val="-1"/>
        </w:rPr>
        <w:t>Ⅱ 蛋白质合成异常，白蛋白水平低于 </w:t>
      </w:r>
      <w:r>
        <w:rPr/>
        <w:t>27g/L；</w:t>
      </w:r>
    </w:p>
    <w:p>
      <w:pPr>
        <w:pStyle w:val="BodyText"/>
        <w:spacing w:line="278" w:lineRule="auto"/>
        <w:ind w:left="3081" w:right="322"/>
      </w:pPr>
      <w:r>
        <w:rPr>
          <w:spacing w:val="-8"/>
        </w:rPr>
        <w:t>Ⅲ 异常凝血功能，凝血酶原时间超过正常上限的 </w:t>
      </w:r>
      <w:r>
        <w:rPr/>
        <w:t>2</w:t>
      </w:r>
      <w:r>
        <w:rPr>
          <w:spacing w:val="-8"/>
        </w:rPr>
        <w:t> 倍或以上，或者国际正常化比</w:t>
      </w:r>
      <w:r>
        <w:rPr/>
        <w:t>率（INR）</w:t>
      </w:r>
      <w:r>
        <w:rPr>
          <w:spacing w:val="-11"/>
        </w:rPr>
        <w:t>在 </w:t>
      </w:r>
      <w:r>
        <w:rPr/>
        <w:t>2.0</w:t>
      </w:r>
      <w:r>
        <w:rPr>
          <w:spacing w:val="-6"/>
        </w:rPr>
        <w:t> 以上。</w:t>
      </w:r>
    </w:p>
    <w:p>
      <w:pPr>
        <w:spacing w:line="269" w:lineRule="exact" w:before="0"/>
        <w:ind w:left="3081" w:right="0" w:firstLine="0"/>
        <w:jc w:val="left"/>
        <w:rPr>
          <w:rFonts w:ascii="黑体" w:eastAsia="黑体" w:hint="eastAsia"/>
          <w:b/>
          <w:sz w:val="21"/>
        </w:rPr>
      </w:pPr>
      <w:r>
        <w:rPr>
          <w:rFonts w:ascii="黑体" w:eastAsia="黑体" w:hint="eastAsia"/>
          <w:b/>
          <w:spacing w:val="-3"/>
          <w:sz w:val="21"/>
        </w:rPr>
        <w:t>因酒精，毒品或药物滥用导致的肝硬化不在保障范围内。</w:t>
      </w:r>
    </w:p>
    <w:p>
      <w:pPr>
        <w:pStyle w:val="BodyText"/>
        <w:spacing w:before="5"/>
        <w:rPr>
          <w:rFonts w:ascii="黑体"/>
          <w:b/>
          <w:sz w:val="15"/>
        </w:rPr>
      </w:pPr>
    </w:p>
    <w:p>
      <w:pPr>
        <w:spacing w:after="0"/>
        <w:rPr>
          <w:rFonts w:ascii="黑体"/>
          <w:sz w:val="15"/>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16、因肾上腺腺瘤</w:t>
      </w:r>
      <w:r>
        <w:rPr>
          <w:rFonts w:ascii="华文新魏" w:eastAsia="华文新魏" w:hint="eastAsia"/>
          <w:b/>
          <w:spacing w:val="-2"/>
          <w:sz w:val="21"/>
        </w:rPr>
        <w:t>的肾上腺切除术</w:t>
      </w:r>
    </w:p>
    <w:p>
      <w:pPr>
        <w:pStyle w:val="BodyText"/>
        <w:spacing w:line="278" w:lineRule="auto" w:before="78"/>
        <w:ind w:left="230" w:right="426"/>
      </w:pPr>
      <w:r>
        <w:rPr/>
        <w:br w:type="column"/>
      </w:r>
      <w:r>
        <w:rPr>
          <w:spacing w:val="-2"/>
        </w:rPr>
        <w:t>因肾上腺腺瘤所导致醛固酮分泌过多而产生的续发性恶性系统高血压而接受肾上</w:t>
      </w:r>
      <w:r>
        <w:rPr>
          <w:spacing w:val="-2"/>
        </w:rPr>
        <w:t>腺切除术。恶性高血压无法由药物控制。</w:t>
      </w:r>
    </w:p>
    <w:p>
      <w:pPr>
        <w:spacing w:after="0" w:line="278" w:lineRule="auto"/>
        <w:sectPr>
          <w:type w:val="continuous"/>
          <w:pgSz w:w="11910" w:h="16840"/>
          <w:pgMar w:header="0" w:footer="655" w:top="140" w:bottom="280" w:left="560" w:right="480"/>
          <w:cols w:num="2" w:equalWidth="0">
            <w:col w:w="2811" w:space="40"/>
            <w:col w:w="8019"/>
          </w:cols>
        </w:sectPr>
      </w:pPr>
    </w:p>
    <w:p>
      <w:pPr>
        <w:pStyle w:val="BodyText"/>
        <w:spacing w:before="11"/>
        <w:rPr>
          <w:sz w:val="15"/>
        </w:rPr>
      </w:pPr>
    </w:p>
    <w:p>
      <w:pPr>
        <w:spacing w:after="0"/>
        <w:rPr>
          <w:sz w:val="15"/>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17、可逆性再生障</w:t>
      </w:r>
      <w:r>
        <w:rPr>
          <w:rFonts w:ascii="华文新魏" w:eastAsia="华文新魏" w:hint="eastAsia"/>
          <w:b/>
          <w:spacing w:val="-4"/>
          <w:sz w:val="21"/>
        </w:rPr>
        <w:t>碍性贫血</w:t>
      </w:r>
    </w:p>
    <w:p>
      <w:pPr>
        <w:pStyle w:val="BodyText"/>
        <w:spacing w:line="278" w:lineRule="auto" w:before="78"/>
        <w:ind w:left="230" w:right="217"/>
      </w:pPr>
      <w:r>
        <w:rPr/>
        <w:br w:type="column"/>
      </w:r>
      <w:r>
        <w:rPr>
          <w:spacing w:val="-2"/>
        </w:rPr>
        <w:t>指因急性可逆性的骨髓造血功能衰竭而导致贫血、中性粒细胞减少和血小板减少，</w:t>
      </w:r>
      <w:r>
        <w:rPr>
          <w:spacing w:val="-2"/>
        </w:rPr>
        <w:t>必须由血液科医生的诊断，且病历资料显示接受了下列任一治疗：</w:t>
      </w:r>
    </w:p>
    <w:p>
      <w:pPr>
        <w:pStyle w:val="BodyText"/>
        <w:spacing w:line="278" w:lineRule="auto"/>
        <w:ind w:left="230" w:right="4314"/>
      </w:pPr>
      <w:r>
        <w:rPr/>
        <w:t>Ⅰ 骨髓刺激疗法至少累计三十日； </w:t>
      </w:r>
      <w:r>
        <w:rPr>
          <w:spacing w:val="-6"/>
        </w:rPr>
        <w:t>Ⅱ 免疫抑制剂治疗至少累计三十日；</w:t>
      </w:r>
      <w:r>
        <w:rPr/>
        <w:t> Ⅲ 接受了骨髓移植。</w:t>
      </w:r>
    </w:p>
    <w:p>
      <w:pPr>
        <w:spacing w:after="0" w:line="278" w:lineRule="auto"/>
        <w:sectPr>
          <w:type w:val="continuous"/>
          <w:pgSz w:w="11910" w:h="16840"/>
          <w:pgMar w:header="0" w:footer="655" w:top="140" w:bottom="280" w:left="560" w:right="480"/>
          <w:cols w:num="2" w:equalWidth="0">
            <w:col w:w="2811" w:space="40"/>
            <w:col w:w="8019"/>
          </w:cols>
        </w:sectPr>
      </w:pPr>
    </w:p>
    <w:p>
      <w:pPr>
        <w:spacing w:before="35"/>
        <w:ind w:left="1132" w:right="0" w:firstLine="0"/>
        <w:jc w:val="left"/>
        <w:rPr>
          <w:rFonts w:ascii="华文新魏" w:eastAsia="华文新魏" w:hint="eastAsia"/>
          <w:b/>
          <w:sz w:val="21"/>
        </w:rPr>
      </w:pPr>
      <w:r>
        <w:rPr>
          <w:rFonts w:ascii="华文新魏" w:eastAsia="华文新魏" w:hint="eastAsia"/>
          <w:b/>
          <w:spacing w:val="-2"/>
          <w:sz w:val="21"/>
        </w:rPr>
        <w:t>18、微创冠状动脉</w:t>
      </w:r>
      <w:r>
        <w:rPr>
          <w:rFonts w:ascii="华文新魏" w:eastAsia="华文新魏" w:hint="eastAsia"/>
          <w:b/>
          <w:spacing w:val="-4"/>
          <w:sz w:val="21"/>
        </w:rPr>
        <w:t>搭桥术</w:t>
      </w:r>
    </w:p>
    <w:p>
      <w:pPr>
        <w:pStyle w:val="BodyText"/>
        <w:spacing w:line="278" w:lineRule="auto" w:before="58"/>
        <w:ind w:left="230" w:right="322"/>
        <w:jc w:val="both"/>
      </w:pPr>
      <w:r>
        <w:rPr/>
        <w:br w:type="column"/>
      </w:r>
      <w:r>
        <w:rPr>
          <w:spacing w:val="-7"/>
        </w:rPr>
        <w:t>微创冠状动脉搭桥手术是指确实透过微型的胸壁锁孔</w:t>
      </w:r>
      <w:r>
        <w:rPr>
          <w:spacing w:val="-2"/>
        </w:rPr>
        <w:t>（于肋骨之间开一个细小的切</w:t>
      </w:r>
      <w:r>
        <w:rPr>
          <w:spacing w:val="-2"/>
        </w:rPr>
        <w:t>口</w:t>
      </w:r>
      <w:r>
        <w:rPr>
          <w:spacing w:val="-106"/>
        </w:rPr>
        <w:t>）</w:t>
      </w:r>
      <w:r>
        <w:rPr>
          <w:spacing w:val="-3"/>
        </w:rPr>
        <w:t>，进行非体外循环下的冠状动脉搭桥手术，以矫正一条或以上冠状动脉狭窄或</w:t>
      </w:r>
      <w:r>
        <w:rPr>
          <w:spacing w:val="-2"/>
        </w:rPr>
        <w:t>闭塞。微创进行直接的冠状动脉搭桥手术亦可称“锁孔”式冠状动脉手术。</w:t>
      </w:r>
    </w:p>
    <w:p>
      <w:pPr>
        <w:spacing w:before="0"/>
        <w:ind w:left="230" w:right="0" w:firstLine="0"/>
        <w:jc w:val="left"/>
        <w:rPr>
          <w:rFonts w:ascii="黑体" w:eastAsia="黑体" w:hint="eastAsia"/>
          <w:b/>
          <w:sz w:val="21"/>
        </w:rPr>
      </w:pPr>
      <w:r>
        <w:rPr>
          <w:rFonts w:ascii="黑体" w:eastAsia="黑体" w:hint="eastAsia"/>
          <w:b/>
          <w:spacing w:val="-3"/>
          <w:sz w:val="21"/>
        </w:rPr>
        <w:t>有关程序为医疗所需及由本公司认可医院的心脏专科医生进行。</w:t>
      </w:r>
    </w:p>
    <w:p>
      <w:pPr>
        <w:spacing w:after="0"/>
        <w:jc w:val="left"/>
        <w:rPr>
          <w:rFonts w:ascii="黑体" w:eastAsia="黑体" w:hint="eastAsia"/>
          <w:sz w:val="21"/>
        </w:rPr>
        <w:sectPr>
          <w:pgSz w:w="11910" w:h="16840"/>
          <w:pgMar w:header="0" w:footer="655" w:top="1420" w:bottom="840" w:left="560" w:right="480"/>
          <w:cols w:num="2" w:equalWidth="0">
            <w:col w:w="2811" w:space="40"/>
            <w:col w:w="8019"/>
          </w:cols>
        </w:sectPr>
      </w:pPr>
    </w:p>
    <w:p>
      <w:pPr>
        <w:pStyle w:val="BodyText"/>
        <w:spacing w:before="11"/>
        <w:rPr>
          <w:rFonts w:ascii="黑体"/>
          <w:b/>
          <w:sz w:val="17"/>
        </w:rPr>
      </w:pPr>
    </w:p>
    <w:p>
      <w:pPr>
        <w:spacing w:after="0"/>
        <w:rPr>
          <w:rFonts w:ascii="黑体"/>
          <w:sz w:val="17"/>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19、冠状动脉介入</w:t>
      </w:r>
      <w:r>
        <w:rPr>
          <w:rFonts w:ascii="华文新魏" w:eastAsia="华文新魏" w:hint="eastAsia"/>
          <w:b/>
          <w:spacing w:val="-28"/>
          <w:sz w:val="21"/>
        </w:rPr>
        <w:t>手术</w:t>
      </w:r>
      <w:r>
        <w:rPr>
          <w:rFonts w:ascii="华文新魏" w:eastAsia="华文新魏" w:hint="eastAsia"/>
          <w:b/>
          <w:spacing w:val="-2"/>
          <w:sz w:val="21"/>
        </w:rPr>
        <w:t>（非开胸手术</w:t>
      </w:r>
      <w:r>
        <w:rPr>
          <w:rFonts w:ascii="华文新魏" w:eastAsia="华文新魏" w:hint="eastAsia"/>
          <w:b/>
          <w:spacing w:val="-2"/>
          <w:sz w:val="21"/>
        </w:rPr>
        <w:t>）</w:t>
      </w:r>
    </w:p>
    <w:p>
      <w:pPr>
        <w:pStyle w:val="BodyText"/>
        <w:spacing w:line="278" w:lineRule="auto" w:before="78"/>
        <w:ind w:left="65" w:right="217"/>
      </w:pPr>
      <w:r>
        <w:rPr/>
        <w:br w:type="column"/>
      </w:r>
      <w:r>
        <w:rPr>
          <w:spacing w:val="-2"/>
        </w:rPr>
        <w:t>为了治疗明显的冠状动脉狭窄性疾病，首次实际实施了冠状动脉球囊扩张成形术、</w:t>
      </w:r>
      <w:r>
        <w:rPr>
          <w:spacing w:val="-2"/>
        </w:rPr>
        <w:t>冠状动脉支架植入术、冠状动脉粥样斑块切除术或激光冠状动脉成形术。</w:t>
      </w:r>
    </w:p>
    <w:p>
      <w:pPr>
        <w:spacing w:after="0" w:line="278" w:lineRule="auto"/>
        <w:sectPr>
          <w:type w:val="continuous"/>
          <w:pgSz w:w="11910" w:h="16840"/>
          <w:pgMar w:header="0" w:footer="655" w:top="140" w:bottom="280" w:left="560" w:right="480"/>
          <w:cols w:num="2" w:equalWidth="0">
            <w:col w:w="2976" w:space="40"/>
            <w:col w:w="7854"/>
          </w:cols>
        </w:sectPr>
      </w:pPr>
    </w:p>
    <w:p>
      <w:pPr>
        <w:pStyle w:val="BodyText"/>
        <w:spacing w:before="8"/>
        <w:rPr>
          <w:sz w:val="11"/>
        </w:rPr>
      </w:pPr>
    </w:p>
    <w:p>
      <w:pPr>
        <w:spacing w:after="0"/>
        <w:rPr>
          <w:sz w:val="11"/>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20、心脏瓣膜介入</w:t>
      </w:r>
      <w:r>
        <w:rPr>
          <w:rFonts w:ascii="华文新魏" w:eastAsia="华文新魏" w:hint="eastAsia"/>
          <w:b/>
          <w:spacing w:val="-28"/>
          <w:sz w:val="21"/>
        </w:rPr>
        <w:t>手术</w:t>
      </w:r>
      <w:r>
        <w:rPr>
          <w:rFonts w:ascii="华文新魏" w:eastAsia="华文新魏" w:hint="eastAsia"/>
          <w:b/>
          <w:spacing w:val="-2"/>
          <w:sz w:val="21"/>
        </w:rPr>
        <w:t>（非开胸手术</w:t>
      </w:r>
      <w:r>
        <w:rPr>
          <w:rFonts w:ascii="华文新魏" w:eastAsia="华文新魏" w:hint="eastAsia"/>
          <w:b/>
          <w:spacing w:val="-2"/>
          <w:sz w:val="21"/>
        </w:rPr>
        <w:t>）</w:t>
      </w:r>
    </w:p>
    <w:p>
      <w:pPr>
        <w:pStyle w:val="BodyText"/>
        <w:spacing w:line="278" w:lineRule="auto" w:before="79"/>
        <w:ind w:left="65" w:right="322"/>
      </w:pPr>
      <w:r>
        <w:rPr/>
        <w:br w:type="column"/>
      </w:r>
      <w:r>
        <w:rPr>
          <w:spacing w:val="-12"/>
        </w:rPr>
        <w:t>为了治疗心脏瓣膜疾病，实际实施了非开胸的经胸壁打孔内镜手术或经皮经导管介</w:t>
      </w:r>
      <w:r>
        <w:rPr>
          <w:spacing w:val="-2"/>
        </w:rPr>
        <w:t>入手术进行的心脏瓣膜置换或修复手术。</w:t>
      </w:r>
    </w:p>
    <w:p>
      <w:pPr>
        <w:spacing w:after="0" w:line="278" w:lineRule="auto"/>
        <w:sectPr>
          <w:type w:val="continuous"/>
          <w:pgSz w:w="11910" w:h="16840"/>
          <w:pgMar w:header="0" w:footer="655" w:top="140" w:bottom="280" w:left="560" w:right="480"/>
          <w:cols w:num="2" w:equalWidth="0">
            <w:col w:w="2976" w:space="40"/>
            <w:col w:w="7854"/>
          </w:cols>
        </w:sectPr>
      </w:pPr>
    </w:p>
    <w:p>
      <w:pPr>
        <w:pStyle w:val="BodyText"/>
        <w:spacing w:before="8"/>
        <w:rPr>
          <w:sz w:val="11"/>
        </w:rPr>
      </w:pPr>
    </w:p>
    <w:p>
      <w:pPr>
        <w:spacing w:after="0"/>
        <w:rPr>
          <w:sz w:val="11"/>
        </w:rPr>
        <w:sectPr>
          <w:type w:val="continuous"/>
          <w:pgSz w:w="11910" w:h="16840"/>
          <w:pgMar w:header="0" w:footer="655" w:top="140" w:bottom="280" w:left="560" w:right="480"/>
        </w:sectPr>
      </w:pPr>
    </w:p>
    <w:p>
      <w:pPr>
        <w:spacing w:line="312" w:lineRule="exact" w:before="56"/>
        <w:ind w:left="1132" w:right="0" w:firstLine="0"/>
        <w:jc w:val="left"/>
        <w:rPr>
          <w:rFonts w:ascii="华文新魏" w:eastAsia="华文新魏" w:hint="eastAsia"/>
          <w:b/>
          <w:sz w:val="21"/>
        </w:rPr>
      </w:pPr>
      <w:r>
        <w:rPr>
          <w:rFonts w:ascii="华文新魏" w:eastAsia="华文新魏" w:hint="eastAsia"/>
          <w:b/>
          <w:spacing w:val="-2"/>
          <w:sz w:val="21"/>
        </w:rPr>
        <w:t>21</w:t>
      </w:r>
      <w:r>
        <w:rPr>
          <w:rFonts w:ascii="华文新魏" w:eastAsia="华文新魏" w:hint="eastAsia"/>
          <w:b/>
          <w:spacing w:val="-4"/>
          <w:sz w:val="21"/>
        </w:rPr>
        <w:t>、主动脉内手术</w:t>
      </w:r>
    </w:p>
    <w:p>
      <w:pPr>
        <w:spacing w:line="312" w:lineRule="exact" w:before="0"/>
        <w:ind w:left="1132" w:right="0" w:firstLine="0"/>
        <w:jc w:val="left"/>
        <w:rPr>
          <w:rFonts w:ascii="华文新魏" w:eastAsia="华文新魏" w:hint="eastAsia"/>
          <w:b/>
          <w:sz w:val="21"/>
        </w:rPr>
      </w:pPr>
      <w:r>
        <w:rPr>
          <w:rFonts w:ascii="华文新魏" w:eastAsia="华文新魏" w:hint="eastAsia"/>
          <w:b/>
          <w:spacing w:val="-2"/>
          <w:sz w:val="21"/>
        </w:rPr>
        <w:t>（非开胸手术</w:t>
      </w:r>
      <w:r>
        <w:rPr>
          <w:rFonts w:ascii="华文新魏" w:eastAsia="华文新魏" w:hint="eastAsia"/>
          <w:b/>
          <w:spacing w:val="-12"/>
          <w:sz w:val="21"/>
        </w:rPr>
        <w:t>）</w:t>
      </w:r>
    </w:p>
    <w:p>
      <w:pPr>
        <w:pStyle w:val="BodyText"/>
        <w:spacing w:before="79"/>
        <w:ind w:left="230"/>
      </w:pPr>
      <w:r>
        <w:rPr/>
        <w:br w:type="column"/>
      </w:r>
      <w:r>
        <w:rPr>
          <w:spacing w:val="-3"/>
        </w:rPr>
        <w:t>为了治疗主动脉疾病实际实施了经皮经导管进行的动脉内手术。</w:t>
      </w:r>
    </w:p>
    <w:p>
      <w:pPr>
        <w:spacing w:before="43"/>
        <w:ind w:left="230" w:right="0" w:firstLine="0"/>
        <w:jc w:val="left"/>
        <w:rPr>
          <w:rFonts w:ascii="黑体" w:eastAsia="黑体" w:hint="eastAsia"/>
          <w:b/>
          <w:sz w:val="21"/>
        </w:rPr>
      </w:pPr>
      <w:r>
        <w:rPr>
          <w:rFonts w:ascii="黑体" w:eastAsia="黑体" w:hint="eastAsia"/>
          <w:b/>
          <w:spacing w:val="-3"/>
          <w:sz w:val="21"/>
        </w:rPr>
        <w:t>主动脉指胸主动脉和腹主动脉，不包括胸主动脉和腹主动脉的分支血管。</w:t>
      </w:r>
    </w:p>
    <w:p>
      <w:pPr>
        <w:spacing w:after="0"/>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spacing w:before="3"/>
        <w:rPr>
          <w:rFonts w:ascii="黑体"/>
          <w:b/>
          <w:sz w:val="13"/>
        </w:rPr>
      </w:pPr>
    </w:p>
    <w:p>
      <w:pPr>
        <w:pStyle w:val="BodyText"/>
        <w:tabs>
          <w:tab w:pos="3081" w:val="left" w:leader="none"/>
        </w:tabs>
        <w:spacing w:line="256" w:lineRule="auto" w:before="55"/>
        <w:ind w:left="3081" w:right="217" w:hanging="1949"/>
      </w:pPr>
      <w:r>
        <w:rPr>
          <w:rFonts w:ascii="华文新魏" w:eastAsia="华文新魏" w:hint="eastAsia"/>
          <w:b/>
          <w:spacing w:val="-2"/>
          <w:position w:val="2"/>
        </w:rPr>
        <w:t>22</w:t>
      </w:r>
      <w:r>
        <w:rPr>
          <w:rFonts w:ascii="华文新魏" w:eastAsia="华文新魏" w:hint="eastAsia"/>
          <w:b/>
          <w:spacing w:val="-2"/>
          <w:position w:val="2"/>
        </w:rPr>
        <w:t>、</w:t>
      </w:r>
      <w:r>
        <w:rPr>
          <w:rFonts w:ascii="华文新魏" w:eastAsia="华文新魏" w:hint="eastAsia"/>
          <w:b/>
          <w:spacing w:val="-2"/>
          <w:position w:val="2"/>
        </w:rPr>
        <w:t>心</w:t>
      </w:r>
      <w:r>
        <w:rPr>
          <w:rFonts w:ascii="华文新魏" w:eastAsia="华文新魏" w:hint="eastAsia"/>
          <w:b/>
          <w:spacing w:val="-2"/>
          <w:position w:val="2"/>
        </w:rPr>
        <w:t>包膜切</w:t>
      </w:r>
      <w:r>
        <w:rPr>
          <w:rFonts w:ascii="华文新魏" w:eastAsia="华文新魏" w:hint="eastAsia"/>
          <w:b/>
          <w:spacing w:val="-2"/>
          <w:position w:val="2"/>
        </w:rPr>
        <w:t>除</w:t>
      </w:r>
      <w:r>
        <w:rPr>
          <w:rFonts w:ascii="华文新魏" w:eastAsia="华文新魏" w:hint="eastAsia"/>
          <w:b/>
          <w:spacing w:val="-2"/>
          <w:position w:val="2"/>
        </w:rPr>
        <w:t>术</w:t>
      </w:r>
      <w:r>
        <w:rPr>
          <w:rFonts w:ascii="华文新魏" w:eastAsia="华文新魏" w:hint="eastAsia"/>
          <w:b/>
          <w:position w:val="2"/>
        </w:rPr>
        <w:tab/>
      </w:r>
      <w:r>
        <w:rPr>
          <w:spacing w:val="-2"/>
        </w:rPr>
        <w:t>因</w:t>
      </w:r>
      <w:r>
        <w:rPr>
          <w:spacing w:val="-2"/>
        </w:rPr>
        <w:t>心</w:t>
      </w:r>
      <w:r>
        <w:rPr>
          <w:spacing w:val="-2"/>
        </w:rPr>
        <w:t>包膜疾病导致已接受</w:t>
      </w:r>
      <w:r>
        <w:rPr>
          <w:spacing w:val="-2"/>
        </w:rPr>
        <w:t>心</w:t>
      </w:r>
      <w:r>
        <w:rPr>
          <w:spacing w:val="-2"/>
        </w:rPr>
        <w:t>包</w:t>
      </w:r>
      <w:r>
        <w:rPr>
          <w:spacing w:val="-2"/>
        </w:rPr>
        <w:t>膜切除术或已进行任</w:t>
      </w:r>
      <w:r>
        <w:rPr>
          <w:spacing w:val="-2"/>
        </w:rPr>
        <w:t>何</w:t>
      </w:r>
      <w:r>
        <w:rPr>
          <w:spacing w:val="-2"/>
        </w:rPr>
        <w:t>需</w:t>
      </w:r>
      <w:r>
        <w:rPr>
          <w:spacing w:val="-2"/>
        </w:rPr>
        <w:t>要心脏小切口技术的手术</w:t>
      </w:r>
      <w:r>
        <w:rPr>
          <w:spacing w:val="-2"/>
        </w:rPr>
        <w:t>。</w:t>
      </w:r>
      <w:r>
        <w:rPr>
          <w:spacing w:val="-2"/>
        </w:rPr>
        <w:t>手</w:t>
      </w:r>
      <w:r>
        <w:rPr>
          <w:spacing w:val="-2"/>
        </w:rPr>
        <w:t>术</w:t>
      </w:r>
      <w:r>
        <w:rPr>
          <w:spacing w:val="-2"/>
        </w:rPr>
        <w:t>必须在心脏科医生认</w:t>
      </w:r>
      <w:r>
        <w:rPr>
          <w:spacing w:val="-2"/>
        </w:rPr>
        <w:t>为</w:t>
      </w:r>
      <w:r>
        <w:rPr>
          <w:spacing w:val="-2"/>
        </w:rPr>
        <w:t>是</w:t>
      </w:r>
      <w:r>
        <w:rPr>
          <w:spacing w:val="-2"/>
        </w:rPr>
        <w:t>医学上必需的情况下</w:t>
      </w:r>
      <w:r>
        <w:rPr>
          <w:spacing w:val="-2"/>
        </w:rPr>
        <w:t>进</w:t>
      </w:r>
      <w:r>
        <w:rPr>
          <w:spacing w:val="-2"/>
        </w:rPr>
        <w:t>行</w:t>
      </w:r>
      <w:r>
        <w:rPr>
          <w:spacing w:val="-2"/>
        </w:rPr>
        <w:t>。</w:t>
      </w:r>
    </w:p>
    <w:p>
      <w:pPr>
        <w:spacing w:before="25"/>
        <w:ind w:left="3081" w:right="0" w:firstLine="0"/>
        <w:jc w:val="left"/>
        <w:rPr>
          <w:rFonts w:ascii="黑体" w:eastAsia="黑体" w:hint="eastAsia"/>
          <w:b/>
          <w:sz w:val="21"/>
        </w:rPr>
      </w:pPr>
      <w:r>
        <w:rPr>
          <w:rFonts w:ascii="黑体" w:eastAsia="黑体" w:hint="eastAsia"/>
          <w:b/>
          <w:spacing w:val="-3"/>
          <w:sz w:val="21"/>
        </w:rPr>
        <w:t>投保时已经缺失一侧的不在保障范围内。</w:t>
      </w:r>
    </w:p>
    <w:p>
      <w:pPr>
        <w:pStyle w:val="BodyText"/>
        <w:spacing w:before="5"/>
        <w:rPr>
          <w:rFonts w:ascii="黑体"/>
          <w:b/>
          <w:sz w:val="12"/>
        </w:rPr>
      </w:pPr>
    </w:p>
    <w:p>
      <w:pPr>
        <w:spacing w:after="0"/>
        <w:rPr>
          <w:rFonts w:ascii="黑体"/>
          <w:sz w:val="12"/>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23、植入心脏起搏</w:t>
      </w:r>
      <w:r>
        <w:rPr>
          <w:rFonts w:ascii="华文新魏" w:eastAsia="华文新魏" w:hint="eastAsia"/>
          <w:b/>
          <w:spacing w:val="-10"/>
          <w:sz w:val="21"/>
        </w:rPr>
        <w:t>器</w:t>
      </w:r>
    </w:p>
    <w:p>
      <w:pPr>
        <w:pStyle w:val="BodyText"/>
        <w:spacing w:line="278" w:lineRule="auto" w:before="79"/>
        <w:ind w:left="194" w:right="322"/>
      </w:pPr>
      <w:r>
        <w:rPr/>
        <w:br w:type="column"/>
      </w:r>
      <w:r>
        <w:rPr>
          <w:spacing w:val="-7"/>
        </w:rPr>
        <w:t>指被保险人因心脏起搏传导系统疾病，依照永久性起搏治疗指征，实际接受了永久</w:t>
      </w:r>
      <w:r>
        <w:rPr>
          <w:spacing w:val="-2"/>
        </w:rPr>
        <w:t>性心脏起搏器植入手术。</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3"/>
        <w:rPr>
          <w:sz w:val="14"/>
        </w:rPr>
      </w:pPr>
    </w:p>
    <w:p>
      <w:pPr>
        <w:spacing w:after="0"/>
        <w:rPr>
          <w:sz w:val="14"/>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24、颈动脉狭窄介</w:t>
      </w:r>
      <w:r>
        <w:rPr>
          <w:rFonts w:ascii="华文新魏" w:eastAsia="华文新魏" w:hint="eastAsia"/>
          <w:b/>
          <w:spacing w:val="-4"/>
          <w:sz w:val="21"/>
        </w:rPr>
        <w:t>入治疗</w:t>
      </w:r>
    </w:p>
    <w:p>
      <w:pPr>
        <w:pStyle w:val="BodyText"/>
        <w:spacing w:line="278" w:lineRule="auto" w:before="79"/>
        <w:ind w:left="194" w:right="322"/>
        <w:jc w:val="both"/>
      </w:pPr>
      <w:r>
        <w:rPr/>
        <w:br w:type="column"/>
      </w:r>
      <w:r>
        <w:rPr>
          <w:spacing w:val="-6"/>
        </w:rPr>
        <w:t>颈动脉血管介入治疗术是对一条或以上的颈动脉狭窄的治疗，疾病的诊断及治疗均</w:t>
      </w:r>
      <w:r>
        <w:rPr>
          <w:spacing w:val="-6"/>
        </w:rPr>
        <w:t>须在本公司认可的医院内由专科医生认为是医疗必须的情况下进行。理赔时必须同</w:t>
      </w:r>
      <w:r>
        <w:rPr>
          <w:spacing w:val="-2"/>
        </w:rPr>
        <w:t>时符合下列所有条件：</w:t>
      </w:r>
    </w:p>
    <w:p>
      <w:pPr>
        <w:pStyle w:val="BodyText"/>
        <w:spacing w:line="269" w:lineRule="exact"/>
        <w:ind w:left="194"/>
        <w:jc w:val="both"/>
      </w:pPr>
      <w:r>
        <w:rPr>
          <w:spacing w:val="-4"/>
        </w:rPr>
        <w:t>Ⅰ 经由血管造影术证明一条或以上的颈动脉存在 </w:t>
      </w:r>
      <w:r>
        <w:rPr>
          <w:spacing w:val="-2"/>
        </w:rPr>
        <w:t>50</w:t>
      </w:r>
      <w:r>
        <w:rPr>
          <w:spacing w:val="-4"/>
        </w:rPr>
        <w:t>%或以上狹窄；</w:t>
      </w:r>
    </w:p>
    <w:p>
      <w:pPr>
        <w:pStyle w:val="BodyText"/>
        <w:spacing w:line="278" w:lineRule="auto" w:before="43"/>
        <w:ind w:left="194" w:right="322"/>
        <w:jc w:val="both"/>
      </w:pPr>
      <w:r>
        <w:rPr>
          <w:spacing w:val="-6"/>
        </w:rPr>
        <w:t>Ⅱ 确实已针对以上狭窄血管进行介入治疗以减轻症状，介入治疗包括血管成形术</w:t>
      </w:r>
      <w:r>
        <w:rPr>
          <w:spacing w:val="-2"/>
        </w:rPr>
        <w:t>及/或进行植入支架或颈动脉粥肿斑块清除手术。</w:t>
      </w:r>
    </w:p>
    <w:p>
      <w:pPr>
        <w:spacing w:after="0" w:line="278" w:lineRule="auto"/>
        <w:jc w:val="both"/>
        <w:sectPr>
          <w:type w:val="continuous"/>
          <w:pgSz w:w="11910" w:h="16840"/>
          <w:pgMar w:header="0" w:footer="655" w:top="140" w:bottom="280" w:left="560" w:right="480"/>
          <w:cols w:num="2" w:equalWidth="0">
            <w:col w:w="2847" w:space="40"/>
            <w:col w:w="7983"/>
          </w:cols>
        </w:sectPr>
      </w:pPr>
    </w:p>
    <w:p>
      <w:pPr>
        <w:pStyle w:val="BodyText"/>
        <w:spacing w:before="4"/>
        <w:rPr>
          <w:sz w:val="11"/>
        </w:rPr>
      </w:pPr>
    </w:p>
    <w:p>
      <w:pPr>
        <w:spacing w:after="0"/>
        <w:rPr>
          <w:sz w:val="11"/>
        </w:rPr>
        <w:sectPr>
          <w:type w:val="continuous"/>
          <w:pgSz w:w="11910" w:h="16840"/>
          <w:pgMar w:header="0" w:footer="655" w:top="140" w:bottom="280" w:left="560" w:right="480"/>
        </w:sectPr>
      </w:pPr>
    </w:p>
    <w:p>
      <w:pPr>
        <w:spacing w:before="55"/>
        <w:ind w:left="1132" w:right="0" w:firstLine="0"/>
        <w:jc w:val="both"/>
        <w:rPr>
          <w:rFonts w:ascii="华文新魏" w:eastAsia="华文新魏" w:hint="eastAsia"/>
          <w:b/>
          <w:sz w:val="21"/>
        </w:rPr>
      </w:pPr>
      <w:r>
        <w:rPr>
          <w:rFonts w:ascii="华文新魏" w:eastAsia="华文新魏" w:hint="eastAsia"/>
          <w:b/>
          <w:spacing w:val="-2"/>
          <w:sz w:val="21"/>
        </w:rPr>
        <w:t>25、特定周围动脉</w:t>
      </w:r>
      <w:r>
        <w:rPr>
          <w:rFonts w:ascii="华文新魏" w:eastAsia="华文新魏" w:hint="eastAsia"/>
          <w:b/>
          <w:spacing w:val="-2"/>
          <w:sz w:val="21"/>
        </w:rPr>
        <w:t>疾病的血管介入治</w:t>
      </w:r>
      <w:r>
        <w:rPr>
          <w:rFonts w:ascii="华文新魏" w:eastAsia="华文新魏" w:hint="eastAsia"/>
          <w:b/>
          <w:spacing w:val="-10"/>
          <w:sz w:val="21"/>
        </w:rPr>
        <w:t>疗</w:t>
      </w:r>
    </w:p>
    <w:p>
      <w:pPr>
        <w:pStyle w:val="BodyText"/>
        <w:spacing w:before="78"/>
        <w:ind w:left="194"/>
      </w:pPr>
      <w:r>
        <w:rPr/>
        <w:br w:type="column"/>
      </w:r>
      <w:r>
        <w:rPr>
          <w:spacing w:val="-3"/>
        </w:rPr>
        <w:t>指为治疗一条或者一条以上的下列动脉狭窄而实施的血管介入治疗：</w:t>
      </w:r>
    </w:p>
    <w:p>
      <w:pPr>
        <w:pStyle w:val="BodyText"/>
        <w:spacing w:line="278" w:lineRule="auto" w:before="43"/>
        <w:ind w:left="194" w:right="322"/>
      </w:pPr>
      <w:r>
        <w:rPr>
          <w:spacing w:val="-6"/>
        </w:rPr>
        <w:t>Ⅰ 为下肢或者上肢供血的动脉。上肢动脉指：肱动脉及其下行分支血管；下肢血</w:t>
      </w:r>
      <w:r>
        <w:rPr>
          <w:spacing w:val="-2"/>
        </w:rPr>
        <w:t>管指：股动脉及其下行分支血管；</w:t>
      </w:r>
    </w:p>
    <w:p>
      <w:pPr>
        <w:pStyle w:val="BodyText"/>
        <w:spacing w:line="269" w:lineRule="exact"/>
        <w:ind w:left="194"/>
      </w:pPr>
      <w:r>
        <w:rPr>
          <w:spacing w:val="-4"/>
        </w:rPr>
        <w:t>Ⅱ 肾动脉；</w:t>
      </w:r>
    </w:p>
    <w:p>
      <w:pPr>
        <w:pStyle w:val="BodyText"/>
        <w:spacing w:before="43"/>
        <w:ind w:left="194"/>
      </w:pPr>
      <w:r>
        <w:rPr>
          <w:spacing w:val="-4"/>
        </w:rPr>
        <w:t>Ⅲ 肠系膜动脉。</w:t>
      </w:r>
    </w:p>
    <w:p>
      <w:pPr>
        <w:spacing w:after="0"/>
        <w:sectPr>
          <w:type w:val="continuous"/>
          <w:pgSz w:w="11910" w:h="16840"/>
          <w:pgMar w:header="0" w:footer="655" w:top="140" w:bottom="280" w:left="560" w:right="480"/>
          <w:cols w:num="2" w:equalWidth="0">
            <w:col w:w="2847" w:space="40"/>
            <w:col w:w="7983"/>
          </w:cols>
        </w:sectPr>
      </w:pPr>
    </w:p>
    <w:p>
      <w:pPr>
        <w:pStyle w:val="BodyText"/>
        <w:spacing w:before="7"/>
        <w:rPr>
          <w:sz w:val="15"/>
        </w:rPr>
      </w:pPr>
    </w:p>
    <w:p>
      <w:pPr>
        <w:spacing w:after="0"/>
        <w:rPr>
          <w:sz w:val="15"/>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26、早期原发性心</w:t>
      </w:r>
      <w:r>
        <w:rPr>
          <w:rFonts w:ascii="华文新魏" w:eastAsia="华文新魏" w:hint="eastAsia"/>
          <w:b/>
          <w:spacing w:val="-6"/>
          <w:sz w:val="21"/>
        </w:rPr>
        <w:t>肌病</w:t>
      </w:r>
    </w:p>
    <w:p>
      <w:pPr>
        <w:pStyle w:val="BodyText"/>
        <w:spacing w:before="79"/>
        <w:ind w:left="194"/>
      </w:pPr>
      <w:r>
        <w:rPr/>
        <w:br w:type="column"/>
      </w:r>
      <w:r>
        <w:rPr>
          <w:spacing w:val="-3"/>
        </w:rPr>
        <w:t>被诊断为原发性心肌病，并符合下列所有条件：</w:t>
      </w:r>
    </w:p>
    <w:p>
      <w:pPr>
        <w:pStyle w:val="BodyText"/>
        <w:spacing w:line="278" w:lineRule="auto" w:before="43"/>
        <w:ind w:left="194" w:right="322"/>
        <w:jc w:val="both"/>
      </w:pPr>
      <w:r>
        <w:rPr>
          <w:spacing w:val="-6"/>
        </w:rPr>
        <w:t>Ⅰ 导致心室功能受损，其受损程度达到美国纽约心脏病学会心脏功能分级的第Ⅲ</w:t>
      </w:r>
      <w:r>
        <w:rPr>
          <w:spacing w:val="-4"/>
        </w:rPr>
        <w:t>级，或其同等级別，即：体力活动明显受限，休息时无症状，轻于日常的活动即可</w:t>
      </w:r>
      <w:r>
        <w:rPr>
          <w:spacing w:val="-2"/>
        </w:rPr>
        <w:t>引起充血性心力衰竭的症状；</w:t>
      </w:r>
    </w:p>
    <w:p>
      <w:pPr>
        <w:pStyle w:val="BodyText"/>
        <w:spacing w:line="269" w:lineRule="exact"/>
        <w:ind w:left="194"/>
        <w:jc w:val="both"/>
      </w:pPr>
      <w:r>
        <w:rPr>
          <w:spacing w:val="-9"/>
        </w:rPr>
        <w:t>Ⅱ 左室射血分数 </w:t>
      </w:r>
      <w:r>
        <w:rPr>
          <w:spacing w:val="-2"/>
        </w:rPr>
        <w:t>LVEF&lt;35%；</w:t>
      </w:r>
    </w:p>
    <w:p>
      <w:pPr>
        <w:pStyle w:val="BodyText"/>
        <w:spacing w:line="278" w:lineRule="auto" w:before="43"/>
        <w:ind w:left="194" w:right="322"/>
        <w:jc w:val="both"/>
      </w:pPr>
      <w:r>
        <w:rPr>
          <w:spacing w:val="-6"/>
        </w:rPr>
        <w:t>Ⅲ 原发性心肌病的诊断必须由本公司认可医院的心脏专科医生确认，并提供心脏</w:t>
      </w:r>
      <w:r>
        <w:rPr>
          <w:spacing w:val="-2"/>
        </w:rPr>
        <w:t>超声检查结果报告。</w:t>
      </w:r>
    </w:p>
    <w:p>
      <w:pPr>
        <w:spacing w:line="278" w:lineRule="auto" w:before="0"/>
        <w:ind w:left="194" w:right="404" w:firstLine="0"/>
        <w:jc w:val="left"/>
        <w:rPr>
          <w:rFonts w:ascii="黑体" w:eastAsia="黑体" w:hint="eastAsia"/>
          <w:b/>
          <w:sz w:val="21"/>
        </w:rPr>
      </w:pPr>
      <w:r>
        <w:rPr>
          <w:rFonts w:ascii="黑体" w:eastAsia="黑体" w:hint="eastAsia"/>
          <w:b/>
          <w:spacing w:val="-2"/>
          <w:sz w:val="21"/>
        </w:rPr>
        <w:t>本保障范围内的心肌病包括扩张型心肌病、肥厚型心肌病及限制型心肌病。继发</w:t>
      </w:r>
      <w:r>
        <w:rPr>
          <w:rFonts w:ascii="黑体" w:eastAsia="黑体" w:hint="eastAsia"/>
          <w:b/>
          <w:spacing w:val="-3"/>
          <w:sz w:val="21"/>
        </w:rPr>
        <w:t>于全身性疾病或其它器官系统疾病及酒精滥用造成的心肌病变不在保障范围内。</w:t>
      </w:r>
    </w:p>
    <w:p>
      <w:pPr>
        <w:spacing w:after="0" w:line="278" w:lineRule="auto"/>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6"/>
        <w:rPr>
          <w:rFonts w:ascii="黑体"/>
          <w:b/>
          <w:sz w:val="11"/>
        </w:rPr>
      </w:pPr>
    </w:p>
    <w:p>
      <w:pPr>
        <w:spacing w:after="0"/>
        <w:rPr>
          <w:rFonts w:ascii="黑体"/>
          <w:sz w:val="11"/>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27、中度阿尔兹海</w:t>
      </w:r>
      <w:r>
        <w:rPr>
          <w:rFonts w:ascii="华文新魏" w:eastAsia="华文新魏" w:hint="eastAsia"/>
          <w:b/>
          <w:spacing w:val="-6"/>
          <w:sz w:val="21"/>
        </w:rPr>
        <w:t>默病</w:t>
      </w:r>
    </w:p>
    <w:p>
      <w:pPr>
        <w:pStyle w:val="BodyText"/>
        <w:spacing w:line="278" w:lineRule="auto" w:before="79"/>
        <w:ind w:left="194" w:right="322"/>
        <w:jc w:val="both"/>
      </w:pPr>
      <w:r>
        <w:rPr/>
        <w:br w:type="column"/>
      </w:r>
      <w:r>
        <w:rPr>
          <w:spacing w:val="-11"/>
        </w:rPr>
        <w:t>指因大脑进行性、不可逆性改变导致智能严重衰退或丧失，临床表现为明显的认知</w:t>
      </w:r>
      <w:r>
        <w:rPr>
          <w:spacing w:val="-4"/>
        </w:rPr>
        <w:t>能力障碍、行为异常和社交能力减退，其日常生活必须持续受到他人监护。须由头</w:t>
      </w:r>
      <w:r>
        <w:rPr>
          <w:spacing w:val="-6"/>
        </w:rPr>
        <w:t>颅断层扫描</w:t>
      </w:r>
      <w:r>
        <w:rPr>
          <w:spacing w:val="21"/>
        </w:rPr>
        <w:t>（C</w:t>
      </w:r>
      <w:r>
        <w:rPr>
          <w:spacing w:val="18"/>
        </w:rPr>
        <w:t>T</w:t>
      </w:r>
      <w:r>
        <w:rPr>
          <w:spacing w:val="-85"/>
        </w:rPr>
        <w:t>）</w:t>
      </w:r>
      <w:r>
        <w:rPr>
          <w:spacing w:val="-6"/>
        </w:rPr>
        <w:t>、核磁共振检查（MRI）或正电子发射断层扫描（PET）</w:t>
      </w:r>
      <w:r>
        <w:rPr>
          <w:spacing w:val="-7"/>
        </w:rPr>
        <w:t>等影像学</w:t>
      </w:r>
    </w:p>
    <w:p>
      <w:pPr>
        <w:spacing w:after="0" w:line="278" w:lineRule="auto"/>
        <w:jc w:val="both"/>
        <w:sectPr>
          <w:type w:val="continuous"/>
          <w:pgSz w:w="11910" w:h="16840"/>
          <w:pgMar w:header="0" w:footer="655" w:top="140" w:bottom="280" w:left="560" w:right="480"/>
          <w:cols w:num="2" w:equalWidth="0">
            <w:col w:w="2847" w:space="40"/>
            <w:col w:w="7983"/>
          </w:cols>
        </w:sectPr>
      </w:pPr>
    </w:p>
    <w:p>
      <w:pPr>
        <w:pStyle w:val="BodyText"/>
        <w:spacing w:line="278" w:lineRule="auto" w:before="58"/>
        <w:ind w:left="3081" w:right="322"/>
      </w:pPr>
      <w:r>
        <w:rPr>
          <w:spacing w:val="-13"/>
        </w:rPr>
        <w:t>检查证实，且自主生活能力完全丧失，无法独立完成六项基本日常生活活动中的两</w:t>
      </w:r>
      <w:r>
        <w:rPr>
          <w:spacing w:val="-6"/>
        </w:rPr>
        <w:t>项。</w:t>
      </w:r>
    </w:p>
    <w:p>
      <w:pPr>
        <w:pStyle w:val="BodyText"/>
        <w:spacing w:before="10"/>
        <w:rPr>
          <w:sz w:val="12"/>
        </w:rPr>
      </w:pPr>
    </w:p>
    <w:p>
      <w:pPr>
        <w:spacing w:after="0"/>
        <w:rPr>
          <w:sz w:val="12"/>
        </w:rPr>
        <w:sectPr>
          <w:pgSz w:w="11910" w:h="16840"/>
          <w:pgMar w:header="0" w:footer="655" w:top="142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28、心脏起搏器或</w:t>
      </w:r>
      <w:r>
        <w:rPr>
          <w:rFonts w:ascii="华文新魏" w:eastAsia="华文新魏" w:hint="eastAsia"/>
          <w:b/>
          <w:spacing w:val="-2"/>
          <w:sz w:val="21"/>
        </w:rPr>
        <w:t>除颤器植入</w:t>
      </w:r>
    </w:p>
    <w:p>
      <w:pPr>
        <w:pStyle w:val="BodyText"/>
        <w:spacing w:line="278" w:lineRule="auto" w:before="79"/>
        <w:ind w:left="194" w:right="322"/>
      </w:pPr>
      <w:r>
        <w:rPr/>
        <w:br w:type="column"/>
      </w:r>
      <w:r>
        <w:rPr>
          <w:spacing w:val="-6"/>
        </w:rPr>
        <w:t>因严重心律失常而于心腔内进行植入永久性心脏起搏器或除颤器的手术，此严重心</w:t>
      </w:r>
      <w:r>
        <w:rPr>
          <w:spacing w:val="-2"/>
        </w:rPr>
        <w:t>律失常并不能以其他方法治疗。</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before="4"/>
        <w:rPr>
          <w:sz w:val="16"/>
        </w:rPr>
      </w:pPr>
    </w:p>
    <w:p>
      <w:pPr>
        <w:spacing w:after="0"/>
        <w:rPr>
          <w:sz w:val="16"/>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29、植入腔静脉过</w:t>
      </w:r>
      <w:r>
        <w:rPr>
          <w:rFonts w:ascii="华文新魏" w:eastAsia="华文新魏" w:hint="eastAsia"/>
          <w:b/>
          <w:spacing w:val="-6"/>
          <w:sz w:val="21"/>
        </w:rPr>
        <w:t>滤器</w:t>
      </w:r>
    </w:p>
    <w:p>
      <w:pPr>
        <w:pStyle w:val="BodyText"/>
        <w:spacing w:before="78"/>
        <w:ind w:left="194"/>
      </w:pPr>
      <w:r>
        <w:rPr/>
        <w:br w:type="column"/>
      </w:r>
      <w:r>
        <w:rPr>
          <w:spacing w:val="-3"/>
        </w:rPr>
        <w:t>指患者因反复肺栓塞发作，抗凝血疗法无效而接受手术植入腔静脉过滤器。</w:t>
      </w:r>
    </w:p>
    <w:p>
      <w:pPr>
        <w:spacing w:before="43"/>
        <w:ind w:left="194" w:right="0" w:firstLine="0"/>
        <w:jc w:val="left"/>
        <w:rPr>
          <w:rFonts w:ascii="黑体" w:eastAsia="黑体" w:hint="eastAsia"/>
          <w:b/>
          <w:sz w:val="21"/>
        </w:rPr>
      </w:pPr>
      <w:r>
        <w:rPr>
          <w:rFonts w:ascii="黑体" w:eastAsia="黑体" w:hint="eastAsia"/>
          <w:b/>
          <w:spacing w:val="-3"/>
          <w:sz w:val="21"/>
        </w:rPr>
        <w:t>此手术须在本公司认可医院内由专科医生认为是医疗必须的情况下进行。</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8"/>
        <w:rPr>
          <w:rFonts w:ascii="黑体"/>
          <w:b/>
          <w:sz w:val="14"/>
        </w:rPr>
      </w:pPr>
    </w:p>
    <w:p>
      <w:pPr>
        <w:spacing w:after="0"/>
        <w:rPr>
          <w:rFonts w:ascii="黑体"/>
          <w:sz w:val="14"/>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30、原发性肺动脉</w:t>
      </w:r>
      <w:r>
        <w:rPr>
          <w:rFonts w:ascii="华文新魏" w:eastAsia="华文新魏" w:hint="eastAsia"/>
          <w:b/>
          <w:spacing w:val="-6"/>
          <w:sz w:val="21"/>
        </w:rPr>
        <w:t>高压</w:t>
      </w:r>
    </w:p>
    <w:p>
      <w:pPr>
        <w:pStyle w:val="BodyText"/>
        <w:spacing w:line="278" w:lineRule="auto" w:before="78"/>
        <w:ind w:left="190" w:right="217"/>
      </w:pPr>
      <w:r>
        <w:rPr/>
        <w:br w:type="column"/>
      </w:r>
      <w:r>
        <w:rPr>
          <w:spacing w:val="-7"/>
        </w:rPr>
        <w:t>指不明原因的肺动脉压力持续性增高，进行性发展而导致右心室肥厚，已经造成永</w:t>
      </w:r>
      <w:r>
        <w:rPr>
          <w:spacing w:val="-2"/>
        </w:rPr>
        <w:t>久不可逆性的体力活动能力受限，达到美国纽约心脏病学会心功能状态分级Ⅲ级，</w:t>
      </w:r>
      <w:r>
        <w:rPr>
          <w:spacing w:val="-3"/>
        </w:rPr>
        <w:t>且静息状态下肺动脉平均压超过 </w:t>
      </w:r>
      <w:r>
        <w:rPr/>
        <w:t>25mmHg。</w:t>
      </w:r>
    </w:p>
    <w:p>
      <w:pPr>
        <w:spacing w:after="0" w:line="278" w:lineRule="auto"/>
        <w:sectPr>
          <w:type w:val="continuous"/>
          <w:pgSz w:w="11910" w:h="16840"/>
          <w:pgMar w:header="0" w:footer="655" w:top="140" w:bottom="280" w:left="560" w:right="480"/>
          <w:cols w:num="2" w:equalWidth="0">
            <w:col w:w="2852" w:space="40"/>
            <w:col w:w="7978"/>
          </w:cols>
        </w:sectPr>
      </w:pPr>
    </w:p>
    <w:p>
      <w:pPr>
        <w:pStyle w:val="BodyText"/>
        <w:spacing w:before="8"/>
        <w:rPr>
          <w:sz w:val="9"/>
        </w:rPr>
      </w:pPr>
    </w:p>
    <w:p>
      <w:pPr>
        <w:spacing w:after="0"/>
        <w:rPr>
          <w:sz w:val="9"/>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31、中度脑炎或脑</w:t>
      </w:r>
      <w:r>
        <w:rPr>
          <w:rFonts w:ascii="华文新魏" w:eastAsia="华文新魏" w:hint="eastAsia"/>
          <w:b/>
          <w:spacing w:val="-2"/>
          <w:sz w:val="21"/>
        </w:rPr>
        <w:t>膜炎后遗症</w:t>
      </w:r>
    </w:p>
    <w:p>
      <w:pPr>
        <w:pStyle w:val="BodyText"/>
        <w:spacing w:line="278" w:lineRule="auto" w:before="78"/>
        <w:ind w:left="230" w:right="322"/>
      </w:pPr>
      <w:r>
        <w:rPr/>
        <w:br w:type="column"/>
      </w:r>
      <w:r>
        <w:rPr>
          <w:spacing w:val="-2"/>
        </w:rPr>
        <w:t>指因患脑炎或脑膜炎导致的神经系统的永久功能障碍。神经系统永久性的功能障</w:t>
      </w:r>
      <w:r>
        <w:rPr>
          <w:spacing w:val="-10"/>
        </w:rPr>
        <w:t>碍，指疾病确诊 </w:t>
      </w:r>
      <w:r>
        <w:rPr>
          <w:spacing w:val="-4"/>
        </w:rPr>
        <w:t>180</w:t>
      </w:r>
      <w:r>
        <w:rPr>
          <w:spacing w:val="-11"/>
        </w:rPr>
        <w:t> 天后，仍存在自主活动能力完全丧失，无法独立完成六项基本</w:t>
      </w:r>
      <w:r>
        <w:rPr>
          <w:spacing w:val="-2"/>
        </w:rPr>
        <w:t>日常生活活动中的两项。</w:t>
      </w:r>
    </w:p>
    <w:p>
      <w:pPr>
        <w:spacing w:after="0" w:line="278" w:lineRule="auto"/>
        <w:sectPr>
          <w:type w:val="continuous"/>
          <w:pgSz w:w="11910" w:h="16840"/>
          <w:pgMar w:header="0" w:footer="655" w:top="140" w:bottom="280" w:left="560" w:right="480"/>
          <w:cols w:num="2" w:equalWidth="0">
            <w:col w:w="2811" w:space="40"/>
            <w:col w:w="8019"/>
          </w:cols>
        </w:sectPr>
      </w:pPr>
    </w:p>
    <w:p>
      <w:pPr>
        <w:pStyle w:val="BodyText"/>
        <w:rPr>
          <w:sz w:val="11"/>
        </w:rPr>
      </w:pPr>
    </w:p>
    <w:p>
      <w:pPr>
        <w:pStyle w:val="BodyText"/>
        <w:tabs>
          <w:tab w:pos="3081" w:val="left" w:leader="none"/>
        </w:tabs>
        <w:spacing w:line="271" w:lineRule="auto" w:before="54"/>
        <w:ind w:left="3081" w:right="219" w:hanging="1949"/>
      </w:pPr>
      <w:r>
        <w:rPr>
          <w:rFonts w:ascii="华文新魏" w:eastAsia="华文新魏" w:hint="eastAsia"/>
          <w:b/>
          <w:spacing w:val="-2"/>
          <w:position w:val="2"/>
        </w:rPr>
        <w:t>32</w:t>
      </w:r>
      <w:r>
        <w:rPr>
          <w:rFonts w:ascii="华文新魏" w:eastAsia="华文新魏" w:hint="eastAsia"/>
          <w:b/>
          <w:spacing w:val="-2"/>
          <w:position w:val="2"/>
        </w:rPr>
        <w:t>、</w:t>
      </w:r>
      <w:r>
        <w:rPr>
          <w:rFonts w:ascii="华文新魏" w:eastAsia="华文新魏" w:hint="eastAsia"/>
          <w:b/>
          <w:spacing w:val="-2"/>
          <w:position w:val="2"/>
        </w:rPr>
        <w:t>中</w:t>
      </w:r>
      <w:r>
        <w:rPr>
          <w:rFonts w:ascii="华文新魏" w:eastAsia="华文新魏" w:hint="eastAsia"/>
          <w:b/>
          <w:spacing w:val="-2"/>
          <w:position w:val="2"/>
        </w:rPr>
        <w:t>度脑损伤</w:t>
      </w:r>
      <w:r>
        <w:rPr>
          <w:rFonts w:ascii="华文新魏" w:eastAsia="华文新魏" w:hint="eastAsia"/>
          <w:b/>
          <w:position w:val="2"/>
        </w:rPr>
        <w:tab/>
      </w:r>
      <w:r>
        <w:rPr>
          <w:spacing w:val="-2"/>
        </w:rPr>
        <w:t>指</w:t>
      </w:r>
      <w:r>
        <w:rPr>
          <w:spacing w:val="-2"/>
        </w:rPr>
        <w:t>因</w:t>
      </w:r>
      <w:r>
        <w:rPr>
          <w:spacing w:val="-2"/>
        </w:rPr>
        <w:t>头部遭受机械性外力</w:t>
      </w:r>
      <w:r>
        <w:rPr>
          <w:spacing w:val="-108"/>
        </w:rPr>
        <w:t>，</w:t>
      </w:r>
      <w:r>
        <w:rPr>
          <w:spacing w:val="-2"/>
        </w:rPr>
        <w:t>引</w:t>
      </w:r>
      <w:r>
        <w:rPr>
          <w:spacing w:val="-2"/>
        </w:rPr>
        <w:t>起</w:t>
      </w:r>
      <w:r>
        <w:rPr>
          <w:spacing w:val="-2"/>
        </w:rPr>
        <w:t>脑重要部位损伤</w:t>
      </w:r>
      <w:r>
        <w:rPr>
          <w:spacing w:val="-106"/>
        </w:rPr>
        <w:t>，</w:t>
      </w:r>
      <w:r>
        <w:rPr>
          <w:spacing w:val="-2"/>
        </w:rPr>
        <w:t>导</w:t>
      </w:r>
      <w:r>
        <w:rPr>
          <w:spacing w:val="-2"/>
        </w:rPr>
        <w:t>致</w:t>
      </w:r>
      <w:r>
        <w:rPr>
          <w:spacing w:val="-2"/>
        </w:rPr>
        <w:t>神</w:t>
      </w:r>
      <w:r>
        <w:rPr>
          <w:spacing w:val="-2"/>
        </w:rPr>
        <w:t>经</w:t>
      </w:r>
      <w:r>
        <w:rPr>
          <w:spacing w:val="-2"/>
        </w:rPr>
        <w:t>系统永久性的功能障</w:t>
      </w:r>
      <w:r>
        <w:rPr>
          <w:spacing w:val="-2"/>
        </w:rPr>
        <w:t>碍</w:t>
      </w:r>
      <w:r>
        <w:rPr>
          <w:spacing w:val="-2"/>
        </w:rPr>
        <w:t>。</w:t>
      </w:r>
      <w:r>
        <w:rPr>
          <w:spacing w:val="-2"/>
        </w:rPr>
        <w:t>须</w:t>
      </w:r>
      <w:r>
        <w:rPr>
          <w:spacing w:val="-2"/>
        </w:rPr>
        <w:t>由</w:t>
      </w:r>
      <w:r>
        <w:rPr>
          <w:spacing w:val="-2"/>
        </w:rPr>
        <w:t>头颅断层扫描</w:t>
      </w:r>
      <w:r>
        <w:rPr>
          <w:spacing w:val="22"/>
        </w:rPr>
        <w:t>（</w:t>
      </w:r>
      <w:r>
        <w:rPr>
          <w:spacing w:val="25"/>
        </w:rPr>
        <w:t>CT</w:t>
      </w:r>
      <w:r>
        <w:rPr>
          <w:spacing w:val="-83"/>
        </w:rPr>
        <w:t>）</w:t>
      </w:r>
      <w:r>
        <w:rPr>
          <w:spacing w:val="-2"/>
        </w:rPr>
        <w:t>、</w:t>
      </w:r>
      <w:r>
        <w:rPr>
          <w:spacing w:val="-2"/>
        </w:rPr>
        <w:t>核</w:t>
      </w:r>
      <w:r>
        <w:rPr>
          <w:spacing w:val="-2"/>
        </w:rPr>
        <w:t>磁</w:t>
      </w:r>
      <w:r>
        <w:rPr>
          <w:spacing w:val="-2"/>
        </w:rPr>
        <w:t>共振检查（MRI）</w:t>
      </w:r>
      <w:r>
        <w:rPr>
          <w:spacing w:val="-2"/>
        </w:rPr>
        <w:t>或</w:t>
      </w:r>
      <w:r>
        <w:rPr>
          <w:spacing w:val="-2"/>
        </w:rPr>
        <w:t>正</w:t>
      </w:r>
      <w:r>
        <w:rPr>
          <w:spacing w:val="-2"/>
        </w:rPr>
        <w:t>电</w:t>
      </w:r>
      <w:r>
        <w:rPr>
          <w:spacing w:val="-2"/>
        </w:rPr>
        <w:t>子</w:t>
      </w:r>
      <w:r>
        <w:rPr>
          <w:spacing w:val="-2"/>
        </w:rPr>
        <w:t>发射断层扫描（PET）</w:t>
      </w:r>
      <w:r>
        <w:rPr>
          <w:spacing w:val="-2"/>
        </w:rPr>
        <w:t>等</w:t>
      </w:r>
      <w:r>
        <w:rPr/>
        <w:t>影像学检查证实。神经系</w:t>
      </w:r>
      <w:r>
        <w:rPr/>
        <w:t>统永久性的功能障碍，指脑损伤</w:t>
      </w:r>
      <w:r>
        <w:rPr>
          <w:spacing w:val="-52"/>
        </w:rPr>
        <w:t> </w:t>
      </w:r>
      <w:r>
        <w:rPr/>
        <w:t>180</w:t>
      </w:r>
      <w:r>
        <w:rPr>
          <w:spacing w:val="-55"/>
        </w:rPr>
        <w:t> </w:t>
      </w:r>
      <w:r>
        <w:rPr/>
        <w:t>天后，仍完全</w:t>
      </w:r>
      <w:r>
        <w:rPr/>
        <w:t>丧失自</w:t>
      </w:r>
      <w:r>
        <w:rPr>
          <w:spacing w:val="-2"/>
        </w:rPr>
        <w:t>主</w:t>
      </w:r>
      <w:r>
        <w:rPr>
          <w:spacing w:val="-2"/>
        </w:rPr>
        <w:t>生</w:t>
      </w:r>
      <w:r>
        <w:rPr>
          <w:spacing w:val="-2"/>
        </w:rPr>
        <w:t>活能力，无法独立完</w:t>
      </w:r>
      <w:r>
        <w:rPr>
          <w:spacing w:val="-2"/>
        </w:rPr>
        <w:t>成</w:t>
      </w:r>
      <w:r>
        <w:rPr>
          <w:spacing w:val="-2"/>
        </w:rPr>
        <w:t>六</w:t>
      </w:r>
      <w:r>
        <w:rPr>
          <w:spacing w:val="-2"/>
        </w:rPr>
        <w:t>项基本日常生活活动</w:t>
      </w:r>
      <w:r>
        <w:rPr>
          <w:spacing w:val="-2"/>
        </w:rPr>
        <w:t>中</w:t>
      </w:r>
      <w:r>
        <w:rPr>
          <w:spacing w:val="-2"/>
        </w:rPr>
        <w:t>的</w:t>
      </w:r>
      <w:r>
        <w:rPr>
          <w:spacing w:val="-2"/>
        </w:rPr>
        <w:t>两项或以上。</w:t>
      </w:r>
    </w:p>
    <w:p>
      <w:pPr>
        <w:pStyle w:val="BodyText"/>
        <w:rPr>
          <w:sz w:val="18"/>
        </w:rPr>
      </w:pPr>
    </w:p>
    <w:p>
      <w:pPr>
        <w:spacing w:after="0"/>
        <w:rPr>
          <w:sz w:val="18"/>
        </w:rPr>
        <w:sectPr>
          <w:type w:val="continuous"/>
          <w:pgSz w:w="11910" w:h="16840"/>
          <w:pgMar w:header="0" w:footer="655" w:top="140" w:bottom="280" w:left="560" w:right="480"/>
        </w:sectPr>
      </w:pPr>
    </w:p>
    <w:p>
      <w:pPr>
        <w:spacing w:before="56"/>
        <w:ind w:left="1132" w:right="0" w:firstLine="0"/>
        <w:jc w:val="both"/>
        <w:rPr>
          <w:rFonts w:ascii="华文新魏" w:eastAsia="华文新魏" w:hint="eastAsia"/>
          <w:b/>
          <w:sz w:val="21"/>
        </w:rPr>
      </w:pPr>
      <w:r>
        <w:rPr>
          <w:rFonts w:ascii="华文新魏" w:eastAsia="华文新魏" w:hint="eastAsia"/>
          <w:b/>
          <w:spacing w:val="-2"/>
          <w:sz w:val="21"/>
        </w:rPr>
        <w:t>33、脑垂体瘤、脑</w:t>
      </w:r>
      <w:r>
        <w:rPr>
          <w:rFonts w:ascii="华文新魏" w:eastAsia="华文新魏" w:hint="eastAsia"/>
          <w:b/>
          <w:spacing w:val="-2"/>
          <w:sz w:val="21"/>
        </w:rPr>
        <w:t>囊肿、脑动脉瘤及</w:t>
      </w:r>
      <w:r>
        <w:rPr>
          <w:rFonts w:ascii="华文新魏" w:eastAsia="华文新魏" w:hint="eastAsia"/>
          <w:b/>
          <w:spacing w:val="-4"/>
          <w:sz w:val="21"/>
        </w:rPr>
        <w:t>脑血管瘤</w:t>
      </w:r>
    </w:p>
    <w:p>
      <w:pPr>
        <w:pStyle w:val="BodyText"/>
        <w:spacing w:line="278" w:lineRule="auto" w:before="78"/>
        <w:ind w:left="194" w:right="219"/>
      </w:pPr>
      <w:r>
        <w:rPr/>
        <w:br w:type="column"/>
      </w:r>
      <w:r>
        <w:rPr>
          <w:spacing w:val="-4"/>
        </w:rPr>
        <w:t>指经头颅断层扫描</w:t>
      </w:r>
      <w:r>
        <w:rPr>
          <w:spacing w:val="20"/>
        </w:rPr>
        <w:t>（</w:t>
      </w:r>
      <w:r>
        <w:rPr>
          <w:spacing w:val="23"/>
        </w:rPr>
        <w:t>CT</w:t>
      </w:r>
      <w:r>
        <w:rPr>
          <w:spacing w:val="-85"/>
        </w:rPr>
        <w:t>）</w:t>
      </w:r>
      <w:r>
        <w:rPr>
          <w:spacing w:val="-4"/>
        </w:rPr>
        <w:t>、核磁共振（MRI）或其他影像学检查被确诊为下列病变，</w:t>
      </w:r>
      <w:r>
        <w:rPr>
          <w:spacing w:val="-2"/>
        </w:rPr>
        <w:t>并实际接受了手术或放射治疗。</w:t>
      </w:r>
    </w:p>
    <w:p>
      <w:pPr>
        <w:pStyle w:val="BodyText"/>
        <w:spacing w:line="278" w:lineRule="auto"/>
        <w:ind w:left="194" w:right="6276"/>
      </w:pPr>
      <w:r>
        <w:rPr>
          <w:spacing w:val="-6"/>
        </w:rPr>
        <w:t>Ⅰ 脑垂体瘤；</w:t>
      </w:r>
      <w:r>
        <w:rPr/>
        <w:t> Ⅱ 脑囊肿；</w:t>
      </w:r>
    </w:p>
    <w:p>
      <w:pPr>
        <w:pStyle w:val="BodyText"/>
        <w:ind w:left="194"/>
      </w:pPr>
      <w:r>
        <w:rPr>
          <w:spacing w:val="-5"/>
        </w:rPr>
        <w:t>Ⅲ 脑动脉瘤、脑血管瘤。</w:t>
      </w:r>
    </w:p>
    <w:p>
      <w:pPr>
        <w:spacing w:after="0"/>
        <w:sectPr>
          <w:type w:val="continuous"/>
          <w:pgSz w:w="11910" w:h="16840"/>
          <w:pgMar w:header="0" w:footer="655" w:top="140" w:bottom="280" w:left="560" w:right="480"/>
          <w:cols w:num="2" w:equalWidth="0">
            <w:col w:w="2847" w:space="40"/>
            <w:col w:w="7983"/>
          </w:cols>
        </w:sectPr>
      </w:pPr>
    </w:p>
    <w:p>
      <w:pPr>
        <w:pStyle w:val="BodyText"/>
        <w:spacing w:before="5"/>
        <w:rPr>
          <w:sz w:val="18"/>
        </w:rPr>
      </w:pPr>
    </w:p>
    <w:p>
      <w:pPr>
        <w:spacing w:after="0"/>
        <w:rPr>
          <w:sz w:val="18"/>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34、中度运动神经</w:t>
      </w:r>
      <w:r>
        <w:rPr>
          <w:rFonts w:ascii="华文新魏" w:eastAsia="华文新魏" w:hint="eastAsia"/>
          <w:b/>
          <w:spacing w:val="-6"/>
          <w:sz w:val="21"/>
        </w:rPr>
        <w:t>元病</w:t>
      </w:r>
    </w:p>
    <w:p>
      <w:pPr>
        <w:pStyle w:val="BodyText"/>
        <w:spacing w:line="278" w:lineRule="auto" w:before="79"/>
        <w:ind w:left="194" w:right="322"/>
      </w:pPr>
      <w:r>
        <w:rPr/>
        <w:br w:type="column"/>
      </w:r>
      <w:r>
        <w:rPr>
          <w:spacing w:val="-7"/>
        </w:rPr>
        <w:t>是一组中枢神经系统运动神经元的进行性变性疾病，进行性脊肌萎缩症、进行性延</w:t>
      </w:r>
      <w:r>
        <w:rPr>
          <w:spacing w:val="-2"/>
        </w:rPr>
        <w:t>髓麻痹症、原发性侧索硬化症、肌萎缩性侧索硬化症。</w:t>
      </w:r>
    </w:p>
    <w:p>
      <w:pPr>
        <w:pStyle w:val="BodyText"/>
        <w:spacing w:line="269" w:lineRule="exact"/>
        <w:ind w:left="194"/>
      </w:pPr>
      <w:r>
        <w:rPr>
          <w:spacing w:val="-3"/>
        </w:rPr>
        <w:t>须满足自主生活能力完全丧失，无法独立完成六项基本日常生活活动中的两项。</w:t>
      </w:r>
    </w:p>
    <w:p>
      <w:pPr>
        <w:spacing w:after="0" w:line="269" w:lineRule="exact"/>
        <w:sectPr>
          <w:type w:val="continuous"/>
          <w:pgSz w:w="11910" w:h="16840"/>
          <w:pgMar w:header="0" w:footer="655" w:top="140" w:bottom="280" w:left="560" w:right="480"/>
          <w:cols w:num="2" w:equalWidth="0">
            <w:col w:w="2847" w:space="40"/>
            <w:col w:w="7983"/>
          </w:cols>
        </w:sectPr>
      </w:pPr>
    </w:p>
    <w:p>
      <w:pPr>
        <w:pStyle w:val="BodyText"/>
        <w:spacing w:before="5"/>
        <w:rPr>
          <w:sz w:val="11"/>
        </w:rPr>
      </w:pPr>
    </w:p>
    <w:p>
      <w:pPr>
        <w:pStyle w:val="BodyText"/>
        <w:tabs>
          <w:tab w:pos="3081" w:val="left" w:leader="none"/>
        </w:tabs>
        <w:spacing w:line="223" w:lineRule="auto" w:before="86"/>
        <w:ind w:left="3081" w:right="322" w:hanging="1949"/>
        <w:jc w:val="both"/>
      </w:pPr>
      <w:r>
        <w:rPr>
          <w:rFonts w:ascii="华文新魏" w:eastAsia="华文新魏" w:hint="eastAsia"/>
          <w:b/>
          <w:spacing w:val="-2"/>
        </w:rPr>
        <w:t>35</w:t>
      </w:r>
      <w:r>
        <w:rPr>
          <w:rFonts w:ascii="华文新魏" w:eastAsia="华文新魏" w:hint="eastAsia"/>
          <w:b/>
          <w:spacing w:val="-2"/>
        </w:rPr>
        <w:t>、</w:t>
      </w:r>
      <w:r>
        <w:rPr>
          <w:rFonts w:ascii="华文新魏" w:eastAsia="华文新魏" w:hint="eastAsia"/>
          <w:b/>
          <w:spacing w:val="-2"/>
        </w:rPr>
        <w:t>中</w:t>
      </w:r>
      <w:r>
        <w:rPr>
          <w:rFonts w:ascii="华文新魏" w:eastAsia="华文新魏" w:hint="eastAsia"/>
          <w:b/>
          <w:spacing w:val="-2"/>
        </w:rPr>
        <w:t>度</w:t>
      </w:r>
      <w:r>
        <w:rPr>
          <w:rFonts w:ascii="华文新魏" w:eastAsia="华文新魏" w:hint="eastAsia"/>
          <w:b/>
          <w:spacing w:val="-2"/>
        </w:rPr>
        <w:t>瘫</w:t>
      </w:r>
      <w:r>
        <w:rPr>
          <w:rFonts w:ascii="华文新魏" w:eastAsia="华文新魏" w:hint="eastAsia"/>
          <w:b/>
          <w:spacing w:val="-2"/>
        </w:rPr>
        <w:t>痪</w:t>
      </w:r>
      <w:r>
        <w:rPr>
          <w:rFonts w:ascii="华文新魏" w:eastAsia="华文新魏" w:hint="eastAsia"/>
          <w:b/>
        </w:rPr>
        <w:tab/>
      </w:r>
      <w:r>
        <w:rPr>
          <w:spacing w:val="-2"/>
        </w:rPr>
        <w:t>指</w:t>
      </w:r>
      <w:r>
        <w:rPr>
          <w:spacing w:val="-2"/>
        </w:rPr>
        <w:t>因</w:t>
      </w:r>
      <w:r>
        <w:rPr>
          <w:spacing w:val="-2"/>
        </w:rPr>
        <w:t>疾病或意外伤害导致</w:t>
      </w:r>
      <w:r>
        <w:rPr>
          <w:spacing w:val="-2"/>
        </w:rPr>
        <w:t>一</w:t>
      </w:r>
      <w:r>
        <w:rPr>
          <w:spacing w:val="-2"/>
        </w:rPr>
        <w:t>肢</w:t>
      </w:r>
      <w:r>
        <w:rPr>
          <w:spacing w:val="-2"/>
        </w:rPr>
        <w:t>肢体机能永久完全丧失</w:t>
      </w:r>
      <w:r>
        <w:rPr>
          <w:spacing w:val="-53"/>
        </w:rPr>
        <w:t>，</w:t>
      </w:r>
      <w:r>
        <w:rPr>
          <w:spacing w:val="-2"/>
        </w:rPr>
        <w:t>肢体机能永久完全丧失</w:t>
      </w:r>
      <w:r>
        <w:rPr>
          <w:spacing w:val="-55"/>
        </w:rPr>
        <w:t>，</w:t>
      </w:r>
      <w:r>
        <w:rPr>
          <w:spacing w:val="-2"/>
        </w:rPr>
        <w:t>指</w:t>
      </w:r>
      <w:r>
        <w:rPr>
          <w:w w:val="95"/>
        </w:rPr>
        <w:t>疾</w:t>
      </w:r>
      <w:r>
        <w:rPr>
          <w:w w:val="95"/>
        </w:rPr>
        <w:t>病</w:t>
      </w:r>
      <w:r>
        <w:rPr>
          <w:w w:val="95"/>
        </w:rPr>
        <w:t>确诊 180 天后或意外</w:t>
      </w:r>
      <w:r>
        <w:rPr>
          <w:w w:val="95"/>
        </w:rPr>
        <w:t>伤</w:t>
      </w:r>
      <w:r>
        <w:rPr>
          <w:w w:val="95"/>
        </w:rPr>
        <w:t>害</w:t>
      </w:r>
      <w:r>
        <w:rPr>
          <w:w w:val="95"/>
        </w:rPr>
        <w:t>发生 180 天后</w:t>
      </w:r>
      <w:r>
        <w:rPr>
          <w:spacing w:val="-108"/>
          <w:w w:val="95"/>
        </w:rPr>
        <w:t>，</w:t>
      </w:r>
      <w:r>
        <w:rPr>
          <w:w w:val="95"/>
        </w:rPr>
        <w:t>该</w:t>
      </w:r>
      <w:r>
        <w:rPr>
          <w:w w:val="95"/>
        </w:rPr>
        <w:t>肢</w:t>
      </w:r>
      <w:r>
        <w:rPr>
          <w:w w:val="95"/>
        </w:rPr>
        <w:t>三</w:t>
      </w:r>
      <w:r>
        <w:rPr>
          <w:w w:val="95"/>
        </w:rPr>
        <w:t>大</w:t>
      </w:r>
      <w:r>
        <w:rPr>
          <w:w w:val="95"/>
        </w:rPr>
        <w:t>关</w:t>
      </w:r>
      <w:r>
        <w:rPr>
          <w:w w:val="95"/>
        </w:rPr>
        <w:t>节中的两大关节仍然</w:t>
      </w:r>
      <w:r>
        <w:rPr>
          <w:w w:val="95"/>
        </w:rPr>
        <w:t>完</w:t>
      </w:r>
      <w:r>
        <w:rPr>
          <w:w w:val="95"/>
        </w:rPr>
        <w:t>全</w:t>
      </w:r>
      <w:r>
        <w:rPr>
          <w:spacing w:val="-2"/>
        </w:rPr>
        <w:t>僵</w:t>
      </w:r>
      <w:r>
        <w:rPr>
          <w:spacing w:val="-2"/>
        </w:rPr>
        <w:t>硬</w:t>
      </w:r>
      <w:r>
        <w:rPr>
          <w:spacing w:val="-2"/>
        </w:rPr>
        <w:t>，或不能随意识活动。</w:t>
      </w:r>
    </w:p>
    <w:p>
      <w:pPr>
        <w:pStyle w:val="BodyText"/>
        <w:spacing w:before="6"/>
        <w:rPr>
          <w:sz w:val="18"/>
        </w:rPr>
      </w:pPr>
    </w:p>
    <w:p>
      <w:pPr>
        <w:tabs>
          <w:tab w:pos="3081" w:val="left" w:leader="none"/>
        </w:tabs>
        <w:spacing w:before="0"/>
        <w:ind w:left="1132" w:right="0" w:firstLine="0"/>
        <w:jc w:val="left"/>
        <w:rPr>
          <w:sz w:val="21"/>
        </w:rPr>
      </w:pPr>
      <w:r>
        <w:rPr>
          <w:rFonts w:ascii="华文新魏" w:eastAsia="华文新魏" w:hint="eastAsia"/>
          <w:b/>
          <w:spacing w:val="-2"/>
          <w:position w:val="2"/>
          <w:sz w:val="21"/>
        </w:rPr>
        <w:t>36</w:t>
      </w:r>
      <w:r>
        <w:rPr>
          <w:rFonts w:ascii="华文新魏" w:eastAsia="华文新魏" w:hint="eastAsia"/>
          <w:b/>
          <w:spacing w:val="-2"/>
          <w:position w:val="2"/>
          <w:sz w:val="21"/>
        </w:rPr>
        <w:t>、</w:t>
      </w:r>
      <w:r>
        <w:rPr>
          <w:rFonts w:ascii="华文新魏" w:eastAsia="华文新魏" w:hint="eastAsia"/>
          <w:b/>
          <w:spacing w:val="-2"/>
          <w:position w:val="2"/>
          <w:sz w:val="21"/>
        </w:rPr>
        <w:t>轻</w:t>
      </w:r>
      <w:r>
        <w:rPr>
          <w:rFonts w:ascii="华文新魏" w:eastAsia="华文新魏" w:hint="eastAsia"/>
          <w:b/>
          <w:spacing w:val="-2"/>
          <w:position w:val="2"/>
          <w:sz w:val="21"/>
        </w:rPr>
        <w:t>度颅脑</w:t>
      </w:r>
      <w:r>
        <w:rPr>
          <w:rFonts w:ascii="华文新魏" w:eastAsia="华文新魏" w:hint="eastAsia"/>
          <w:b/>
          <w:spacing w:val="-2"/>
          <w:position w:val="2"/>
          <w:sz w:val="21"/>
        </w:rPr>
        <w:t>手</w:t>
      </w:r>
      <w:r>
        <w:rPr>
          <w:rFonts w:ascii="华文新魏" w:eastAsia="华文新魏" w:hint="eastAsia"/>
          <w:b/>
          <w:spacing w:val="-10"/>
          <w:position w:val="2"/>
          <w:sz w:val="21"/>
        </w:rPr>
        <w:t>术</w:t>
      </w:r>
      <w:r>
        <w:rPr>
          <w:rFonts w:ascii="华文新魏" w:eastAsia="华文新魏" w:hint="eastAsia"/>
          <w:b/>
          <w:position w:val="2"/>
          <w:sz w:val="21"/>
        </w:rPr>
        <w:tab/>
      </w:r>
      <w:r>
        <w:rPr>
          <w:spacing w:val="-2"/>
          <w:sz w:val="21"/>
        </w:rPr>
        <w:t>被</w:t>
      </w:r>
      <w:r>
        <w:rPr>
          <w:spacing w:val="-2"/>
          <w:sz w:val="21"/>
        </w:rPr>
        <w:t>保</w:t>
      </w:r>
      <w:r>
        <w:rPr>
          <w:spacing w:val="-2"/>
          <w:sz w:val="21"/>
        </w:rPr>
        <w:t>险人确已实施全麻下</w:t>
      </w:r>
      <w:r>
        <w:rPr>
          <w:spacing w:val="-2"/>
          <w:sz w:val="21"/>
        </w:rPr>
        <w:t>的</w:t>
      </w:r>
      <w:r>
        <w:rPr>
          <w:spacing w:val="-2"/>
          <w:sz w:val="21"/>
        </w:rPr>
        <w:t>颅</w:t>
      </w:r>
      <w:r>
        <w:rPr>
          <w:spacing w:val="-2"/>
          <w:sz w:val="21"/>
        </w:rPr>
        <w:t>骨钻孔手术或经鼻蝶</w:t>
      </w:r>
      <w:r>
        <w:rPr>
          <w:spacing w:val="-2"/>
          <w:sz w:val="21"/>
        </w:rPr>
        <w:t>窦</w:t>
      </w:r>
      <w:r>
        <w:rPr>
          <w:spacing w:val="-2"/>
          <w:sz w:val="21"/>
        </w:rPr>
        <w:t>入</w:t>
      </w:r>
      <w:r>
        <w:rPr>
          <w:spacing w:val="-2"/>
          <w:sz w:val="21"/>
        </w:rPr>
        <w:t>颅手术</w:t>
      </w:r>
      <w:r>
        <w:rPr>
          <w:spacing w:val="-10"/>
          <w:sz w:val="21"/>
        </w:rPr>
        <w:t>。</w:t>
      </w:r>
    </w:p>
    <w:p>
      <w:pPr>
        <w:spacing w:before="1"/>
        <w:ind w:left="3081" w:right="0" w:firstLine="0"/>
        <w:jc w:val="left"/>
        <w:rPr>
          <w:rFonts w:ascii="黑体" w:eastAsia="黑体" w:hint="eastAsia"/>
          <w:b/>
          <w:sz w:val="21"/>
        </w:rPr>
      </w:pPr>
      <w:r>
        <w:rPr>
          <w:rFonts w:ascii="黑体" w:eastAsia="黑体" w:hint="eastAsia"/>
          <w:b/>
          <w:spacing w:val="-3"/>
          <w:sz w:val="21"/>
        </w:rPr>
        <w:t>因外伤而实施的脑外科手术不在保障范围内。</w:t>
      </w:r>
    </w:p>
    <w:p>
      <w:pPr>
        <w:pStyle w:val="BodyText"/>
        <w:spacing w:before="7"/>
        <w:rPr>
          <w:rFonts w:ascii="黑体"/>
          <w:b/>
          <w:sz w:val="13"/>
        </w:rPr>
      </w:pPr>
    </w:p>
    <w:p>
      <w:pPr>
        <w:spacing w:after="0"/>
        <w:rPr>
          <w:rFonts w:ascii="黑体"/>
          <w:sz w:val="13"/>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37、植入大脑内分</w:t>
      </w:r>
      <w:r>
        <w:rPr>
          <w:rFonts w:ascii="华文新魏" w:eastAsia="华文新魏" w:hint="eastAsia"/>
          <w:b/>
          <w:spacing w:val="-6"/>
          <w:sz w:val="21"/>
        </w:rPr>
        <w:t>流器</w:t>
      </w:r>
    </w:p>
    <w:p>
      <w:pPr>
        <w:pStyle w:val="BodyText"/>
        <w:spacing w:line="268" w:lineRule="auto" w:before="79"/>
        <w:ind w:left="194" w:right="322"/>
        <w:rPr>
          <w:rFonts w:ascii="黑体" w:eastAsia="黑体" w:hint="eastAsia"/>
          <w:b/>
        </w:rPr>
      </w:pPr>
      <w:r>
        <w:rPr/>
        <w:br w:type="column"/>
      </w:r>
      <w:r>
        <w:rPr>
          <w:spacing w:val="-7"/>
        </w:rPr>
        <w:t>指被保险人因疾病或外伤导致脑积水，经本公司认可的神经外科专科医生确诊，并</w:t>
      </w:r>
      <w:r>
        <w:rPr>
          <w:spacing w:val="-2"/>
        </w:rPr>
        <w:t>且确认因医疗需要必须且已经实际植入了大脑内分流器，以降低脑脊液压力。</w:t>
      </w:r>
      <w:r>
        <w:rPr>
          <w:spacing w:val="80"/>
          <w:w w:val="150"/>
        </w:rPr>
        <w:t> </w:t>
      </w:r>
      <w:r>
        <w:rPr>
          <w:rFonts w:ascii="黑体" w:eastAsia="黑体" w:hint="eastAsia"/>
          <w:b/>
          <w:spacing w:val="-2"/>
        </w:rPr>
        <w:t>先天性脑积水不在本保障范围内。</w:t>
      </w:r>
    </w:p>
    <w:p>
      <w:pPr>
        <w:spacing w:after="0" w:line="268" w:lineRule="auto"/>
        <w:rPr>
          <w:rFonts w:ascii="黑体" w:eastAsia="黑体" w:hint="eastAsia"/>
        </w:rPr>
        <w:sectPr>
          <w:type w:val="continuous"/>
          <w:pgSz w:w="11910" w:h="16840"/>
          <w:pgMar w:header="0" w:footer="655" w:top="140" w:bottom="280" w:left="560" w:right="480"/>
          <w:cols w:num="2" w:equalWidth="0">
            <w:col w:w="2847" w:space="40"/>
            <w:col w:w="7983"/>
          </w:cols>
        </w:sectPr>
      </w:pPr>
    </w:p>
    <w:p>
      <w:pPr>
        <w:pStyle w:val="BodyText"/>
        <w:spacing w:before="11"/>
        <w:rPr>
          <w:rFonts w:ascii="黑体"/>
          <w:b/>
          <w:sz w:val="9"/>
        </w:rPr>
      </w:pPr>
    </w:p>
    <w:p>
      <w:pPr>
        <w:spacing w:after="0"/>
        <w:rPr>
          <w:rFonts w:ascii="黑体"/>
          <w:sz w:val="9"/>
        </w:rPr>
        <w:sectPr>
          <w:type w:val="continuous"/>
          <w:pgSz w:w="11910" w:h="16840"/>
          <w:pgMar w:header="0" w:footer="655" w:top="140" w:bottom="280" w:left="560" w:right="480"/>
        </w:sectPr>
      </w:pPr>
    </w:p>
    <w:p>
      <w:pPr>
        <w:spacing w:line="312" w:lineRule="exact" w:before="70"/>
        <w:ind w:left="1132" w:right="0" w:firstLine="0"/>
        <w:jc w:val="left"/>
        <w:rPr>
          <w:rFonts w:ascii="华文新魏" w:eastAsia="华文新魏" w:hint="eastAsia"/>
          <w:b/>
          <w:sz w:val="21"/>
        </w:rPr>
      </w:pPr>
      <w:r>
        <w:rPr>
          <w:rFonts w:ascii="华文新魏" w:eastAsia="华文新魏" w:hint="eastAsia"/>
          <w:b/>
          <w:sz w:val="21"/>
        </w:rPr>
        <w:t>38</w:t>
      </w:r>
      <w:r>
        <w:rPr>
          <w:rFonts w:ascii="华文新魏" w:eastAsia="华文新魏" w:hint="eastAsia"/>
          <w:b/>
          <w:spacing w:val="-1"/>
          <w:sz w:val="21"/>
        </w:rPr>
        <w:t>、深度昏迷 </w:t>
      </w:r>
      <w:r>
        <w:rPr>
          <w:rFonts w:ascii="华文新魏" w:eastAsia="华文新魏" w:hint="eastAsia"/>
          <w:b/>
          <w:spacing w:val="-5"/>
          <w:sz w:val="21"/>
        </w:rPr>
        <w:t>72</w:t>
      </w:r>
    </w:p>
    <w:p>
      <w:pPr>
        <w:spacing w:line="312" w:lineRule="exact" w:before="0"/>
        <w:ind w:left="1132" w:right="0" w:firstLine="0"/>
        <w:jc w:val="left"/>
        <w:rPr>
          <w:rFonts w:ascii="华文新魏" w:eastAsia="华文新魏" w:hint="eastAsia"/>
          <w:b/>
          <w:sz w:val="21"/>
        </w:rPr>
      </w:pPr>
      <w:r>
        <w:rPr>
          <w:rFonts w:ascii="华文新魏" w:eastAsia="华文新魏" w:hint="eastAsia"/>
          <w:b/>
          <w:spacing w:val="-5"/>
          <w:sz w:val="21"/>
        </w:rPr>
        <w:t>小时</w:t>
      </w:r>
    </w:p>
    <w:p>
      <w:pPr>
        <w:pStyle w:val="BodyText"/>
        <w:spacing w:line="242" w:lineRule="auto" w:before="71"/>
        <w:ind w:left="327" w:right="322"/>
        <w:jc w:val="both"/>
      </w:pPr>
      <w:r>
        <w:rPr/>
        <w:br w:type="column"/>
      </w:r>
      <w:r>
        <w:rPr>
          <w:spacing w:val="-8"/>
        </w:rPr>
        <w:t>指因疾病或意外伤害导致意识丧失，对外界刺激和体内需求均无反应，昏迷程度按</w:t>
      </w:r>
      <w:r>
        <w:rPr>
          <w:w w:val="95"/>
        </w:rPr>
        <w:t>照</w:t>
      </w:r>
      <w:r>
        <w:rPr>
          <w:w w:val="95"/>
        </w:rPr>
        <w:t>格</w:t>
      </w:r>
      <w:r>
        <w:rPr>
          <w:w w:val="95"/>
        </w:rPr>
        <w:t>拉斯哥昏迷分级(Glasgow coma scale)结果为 5 </w:t>
      </w:r>
      <w:r>
        <w:rPr>
          <w:w w:val="95"/>
        </w:rPr>
        <w:t>分</w:t>
      </w:r>
      <w:r>
        <w:rPr>
          <w:w w:val="95"/>
        </w:rPr>
        <w:t>或</w:t>
      </w:r>
      <w:r>
        <w:rPr>
          <w:w w:val="95"/>
        </w:rPr>
        <w:t> 5 分以下，且已经持</w:t>
      </w:r>
      <w:r>
        <w:rPr>
          <w:w w:val="95"/>
        </w:rPr>
        <w:t>续</w:t>
      </w:r>
      <w:r>
        <w:rPr>
          <w:w w:val="95"/>
        </w:rPr>
        <w:t>使</w:t>
      </w:r>
      <w:r>
        <w:rPr>
          <w:spacing w:val="-2"/>
        </w:rPr>
        <w:t>用呼吸机及其他生命维持系统达到 </w:t>
      </w:r>
      <w:r>
        <w:rPr/>
        <w:t>72</w:t>
      </w:r>
      <w:r>
        <w:rPr>
          <w:spacing w:val="-6"/>
        </w:rPr>
        <w:t> 小时。</w:t>
      </w:r>
    </w:p>
    <w:p>
      <w:pPr>
        <w:spacing w:after="0" w:line="242" w:lineRule="auto"/>
        <w:jc w:val="both"/>
        <w:sectPr>
          <w:type w:val="continuous"/>
          <w:pgSz w:w="11910" w:h="16840"/>
          <w:pgMar w:header="0" w:footer="655" w:top="140" w:bottom="280" w:left="560" w:right="480"/>
          <w:cols w:num="2" w:equalWidth="0">
            <w:col w:w="2714" w:space="40"/>
            <w:col w:w="8116"/>
          </w:cols>
        </w:sectPr>
      </w:pPr>
    </w:p>
    <w:p>
      <w:pPr>
        <w:pStyle w:val="BodyText"/>
        <w:spacing w:before="4"/>
        <w:rPr>
          <w:sz w:val="12"/>
        </w:rPr>
      </w:pPr>
    </w:p>
    <w:p>
      <w:pPr>
        <w:tabs>
          <w:tab w:pos="3081" w:val="left" w:leader="none"/>
        </w:tabs>
        <w:spacing w:line="208" w:lineRule="auto" w:before="98"/>
        <w:ind w:left="3081" w:right="322" w:hanging="1949"/>
        <w:jc w:val="left"/>
        <w:rPr>
          <w:sz w:val="21"/>
        </w:rPr>
      </w:pPr>
      <w:r>
        <w:rPr>
          <w:rFonts w:ascii="华文新魏" w:eastAsia="华文新魏" w:hint="eastAsia"/>
          <w:b/>
          <w:spacing w:val="-2"/>
          <w:sz w:val="21"/>
        </w:rPr>
        <w:t>39</w:t>
      </w:r>
      <w:r>
        <w:rPr>
          <w:rFonts w:ascii="华文新魏" w:eastAsia="华文新魏" w:hint="eastAsia"/>
          <w:b/>
          <w:spacing w:val="-2"/>
          <w:sz w:val="21"/>
        </w:rPr>
        <w:t>、</w:t>
      </w:r>
      <w:r>
        <w:rPr>
          <w:rFonts w:ascii="华文新魏" w:eastAsia="华文新魏" w:hint="eastAsia"/>
          <w:b/>
          <w:spacing w:val="-2"/>
          <w:sz w:val="21"/>
        </w:rPr>
        <w:t>单</w:t>
      </w:r>
      <w:r>
        <w:rPr>
          <w:rFonts w:ascii="华文新魏" w:eastAsia="华文新魏" w:hint="eastAsia"/>
          <w:b/>
          <w:spacing w:val="-2"/>
          <w:sz w:val="21"/>
        </w:rPr>
        <w:t>个肢体</w:t>
      </w:r>
      <w:r>
        <w:rPr>
          <w:rFonts w:ascii="华文新魏" w:eastAsia="华文新魏" w:hint="eastAsia"/>
          <w:b/>
          <w:spacing w:val="-2"/>
          <w:sz w:val="21"/>
        </w:rPr>
        <w:t>缺</w:t>
      </w:r>
      <w:r>
        <w:rPr>
          <w:rFonts w:ascii="华文新魏" w:eastAsia="华文新魏" w:hint="eastAsia"/>
          <w:b/>
          <w:spacing w:val="-2"/>
          <w:sz w:val="21"/>
        </w:rPr>
        <w:t>失</w:t>
      </w:r>
      <w:r>
        <w:rPr>
          <w:rFonts w:ascii="华文新魏" w:eastAsia="华文新魏" w:hint="eastAsia"/>
          <w:b/>
          <w:sz w:val="21"/>
        </w:rPr>
        <w:tab/>
      </w:r>
      <w:r>
        <w:rPr>
          <w:spacing w:val="-2"/>
          <w:sz w:val="21"/>
        </w:rPr>
        <w:t>指</w:t>
      </w:r>
      <w:r>
        <w:rPr>
          <w:spacing w:val="-2"/>
          <w:sz w:val="21"/>
        </w:rPr>
        <w:t>因</w:t>
      </w:r>
      <w:r>
        <w:rPr>
          <w:spacing w:val="-2"/>
          <w:sz w:val="21"/>
        </w:rPr>
        <w:t>疾病或意外伤害导致</w:t>
      </w:r>
      <w:r>
        <w:rPr>
          <w:spacing w:val="-2"/>
          <w:sz w:val="21"/>
        </w:rPr>
        <w:t>一</w:t>
      </w:r>
      <w:r>
        <w:rPr>
          <w:spacing w:val="-2"/>
          <w:sz w:val="21"/>
        </w:rPr>
        <w:t>个</w:t>
      </w:r>
      <w:r>
        <w:rPr>
          <w:spacing w:val="-2"/>
          <w:sz w:val="21"/>
        </w:rPr>
        <w:t>肢体自腕关节或踝关</w:t>
      </w:r>
      <w:r>
        <w:rPr>
          <w:spacing w:val="-2"/>
          <w:sz w:val="21"/>
        </w:rPr>
        <w:t>节</w:t>
      </w:r>
      <w:r>
        <w:rPr>
          <w:spacing w:val="-2"/>
          <w:sz w:val="21"/>
        </w:rPr>
        <w:t>近</w:t>
      </w:r>
      <w:r>
        <w:rPr>
          <w:spacing w:val="-56"/>
          <w:sz w:val="21"/>
        </w:rPr>
        <w:t>端</w:t>
      </w:r>
      <w:r>
        <w:rPr>
          <w:spacing w:val="-2"/>
          <w:sz w:val="21"/>
        </w:rPr>
        <w:t>（靠近躯干端</w:t>
      </w:r>
      <w:r>
        <w:rPr>
          <w:spacing w:val="-53"/>
          <w:sz w:val="21"/>
        </w:rPr>
        <w:t>）</w:t>
      </w:r>
      <w:r>
        <w:rPr>
          <w:spacing w:val="-2"/>
          <w:sz w:val="21"/>
        </w:rPr>
        <w:t>以</w:t>
      </w:r>
      <w:r>
        <w:rPr>
          <w:spacing w:val="-2"/>
          <w:sz w:val="21"/>
        </w:rPr>
        <w:t>上</w:t>
      </w:r>
      <w:r>
        <w:rPr>
          <w:spacing w:val="-2"/>
          <w:sz w:val="21"/>
        </w:rPr>
        <w:t>完</w:t>
      </w:r>
      <w:r>
        <w:rPr>
          <w:spacing w:val="-2"/>
          <w:sz w:val="21"/>
        </w:rPr>
        <w:t>全</w:t>
      </w:r>
      <w:r>
        <w:rPr>
          <w:spacing w:val="-4"/>
          <w:sz w:val="21"/>
        </w:rPr>
        <w:t>断</w:t>
      </w:r>
      <w:r>
        <w:rPr>
          <w:spacing w:val="-4"/>
          <w:sz w:val="21"/>
        </w:rPr>
        <w:t>离</w:t>
      </w:r>
      <w:r>
        <w:rPr>
          <w:spacing w:val="-4"/>
          <w:sz w:val="21"/>
        </w:rPr>
        <w:t>。</w:t>
      </w:r>
    </w:p>
    <w:p>
      <w:pPr>
        <w:spacing w:after="0" w:line="208" w:lineRule="auto"/>
        <w:jc w:val="left"/>
        <w:rPr>
          <w:sz w:val="21"/>
        </w:rPr>
        <w:sectPr>
          <w:type w:val="continuous"/>
          <w:pgSz w:w="11910" w:h="16840"/>
          <w:pgMar w:header="0" w:footer="655" w:top="140" w:bottom="280" w:left="560" w:right="480"/>
        </w:sectPr>
      </w:pPr>
    </w:p>
    <w:p>
      <w:pPr>
        <w:pStyle w:val="BodyText"/>
        <w:tabs>
          <w:tab w:pos="3081" w:val="left" w:leader="none"/>
        </w:tabs>
        <w:spacing w:line="268" w:lineRule="auto" w:before="103"/>
        <w:ind w:left="3081" w:right="324" w:hanging="1949"/>
      </w:pPr>
      <w:r>
        <w:rPr>
          <w:rFonts w:ascii="华文新魏" w:eastAsia="华文新魏" w:hint="eastAsia"/>
          <w:b/>
          <w:spacing w:val="-2"/>
          <w:position w:val="2"/>
        </w:rPr>
        <w:t>40、单耳失聪</w:t>
      </w:r>
      <w:r>
        <w:rPr>
          <w:rFonts w:ascii="华文新魏" w:eastAsia="华文新魏" w:hint="eastAsia"/>
          <w:b/>
          <w:position w:val="2"/>
        </w:rPr>
        <w:tab/>
      </w:r>
      <w:r>
        <w:rPr/>
        <w:t>指因疾病或意外伤害导致</w:t>
      </w:r>
      <w:r>
        <w:rPr/>
        <w:t>单耳或双耳听力永久不可</w:t>
      </w:r>
      <w:r>
        <w:rPr/>
        <w:t>逆性丧失，在</w:t>
      </w:r>
      <w:r>
        <w:rPr>
          <w:spacing w:val="-20"/>
        </w:rPr>
        <w:t> </w:t>
      </w:r>
      <w:r>
        <w:rPr/>
        <w:t>500</w:t>
      </w:r>
      <w:r>
        <w:rPr>
          <w:spacing w:val="-21"/>
        </w:rPr>
        <w:t> </w:t>
      </w:r>
      <w:r>
        <w:rPr/>
        <w:t>赫兹，1000</w:t>
      </w:r>
      <w:r>
        <w:rPr>
          <w:spacing w:val="-4"/>
        </w:rPr>
        <w:t>赫</w:t>
      </w:r>
      <w:r>
        <w:rPr>
          <w:spacing w:val="-4"/>
        </w:rPr>
        <w:t>兹和</w:t>
      </w:r>
      <w:r>
        <w:rPr>
          <w:spacing w:val="-47"/>
        </w:rPr>
        <w:t> </w:t>
      </w:r>
      <w:r>
        <w:rPr>
          <w:spacing w:val="-4"/>
        </w:rPr>
        <w:t>2000</w:t>
      </w:r>
      <w:r>
        <w:rPr>
          <w:spacing w:val="-49"/>
        </w:rPr>
        <w:t> </w:t>
      </w:r>
      <w:r>
        <w:rPr>
          <w:spacing w:val="-4"/>
        </w:rPr>
        <w:t>赫兹语音</w:t>
      </w:r>
      <w:r>
        <w:rPr>
          <w:spacing w:val="-4"/>
        </w:rPr>
        <w:t>频</w:t>
      </w:r>
      <w:r>
        <w:rPr>
          <w:spacing w:val="-4"/>
        </w:rPr>
        <w:t>率</w:t>
      </w:r>
      <w:r>
        <w:rPr>
          <w:spacing w:val="-4"/>
        </w:rPr>
        <w:t>下，平均听阈大于</w:t>
      </w:r>
      <w:r>
        <w:rPr>
          <w:spacing w:val="-49"/>
        </w:rPr>
        <w:t> </w:t>
      </w:r>
      <w:r>
        <w:rPr>
          <w:spacing w:val="-4"/>
        </w:rPr>
        <w:t>80</w:t>
      </w:r>
      <w:r>
        <w:rPr>
          <w:spacing w:val="-51"/>
        </w:rPr>
        <w:t> </w:t>
      </w:r>
      <w:r>
        <w:rPr>
          <w:spacing w:val="-4"/>
        </w:rPr>
        <w:t>分贝。需有纯音听力</w:t>
      </w:r>
      <w:r>
        <w:rPr>
          <w:spacing w:val="-4"/>
        </w:rPr>
        <w:t>测</w:t>
      </w:r>
      <w:r>
        <w:rPr>
          <w:spacing w:val="-4"/>
        </w:rPr>
        <w:t>试</w:t>
      </w:r>
      <w:r>
        <w:rPr>
          <w:spacing w:val="-4"/>
        </w:rPr>
        <w:t>、声导</w:t>
      </w:r>
      <w:r>
        <w:rPr>
          <w:spacing w:val="-4"/>
        </w:rPr>
        <w:t>抗</w:t>
      </w:r>
      <w:r>
        <w:rPr>
          <w:spacing w:val="-2"/>
        </w:rPr>
        <w:t>检</w:t>
      </w:r>
      <w:r>
        <w:rPr>
          <w:spacing w:val="-2"/>
        </w:rPr>
        <w:t>测</w:t>
      </w:r>
      <w:r>
        <w:rPr>
          <w:spacing w:val="-2"/>
        </w:rPr>
        <w:t>或听觉诱发电位检测</w:t>
      </w:r>
      <w:r>
        <w:rPr>
          <w:spacing w:val="-2"/>
        </w:rPr>
        <w:t>等</w:t>
      </w:r>
      <w:r>
        <w:rPr>
          <w:spacing w:val="-2"/>
        </w:rPr>
        <w:t>证</w:t>
      </w:r>
      <w:r>
        <w:rPr>
          <w:spacing w:val="-2"/>
        </w:rPr>
        <w:t>实。</w:t>
      </w:r>
    </w:p>
    <w:p>
      <w:pPr>
        <w:spacing w:line="254" w:lineRule="exact" w:before="0"/>
        <w:ind w:left="3081" w:right="0" w:firstLine="0"/>
        <w:jc w:val="left"/>
        <w:rPr>
          <w:rFonts w:ascii="黑体" w:eastAsia="黑体" w:hint="eastAsia"/>
          <w:b/>
          <w:sz w:val="21"/>
        </w:rPr>
      </w:pPr>
      <w:r>
        <w:rPr>
          <w:rFonts w:ascii="黑体" w:eastAsia="黑体" w:hint="eastAsia"/>
          <w:b/>
          <w:w w:val="95"/>
          <w:sz w:val="21"/>
        </w:rPr>
        <w:t>申</w:t>
      </w:r>
      <w:r>
        <w:rPr>
          <w:rFonts w:ascii="黑体" w:eastAsia="黑体" w:hint="eastAsia"/>
          <w:b/>
          <w:w w:val="95"/>
          <w:sz w:val="21"/>
        </w:rPr>
        <w:t>请</w:t>
      </w:r>
      <w:r>
        <w:rPr>
          <w:rFonts w:ascii="黑体" w:eastAsia="黑体" w:hint="eastAsia"/>
          <w:b/>
          <w:w w:val="95"/>
          <w:sz w:val="21"/>
        </w:rPr>
        <w:t>理</w:t>
      </w:r>
      <w:r>
        <w:rPr>
          <w:rFonts w:ascii="黑体" w:eastAsia="黑体" w:hint="eastAsia"/>
          <w:b/>
          <w:w w:val="95"/>
          <w:sz w:val="21"/>
        </w:rPr>
        <w:t>赔</w:t>
      </w:r>
      <w:r>
        <w:rPr>
          <w:rFonts w:ascii="黑体" w:eastAsia="黑体" w:hint="eastAsia"/>
          <w:b/>
          <w:w w:val="95"/>
          <w:sz w:val="21"/>
        </w:rPr>
        <w:t>时</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人的年</w:t>
      </w:r>
      <w:r>
        <w:rPr>
          <w:rFonts w:ascii="黑体" w:eastAsia="黑体" w:hint="eastAsia"/>
          <w:b/>
          <w:w w:val="95"/>
          <w:sz w:val="21"/>
        </w:rPr>
        <w:t>龄</w:t>
      </w:r>
      <w:r>
        <w:rPr>
          <w:rFonts w:ascii="黑体" w:eastAsia="黑体" w:hint="eastAsia"/>
          <w:b/>
          <w:w w:val="95"/>
          <w:sz w:val="21"/>
        </w:rPr>
        <w:t>必</w:t>
      </w:r>
      <w:r>
        <w:rPr>
          <w:rFonts w:ascii="黑体" w:eastAsia="黑体" w:hint="eastAsia"/>
          <w:b/>
          <w:w w:val="95"/>
          <w:sz w:val="21"/>
        </w:rPr>
        <w:t>须</w:t>
      </w:r>
      <w:r>
        <w:rPr>
          <w:rFonts w:ascii="黑体" w:eastAsia="黑体" w:hint="eastAsia"/>
          <w:b/>
          <w:w w:val="95"/>
          <w:sz w:val="21"/>
        </w:rPr>
        <w:t>在</w:t>
      </w:r>
      <w:r>
        <w:rPr>
          <w:rFonts w:ascii="黑体" w:eastAsia="黑体" w:hint="eastAsia"/>
          <w:b/>
          <w:spacing w:val="47"/>
          <w:sz w:val="21"/>
        </w:rPr>
        <w:t> </w:t>
      </w:r>
      <w:r>
        <w:rPr>
          <w:rFonts w:ascii="黑体" w:eastAsia="黑体" w:hint="eastAsia"/>
          <w:b/>
          <w:w w:val="95"/>
          <w:sz w:val="21"/>
        </w:rPr>
        <w:t>3</w:t>
      </w:r>
      <w:r>
        <w:rPr>
          <w:rFonts w:ascii="黑体" w:eastAsia="黑体" w:hint="eastAsia"/>
          <w:b/>
          <w:spacing w:val="48"/>
          <w:sz w:val="21"/>
        </w:rPr>
        <w:t> </w:t>
      </w:r>
      <w:r>
        <w:rPr>
          <w:rFonts w:ascii="黑体" w:eastAsia="黑体" w:hint="eastAsia"/>
          <w:b/>
          <w:w w:val="95"/>
          <w:sz w:val="21"/>
        </w:rPr>
        <w:t>周</w:t>
      </w:r>
      <w:r>
        <w:rPr>
          <w:rFonts w:ascii="黑体" w:eastAsia="黑体" w:hint="eastAsia"/>
          <w:b/>
          <w:w w:val="95"/>
          <w:sz w:val="21"/>
        </w:rPr>
        <w:t>岁</w:t>
      </w:r>
      <w:r>
        <w:rPr>
          <w:rFonts w:ascii="黑体" w:eastAsia="黑体" w:hint="eastAsia"/>
          <w:b/>
          <w:w w:val="95"/>
          <w:sz w:val="21"/>
        </w:rPr>
        <w:t>以</w:t>
      </w:r>
      <w:r>
        <w:rPr>
          <w:rFonts w:ascii="黑体" w:eastAsia="黑体" w:hint="eastAsia"/>
          <w:b/>
          <w:w w:val="95"/>
          <w:sz w:val="21"/>
        </w:rPr>
        <w:t>上，并</w:t>
      </w:r>
      <w:r>
        <w:rPr>
          <w:rFonts w:ascii="黑体" w:eastAsia="黑体" w:hint="eastAsia"/>
          <w:b/>
          <w:w w:val="95"/>
          <w:sz w:val="21"/>
        </w:rPr>
        <w:t>需</w:t>
      </w:r>
      <w:r>
        <w:rPr>
          <w:rFonts w:ascii="黑体" w:eastAsia="黑体" w:hint="eastAsia"/>
          <w:b/>
          <w:w w:val="95"/>
          <w:sz w:val="21"/>
        </w:rPr>
        <w:t>提</w:t>
      </w:r>
      <w:r>
        <w:rPr>
          <w:rFonts w:ascii="黑体" w:eastAsia="黑体" w:hint="eastAsia"/>
          <w:b/>
          <w:w w:val="95"/>
          <w:sz w:val="21"/>
        </w:rPr>
        <w:t>供</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spacing w:val="48"/>
          <w:sz w:val="21"/>
        </w:rPr>
        <w:t> </w:t>
      </w:r>
      <w:r>
        <w:rPr>
          <w:rFonts w:ascii="黑体" w:eastAsia="黑体" w:hint="eastAsia"/>
          <w:b/>
          <w:w w:val="95"/>
          <w:sz w:val="21"/>
        </w:rPr>
        <w:t>3</w:t>
      </w:r>
      <w:r>
        <w:rPr>
          <w:rFonts w:ascii="黑体" w:eastAsia="黑体" w:hint="eastAsia"/>
          <w:b/>
          <w:spacing w:val="48"/>
          <w:sz w:val="21"/>
        </w:rPr>
        <w:t> </w:t>
      </w:r>
      <w:r>
        <w:rPr>
          <w:rFonts w:ascii="黑体" w:eastAsia="黑体" w:hint="eastAsia"/>
          <w:b/>
          <w:w w:val="95"/>
          <w:sz w:val="21"/>
        </w:rPr>
        <w:t>周岁以</w:t>
      </w:r>
      <w:r>
        <w:rPr>
          <w:rFonts w:ascii="黑体" w:eastAsia="黑体" w:hint="eastAsia"/>
          <w:b/>
          <w:w w:val="95"/>
          <w:sz w:val="21"/>
        </w:rPr>
        <w:t>后</w:t>
      </w:r>
      <w:r>
        <w:rPr>
          <w:rFonts w:ascii="黑体" w:eastAsia="黑体" w:hint="eastAsia"/>
          <w:b/>
          <w:spacing w:val="-10"/>
          <w:w w:val="95"/>
          <w:sz w:val="21"/>
        </w:rPr>
        <w:t>的</w:t>
      </w:r>
    </w:p>
    <w:p>
      <w:pPr>
        <w:spacing w:before="2"/>
        <w:ind w:left="3081" w:right="0" w:firstLine="0"/>
        <w:jc w:val="left"/>
        <w:rPr>
          <w:rFonts w:ascii="黑体" w:eastAsia="黑体" w:hint="eastAsia"/>
          <w:b/>
          <w:sz w:val="21"/>
        </w:rPr>
      </w:pPr>
      <w:r>
        <w:rPr>
          <w:rFonts w:ascii="黑体" w:eastAsia="黑体" w:hint="eastAsia"/>
          <w:b/>
          <w:spacing w:val="-3"/>
          <w:sz w:val="21"/>
        </w:rPr>
        <w:t>听力受损诊断及相关检查报告。</w:t>
      </w:r>
    </w:p>
    <w:p>
      <w:pPr>
        <w:pStyle w:val="BodyText"/>
        <w:spacing w:before="6"/>
        <w:rPr>
          <w:rFonts w:ascii="黑体"/>
          <w:b/>
          <w:sz w:val="13"/>
        </w:rPr>
      </w:pPr>
    </w:p>
    <w:p>
      <w:pPr>
        <w:spacing w:after="0"/>
        <w:rPr>
          <w:rFonts w:ascii="黑体"/>
          <w:sz w:val="13"/>
        </w:rPr>
        <w:sectPr>
          <w:pgSz w:w="11910" w:h="16840"/>
          <w:pgMar w:header="0" w:footer="655" w:top="158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41、人工耳蜗植入</w:t>
      </w:r>
      <w:r>
        <w:rPr>
          <w:rFonts w:ascii="华文新魏" w:eastAsia="华文新魏" w:hint="eastAsia"/>
          <w:b/>
          <w:spacing w:val="-10"/>
          <w:sz w:val="21"/>
        </w:rPr>
        <w:t>术</w:t>
      </w:r>
    </w:p>
    <w:p>
      <w:pPr>
        <w:pStyle w:val="BodyText"/>
        <w:spacing w:line="278" w:lineRule="auto" w:before="79"/>
        <w:ind w:left="230" w:right="322"/>
      </w:pPr>
      <w:r>
        <w:rPr/>
        <w:br w:type="column"/>
      </w:r>
      <w:r>
        <w:rPr>
          <w:spacing w:val="-7"/>
        </w:rPr>
        <w:t>指由于耳蜗的永久损害而实际实施了人工耳蜗植入手术。诊断须经专科医生确认在</w:t>
      </w:r>
      <w:r>
        <w:rPr>
          <w:spacing w:val="-2"/>
        </w:rPr>
        <w:t>医学上是必要的，且在植入手术之前已经符合下列全部条件：</w:t>
      </w:r>
    </w:p>
    <w:p>
      <w:pPr>
        <w:pStyle w:val="BodyText"/>
        <w:spacing w:line="278" w:lineRule="auto"/>
        <w:ind w:left="230" w:right="3368"/>
      </w:pPr>
      <w:r>
        <w:rPr>
          <w:spacing w:val="-13"/>
        </w:rPr>
        <w:t>Ⅰ 双耳持续 </w:t>
      </w:r>
      <w:r>
        <w:rPr/>
        <w:t>12</w:t>
      </w:r>
      <w:r>
        <w:rPr>
          <w:spacing w:val="-8"/>
        </w:rPr>
        <w:t> 个月以上重度感音神经性耳聋；</w:t>
      </w:r>
      <w:r>
        <w:rPr/>
        <w:t> Ⅱ 使用相应的听力辅助设备效果不佳。</w:t>
      </w:r>
    </w:p>
    <w:p>
      <w:pPr>
        <w:spacing w:line="247" w:lineRule="exact" w:before="0"/>
        <w:ind w:left="230" w:right="0" w:firstLine="0"/>
        <w:jc w:val="left"/>
        <w:rPr>
          <w:rFonts w:ascii="黑体" w:eastAsia="黑体" w:hint="eastAsia"/>
          <w:b/>
          <w:sz w:val="21"/>
        </w:rPr>
      </w:pPr>
      <w:r>
        <w:rPr>
          <w:rFonts w:ascii="黑体" w:eastAsia="黑体" w:hint="eastAsia"/>
          <w:b/>
          <w:w w:val="95"/>
          <w:sz w:val="21"/>
        </w:rPr>
        <w:t>申</w:t>
      </w:r>
      <w:r>
        <w:rPr>
          <w:rFonts w:ascii="黑体" w:eastAsia="黑体" w:hint="eastAsia"/>
          <w:b/>
          <w:w w:val="95"/>
          <w:sz w:val="21"/>
        </w:rPr>
        <w:t>请</w:t>
      </w:r>
      <w:r>
        <w:rPr>
          <w:rFonts w:ascii="黑体" w:eastAsia="黑体" w:hint="eastAsia"/>
          <w:b/>
          <w:w w:val="95"/>
          <w:sz w:val="21"/>
        </w:rPr>
        <w:t>理</w:t>
      </w:r>
      <w:r>
        <w:rPr>
          <w:rFonts w:ascii="黑体" w:eastAsia="黑体" w:hint="eastAsia"/>
          <w:b/>
          <w:w w:val="95"/>
          <w:sz w:val="21"/>
        </w:rPr>
        <w:t>赔</w:t>
      </w:r>
      <w:r>
        <w:rPr>
          <w:rFonts w:ascii="黑体" w:eastAsia="黑体" w:hint="eastAsia"/>
          <w:b/>
          <w:w w:val="95"/>
          <w:sz w:val="21"/>
        </w:rPr>
        <w:t>时</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人的年</w:t>
      </w:r>
      <w:r>
        <w:rPr>
          <w:rFonts w:ascii="黑体" w:eastAsia="黑体" w:hint="eastAsia"/>
          <w:b/>
          <w:w w:val="95"/>
          <w:sz w:val="21"/>
        </w:rPr>
        <w:t>龄</w:t>
      </w:r>
      <w:r>
        <w:rPr>
          <w:rFonts w:ascii="黑体" w:eastAsia="黑体" w:hint="eastAsia"/>
          <w:b/>
          <w:w w:val="95"/>
          <w:sz w:val="21"/>
        </w:rPr>
        <w:t>必</w:t>
      </w:r>
      <w:r>
        <w:rPr>
          <w:rFonts w:ascii="黑体" w:eastAsia="黑体" w:hint="eastAsia"/>
          <w:b/>
          <w:w w:val="95"/>
          <w:sz w:val="21"/>
        </w:rPr>
        <w:t>须</w:t>
      </w:r>
      <w:r>
        <w:rPr>
          <w:rFonts w:ascii="黑体" w:eastAsia="黑体" w:hint="eastAsia"/>
          <w:b/>
          <w:w w:val="95"/>
          <w:sz w:val="21"/>
        </w:rPr>
        <w:t>在</w:t>
      </w:r>
      <w:r>
        <w:rPr>
          <w:rFonts w:ascii="黑体" w:eastAsia="黑体" w:hint="eastAsia"/>
          <w:b/>
          <w:spacing w:val="49"/>
          <w:sz w:val="21"/>
        </w:rPr>
        <w:t> </w:t>
      </w:r>
      <w:r>
        <w:rPr>
          <w:rFonts w:ascii="黑体" w:eastAsia="黑体" w:hint="eastAsia"/>
          <w:b/>
          <w:w w:val="95"/>
          <w:sz w:val="21"/>
        </w:rPr>
        <w:t>3</w:t>
      </w:r>
      <w:r>
        <w:rPr>
          <w:rFonts w:ascii="黑体" w:eastAsia="黑体" w:hint="eastAsia"/>
          <w:b/>
          <w:spacing w:val="48"/>
          <w:sz w:val="21"/>
        </w:rPr>
        <w:t> </w:t>
      </w:r>
      <w:r>
        <w:rPr>
          <w:rFonts w:ascii="黑体" w:eastAsia="黑体" w:hint="eastAsia"/>
          <w:b/>
          <w:w w:val="95"/>
          <w:sz w:val="21"/>
        </w:rPr>
        <w:t>周</w:t>
      </w:r>
      <w:r>
        <w:rPr>
          <w:rFonts w:ascii="黑体" w:eastAsia="黑体" w:hint="eastAsia"/>
          <w:b/>
          <w:w w:val="95"/>
          <w:sz w:val="21"/>
        </w:rPr>
        <w:t>岁</w:t>
      </w:r>
      <w:r>
        <w:rPr>
          <w:rFonts w:ascii="黑体" w:eastAsia="黑体" w:hint="eastAsia"/>
          <w:b/>
          <w:w w:val="95"/>
          <w:sz w:val="21"/>
        </w:rPr>
        <w:t>以</w:t>
      </w:r>
      <w:r>
        <w:rPr>
          <w:rFonts w:ascii="黑体" w:eastAsia="黑体" w:hint="eastAsia"/>
          <w:b/>
          <w:w w:val="95"/>
          <w:sz w:val="21"/>
        </w:rPr>
        <w:t>上，并</w:t>
      </w:r>
      <w:r>
        <w:rPr>
          <w:rFonts w:ascii="黑体" w:eastAsia="黑体" w:hint="eastAsia"/>
          <w:b/>
          <w:w w:val="95"/>
          <w:sz w:val="21"/>
        </w:rPr>
        <w:t>需</w:t>
      </w:r>
      <w:r>
        <w:rPr>
          <w:rFonts w:ascii="黑体" w:eastAsia="黑体" w:hint="eastAsia"/>
          <w:b/>
          <w:w w:val="95"/>
          <w:sz w:val="21"/>
        </w:rPr>
        <w:t>提</w:t>
      </w:r>
      <w:r>
        <w:rPr>
          <w:rFonts w:ascii="黑体" w:eastAsia="黑体" w:hint="eastAsia"/>
          <w:b/>
          <w:w w:val="95"/>
          <w:sz w:val="21"/>
        </w:rPr>
        <w:t>供</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spacing w:val="48"/>
          <w:sz w:val="21"/>
        </w:rPr>
        <w:t> </w:t>
      </w:r>
      <w:r>
        <w:rPr>
          <w:rFonts w:ascii="黑体" w:eastAsia="黑体" w:hint="eastAsia"/>
          <w:b/>
          <w:w w:val="95"/>
          <w:sz w:val="21"/>
        </w:rPr>
        <w:t>3</w:t>
      </w:r>
      <w:r>
        <w:rPr>
          <w:rFonts w:ascii="黑体" w:eastAsia="黑体" w:hint="eastAsia"/>
          <w:b/>
          <w:spacing w:val="47"/>
          <w:sz w:val="21"/>
        </w:rPr>
        <w:t> </w:t>
      </w:r>
      <w:r>
        <w:rPr>
          <w:rFonts w:ascii="黑体" w:eastAsia="黑体" w:hint="eastAsia"/>
          <w:b/>
          <w:w w:val="95"/>
          <w:sz w:val="21"/>
        </w:rPr>
        <w:t>周岁以</w:t>
      </w:r>
      <w:r>
        <w:rPr>
          <w:rFonts w:ascii="黑体" w:eastAsia="黑体" w:hint="eastAsia"/>
          <w:b/>
          <w:w w:val="95"/>
          <w:sz w:val="21"/>
        </w:rPr>
        <w:t>后</w:t>
      </w:r>
      <w:r>
        <w:rPr>
          <w:rFonts w:ascii="黑体" w:eastAsia="黑体" w:hint="eastAsia"/>
          <w:b/>
          <w:spacing w:val="-10"/>
          <w:w w:val="95"/>
          <w:sz w:val="21"/>
        </w:rPr>
        <w:t>的</w:t>
      </w:r>
    </w:p>
    <w:p>
      <w:pPr>
        <w:spacing w:before="4"/>
        <w:ind w:left="230" w:right="0" w:firstLine="0"/>
        <w:jc w:val="left"/>
        <w:rPr>
          <w:rFonts w:ascii="黑体" w:eastAsia="黑体" w:hint="eastAsia"/>
          <w:b/>
          <w:sz w:val="21"/>
        </w:rPr>
      </w:pPr>
      <w:r>
        <w:rPr>
          <w:rFonts w:ascii="黑体" w:eastAsia="黑体" w:hint="eastAsia"/>
          <w:b/>
          <w:spacing w:val="-3"/>
          <w:sz w:val="21"/>
        </w:rPr>
        <w:t>耳蜗受损诊断及相关检查报告。</w:t>
      </w:r>
    </w:p>
    <w:p>
      <w:pPr>
        <w:spacing w:after="0"/>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spacing w:before="8"/>
        <w:rPr>
          <w:rFonts w:ascii="黑体"/>
          <w:b/>
          <w:sz w:val="13"/>
        </w:rPr>
      </w:pPr>
    </w:p>
    <w:p>
      <w:pPr>
        <w:pStyle w:val="BodyText"/>
        <w:tabs>
          <w:tab w:pos="3081" w:val="left" w:leader="none"/>
        </w:tabs>
        <w:spacing w:line="256" w:lineRule="auto" w:before="54"/>
        <w:ind w:left="3081" w:right="322" w:hanging="1949"/>
      </w:pPr>
      <w:r>
        <w:rPr>
          <w:rFonts w:ascii="华文新魏" w:hAnsi="华文新魏" w:eastAsia="华文新魏" w:hint="eastAsia"/>
          <w:b/>
          <w:spacing w:val="-2"/>
          <w:position w:val="2"/>
        </w:rPr>
        <w:t>42</w:t>
      </w:r>
      <w:r>
        <w:rPr>
          <w:rFonts w:ascii="华文新魏" w:hAnsi="华文新魏" w:eastAsia="华文新魏" w:hint="eastAsia"/>
          <w:b/>
          <w:spacing w:val="-2"/>
          <w:position w:val="2"/>
        </w:rPr>
        <w:t>、</w:t>
      </w:r>
      <w:r>
        <w:rPr>
          <w:rFonts w:ascii="华文新魏" w:hAnsi="华文新魏" w:eastAsia="华文新魏" w:hint="eastAsia"/>
          <w:b/>
          <w:spacing w:val="-2"/>
          <w:position w:val="2"/>
        </w:rPr>
        <w:t>视</w:t>
      </w:r>
      <w:r>
        <w:rPr>
          <w:rFonts w:ascii="华文新魏" w:hAnsi="华文新魏" w:eastAsia="华文新魏" w:hint="eastAsia"/>
          <w:b/>
          <w:spacing w:val="-2"/>
          <w:position w:val="2"/>
        </w:rPr>
        <w:t>力严重</w:t>
      </w:r>
      <w:r>
        <w:rPr>
          <w:rFonts w:ascii="华文新魏" w:hAnsi="华文新魏" w:eastAsia="华文新魏" w:hint="eastAsia"/>
          <w:b/>
          <w:spacing w:val="-2"/>
          <w:position w:val="2"/>
        </w:rPr>
        <w:t>受</w:t>
      </w:r>
      <w:r>
        <w:rPr>
          <w:rFonts w:ascii="华文新魏" w:hAnsi="华文新魏" w:eastAsia="华文新魏" w:hint="eastAsia"/>
          <w:b/>
          <w:spacing w:val="-2"/>
          <w:position w:val="2"/>
        </w:rPr>
        <w:t>损</w:t>
      </w:r>
      <w:r>
        <w:rPr>
          <w:rFonts w:ascii="华文新魏" w:hAnsi="华文新魏" w:eastAsia="华文新魏" w:hint="eastAsia"/>
          <w:b/>
          <w:position w:val="2"/>
        </w:rPr>
        <w:tab/>
      </w:r>
      <w:r>
        <w:rPr>
          <w:spacing w:val="-2"/>
        </w:rPr>
        <w:t>指</w:t>
      </w:r>
      <w:r>
        <w:rPr>
          <w:spacing w:val="-2"/>
        </w:rPr>
        <w:t>因</w:t>
      </w:r>
      <w:r>
        <w:rPr>
          <w:spacing w:val="-2"/>
        </w:rPr>
        <w:t>疾病或意外伤害导致</w:t>
      </w:r>
      <w:r>
        <w:rPr>
          <w:spacing w:val="-2"/>
        </w:rPr>
        <w:t>双</w:t>
      </w:r>
      <w:r>
        <w:rPr>
          <w:spacing w:val="-2"/>
        </w:rPr>
        <w:t>目</w:t>
      </w:r>
      <w:r>
        <w:rPr>
          <w:spacing w:val="-2"/>
        </w:rPr>
        <w:t>视力永久不可逆性丧失</w:t>
      </w:r>
      <w:r>
        <w:rPr>
          <w:spacing w:val="-53"/>
        </w:rPr>
        <w:t>，</w:t>
      </w:r>
      <w:r>
        <w:rPr>
          <w:spacing w:val="-2"/>
        </w:rPr>
        <w:t>虽然未达到重大疾</w:t>
      </w:r>
      <w:r>
        <w:rPr>
          <w:spacing w:val="-56"/>
        </w:rPr>
        <w:t>病</w:t>
      </w:r>
      <w:r>
        <w:rPr>
          <w:spacing w:val="-2"/>
        </w:rPr>
        <w:t>“</w:t>
      </w:r>
      <w:r>
        <w:rPr>
          <w:spacing w:val="-2"/>
        </w:rPr>
        <w:t>双</w:t>
      </w:r>
      <w:r>
        <w:rPr>
          <w:spacing w:val="-2"/>
        </w:rPr>
        <w:t>目</w:t>
      </w:r>
      <w:r>
        <w:rPr>
          <w:spacing w:val="-2"/>
        </w:rPr>
        <w:t>失</w:t>
      </w:r>
      <w:r>
        <w:rPr>
          <w:spacing w:val="-2"/>
        </w:rPr>
        <w:t>明</w:t>
      </w:r>
      <w:r>
        <w:rPr>
          <w:spacing w:val="-2"/>
        </w:rPr>
        <w:t>”的给付标准，但满</w:t>
      </w:r>
      <w:r>
        <w:rPr>
          <w:spacing w:val="-2"/>
        </w:rPr>
        <w:t>足</w:t>
      </w:r>
      <w:r>
        <w:rPr>
          <w:spacing w:val="-2"/>
        </w:rPr>
        <w:t>下</w:t>
      </w:r>
      <w:r>
        <w:rPr>
          <w:spacing w:val="-2"/>
        </w:rPr>
        <w:t>列全部条件：</w:t>
      </w:r>
    </w:p>
    <w:p>
      <w:pPr>
        <w:pStyle w:val="BodyText"/>
        <w:spacing w:line="278" w:lineRule="auto" w:before="25"/>
        <w:ind w:left="3081" w:right="375"/>
      </w:pPr>
      <w:r>
        <w:rPr>
          <w:spacing w:val="-10"/>
        </w:rPr>
        <w:t>Ⅰ 双眼中较好眼矫正视力低于 </w:t>
      </w:r>
      <w:r>
        <w:rPr/>
        <w:t>0.1（采用国际标准视力表，如果使用其他视力表</w:t>
      </w:r>
      <w:r>
        <w:rPr>
          <w:spacing w:val="-2"/>
        </w:rPr>
        <w:t>应进行换算</w:t>
      </w:r>
      <w:r>
        <w:rPr>
          <w:spacing w:val="-106"/>
        </w:rPr>
        <w:t>）</w:t>
      </w:r>
      <w:r>
        <w:rPr/>
        <w:t>；</w:t>
      </w:r>
    </w:p>
    <w:p>
      <w:pPr>
        <w:pStyle w:val="BodyText"/>
        <w:spacing w:line="269" w:lineRule="exact"/>
        <w:ind w:left="3081"/>
      </w:pPr>
      <w:r>
        <w:rPr>
          <w:spacing w:val="-9"/>
        </w:rPr>
        <w:t>Ⅱ 双眼中较好眼视野半径小于 </w:t>
      </w:r>
      <w:r>
        <w:rPr/>
        <w:t>20</w:t>
      </w:r>
      <w:r>
        <w:rPr>
          <w:spacing w:val="-22"/>
        </w:rPr>
        <w:t> 度。</w:t>
      </w:r>
    </w:p>
    <w:p>
      <w:pPr>
        <w:spacing w:line="242" w:lineRule="auto" w:before="22"/>
        <w:ind w:left="3081" w:right="327" w:firstLine="0"/>
        <w:jc w:val="left"/>
        <w:rPr>
          <w:rFonts w:ascii="黑体" w:eastAsia="黑体" w:hint="eastAsia"/>
          <w:b/>
          <w:sz w:val="21"/>
        </w:rPr>
      </w:pPr>
      <w:r>
        <w:rPr>
          <w:rFonts w:ascii="黑体" w:eastAsia="黑体" w:hint="eastAsia"/>
          <w:b/>
          <w:spacing w:val="-4"/>
          <w:sz w:val="21"/>
        </w:rPr>
        <w:t>申请理赔时，被保险人年龄必须在 </w:t>
      </w:r>
      <w:r>
        <w:rPr>
          <w:rFonts w:ascii="黑体" w:eastAsia="黑体" w:hint="eastAsia"/>
          <w:b/>
          <w:spacing w:val="-2"/>
          <w:sz w:val="21"/>
        </w:rPr>
        <w:t>3</w:t>
      </w:r>
      <w:r>
        <w:rPr>
          <w:rFonts w:ascii="黑体" w:eastAsia="黑体" w:hint="eastAsia"/>
          <w:b/>
          <w:spacing w:val="-9"/>
          <w:sz w:val="21"/>
        </w:rPr>
        <w:t> 周岁以上，并需提供被保险人 </w:t>
      </w:r>
      <w:r>
        <w:rPr>
          <w:rFonts w:ascii="黑体" w:eastAsia="黑体" w:hint="eastAsia"/>
          <w:b/>
          <w:spacing w:val="-2"/>
          <w:sz w:val="21"/>
        </w:rPr>
        <w:t>3</w:t>
      </w:r>
      <w:r>
        <w:rPr>
          <w:rFonts w:ascii="黑体" w:eastAsia="黑体" w:hint="eastAsia"/>
          <w:b/>
          <w:spacing w:val="-7"/>
          <w:sz w:val="21"/>
        </w:rPr>
        <w:t> 周岁以后的</w:t>
      </w:r>
      <w:r>
        <w:rPr>
          <w:rFonts w:ascii="黑体" w:eastAsia="黑体" w:hint="eastAsia"/>
          <w:b/>
          <w:spacing w:val="-2"/>
          <w:sz w:val="21"/>
        </w:rPr>
        <w:t>视力丧失诊断及相关检查报告，双侧眼球摘除不受此时间限制。</w:t>
      </w:r>
    </w:p>
    <w:p>
      <w:pPr>
        <w:pStyle w:val="BodyText"/>
        <w:spacing w:before="8"/>
        <w:rPr>
          <w:rFonts w:ascii="黑体"/>
          <w:b/>
          <w:sz w:val="19"/>
        </w:rPr>
      </w:pPr>
    </w:p>
    <w:p>
      <w:pPr>
        <w:tabs>
          <w:tab w:pos="3081" w:val="left" w:leader="none"/>
        </w:tabs>
        <w:spacing w:line="211" w:lineRule="auto" w:before="0"/>
        <w:ind w:left="3081" w:right="324" w:hanging="1949"/>
        <w:jc w:val="left"/>
        <w:rPr>
          <w:rFonts w:ascii="黑体" w:eastAsia="黑体" w:hint="eastAsia"/>
          <w:b/>
          <w:sz w:val="21"/>
        </w:rPr>
      </w:pPr>
      <w:r>
        <w:rPr>
          <w:rFonts w:ascii="华文新魏" w:eastAsia="华文新魏" w:hint="eastAsia"/>
          <w:b/>
          <w:spacing w:val="-2"/>
          <w:sz w:val="21"/>
        </w:rPr>
        <w:t>43</w:t>
      </w:r>
      <w:r>
        <w:rPr>
          <w:rFonts w:ascii="华文新魏" w:eastAsia="华文新魏" w:hint="eastAsia"/>
          <w:b/>
          <w:spacing w:val="-2"/>
          <w:sz w:val="21"/>
        </w:rPr>
        <w:t>、</w:t>
      </w:r>
      <w:r>
        <w:rPr>
          <w:rFonts w:ascii="华文新魏" w:eastAsia="华文新魏" w:hint="eastAsia"/>
          <w:b/>
          <w:spacing w:val="-2"/>
          <w:sz w:val="21"/>
        </w:rPr>
        <w:t>角</w:t>
      </w:r>
      <w:r>
        <w:rPr>
          <w:rFonts w:ascii="华文新魏" w:eastAsia="华文新魏" w:hint="eastAsia"/>
          <w:b/>
          <w:spacing w:val="-2"/>
          <w:sz w:val="21"/>
        </w:rPr>
        <w:t>膜</w:t>
      </w:r>
      <w:r>
        <w:rPr>
          <w:rFonts w:ascii="华文新魏" w:eastAsia="华文新魏" w:hint="eastAsia"/>
          <w:b/>
          <w:spacing w:val="-2"/>
          <w:sz w:val="21"/>
        </w:rPr>
        <w:t>移</w:t>
      </w:r>
      <w:r>
        <w:rPr>
          <w:rFonts w:ascii="华文新魏" w:eastAsia="华文新魏" w:hint="eastAsia"/>
          <w:b/>
          <w:spacing w:val="-2"/>
          <w:sz w:val="21"/>
        </w:rPr>
        <w:t>植</w:t>
      </w:r>
      <w:r>
        <w:rPr>
          <w:rFonts w:ascii="华文新魏" w:eastAsia="华文新魏" w:hint="eastAsia"/>
          <w:b/>
          <w:sz w:val="21"/>
        </w:rPr>
        <w:tab/>
      </w:r>
      <w:r>
        <w:rPr>
          <w:spacing w:val="-2"/>
          <w:sz w:val="21"/>
        </w:rPr>
        <w:t>指</w:t>
      </w:r>
      <w:r>
        <w:rPr>
          <w:spacing w:val="-2"/>
          <w:sz w:val="21"/>
        </w:rPr>
        <w:t>为</w:t>
      </w:r>
      <w:r>
        <w:rPr>
          <w:spacing w:val="-2"/>
          <w:sz w:val="21"/>
        </w:rPr>
        <w:t>增</w:t>
      </w:r>
      <w:r>
        <w:rPr>
          <w:spacing w:val="-2"/>
          <w:sz w:val="21"/>
        </w:rPr>
        <w:t>进</w:t>
      </w:r>
      <w:r>
        <w:rPr>
          <w:spacing w:val="-2"/>
          <w:sz w:val="21"/>
        </w:rPr>
        <w:t>视</w:t>
      </w:r>
      <w:r>
        <w:rPr>
          <w:spacing w:val="-2"/>
          <w:sz w:val="21"/>
        </w:rPr>
        <w:t>力</w:t>
      </w:r>
      <w:r>
        <w:rPr>
          <w:spacing w:val="-2"/>
          <w:sz w:val="21"/>
        </w:rPr>
        <w:t>或</w:t>
      </w:r>
      <w:r>
        <w:rPr>
          <w:spacing w:val="-2"/>
          <w:sz w:val="21"/>
        </w:rPr>
        <w:t>治</w:t>
      </w:r>
      <w:r>
        <w:rPr>
          <w:spacing w:val="-2"/>
          <w:sz w:val="21"/>
        </w:rPr>
        <w:t>疗</w:t>
      </w:r>
      <w:r>
        <w:rPr>
          <w:spacing w:val="-2"/>
          <w:sz w:val="21"/>
        </w:rPr>
        <w:t>某</w:t>
      </w:r>
      <w:r>
        <w:rPr>
          <w:spacing w:val="-2"/>
          <w:sz w:val="21"/>
        </w:rPr>
        <w:t>些</w:t>
      </w:r>
      <w:r>
        <w:rPr>
          <w:spacing w:val="-2"/>
          <w:sz w:val="21"/>
        </w:rPr>
        <w:t>角</w:t>
      </w:r>
      <w:r>
        <w:rPr>
          <w:spacing w:val="-2"/>
          <w:sz w:val="21"/>
        </w:rPr>
        <w:t>膜</w:t>
      </w:r>
      <w:r>
        <w:rPr>
          <w:spacing w:val="-2"/>
          <w:sz w:val="21"/>
        </w:rPr>
        <w:t>疾</w:t>
      </w:r>
      <w:r>
        <w:rPr>
          <w:spacing w:val="-2"/>
          <w:sz w:val="21"/>
        </w:rPr>
        <w:t>患</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异</w:t>
      </w:r>
      <w:r>
        <w:rPr>
          <w:spacing w:val="-2"/>
          <w:sz w:val="21"/>
        </w:rPr>
        <w:t>体</w:t>
      </w:r>
      <w:r>
        <w:rPr>
          <w:spacing w:val="-2"/>
          <w:sz w:val="21"/>
        </w:rPr>
        <w:t>的</w:t>
      </w:r>
      <w:r>
        <w:rPr>
          <w:spacing w:val="-2"/>
          <w:sz w:val="21"/>
        </w:rPr>
        <w:t>角</w:t>
      </w:r>
      <w:r>
        <w:rPr>
          <w:spacing w:val="-2"/>
          <w:sz w:val="21"/>
        </w:rPr>
        <w:t>膜</w:t>
      </w:r>
      <w:r>
        <w:rPr>
          <w:spacing w:val="-2"/>
          <w:sz w:val="21"/>
        </w:rPr>
        <w:t>移</w:t>
      </w:r>
      <w:r>
        <w:rPr>
          <w:spacing w:val="-2"/>
          <w:sz w:val="21"/>
        </w:rPr>
        <w:t>植</w:t>
      </w:r>
      <w:r>
        <w:rPr>
          <w:spacing w:val="-2"/>
          <w:sz w:val="21"/>
        </w:rPr>
        <w:t>手</w:t>
      </w:r>
      <w:r>
        <w:rPr>
          <w:spacing w:val="-2"/>
          <w:sz w:val="21"/>
        </w:rPr>
        <w:t>术</w:t>
      </w:r>
      <w:r>
        <w:rPr>
          <w:spacing w:val="-2"/>
          <w:sz w:val="21"/>
        </w:rPr>
        <w:t>。</w:t>
      </w:r>
      <w:r>
        <w:rPr>
          <w:rFonts w:ascii="黑体" w:eastAsia="黑体" w:hint="eastAsia"/>
          <w:b/>
          <w:spacing w:val="-2"/>
          <w:sz w:val="21"/>
        </w:rPr>
        <w:t>此</w:t>
      </w:r>
      <w:r>
        <w:rPr>
          <w:rFonts w:ascii="黑体" w:eastAsia="黑体" w:hint="eastAsia"/>
          <w:b/>
          <w:spacing w:val="-2"/>
          <w:sz w:val="21"/>
        </w:rPr>
        <w:t>手</w:t>
      </w:r>
      <w:r>
        <w:rPr>
          <w:rFonts w:ascii="黑体" w:eastAsia="黑体" w:hint="eastAsia"/>
          <w:b/>
          <w:spacing w:val="-2"/>
          <w:sz w:val="21"/>
        </w:rPr>
        <w:t>术</w:t>
      </w:r>
      <w:r>
        <w:rPr>
          <w:rFonts w:ascii="黑体" w:eastAsia="黑体" w:hint="eastAsia"/>
          <w:b/>
          <w:spacing w:val="-2"/>
          <w:sz w:val="21"/>
        </w:rPr>
        <w:t>必</w:t>
      </w:r>
      <w:r>
        <w:rPr>
          <w:rFonts w:ascii="黑体" w:eastAsia="黑体" w:hint="eastAsia"/>
          <w:b/>
          <w:spacing w:val="-2"/>
          <w:sz w:val="21"/>
        </w:rPr>
        <w:t>须</w:t>
      </w:r>
      <w:r>
        <w:rPr>
          <w:rFonts w:ascii="黑体" w:eastAsia="黑体" w:hint="eastAsia"/>
          <w:b/>
          <w:spacing w:val="-2"/>
          <w:sz w:val="21"/>
        </w:rPr>
        <w:t>在</w:t>
      </w:r>
      <w:r>
        <w:rPr>
          <w:rFonts w:ascii="黑体" w:eastAsia="黑体" w:hint="eastAsia"/>
          <w:b/>
          <w:spacing w:val="-2"/>
          <w:sz w:val="21"/>
        </w:rPr>
        <w:t>本</w:t>
      </w:r>
      <w:r>
        <w:rPr>
          <w:rFonts w:ascii="黑体" w:eastAsia="黑体" w:hint="eastAsia"/>
          <w:b/>
          <w:spacing w:val="-2"/>
          <w:sz w:val="21"/>
        </w:rPr>
        <w:t>公</w:t>
      </w:r>
      <w:r>
        <w:rPr>
          <w:rFonts w:ascii="黑体" w:eastAsia="黑体" w:hint="eastAsia"/>
          <w:b/>
          <w:spacing w:val="-2"/>
          <w:sz w:val="21"/>
        </w:rPr>
        <w:t>司</w:t>
      </w:r>
      <w:r>
        <w:rPr>
          <w:rFonts w:ascii="黑体" w:eastAsia="黑体" w:hint="eastAsia"/>
          <w:b/>
          <w:spacing w:val="-2"/>
          <w:sz w:val="21"/>
        </w:rPr>
        <w:t>认</w:t>
      </w:r>
      <w:r>
        <w:rPr>
          <w:rFonts w:ascii="黑体" w:eastAsia="黑体" w:hint="eastAsia"/>
          <w:b/>
          <w:spacing w:val="-2"/>
          <w:sz w:val="21"/>
        </w:rPr>
        <w:t>可</w:t>
      </w:r>
      <w:r>
        <w:rPr>
          <w:rFonts w:ascii="黑体" w:eastAsia="黑体" w:hint="eastAsia"/>
          <w:b/>
          <w:spacing w:val="-2"/>
          <w:sz w:val="21"/>
        </w:rPr>
        <w:t>医</w:t>
      </w:r>
      <w:r>
        <w:rPr>
          <w:rFonts w:ascii="黑体" w:eastAsia="黑体" w:hint="eastAsia"/>
          <w:b/>
          <w:spacing w:val="-2"/>
          <w:sz w:val="21"/>
        </w:rPr>
        <w:t>院内由</w:t>
      </w:r>
      <w:r>
        <w:rPr>
          <w:rFonts w:ascii="黑体" w:eastAsia="黑体" w:hint="eastAsia"/>
          <w:b/>
          <w:spacing w:val="-2"/>
          <w:sz w:val="21"/>
        </w:rPr>
        <w:t>专</w:t>
      </w:r>
      <w:r>
        <w:rPr>
          <w:rFonts w:ascii="黑体" w:eastAsia="黑体" w:hint="eastAsia"/>
          <w:b/>
          <w:spacing w:val="-2"/>
          <w:sz w:val="21"/>
        </w:rPr>
        <w:t>科</w:t>
      </w:r>
      <w:r>
        <w:rPr>
          <w:rFonts w:ascii="黑体" w:eastAsia="黑体" w:hint="eastAsia"/>
          <w:b/>
          <w:spacing w:val="-2"/>
          <w:sz w:val="21"/>
        </w:rPr>
        <w:t>医</w:t>
      </w:r>
      <w:r>
        <w:rPr>
          <w:rFonts w:ascii="黑体" w:eastAsia="黑体" w:hint="eastAsia"/>
          <w:b/>
          <w:spacing w:val="-2"/>
          <w:sz w:val="21"/>
        </w:rPr>
        <w:t>生</w:t>
      </w:r>
      <w:r>
        <w:rPr>
          <w:rFonts w:ascii="黑体" w:eastAsia="黑体" w:hint="eastAsia"/>
          <w:b/>
          <w:spacing w:val="-2"/>
          <w:sz w:val="21"/>
        </w:rPr>
        <w:t>认</w:t>
      </w:r>
      <w:r>
        <w:rPr>
          <w:rFonts w:ascii="黑体" w:eastAsia="黑体" w:hint="eastAsia"/>
          <w:b/>
          <w:spacing w:val="-2"/>
          <w:sz w:val="21"/>
        </w:rPr>
        <w:t>为</w:t>
      </w:r>
      <w:r>
        <w:rPr>
          <w:rFonts w:ascii="黑体" w:eastAsia="黑体" w:hint="eastAsia"/>
          <w:b/>
          <w:spacing w:val="-2"/>
          <w:sz w:val="21"/>
        </w:rPr>
        <w:t>是</w:t>
      </w:r>
      <w:r>
        <w:rPr>
          <w:rFonts w:ascii="黑体" w:eastAsia="黑体" w:hint="eastAsia"/>
          <w:b/>
          <w:spacing w:val="-2"/>
          <w:sz w:val="21"/>
        </w:rPr>
        <w:t>医</w:t>
      </w:r>
      <w:r>
        <w:rPr>
          <w:rFonts w:ascii="黑体" w:eastAsia="黑体" w:hint="eastAsia"/>
          <w:b/>
          <w:spacing w:val="-2"/>
          <w:sz w:val="21"/>
        </w:rPr>
        <w:t>疗必须</w:t>
      </w:r>
      <w:r>
        <w:rPr>
          <w:rFonts w:ascii="黑体" w:eastAsia="黑体" w:hint="eastAsia"/>
          <w:b/>
          <w:spacing w:val="-2"/>
          <w:sz w:val="21"/>
        </w:rPr>
        <w:t>的</w:t>
      </w:r>
      <w:r>
        <w:rPr>
          <w:rFonts w:ascii="黑体" w:eastAsia="黑体" w:hint="eastAsia"/>
          <w:b/>
          <w:spacing w:val="-2"/>
          <w:sz w:val="21"/>
        </w:rPr>
        <w:t>情</w:t>
      </w:r>
      <w:r>
        <w:rPr>
          <w:rFonts w:ascii="黑体" w:eastAsia="黑体" w:hint="eastAsia"/>
          <w:b/>
          <w:spacing w:val="-2"/>
          <w:sz w:val="21"/>
        </w:rPr>
        <w:t>况</w:t>
      </w:r>
      <w:r>
        <w:rPr>
          <w:rFonts w:ascii="黑体" w:eastAsia="黑体" w:hint="eastAsia"/>
          <w:b/>
          <w:spacing w:val="-2"/>
          <w:sz w:val="21"/>
        </w:rPr>
        <w:t>下</w:t>
      </w:r>
      <w:r>
        <w:rPr>
          <w:rFonts w:ascii="黑体" w:eastAsia="黑体" w:hint="eastAsia"/>
          <w:b/>
          <w:spacing w:val="-2"/>
          <w:sz w:val="21"/>
        </w:rPr>
        <w:t>进</w:t>
      </w:r>
      <w:r>
        <w:rPr>
          <w:rFonts w:ascii="黑体" w:eastAsia="黑体" w:hint="eastAsia"/>
          <w:b/>
          <w:spacing w:val="-2"/>
          <w:sz w:val="21"/>
        </w:rPr>
        <w:t>行</w:t>
      </w:r>
      <w:r>
        <w:rPr>
          <w:rFonts w:ascii="黑体" w:eastAsia="黑体" w:hint="eastAsia"/>
          <w:b/>
          <w:spacing w:val="-2"/>
          <w:sz w:val="21"/>
        </w:rPr>
        <w:t>。</w:t>
      </w:r>
    </w:p>
    <w:p>
      <w:pPr>
        <w:pStyle w:val="BodyText"/>
        <w:spacing w:before="3"/>
        <w:rPr>
          <w:rFonts w:ascii="黑体"/>
          <w:b/>
          <w:sz w:val="18"/>
        </w:rPr>
      </w:pPr>
    </w:p>
    <w:p>
      <w:pPr>
        <w:pStyle w:val="BodyText"/>
        <w:tabs>
          <w:tab w:pos="3081" w:val="left" w:leader="none"/>
        </w:tabs>
        <w:spacing w:line="256" w:lineRule="auto" w:before="1"/>
        <w:ind w:left="3081" w:right="216" w:hanging="1949"/>
      </w:pPr>
      <w:r>
        <w:rPr>
          <w:rFonts w:ascii="华文新魏" w:hAnsi="华文新魏" w:eastAsia="华文新魏" w:hint="eastAsia"/>
          <w:b/>
          <w:spacing w:val="-2"/>
          <w:position w:val="2"/>
        </w:rPr>
        <w:t>44</w:t>
      </w:r>
      <w:r>
        <w:rPr>
          <w:rFonts w:ascii="华文新魏" w:hAnsi="华文新魏" w:eastAsia="华文新魏" w:hint="eastAsia"/>
          <w:b/>
          <w:spacing w:val="-2"/>
          <w:position w:val="2"/>
        </w:rPr>
        <w:t>、</w:t>
      </w:r>
      <w:r>
        <w:rPr>
          <w:rFonts w:ascii="华文新魏" w:hAnsi="华文新魏" w:eastAsia="华文新魏" w:hint="eastAsia"/>
          <w:b/>
          <w:spacing w:val="-2"/>
          <w:position w:val="2"/>
        </w:rPr>
        <w:t>单</w:t>
      </w:r>
      <w:r>
        <w:rPr>
          <w:rFonts w:ascii="华文新魏" w:hAnsi="华文新魏" w:eastAsia="华文新魏" w:hint="eastAsia"/>
          <w:b/>
          <w:spacing w:val="-2"/>
          <w:position w:val="2"/>
        </w:rPr>
        <w:t>目</w:t>
      </w:r>
      <w:r>
        <w:rPr>
          <w:rFonts w:ascii="华文新魏" w:hAnsi="华文新魏" w:eastAsia="华文新魏" w:hint="eastAsia"/>
          <w:b/>
          <w:spacing w:val="-2"/>
          <w:position w:val="2"/>
        </w:rPr>
        <w:t>失</w:t>
      </w:r>
      <w:r>
        <w:rPr>
          <w:rFonts w:ascii="华文新魏" w:hAnsi="华文新魏" w:eastAsia="华文新魏" w:hint="eastAsia"/>
          <w:b/>
          <w:spacing w:val="-2"/>
          <w:position w:val="2"/>
        </w:rPr>
        <w:t>明</w:t>
      </w:r>
      <w:r>
        <w:rPr>
          <w:rFonts w:ascii="华文新魏" w:hAnsi="华文新魏" w:eastAsia="华文新魏" w:hint="eastAsia"/>
          <w:b/>
          <w:position w:val="2"/>
        </w:rPr>
        <w:tab/>
      </w:r>
      <w:r>
        <w:rPr>
          <w:spacing w:val="-2"/>
        </w:rPr>
        <w:t>指</w:t>
      </w:r>
      <w:r>
        <w:rPr>
          <w:spacing w:val="-2"/>
        </w:rPr>
        <w:t>因</w:t>
      </w:r>
      <w:r>
        <w:rPr>
          <w:spacing w:val="-2"/>
        </w:rPr>
        <w:t>疾病或意外伤害导致</w:t>
      </w:r>
      <w:r>
        <w:rPr>
          <w:spacing w:val="-2"/>
        </w:rPr>
        <w:t>单</w:t>
      </w:r>
      <w:r>
        <w:rPr>
          <w:spacing w:val="-2"/>
        </w:rPr>
        <w:t>眼</w:t>
      </w:r>
      <w:r>
        <w:rPr>
          <w:spacing w:val="-2"/>
        </w:rPr>
        <w:t>视力永久不可逆性丧</w:t>
      </w:r>
      <w:r>
        <w:rPr>
          <w:spacing w:val="-2"/>
        </w:rPr>
        <w:t>失</w:t>
      </w:r>
      <w:r>
        <w:rPr>
          <w:spacing w:val="-2"/>
        </w:rPr>
        <w:t>，须满足下列至少一项条件： </w:t>
      </w:r>
      <w:r>
        <w:rPr/>
        <w:t>Ⅰ 眼球缺失或摘除；</w:t>
      </w:r>
    </w:p>
    <w:p>
      <w:pPr>
        <w:pStyle w:val="BodyText"/>
        <w:spacing w:line="259" w:lineRule="auto" w:before="25"/>
        <w:ind w:left="3081" w:right="216"/>
      </w:pPr>
      <w:r>
        <w:rPr>
          <w:spacing w:val="-10"/>
        </w:rPr>
        <w:t>Ⅱ 矫正视力低于 </w:t>
      </w:r>
      <w:r>
        <w:rPr>
          <w:spacing w:val="-2"/>
        </w:rPr>
        <w:t>0.02（采用国际标准视力表，如果使用其它视力表应进行换算</w:t>
      </w:r>
      <w:r>
        <w:rPr>
          <w:spacing w:val="-106"/>
        </w:rPr>
        <w:t>）</w:t>
      </w:r>
      <w:r>
        <w:rPr/>
        <w:t>；</w:t>
      </w:r>
      <w:r>
        <w:rPr>
          <w:spacing w:val="-53"/>
        </w:rPr>
        <w:t> </w:t>
      </w:r>
      <w:r>
        <w:rPr>
          <w:spacing w:val="-2"/>
        </w:rPr>
        <w:t>Ⅲ 视野半径小于 </w:t>
      </w:r>
      <w:r>
        <w:rPr/>
        <w:t>5</w:t>
      </w:r>
      <w:r>
        <w:rPr>
          <w:spacing w:val="-6"/>
        </w:rPr>
        <w:t> 度。</w:t>
      </w:r>
    </w:p>
    <w:p>
      <w:pPr>
        <w:pStyle w:val="BodyText"/>
        <w:spacing w:before="9"/>
        <w:rPr>
          <w:sz w:val="10"/>
        </w:rPr>
      </w:pPr>
    </w:p>
    <w:p>
      <w:pPr>
        <w:spacing w:after="0"/>
        <w:rPr>
          <w:sz w:val="10"/>
        </w:rPr>
        <w:sectPr>
          <w:type w:val="continuous"/>
          <w:pgSz w:w="11910" w:h="16840"/>
          <w:pgMar w:header="0" w:footer="655" w:top="140" w:bottom="280" w:left="560" w:right="480"/>
        </w:sectPr>
      </w:pPr>
    </w:p>
    <w:p>
      <w:pPr>
        <w:spacing w:before="70"/>
        <w:ind w:left="1132" w:right="0" w:firstLine="0"/>
        <w:jc w:val="left"/>
        <w:rPr>
          <w:rFonts w:ascii="华文新魏" w:hAnsi="华文新魏" w:eastAsia="华文新魏" w:hint="eastAsia"/>
          <w:b/>
          <w:sz w:val="21"/>
        </w:rPr>
      </w:pPr>
      <w:r>
        <w:rPr>
          <w:rFonts w:ascii="华文新魏" w:hAnsi="华文新魏" w:eastAsia="华文新魏" w:hint="eastAsia"/>
          <w:b/>
          <w:spacing w:val="-2"/>
          <w:sz w:val="21"/>
        </w:rPr>
        <w:t>45、全身较小面积 </w:t>
      </w:r>
      <w:r>
        <w:rPr>
          <w:rFonts w:ascii="华文新魏" w:hAnsi="华文新魏" w:eastAsia="华文新魏" w:hint="eastAsia"/>
          <w:b/>
          <w:spacing w:val="-4"/>
          <w:sz w:val="21"/>
        </w:rPr>
        <w:t>Ⅲ度烧伤</w:t>
      </w:r>
    </w:p>
    <w:p>
      <w:pPr>
        <w:pStyle w:val="BodyText"/>
        <w:spacing w:line="242" w:lineRule="auto" w:before="71"/>
        <w:ind w:left="194" w:right="322"/>
      </w:pPr>
      <w:r>
        <w:rPr/>
        <w:br w:type="column"/>
      </w:r>
      <w:r>
        <w:rPr>
          <w:spacing w:val="-2"/>
        </w:rPr>
        <w:t>指烧伤程度为Ⅲ度，且Ⅲ度烧伤的面积达到全身体表面积的 </w:t>
      </w:r>
      <w:r>
        <w:rPr/>
        <w:t>15</w:t>
      </w:r>
      <w:r>
        <w:rPr>
          <w:spacing w:val="-19"/>
        </w:rPr>
        <w:t>%或 </w:t>
      </w:r>
      <w:r>
        <w:rPr/>
        <w:t>15%以上。体表</w:t>
      </w:r>
      <w:r>
        <w:rPr>
          <w:spacing w:val="-2"/>
        </w:rPr>
        <w:t>面积根据《中国新九分法》计算。</w:t>
      </w:r>
    </w:p>
    <w:p>
      <w:pPr>
        <w:spacing w:after="0" w:line="242" w:lineRule="auto"/>
        <w:sectPr>
          <w:type w:val="continuous"/>
          <w:pgSz w:w="11910" w:h="16840"/>
          <w:pgMar w:header="0" w:footer="655" w:top="140" w:bottom="280" w:left="560" w:right="480"/>
          <w:cols w:num="2" w:equalWidth="0">
            <w:col w:w="2847" w:space="40"/>
            <w:col w:w="7983"/>
          </w:cols>
        </w:sectPr>
      </w:pPr>
    </w:p>
    <w:p>
      <w:pPr>
        <w:pStyle w:val="BodyText"/>
        <w:spacing w:before="12"/>
        <w:rPr>
          <w:sz w:val="19"/>
        </w:rPr>
      </w:pPr>
    </w:p>
    <w:p>
      <w:pPr>
        <w:spacing w:after="0"/>
        <w:rPr>
          <w:sz w:val="19"/>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46、意外受伤所需</w:t>
      </w:r>
      <w:r>
        <w:rPr>
          <w:rFonts w:ascii="华文新魏" w:eastAsia="华文新魏" w:hint="eastAsia"/>
          <w:b/>
          <w:spacing w:val="-2"/>
          <w:sz w:val="21"/>
        </w:rPr>
        <w:t>的面部重建手术</w:t>
      </w:r>
    </w:p>
    <w:p>
      <w:pPr>
        <w:pStyle w:val="BodyText"/>
        <w:spacing w:line="278" w:lineRule="auto" w:before="78"/>
        <w:ind w:left="194" w:right="217"/>
      </w:pPr>
      <w:r>
        <w:rPr/>
        <w:br w:type="column"/>
      </w:r>
      <w:r>
        <w:rPr>
          <w:spacing w:val="-2"/>
        </w:rPr>
        <w:t>指为修复意外伤害或暴力袭击造成的面部毁损，实际接受了在全身麻醉的情況下，</w:t>
      </w:r>
      <w:r>
        <w:rPr>
          <w:spacing w:val="-9"/>
        </w:rPr>
        <w:t>由整形外科医生实施的对严重缺陷、缺失、损害或变形的面部形态和结构进行修复</w:t>
      </w:r>
      <w:r>
        <w:rPr>
          <w:spacing w:val="-7"/>
        </w:rPr>
        <w:t>或重建的面部整形手术。面部整形手术必须在意外伤害后的 </w:t>
      </w:r>
      <w:r>
        <w:rPr/>
        <w:t>180</w:t>
      </w:r>
      <w:r>
        <w:rPr>
          <w:spacing w:val="-10"/>
        </w:rPr>
        <w:t> 天内实施。因面部</w:t>
      </w:r>
      <w:r>
        <w:rPr>
          <w:spacing w:val="-6"/>
        </w:rPr>
        <w:t>外伤后遗留的线条状瘢痕及色素沉着而施行的手术不在保障范围内。意外伤害必须</w:t>
      </w:r>
      <w:r>
        <w:rPr>
          <w:spacing w:val="-2"/>
        </w:rPr>
        <w:t>满足下列全部条件：</w:t>
      </w:r>
    </w:p>
    <w:p>
      <w:pPr>
        <w:pStyle w:val="BodyText"/>
        <w:spacing w:line="278" w:lineRule="auto"/>
        <w:ind w:left="194" w:right="322"/>
      </w:pPr>
      <w:r>
        <w:rPr>
          <w:spacing w:val="-6"/>
        </w:rPr>
        <w:t>Ⅰ 由外在暴力引起并且造成表面可视性伤口和面部骨结构损害的，或面部皮肤三</w:t>
      </w:r>
      <w:r>
        <w:rPr>
          <w:spacing w:val="-2"/>
        </w:rPr>
        <w:t>度或全层意外烧伤；</w:t>
      </w:r>
    </w:p>
    <w:p>
      <w:pPr>
        <w:pStyle w:val="BodyText"/>
        <w:spacing w:line="248" w:lineRule="exact"/>
        <w:ind w:left="194"/>
      </w:pPr>
      <w:r>
        <w:rPr>
          <w:spacing w:val="-6"/>
        </w:rPr>
        <w:t>Ⅱ 是造成面部毁损的直接和独立的原因。</w:t>
      </w:r>
    </w:p>
    <w:p>
      <w:pPr>
        <w:spacing w:after="0" w:line="248" w:lineRule="exact"/>
        <w:sectPr>
          <w:type w:val="continuous"/>
          <w:pgSz w:w="11910" w:h="16840"/>
          <w:pgMar w:header="0" w:footer="655" w:top="140" w:bottom="280" w:left="560" w:right="480"/>
          <w:cols w:num="2" w:equalWidth="0">
            <w:col w:w="2847" w:space="40"/>
            <w:col w:w="7983"/>
          </w:cols>
        </w:sectPr>
      </w:pPr>
    </w:p>
    <w:p>
      <w:pPr>
        <w:pStyle w:val="BodyText"/>
        <w:spacing w:before="1"/>
        <w:rPr>
          <w:sz w:val="20"/>
        </w:rPr>
      </w:pPr>
    </w:p>
    <w:p>
      <w:pPr>
        <w:spacing w:after="0"/>
        <w:rPr>
          <w:sz w:val="20"/>
        </w:rPr>
        <w:sectPr>
          <w:type w:val="continuous"/>
          <w:pgSz w:w="11910" w:h="16840"/>
          <w:pgMar w:header="0" w:footer="655" w:top="140" w:bottom="280" w:left="560" w:right="480"/>
        </w:sectPr>
      </w:pPr>
    </w:p>
    <w:p>
      <w:pPr>
        <w:spacing w:before="55"/>
        <w:ind w:left="1132" w:right="0" w:firstLine="0"/>
        <w:jc w:val="left"/>
        <w:rPr>
          <w:rFonts w:ascii="华文新魏" w:eastAsia="华文新魏" w:hint="eastAsia"/>
          <w:b/>
          <w:sz w:val="21"/>
        </w:rPr>
      </w:pPr>
      <w:r>
        <w:rPr>
          <w:rFonts w:ascii="华文新魏" w:eastAsia="华文新魏" w:hint="eastAsia"/>
          <w:b/>
          <w:spacing w:val="-2"/>
          <w:sz w:val="21"/>
        </w:rPr>
        <w:t>47、中度严重类风</w:t>
      </w:r>
      <w:r>
        <w:rPr>
          <w:rFonts w:ascii="华文新魏" w:eastAsia="华文新魏" w:hint="eastAsia"/>
          <w:b/>
          <w:spacing w:val="-2"/>
          <w:sz w:val="21"/>
        </w:rPr>
        <w:t>湿性关节炎</w:t>
      </w:r>
    </w:p>
    <w:p>
      <w:pPr>
        <w:pStyle w:val="BodyText"/>
        <w:spacing w:line="278" w:lineRule="auto" w:before="78"/>
        <w:ind w:left="194" w:right="322"/>
      </w:pPr>
      <w:r>
        <w:rPr/>
        <w:br w:type="column"/>
      </w:r>
      <w:r>
        <w:rPr>
          <w:spacing w:val="-4"/>
        </w:rPr>
        <w:t>指一种慢性自身免疫性疾病，主要表现为慢性、进行性多关节病变。本病须经专科</w:t>
      </w:r>
      <w:r>
        <w:rPr>
          <w:spacing w:val="-2"/>
        </w:rPr>
        <w:t>医生明确诊断，须满足下列所有条件:</w:t>
      </w:r>
    </w:p>
    <w:p>
      <w:pPr>
        <w:pStyle w:val="BodyText"/>
        <w:spacing w:line="278" w:lineRule="auto"/>
        <w:ind w:left="194" w:right="322"/>
      </w:pPr>
      <w:r>
        <w:rPr>
          <w:spacing w:val="-6"/>
        </w:rPr>
        <w:t>Ⅰ 至少包括下列关节中的二组或以上有广泛受损和畸形改变：双手指关节、双腕</w:t>
      </w:r>
      <w:r>
        <w:rPr>
          <w:spacing w:val="-2"/>
        </w:rPr>
        <w:t>关节、双肘关节、双膝关节、双髋关节、双踝关节、脊椎或双脚趾关节；</w:t>
      </w:r>
    </w:p>
    <w:p>
      <w:pPr>
        <w:pStyle w:val="BodyText"/>
        <w:spacing w:line="278" w:lineRule="auto"/>
        <w:ind w:left="194" w:right="3385"/>
      </w:pPr>
      <w:r>
        <w:rPr>
          <w:spacing w:val="-7"/>
        </w:rPr>
        <w:t>Ⅱ </w:t>
      </w:r>
      <w:r>
        <w:rPr/>
        <w:t>X</w:t>
      </w:r>
      <w:r>
        <w:rPr>
          <w:spacing w:val="-4"/>
        </w:rPr>
        <w:t> 线检查可见类风湿性关节炎的典型变化；</w:t>
      </w:r>
      <w:r>
        <w:rPr/>
        <w:t> </w:t>
      </w:r>
      <w:r>
        <w:rPr>
          <w:spacing w:val="-1"/>
        </w:rPr>
        <w:t>Ⅲ 关节的畸形改变至少持续 </w:t>
      </w:r>
      <w:r>
        <w:rPr/>
        <w:t>180</w:t>
      </w:r>
      <w:r>
        <w:rPr>
          <w:spacing w:val="-6"/>
        </w:rPr>
        <w:t> 天；</w:t>
      </w:r>
    </w:p>
    <w:p>
      <w:pPr>
        <w:spacing w:after="0" w:line="278" w:lineRule="auto"/>
        <w:sectPr>
          <w:type w:val="continuous"/>
          <w:pgSz w:w="11910" w:h="16840"/>
          <w:pgMar w:header="0" w:footer="655" w:top="140" w:bottom="280" w:left="560" w:right="480"/>
          <w:cols w:num="2" w:equalWidth="0">
            <w:col w:w="2847" w:space="40"/>
            <w:col w:w="7983"/>
          </w:cols>
        </w:sectPr>
      </w:pPr>
    </w:p>
    <w:p>
      <w:pPr>
        <w:pStyle w:val="BodyText"/>
        <w:spacing w:line="244" w:lineRule="auto" w:before="56"/>
        <w:ind w:left="3081" w:right="322"/>
      </w:pPr>
      <w:r>
        <w:rPr>
          <w:spacing w:val="-6"/>
        </w:rPr>
        <w:t>Ⅳ 自主生活能力完全丧失，无法独立完成六项基本日常生活活动中的二项或二项</w:t>
      </w:r>
      <w:r>
        <w:rPr>
          <w:spacing w:val="-3"/>
        </w:rPr>
        <w:t>以上，至少持续 </w:t>
      </w:r>
      <w:r>
        <w:rPr/>
        <w:t>180</w:t>
      </w:r>
      <w:r>
        <w:rPr>
          <w:spacing w:val="-9"/>
        </w:rPr>
        <w:t> 天。</w:t>
      </w:r>
    </w:p>
    <w:p>
      <w:pPr>
        <w:pStyle w:val="BodyText"/>
        <w:spacing w:before="8"/>
        <w:rPr>
          <w:sz w:val="19"/>
        </w:rPr>
      </w:pPr>
    </w:p>
    <w:p>
      <w:pPr>
        <w:spacing w:after="0"/>
        <w:rPr>
          <w:sz w:val="19"/>
        </w:rPr>
        <w:sectPr>
          <w:pgSz w:w="11910" w:h="16840"/>
          <w:pgMar w:header="0" w:footer="655" w:top="140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48、中度严重系统</w:t>
      </w:r>
      <w:r>
        <w:rPr>
          <w:rFonts w:ascii="华文新魏" w:eastAsia="华文新魏" w:hint="eastAsia"/>
          <w:b/>
          <w:spacing w:val="-2"/>
          <w:sz w:val="21"/>
        </w:rPr>
        <w:t>性红斑狼疮</w:t>
      </w:r>
    </w:p>
    <w:p>
      <w:pPr>
        <w:pStyle w:val="BodyText"/>
        <w:spacing w:line="278" w:lineRule="auto" w:before="79"/>
        <w:ind w:left="194" w:right="2196"/>
      </w:pPr>
      <w:r>
        <w:rPr/>
        <w:br w:type="column"/>
      </w:r>
      <w:r>
        <w:rPr>
          <w:spacing w:val="-2"/>
        </w:rPr>
        <w:t>本保障所指的系统性红斑狼疮必须符合下列所有理赔条件： </w:t>
      </w:r>
      <w:r>
        <w:rPr>
          <w:spacing w:val="-5"/>
        </w:rPr>
        <w:t>Ⅰ 在下列 </w:t>
      </w:r>
      <w:r>
        <w:rPr/>
        <w:t>5</w:t>
      </w:r>
      <w:r>
        <w:rPr>
          <w:spacing w:val="-8"/>
        </w:rPr>
        <w:t> 项情况中出现最少 </w:t>
      </w:r>
      <w:r>
        <w:rPr/>
        <w:t>2</w:t>
      </w:r>
      <w:r>
        <w:rPr>
          <w:spacing w:val="-10"/>
        </w:rPr>
        <w:t> 项：</w:t>
      </w:r>
    </w:p>
    <w:p>
      <w:pPr>
        <w:pStyle w:val="ListParagraph"/>
        <w:numPr>
          <w:ilvl w:val="2"/>
          <w:numId w:val="14"/>
        </w:numPr>
        <w:tabs>
          <w:tab w:pos="827" w:val="left" w:leader="none"/>
        </w:tabs>
        <w:spacing w:line="269" w:lineRule="exact" w:before="0" w:after="0"/>
        <w:ind w:left="826" w:right="0" w:hanging="318"/>
        <w:jc w:val="left"/>
        <w:rPr>
          <w:sz w:val="21"/>
        </w:rPr>
      </w:pPr>
      <w:r>
        <w:rPr>
          <w:spacing w:val="-3"/>
          <w:sz w:val="21"/>
        </w:rPr>
        <w:t>关节炎：非磨损性关节炎，需涉及两个或以上关节；</w:t>
      </w:r>
    </w:p>
    <w:p>
      <w:pPr>
        <w:pStyle w:val="ListParagraph"/>
        <w:numPr>
          <w:ilvl w:val="2"/>
          <w:numId w:val="14"/>
        </w:numPr>
        <w:tabs>
          <w:tab w:pos="827" w:val="left" w:leader="none"/>
        </w:tabs>
        <w:spacing w:line="240" w:lineRule="auto" w:before="43" w:after="0"/>
        <w:ind w:left="826" w:right="0" w:hanging="318"/>
        <w:jc w:val="left"/>
        <w:rPr>
          <w:sz w:val="21"/>
        </w:rPr>
      </w:pPr>
      <w:r>
        <w:rPr>
          <w:spacing w:val="-3"/>
          <w:sz w:val="21"/>
        </w:rPr>
        <w:t>浆膜炎：胸膜炎或心包炎；</w:t>
      </w:r>
    </w:p>
    <w:p>
      <w:pPr>
        <w:pStyle w:val="ListParagraph"/>
        <w:numPr>
          <w:ilvl w:val="2"/>
          <w:numId w:val="14"/>
        </w:numPr>
        <w:tabs>
          <w:tab w:pos="827" w:val="left" w:leader="none"/>
        </w:tabs>
        <w:spacing w:line="240" w:lineRule="auto" w:before="42" w:after="0"/>
        <w:ind w:left="826" w:right="0" w:hanging="318"/>
        <w:jc w:val="left"/>
        <w:rPr>
          <w:sz w:val="21"/>
        </w:rPr>
      </w:pPr>
      <w:r>
        <w:rPr>
          <w:spacing w:val="-2"/>
          <w:sz w:val="21"/>
        </w:rPr>
        <w:t>肾病：24</w:t>
      </w:r>
      <w:r>
        <w:rPr>
          <w:spacing w:val="-9"/>
          <w:sz w:val="21"/>
        </w:rPr>
        <w:t> 小时尿蛋白定量达到 </w:t>
      </w:r>
      <w:r>
        <w:rPr>
          <w:spacing w:val="-2"/>
          <w:sz w:val="21"/>
        </w:rPr>
        <w:t>0.5</w:t>
      </w:r>
      <w:r>
        <w:rPr>
          <w:spacing w:val="-10"/>
          <w:sz w:val="21"/>
        </w:rPr>
        <w:t> 克，或尿液检查出现细胞管型；</w:t>
      </w:r>
    </w:p>
    <w:p>
      <w:pPr>
        <w:pStyle w:val="ListParagraph"/>
        <w:numPr>
          <w:ilvl w:val="2"/>
          <w:numId w:val="14"/>
        </w:numPr>
        <w:tabs>
          <w:tab w:pos="827" w:val="left" w:leader="none"/>
        </w:tabs>
        <w:spacing w:line="240" w:lineRule="auto" w:before="43" w:after="0"/>
        <w:ind w:left="826" w:right="0" w:hanging="318"/>
        <w:jc w:val="left"/>
        <w:rPr>
          <w:sz w:val="21"/>
        </w:rPr>
      </w:pPr>
      <w:r>
        <w:rPr>
          <w:spacing w:val="-3"/>
          <w:sz w:val="21"/>
        </w:rPr>
        <w:t>血液学异常：溶血性贫血、白细胞减少、或血小板减少；</w:t>
      </w:r>
    </w:p>
    <w:p>
      <w:pPr>
        <w:pStyle w:val="ListParagraph"/>
        <w:numPr>
          <w:ilvl w:val="2"/>
          <w:numId w:val="14"/>
        </w:numPr>
        <w:tabs>
          <w:tab w:pos="827" w:val="left" w:leader="none"/>
        </w:tabs>
        <w:spacing w:line="240" w:lineRule="auto" w:before="43" w:after="0"/>
        <w:ind w:left="826" w:right="0" w:hanging="318"/>
        <w:jc w:val="left"/>
        <w:rPr>
          <w:sz w:val="21"/>
        </w:rPr>
      </w:pPr>
      <w:r>
        <w:rPr>
          <w:spacing w:val="2"/>
          <w:sz w:val="21"/>
        </w:rPr>
        <w:t>抗核抗体阳性、或抗</w:t>
      </w:r>
      <w:r>
        <w:rPr>
          <w:sz w:val="21"/>
        </w:rPr>
        <w:t>dsDNA</w:t>
      </w:r>
      <w:r>
        <w:rPr>
          <w:spacing w:val="-17"/>
          <w:sz w:val="21"/>
        </w:rPr>
        <w:t> 阳性，或抗 </w:t>
      </w:r>
      <w:r>
        <w:rPr>
          <w:sz w:val="21"/>
        </w:rPr>
        <w:t>Smith</w:t>
      </w:r>
      <w:r>
        <w:rPr>
          <w:spacing w:val="-12"/>
          <w:sz w:val="21"/>
        </w:rPr>
        <w:t> 抗体阳性。</w:t>
      </w:r>
    </w:p>
    <w:p>
      <w:pPr>
        <w:spacing w:line="244" w:lineRule="auto" w:before="22"/>
        <w:ind w:left="194" w:right="321" w:firstLine="0"/>
        <w:jc w:val="left"/>
        <w:rPr>
          <w:b/>
          <w:sz w:val="21"/>
        </w:rPr>
      </w:pPr>
      <w:r>
        <w:rPr>
          <w:sz w:val="21"/>
        </w:rPr>
        <w:t>Ⅱ </w:t>
      </w:r>
      <w:r>
        <w:rPr>
          <w:rFonts w:ascii="黑体" w:hAnsi="黑体" w:eastAsia="黑体" w:hint="eastAsia"/>
          <w:b/>
          <w:sz w:val="21"/>
        </w:rPr>
        <w:t>系统性红斑狼疮的诊断必须由本公司认可医院的风湿科或免疫系统专科医生</w:t>
      </w:r>
      <w:r>
        <w:rPr>
          <w:rFonts w:ascii="黑体" w:hAnsi="黑体" w:eastAsia="黑体" w:hint="eastAsia"/>
          <w:b/>
          <w:spacing w:val="-4"/>
          <w:sz w:val="21"/>
        </w:rPr>
        <w:t>确定</w:t>
      </w:r>
      <w:r>
        <w:rPr>
          <w:b/>
          <w:spacing w:val="-4"/>
          <w:sz w:val="21"/>
        </w:rPr>
        <w:t>。</w:t>
      </w:r>
    </w:p>
    <w:p>
      <w:pPr>
        <w:spacing w:after="0" w:line="244" w:lineRule="auto"/>
        <w:jc w:val="left"/>
        <w:rPr>
          <w:sz w:val="21"/>
        </w:rPr>
        <w:sectPr>
          <w:type w:val="continuous"/>
          <w:pgSz w:w="11910" w:h="16840"/>
          <w:pgMar w:header="0" w:footer="655" w:top="140" w:bottom="280" w:left="560" w:right="480"/>
          <w:cols w:num="2" w:equalWidth="0">
            <w:col w:w="2847" w:space="40"/>
            <w:col w:w="7983"/>
          </w:cols>
        </w:sectPr>
      </w:pPr>
    </w:p>
    <w:p>
      <w:pPr>
        <w:pStyle w:val="BodyText"/>
        <w:spacing w:before="8"/>
        <w:rPr>
          <w:b/>
          <w:sz w:val="19"/>
        </w:rPr>
      </w:pPr>
    </w:p>
    <w:p>
      <w:pPr>
        <w:spacing w:after="0"/>
        <w:rPr>
          <w:sz w:val="19"/>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49、严重阻塞性睡</w:t>
      </w:r>
      <w:r>
        <w:rPr>
          <w:rFonts w:ascii="华文新魏" w:eastAsia="华文新魏" w:hint="eastAsia"/>
          <w:b/>
          <w:spacing w:val="-4"/>
          <w:sz w:val="21"/>
        </w:rPr>
        <w:t>眠窒息症</w:t>
      </w:r>
    </w:p>
    <w:p>
      <w:pPr>
        <w:pStyle w:val="BodyText"/>
        <w:spacing w:line="278" w:lineRule="auto" w:before="78"/>
        <w:ind w:left="194" w:right="322"/>
      </w:pPr>
      <w:r>
        <w:rPr/>
        <w:br w:type="column"/>
      </w:r>
      <w:r>
        <w:rPr>
          <w:spacing w:val="-9"/>
        </w:rPr>
        <w:t>必须经本公司认可的呼吸科专科医生，通过多导睡眠监测仪检查明确诊断为严重阻</w:t>
      </w:r>
      <w:r>
        <w:rPr>
          <w:spacing w:val="-2"/>
        </w:rPr>
        <w:t>塞性睡眠呼吸暂停综合征</w:t>
      </w:r>
      <w:r>
        <w:rPr>
          <w:spacing w:val="16"/>
        </w:rPr>
        <w:t>（OSA</w:t>
      </w:r>
      <w:r>
        <w:rPr>
          <w:spacing w:val="-92"/>
        </w:rPr>
        <w:t>）</w:t>
      </w:r>
      <w:r>
        <w:rPr>
          <w:spacing w:val="-2"/>
        </w:rPr>
        <w:t>，并必须同时符合以下两项条件：</w:t>
      </w:r>
    </w:p>
    <w:p>
      <w:pPr>
        <w:pStyle w:val="BodyText"/>
        <w:spacing w:line="269" w:lineRule="exact"/>
        <w:ind w:left="194"/>
      </w:pPr>
      <w:r>
        <w:rPr>
          <w:spacing w:val="-2"/>
        </w:rPr>
        <w:t>Ⅰ 被保险人目前须在夜间接受持续气道正压呼吸器（CPAP）</w:t>
      </w:r>
      <w:r>
        <w:rPr>
          <w:spacing w:val="-4"/>
        </w:rPr>
        <w:t>的治疗；</w:t>
      </w:r>
    </w:p>
    <w:p>
      <w:pPr>
        <w:pStyle w:val="BodyText"/>
        <w:spacing w:line="244" w:lineRule="auto" w:before="22"/>
        <w:ind w:left="194" w:right="322"/>
      </w:pPr>
      <w:r>
        <w:rPr>
          <w:spacing w:val="-6"/>
        </w:rPr>
        <w:t>Ⅱ 须提供睡眠测试的文件证明，显示呼吸暂停低通气指数</w:t>
      </w:r>
      <w:r>
        <w:rPr/>
        <w:t>(AHI)&gt;30，并且夜间血</w:t>
      </w:r>
      <w:r>
        <w:rPr>
          <w:spacing w:val="-2"/>
        </w:rPr>
        <w:t>氧饱和度监测平均值&lt;85%。</w:t>
      </w:r>
    </w:p>
    <w:p>
      <w:pPr>
        <w:spacing w:after="0" w:line="244" w:lineRule="auto"/>
        <w:sectPr>
          <w:type w:val="continuous"/>
          <w:pgSz w:w="11910" w:h="16840"/>
          <w:pgMar w:header="0" w:footer="655" w:top="140" w:bottom="280" w:left="560" w:right="480"/>
          <w:cols w:num="2" w:equalWidth="0">
            <w:col w:w="2847" w:space="40"/>
            <w:col w:w="7983"/>
          </w:cols>
        </w:sectPr>
      </w:pPr>
    </w:p>
    <w:p>
      <w:pPr>
        <w:pStyle w:val="BodyText"/>
        <w:spacing w:before="7"/>
        <w:rPr>
          <w:sz w:val="19"/>
        </w:rPr>
      </w:pPr>
    </w:p>
    <w:p>
      <w:pPr>
        <w:spacing w:after="0"/>
        <w:rPr>
          <w:sz w:val="19"/>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50、中度肌营养不</w:t>
      </w:r>
      <w:r>
        <w:rPr>
          <w:rFonts w:ascii="华文新魏" w:eastAsia="华文新魏" w:hint="eastAsia"/>
          <w:b/>
          <w:spacing w:val="-6"/>
          <w:sz w:val="21"/>
        </w:rPr>
        <w:t>良症</w:t>
      </w:r>
    </w:p>
    <w:p>
      <w:pPr>
        <w:pStyle w:val="BodyText"/>
        <w:spacing w:line="278" w:lineRule="auto" w:before="79"/>
        <w:ind w:left="190" w:right="322"/>
      </w:pPr>
      <w:r>
        <w:rPr/>
        <w:br w:type="column"/>
      </w:r>
      <w:r>
        <w:rPr>
          <w:spacing w:val="-9"/>
        </w:rPr>
        <w:t>指一组原发于肌肉的遗传性疾病，临床表现为与神经系统无关的肌肉无力和肌肉萎</w:t>
      </w:r>
      <w:r>
        <w:rPr>
          <w:spacing w:val="-2"/>
        </w:rPr>
        <w:t>缩。须满足下列全部条件：</w:t>
      </w:r>
    </w:p>
    <w:p>
      <w:pPr>
        <w:pStyle w:val="BodyText"/>
        <w:spacing w:line="269" w:lineRule="exact"/>
        <w:ind w:left="190"/>
      </w:pPr>
      <w:r>
        <w:rPr>
          <w:spacing w:val="-3"/>
        </w:rPr>
        <w:t>Ⅰ 肌肉组织活检结果满足肌营养不良症的肌肉细胞变性、坏死等阳性改变；</w:t>
      </w:r>
    </w:p>
    <w:p>
      <w:pPr>
        <w:pStyle w:val="BodyText"/>
        <w:spacing w:line="278" w:lineRule="auto" w:before="43"/>
        <w:ind w:left="190" w:right="322"/>
      </w:pPr>
      <w:r>
        <w:rPr>
          <w:spacing w:val="-6"/>
        </w:rPr>
        <w:t>Ⅱ 自主生活能力严重丧失，无法独立完成六项基本日常生活活动中的两项或两项</w:t>
      </w:r>
      <w:r>
        <w:rPr>
          <w:spacing w:val="-4"/>
        </w:rPr>
        <w:t>以上。</w:t>
      </w:r>
    </w:p>
    <w:p>
      <w:pPr>
        <w:spacing w:line="247" w:lineRule="exact" w:before="0"/>
        <w:ind w:left="190" w:right="0" w:firstLine="0"/>
        <w:jc w:val="left"/>
        <w:rPr>
          <w:rFonts w:ascii="黑体" w:eastAsia="黑体" w:hint="eastAsia"/>
          <w:b/>
          <w:sz w:val="21"/>
        </w:rPr>
      </w:pPr>
      <w:r>
        <w:rPr>
          <w:rFonts w:ascii="黑体" w:eastAsia="黑体" w:hint="eastAsia"/>
          <w:b/>
          <w:spacing w:val="-2"/>
          <w:sz w:val="21"/>
        </w:rPr>
        <w:t>（</w:t>
      </w:r>
      <w:r>
        <w:rPr>
          <w:rFonts w:ascii="黑体" w:eastAsia="黑体" w:hint="eastAsia"/>
          <w:b/>
          <w:spacing w:val="-7"/>
          <w:sz w:val="21"/>
        </w:rPr>
        <w:t>本合同责任免除条款第一节第九项不适用于此病种。</w:t>
      </w:r>
      <w:r>
        <w:rPr>
          <w:rFonts w:ascii="黑体" w:eastAsia="黑体" w:hint="eastAsia"/>
          <w:b/>
          <w:spacing w:val="-10"/>
          <w:sz w:val="21"/>
        </w:rPr>
        <w:t>）</w:t>
      </w:r>
    </w:p>
    <w:p>
      <w:pPr>
        <w:spacing w:after="0" w:line="247" w:lineRule="exact"/>
        <w:jc w:val="left"/>
        <w:rPr>
          <w:rFonts w:ascii="黑体" w:eastAsia="黑体" w:hint="eastAsia"/>
          <w:sz w:val="21"/>
        </w:rPr>
        <w:sectPr>
          <w:type w:val="continuous"/>
          <w:pgSz w:w="11910" w:h="16840"/>
          <w:pgMar w:header="0" w:footer="655" w:top="140" w:bottom="280" w:left="560" w:right="480"/>
          <w:cols w:num="2" w:equalWidth="0">
            <w:col w:w="2852" w:space="40"/>
            <w:col w:w="7978"/>
          </w:cols>
        </w:sectPr>
      </w:pPr>
    </w:p>
    <w:p>
      <w:pPr>
        <w:pStyle w:val="BodyText"/>
        <w:spacing w:before="1"/>
        <w:rPr>
          <w:rFonts w:ascii="黑体"/>
          <w:b/>
          <w:sz w:val="20"/>
        </w:rPr>
      </w:pPr>
    </w:p>
    <w:p>
      <w:pPr>
        <w:spacing w:after="0"/>
        <w:rPr>
          <w:rFonts w:ascii="黑体"/>
          <w:sz w:val="20"/>
        </w:rPr>
        <w:sectPr>
          <w:type w:val="continuous"/>
          <w:pgSz w:w="11910" w:h="16840"/>
          <w:pgMar w:header="0" w:footer="655" w:top="140" w:bottom="28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51、中度帕金森氏</w:t>
      </w:r>
      <w:r>
        <w:rPr>
          <w:rFonts w:ascii="华文新魏" w:eastAsia="华文新魏" w:hint="eastAsia"/>
          <w:b/>
          <w:spacing w:val="-10"/>
          <w:sz w:val="21"/>
        </w:rPr>
        <w:t>病</w:t>
      </w:r>
    </w:p>
    <w:p>
      <w:pPr>
        <w:pStyle w:val="BodyText"/>
        <w:spacing w:line="278" w:lineRule="auto" w:before="79"/>
        <w:ind w:left="230" w:right="322"/>
      </w:pPr>
      <w:r>
        <w:rPr/>
        <w:br w:type="column"/>
      </w:r>
      <w:r>
        <w:rPr>
          <w:spacing w:val="-4"/>
        </w:rPr>
        <w:t>是一种中枢神经系统的退行性疾病，临床表现为震颤麻痹、共济失调等。必须满足</w:t>
      </w:r>
      <w:r>
        <w:rPr>
          <w:spacing w:val="-2"/>
        </w:rPr>
        <w:t>下列全部条件：</w:t>
      </w:r>
    </w:p>
    <w:p>
      <w:pPr>
        <w:pStyle w:val="BodyText"/>
        <w:spacing w:line="269" w:lineRule="exact"/>
        <w:ind w:left="230"/>
      </w:pPr>
      <w:r>
        <w:rPr>
          <w:spacing w:val="-6"/>
        </w:rPr>
        <w:t>Ⅰ 药物治疗无法控制病情；</w:t>
      </w:r>
    </w:p>
    <w:p>
      <w:pPr>
        <w:pStyle w:val="BodyText"/>
        <w:spacing w:before="43"/>
        <w:ind w:left="230"/>
      </w:pPr>
      <w:r>
        <w:rPr>
          <w:spacing w:val="-3"/>
        </w:rPr>
        <w:t>Ⅱ 自主生活能力完全丧失，无法独立完成六项基本日常生活活动中的两项。</w:t>
      </w:r>
    </w:p>
    <w:p>
      <w:pPr>
        <w:spacing w:before="21"/>
        <w:ind w:left="230" w:right="0" w:firstLine="0"/>
        <w:jc w:val="left"/>
        <w:rPr>
          <w:rFonts w:ascii="黑体" w:eastAsia="黑体" w:hint="eastAsia"/>
          <w:b/>
          <w:sz w:val="21"/>
        </w:rPr>
      </w:pPr>
      <w:r>
        <w:rPr>
          <w:rFonts w:ascii="黑体" w:eastAsia="黑体" w:hint="eastAsia"/>
          <w:b/>
          <w:spacing w:val="-3"/>
          <w:sz w:val="21"/>
        </w:rPr>
        <w:t>继发性帕金森综合症不在保障范围内。</w:t>
      </w:r>
    </w:p>
    <w:p>
      <w:pPr>
        <w:spacing w:after="0"/>
        <w:jc w:val="left"/>
        <w:rPr>
          <w:rFonts w:ascii="黑体" w:eastAsia="黑体" w:hint="eastAsia"/>
          <w:sz w:val="21"/>
        </w:rPr>
        <w:sectPr>
          <w:type w:val="continuous"/>
          <w:pgSz w:w="11910" w:h="16840"/>
          <w:pgMar w:header="0" w:footer="655" w:top="140" w:bottom="280" w:left="560" w:right="480"/>
          <w:cols w:num="2" w:equalWidth="0">
            <w:col w:w="2811" w:space="40"/>
            <w:col w:w="8019"/>
          </w:cols>
        </w:sectPr>
      </w:pPr>
    </w:p>
    <w:p>
      <w:pPr>
        <w:pStyle w:val="BodyText"/>
        <w:spacing w:before="3"/>
        <w:rPr>
          <w:rFonts w:ascii="黑体"/>
          <w:b/>
          <w:sz w:val="20"/>
        </w:rPr>
      </w:pPr>
    </w:p>
    <w:p>
      <w:pPr>
        <w:tabs>
          <w:tab w:pos="3081" w:val="left" w:leader="none"/>
        </w:tabs>
        <w:spacing w:before="55"/>
        <w:ind w:left="1132" w:right="0" w:firstLine="0"/>
        <w:jc w:val="left"/>
        <w:rPr>
          <w:sz w:val="21"/>
        </w:rPr>
      </w:pPr>
      <w:r>
        <w:rPr>
          <w:rFonts w:ascii="华文新魏" w:eastAsia="华文新魏" w:hint="eastAsia"/>
          <w:b/>
          <w:spacing w:val="-2"/>
          <w:position w:val="2"/>
          <w:sz w:val="21"/>
        </w:rPr>
        <w:t>52</w:t>
      </w:r>
      <w:r>
        <w:rPr>
          <w:rFonts w:ascii="华文新魏" w:eastAsia="华文新魏" w:hint="eastAsia"/>
          <w:b/>
          <w:spacing w:val="-2"/>
          <w:position w:val="2"/>
          <w:sz w:val="21"/>
        </w:rPr>
        <w:t>、</w:t>
      </w:r>
      <w:r>
        <w:rPr>
          <w:rFonts w:ascii="华文新魏" w:eastAsia="华文新魏" w:hint="eastAsia"/>
          <w:b/>
          <w:spacing w:val="-2"/>
          <w:position w:val="2"/>
          <w:sz w:val="21"/>
        </w:rPr>
        <w:t>结</w:t>
      </w:r>
      <w:r>
        <w:rPr>
          <w:rFonts w:ascii="华文新魏" w:eastAsia="华文新魏" w:hint="eastAsia"/>
          <w:b/>
          <w:spacing w:val="-2"/>
          <w:position w:val="2"/>
          <w:sz w:val="21"/>
        </w:rPr>
        <w:t>核性脊</w:t>
      </w:r>
      <w:r>
        <w:rPr>
          <w:rFonts w:ascii="华文新魏" w:eastAsia="华文新魏" w:hint="eastAsia"/>
          <w:b/>
          <w:spacing w:val="-2"/>
          <w:position w:val="2"/>
          <w:sz w:val="21"/>
        </w:rPr>
        <w:t>髓</w:t>
      </w:r>
      <w:r>
        <w:rPr>
          <w:rFonts w:ascii="华文新魏" w:eastAsia="华文新魏" w:hint="eastAsia"/>
          <w:b/>
          <w:spacing w:val="-10"/>
          <w:position w:val="2"/>
          <w:sz w:val="21"/>
        </w:rPr>
        <w:t>炎</w:t>
      </w:r>
      <w:r>
        <w:rPr>
          <w:rFonts w:ascii="华文新魏" w:eastAsia="华文新魏" w:hint="eastAsia"/>
          <w:b/>
          <w:position w:val="2"/>
          <w:sz w:val="21"/>
        </w:rPr>
        <w:tab/>
      </w:r>
      <w:r>
        <w:rPr>
          <w:spacing w:val="-6"/>
          <w:sz w:val="21"/>
        </w:rPr>
        <w:t>因</w:t>
      </w:r>
      <w:r>
        <w:rPr>
          <w:spacing w:val="-6"/>
          <w:sz w:val="21"/>
        </w:rPr>
        <w:t>结</w:t>
      </w:r>
      <w:r>
        <w:rPr>
          <w:spacing w:val="-6"/>
          <w:sz w:val="21"/>
        </w:rPr>
        <w:t>核杆菌引起的脊髓炎，导致永久性神经系统功</w:t>
      </w:r>
      <w:r>
        <w:rPr>
          <w:spacing w:val="-6"/>
          <w:sz w:val="21"/>
        </w:rPr>
        <w:t>能</w:t>
      </w:r>
      <w:r>
        <w:rPr>
          <w:spacing w:val="-6"/>
          <w:sz w:val="21"/>
        </w:rPr>
        <w:t>中</w:t>
      </w:r>
      <w:r>
        <w:rPr>
          <w:spacing w:val="-6"/>
          <w:sz w:val="21"/>
        </w:rPr>
        <w:t>度障碍，即：疾病首次</w:t>
      </w:r>
      <w:r>
        <w:rPr>
          <w:spacing w:val="-6"/>
          <w:sz w:val="21"/>
        </w:rPr>
        <w:t>确</w:t>
      </w:r>
      <w:r>
        <w:rPr>
          <w:spacing w:val="-10"/>
          <w:sz w:val="21"/>
        </w:rPr>
        <w:t>诊</w:t>
      </w:r>
    </w:p>
    <w:p>
      <w:pPr>
        <w:pStyle w:val="BodyText"/>
        <w:spacing w:before="23"/>
        <w:ind w:left="3081"/>
      </w:pPr>
      <w:r>
        <w:rPr>
          <w:spacing w:val="-2"/>
        </w:rPr>
        <w:t>180</w:t>
      </w:r>
      <w:r>
        <w:rPr>
          <w:spacing w:val="-9"/>
        </w:rPr>
        <w:t> 天后，仍遗留下列一种或一种以上障碍：</w:t>
      </w:r>
    </w:p>
    <w:p>
      <w:pPr>
        <w:pStyle w:val="BodyText"/>
        <w:spacing w:before="43"/>
        <w:ind w:left="3081"/>
      </w:pPr>
      <w:r>
        <w:rPr>
          <w:spacing w:val="-3"/>
        </w:rPr>
        <w:t>Ⅰ 一肢或一肢以上肢体肌力Ⅲ级或Ⅲ级以下的运动功能障碍；</w:t>
      </w:r>
    </w:p>
    <w:p>
      <w:pPr>
        <w:pStyle w:val="BodyText"/>
        <w:spacing w:line="278" w:lineRule="auto" w:before="43"/>
        <w:ind w:left="3081" w:right="322"/>
      </w:pPr>
      <w:r>
        <w:rPr>
          <w:spacing w:val="-6"/>
        </w:rPr>
        <w:t>Ⅱ 自主生活能力部分丧失，无法独立完成六项基本日常生活活动中的二项或二项</w:t>
      </w:r>
      <w:r>
        <w:rPr>
          <w:spacing w:val="-4"/>
        </w:rPr>
        <w:t>以上。</w:t>
      </w:r>
    </w:p>
    <w:p>
      <w:pPr>
        <w:spacing w:line="247" w:lineRule="exact" w:before="0"/>
        <w:ind w:left="3081" w:right="0" w:firstLine="0"/>
        <w:jc w:val="left"/>
        <w:rPr>
          <w:rFonts w:ascii="黑体" w:eastAsia="黑体" w:hint="eastAsia"/>
          <w:b/>
          <w:sz w:val="21"/>
        </w:rPr>
      </w:pPr>
      <w:r>
        <w:rPr>
          <w:rFonts w:ascii="黑体" w:eastAsia="黑体" w:hint="eastAsia"/>
          <w:b/>
          <w:spacing w:val="-1"/>
          <w:sz w:val="21"/>
        </w:rPr>
        <w:t>该诊断必须由本公司认可医院的神经专科医生证实，并必须由适当的检查证明为</w:t>
      </w:r>
    </w:p>
    <w:p>
      <w:pPr>
        <w:spacing w:before="3"/>
        <w:ind w:left="3081" w:right="0" w:firstLine="0"/>
        <w:jc w:val="left"/>
        <w:rPr>
          <w:rFonts w:ascii="黑体" w:eastAsia="黑体" w:hint="eastAsia"/>
          <w:b/>
          <w:sz w:val="21"/>
        </w:rPr>
      </w:pPr>
      <w:r>
        <w:rPr>
          <w:rFonts w:ascii="黑体" w:eastAsia="黑体" w:hint="eastAsia"/>
          <w:b/>
          <w:spacing w:val="-2"/>
          <w:sz w:val="21"/>
        </w:rPr>
        <w:t>结核性脊髓炎。</w:t>
      </w:r>
    </w:p>
    <w:p>
      <w:pPr>
        <w:pStyle w:val="BodyText"/>
        <w:spacing w:before="7"/>
        <w:rPr>
          <w:rFonts w:ascii="黑体"/>
          <w:b/>
          <w:sz w:val="24"/>
        </w:rPr>
      </w:pPr>
    </w:p>
    <w:p>
      <w:pPr>
        <w:pStyle w:val="BodyText"/>
        <w:tabs>
          <w:tab w:pos="3081" w:val="left" w:leader="none"/>
        </w:tabs>
        <w:spacing w:line="256" w:lineRule="auto"/>
        <w:ind w:left="3081" w:right="322" w:hanging="1949"/>
      </w:pPr>
      <w:r>
        <w:rPr>
          <w:rFonts w:ascii="华文新魏" w:eastAsia="华文新魏" w:hint="eastAsia"/>
          <w:b/>
          <w:spacing w:val="-2"/>
          <w:position w:val="2"/>
        </w:rPr>
        <w:t>53</w:t>
      </w:r>
      <w:r>
        <w:rPr>
          <w:rFonts w:ascii="华文新魏" w:eastAsia="华文新魏" w:hint="eastAsia"/>
          <w:b/>
          <w:spacing w:val="-2"/>
          <w:position w:val="2"/>
        </w:rPr>
        <w:t>、</w:t>
      </w:r>
      <w:r>
        <w:rPr>
          <w:rFonts w:ascii="华文新魏" w:eastAsia="华文新魏" w:hint="eastAsia"/>
          <w:b/>
          <w:spacing w:val="-2"/>
          <w:position w:val="2"/>
        </w:rPr>
        <w:t>早</w:t>
      </w:r>
      <w:r>
        <w:rPr>
          <w:rFonts w:ascii="华文新魏" w:eastAsia="华文新魏" w:hint="eastAsia"/>
          <w:b/>
          <w:spacing w:val="-2"/>
          <w:position w:val="2"/>
        </w:rPr>
        <w:t>期象皮病</w:t>
      </w:r>
      <w:r>
        <w:rPr>
          <w:rFonts w:ascii="华文新魏" w:eastAsia="华文新魏" w:hint="eastAsia"/>
          <w:b/>
          <w:position w:val="2"/>
        </w:rPr>
        <w:tab/>
      </w:r>
      <w:r>
        <w:rPr>
          <w:spacing w:val="-2"/>
        </w:rPr>
        <w:t>指</w:t>
      </w:r>
      <w:r>
        <w:rPr>
          <w:spacing w:val="-2"/>
        </w:rPr>
        <w:t>因</w:t>
      </w:r>
      <w:r>
        <w:rPr>
          <w:spacing w:val="-2"/>
        </w:rPr>
        <w:t>丝虫感染导致淋巴管</w:t>
      </w:r>
      <w:r>
        <w:rPr>
          <w:spacing w:val="-2"/>
        </w:rPr>
        <w:t>阻</w:t>
      </w:r>
      <w:r>
        <w:rPr>
          <w:spacing w:val="-2"/>
        </w:rPr>
        <w:t>塞</w:t>
      </w:r>
      <w:r>
        <w:rPr>
          <w:spacing w:val="-2"/>
        </w:rPr>
        <w:t>而造成身体组织出现</w:t>
      </w:r>
      <w:r>
        <w:rPr>
          <w:spacing w:val="-2"/>
        </w:rPr>
        <w:t>严</w:t>
      </w:r>
      <w:r>
        <w:rPr>
          <w:spacing w:val="-2"/>
        </w:rPr>
        <w:t>重</w:t>
      </w:r>
      <w:r>
        <w:rPr>
          <w:spacing w:val="-2"/>
        </w:rPr>
        <w:t>淋巴水肿</w:t>
      </w:r>
      <w:r>
        <w:rPr>
          <w:spacing w:val="-108"/>
        </w:rPr>
        <w:t>。</w:t>
      </w:r>
      <w:r>
        <w:rPr>
          <w:spacing w:val="-2"/>
        </w:rPr>
        <w:t>此病症</w:t>
      </w:r>
      <w:r>
        <w:rPr>
          <w:spacing w:val="-2"/>
        </w:rPr>
        <w:t>须</w:t>
      </w:r>
      <w:r>
        <w:rPr>
          <w:spacing w:val="-2"/>
        </w:rPr>
        <w:t>经</w:t>
      </w:r>
      <w:r>
        <w:rPr>
          <w:spacing w:val="-2"/>
        </w:rPr>
        <w:t>本</w:t>
      </w:r>
      <w:r>
        <w:rPr>
          <w:spacing w:val="-2"/>
        </w:rPr>
        <w:t>公</w:t>
      </w:r>
      <w:r>
        <w:rPr>
          <w:spacing w:val="-2"/>
        </w:rPr>
        <w:t>司</w:t>
      </w:r>
      <w:r>
        <w:rPr>
          <w:spacing w:val="-2"/>
        </w:rPr>
        <w:t>认</w:t>
      </w:r>
      <w:r>
        <w:rPr>
          <w:spacing w:val="-2"/>
        </w:rPr>
        <w:t>可医院的专科医生根</w:t>
      </w:r>
      <w:r>
        <w:rPr>
          <w:spacing w:val="-2"/>
        </w:rPr>
        <w:t>据</w:t>
      </w:r>
      <w:r>
        <w:rPr>
          <w:spacing w:val="-2"/>
        </w:rPr>
        <w:t>临</w:t>
      </w:r>
      <w:r>
        <w:rPr>
          <w:spacing w:val="-2"/>
        </w:rPr>
        <w:t>床表现和微丝蚴的化</w:t>
      </w:r>
      <w:r>
        <w:rPr>
          <w:spacing w:val="-2"/>
        </w:rPr>
        <w:t>验</w:t>
      </w:r>
      <w:r>
        <w:rPr>
          <w:spacing w:val="-2"/>
        </w:rPr>
        <w:t>结</w:t>
      </w:r>
      <w:r>
        <w:rPr>
          <w:spacing w:val="-2"/>
        </w:rPr>
        <w:t>果确诊。</w:t>
      </w:r>
    </w:p>
    <w:p>
      <w:pPr>
        <w:spacing w:before="3"/>
        <w:ind w:left="3081" w:right="0" w:firstLine="0"/>
        <w:jc w:val="left"/>
        <w:rPr>
          <w:rFonts w:ascii="黑体" w:eastAsia="黑体" w:hint="eastAsia"/>
          <w:b/>
          <w:sz w:val="21"/>
        </w:rPr>
      </w:pPr>
      <w:r>
        <w:rPr>
          <w:rFonts w:ascii="黑体" w:eastAsia="黑体" w:hint="eastAsia"/>
          <w:b/>
          <w:spacing w:val="-3"/>
          <w:sz w:val="21"/>
        </w:rPr>
        <w:t>急性淋巴管炎或其它原因引起的淋巴水肿并不在保障范围內。</w:t>
      </w:r>
    </w:p>
    <w:p>
      <w:pPr>
        <w:pStyle w:val="BodyText"/>
        <w:spacing w:before="12"/>
        <w:rPr>
          <w:rFonts w:ascii="黑体"/>
          <w:b/>
          <w:sz w:val="18"/>
        </w:rPr>
      </w:pPr>
    </w:p>
    <w:p>
      <w:pPr>
        <w:spacing w:after="0"/>
        <w:rPr>
          <w:rFonts w:ascii="黑体"/>
          <w:sz w:val="18"/>
        </w:rPr>
        <w:sectPr>
          <w:type w:val="continuous"/>
          <w:pgSz w:w="11910" w:h="16840"/>
          <w:pgMar w:header="0" w:footer="655" w:top="140" w:bottom="280" w:left="560" w:right="480"/>
        </w:sectPr>
      </w:pPr>
    </w:p>
    <w:p>
      <w:pPr>
        <w:spacing w:before="70"/>
        <w:ind w:left="1132" w:right="0" w:firstLine="0"/>
        <w:jc w:val="left"/>
        <w:rPr>
          <w:rFonts w:ascii="华文新魏" w:eastAsia="华文新魏" w:hint="eastAsia"/>
          <w:b/>
          <w:sz w:val="21"/>
        </w:rPr>
      </w:pPr>
      <w:r>
        <w:rPr>
          <w:rFonts w:ascii="华文新魏" w:eastAsia="华文新魏" w:hint="eastAsia"/>
          <w:b/>
          <w:spacing w:val="-2"/>
          <w:sz w:val="21"/>
        </w:rPr>
        <w:t>54、激光心肌血运</w:t>
      </w:r>
      <w:r>
        <w:rPr>
          <w:rFonts w:ascii="华文新魏" w:eastAsia="华文新魏" w:hint="eastAsia"/>
          <w:b/>
          <w:spacing w:val="-4"/>
          <w:sz w:val="21"/>
        </w:rPr>
        <w:t>重建术</w:t>
      </w:r>
    </w:p>
    <w:p>
      <w:pPr>
        <w:pStyle w:val="BodyText"/>
        <w:spacing w:line="244" w:lineRule="auto" w:before="72"/>
        <w:ind w:left="194" w:right="322"/>
      </w:pPr>
      <w:r>
        <w:rPr/>
        <w:br w:type="column"/>
      </w:r>
      <w:r>
        <w:rPr>
          <w:spacing w:val="-11"/>
        </w:rPr>
        <w:t>指患有顽固性心绞痛，经持续药物治疗后无改善，冠状动脉搭桥手术及经皮血管成</w:t>
      </w:r>
      <w:r>
        <w:rPr>
          <w:spacing w:val="-10"/>
        </w:rPr>
        <w:t>形手术已失败或者被认为不适合。在本公司认可医院内实际进行了开胸手术下或者</w:t>
      </w:r>
    </w:p>
    <w:p>
      <w:pPr>
        <w:spacing w:after="0" w:line="244" w:lineRule="auto"/>
        <w:sectPr>
          <w:type w:val="continuous"/>
          <w:pgSz w:w="11910" w:h="16840"/>
          <w:pgMar w:header="0" w:footer="655" w:top="140" w:bottom="280" w:left="560" w:right="480"/>
          <w:cols w:num="2" w:equalWidth="0">
            <w:col w:w="2847" w:space="40"/>
            <w:col w:w="7983"/>
          </w:cols>
        </w:sectPr>
      </w:pPr>
    </w:p>
    <w:p>
      <w:pPr>
        <w:pStyle w:val="BodyText"/>
        <w:spacing w:before="56"/>
        <w:ind w:left="3081"/>
      </w:pPr>
      <w:r>
        <w:rPr>
          <w:spacing w:val="-3"/>
        </w:rPr>
        <w:t>胸腔镜下的激光心肌血运重建术。</w:t>
      </w:r>
    </w:p>
    <w:p>
      <w:pPr>
        <w:pStyle w:val="BodyText"/>
        <w:spacing w:before="4"/>
        <w:rPr>
          <w:sz w:val="20"/>
        </w:rPr>
      </w:pPr>
    </w:p>
    <w:p>
      <w:pPr>
        <w:spacing w:after="0"/>
        <w:rPr>
          <w:sz w:val="20"/>
        </w:rPr>
        <w:sectPr>
          <w:pgSz w:w="11910" w:h="16840"/>
          <w:pgMar w:header="0" w:footer="655" w:top="1400" w:bottom="840" w:left="560" w:right="480"/>
        </w:sectPr>
      </w:pPr>
    </w:p>
    <w:p>
      <w:pPr>
        <w:spacing w:before="56"/>
        <w:ind w:left="1132" w:right="0" w:firstLine="0"/>
        <w:jc w:val="left"/>
        <w:rPr>
          <w:rFonts w:ascii="华文新魏" w:eastAsia="华文新魏" w:hint="eastAsia"/>
          <w:b/>
          <w:sz w:val="21"/>
        </w:rPr>
      </w:pPr>
      <w:r>
        <w:rPr>
          <w:rFonts w:ascii="华文新魏" w:eastAsia="华文新魏" w:hint="eastAsia"/>
          <w:b/>
          <w:spacing w:val="-2"/>
          <w:sz w:val="21"/>
        </w:rPr>
        <w:t>55、中度脊髓灰质</w:t>
      </w:r>
      <w:r>
        <w:rPr>
          <w:rFonts w:ascii="华文新魏" w:eastAsia="华文新魏" w:hint="eastAsia"/>
          <w:b/>
          <w:spacing w:val="-10"/>
          <w:sz w:val="21"/>
        </w:rPr>
        <w:t>炎</w:t>
      </w:r>
    </w:p>
    <w:p>
      <w:pPr>
        <w:pStyle w:val="BodyText"/>
        <w:spacing w:line="278" w:lineRule="auto" w:before="78"/>
        <w:ind w:left="194" w:right="322"/>
      </w:pPr>
      <w:r>
        <w:rPr/>
        <w:br w:type="column"/>
      </w:r>
      <w:r>
        <w:rPr>
          <w:spacing w:val="-6"/>
        </w:rPr>
        <w:t>脊髓灰质炎是由于脊髓灰质炎病毒感染所致的瘫痪性疾病，临床表现为运动功能损</w:t>
      </w:r>
      <w:r>
        <w:rPr>
          <w:spacing w:val="-2"/>
        </w:rPr>
        <w:t>害或呼吸无力。脊髓灰质炎必须明确诊断。</w:t>
      </w:r>
    </w:p>
    <w:p>
      <w:pPr>
        <w:spacing w:line="247" w:lineRule="exact" w:before="0"/>
        <w:ind w:left="194" w:right="0" w:firstLine="0"/>
        <w:jc w:val="left"/>
        <w:rPr>
          <w:rFonts w:ascii="黑体" w:eastAsia="黑体" w:hint="eastAsia"/>
          <w:b/>
          <w:sz w:val="21"/>
        </w:rPr>
      </w:pPr>
      <w:r>
        <w:rPr>
          <w:rFonts w:ascii="黑体" w:eastAsia="黑体" w:hint="eastAsia"/>
          <w:b/>
          <w:w w:val="95"/>
          <w:sz w:val="21"/>
        </w:rPr>
        <w:t>本</w:t>
      </w:r>
      <w:r>
        <w:rPr>
          <w:rFonts w:ascii="黑体" w:eastAsia="黑体" w:hint="eastAsia"/>
          <w:b/>
          <w:w w:val="95"/>
          <w:sz w:val="21"/>
        </w:rPr>
        <w:t>合</w:t>
      </w:r>
      <w:r>
        <w:rPr>
          <w:rFonts w:ascii="黑体" w:eastAsia="黑体" w:hint="eastAsia"/>
          <w:b/>
          <w:w w:val="95"/>
          <w:sz w:val="21"/>
        </w:rPr>
        <w:t>同</w:t>
      </w:r>
      <w:r>
        <w:rPr>
          <w:rFonts w:ascii="黑体" w:eastAsia="黑体" w:hint="eastAsia"/>
          <w:b/>
          <w:w w:val="95"/>
          <w:sz w:val="21"/>
        </w:rPr>
        <w:t>仅</w:t>
      </w:r>
      <w:r>
        <w:rPr>
          <w:rFonts w:ascii="黑体" w:eastAsia="黑体" w:hint="eastAsia"/>
          <w:b/>
          <w:w w:val="95"/>
          <w:sz w:val="21"/>
        </w:rPr>
        <w:t>对</w:t>
      </w:r>
      <w:r>
        <w:rPr>
          <w:rFonts w:ascii="黑体" w:eastAsia="黑体" w:hint="eastAsia"/>
          <w:b/>
          <w:w w:val="95"/>
          <w:sz w:val="21"/>
        </w:rPr>
        <w:t>脊</w:t>
      </w:r>
      <w:r>
        <w:rPr>
          <w:rFonts w:ascii="黑体" w:eastAsia="黑体" w:hint="eastAsia"/>
          <w:b/>
          <w:w w:val="95"/>
          <w:sz w:val="21"/>
        </w:rPr>
        <w:t>髓</w:t>
      </w:r>
      <w:r>
        <w:rPr>
          <w:rFonts w:ascii="黑体" w:eastAsia="黑体" w:hint="eastAsia"/>
          <w:b/>
          <w:w w:val="95"/>
          <w:sz w:val="21"/>
        </w:rPr>
        <w:t>灰</w:t>
      </w:r>
      <w:r>
        <w:rPr>
          <w:rFonts w:ascii="黑体" w:eastAsia="黑体" w:hint="eastAsia"/>
          <w:b/>
          <w:w w:val="95"/>
          <w:sz w:val="21"/>
        </w:rPr>
        <w:t>质炎造</w:t>
      </w:r>
      <w:r>
        <w:rPr>
          <w:rFonts w:ascii="黑体" w:eastAsia="黑体" w:hint="eastAsia"/>
          <w:b/>
          <w:w w:val="95"/>
          <w:sz w:val="21"/>
        </w:rPr>
        <w:t>成</w:t>
      </w:r>
      <w:r>
        <w:rPr>
          <w:rFonts w:ascii="黑体" w:eastAsia="黑体" w:hint="eastAsia"/>
          <w:b/>
          <w:w w:val="95"/>
          <w:sz w:val="21"/>
        </w:rPr>
        <w:t>的</w:t>
      </w:r>
      <w:r>
        <w:rPr>
          <w:rFonts w:ascii="黑体" w:eastAsia="黑体" w:hint="eastAsia"/>
          <w:b/>
          <w:w w:val="95"/>
          <w:sz w:val="21"/>
        </w:rPr>
        <w:t>神</w:t>
      </w:r>
      <w:r>
        <w:rPr>
          <w:rFonts w:ascii="黑体" w:eastAsia="黑体" w:hint="eastAsia"/>
          <w:b/>
          <w:w w:val="95"/>
          <w:sz w:val="21"/>
        </w:rPr>
        <w:t>经</w:t>
      </w:r>
      <w:r>
        <w:rPr>
          <w:rFonts w:ascii="黑体" w:eastAsia="黑体" w:hint="eastAsia"/>
          <w:b/>
          <w:w w:val="95"/>
          <w:sz w:val="21"/>
        </w:rPr>
        <w:t>系</w:t>
      </w:r>
      <w:r>
        <w:rPr>
          <w:rFonts w:ascii="黑体" w:eastAsia="黑体" w:hint="eastAsia"/>
          <w:b/>
          <w:w w:val="95"/>
          <w:sz w:val="21"/>
        </w:rPr>
        <w:t>统</w:t>
      </w:r>
      <w:r>
        <w:rPr>
          <w:rFonts w:ascii="黑体" w:eastAsia="黑体" w:hint="eastAsia"/>
          <w:b/>
          <w:w w:val="95"/>
          <w:sz w:val="21"/>
        </w:rPr>
        <w:t>功</w:t>
      </w:r>
      <w:r>
        <w:rPr>
          <w:rFonts w:ascii="黑体" w:eastAsia="黑体" w:hint="eastAsia"/>
          <w:b/>
          <w:w w:val="95"/>
          <w:sz w:val="21"/>
        </w:rPr>
        <w:t>能</w:t>
      </w:r>
      <w:r>
        <w:rPr>
          <w:rFonts w:ascii="黑体" w:eastAsia="黑体" w:hint="eastAsia"/>
          <w:b/>
          <w:w w:val="95"/>
          <w:sz w:val="21"/>
        </w:rPr>
        <w:t>损害导</w:t>
      </w:r>
      <w:r>
        <w:rPr>
          <w:rFonts w:ascii="黑体" w:eastAsia="黑体" w:hint="eastAsia"/>
          <w:b/>
          <w:w w:val="95"/>
          <w:sz w:val="21"/>
        </w:rPr>
        <w:t>致</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持</w:t>
      </w:r>
      <w:r>
        <w:rPr>
          <w:rFonts w:ascii="黑体" w:eastAsia="黑体" w:hint="eastAsia"/>
          <w:b/>
          <w:w w:val="95"/>
          <w:sz w:val="21"/>
        </w:rPr>
        <w:t>续</w:t>
      </w:r>
      <w:r>
        <w:rPr>
          <w:rFonts w:ascii="黑体" w:eastAsia="黑体" w:hint="eastAsia"/>
          <w:b/>
          <w:w w:val="95"/>
          <w:sz w:val="21"/>
        </w:rPr>
        <w:t>瘫痪</w:t>
      </w:r>
      <w:r>
        <w:rPr>
          <w:rFonts w:ascii="黑体" w:eastAsia="黑体" w:hint="eastAsia"/>
          <w:b/>
          <w:spacing w:val="51"/>
          <w:w w:val="150"/>
          <w:sz w:val="21"/>
        </w:rPr>
        <w:t> </w:t>
      </w:r>
      <w:r>
        <w:rPr>
          <w:rFonts w:ascii="黑体" w:eastAsia="黑体" w:hint="eastAsia"/>
          <w:b/>
          <w:w w:val="95"/>
          <w:sz w:val="21"/>
        </w:rPr>
        <w:t>90</w:t>
      </w:r>
      <w:r>
        <w:rPr>
          <w:rFonts w:ascii="黑体" w:eastAsia="黑体" w:hint="eastAsia"/>
          <w:b/>
          <w:spacing w:val="46"/>
          <w:w w:val="150"/>
          <w:sz w:val="21"/>
        </w:rPr>
        <w:t> </w:t>
      </w:r>
      <w:r>
        <w:rPr>
          <w:rFonts w:ascii="黑体" w:eastAsia="黑体" w:hint="eastAsia"/>
          <w:b/>
          <w:w w:val="95"/>
          <w:sz w:val="21"/>
        </w:rPr>
        <w:t>天</w:t>
      </w:r>
      <w:r>
        <w:rPr>
          <w:rFonts w:ascii="黑体" w:eastAsia="黑体" w:hint="eastAsia"/>
          <w:b/>
          <w:w w:val="95"/>
          <w:sz w:val="21"/>
        </w:rPr>
        <w:t>以</w:t>
      </w:r>
      <w:r>
        <w:rPr>
          <w:rFonts w:ascii="黑体" w:eastAsia="黑体" w:hint="eastAsia"/>
          <w:b/>
          <w:spacing w:val="-10"/>
          <w:w w:val="95"/>
          <w:sz w:val="21"/>
        </w:rPr>
        <w:t>上</w:t>
      </w:r>
    </w:p>
    <w:p>
      <w:pPr>
        <w:spacing w:before="3"/>
        <w:ind w:left="194" w:right="0" w:firstLine="0"/>
        <w:jc w:val="left"/>
        <w:rPr>
          <w:rFonts w:ascii="黑体" w:eastAsia="黑体" w:hint="eastAsia"/>
          <w:b/>
          <w:sz w:val="21"/>
        </w:rPr>
      </w:pPr>
      <w:r>
        <w:rPr>
          <w:rFonts w:ascii="黑体" w:eastAsia="黑体" w:hint="eastAsia"/>
          <w:b/>
          <w:spacing w:val="-2"/>
          <w:sz w:val="21"/>
        </w:rPr>
        <w:t>的情况予以理赔。</w:t>
      </w:r>
    </w:p>
    <w:p>
      <w:pPr>
        <w:spacing w:after="0"/>
        <w:jc w:val="left"/>
        <w:rPr>
          <w:rFonts w:ascii="黑体" w:eastAsia="黑体" w:hint="eastAsia"/>
          <w:sz w:val="21"/>
        </w:rPr>
        <w:sectPr>
          <w:type w:val="continuous"/>
          <w:pgSz w:w="11910" w:h="16840"/>
          <w:pgMar w:header="0" w:footer="655" w:top="140" w:bottom="280" w:left="560" w:right="480"/>
          <w:cols w:num="2" w:equalWidth="0">
            <w:col w:w="2847" w:space="40"/>
            <w:col w:w="7983"/>
          </w:cols>
        </w:sectPr>
      </w:pPr>
    </w:p>
    <w:p>
      <w:pPr>
        <w:pStyle w:val="BodyText"/>
        <w:spacing w:before="10"/>
        <w:rPr>
          <w:rFonts w:ascii="黑体"/>
          <w:b/>
          <w:sz w:val="20"/>
        </w:rPr>
      </w:pPr>
    </w:p>
    <w:p>
      <w:pPr>
        <w:pStyle w:val="ListParagraph"/>
        <w:numPr>
          <w:ilvl w:val="1"/>
          <w:numId w:val="14"/>
        </w:numPr>
        <w:tabs>
          <w:tab w:pos="1132" w:val="left" w:leader="none"/>
          <w:tab w:pos="1133" w:val="left" w:leader="none"/>
          <w:tab w:pos="3081" w:val="left" w:leader="none"/>
        </w:tabs>
        <w:spacing w:line="240" w:lineRule="auto" w:before="71" w:after="0"/>
        <w:ind w:left="1132" w:right="0" w:hanging="904"/>
        <w:jc w:val="left"/>
        <w:rPr>
          <w:sz w:val="21"/>
        </w:rPr>
      </w:pPr>
      <w:r>
        <w:rPr>
          <w:b/>
          <w:sz w:val="21"/>
        </w:rPr>
        <w:t>意外伤</w:t>
      </w:r>
      <w:r>
        <w:rPr>
          <w:b/>
          <w:spacing w:val="-10"/>
          <w:sz w:val="21"/>
        </w:rPr>
        <w:t>害</w:t>
      </w:r>
      <w:r>
        <w:rPr>
          <w:b/>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意的、非疾病的客观</w:t>
      </w:r>
      <w:r>
        <w:rPr>
          <w:spacing w:val="-2"/>
          <w:sz w:val="21"/>
        </w:rPr>
        <w:t>事</w:t>
      </w:r>
      <w:r>
        <w:rPr>
          <w:spacing w:val="-2"/>
          <w:sz w:val="21"/>
        </w:rPr>
        <w:t>件</w:t>
      </w:r>
      <w:r>
        <w:rPr>
          <w:spacing w:val="-2"/>
          <w:sz w:val="21"/>
        </w:rPr>
        <w:t>直接致使身体受到的伤害</w:t>
      </w:r>
      <w:r>
        <w:rPr>
          <w:spacing w:val="-10"/>
          <w:sz w:val="21"/>
        </w:rPr>
        <w:t>。</w:t>
      </w:r>
    </w:p>
    <w:p>
      <w:pPr>
        <w:pStyle w:val="BodyText"/>
        <w:spacing w:before="9"/>
        <w:rPr>
          <w:sz w:val="27"/>
        </w:rPr>
      </w:pPr>
    </w:p>
    <w:p>
      <w:pPr>
        <w:pStyle w:val="ListParagraph"/>
        <w:numPr>
          <w:ilvl w:val="1"/>
          <w:numId w:val="14"/>
        </w:numPr>
        <w:tabs>
          <w:tab w:pos="1132" w:val="left" w:leader="none"/>
          <w:tab w:pos="1133" w:val="left" w:leader="none"/>
          <w:tab w:pos="3081" w:val="left" w:leader="none"/>
        </w:tabs>
        <w:spacing w:line="278" w:lineRule="auto" w:before="0" w:after="0"/>
        <w:ind w:left="3081" w:right="322" w:hanging="2852"/>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一</w:t>
      </w:r>
      <w:r>
        <w:rPr>
          <w:spacing w:val="-2"/>
          <w:sz w:val="21"/>
        </w:rPr>
        <w:t>般</w:t>
      </w:r>
      <w:r>
        <w:rPr>
          <w:spacing w:val="-2"/>
          <w:sz w:val="21"/>
        </w:rPr>
        <w:t>指保单所具有的价值</w:t>
      </w:r>
      <w:r>
        <w:rPr>
          <w:spacing w:val="-53"/>
          <w:sz w:val="21"/>
        </w:rPr>
        <w:t>，</w:t>
      </w:r>
      <w:r>
        <w:rPr>
          <w:spacing w:val="-2"/>
          <w:sz w:val="21"/>
        </w:rPr>
        <w:t>通常体现为解除合同时</w:t>
      </w:r>
      <w:r>
        <w:rPr>
          <w:spacing w:val="-56"/>
          <w:sz w:val="21"/>
        </w:rPr>
        <w:t>，</w:t>
      </w:r>
      <w:r>
        <w:rPr>
          <w:spacing w:val="-2"/>
          <w:sz w:val="21"/>
        </w:rPr>
        <w:t>由</w:t>
      </w:r>
      <w:r>
        <w:rPr>
          <w:spacing w:val="-2"/>
          <w:sz w:val="21"/>
        </w:rPr>
        <w:t>本</w:t>
      </w:r>
      <w:r>
        <w:rPr>
          <w:spacing w:val="-2"/>
          <w:sz w:val="21"/>
        </w:rPr>
        <w:t>公司向您退还的那部</w:t>
      </w:r>
      <w:r>
        <w:rPr>
          <w:spacing w:val="-2"/>
          <w:sz w:val="21"/>
        </w:rPr>
        <w:t>分</w:t>
      </w:r>
      <w:r>
        <w:rPr>
          <w:spacing w:val="-2"/>
          <w:sz w:val="21"/>
        </w:rPr>
        <w:t>金</w:t>
      </w:r>
      <w:r>
        <w:rPr>
          <w:spacing w:val="-6"/>
          <w:sz w:val="21"/>
        </w:rPr>
        <w:t>额</w:t>
      </w:r>
      <w:r>
        <w:rPr>
          <w:spacing w:val="-6"/>
          <w:sz w:val="21"/>
        </w:rPr>
        <w:t>。</w:t>
      </w:r>
    </w:p>
    <w:p>
      <w:pPr>
        <w:pStyle w:val="BodyText"/>
        <w:spacing w:before="4"/>
        <w:rPr>
          <w:sz w:val="24"/>
        </w:rPr>
      </w:pPr>
    </w:p>
    <w:p>
      <w:pPr>
        <w:pStyle w:val="ListParagraph"/>
        <w:numPr>
          <w:ilvl w:val="1"/>
          <w:numId w:val="14"/>
        </w:numPr>
        <w:tabs>
          <w:tab w:pos="1132" w:val="left" w:leader="none"/>
          <w:tab w:pos="1133" w:val="left" w:leader="none"/>
        </w:tabs>
        <w:spacing w:line="240" w:lineRule="auto" w:before="1" w:after="20"/>
        <w:ind w:left="1132" w:right="0" w:hanging="904"/>
        <w:jc w:val="left"/>
        <w:rPr>
          <w:b/>
          <w:sz w:val="21"/>
        </w:rPr>
      </w:pPr>
      <w:r>
        <w:rPr>
          <w:b/>
          <w:spacing w:val="-2"/>
          <w:sz w:val="21"/>
        </w:rPr>
        <w:t>重大疾病分组</w:t>
      </w:r>
    </w:p>
    <w:tbl>
      <w:tblPr>
        <w:tblW w:w="0" w:type="auto"/>
        <w:jc w:val="left"/>
        <w:tblInd w:w="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76"/>
        <w:gridCol w:w="2079"/>
        <w:gridCol w:w="2076"/>
        <w:gridCol w:w="2076"/>
        <w:gridCol w:w="2078"/>
      </w:tblGrid>
      <w:tr>
        <w:trPr>
          <w:trHeight w:val="679" w:hRule="atLeast"/>
        </w:trPr>
        <w:tc>
          <w:tcPr>
            <w:tcW w:w="2076" w:type="dxa"/>
          </w:tcPr>
          <w:p>
            <w:pPr>
              <w:pStyle w:val="TableParagraph"/>
              <w:spacing w:before="5"/>
              <w:ind w:left="0"/>
              <w:rPr>
                <w:b/>
                <w:sz w:val="16"/>
              </w:rPr>
            </w:pPr>
          </w:p>
          <w:p>
            <w:pPr>
              <w:pStyle w:val="TableParagraph"/>
              <w:ind w:left="107"/>
              <w:rPr>
                <w:sz w:val="20"/>
              </w:rPr>
            </w:pPr>
            <w:r>
              <w:rPr>
                <w:rFonts w:ascii="Calibri" w:eastAsia="Calibri"/>
                <w:sz w:val="20"/>
              </w:rPr>
              <w:t>A </w:t>
            </w:r>
            <w:r>
              <w:rPr>
                <w:sz w:val="20"/>
              </w:rPr>
              <w:t>组</w:t>
            </w:r>
            <w:r>
              <w:rPr>
                <w:sz w:val="20"/>
              </w:rPr>
              <w:t>（</w:t>
            </w:r>
            <w:r>
              <w:rPr>
                <w:rFonts w:ascii="Calibri" w:eastAsia="Calibri"/>
                <w:sz w:val="20"/>
              </w:rPr>
              <w:t>2</w:t>
            </w:r>
            <w:r>
              <w:rPr>
                <w:rFonts w:ascii="Calibri" w:eastAsia="Calibri"/>
                <w:spacing w:val="1"/>
                <w:sz w:val="20"/>
              </w:rPr>
              <w:t> </w:t>
            </w:r>
            <w:r>
              <w:rPr>
                <w:sz w:val="20"/>
              </w:rPr>
              <w:t>种</w:t>
            </w:r>
            <w:r>
              <w:rPr>
                <w:spacing w:val="-10"/>
                <w:sz w:val="20"/>
              </w:rPr>
              <w:t>）</w:t>
            </w:r>
          </w:p>
        </w:tc>
        <w:tc>
          <w:tcPr>
            <w:tcW w:w="2079" w:type="dxa"/>
          </w:tcPr>
          <w:p>
            <w:pPr>
              <w:pStyle w:val="TableParagraph"/>
              <w:spacing w:before="5"/>
              <w:ind w:left="0"/>
              <w:rPr>
                <w:b/>
                <w:sz w:val="16"/>
              </w:rPr>
            </w:pPr>
          </w:p>
          <w:p>
            <w:pPr>
              <w:pStyle w:val="TableParagraph"/>
              <w:rPr>
                <w:sz w:val="20"/>
              </w:rPr>
            </w:pPr>
            <w:r>
              <w:rPr>
                <w:rFonts w:ascii="Calibri" w:eastAsia="Calibri"/>
                <w:sz w:val="20"/>
              </w:rPr>
              <w:t>B</w:t>
            </w:r>
            <w:r>
              <w:rPr>
                <w:rFonts w:ascii="Calibri" w:eastAsia="Calibri"/>
                <w:spacing w:val="-1"/>
                <w:sz w:val="20"/>
              </w:rPr>
              <w:t> </w:t>
            </w:r>
            <w:r>
              <w:rPr>
                <w:sz w:val="20"/>
              </w:rPr>
              <w:t>组</w:t>
            </w:r>
            <w:r>
              <w:rPr>
                <w:sz w:val="20"/>
              </w:rPr>
              <w:t>（</w:t>
            </w:r>
            <w:r>
              <w:rPr>
                <w:rFonts w:ascii="Calibri" w:eastAsia="Calibri"/>
                <w:sz w:val="20"/>
              </w:rPr>
              <w:t>20</w:t>
            </w:r>
            <w:r>
              <w:rPr>
                <w:rFonts w:ascii="Calibri" w:eastAsia="Calibri"/>
                <w:spacing w:val="2"/>
                <w:sz w:val="20"/>
              </w:rPr>
              <w:t> </w:t>
            </w:r>
            <w:r>
              <w:rPr>
                <w:sz w:val="20"/>
              </w:rPr>
              <w:t>种</w:t>
            </w:r>
            <w:r>
              <w:rPr>
                <w:spacing w:val="-12"/>
                <w:sz w:val="20"/>
              </w:rPr>
              <w:t>）</w:t>
            </w:r>
          </w:p>
        </w:tc>
        <w:tc>
          <w:tcPr>
            <w:tcW w:w="2076" w:type="dxa"/>
          </w:tcPr>
          <w:p>
            <w:pPr>
              <w:pStyle w:val="TableParagraph"/>
              <w:spacing w:before="5"/>
              <w:ind w:left="0"/>
              <w:rPr>
                <w:b/>
                <w:sz w:val="16"/>
              </w:rPr>
            </w:pPr>
          </w:p>
          <w:p>
            <w:pPr>
              <w:pStyle w:val="TableParagraph"/>
              <w:rPr>
                <w:sz w:val="20"/>
              </w:rPr>
            </w:pPr>
            <w:r>
              <w:rPr>
                <w:rFonts w:ascii="Calibri" w:eastAsia="Calibri"/>
                <w:sz w:val="20"/>
              </w:rPr>
              <w:t>C</w:t>
            </w:r>
            <w:r>
              <w:rPr>
                <w:rFonts w:ascii="Calibri" w:eastAsia="Calibri"/>
                <w:spacing w:val="-1"/>
                <w:sz w:val="20"/>
              </w:rPr>
              <w:t> </w:t>
            </w:r>
            <w:r>
              <w:rPr>
                <w:sz w:val="20"/>
              </w:rPr>
              <w:t>组</w:t>
            </w:r>
            <w:r>
              <w:rPr>
                <w:sz w:val="20"/>
              </w:rPr>
              <w:t>（</w:t>
            </w:r>
            <w:r>
              <w:rPr>
                <w:rFonts w:ascii="Calibri" w:eastAsia="Calibri"/>
                <w:sz w:val="20"/>
              </w:rPr>
              <w:t>40</w:t>
            </w:r>
            <w:r>
              <w:rPr>
                <w:rFonts w:ascii="Calibri" w:eastAsia="Calibri"/>
                <w:spacing w:val="1"/>
                <w:sz w:val="20"/>
              </w:rPr>
              <w:t> </w:t>
            </w:r>
            <w:r>
              <w:rPr>
                <w:sz w:val="20"/>
              </w:rPr>
              <w:t>种</w:t>
            </w:r>
            <w:r>
              <w:rPr>
                <w:spacing w:val="-12"/>
                <w:sz w:val="20"/>
              </w:rPr>
              <w:t>）</w:t>
            </w:r>
          </w:p>
        </w:tc>
        <w:tc>
          <w:tcPr>
            <w:tcW w:w="2076" w:type="dxa"/>
          </w:tcPr>
          <w:p>
            <w:pPr>
              <w:pStyle w:val="TableParagraph"/>
              <w:spacing w:before="5"/>
              <w:ind w:left="0"/>
              <w:rPr>
                <w:b/>
                <w:sz w:val="16"/>
              </w:rPr>
            </w:pPr>
          </w:p>
          <w:p>
            <w:pPr>
              <w:pStyle w:val="TableParagraph"/>
              <w:rPr>
                <w:sz w:val="20"/>
              </w:rPr>
            </w:pPr>
            <w:r>
              <w:rPr>
                <w:rFonts w:ascii="Calibri" w:eastAsia="Calibri"/>
                <w:sz w:val="20"/>
              </w:rPr>
              <w:t>D </w:t>
            </w:r>
            <w:r>
              <w:rPr>
                <w:sz w:val="20"/>
              </w:rPr>
              <w:t>组</w:t>
            </w:r>
            <w:r>
              <w:rPr>
                <w:sz w:val="20"/>
              </w:rPr>
              <w:t>（</w:t>
            </w:r>
            <w:r>
              <w:rPr>
                <w:rFonts w:ascii="Calibri" w:eastAsia="Calibri"/>
                <w:sz w:val="20"/>
              </w:rPr>
              <w:t>26</w:t>
            </w:r>
            <w:r>
              <w:rPr>
                <w:rFonts w:ascii="Calibri" w:eastAsia="Calibri"/>
                <w:spacing w:val="1"/>
                <w:sz w:val="20"/>
              </w:rPr>
              <w:t> </w:t>
            </w:r>
            <w:r>
              <w:rPr>
                <w:sz w:val="20"/>
              </w:rPr>
              <w:t>种</w:t>
            </w:r>
            <w:r>
              <w:rPr>
                <w:spacing w:val="-10"/>
                <w:sz w:val="20"/>
              </w:rPr>
              <w:t>）</w:t>
            </w:r>
          </w:p>
        </w:tc>
        <w:tc>
          <w:tcPr>
            <w:tcW w:w="2078" w:type="dxa"/>
          </w:tcPr>
          <w:p>
            <w:pPr>
              <w:pStyle w:val="TableParagraph"/>
              <w:spacing w:before="5"/>
              <w:ind w:left="0"/>
              <w:rPr>
                <w:b/>
                <w:sz w:val="16"/>
              </w:rPr>
            </w:pPr>
          </w:p>
          <w:p>
            <w:pPr>
              <w:pStyle w:val="TableParagraph"/>
              <w:ind w:left="109"/>
              <w:rPr>
                <w:sz w:val="20"/>
              </w:rPr>
            </w:pPr>
            <w:r>
              <w:rPr>
                <w:rFonts w:ascii="Calibri" w:eastAsia="Calibri"/>
                <w:sz w:val="20"/>
              </w:rPr>
              <w:t>E</w:t>
            </w:r>
            <w:r>
              <w:rPr>
                <w:rFonts w:ascii="Calibri" w:eastAsia="Calibri"/>
                <w:spacing w:val="-2"/>
                <w:sz w:val="20"/>
              </w:rPr>
              <w:t> </w:t>
            </w:r>
            <w:r>
              <w:rPr>
                <w:sz w:val="20"/>
              </w:rPr>
              <w:t>组</w:t>
            </w:r>
            <w:r>
              <w:rPr>
                <w:sz w:val="20"/>
              </w:rPr>
              <w:t>（</w:t>
            </w:r>
            <w:r>
              <w:rPr>
                <w:rFonts w:ascii="Calibri" w:eastAsia="Calibri"/>
                <w:sz w:val="20"/>
              </w:rPr>
              <w:t>32</w:t>
            </w:r>
            <w:r>
              <w:rPr>
                <w:rFonts w:ascii="Calibri" w:eastAsia="Calibri"/>
                <w:spacing w:val="1"/>
                <w:sz w:val="20"/>
              </w:rPr>
              <w:t> </w:t>
            </w:r>
            <w:r>
              <w:rPr>
                <w:sz w:val="20"/>
              </w:rPr>
              <w:t>种</w:t>
            </w:r>
            <w:r>
              <w:rPr>
                <w:spacing w:val="-12"/>
                <w:sz w:val="20"/>
              </w:rPr>
              <w:t>）</w:t>
            </w:r>
          </w:p>
        </w:tc>
      </w:tr>
      <w:tr>
        <w:trPr>
          <w:trHeight w:val="676" w:hRule="atLeast"/>
        </w:trPr>
        <w:tc>
          <w:tcPr>
            <w:tcW w:w="2076" w:type="dxa"/>
          </w:tcPr>
          <w:p>
            <w:pPr>
              <w:pStyle w:val="TableParagraph"/>
              <w:spacing w:before="5"/>
              <w:ind w:left="0"/>
              <w:rPr>
                <w:b/>
                <w:sz w:val="16"/>
              </w:rPr>
            </w:pPr>
          </w:p>
          <w:p>
            <w:pPr>
              <w:pStyle w:val="TableParagraph"/>
              <w:ind w:left="107"/>
              <w:rPr>
                <w:rFonts w:ascii="Calibri" w:hAnsi="Calibri" w:eastAsia="Calibri"/>
                <w:sz w:val="20"/>
              </w:rPr>
            </w:pPr>
            <w:r>
              <w:rPr>
                <w:rFonts w:ascii="Calibri" w:hAnsi="Calibri" w:eastAsia="Calibri"/>
                <w:w w:val="95"/>
                <w:sz w:val="20"/>
              </w:rPr>
              <w:t>1.</w:t>
            </w:r>
            <w:r>
              <w:rPr>
                <w:w w:val="95"/>
                <w:sz w:val="20"/>
              </w:rPr>
              <w:t>恶</w:t>
            </w:r>
            <w:r>
              <w:rPr>
                <w:w w:val="95"/>
                <w:sz w:val="20"/>
              </w:rPr>
              <w:t>性</w:t>
            </w:r>
            <w:r>
              <w:rPr>
                <w:w w:val="95"/>
                <w:sz w:val="20"/>
              </w:rPr>
              <w:t>肿瘤——重度</w:t>
            </w:r>
            <w:r>
              <w:rPr>
                <w:rFonts w:ascii="Calibri" w:hAnsi="Calibri" w:eastAsia="Calibri"/>
                <w:spacing w:val="-10"/>
                <w:w w:val="95"/>
                <w:sz w:val="20"/>
              </w:rPr>
              <w:t>*</w:t>
            </w:r>
          </w:p>
        </w:tc>
        <w:tc>
          <w:tcPr>
            <w:tcW w:w="2079" w:type="dxa"/>
          </w:tcPr>
          <w:p>
            <w:pPr>
              <w:pStyle w:val="TableParagraph"/>
              <w:spacing w:line="312" w:lineRule="exact" w:before="4"/>
              <w:ind w:right="84"/>
              <w:rPr>
                <w:rFonts w:ascii="Calibri" w:eastAsia="Calibri"/>
                <w:sz w:val="20"/>
              </w:rPr>
            </w:pPr>
            <w:r>
              <w:rPr>
                <w:rFonts w:ascii="Calibri" w:eastAsia="Calibri"/>
                <w:sz w:val="20"/>
              </w:rPr>
              <w:t>1.</w:t>
            </w:r>
            <w:r>
              <w:rPr>
                <w:spacing w:val="12"/>
                <w:sz w:val="20"/>
              </w:rPr>
              <w:t>重</w:t>
            </w:r>
            <w:r>
              <w:rPr>
                <w:spacing w:val="12"/>
                <w:sz w:val="20"/>
              </w:rPr>
              <w:t>大</w:t>
            </w:r>
            <w:r>
              <w:rPr>
                <w:spacing w:val="12"/>
                <w:sz w:val="20"/>
              </w:rPr>
              <w:t>器</w:t>
            </w:r>
            <w:r>
              <w:rPr>
                <w:spacing w:val="12"/>
                <w:sz w:val="20"/>
              </w:rPr>
              <w:t>官</w:t>
            </w:r>
            <w:r>
              <w:rPr>
                <w:spacing w:val="12"/>
                <w:sz w:val="20"/>
              </w:rPr>
              <w:t>移</w:t>
            </w:r>
            <w:r>
              <w:rPr>
                <w:spacing w:val="12"/>
                <w:sz w:val="20"/>
              </w:rPr>
              <w:t>植</w:t>
            </w:r>
            <w:r>
              <w:rPr>
                <w:spacing w:val="12"/>
                <w:sz w:val="20"/>
              </w:rPr>
              <w:t>术</w:t>
            </w:r>
            <w:r>
              <w:rPr>
                <w:sz w:val="20"/>
              </w:rPr>
              <w:t>或</w:t>
            </w:r>
            <w:r>
              <w:rPr>
                <w:spacing w:val="-2"/>
                <w:sz w:val="20"/>
              </w:rPr>
              <w:t>造</w:t>
            </w:r>
            <w:r>
              <w:rPr>
                <w:spacing w:val="-2"/>
                <w:sz w:val="20"/>
              </w:rPr>
              <w:t>血</w:t>
            </w:r>
            <w:r>
              <w:rPr>
                <w:spacing w:val="-2"/>
                <w:sz w:val="20"/>
              </w:rPr>
              <w:t>干</w:t>
            </w:r>
            <w:r>
              <w:rPr>
                <w:spacing w:val="-2"/>
                <w:sz w:val="20"/>
              </w:rPr>
              <w:t>细</w:t>
            </w:r>
            <w:r>
              <w:rPr>
                <w:spacing w:val="-2"/>
                <w:sz w:val="20"/>
              </w:rPr>
              <w:t>胞</w:t>
            </w:r>
            <w:r>
              <w:rPr>
                <w:spacing w:val="-2"/>
                <w:sz w:val="20"/>
              </w:rPr>
              <w:t>移</w:t>
            </w:r>
            <w:r>
              <w:rPr>
                <w:spacing w:val="-2"/>
                <w:sz w:val="20"/>
              </w:rPr>
              <w:t>植术</w:t>
            </w:r>
            <w:r>
              <w:rPr>
                <w:rFonts w:ascii="Calibri" w:eastAsia="Calibri"/>
                <w:spacing w:val="-2"/>
                <w:sz w:val="20"/>
              </w:rPr>
              <w:t>*</w:t>
            </w:r>
          </w:p>
        </w:tc>
        <w:tc>
          <w:tcPr>
            <w:tcW w:w="2076" w:type="dxa"/>
          </w:tcPr>
          <w:p>
            <w:pPr>
              <w:pStyle w:val="TableParagraph"/>
              <w:spacing w:before="5"/>
              <w:ind w:left="0"/>
              <w:rPr>
                <w:b/>
                <w:sz w:val="16"/>
              </w:rPr>
            </w:pPr>
          </w:p>
          <w:p>
            <w:pPr>
              <w:pStyle w:val="TableParagraph"/>
              <w:rPr>
                <w:rFonts w:ascii="Calibri" w:eastAsia="Calibri"/>
                <w:sz w:val="20"/>
              </w:rPr>
            </w:pPr>
            <w:r>
              <w:rPr>
                <w:rFonts w:ascii="Calibri" w:eastAsia="Calibri"/>
                <w:w w:val="95"/>
                <w:sz w:val="20"/>
              </w:rPr>
              <w:t>1.</w:t>
            </w:r>
            <w:r>
              <w:rPr>
                <w:w w:val="95"/>
                <w:sz w:val="20"/>
              </w:rPr>
              <w:t>严</w:t>
            </w:r>
            <w:r>
              <w:rPr>
                <w:w w:val="95"/>
                <w:sz w:val="20"/>
              </w:rPr>
              <w:t>重</w:t>
            </w:r>
            <w:r>
              <w:rPr>
                <w:w w:val="95"/>
                <w:sz w:val="20"/>
              </w:rPr>
              <w:t>脑</w:t>
            </w:r>
            <w:r>
              <w:rPr>
                <w:w w:val="95"/>
                <w:sz w:val="20"/>
              </w:rPr>
              <w:t>中</w:t>
            </w:r>
            <w:r>
              <w:rPr>
                <w:w w:val="95"/>
                <w:sz w:val="20"/>
              </w:rPr>
              <w:t>风</w:t>
            </w:r>
            <w:r>
              <w:rPr>
                <w:w w:val="95"/>
                <w:sz w:val="20"/>
              </w:rPr>
              <w:t>后遗症</w:t>
            </w:r>
            <w:r>
              <w:rPr>
                <w:rFonts w:ascii="Calibri" w:eastAsia="Calibri"/>
                <w:spacing w:val="-10"/>
                <w:w w:val="95"/>
                <w:sz w:val="20"/>
              </w:rPr>
              <w:t>*</w:t>
            </w:r>
          </w:p>
        </w:tc>
        <w:tc>
          <w:tcPr>
            <w:tcW w:w="2076" w:type="dxa"/>
          </w:tcPr>
          <w:p>
            <w:pPr>
              <w:pStyle w:val="TableParagraph"/>
              <w:spacing w:before="5"/>
              <w:ind w:left="0"/>
              <w:rPr>
                <w:b/>
                <w:sz w:val="16"/>
              </w:rPr>
            </w:pPr>
          </w:p>
          <w:p>
            <w:pPr>
              <w:pStyle w:val="TableParagraph"/>
              <w:rPr>
                <w:rFonts w:ascii="Calibri" w:eastAsia="Calibri"/>
                <w:sz w:val="20"/>
              </w:rPr>
            </w:pPr>
            <w:r>
              <w:rPr>
                <w:rFonts w:ascii="Calibri" w:eastAsia="Calibri"/>
                <w:w w:val="95"/>
                <w:sz w:val="20"/>
              </w:rPr>
              <w:t>1.</w:t>
            </w:r>
            <w:r>
              <w:rPr>
                <w:w w:val="95"/>
                <w:sz w:val="20"/>
              </w:rPr>
              <w:t>较</w:t>
            </w:r>
            <w:r>
              <w:rPr>
                <w:w w:val="95"/>
                <w:sz w:val="20"/>
              </w:rPr>
              <w:t>重</w:t>
            </w:r>
            <w:r>
              <w:rPr>
                <w:w w:val="95"/>
                <w:sz w:val="20"/>
              </w:rPr>
              <w:t>急</w:t>
            </w:r>
            <w:r>
              <w:rPr>
                <w:w w:val="95"/>
                <w:sz w:val="20"/>
              </w:rPr>
              <w:t>性</w:t>
            </w:r>
            <w:r>
              <w:rPr>
                <w:w w:val="95"/>
                <w:sz w:val="20"/>
              </w:rPr>
              <w:t>心</w:t>
            </w:r>
            <w:r>
              <w:rPr>
                <w:w w:val="95"/>
                <w:sz w:val="20"/>
              </w:rPr>
              <w:t>肌梗死</w:t>
            </w:r>
            <w:r>
              <w:rPr>
                <w:rFonts w:ascii="Calibri" w:eastAsia="Calibri"/>
                <w:spacing w:val="-10"/>
                <w:w w:val="95"/>
                <w:sz w:val="20"/>
              </w:rPr>
              <w:t>*</w:t>
            </w:r>
          </w:p>
        </w:tc>
        <w:tc>
          <w:tcPr>
            <w:tcW w:w="2078" w:type="dxa"/>
          </w:tcPr>
          <w:p>
            <w:pPr>
              <w:pStyle w:val="TableParagraph"/>
              <w:spacing w:before="5"/>
              <w:ind w:left="0"/>
              <w:rPr>
                <w:b/>
                <w:sz w:val="16"/>
              </w:rPr>
            </w:pPr>
          </w:p>
          <w:p>
            <w:pPr>
              <w:pStyle w:val="TableParagraph"/>
              <w:ind w:left="109"/>
              <w:rPr>
                <w:rFonts w:ascii="Calibri" w:eastAsia="Calibri"/>
                <w:sz w:val="20"/>
              </w:rPr>
            </w:pPr>
            <w:r>
              <w:rPr>
                <w:rFonts w:ascii="Calibri" w:eastAsia="Calibri"/>
                <w:w w:val="95"/>
                <w:sz w:val="20"/>
              </w:rPr>
              <w:t>1.</w:t>
            </w:r>
            <w:r>
              <w:rPr>
                <w:w w:val="95"/>
                <w:sz w:val="20"/>
              </w:rPr>
              <w:t>严</w:t>
            </w:r>
            <w:r>
              <w:rPr>
                <w:w w:val="95"/>
                <w:sz w:val="20"/>
              </w:rPr>
              <w:t>重</w:t>
            </w:r>
            <w:r>
              <w:rPr>
                <w:w w:val="95"/>
                <w:sz w:val="20"/>
              </w:rPr>
              <w:t>慢</w:t>
            </w:r>
            <w:r>
              <w:rPr>
                <w:w w:val="95"/>
                <w:sz w:val="20"/>
              </w:rPr>
              <w:t>性</w:t>
            </w:r>
            <w:r>
              <w:rPr>
                <w:w w:val="95"/>
                <w:sz w:val="20"/>
              </w:rPr>
              <w:t>肾</w:t>
            </w:r>
            <w:r>
              <w:rPr>
                <w:w w:val="95"/>
                <w:sz w:val="20"/>
              </w:rPr>
              <w:t>衰竭</w:t>
            </w:r>
            <w:r>
              <w:rPr>
                <w:rFonts w:ascii="Calibri" w:eastAsia="Calibri"/>
                <w:spacing w:val="-10"/>
                <w:w w:val="95"/>
                <w:sz w:val="20"/>
              </w:rPr>
              <w:t>*</w:t>
            </w:r>
          </w:p>
        </w:tc>
      </w:tr>
      <w:tr>
        <w:trPr>
          <w:trHeight w:val="935" w:hRule="atLeast"/>
        </w:trPr>
        <w:tc>
          <w:tcPr>
            <w:tcW w:w="2076" w:type="dxa"/>
          </w:tcPr>
          <w:p>
            <w:pPr>
              <w:pStyle w:val="TableParagraph"/>
              <w:spacing w:before="4"/>
              <w:ind w:left="0"/>
              <w:rPr>
                <w:b/>
                <w:sz w:val="14"/>
              </w:rPr>
            </w:pPr>
          </w:p>
          <w:p>
            <w:pPr>
              <w:pStyle w:val="TableParagraph"/>
              <w:spacing w:line="292" w:lineRule="auto"/>
              <w:ind w:left="107" w:right="99"/>
              <w:rPr>
                <w:sz w:val="20"/>
              </w:rPr>
            </w:pPr>
            <w:r>
              <w:rPr>
                <w:rFonts w:ascii="Calibri" w:eastAsia="Calibri"/>
                <w:spacing w:val="-2"/>
                <w:sz w:val="20"/>
              </w:rPr>
              <w:t>2.</w:t>
            </w:r>
            <w:r>
              <w:rPr>
                <w:spacing w:val="-2"/>
                <w:sz w:val="20"/>
              </w:rPr>
              <w:t>侵</w:t>
            </w:r>
            <w:r>
              <w:rPr>
                <w:spacing w:val="-2"/>
                <w:sz w:val="20"/>
              </w:rPr>
              <w:t>蚀</w:t>
            </w:r>
            <w:r>
              <w:rPr>
                <w:spacing w:val="-2"/>
                <w:sz w:val="20"/>
              </w:rPr>
              <w:t>性</w:t>
            </w:r>
            <w:r>
              <w:rPr>
                <w:spacing w:val="-2"/>
                <w:sz w:val="20"/>
              </w:rPr>
              <w:t>葡</w:t>
            </w:r>
            <w:r>
              <w:rPr>
                <w:spacing w:val="-2"/>
                <w:sz w:val="20"/>
              </w:rPr>
              <w:t>萄</w:t>
            </w:r>
            <w:r>
              <w:rPr>
                <w:spacing w:val="-92"/>
                <w:sz w:val="20"/>
              </w:rPr>
              <w:t>胎</w:t>
            </w:r>
            <w:r>
              <w:rPr>
                <w:spacing w:val="-2"/>
                <w:sz w:val="20"/>
              </w:rPr>
              <w:t>（恶</w:t>
            </w:r>
            <w:r>
              <w:rPr>
                <w:spacing w:val="-2"/>
                <w:sz w:val="20"/>
              </w:rPr>
              <w:t>性</w:t>
            </w:r>
            <w:r>
              <w:rPr>
                <w:spacing w:val="-4"/>
                <w:sz w:val="20"/>
              </w:rPr>
              <w:t>葡</w:t>
            </w:r>
            <w:r>
              <w:rPr>
                <w:spacing w:val="-4"/>
                <w:sz w:val="20"/>
              </w:rPr>
              <w:t>萄</w:t>
            </w:r>
            <w:r>
              <w:rPr>
                <w:spacing w:val="-4"/>
                <w:sz w:val="20"/>
              </w:rPr>
              <w:t>胎</w:t>
            </w:r>
            <w:r>
              <w:rPr>
                <w:spacing w:val="-4"/>
                <w:sz w:val="20"/>
              </w:rPr>
              <w:t>）</w:t>
            </w:r>
          </w:p>
        </w:tc>
        <w:tc>
          <w:tcPr>
            <w:tcW w:w="2079" w:type="dxa"/>
          </w:tcPr>
          <w:p>
            <w:pPr>
              <w:pStyle w:val="TableParagraph"/>
              <w:spacing w:line="292" w:lineRule="auto" w:before="184"/>
              <w:ind w:right="84"/>
              <w:rPr>
                <w:rFonts w:ascii="Calibri" w:eastAsia="Calibri"/>
                <w:sz w:val="20"/>
              </w:rPr>
            </w:pPr>
            <w:r>
              <w:rPr>
                <w:rFonts w:ascii="Calibri" w:eastAsia="Calibri"/>
                <w:sz w:val="20"/>
              </w:rPr>
              <w:t>2.</w:t>
            </w:r>
            <w:r>
              <w:rPr>
                <w:spacing w:val="12"/>
                <w:sz w:val="20"/>
              </w:rPr>
              <w:t>急</w:t>
            </w:r>
            <w:r>
              <w:rPr>
                <w:spacing w:val="12"/>
                <w:sz w:val="20"/>
              </w:rPr>
              <w:t>性</w:t>
            </w:r>
            <w:r>
              <w:rPr>
                <w:spacing w:val="12"/>
                <w:sz w:val="20"/>
              </w:rPr>
              <w:t>重</w:t>
            </w:r>
            <w:r>
              <w:rPr>
                <w:spacing w:val="12"/>
                <w:sz w:val="20"/>
              </w:rPr>
              <w:t>症</w:t>
            </w:r>
            <w:r>
              <w:rPr>
                <w:spacing w:val="12"/>
                <w:sz w:val="20"/>
              </w:rPr>
              <w:t>肝</w:t>
            </w:r>
            <w:r>
              <w:rPr>
                <w:spacing w:val="12"/>
                <w:sz w:val="20"/>
              </w:rPr>
              <w:t>炎</w:t>
            </w:r>
            <w:r>
              <w:rPr>
                <w:spacing w:val="12"/>
                <w:sz w:val="20"/>
              </w:rPr>
              <w:t>或</w:t>
            </w:r>
            <w:r>
              <w:rPr>
                <w:sz w:val="20"/>
              </w:rPr>
              <w:t>亚</w:t>
            </w:r>
            <w:r>
              <w:rPr>
                <w:spacing w:val="-2"/>
                <w:sz w:val="20"/>
              </w:rPr>
              <w:t>急</w:t>
            </w:r>
            <w:r>
              <w:rPr>
                <w:spacing w:val="-2"/>
                <w:sz w:val="20"/>
              </w:rPr>
              <w:t>性</w:t>
            </w:r>
            <w:r>
              <w:rPr>
                <w:spacing w:val="-2"/>
                <w:sz w:val="20"/>
              </w:rPr>
              <w:t>重</w:t>
            </w:r>
            <w:r>
              <w:rPr>
                <w:spacing w:val="-2"/>
                <w:sz w:val="20"/>
              </w:rPr>
              <w:t>症肝炎</w:t>
            </w:r>
            <w:r>
              <w:rPr>
                <w:rFonts w:ascii="Calibri" w:eastAsia="Calibri"/>
                <w:spacing w:val="-2"/>
                <w:sz w:val="20"/>
              </w:rPr>
              <w:t>*</w:t>
            </w:r>
          </w:p>
        </w:tc>
        <w:tc>
          <w:tcPr>
            <w:tcW w:w="2076" w:type="dxa"/>
          </w:tcPr>
          <w:p>
            <w:pPr>
              <w:pStyle w:val="TableParagraph"/>
              <w:spacing w:line="292" w:lineRule="auto" w:before="184"/>
              <w:ind w:right="81"/>
              <w:rPr>
                <w:rFonts w:ascii="Calibri" w:eastAsia="Calibri"/>
                <w:sz w:val="20"/>
              </w:rPr>
            </w:pPr>
            <w:r>
              <w:rPr>
                <w:rFonts w:ascii="Calibri" w:eastAsia="Calibri"/>
                <w:sz w:val="20"/>
              </w:rPr>
              <w:t>2.</w:t>
            </w:r>
            <w:r>
              <w:rPr>
                <w:spacing w:val="12"/>
                <w:sz w:val="20"/>
              </w:rPr>
              <w:t>严</w:t>
            </w:r>
            <w:r>
              <w:rPr>
                <w:spacing w:val="12"/>
                <w:sz w:val="20"/>
              </w:rPr>
              <w:t>重</w:t>
            </w:r>
            <w:r>
              <w:rPr>
                <w:spacing w:val="12"/>
                <w:sz w:val="20"/>
              </w:rPr>
              <w:t>非</w:t>
            </w:r>
            <w:r>
              <w:rPr>
                <w:spacing w:val="12"/>
                <w:sz w:val="20"/>
              </w:rPr>
              <w:t>恶</w:t>
            </w:r>
            <w:r>
              <w:rPr>
                <w:spacing w:val="12"/>
                <w:sz w:val="20"/>
              </w:rPr>
              <w:t>性</w:t>
            </w:r>
            <w:r>
              <w:rPr>
                <w:spacing w:val="12"/>
                <w:sz w:val="20"/>
              </w:rPr>
              <w:t>颅</w:t>
            </w:r>
            <w:r>
              <w:rPr>
                <w:spacing w:val="12"/>
                <w:sz w:val="20"/>
              </w:rPr>
              <w:t>内</w:t>
            </w:r>
            <w:r>
              <w:rPr>
                <w:sz w:val="20"/>
              </w:rPr>
              <w:t>肿</w:t>
            </w:r>
            <w:r>
              <w:rPr>
                <w:spacing w:val="-6"/>
                <w:sz w:val="20"/>
              </w:rPr>
              <w:t>瘤</w:t>
            </w:r>
            <w:r>
              <w:rPr>
                <w:rFonts w:ascii="Calibri" w:eastAsia="Calibri"/>
                <w:spacing w:val="-6"/>
                <w:sz w:val="20"/>
              </w:rPr>
              <w:t>*</w:t>
            </w:r>
          </w:p>
        </w:tc>
        <w:tc>
          <w:tcPr>
            <w:tcW w:w="2076" w:type="dxa"/>
          </w:tcPr>
          <w:p>
            <w:pPr>
              <w:pStyle w:val="TableParagraph"/>
              <w:spacing w:line="292" w:lineRule="auto" w:before="28"/>
              <w:ind w:right="98"/>
              <w:rPr>
                <w:sz w:val="20"/>
              </w:rPr>
            </w:pPr>
            <w:r>
              <w:rPr>
                <w:rFonts w:ascii="Calibri" w:eastAsia="Calibri"/>
                <w:spacing w:val="-2"/>
                <w:sz w:val="20"/>
              </w:rPr>
              <w:t>2.</w:t>
            </w:r>
            <w:r>
              <w:rPr>
                <w:spacing w:val="-2"/>
                <w:sz w:val="20"/>
              </w:rPr>
              <w:t>冠</w:t>
            </w:r>
            <w:r>
              <w:rPr>
                <w:spacing w:val="-2"/>
                <w:sz w:val="20"/>
              </w:rPr>
              <w:t>状</w:t>
            </w:r>
            <w:r>
              <w:rPr>
                <w:spacing w:val="-2"/>
                <w:sz w:val="20"/>
              </w:rPr>
              <w:t>动</w:t>
            </w:r>
            <w:r>
              <w:rPr>
                <w:spacing w:val="-2"/>
                <w:sz w:val="20"/>
              </w:rPr>
              <w:t>脉</w:t>
            </w:r>
            <w:r>
              <w:rPr>
                <w:spacing w:val="-2"/>
                <w:sz w:val="20"/>
              </w:rPr>
              <w:t>搭</w:t>
            </w:r>
            <w:r>
              <w:rPr>
                <w:spacing w:val="-47"/>
                <w:sz w:val="20"/>
              </w:rPr>
              <w:t>桥术</w:t>
            </w:r>
            <w:r>
              <w:rPr>
                <w:spacing w:val="-2"/>
                <w:sz w:val="20"/>
              </w:rPr>
              <w:t>（</w:t>
            </w:r>
            <w:r>
              <w:rPr>
                <w:spacing w:val="-2"/>
                <w:sz w:val="20"/>
              </w:rPr>
              <w:t>或</w:t>
            </w:r>
            <w:r>
              <w:rPr>
                <w:spacing w:val="-2"/>
                <w:w w:val="95"/>
                <w:sz w:val="20"/>
              </w:rPr>
              <w:t>称冠状动脉旁路移植</w:t>
            </w:r>
          </w:p>
          <w:p>
            <w:pPr>
              <w:pStyle w:val="TableParagraph"/>
              <w:spacing w:line="255" w:lineRule="exact"/>
              <w:rPr>
                <w:rFonts w:ascii="Calibri" w:eastAsia="Calibri"/>
                <w:sz w:val="20"/>
              </w:rPr>
            </w:pPr>
            <w:r>
              <w:rPr>
                <w:w w:val="95"/>
                <w:sz w:val="20"/>
              </w:rPr>
              <w:t>术</w:t>
            </w:r>
            <w:r>
              <w:rPr>
                <w:spacing w:val="-5"/>
                <w:sz w:val="20"/>
              </w:rPr>
              <w:t>）</w:t>
            </w:r>
            <w:r>
              <w:rPr>
                <w:rFonts w:ascii="Calibri" w:eastAsia="Calibri"/>
                <w:spacing w:val="-5"/>
                <w:sz w:val="20"/>
              </w:rPr>
              <w:t>*</w:t>
            </w:r>
          </w:p>
        </w:tc>
        <w:tc>
          <w:tcPr>
            <w:tcW w:w="2078" w:type="dxa"/>
          </w:tcPr>
          <w:p>
            <w:pPr>
              <w:pStyle w:val="TableParagraph"/>
              <w:spacing w:before="6"/>
              <w:ind w:left="0"/>
              <w:rPr>
                <w:b/>
                <w:sz w:val="26"/>
              </w:rPr>
            </w:pPr>
          </w:p>
          <w:p>
            <w:pPr>
              <w:pStyle w:val="TableParagraph"/>
              <w:ind w:left="109"/>
              <w:rPr>
                <w:rFonts w:ascii="Calibri" w:eastAsia="Calibri"/>
                <w:sz w:val="20"/>
              </w:rPr>
            </w:pPr>
            <w:r>
              <w:rPr>
                <w:rFonts w:ascii="Calibri" w:eastAsia="Calibri"/>
                <w:w w:val="95"/>
                <w:sz w:val="20"/>
              </w:rPr>
              <w:t>2.</w:t>
            </w:r>
            <w:r>
              <w:rPr>
                <w:w w:val="95"/>
                <w:sz w:val="20"/>
              </w:rPr>
              <w:t>多</w:t>
            </w:r>
            <w:r>
              <w:rPr>
                <w:w w:val="95"/>
                <w:sz w:val="20"/>
              </w:rPr>
              <w:t>个</w:t>
            </w:r>
            <w:r>
              <w:rPr>
                <w:w w:val="95"/>
                <w:sz w:val="20"/>
              </w:rPr>
              <w:t>肢</w:t>
            </w:r>
            <w:r>
              <w:rPr>
                <w:w w:val="95"/>
                <w:sz w:val="20"/>
              </w:rPr>
              <w:t>体</w:t>
            </w:r>
            <w:r>
              <w:rPr>
                <w:w w:val="95"/>
                <w:sz w:val="20"/>
              </w:rPr>
              <w:t>缺</w:t>
            </w:r>
            <w:r>
              <w:rPr>
                <w:w w:val="95"/>
                <w:sz w:val="20"/>
              </w:rPr>
              <w:t>失</w:t>
            </w:r>
            <w:r>
              <w:rPr>
                <w:rFonts w:ascii="Calibri" w:eastAsia="Calibri"/>
                <w:spacing w:val="-10"/>
                <w:w w:val="95"/>
                <w:sz w:val="20"/>
              </w:rPr>
              <w:t>*</w:t>
            </w:r>
          </w:p>
        </w:tc>
      </w:tr>
      <w:tr>
        <w:trPr>
          <w:trHeight w:val="623" w:hRule="atLeast"/>
        </w:trPr>
        <w:tc>
          <w:tcPr>
            <w:tcW w:w="2076" w:type="dxa"/>
          </w:tcPr>
          <w:p>
            <w:pPr>
              <w:pStyle w:val="TableParagraph"/>
              <w:ind w:left="0"/>
              <w:rPr>
                <w:rFonts w:ascii="Times New Roman"/>
                <w:sz w:val="20"/>
              </w:rPr>
            </w:pPr>
          </w:p>
        </w:tc>
        <w:tc>
          <w:tcPr>
            <w:tcW w:w="2079" w:type="dxa"/>
          </w:tcPr>
          <w:p>
            <w:pPr>
              <w:pStyle w:val="TableParagraph"/>
              <w:spacing w:before="184"/>
              <w:rPr>
                <w:rFonts w:ascii="Calibri" w:eastAsia="Calibri"/>
                <w:sz w:val="20"/>
              </w:rPr>
            </w:pPr>
            <w:r>
              <w:rPr>
                <w:rFonts w:ascii="Calibri" w:eastAsia="Calibri"/>
                <w:w w:val="95"/>
                <w:sz w:val="20"/>
              </w:rPr>
              <w:t>3.</w:t>
            </w:r>
            <w:r>
              <w:rPr>
                <w:w w:val="95"/>
                <w:sz w:val="20"/>
              </w:rPr>
              <w:t>严</w:t>
            </w:r>
            <w:r>
              <w:rPr>
                <w:w w:val="95"/>
                <w:sz w:val="20"/>
              </w:rPr>
              <w:t>重</w:t>
            </w:r>
            <w:r>
              <w:rPr>
                <w:w w:val="95"/>
                <w:sz w:val="20"/>
              </w:rPr>
              <w:t>慢</w:t>
            </w:r>
            <w:r>
              <w:rPr>
                <w:w w:val="95"/>
                <w:sz w:val="20"/>
              </w:rPr>
              <w:t>性</w:t>
            </w:r>
            <w:r>
              <w:rPr>
                <w:w w:val="95"/>
                <w:sz w:val="20"/>
              </w:rPr>
              <w:t>肝</w:t>
            </w:r>
            <w:r>
              <w:rPr>
                <w:w w:val="95"/>
                <w:sz w:val="20"/>
              </w:rPr>
              <w:t>衰竭</w:t>
            </w:r>
            <w:r>
              <w:rPr>
                <w:rFonts w:ascii="Calibri" w:eastAsia="Calibri"/>
                <w:spacing w:val="-10"/>
                <w:w w:val="95"/>
                <w:sz w:val="20"/>
              </w:rPr>
              <w:t>*</w:t>
            </w:r>
          </w:p>
        </w:tc>
        <w:tc>
          <w:tcPr>
            <w:tcW w:w="2076" w:type="dxa"/>
          </w:tcPr>
          <w:p>
            <w:pPr>
              <w:pStyle w:val="TableParagraph"/>
              <w:spacing w:before="27"/>
              <w:rPr>
                <w:sz w:val="20"/>
              </w:rPr>
            </w:pPr>
            <w:r>
              <w:rPr>
                <w:rFonts w:ascii="Calibri" w:eastAsia="Calibri"/>
                <w:w w:val="95"/>
                <w:sz w:val="20"/>
              </w:rPr>
              <w:t>3.</w:t>
            </w:r>
            <w:r>
              <w:rPr>
                <w:spacing w:val="14"/>
                <w:w w:val="95"/>
                <w:sz w:val="20"/>
              </w:rPr>
              <w:t>严</w:t>
            </w:r>
            <w:r>
              <w:rPr>
                <w:spacing w:val="14"/>
                <w:w w:val="95"/>
                <w:sz w:val="20"/>
              </w:rPr>
              <w:t>重</w:t>
            </w:r>
            <w:r>
              <w:rPr>
                <w:spacing w:val="14"/>
                <w:w w:val="95"/>
                <w:sz w:val="20"/>
              </w:rPr>
              <w:t>脑</w:t>
            </w:r>
            <w:r>
              <w:rPr>
                <w:spacing w:val="14"/>
                <w:w w:val="95"/>
                <w:sz w:val="20"/>
              </w:rPr>
              <w:t>炎</w:t>
            </w:r>
            <w:r>
              <w:rPr>
                <w:spacing w:val="14"/>
                <w:w w:val="95"/>
                <w:sz w:val="20"/>
              </w:rPr>
              <w:t>后</w:t>
            </w:r>
            <w:r>
              <w:rPr>
                <w:spacing w:val="14"/>
                <w:w w:val="95"/>
                <w:sz w:val="20"/>
              </w:rPr>
              <w:t>遗</w:t>
            </w:r>
            <w:r>
              <w:rPr>
                <w:spacing w:val="14"/>
                <w:w w:val="95"/>
                <w:sz w:val="20"/>
              </w:rPr>
              <w:t>症</w:t>
            </w:r>
            <w:r>
              <w:rPr>
                <w:spacing w:val="4"/>
                <w:w w:val="95"/>
                <w:sz w:val="20"/>
              </w:rPr>
              <w:t>或</w:t>
            </w:r>
          </w:p>
          <w:p>
            <w:pPr>
              <w:pStyle w:val="TableParagraph"/>
              <w:spacing w:before="56"/>
              <w:rPr>
                <w:rFonts w:ascii="Calibri" w:eastAsia="Calibri"/>
                <w:sz w:val="20"/>
              </w:rPr>
            </w:pPr>
            <w:r>
              <w:rPr>
                <w:w w:val="95"/>
                <w:sz w:val="20"/>
              </w:rPr>
              <w:t>严</w:t>
            </w:r>
            <w:r>
              <w:rPr>
                <w:w w:val="95"/>
                <w:sz w:val="20"/>
              </w:rPr>
              <w:t>重</w:t>
            </w:r>
            <w:r>
              <w:rPr>
                <w:w w:val="95"/>
                <w:sz w:val="20"/>
              </w:rPr>
              <w:t>脑</w:t>
            </w:r>
            <w:r>
              <w:rPr>
                <w:w w:val="95"/>
                <w:sz w:val="20"/>
              </w:rPr>
              <w:t>膜</w:t>
            </w:r>
            <w:r>
              <w:rPr>
                <w:w w:val="95"/>
                <w:sz w:val="20"/>
              </w:rPr>
              <w:t>炎</w:t>
            </w:r>
            <w:r>
              <w:rPr>
                <w:w w:val="95"/>
                <w:sz w:val="20"/>
              </w:rPr>
              <w:t>后</w:t>
            </w:r>
            <w:r>
              <w:rPr>
                <w:w w:val="95"/>
                <w:sz w:val="20"/>
              </w:rPr>
              <w:t>遗症</w:t>
            </w:r>
            <w:r>
              <w:rPr>
                <w:rFonts w:ascii="Calibri" w:eastAsia="Calibri"/>
                <w:spacing w:val="-10"/>
                <w:w w:val="95"/>
                <w:sz w:val="20"/>
              </w:rPr>
              <w:t>*</w:t>
            </w:r>
          </w:p>
        </w:tc>
        <w:tc>
          <w:tcPr>
            <w:tcW w:w="2076" w:type="dxa"/>
          </w:tcPr>
          <w:p>
            <w:pPr>
              <w:pStyle w:val="TableParagraph"/>
              <w:spacing w:before="184"/>
              <w:rPr>
                <w:rFonts w:ascii="Calibri" w:eastAsia="Calibri"/>
                <w:sz w:val="20"/>
              </w:rPr>
            </w:pPr>
            <w:r>
              <w:rPr>
                <w:rFonts w:ascii="Calibri" w:eastAsia="Calibri"/>
                <w:w w:val="95"/>
                <w:sz w:val="20"/>
              </w:rPr>
              <w:t>3.</w:t>
            </w:r>
            <w:r>
              <w:rPr>
                <w:w w:val="95"/>
                <w:sz w:val="20"/>
              </w:rPr>
              <w:t>心</w:t>
            </w:r>
            <w:r>
              <w:rPr>
                <w:w w:val="95"/>
                <w:sz w:val="20"/>
              </w:rPr>
              <w:t>脏</w:t>
            </w:r>
            <w:r>
              <w:rPr>
                <w:w w:val="95"/>
                <w:sz w:val="20"/>
              </w:rPr>
              <w:t>瓣</w:t>
            </w:r>
            <w:r>
              <w:rPr>
                <w:w w:val="95"/>
                <w:sz w:val="20"/>
              </w:rPr>
              <w:t>膜</w:t>
            </w:r>
            <w:r>
              <w:rPr>
                <w:w w:val="95"/>
                <w:sz w:val="20"/>
              </w:rPr>
              <w:t>手</w:t>
            </w:r>
            <w:r>
              <w:rPr>
                <w:w w:val="95"/>
                <w:sz w:val="20"/>
              </w:rPr>
              <w:t>术</w:t>
            </w:r>
            <w:r>
              <w:rPr>
                <w:rFonts w:ascii="Calibri" w:eastAsia="Calibri"/>
                <w:spacing w:val="-10"/>
                <w:w w:val="95"/>
                <w:sz w:val="20"/>
              </w:rPr>
              <w:t>*</w:t>
            </w:r>
          </w:p>
        </w:tc>
        <w:tc>
          <w:tcPr>
            <w:tcW w:w="2078" w:type="dxa"/>
          </w:tcPr>
          <w:p>
            <w:pPr>
              <w:pStyle w:val="TableParagraph"/>
              <w:spacing w:before="184"/>
              <w:ind w:left="109"/>
              <w:rPr>
                <w:rFonts w:ascii="Calibri" w:eastAsia="Calibri"/>
                <w:sz w:val="20"/>
              </w:rPr>
            </w:pPr>
            <w:r>
              <w:rPr>
                <w:rFonts w:ascii="Calibri" w:eastAsia="Calibri"/>
                <w:w w:val="95"/>
                <w:sz w:val="20"/>
              </w:rPr>
              <w:t>3.</w:t>
            </w:r>
            <w:r>
              <w:rPr>
                <w:w w:val="95"/>
                <w:sz w:val="20"/>
              </w:rPr>
              <w:t>双</w:t>
            </w:r>
            <w:r>
              <w:rPr>
                <w:w w:val="95"/>
                <w:sz w:val="20"/>
              </w:rPr>
              <w:t>耳</w:t>
            </w:r>
            <w:r>
              <w:rPr>
                <w:w w:val="95"/>
                <w:sz w:val="20"/>
              </w:rPr>
              <w:t>失聪</w:t>
            </w:r>
            <w:r>
              <w:rPr>
                <w:rFonts w:ascii="Calibri" w:eastAsia="Calibri"/>
                <w:spacing w:val="-10"/>
                <w:w w:val="95"/>
                <w:sz w:val="20"/>
              </w:rPr>
              <w:t>*</w:t>
            </w:r>
          </w:p>
        </w:tc>
      </w:tr>
      <w:tr>
        <w:trPr>
          <w:trHeight w:val="623" w:hRule="atLeast"/>
        </w:trPr>
        <w:tc>
          <w:tcPr>
            <w:tcW w:w="2076" w:type="dxa"/>
          </w:tcPr>
          <w:p>
            <w:pPr>
              <w:pStyle w:val="TableParagraph"/>
              <w:ind w:left="0"/>
              <w:rPr>
                <w:rFonts w:ascii="Times New Roman"/>
                <w:sz w:val="20"/>
              </w:rPr>
            </w:pPr>
          </w:p>
        </w:tc>
        <w:tc>
          <w:tcPr>
            <w:tcW w:w="2079" w:type="dxa"/>
          </w:tcPr>
          <w:p>
            <w:pPr>
              <w:pStyle w:val="TableParagraph"/>
              <w:spacing w:before="183"/>
              <w:rPr>
                <w:rFonts w:ascii="Calibri" w:eastAsia="Calibri"/>
                <w:sz w:val="20"/>
              </w:rPr>
            </w:pPr>
            <w:r>
              <w:rPr>
                <w:rFonts w:ascii="Calibri" w:eastAsia="Calibri"/>
                <w:w w:val="95"/>
                <w:sz w:val="20"/>
              </w:rPr>
              <w:t>4.</w:t>
            </w:r>
            <w:r>
              <w:rPr>
                <w:w w:val="95"/>
                <w:sz w:val="20"/>
              </w:rPr>
              <w:t>严</w:t>
            </w:r>
            <w:r>
              <w:rPr>
                <w:w w:val="95"/>
                <w:sz w:val="20"/>
              </w:rPr>
              <w:t>重</w:t>
            </w:r>
            <w:r>
              <w:rPr>
                <w:w w:val="95"/>
                <w:sz w:val="20"/>
              </w:rPr>
              <w:t>慢</w:t>
            </w:r>
            <w:r>
              <w:rPr>
                <w:w w:val="95"/>
                <w:sz w:val="20"/>
              </w:rPr>
              <w:t>性</w:t>
            </w:r>
            <w:r>
              <w:rPr>
                <w:w w:val="95"/>
                <w:sz w:val="20"/>
              </w:rPr>
              <w:t>呼</w:t>
            </w:r>
            <w:r>
              <w:rPr>
                <w:w w:val="95"/>
                <w:sz w:val="20"/>
              </w:rPr>
              <w:t>吸衰竭</w:t>
            </w:r>
            <w:r>
              <w:rPr>
                <w:rFonts w:ascii="Calibri" w:eastAsia="Calibri"/>
                <w:spacing w:val="-10"/>
                <w:w w:val="95"/>
                <w:sz w:val="20"/>
              </w:rPr>
              <w:t>*</w:t>
            </w:r>
          </w:p>
        </w:tc>
        <w:tc>
          <w:tcPr>
            <w:tcW w:w="2076" w:type="dxa"/>
          </w:tcPr>
          <w:p>
            <w:pPr>
              <w:pStyle w:val="TableParagraph"/>
              <w:spacing w:before="183"/>
              <w:rPr>
                <w:rFonts w:ascii="Calibri" w:eastAsia="Calibri"/>
                <w:sz w:val="20"/>
              </w:rPr>
            </w:pPr>
            <w:r>
              <w:rPr>
                <w:rFonts w:ascii="Calibri" w:eastAsia="Calibri"/>
                <w:w w:val="95"/>
                <w:sz w:val="20"/>
              </w:rPr>
              <w:t>4.</w:t>
            </w:r>
            <w:r>
              <w:rPr>
                <w:w w:val="95"/>
                <w:sz w:val="20"/>
              </w:rPr>
              <w:t>深</w:t>
            </w:r>
            <w:r>
              <w:rPr>
                <w:w w:val="95"/>
                <w:sz w:val="20"/>
              </w:rPr>
              <w:t>度</w:t>
            </w:r>
            <w:r>
              <w:rPr>
                <w:w w:val="95"/>
                <w:sz w:val="20"/>
              </w:rPr>
              <w:t>昏迷</w:t>
            </w:r>
            <w:r>
              <w:rPr>
                <w:rFonts w:ascii="Calibri" w:eastAsia="Calibri"/>
                <w:spacing w:val="-10"/>
                <w:w w:val="95"/>
                <w:sz w:val="20"/>
              </w:rPr>
              <w:t>*</w:t>
            </w:r>
          </w:p>
        </w:tc>
        <w:tc>
          <w:tcPr>
            <w:tcW w:w="2076" w:type="dxa"/>
          </w:tcPr>
          <w:p>
            <w:pPr>
              <w:pStyle w:val="TableParagraph"/>
              <w:spacing w:before="27"/>
              <w:rPr>
                <w:sz w:val="20"/>
              </w:rPr>
            </w:pPr>
            <w:r>
              <w:rPr>
                <w:rFonts w:ascii="Calibri" w:eastAsia="Calibri"/>
                <w:w w:val="95"/>
                <w:sz w:val="20"/>
              </w:rPr>
              <w:t>4.</w:t>
            </w:r>
            <w:r>
              <w:rPr>
                <w:spacing w:val="14"/>
                <w:w w:val="95"/>
                <w:sz w:val="20"/>
              </w:rPr>
              <w:t>严</w:t>
            </w:r>
            <w:r>
              <w:rPr>
                <w:spacing w:val="14"/>
                <w:w w:val="95"/>
                <w:sz w:val="20"/>
              </w:rPr>
              <w:t>重</w:t>
            </w:r>
            <w:r>
              <w:rPr>
                <w:spacing w:val="14"/>
                <w:w w:val="95"/>
                <w:sz w:val="20"/>
              </w:rPr>
              <w:t>特</w:t>
            </w:r>
            <w:r>
              <w:rPr>
                <w:spacing w:val="14"/>
                <w:w w:val="95"/>
                <w:sz w:val="20"/>
              </w:rPr>
              <w:t>发</w:t>
            </w:r>
            <w:r>
              <w:rPr>
                <w:spacing w:val="14"/>
                <w:w w:val="95"/>
                <w:sz w:val="20"/>
              </w:rPr>
              <w:t>性</w:t>
            </w:r>
            <w:r>
              <w:rPr>
                <w:spacing w:val="14"/>
                <w:w w:val="95"/>
                <w:sz w:val="20"/>
              </w:rPr>
              <w:t>肺</w:t>
            </w:r>
            <w:r>
              <w:rPr>
                <w:spacing w:val="14"/>
                <w:w w:val="95"/>
                <w:sz w:val="20"/>
              </w:rPr>
              <w:t>动</w:t>
            </w:r>
            <w:r>
              <w:rPr>
                <w:spacing w:val="4"/>
                <w:w w:val="95"/>
                <w:sz w:val="20"/>
              </w:rPr>
              <w:t>脉</w:t>
            </w:r>
          </w:p>
          <w:p>
            <w:pPr>
              <w:pStyle w:val="TableParagraph"/>
              <w:spacing w:before="56"/>
              <w:rPr>
                <w:rFonts w:ascii="Calibri" w:eastAsia="Calibri"/>
                <w:sz w:val="20"/>
              </w:rPr>
            </w:pPr>
            <w:r>
              <w:rPr>
                <w:w w:val="95"/>
                <w:sz w:val="20"/>
              </w:rPr>
              <w:t>高</w:t>
            </w:r>
            <w:r>
              <w:rPr>
                <w:w w:val="95"/>
                <w:sz w:val="20"/>
              </w:rPr>
              <w:t>压</w:t>
            </w:r>
            <w:r>
              <w:rPr>
                <w:rFonts w:ascii="Calibri" w:eastAsia="Calibri"/>
                <w:spacing w:val="-10"/>
                <w:w w:val="95"/>
                <w:sz w:val="20"/>
              </w:rPr>
              <w:t>*</w:t>
            </w:r>
          </w:p>
        </w:tc>
        <w:tc>
          <w:tcPr>
            <w:tcW w:w="2078" w:type="dxa"/>
          </w:tcPr>
          <w:p>
            <w:pPr>
              <w:pStyle w:val="TableParagraph"/>
              <w:spacing w:before="183"/>
              <w:ind w:left="109"/>
              <w:rPr>
                <w:rFonts w:ascii="Calibri" w:eastAsia="Calibri"/>
                <w:sz w:val="20"/>
              </w:rPr>
            </w:pPr>
            <w:r>
              <w:rPr>
                <w:rFonts w:ascii="Calibri" w:eastAsia="Calibri"/>
                <w:w w:val="95"/>
                <w:sz w:val="20"/>
              </w:rPr>
              <w:t>4.</w:t>
            </w:r>
            <w:r>
              <w:rPr>
                <w:w w:val="95"/>
                <w:sz w:val="20"/>
              </w:rPr>
              <w:t>双</w:t>
            </w:r>
            <w:r>
              <w:rPr>
                <w:w w:val="95"/>
                <w:sz w:val="20"/>
              </w:rPr>
              <w:t>目</w:t>
            </w:r>
            <w:r>
              <w:rPr>
                <w:w w:val="95"/>
                <w:sz w:val="20"/>
              </w:rPr>
              <w:t>失明</w:t>
            </w:r>
            <w:r>
              <w:rPr>
                <w:rFonts w:ascii="Calibri" w:eastAsia="Calibri"/>
                <w:spacing w:val="-10"/>
                <w:w w:val="95"/>
                <w:sz w:val="20"/>
              </w:rPr>
              <w:t>*</w:t>
            </w:r>
          </w:p>
        </w:tc>
      </w:tr>
      <w:tr>
        <w:trPr>
          <w:trHeight w:val="453" w:hRule="atLeast"/>
        </w:trPr>
        <w:tc>
          <w:tcPr>
            <w:tcW w:w="2076" w:type="dxa"/>
          </w:tcPr>
          <w:p>
            <w:pPr>
              <w:pStyle w:val="TableParagraph"/>
              <w:ind w:left="0"/>
              <w:rPr>
                <w:rFonts w:ascii="Times New Roman"/>
                <w:sz w:val="20"/>
              </w:rPr>
            </w:pPr>
          </w:p>
        </w:tc>
        <w:tc>
          <w:tcPr>
            <w:tcW w:w="2079" w:type="dxa"/>
          </w:tcPr>
          <w:p>
            <w:pPr>
              <w:pStyle w:val="TableParagraph"/>
              <w:spacing w:before="99"/>
              <w:rPr>
                <w:rFonts w:ascii="Calibri" w:eastAsia="Calibri"/>
                <w:sz w:val="20"/>
              </w:rPr>
            </w:pPr>
            <w:r>
              <w:rPr>
                <w:rFonts w:ascii="Calibri" w:eastAsia="Calibri"/>
                <w:w w:val="95"/>
                <w:sz w:val="20"/>
              </w:rPr>
              <w:t>5.</w:t>
            </w:r>
            <w:r>
              <w:rPr>
                <w:w w:val="95"/>
                <w:sz w:val="20"/>
              </w:rPr>
              <w:t>严</w:t>
            </w:r>
            <w:r>
              <w:rPr>
                <w:w w:val="95"/>
                <w:sz w:val="20"/>
              </w:rPr>
              <w:t>重</w:t>
            </w:r>
            <w:r>
              <w:rPr>
                <w:w w:val="95"/>
                <w:sz w:val="20"/>
              </w:rPr>
              <w:t>溃</w:t>
            </w:r>
            <w:r>
              <w:rPr>
                <w:w w:val="95"/>
                <w:sz w:val="20"/>
              </w:rPr>
              <w:t>疡</w:t>
            </w:r>
            <w:r>
              <w:rPr>
                <w:w w:val="95"/>
                <w:sz w:val="20"/>
              </w:rPr>
              <w:t>性</w:t>
            </w:r>
            <w:r>
              <w:rPr>
                <w:w w:val="95"/>
                <w:sz w:val="20"/>
              </w:rPr>
              <w:t>结肠炎</w:t>
            </w:r>
            <w:r>
              <w:rPr>
                <w:rFonts w:ascii="Calibri" w:eastAsia="Calibri"/>
                <w:spacing w:val="-10"/>
                <w:w w:val="95"/>
                <w:sz w:val="20"/>
              </w:rPr>
              <w:t>*</w:t>
            </w:r>
          </w:p>
        </w:tc>
        <w:tc>
          <w:tcPr>
            <w:tcW w:w="2076" w:type="dxa"/>
          </w:tcPr>
          <w:p>
            <w:pPr>
              <w:pStyle w:val="TableParagraph"/>
              <w:spacing w:before="99"/>
              <w:rPr>
                <w:rFonts w:ascii="Calibri" w:eastAsia="Calibri"/>
                <w:sz w:val="20"/>
              </w:rPr>
            </w:pPr>
            <w:r>
              <w:rPr>
                <w:rFonts w:ascii="Calibri" w:eastAsia="Calibri"/>
                <w:w w:val="95"/>
                <w:sz w:val="20"/>
              </w:rPr>
              <w:t>5.</w:t>
            </w:r>
            <w:r>
              <w:rPr>
                <w:w w:val="95"/>
                <w:sz w:val="20"/>
              </w:rPr>
              <w:t>瘫</w:t>
            </w:r>
            <w:r>
              <w:rPr>
                <w:w w:val="95"/>
                <w:sz w:val="20"/>
              </w:rPr>
              <w:t>痪</w:t>
            </w:r>
            <w:r>
              <w:rPr>
                <w:rFonts w:ascii="Calibri" w:eastAsia="Calibri"/>
                <w:spacing w:val="-10"/>
                <w:w w:val="95"/>
                <w:sz w:val="20"/>
              </w:rPr>
              <w:t>*</w:t>
            </w:r>
          </w:p>
        </w:tc>
        <w:tc>
          <w:tcPr>
            <w:tcW w:w="2076" w:type="dxa"/>
          </w:tcPr>
          <w:p>
            <w:pPr>
              <w:pStyle w:val="TableParagraph"/>
              <w:spacing w:before="99"/>
              <w:rPr>
                <w:rFonts w:ascii="Calibri" w:eastAsia="Calibri"/>
                <w:sz w:val="20"/>
              </w:rPr>
            </w:pPr>
            <w:r>
              <w:rPr>
                <w:rFonts w:ascii="Calibri" w:eastAsia="Calibri"/>
                <w:w w:val="95"/>
                <w:sz w:val="20"/>
              </w:rPr>
              <w:t>5.</w:t>
            </w:r>
            <w:r>
              <w:rPr>
                <w:w w:val="95"/>
                <w:sz w:val="20"/>
              </w:rPr>
              <w:t>主</w:t>
            </w:r>
            <w:r>
              <w:rPr>
                <w:w w:val="95"/>
                <w:sz w:val="20"/>
              </w:rPr>
              <w:t>动</w:t>
            </w:r>
            <w:r>
              <w:rPr>
                <w:w w:val="95"/>
                <w:sz w:val="20"/>
              </w:rPr>
              <w:t>脉</w:t>
            </w:r>
            <w:r>
              <w:rPr>
                <w:w w:val="95"/>
                <w:sz w:val="20"/>
              </w:rPr>
              <w:t>手</w:t>
            </w:r>
            <w:r>
              <w:rPr>
                <w:w w:val="95"/>
                <w:sz w:val="20"/>
              </w:rPr>
              <w:t>术</w:t>
            </w:r>
            <w:r>
              <w:rPr>
                <w:rFonts w:ascii="Calibri" w:eastAsia="Calibri"/>
                <w:spacing w:val="-10"/>
                <w:w w:val="95"/>
                <w:sz w:val="20"/>
              </w:rPr>
              <w:t>*</w:t>
            </w:r>
          </w:p>
        </w:tc>
        <w:tc>
          <w:tcPr>
            <w:tcW w:w="2078" w:type="dxa"/>
          </w:tcPr>
          <w:p>
            <w:pPr>
              <w:pStyle w:val="TableParagraph"/>
              <w:spacing w:before="99"/>
              <w:ind w:left="109"/>
              <w:rPr>
                <w:rFonts w:ascii="Calibri" w:eastAsia="Calibri"/>
                <w:sz w:val="20"/>
              </w:rPr>
            </w:pPr>
            <w:r>
              <w:rPr>
                <w:rFonts w:ascii="Calibri" w:eastAsia="Calibri"/>
                <w:w w:val="95"/>
                <w:sz w:val="20"/>
              </w:rPr>
              <w:t>5.</w:t>
            </w:r>
            <w:r>
              <w:rPr>
                <w:w w:val="95"/>
                <w:sz w:val="20"/>
              </w:rPr>
              <w:t>严</w:t>
            </w:r>
            <w:r>
              <w:rPr>
                <w:w w:val="95"/>
                <w:sz w:val="20"/>
              </w:rPr>
              <w:t>重</w:t>
            </w:r>
            <w:r>
              <w:rPr>
                <w:w w:val="95"/>
                <w:sz w:val="20"/>
              </w:rPr>
              <w:t>阿</w:t>
            </w:r>
            <w:r>
              <w:rPr>
                <w:w w:val="95"/>
                <w:sz w:val="20"/>
              </w:rPr>
              <w:t>尔</w:t>
            </w:r>
            <w:r>
              <w:rPr>
                <w:w w:val="95"/>
                <w:sz w:val="20"/>
              </w:rPr>
              <w:t>茨</w:t>
            </w:r>
            <w:r>
              <w:rPr>
                <w:w w:val="95"/>
                <w:sz w:val="20"/>
              </w:rPr>
              <w:t>海默病</w:t>
            </w:r>
            <w:r>
              <w:rPr>
                <w:rFonts w:ascii="Calibri" w:eastAsia="Calibri"/>
                <w:spacing w:val="-10"/>
                <w:w w:val="95"/>
                <w:sz w:val="20"/>
              </w:rPr>
              <w:t>*</w:t>
            </w:r>
          </w:p>
        </w:tc>
      </w:tr>
      <w:tr>
        <w:trPr>
          <w:trHeight w:val="455" w:hRule="atLeast"/>
        </w:trPr>
        <w:tc>
          <w:tcPr>
            <w:tcW w:w="2076" w:type="dxa"/>
          </w:tcPr>
          <w:p>
            <w:pPr>
              <w:pStyle w:val="TableParagraph"/>
              <w:ind w:left="0"/>
              <w:rPr>
                <w:rFonts w:ascii="Times New Roman"/>
                <w:sz w:val="20"/>
              </w:rPr>
            </w:pPr>
          </w:p>
        </w:tc>
        <w:tc>
          <w:tcPr>
            <w:tcW w:w="2079" w:type="dxa"/>
          </w:tcPr>
          <w:p>
            <w:pPr>
              <w:pStyle w:val="TableParagraph"/>
              <w:spacing w:before="100"/>
              <w:rPr>
                <w:sz w:val="20"/>
              </w:rPr>
            </w:pPr>
            <w:r>
              <w:rPr>
                <w:rFonts w:ascii="Calibri" w:eastAsia="Calibri"/>
                <w:w w:val="95"/>
                <w:sz w:val="20"/>
              </w:rPr>
              <w:t>6.</w:t>
            </w:r>
            <w:r>
              <w:rPr>
                <w:w w:val="95"/>
                <w:sz w:val="20"/>
              </w:rPr>
              <w:t>严</w:t>
            </w:r>
            <w:r>
              <w:rPr>
                <w:w w:val="95"/>
                <w:sz w:val="20"/>
              </w:rPr>
              <w:t>重</w:t>
            </w:r>
            <w:r>
              <w:rPr>
                <w:spacing w:val="-5"/>
                <w:w w:val="95"/>
                <w:sz w:val="20"/>
              </w:rPr>
              <w:t>哮喘</w:t>
            </w:r>
          </w:p>
        </w:tc>
        <w:tc>
          <w:tcPr>
            <w:tcW w:w="2076" w:type="dxa"/>
          </w:tcPr>
          <w:p>
            <w:pPr>
              <w:pStyle w:val="TableParagraph"/>
              <w:spacing w:before="100"/>
              <w:rPr>
                <w:rFonts w:ascii="Calibri" w:eastAsia="Calibri"/>
                <w:sz w:val="20"/>
              </w:rPr>
            </w:pPr>
            <w:r>
              <w:rPr>
                <w:rFonts w:ascii="Calibri" w:eastAsia="Calibri"/>
                <w:w w:val="95"/>
                <w:sz w:val="20"/>
              </w:rPr>
              <w:t>6.</w:t>
            </w:r>
            <w:r>
              <w:rPr>
                <w:w w:val="95"/>
                <w:sz w:val="20"/>
              </w:rPr>
              <w:t>严</w:t>
            </w:r>
            <w:r>
              <w:rPr>
                <w:w w:val="95"/>
                <w:sz w:val="20"/>
              </w:rPr>
              <w:t>重</w:t>
            </w:r>
            <w:r>
              <w:rPr>
                <w:w w:val="95"/>
                <w:sz w:val="20"/>
              </w:rPr>
              <w:t>脑</w:t>
            </w:r>
            <w:r>
              <w:rPr>
                <w:w w:val="95"/>
                <w:sz w:val="20"/>
              </w:rPr>
              <w:t>损</w:t>
            </w:r>
            <w:r>
              <w:rPr>
                <w:w w:val="95"/>
                <w:sz w:val="20"/>
              </w:rPr>
              <w:t>伤</w:t>
            </w:r>
            <w:r>
              <w:rPr>
                <w:rFonts w:ascii="Calibri" w:eastAsia="Calibri"/>
                <w:spacing w:val="-10"/>
                <w:w w:val="95"/>
                <w:sz w:val="20"/>
              </w:rPr>
              <w:t>*</w:t>
            </w:r>
          </w:p>
        </w:tc>
        <w:tc>
          <w:tcPr>
            <w:tcW w:w="2076" w:type="dxa"/>
          </w:tcPr>
          <w:p>
            <w:pPr>
              <w:pStyle w:val="TableParagraph"/>
              <w:spacing w:before="100"/>
              <w:rPr>
                <w:sz w:val="20"/>
              </w:rPr>
            </w:pPr>
            <w:r>
              <w:rPr>
                <w:rFonts w:ascii="Calibri" w:eastAsia="Calibri"/>
                <w:w w:val="95"/>
                <w:sz w:val="20"/>
              </w:rPr>
              <w:t>6.</w:t>
            </w:r>
            <w:r>
              <w:rPr>
                <w:w w:val="95"/>
                <w:sz w:val="20"/>
              </w:rPr>
              <w:t>严</w:t>
            </w:r>
            <w:r>
              <w:rPr>
                <w:w w:val="95"/>
                <w:sz w:val="20"/>
              </w:rPr>
              <w:t>重</w:t>
            </w:r>
            <w:r>
              <w:rPr>
                <w:w w:val="95"/>
                <w:sz w:val="20"/>
              </w:rPr>
              <w:t>原</w:t>
            </w:r>
            <w:r>
              <w:rPr>
                <w:w w:val="95"/>
                <w:sz w:val="20"/>
              </w:rPr>
              <w:t>发</w:t>
            </w:r>
            <w:r>
              <w:rPr>
                <w:w w:val="95"/>
                <w:sz w:val="20"/>
              </w:rPr>
              <w:t>性</w:t>
            </w:r>
            <w:r>
              <w:rPr>
                <w:w w:val="95"/>
                <w:sz w:val="20"/>
              </w:rPr>
              <w:t>心</w:t>
            </w:r>
            <w:r>
              <w:rPr>
                <w:w w:val="95"/>
                <w:sz w:val="20"/>
              </w:rPr>
              <w:t>肌</w:t>
            </w:r>
            <w:r>
              <w:rPr>
                <w:spacing w:val="-10"/>
                <w:w w:val="95"/>
                <w:sz w:val="20"/>
              </w:rPr>
              <w:t>病</w:t>
            </w:r>
          </w:p>
        </w:tc>
        <w:tc>
          <w:tcPr>
            <w:tcW w:w="2078" w:type="dxa"/>
          </w:tcPr>
          <w:p>
            <w:pPr>
              <w:pStyle w:val="TableParagraph"/>
              <w:spacing w:before="100"/>
              <w:ind w:left="109"/>
              <w:rPr>
                <w:rFonts w:ascii="Calibri" w:hAnsi="Calibri" w:eastAsia="Calibri"/>
                <w:sz w:val="20"/>
              </w:rPr>
            </w:pPr>
            <w:r>
              <w:rPr>
                <w:rFonts w:ascii="Calibri" w:hAnsi="Calibri" w:eastAsia="Calibri"/>
                <w:w w:val="95"/>
                <w:sz w:val="20"/>
              </w:rPr>
              <w:t>6.</w:t>
            </w:r>
            <w:r>
              <w:rPr>
                <w:w w:val="95"/>
                <w:sz w:val="20"/>
              </w:rPr>
              <w:t>严</w:t>
            </w:r>
            <w:r>
              <w:rPr>
                <w:w w:val="95"/>
                <w:sz w:val="20"/>
              </w:rPr>
              <w:t>重</w:t>
            </w:r>
            <w:r>
              <w:rPr>
                <w:w w:val="95"/>
                <w:sz w:val="20"/>
              </w:rPr>
              <w:t>Ⅲ</w:t>
            </w:r>
            <w:r>
              <w:rPr>
                <w:w w:val="95"/>
                <w:sz w:val="20"/>
              </w:rPr>
              <w:t>度</w:t>
            </w:r>
            <w:r>
              <w:rPr>
                <w:w w:val="95"/>
                <w:sz w:val="20"/>
              </w:rPr>
              <w:t>烧</w:t>
            </w:r>
            <w:r>
              <w:rPr>
                <w:w w:val="95"/>
                <w:sz w:val="20"/>
              </w:rPr>
              <w:t>伤</w:t>
            </w:r>
            <w:r>
              <w:rPr>
                <w:rFonts w:ascii="Calibri" w:hAnsi="Calibri" w:eastAsia="Calibri"/>
                <w:spacing w:val="-10"/>
                <w:w w:val="95"/>
                <w:sz w:val="20"/>
              </w:rPr>
              <w:t>*</w:t>
            </w:r>
          </w:p>
        </w:tc>
      </w:tr>
      <w:tr>
        <w:trPr>
          <w:trHeight w:val="673" w:hRule="atLeast"/>
        </w:trPr>
        <w:tc>
          <w:tcPr>
            <w:tcW w:w="2076" w:type="dxa"/>
          </w:tcPr>
          <w:p>
            <w:pPr>
              <w:pStyle w:val="TableParagraph"/>
              <w:ind w:left="0"/>
              <w:rPr>
                <w:rFonts w:ascii="Times New Roman"/>
                <w:sz w:val="20"/>
              </w:rPr>
            </w:pPr>
          </w:p>
        </w:tc>
        <w:tc>
          <w:tcPr>
            <w:tcW w:w="2079" w:type="dxa"/>
          </w:tcPr>
          <w:p>
            <w:pPr>
              <w:pStyle w:val="TableParagraph"/>
              <w:spacing w:line="312" w:lineRule="exact" w:before="2"/>
              <w:ind w:right="84"/>
              <w:rPr>
                <w:sz w:val="20"/>
              </w:rPr>
            </w:pPr>
            <w:r>
              <w:rPr>
                <w:rFonts w:ascii="Calibri" w:eastAsia="Calibri"/>
                <w:sz w:val="20"/>
              </w:rPr>
              <w:t>7.</w:t>
            </w:r>
            <w:r>
              <w:rPr>
                <w:spacing w:val="12"/>
                <w:sz w:val="20"/>
              </w:rPr>
              <w:t>严</w:t>
            </w:r>
            <w:r>
              <w:rPr>
                <w:spacing w:val="12"/>
                <w:sz w:val="20"/>
              </w:rPr>
              <w:t>重</w:t>
            </w:r>
            <w:r>
              <w:rPr>
                <w:spacing w:val="12"/>
                <w:sz w:val="20"/>
              </w:rPr>
              <w:t>原</w:t>
            </w:r>
            <w:r>
              <w:rPr>
                <w:spacing w:val="12"/>
                <w:sz w:val="20"/>
              </w:rPr>
              <w:t>发</w:t>
            </w:r>
            <w:r>
              <w:rPr>
                <w:spacing w:val="12"/>
                <w:sz w:val="20"/>
              </w:rPr>
              <w:t>性</w:t>
            </w:r>
            <w:r>
              <w:rPr>
                <w:spacing w:val="12"/>
                <w:sz w:val="20"/>
              </w:rPr>
              <w:t>硬</w:t>
            </w:r>
            <w:r>
              <w:rPr>
                <w:spacing w:val="12"/>
                <w:sz w:val="20"/>
              </w:rPr>
              <w:t>化</w:t>
            </w:r>
            <w:r>
              <w:rPr>
                <w:sz w:val="20"/>
              </w:rPr>
              <w:t>性</w:t>
            </w:r>
            <w:r>
              <w:rPr>
                <w:spacing w:val="-4"/>
                <w:sz w:val="20"/>
              </w:rPr>
              <w:t>胆</w:t>
            </w:r>
            <w:r>
              <w:rPr>
                <w:spacing w:val="-4"/>
                <w:sz w:val="20"/>
              </w:rPr>
              <w:t>管</w:t>
            </w:r>
            <w:r>
              <w:rPr>
                <w:spacing w:val="-4"/>
                <w:sz w:val="20"/>
              </w:rPr>
              <w:t>炎</w:t>
            </w:r>
          </w:p>
        </w:tc>
        <w:tc>
          <w:tcPr>
            <w:tcW w:w="2076" w:type="dxa"/>
          </w:tcPr>
          <w:p>
            <w:pPr>
              <w:pStyle w:val="TableParagraph"/>
              <w:spacing w:line="312" w:lineRule="exact" w:before="2"/>
              <w:ind w:right="81"/>
              <w:rPr>
                <w:rFonts w:ascii="Calibri" w:eastAsia="Calibri"/>
                <w:sz w:val="20"/>
              </w:rPr>
            </w:pPr>
            <w:r>
              <w:rPr>
                <w:rFonts w:ascii="Calibri" w:eastAsia="Calibri"/>
                <w:sz w:val="20"/>
              </w:rPr>
              <w:t>7.</w:t>
            </w:r>
            <w:r>
              <w:rPr>
                <w:spacing w:val="12"/>
                <w:sz w:val="20"/>
              </w:rPr>
              <w:t>严</w:t>
            </w:r>
            <w:r>
              <w:rPr>
                <w:spacing w:val="12"/>
                <w:sz w:val="20"/>
              </w:rPr>
              <w:t>重</w:t>
            </w:r>
            <w:r>
              <w:rPr>
                <w:spacing w:val="12"/>
                <w:sz w:val="20"/>
              </w:rPr>
              <w:t>原</w:t>
            </w:r>
            <w:r>
              <w:rPr>
                <w:spacing w:val="12"/>
                <w:sz w:val="20"/>
              </w:rPr>
              <w:t>发</w:t>
            </w:r>
            <w:r>
              <w:rPr>
                <w:spacing w:val="12"/>
                <w:sz w:val="20"/>
              </w:rPr>
              <w:t>性</w:t>
            </w:r>
            <w:r>
              <w:rPr>
                <w:spacing w:val="12"/>
                <w:sz w:val="20"/>
              </w:rPr>
              <w:t>帕</w:t>
            </w:r>
            <w:r>
              <w:rPr>
                <w:spacing w:val="12"/>
                <w:sz w:val="20"/>
              </w:rPr>
              <w:t>金</w:t>
            </w:r>
            <w:r>
              <w:rPr>
                <w:sz w:val="20"/>
              </w:rPr>
              <w:t>森</w:t>
            </w:r>
            <w:r>
              <w:rPr>
                <w:spacing w:val="-6"/>
                <w:sz w:val="20"/>
              </w:rPr>
              <w:t>病</w:t>
            </w:r>
            <w:r>
              <w:rPr>
                <w:rFonts w:ascii="Calibri" w:eastAsia="Calibri"/>
                <w:spacing w:val="-6"/>
                <w:sz w:val="20"/>
              </w:rPr>
              <w:t>*</w:t>
            </w:r>
          </w:p>
        </w:tc>
        <w:tc>
          <w:tcPr>
            <w:tcW w:w="2076" w:type="dxa"/>
          </w:tcPr>
          <w:p>
            <w:pPr>
              <w:pStyle w:val="TableParagraph"/>
              <w:spacing w:line="312" w:lineRule="exact" w:before="2"/>
              <w:ind w:right="82"/>
              <w:rPr>
                <w:sz w:val="20"/>
              </w:rPr>
            </w:pPr>
            <w:r>
              <w:rPr>
                <w:rFonts w:ascii="Calibri" w:eastAsia="Calibri"/>
                <w:sz w:val="20"/>
              </w:rPr>
              <w:t>7.</w:t>
            </w:r>
            <w:r>
              <w:rPr>
                <w:spacing w:val="12"/>
                <w:sz w:val="20"/>
              </w:rPr>
              <w:t>丝</w:t>
            </w:r>
            <w:r>
              <w:rPr>
                <w:spacing w:val="12"/>
                <w:sz w:val="20"/>
              </w:rPr>
              <w:t>虫</w:t>
            </w:r>
            <w:r>
              <w:rPr>
                <w:spacing w:val="12"/>
                <w:sz w:val="20"/>
              </w:rPr>
              <w:t>病</w:t>
            </w:r>
            <w:r>
              <w:rPr>
                <w:spacing w:val="12"/>
                <w:sz w:val="20"/>
              </w:rPr>
              <w:t>所</w:t>
            </w:r>
            <w:r>
              <w:rPr>
                <w:spacing w:val="12"/>
                <w:sz w:val="20"/>
              </w:rPr>
              <w:t>致</w:t>
            </w:r>
            <w:r>
              <w:rPr>
                <w:spacing w:val="12"/>
                <w:sz w:val="20"/>
              </w:rPr>
              <w:t>严</w:t>
            </w:r>
            <w:r>
              <w:rPr>
                <w:spacing w:val="12"/>
                <w:sz w:val="20"/>
              </w:rPr>
              <w:t>重</w:t>
            </w:r>
            <w:r>
              <w:rPr>
                <w:sz w:val="20"/>
              </w:rPr>
              <w:t>象</w:t>
            </w:r>
            <w:r>
              <w:rPr>
                <w:spacing w:val="-6"/>
                <w:sz w:val="20"/>
              </w:rPr>
              <w:t>皮</w:t>
            </w:r>
            <w:r>
              <w:rPr>
                <w:spacing w:val="-6"/>
                <w:sz w:val="20"/>
              </w:rPr>
              <w:t>肿</w:t>
            </w:r>
          </w:p>
        </w:tc>
        <w:tc>
          <w:tcPr>
            <w:tcW w:w="2078" w:type="dxa"/>
          </w:tcPr>
          <w:p>
            <w:pPr>
              <w:pStyle w:val="TableParagraph"/>
              <w:spacing w:line="312" w:lineRule="exact" w:before="2"/>
              <w:ind w:left="109" w:right="82"/>
              <w:rPr>
                <w:rFonts w:ascii="Calibri" w:eastAsia="Calibri"/>
                <w:sz w:val="20"/>
              </w:rPr>
            </w:pPr>
            <w:r>
              <w:rPr>
                <w:rFonts w:ascii="Calibri" w:eastAsia="Calibri"/>
                <w:sz w:val="20"/>
              </w:rPr>
              <w:t>7.</w:t>
            </w:r>
            <w:r>
              <w:rPr>
                <w:spacing w:val="12"/>
                <w:sz w:val="20"/>
              </w:rPr>
              <w:t>重</w:t>
            </w:r>
            <w:r>
              <w:rPr>
                <w:spacing w:val="12"/>
                <w:sz w:val="20"/>
              </w:rPr>
              <w:t>型</w:t>
            </w:r>
            <w:r>
              <w:rPr>
                <w:spacing w:val="12"/>
                <w:sz w:val="20"/>
              </w:rPr>
              <w:t>再</w:t>
            </w:r>
            <w:r>
              <w:rPr>
                <w:spacing w:val="12"/>
                <w:sz w:val="20"/>
              </w:rPr>
              <w:t>生</w:t>
            </w:r>
            <w:r>
              <w:rPr>
                <w:spacing w:val="12"/>
                <w:sz w:val="20"/>
              </w:rPr>
              <w:t>障</w:t>
            </w:r>
            <w:r>
              <w:rPr>
                <w:spacing w:val="12"/>
                <w:sz w:val="20"/>
              </w:rPr>
              <w:t>碍</w:t>
            </w:r>
            <w:r>
              <w:rPr>
                <w:spacing w:val="12"/>
                <w:sz w:val="20"/>
              </w:rPr>
              <w:t>性</w:t>
            </w:r>
            <w:r>
              <w:rPr>
                <w:sz w:val="20"/>
              </w:rPr>
              <w:t>贫</w:t>
            </w:r>
            <w:r>
              <w:rPr>
                <w:spacing w:val="-6"/>
                <w:sz w:val="20"/>
              </w:rPr>
              <w:t>血</w:t>
            </w:r>
            <w:r>
              <w:rPr>
                <w:rFonts w:ascii="Calibri" w:eastAsia="Calibri"/>
                <w:spacing w:val="-6"/>
                <w:sz w:val="20"/>
              </w:rPr>
              <w:t>*</w:t>
            </w:r>
          </w:p>
        </w:tc>
      </w:tr>
      <w:tr>
        <w:trPr>
          <w:trHeight w:val="623" w:hRule="atLeast"/>
        </w:trPr>
        <w:tc>
          <w:tcPr>
            <w:tcW w:w="2076" w:type="dxa"/>
          </w:tcPr>
          <w:p>
            <w:pPr>
              <w:pStyle w:val="TableParagraph"/>
              <w:ind w:left="0"/>
              <w:rPr>
                <w:rFonts w:ascii="Times New Roman"/>
                <w:sz w:val="20"/>
              </w:rPr>
            </w:pPr>
          </w:p>
        </w:tc>
        <w:tc>
          <w:tcPr>
            <w:tcW w:w="2079" w:type="dxa"/>
          </w:tcPr>
          <w:p>
            <w:pPr>
              <w:pStyle w:val="TableParagraph"/>
              <w:spacing w:before="28"/>
              <w:rPr>
                <w:sz w:val="20"/>
              </w:rPr>
            </w:pPr>
            <w:r>
              <w:rPr>
                <w:rFonts w:ascii="Calibri" w:eastAsia="Calibri"/>
                <w:w w:val="95"/>
                <w:sz w:val="20"/>
              </w:rPr>
              <w:t>8.</w:t>
            </w:r>
            <w:r>
              <w:rPr>
                <w:spacing w:val="14"/>
                <w:w w:val="95"/>
                <w:sz w:val="20"/>
              </w:rPr>
              <w:t>急</w:t>
            </w:r>
            <w:r>
              <w:rPr>
                <w:spacing w:val="14"/>
                <w:w w:val="95"/>
                <w:sz w:val="20"/>
              </w:rPr>
              <w:t>性</w:t>
            </w:r>
            <w:r>
              <w:rPr>
                <w:spacing w:val="14"/>
                <w:w w:val="95"/>
                <w:sz w:val="20"/>
              </w:rPr>
              <w:t>坏</w:t>
            </w:r>
            <w:r>
              <w:rPr>
                <w:spacing w:val="14"/>
                <w:w w:val="95"/>
                <w:sz w:val="20"/>
              </w:rPr>
              <w:t>死</w:t>
            </w:r>
            <w:r>
              <w:rPr>
                <w:spacing w:val="14"/>
                <w:w w:val="95"/>
                <w:sz w:val="20"/>
              </w:rPr>
              <w:t>胰</w:t>
            </w:r>
            <w:r>
              <w:rPr>
                <w:spacing w:val="14"/>
                <w:w w:val="95"/>
                <w:sz w:val="20"/>
              </w:rPr>
              <w:t>腺</w:t>
            </w:r>
            <w:r>
              <w:rPr>
                <w:spacing w:val="14"/>
                <w:w w:val="95"/>
                <w:sz w:val="20"/>
              </w:rPr>
              <w:t>炎</w:t>
            </w:r>
            <w:r>
              <w:rPr>
                <w:spacing w:val="4"/>
                <w:w w:val="95"/>
                <w:sz w:val="20"/>
              </w:rPr>
              <w:t>开</w:t>
            </w:r>
          </w:p>
          <w:p>
            <w:pPr>
              <w:pStyle w:val="TableParagraph"/>
              <w:spacing w:before="55"/>
              <w:rPr>
                <w:sz w:val="20"/>
              </w:rPr>
            </w:pPr>
            <w:r>
              <w:rPr>
                <w:w w:val="95"/>
                <w:sz w:val="20"/>
              </w:rPr>
              <w:t>腹</w:t>
            </w:r>
            <w:r>
              <w:rPr>
                <w:w w:val="95"/>
                <w:sz w:val="20"/>
              </w:rPr>
              <w:t>手</w:t>
            </w:r>
            <w:r>
              <w:rPr>
                <w:spacing w:val="-10"/>
                <w:w w:val="95"/>
                <w:sz w:val="20"/>
              </w:rPr>
              <w:t>术</w:t>
            </w:r>
          </w:p>
        </w:tc>
        <w:tc>
          <w:tcPr>
            <w:tcW w:w="2076" w:type="dxa"/>
          </w:tcPr>
          <w:p>
            <w:pPr>
              <w:pStyle w:val="TableParagraph"/>
              <w:spacing w:before="184"/>
              <w:rPr>
                <w:rFonts w:ascii="Calibri" w:eastAsia="Calibri"/>
                <w:sz w:val="20"/>
              </w:rPr>
            </w:pPr>
            <w:r>
              <w:rPr>
                <w:rFonts w:ascii="Calibri" w:eastAsia="Calibri"/>
                <w:w w:val="95"/>
                <w:sz w:val="20"/>
              </w:rPr>
              <w:t>8.</w:t>
            </w:r>
            <w:r>
              <w:rPr>
                <w:w w:val="95"/>
                <w:sz w:val="20"/>
              </w:rPr>
              <w:t>严</w:t>
            </w:r>
            <w:r>
              <w:rPr>
                <w:w w:val="95"/>
                <w:sz w:val="20"/>
              </w:rPr>
              <w:t>重</w:t>
            </w:r>
            <w:r>
              <w:rPr>
                <w:w w:val="95"/>
                <w:sz w:val="20"/>
              </w:rPr>
              <w:t>运</w:t>
            </w:r>
            <w:r>
              <w:rPr>
                <w:w w:val="95"/>
                <w:sz w:val="20"/>
              </w:rPr>
              <w:t>动</w:t>
            </w:r>
            <w:r>
              <w:rPr>
                <w:w w:val="95"/>
                <w:sz w:val="20"/>
              </w:rPr>
              <w:t>神</w:t>
            </w:r>
            <w:r>
              <w:rPr>
                <w:w w:val="95"/>
                <w:sz w:val="20"/>
              </w:rPr>
              <w:t>经元病</w:t>
            </w:r>
            <w:r>
              <w:rPr>
                <w:rFonts w:ascii="Calibri" w:eastAsia="Calibri"/>
                <w:spacing w:val="-10"/>
                <w:w w:val="95"/>
                <w:sz w:val="20"/>
              </w:rPr>
              <w:t>*</w:t>
            </w:r>
          </w:p>
        </w:tc>
        <w:tc>
          <w:tcPr>
            <w:tcW w:w="2076" w:type="dxa"/>
          </w:tcPr>
          <w:p>
            <w:pPr>
              <w:pStyle w:val="TableParagraph"/>
              <w:spacing w:before="28"/>
              <w:rPr>
                <w:sz w:val="20"/>
              </w:rPr>
            </w:pPr>
            <w:r>
              <w:rPr>
                <w:rFonts w:ascii="Calibri" w:eastAsia="Calibri"/>
                <w:w w:val="95"/>
                <w:sz w:val="20"/>
              </w:rPr>
              <w:t>8.</w:t>
            </w:r>
            <w:r>
              <w:rPr>
                <w:spacing w:val="14"/>
                <w:w w:val="95"/>
                <w:sz w:val="20"/>
              </w:rPr>
              <w:t>严</w:t>
            </w:r>
            <w:r>
              <w:rPr>
                <w:spacing w:val="14"/>
                <w:w w:val="95"/>
                <w:sz w:val="20"/>
              </w:rPr>
              <w:t>重</w:t>
            </w:r>
            <w:r>
              <w:rPr>
                <w:spacing w:val="14"/>
                <w:w w:val="95"/>
                <w:sz w:val="20"/>
              </w:rPr>
              <w:t>类</w:t>
            </w:r>
            <w:r>
              <w:rPr>
                <w:spacing w:val="14"/>
                <w:w w:val="95"/>
                <w:sz w:val="20"/>
              </w:rPr>
              <w:t>风</w:t>
            </w:r>
            <w:r>
              <w:rPr>
                <w:spacing w:val="14"/>
                <w:w w:val="95"/>
                <w:sz w:val="20"/>
              </w:rPr>
              <w:t>湿</w:t>
            </w:r>
            <w:r>
              <w:rPr>
                <w:spacing w:val="14"/>
                <w:w w:val="95"/>
                <w:sz w:val="20"/>
              </w:rPr>
              <w:t>性</w:t>
            </w:r>
            <w:r>
              <w:rPr>
                <w:spacing w:val="14"/>
                <w:w w:val="95"/>
                <w:sz w:val="20"/>
              </w:rPr>
              <w:t>关</w:t>
            </w:r>
            <w:r>
              <w:rPr>
                <w:spacing w:val="4"/>
                <w:w w:val="95"/>
                <w:sz w:val="20"/>
              </w:rPr>
              <w:t>节</w:t>
            </w:r>
          </w:p>
          <w:p>
            <w:pPr>
              <w:pStyle w:val="TableParagraph"/>
              <w:spacing w:before="55"/>
              <w:rPr>
                <w:sz w:val="20"/>
              </w:rPr>
            </w:pPr>
            <w:r>
              <w:rPr>
                <w:w w:val="99"/>
                <w:sz w:val="20"/>
              </w:rPr>
              <w:t>炎</w:t>
            </w:r>
          </w:p>
        </w:tc>
        <w:tc>
          <w:tcPr>
            <w:tcW w:w="2078" w:type="dxa"/>
          </w:tcPr>
          <w:p>
            <w:pPr>
              <w:pStyle w:val="TableParagraph"/>
              <w:spacing w:before="184"/>
              <w:ind w:left="109"/>
              <w:rPr>
                <w:rFonts w:ascii="Calibri" w:eastAsia="Calibri"/>
                <w:sz w:val="20"/>
              </w:rPr>
            </w:pPr>
            <w:r>
              <w:rPr>
                <w:rFonts w:ascii="Calibri" w:eastAsia="Calibri"/>
                <w:w w:val="95"/>
                <w:sz w:val="20"/>
              </w:rPr>
              <w:t>8.</w:t>
            </w:r>
            <w:r>
              <w:rPr>
                <w:w w:val="95"/>
                <w:sz w:val="20"/>
              </w:rPr>
              <w:t>严</w:t>
            </w:r>
            <w:r>
              <w:rPr>
                <w:w w:val="95"/>
                <w:sz w:val="20"/>
              </w:rPr>
              <w:t>重</w:t>
            </w:r>
            <w:r>
              <w:rPr>
                <w:w w:val="95"/>
                <w:sz w:val="20"/>
              </w:rPr>
              <w:t>克</w:t>
            </w:r>
            <w:r>
              <w:rPr>
                <w:w w:val="95"/>
                <w:sz w:val="20"/>
              </w:rPr>
              <w:t>罗</w:t>
            </w:r>
            <w:r>
              <w:rPr>
                <w:w w:val="95"/>
                <w:sz w:val="20"/>
              </w:rPr>
              <w:t>恩</w:t>
            </w:r>
            <w:r>
              <w:rPr>
                <w:w w:val="95"/>
                <w:sz w:val="20"/>
              </w:rPr>
              <w:t>病</w:t>
            </w:r>
            <w:r>
              <w:rPr>
                <w:rFonts w:ascii="Calibri" w:eastAsia="Calibri"/>
                <w:spacing w:val="-10"/>
                <w:w w:val="95"/>
                <w:sz w:val="20"/>
              </w:rPr>
              <w:t>*</w:t>
            </w:r>
          </w:p>
        </w:tc>
      </w:tr>
      <w:tr>
        <w:trPr>
          <w:trHeight w:val="623" w:hRule="atLeast"/>
        </w:trPr>
        <w:tc>
          <w:tcPr>
            <w:tcW w:w="2076" w:type="dxa"/>
          </w:tcPr>
          <w:p>
            <w:pPr>
              <w:pStyle w:val="TableParagraph"/>
              <w:ind w:left="0"/>
              <w:rPr>
                <w:rFonts w:ascii="Times New Roman"/>
                <w:sz w:val="20"/>
              </w:rPr>
            </w:pPr>
          </w:p>
        </w:tc>
        <w:tc>
          <w:tcPr>
            <w:tcW w:w="2079" w:type="dxa"/>
          </w:tcPr>
          <w:p>
            <w:pPr>
              <w:pStyle w:val="TableParagraph"/>
              <w:spacing w:before="27"/>
              <w:rPr>
                <w:sz w:val="20"/>
              </w:rPr>
            </w:pPr>
            <w:r>
              <w:rPr>
                <w:rFonts w:ascii="Calibri" w:eastAsia="Calibri"/>
                <w:w w:val="95"/>
                <w:sz w:val="20"/>
              </w:rPr>
              <w:t>9.</w:t>
            </w:r>
            <w:r>
              <w:rPr>
                <w:spacing w:val="14"/>
                <w:w w:val="95"/>
                <w:sz w:val="20"/>
              </w:rPr>
              <w:t>严</w:t>
            </w:r>
            <w:r>
              <w:rPr>
                <w:spacing w:val="14"/>
                <w:w w:val="95"/>
                <w:sz w:val="20"/>
              </w:rPr>
              <w:t>重</w:t>
            </w:r>
            <w:r>
              <w:rPr>
                <w:spacing w:val="14"/>
                <w:w w:val="95"/>
                <w:sz w:val="20"/>
              </w:rPr>
              <w:t>慢</w:t>
            </w:r>
            <w:r>
              <w:rPr>
                <w:spacing w:val="14"/>
                <w:w w:val="95"/>
                <w:sz w:val="20"/>
              </w:rPr>
              <w:t>性</w:t>
            </w:r>
            <w:r>
              <w:rPr>
                <w:spacing w:val="14"/>
                <w:w w:val="95"/>
                <w:sz w:val="20"/>
              </w:rPr>
              <w:t>复</w:t>
            </w:r>
            <w:r>
              <w:rPr>
                <w:spacing w:val="14"/>
                <w:w w:val="95"/>
                <w:sz w:val="20"/>
              </w:rPr>
              <w:t>发</w:t>
            </w:r>
            <w:r>
              <w:rPr>
                <w:spacing w:val="14"/>
                <w:w w:val="95"/>
                <w:sz w:val="20"/>
              </w:rPr>
              <w:t>性</w:t>
            </w:r>
            <w:r>
              <w:rPr>
                <w:spacing w:val="4"/>
                <w:w w:val="95"/>
                <w:sz w:val="20"/>
              </w:rPr>
              <w:t>胰</w:t>
            </w:r>
          </w:p>
          <w:p>
            <w:pPr>
              <w:pStyle w:val="TableParagraph"/>
              <w:spacing w:before="56"/>
              <w:rPr>
                <w:sz w:val="20"/>
              </w:rPr>
            </w:pPr>
            <w:r>
              <w:rPr>
                <w:w w:val="95"/>
                <w:sz w:val="20"/>
              </w:rPr>
              <w:t>腺</w:t>
            </w:r>
            <w:r>
              <w:rPr>
                <w:spacing w:val="-10"/>
                <w:sz w:val="20"/>
              </w:rPr>
              <w:t>炎</w:t>
            </w:r>
          </w:p>
        </w:tc>
        <w:tc>
          <w:tcPr>
            <w:tcW w:w="2076" w:type="dxa"/>
          </w:tcPr>
          <w:p>
            <w:pPr>
              <w:pStyle w:val="TableParagraph"/>
              <w:spacing w:before="183"/>
              <w:rPr>
                <w:rFonts w:ascii="Calibri" w:eastAsia="Calibri"/>
                <w:sz w:val="20"/>
              </w:rPr>
            </w:pPr>
            <w:r>
              <w:rPr>
                <w:rFonts w:ascii="Calibri" w:eastAsia="Calibri"/>
                <w:w w:val="95"/>
                <w:sz w:val="20"/>
              </w:rPr>
              <w:t>9.</w:t>
            </w:r>
            <w:r>
              <w:rPr>
                <w:w w:val="95"/>
                <w:sz w:val="20"/>
              </w:rPr>
              <w:t>语</w:t>
            </w:r>
            <w:r>
              <w:rPr>
                <w:w w:val="95"/>
                <w:sz w:val="20"/>
              </w:rPr>
              <w:t>言</w:t>
            </w:r>
            <w:r>
              <w:rPr>
                <w:w w:val="95"/>
                <w:sz w:val="20"/>
              </w:rPr>
              <w:t>能</w:t>
            </w:r>
            <w:r>
              <w:rPr>
                <w:w w:val="95"/>
                <w:sz w:val="20"/>
              </w:rPr>
              <w:t>力</w:t>
            </w:r>
            <w:r>
              <w:rPr>
                <w:w w:val="95"/>
                <w:sz w:val="20"/>
              </w:rPr>
              <w:t>丧</w:t>
            </w:r>
            <w:r>
              <w:rPr>
                <w:w w:val="95"/>
                <w:sz w:val="20"/>
              </w:rPr>
              <w:t>失</w:t>
            </w:r>
            <w:r>
              <w:rPr>
                <w:rFonts w:ascii="Calibri" w:eastAsia="Calibri"/>
                <w:spacing w:val="-10"/>
                <w:w w:val="95"/>
                <w:sz w:val="20"/>
              </w:rPr>
              <w:t>*</w:t>
            </w:r>
          </w:p>
        </w:tc>
        <w:tc>
          <w:tcPr>
            <w:tcW w:w="2076" w:type="dxa"/>
          </w:tcPr>
          <w:p>
            <w:pPr>
              <w:pStyle w:val="TableParagraph"/>
              <w:spacing w:before="27"/>
              <w:rPr>
                <w:sz w:val="20"/>
              </w:rPr>
            </w:pPr>
            <w:r>
              <w:rPr>
                <w:rFonts w:ascii="Calibri" w:eastAsia="Calibri"/>
                <w:w w:val="95"/>
                <w:sz w:val="20"/>
              </w:rPr>
              <w:t>9.</w:t>
            </w:r>
            <w:r>
              <w:rPr>
                <w:spacing w:val="14"/>
                <w:w w:val="95"/>
                <w:sz w:val="20"/>
              </w:rPr>
              <w:t>严</w:t>
            </w:r>
            <w:r>
              <w:rPr>
                <w:spacing w:val="14"/>
                <w:w w:val="95"/>
                <w:sz w:val="20"/>
              </w:rPr>
              <w:t>重</w:t>
            </w:r>
            <w:r>
              <w:rPr>
                <w:spacing w:val="14"/>
                <w:w w:val="95"/>
                <w:sz w:val="20"/>
              </w:rPr>
              <w:t>幼</w:t>
            </w:r>
            <w:r>
              <w:rPr>
                <w:spacing w:val="14"/>
                <w:w w:val="95"/>
                <w:sz w:val="20"/>
              </w:rPr>
              <w:t>年</w:t>
            </w:r>
            <w:r>
              <w:rPr>
                <w:spacing w:val="14"/>
                <w:w w:val="95"/>
                <w:sz w:val="20"/>
              </w:rPr>
              <w:t>型</w:t>
            </w:r>
            <w:r>
              <w:rPr>
                <w:spacing w:val="14"/>
                <w:w w:val="95"/>
                <w:sz w:val="20"/>
              </w:rPr>
              <w:t>类</w:t>
            </w:r>
            <w:r>
              <w:rPr>
                <w:spacing w:val="14"/>
                <w:w w:val="95"/>
                <w:sz w:val="20"/>
              </w:rPr>
              <w:t>风</w:t>
            </w:r>
            <w:r>
              <w:rPr>
                <w:spacing w:val="4"/>
                <w:w w:val="95"/>
                <w:sz w:val="20"/>
              </w:rPr>
              <w:t>湿</w:t>
            </w:r>
          </w:p>
          <w:p>
            <w:pPr>
              <w:pStyle w:val="TableParagraph"/>
              <w:spacing w:before="56"/>
              <w:rPr>
                <w:sz w:val="20"/>
              </w:rPr>
            </w:pPr>
            <w:r>
              <w:rPr>
                <w:w w:val="95"/>
                <w:sz w:val="20"/>
              </w:rPr>
              <w:t>性</w:t>
            </w:r>
            <w:r>
              <w:rPr>
                <w:w w:val="95"/>
                <w:sz w:val="20"/>
              </w:rPr>
              <w:t>关</w:t>
            </w:r>
            <w:r>
              <w:rPr>
                <w:w w:val="95"/>
                <w:sz w:val="20"/>
              </w:rPr>
              <w:t>节</w:t>
            </w:r>
            <w:r>
              <w:rPr>
                <w:spacing w:val="-10"/>
                <w:w w:val="95"/>
                <w:sz w:val="20"/>
              </w:rPr>
              <w:t>炎</w:t>
            </w:r>
          </w:p>
        </w:tc>
        <w:tc>
          <w:tcPr>
            <w:tcW w:w="2078" w:type="dxa"/>
          </w:tcPr>
          <w:p>
            <w:pPr>
              <w:pStyle w:val="TableParagraph"/>
              <w:spacing w:before="27"/>
              <w:ind w:left="109"/>
              <w:rPr>
                <w:sz w:val="20"/>
              </w:rPr>
            </w:pPr>
            <w:r>
              <w:rPr>
                <w:rFonts w:ascii="Calibri" w:eastAsia="Calibri"/>
                <w:w w:val="95"/>
                <w:sz w:val="20"/>
              </w:rPr>
              <w:t>9.</w:t>
            </w:r>
            <w:r>
              <w:rPr>
                <w:spacing w:val="14"/>
                <w:w w:val="95"/>
                <w:sz w:val="20"/>
              </w:rPr>
              <w:t>特</w:t>
            </w:r>
            <w:r>
              <w:rPr>
                <w:spacing w:val="14"/>
                <w:w w:val="95"/>
                <w:sz w:val="20"/>
              </w:rPr>
              <w:t>发</w:t>
            </w:r>
            <w:r>
              <w:rPr>
                <w:spacing w:val="14"/>
                <w:w w:val="95"/>
                <w:sz w:val="20"/>
              </w:rPr>
              <w:t>性</w:t>
            </w:r>
            <w:r>
              <w:rPr>
                <w:spacing w:val="14"/>
                <w:w w:val="95"/>
                <w:sz w:val="20"/>
              </w:rPr>
              <w:t>慢</w:t>
            </w:r>
            <w:r>
              <w:rPr>
                <w:spacing w:val="14"/>
                <w:w w:val="95"/>
                <w:sz w:val="20"/>
              </w:rPr>
              <w:t>性</w:t>
            </w:r>
            <w:r>
              <w:rPr>
                <w:spacing w:val="14"/>
                <w:w w:val="95"/>
                <w:sz w:val="20"/>
              </w:rPr>
              <w:t>肾</w:t>
            </w:r>
            <w:r>
              <w:rPr>
                <w:spacing w:val="14"/>
                <w:w w:val="95"/>
                <w:sz w:val="20"/>
              </w:rPr>
              <w:t>上</w:t>
            </w:r>
            <w:r>
              <w:rPr>
                <w:spacing w:val="4"/>
                <w:w w:val="95"/>
                <w:sz w:val="20"/>
              </w:rPr>
              <w:t>腺</w:t>
            </w:r>
          </w:p>
          <w:p>
            <w:pPr>
              <w:pStyle w:val="TableParagraph"/>
              <w:spacing w:before="56"/>
              <w:ind w:left="109"/>
              <w:rPr>
                <w:sz w:val="20"/>
              </w:rPr>
            </w:pPr>
            <w:r>
              <w:rPr>
                <w:w w:val="95"/>
                <w:sz w:val="20"/>
              </w:rPr>
              <w:t>皮</w:t>
            </w:r>
            <w:r>
              <w:rPr>
                <w:w w:val="95"/>
                <w:sz w:val="20"/>
              </w:rPr>
              <w:t>质</w:t>
            </w:r>
            <w:r>
              <w:rPr>
                <w:w w:val="95"/>
                <w:sz w:val="20"/>
              </w:rPr>
              <w:t>功</w:t>
            </w:r>
            <w:r>
              <w:rPr>
                <w:w w:val="95"/>
                <w:sz w:val="20"/>
              </w:rPr>
              <w:t>能</w:t>
            </w:r>
            <w:r>
              <w:rPr>
                <w:w w:val="95"/>
                <w:sz w:val="20"/>
              </w:rPr>
              <w:t>衰</w:t>
            </w:r>
            <w:r>
              <w:rPr>
                <w:spacing w:val="-10"/>
                <w:w w:val="95"/>
                <w:sz w:val="20"/>
              </w:rPr>
              <w:t>竭</w:t>
            </w:r>
          </w:p>
        </w:tc>
      </w:tr>
      <w:tr>
        <w:trPr>
          <w:trHeight w:val="626" w:hRule="atLeast"/>
        </w:trPr>
        <w:tc>
          <w:tcPr>
            <w:tcW w:w="2076" w:type="dxa"/>
          </w:tcPr>
          <w:p>
            <w:pPr>
              <w:pStyle w:val="TableParagraph"/>
              <w:ind w:left="0"/>
              <w:rPr>
                <w:rFonts w:ascii="Times New Roman"/>
                <w:sz w:val="20"/>
              </w:rPr>
            </w:pPr>
          </w:p>
        </w:tc>
        <w:tc>
          <w:tcPr>
            <w:tcW w:w="2079" w:type="dxa"/>
          </w:tcPr>
          <w:p>
            <w:pPr>
              <w:pStyle w:val="TableParagraph"/>
              <w:spacing w:before="186"/>
              <w:rPr>
                <w:sz w:val="20"/>
              </w:rPr>
            </w:pPr>
            <w:r>
              <w:rPr>
                <w:rFonts w:ascii="Calibri" w:eastAsia="Calibri"/>
                <w:w w:val="95"/>
                <w:sz w:val="20"/>
              </w:rPr>
              <w:t>10.</w:t>
            </w:r>
            <w:r>
              <w:rPr>
                <w:w w:val="95"/>
                <w:sz w:val="20"/>
              </w:rPr>
              <w:t>胰腺</w:t>
            </w:r>
            <w:r>
              <w:rPr>
                <w:w w:val="95"/>
                <w:sz w:val="20"/>
              </w:rPr>
              <w:t>移</w:t>
            </w:r>
            <w:r>
              <w:rPr>
                <w:spacing w:val="-10"/>
                <w:w w:val="95"/>
                <w:sz w:val="20"/>
              </w:rPr>
              <w:t>植</w:t>
            </w:r>
          </w:p>
        </w:tc>
        <w:tc>
          <w:tcPr>
            <w:tcW w:w="2076" w:type="dxa"/>
          </w:tcPr>
          <w:p>
            <w:pPr>
              <w:pStyle w:val="TableParagraph"/>
              <w:spacing w:before="186"/>
              <w:rPr>
                <w:sz w:val="20"/>
              </w:rPr>
            </w:pPr>
            <w:r>
              <w:rPr>
                <w:rFonts w:ascii="Calibri" w:eastAsia="Calibri"/>
                <w:w w:val="95"/>
                <w:sz w:val="20"/>
              </w:rPr>
              <w:t>10.</w:t>
            </w:r>
            <w:r>
              <w:rPr>
                <w:w w:val="95"/>
                <w:sz w:val="20"/>
              </w:rPr>
              <w:t>严重</w:t>
            </w:r>
            <w:r>
              <w:rPr>
                <w:w w:val="95"/>
                <w:sz w:val="20"/>
              </w:rPr>
              <w:t>多</w:t>
            </w:r>
            <w:r>
              <w:rPr>
                <w:w w:val="95"/>
                <w:sz w:val="20"/>
              </w:rPr>
              <w:t>发</w:t>
            </w:r>
            <w:r>
              <w:rPr>
                <w:w w:val="95"/>
                <w:sz w:val="20"/>
              </w:rPr>
              <w:t>性</w:t>
            </w:r>
            <w:r>
              <w:rPr>
                <w:w w:val="95"/>
                <w:sz w:val="20"/>
              </w:rPr>
              <w:t>硬</w:t>
            </w:r>
            <w:r>
              <w:rPr>
                <w:w w:val="95"/>
                <w:sz w:val="20"/>
              </w:rPr>
              <w:t>化</w:t>
            </w:r>
            <w:r>
              <w:rPr>
                <w:spacing w:val="-10"/>
                <w:w w:val="95"/>
                <w:sz w:val="20"/>
              </w:rPr>
              <w:t>症</w:t>
            </w:r>
          </w:p>
        </w:tc>
        <w:tc>
          <w:tcPr>
            <w:tcW w:w="2076" w:type="dxa"/>
          </w:tcPr>
          <w:p>
            <w:pPr>
              <w:pStyle w:val="TableParagraph"/>
              <w:spacing w:before="30"/>
              <w:rPr>
                <w:sz w:val="20"/>
              </w:rPr>
            </w:pPr>
            <w:r>
              <w:rPr>
                <w:rFonts w:ascii="Calibri" w:eastAsia="Calibri"/>
                <w:w w:val="95"/>
                <w:sz w:val="20"/>
              </w:rPr>
              <w:t>10.</w:t>
            </w:r>
            <w:r>
              <w:rPr>
                <w:w w:val="95"/>
                <w:sz w:val="20"/>
              </w:rPr>
              <w:t>严重冠状动脉</w:t>
            </w:r>
            <w:r>
              <w:rPr>
                <w:w w:val="95"/>
                <w:sz w:val="20"/>
              </w:rPr>
              <w:t>粥</w:t>
            </w:r>
            <w:r>
              <w:rPr>
                <w:spacing w:val="-10"/>
                <w:w w:val="95"/>
                <w:sz w:val="20"/>
              </w:rPr>
              <w:t>样</w:t>
            </w:r>
          </w:p>
          <w:p>
            <w:pPr>
              <w:pStyle w:val="TableParagraph"/>
              <w:spacing w:before="56"/>
              <w:rPr>
                <w:sz w:val="20"/>
              </w:rPr>
            </w:pPr>
            <w:r>
              <w:rPr>
                <w:w w:val="95"/>
                <w:sz w:val="20"/>
              </w:rPr>
              <w:t>硬</w:t>
            </w:r>
            <w:r>
              <w:rPr>
                <w:w w:val="95"/>
                <w:sz w:val="20"/>
              </w:rPr>
              <w:t>化</w:t>
            </w:r>
            <w:r>
              <w:rPr>
                <w:w w:val="95"/>
                <w:sz w:val="20"/>
              </w:rPr>
              <w:t>性</w:t>
            </w:r>
            <w:r>
              <w:rPr>
                <w:w w:val="95"/>
                <w:sz w:val="20"/>
              </w:rPr>
              <w:t>心</w:t>
            </w:r>
            <w:r>
              <w:rPr>
                <w:w w:val="95"/>
                <w:sz w:val="20"/>
              </w:rPr>
              <w:t>脏</w:t>
            </w:r>
            <w:r>
              <w:rPr>
                <w:spacing w:val="-10"/>
                <w:w w:val="95"/>
                <w:sz w:val="20"/>
              </w:rPr>
              <w:t>病</w:t>
            </w:r>
          </w:p>
        </w:tc>
        <w:tc>
          <w:tcPr>
            <w:tcW w:w="2078" w:type="dxa"/>
          </w:tcPr>
          <w:p>
            <w:pPr>
              <w:pStyle w:val="TableParagraph"/>
              <w:spacing w:before="186"/>
              <w:ind w:left="109"/>
              <w:rPr>
                <w:sz w:val="20"/>
              </w:rPr>
            </w:pPr>
            <w:r>
              <w:rPr>
                <w:rFonts w:ascii="Calibri" w:eastAsia="Calibri"/>
                <w:w w:val="95"/>
                <w:sz w:val="20"/>
              </w:rPr>
              <w:t>10.</w:t>
            </w:r>
            <w:r>
              <w:rPr>
                <w:w w:val="95"/>
                <w:sz w:val="20"/>
              </w:rPr>
              <w:t>严重</w:t>
            </w:r>
            <w:r>
              <w:rPr>
                <w:w w:val="95"/>
                <w:sz w:val="20"/>
              </w:rPr>
              <w:t>肾</w:t>
            </w:r>
            <w:r>
              <w:rPr>
                <w:w w:val="95"/>
                <w:sz w:val="20"/>
              </w:rPr>
              <w:t>髓</w:t>
            </w:r>
            <w:r>
              <w:rPr>
                <w:w w:val="95"/>
                <w:sz w:val="20"/>
              </w:rPr>
              <w:t>质</w:t>
            </w:r>
            <w:r>
              <w:rPr>
                <w:w w:val="95"/>
                <w:sz w:val="20"/>
              </w:rPr>
              <w:t>囊</w:t>
            </w:r>
            <w:r>
              <w:rPr>
                <w:w w:val="95"/>
                <w:sz w:val="20"/>
              </w:rPr>
              <w:t>性</w:t>
            </w:r>
            <w:r>
              <w:rPr>
                <w:spacing w:val="-10"/>
                <w:w w:val="95"/>
                <w:sz w:val="20"/>
              </w:rPr>
              <w:t>病</w:t>
            </w:r>
          </w:p>
        </w:tc>
      </w:tr>
      <w:tr>
        <w:trPr>
          <w:trHeight w:val="674" w:hRule="atLeast"/>
        </w:trPr>
        <w:tc>
          <w:tcPr>
            <w:tcW w:w="2076" w:type="dxa"/>
          </w:tcPr>
          <w:p>
            <w:pPr>
              <w:pStyle w:val="TableParagraph"/>
              <w:ind w:left="0"/>
              <w:rPr>
                <w:rFonts w:ascii="Times New Roman"/>
                <w:sz w:val="20"/>
              </w:rPr>
            </w:pPr>
          </w:p>
        </w:tc>
        <w:tc>
          <w:tcPr>
            <w:tcW w:w="2079" w:type="dxa"/>
          </w:tcPr>
          <w:p>
            <w:pPr>
              <w:pStyle w:val="TableParagraph"/>
              <w:spacing w:line="312" w:lineRule="exact" w:before="2"/>
              <w:ind w:right="102"/>
              <w:rPr>
                <w:sz w:val="20"/>
              </w:rPr>
            </w:pPr>
            <w:r>
              <w:rPr>
                <w:rFonts w:ascii="Calibri" w:eastAsia="Calibri"/>
                <w:spacing w:val="-2"/>
                <w:sz w:val="20"/>
              </w:rPr>
              <w:t>11.</w:t>
            </w:r>
            <w:r>
              <w:rPr>
                <w:spacing w:val="-2"/>
                <w:sz w:val="20"/>
              </w:rPr>
              <w:t>严重肺淋巴管肌</w:t>
            </w:r>
            <w:r>
              <w:rPr>
                <w:spacing w:val="-2"/>
                <w:sz w:val="20"/>
              </w:rPr>
              <w:t>瘤</w:t>
            </w:r>
            <w:r>
              <w:rPr>
                <w:spacing w:val="-10"/>
                <w:sz w:val="20"/>
              </w:rPr>
              <w:t>病</w:t>
            </w:r>
          </w:p>
        </w:tc>
        <w:tc>
          <w:tcPr>
            <w:tcW w:w="2076" w:type="dxa"/>
          </w:tcPr>
          <w:p>
            <w:pPr>
              <w:pStyle w:val="TableParagraph"/>
              <w:spacing w:before="2"/>
              <w:ind w:left="0"/>
              <w:rPr>
                <w:b/>
                <w:sz w:val="16"/>
              </w:rPr>
            </w:pPr>
          </w:p>
          <w:p>
            <w:pPr>
              <w:pStyle w:val="TableParagraph"/>
              <w:rPr>
                <w:sz w:val="20"/>
              </w:rPr>
            </w:pPr>
            <w:r>
              <w:rPr>
                <w:rFonts w:ascii="Calibri" w:eastAsia="Calibri"/>
                <w:w w:val="95"/>
                <w:sz w:val="20"/>
              </w:rPr>
              <w:t>11.</w:t>
            </w:r>
            <w:r>
              <w:rPr>
                <w:w w:val="95"/>
                <w:sz w:val="20"/>
              </w:rPr>
              <w:t>颅脑</w:t>
            </w:r>
            <w:r>
              <w:rPr>
                <w:w w:val="95"/>
                <w:sz w:val="20"/>
              </w:rPr>
              <w:t>手</w:t>
            </w:r>
            <w:r>
              <w:rPr>
                <w:spacing w:val="-10"/>
                <w:w w:val="95"/>
                <w:sz w:val="20"/>
              </w:rPr>
              <w:t>术</w:t>
            </w:r>
          </w:p>
        </w:tc>
        <w:tc>
          <w:tcPr>
            <w:tcW w:w="2076" w:type="dxa"/>
          </w:tcPr>
          <w:p>
            <w:pPr>
              <w:pStyle w:val="TableParagraph"/>
              <w:spacing w:before="2"/>
              <w:ind w:left="0"/>
              <w:rPr>
                <w:b/>
                <w:sz w:val="16"/>
              </w:rPr>
            </w:pPr>
          </w:p>
          <w:p>
            <w:pPr>
              <w:pStyle w:val="TableParagraph"/>
              <w:rPr>
                <w:sz w:val="20"/>
              </w:rPr>
            </w:pPr>
            <w:r>
              <w:rPr>
                <w:rFonts w:ascii="Calibri" w:eastAsia="Calibri"/>
                <w:w w:val="95"/>
                <w:sz w:val="20"/>
              </w:rPr>
              <w:t>11.</w:t>
            </w:r>
            <w:r>
              <w:rPr>
                <w:w w:val="95"/>
                <w:sz w:val="20"/>
              </w:rPr>
              <w:t>严重</w:t>
            </w:r>
            <w:r>
              <w:rPr>
                <w:w w:val="95"/>
                <w:sz w:val="20"/>
              </w:rPr>
              <w:t>心</w:t>
            </w:r>
            <w:r>
              <w:rPr>
                <w:w w:val="95"/>
                <w:sz w:val="20"/>
              </w:rPr>
              <w:t>肌</w:t>
            </w:r>
            <w:r>
              <w:rPr>
                <w:spacing w:val="-10"/>
                <w:w w:val="95"/>
                <w:sz w:val="20"/>
              </w:rPr>
              <w:t>炎</w:t>
            </w:r>
          </w:p>
        </w:tc>
        <w:tc>
          <w:tcPr>
            <w:tcW w:w="2078" w:type="dxa"/>
          </w:tcPr>
          <w:p>
            <w:pPr>
              <w:pStyle w:val="TableParagraph"/>
              <w:spacing w:line="312" w:lineRule="exact" w:before="2"/>
              <w:ind w:left="109" w:right="100"/>
              <w:rPr>
                <w:sz w:val="20"/>
              </w:rPr>
            </w:pPr>
            <w:r>
              <w:rPr>
                <w:rFonts w:ascii="Calibri" w:eastAsia="Calibri"/>
                <w:spacing w:val="-2"/>
                <w:sz w:val="20"/>
              </w:rPr>
              <w:t>11.</w:t>
            </w:r>
            <w:r>
              <w:rPr>
                <w:spacing w:val="-2"/>
                <w:sz w:val="20"/>
              </w:rPr>
              <w:t>需手术切除的嗜</w:t>
            </w:r>
            <w:r>
              <w:rPr>
                <w:spacing w:val="-2"/>
                <w:sz w:val="20"/>
              </w:rPr>
              <w:t>铬</w:t>
            </w:r>
            <w:r>
              <w:rPr>
                <w:spacing w:val="-4"/>
                <w:sz w:val="20"/>
              </w:rPr>
              <w:t>细</w:t>
            </w:r>
            <w:r>
              <w:rPr>
                <w:spacing w:val="-4"/>
                <w:sz w:val="20"/>
              </w:rPr>
              <w:t>胞</w:t>
            </w:r>
            <w:r>
              <w:rPr>
                <w:spacing w:val="-4"/>
                <w:sz w:val="20"/>
              </w:rPr>
              <w:t>瘤</w:t>
            </w:r>
          </w:p>
        </w:tc>
      </w:tr>
      <w:tr>
        <w:trPr>
          <w:trHeight w:val="623" w:hRule="atLeast"/>
        </w:trPr>
        <w:tc>
          <w:tcPr>
            <w:tcW w:w="2076" w:type="dxa"/>
          </w:tcPr>
          <w:p>
            <w:pPr>
              <w:pStyle w:val="TableParagraph"/>
              <w:ind w:left="0"/>
              <w:rPr>
                <w:rFonts w:ascii="Times New Roman"/>
                <w:sz w:val="20"/>
              </w:rPr>
            </w:pPr>
          </w:p>
        </w:tc>
        <w:tc>
          <w:tcPr>
            <w:tcW w:w="2079" w:type="dxa"/>
          </w:tcPr>
          <w:p>
            <w:pPr>
              <w:pStyle w:val="TableParagraph"/>
              <w:spacing w:before="27"/>
              <w:rPr>
                <w:sz w:val="20"/>
              </w:rPr>
            </w:pPr>
            <w:r>
              <w:rPr>
                <w:rFonts w:ascii="Calibri" w:eastAsia="Calibri"/>
                <w:w w:val="95"/>
                <w:sz w:val="20"/>
              </w:rPr>
              <w:t>12.</w:t>
            </w:r>
            <w:r>
              <w:rPr>
                <w:w w:val="95"/>
                <w:sz w:val="20"/>
              </w:rPr>
              <w:t>严重原发性骨</w:t>
            </w:r>
            <w:r>
              <w:rPr>
                <w:w w:val="95"/>
                <w:sz w:val="20"/>
              </w:rPr>
              <w:t>髓</w:t>
            </w:r>
            <w:r>
              <w:rPr>
                <w:spacing w:val="-10"/>
                <w:w w:val="95"/>
                <w:sz w:val="20"/>
              </w:rPr>
              <w:t>纤</w:t>
            </w:r>
          </w:p>
          <w:p>
            <w:pPr>
              <w:pStyle w:val="TableParagraph"/>
              <w:spacing w:before="56"/>
              <w:rPr>
                <w:sz w:val="20"/>
              </w:rPr>
            </w:pPr>
            <w:r>
              <w:rPr>
                <w:w w:val="95"/>
                <w:sz w:val="20"/>
              </w:rPr>
              <w:t>维</w:t>
            </w:r>
            <w:r>
              <w:rPr>
                <w:spacing w:val="-10"/>
                <w:sz w:val="20"/>
              </w:rPr>
              <w:t>化</w:t>
            </w:r>
          </w:p>
        </w:tc>
        <w:tc>
          <w:tcPr>
            <w:tcW w:w="2076" w:type="dxa"/>
          </w:tcPr>
          <w:p>
            <w:pPr>
              <w:pStyle w:val="TableParagraph"/>
              <w:spacing w:before="27"/>
              <w:rPr>
                <w:sz w:val="20"/>
              </w:rPr>
            </w:pPr>
            <w:r>
              <w:rPr>
                <w:rFonts w:ascii="Calibri" w:eastAsia="Calibri"/>
                <w:w w:val="95"/>
                <w:sz w:val="20"/>
              </w:rPr>
              <w:t>12.</w:t>
            </w:r>
            <w:r>
              <w:rPr>
                <w:w w:val="95"/>
                <w:sz w:val="20"/>
              </w:rPr>
              <w:t>严重全身性（</w:t>
            </w:r>
            <w:r>
              <w:rPr>
                <w:w w:val="95"/>
                <w:sz w:val="20"/>
              </w:rPr>
              <w:t>型</w:t>
            </w:r>
            <w:r>
              <w:rPr>
                <w:spacing w:val="-10"/>
                <w:w w:val="95"/>
                <w:sz w:val="20"/>
              </w:rPr>
              <w:t>）</w:t>
            </w:r>
          </w:p>
          <w:p>
            <w:pPr>
              <w:pStyle w:val="TableParagraph"/>
              <w:spacing w:before="56"/>
              <w:rPr>
                <w:sz w:val="20"/>
              </w:rPr>
            </w:pPr>
            <w:r>
              <w:rPr>
                <w:w w:val="95"/>
                <w:sz w:val="20"/>
              </w:rPr>
              <w:t>重</w:t>
            </w:r>
            <w:r>
              <w:rPr>
                <w:w w:val="95"/>
                <w:sz w:val="20"/>
              </w:rPr>
              <w:t>症</w:t>
            </w:r>
            <w:r>
              <w:rPr>
                <w:w w:val="95"/>
                <w:sz w:val="20"/>
              </w:rPr>
              <w:t>肌</w:t>
            </w:r>
            <w:r>
              <w:rPr>
                <w:spacing w:val="-5"/>
                <w:w w:val="95"/>
                <w:sz w:val="20"/>
              </w:rPr>
              <w:t>无力</w:t>
            </w:r>
          </w:p>
        </w:tc>
        <w:tc>
          <w:tcPr>
            <w:tcW w:w="2076" w:type="dxa"/>
          </w:tcPr>
          <w:p>
            <w:pPr>
              <w:pStyle w:val="TableParagraph"/>
              <w:spacing w:before="27"/>
              <w:rPr>
                <w:sz w:val="20"/>
              </w:rPr>
            </w:pPr>
            <w:r>
              <w:rPr>
                <w:rFonts w:ascii="Calibri" w:hAnsi="Calibri" w:eastAsia="Calibri"/>
                <w:w w:val="95"/>
                <w:sz w:val="20"/>
              </w:rPr>
              <w:t>12.</w:t>
            </w:r>
            <w:r>
              <w:rPr>
                <w:w w:val="95"/>
                <w:sz w:val="20"/>
              </w:rPr>
              <w:t>严重Ⅲ度房室</w:t>
            </w:r>
            <w:r>
              <w:rPr>
                <w:w w:val="95"/>
                <w:sz w:val="20"/>
              </w:rPr>
              <w:t>传</w:t>
            </w:r>
            <w:r>
              <w:rPr>
                <w:spacing w:val="-10"/>
                <w:w w:val="95"/>
                <w:sz w:val="20"/>
              </w:rPr>
              <w:t>导</w:t>
            </w:r>
          </w:p>
          <w:p>
            <w:pPr>
              <w:pStyle w:val="TableParagraph"/>
              <w:spacing w:before="56"/>
              <w:rPr>
                <w:sz w:val="20"/>
              </w:rPr>
            </w:pPr>
            <w:r>
              <w:rPr>
                <w:w w:val="95"/>
                <w:sz w:val="20"/>
              </w:rPr>
              <w:t>阻</w:t>
            </w:r>
            <w:r>
              <w:rPr>
                <w:spacing w:val="-10"/>
                <w:sz w:val="20"/>
              </w:rPr>
              <w:t>滞</w:t>
            </w:r>
          </w:p>
        </w:tc>
        <w:tc>
          <w:tcPr>
            <w:tcW w:w="2078" w:type="dxa"/>
          </w:tcPr>
          <w:p>
            <w:pPr>
              <w:pStyle w:val="TableParagraph"/>
              <w:spacing w:before="27"/>
              <w:ind w:left="109"/>
              <w:rPr>
                <w:sz w:val="20"/>
              </w:rPr>
            </w:pPr>
            <w:r>
              <w:rPr>
                <w:rFonts w:ascii="Calibri" w:eastAsia="Calibri"/>
                <w:w w:val="95"/>
                <w:sz w:val="20"/>
              </w:rPr>
              <w:t>12.</w:t>
            </w:r>
            <w:r>
              <w:rPr>
                <w:w w:val="95"/>
                <w:sz w:val="20"/>
              </w:rPr>
              <w:t>重症急性坏死</w:t>
            </w:r>
            <w:r>
              <w:rPr>
                <w:w w:val="95"/>
                <w:sz w:val="20"/>
              </w:rPr>
              <w:t>性</w:t>
            </w:r>
            <w:r>
              <w:rPr>
                <w:spacing w:val="-10"/>
                <w:w w:val="95"/>
                <w:sz w:val="20"/>
              </w:rPr>
              <w:t>筋</w:t>
            </w:r>
          </w:p>
          <w:p>
            <w:pPr>
              <w:pStyle w:val="TableParagraph"/>
              <w:spacing w:before="56"/>
              <w:ind w:left="109"/>
              <w:rPr>
                <w:sz w:val="20"/>
              </w:rPr>
            </w:pPr>
            <w:r>
              <w:rPr>
                <w:w w:val="95"/>
                <w:sz w:val="20"/>
              </w:rPr>
              <w:t>膜</w:t>
            </w:r>
            <w:r>
              <w:rPr>
                <w:spacing w:val="-10"/>
                <w:sz w:val="20"/>
              </w:rPr>
              <w:t>炎</w:t>
            </w:r>
          </w:p>
        </w:tc>
      </w:tr>
      <w:tr>
        <w:trPr>
          <w:trHeight w:val="623" w:hRule="atLeast"/>
        </w:trPr>
        <w:tc>
          <w:tcPr>
            <w:tcW w:w="2076" w:type="dxa"/>
          </w:tcPr>
          <w:p>
            <w:pPr>
              <w:pStyle w:val="TableParagraph"/>
              <w:ind w:left="0"/>
              <w:rPr>
                <w:rFonts w:ascii="Times New Roman"/>
                <w:sz w:val="20"/>
              </w:rPr>
            </w:pPr>
          </w:p>
        </w:tc>
        <w:tc>
          <w:tcPr>
            <w:tcW w:w="2079" w:type="dxa"/>
          </w:tcPr>
          <w:p>
            <w:pPr>
              <w:pStyle w:val="TableParagraph"/>
              <w:spacing w:before="27"/>
              <w:rPr>
                <w:sz w:val="20"/>
              </w:rPr>
            </w:pPr>
            <w:r>
              <w:rPr>
                <w:rFonts w:ascii="Calibri" w:eastAsia="Calibri"/>
                <w:w w:val="95"/>
                <w:sz w:val="20"/>
              </w:rPr>
              <w:t>13.</w:t>
            </w:r>
            <w:r>
              <w:rPr>
                <w:w w:val="95"/>
                <w:sz w:val="20"/>
              </w:rPr>
              <w:t>严重骨髓增生</w:t>
            </w:r>
            <w:r>
              <w:rPr>
                <w:w w:val="95"/>
                <w:sz w:val="20"/>
              </w:rPr>
              <w:t>异</w:t>
            </w:r>
            <w:r>
              <w:rPr>
                <w:spacing w:val="-10"/>
                <w:w w:val="95"/>
                <w:sz w:val="20"/>
              </w:rPr>
              <w:t>常</w:t>
            </w:r>
          </w:p>
          <w:p>
            <w:pPr>
              <w:pStyle w:val="TableParagraph"/>
              <w:spacing w:before="56"/>
              <w:rPr>
                <w:sz w:val="20"/>
              </w:rPr>
            </w:pPr>
            <w:r>
              <w:rPr>
                <w:w w:val="95"/>
                <w:sz w:val="20"/>
              </w:rPr>
              <w:t>综</w:t>
            </w:r>
            <w:r>
              <w:rPr>
                <w:w w:val="95"/>
                <w:sz w:val="20"/>
              </w:rPr>
              <w:t>合</w:t>
            </w:r>
            <w:r>
              <w:rPr>
                <w:spacing w:val="-10"/>
                <w:w w:val="95"/>
                <w:sz w:val="20"/>
              </w:rPr>
              <w:t>征</w:t>
            </w:r>
          </w:p>
        </w:tc>
        <w:tc>
          <w:tcPr>
            <w:tcW w:w="2076" w:type="dxa"/>
          </w:tcPr>
          <w:p>
            <w:pPr>
              <w:pStyle w:val="TableParagraph"/>
              <w:spacing w:before="183"/>
              <w:rPr>
                <w:sz w:val="20"/>
              </w:rPr>
            </w:pPr>
            <w:r>
              <w:rPr>
                <w:rFonts w:ascii="Calibri" w:eastAsia="Calibri"/>
                <w:w w:val="95"/>
                <w:sz w:val="20"/>
              </w:rPr>
              <w:t>13.</w:t>
            </w:r>
            <w:r>
              <w:rPr>
                <w:w w:val="95"/>
                <w:sz w:val="20"/>
              </w:rPr>
              <w:t>严重</w:t>
            </w:r>
            <w:r>
              <w:rPr>
                <w:w w:val="95"/>
                <w:sz w:val="20"/>
              </w:rPr>
              <w:t>肌</w:t>
            </w:r>
            <w:r>
              <w:rPr>
                <w:w w:val="95"/>
                <w:sz w:val="20"/>
              </w:rPr>
              <w:t>营</w:t>
            </w:r>
            <w:r>
              <w:rPr>
                <w:w w:val="95"/>
                <w:sz w:val="20"/>
              </w:rPr>
              <w:t>养</w:t>
            </w:r>
            <w:r>
              <w:rPr>
                <w:w w:val="95"/>
                <w:sz w:val="20"/>
              </w:rPr>
              <w:t>不</w:t>
            </w:r>
            <w:r>
              <w:rPr>
                <w:w w:val="95"/>
                <w:sz w:val="20"/>
              </w:rPr>
              <w:t>良</w:t>
            </w:r>
            <w:r>
              <w:rPr>
                <w:spacing w:val="-10"/>
                <w:w w:val="95"/>
                <w:sz w:val="20"/>
              </w:rPr>
              <w:t>症</w:t>
            </w:r>
          </w:p>
        </w:tc>
        <w:tc>
          <w:tcPr>
            <w:tcW w:w="2076" w:type="dxa"/>
          </w:tcPr>
          <w:p>
            <w:pPr>
              <w:pStyle w:val="TableParagraph"/>
              <w:spacing w:before="27"/>
              <w:rPr>
                <w:sz w:val="20"/>
              </w:rPr>
            </w:pPr>
            <w:r>
              <w:rPr>
                <w:rFonts w:ascii="Calibri" w:eastAsia="Calibri"/>
                <w:w w:val="95"/>
                <w:sz w:val="20"/>
              </w:rPr>
              <w:t>13.</w:t>
            </w:r>
            <w:r>
              <w:rPr>
                <w:w w:val="95"/>
                <w:sz w:val="20"/>
              </w:rPr>
              <w:t>严重感染性心</w:t>
            </w:r>
            <w:r>
              <w:rPr>
                <w:w w:val="95"/>
                <w:sz w:val="20"/>
              </w:rPr>
              <w:t>内</w:t>
            </w:r>
            <w:r>
              <w:rPr>
                <w:spacing w:val="-10"/>
                <w:w w:val="95"/>
                <w:sz w:val="20"/>
              </w:rPr>
              <w:t>膜</w:t>
            </w:r>
          </w:p>
          <w:p>
            <w:pPr>
              <w:pStyle w:val="TableParagraph"/>
              <w:spacing w:before="56"/>
              <w:rPr>
                <w:sz w:val="20"/>
              </w:rPr>
            </w:pPr>
            <w:r>
              <w:rPr>
                <w:w w:val="99"/>
                <w:sz w:val="20"/>
              </w:rPr>
              <w:t>炎</w:t>
            </w:r>
          </w:p>
        </w:tc>
        <w:tc>
          <w:tcPr>
            <w:tcW w:w="2078" w:type="dxa"/>
          </w:tcPr>
          <w:p>
            <w:pPr>
              <w:pStyle w:val="TableParagraph"/>
              <w:spacing w:before="27"/>
              <w:ind w:left="109"/>
              <w:rPr>
                <w:sz w:val="20"/>
              </w:rPr>
            </w:pPr>
            <w:r>
              <w:rPr>
                <w:rFonts w:ascii="Calibri" w:eastAsia="Calibri"/>
                <w:w w:val="95"/>
                <w:sz w:val="20"/>
              </w:rPr>
              <w:t>13.</w:t>
            </w:r>
            <w:r>
              <w:rPr>
                <w:w w:val="95"/>
                <w:sz w:val="20"/>
              </w:rPr>
              <w:t>非阿尔茨海默</w:t>
            </w:r>
            <w:r>
              <w:rPr>
                <w:w w:val="95"/>
                <w:sz w:val="20"/>
              </w:rPr>
              <w:t>病</w:t>
            </w:r>
            <w:r>
              <w:rPr>
                <w:spacing w:val="-10"/>
                <w:w w:val="95"/>
                <w:sz w:val="20"/>
              </w:rPr>
              <w:t>所</w:t>
            </w:r>
          </w:p>
          <w:p>
            <w:pPr>
              <w:pStyle w:val="TableParagraph"/>
              <w:spacing w:before="56"/>
              <w:ind w:left="109"/>
              <w:rPr>
                <w:sz w:val="20"/>
              </w:rPr>
            </w:pPr>
            <w:r>
              <w:rPr>
                <w:w w:val="95"/>
                <w:sz w:val="20"/>
              </w:rPr>
              <w:t>致</w:t>
            </w:r>
            <w:r>
              <w:rPr>
                <w:w w:val="95"/>
                <w:sz w:val="20"/>
              </w:rPr>
              <w:t>严</w:t>
            </w:r>
            <w:r>
              <w:rPr>
                <w:w w:val="95"/>
                <w:sz w:val="20"/>
              </w:rPr>
              <w:t>重</w:t>
            </w:r>
            <w:r>
              <w:rPr>
                <w:spacing w:val="-5"/>
                <w:w w:val="95"/>
                <w:sz w:val="20"/>
              </w:rPr>
              <w:t>痴呆</w:t>
            </w:r>
          </w:p>
        </w:tc>
      </w:tr>
      <w:tr>
        <w:trPr>
          <w:trHeight w:val="937" w:hRule="atLeast"/>
        </w:trPr>
        <w:tc>
          <w:tcPr>
            <w:tcW w:w="2076" w:type="dxa"/>
          </w:tcPr>
          <w:p>
            <w:pPr>
              <w:pStyle w:val="TableParagraph"/>
              <w:ind w:left="0"/>
              <w:rPr>
                <w:rFonts w:ascii="Times New Roman"/>
                <w:sz w:val="20"/>
              </w:rPr>
            </w:pPr>
          </w:p>
        </w:tc>
        <w:tc>
          <w:tcPr>
            <w:tcW w:w="2079" w:type="dxa"/>
          </w:tcPr>
          <w:p>
            <w:pPr>
              <w:pStyle w:val="TableParagraph"/>
              <w:spacing w:before="6"/>
              <w:ind w:left="0"/>
              <w:rPr>
                <w:b/>
                <w:sz w:val="26"/>
              </w:rPr>
            </w:pPr>
          </w:p>
          <w:p>
            <w:pPr>
              <w:pStyle w:val="TableParagraph"/>
              <w:rPr>
                <w:sz w:val="20"/>
              </w:rPr>
            </w:pPr>
            <w:r>
              <w:rPr>
                <w:rFonts w:ascii="Calibri" w:eastAsia="Calibri"/>
                <w:w w:val="95"/>
                <w:sz w:val="20"/>
              </w:rPr>
              <w:t>14.</w:t>
            </w:r>
            <w:r>
              <w:rPr>
                <w:w w:val="95"/>
                <w:sz w:val="20"/>
              </w:rPr>
              <w:t>肺泡</w:t>
            </w:r>
            <w:r>
              <w:rPr>
                <w:w w:val="95"/>
                <w:sz w:val="20"/>
              </w:rPr>
              <w:t>蛋</w:t>
            </w:r>
            <w:r>
              <w:rPr>
                <w:w w:val="95"/>
                <w:sz w:val="20"/>
              </w:rPr>
              <w:t>白</w:t>
            </w:r>
            <w:r>
              <w:rPr>
                <w:w w:val="95"/>
                <w:sz w:val="20"/>
              </w:rPr>
              <w:t>质</w:t>
            </w:r>
            <w:r>
              <w:rPr>
                <w:w w:val="95"/>
                <w:sz w:val="20"/>
              </w:rPr>
              <w:t>沉</w:t>
            </w:r>
            <w:r>
              <w:rPr>
                <w:w w:val="95"/>
                <w:sz w:val="20"/>
              </w:rPr>
              <w:t>积</w:t>
            </w:r>
            <w:r>
              <w:rPr>
                <w:spacing w:val="-10"/>
                <w:w w:val="95"/>
                <w:sz w:val="20"/>
              </w:rPr>
              <w:t>症</w:t>
            </w:r>
          </w:p>
        </w:tc>
        <w:tc>
          <w:tcPr>
            <w:tcW w:w="2076" w:type="dxa"/>
          </w:tcPr>
          <w:p>
            <w:pPr>
              <w:pStyle w:val="TableParagraph"/>
              <w:spacing w:before="6"/>
              <w:ind w:left="0"/>
              <w:rPr>
                <w:b/>
                <w:sz w:val="26"/>
              </w:rPr>
            </w:pPr>
          </w:p>
          <w:p>
            <w:pPr>
              <w:pStyle w:val="TableParagraph"/>
              <w:rPr>
                <w:sz w:val="20"/>
              </w:rPr>
            </w:pPr>
            <w:r>
              <w:rPr>
                <w:rFonts w:ascii="Calibri" w:eastAsia="Calibri"/>
                <w:w w:val="95"/>
                <w:sz w:val="20"/>
              </w:rPr>
              <w:t>14.</w:t>
            </w:r>
            <w:r>
              <w:rPr>
                <w:w w:val="95"/>
                <w:sz w:val="20"/>
              </w:rPr>
              <w:t>植物</w:t>
            </w:r>
            <w:r>
              <w:rPr>
                <w:w w:val="95"/>
                <w:sz w:val="20"/>
              </w:rPr>
              <w:t>人</w:t>
            </w:r>
            <w:r>
              <w:rPr>
                <w:w w:val="95"/>
                <w:sz w:val="20"/>
              </w:rPr>
              <w:t>状</w:t>
            </w:r>
            <w:r>
              <w:rPr>
                <w:spacing w:val="-10"/>
                <w:w w:val="95"/>
                <w:sz w:val="20"/>
              </w:rPr>
              <w:t>态</w:t>
            </w:r>
          </w:p>
        </w:tc>
        <w:tc>
          <w:tcPr>
            <w:tcW w:w="2076" w:type="dxa"/>
          </w:tcPr>
          <w:p>
            <w:pPr>
              <w:pStyle w:val="TableParagraph"/>
              <w:spacing w:before="6"/>
              <w:ind w:left="0"/>
              <w:rPr>
                <w:b/>
                <w:sz w:val="26"/>
              </w:rPr>
            </w:pPr>
          </w:p>
          <w:p>
            <w:pPr>
              <w:pStyle w:val="TableParagraph"/>
              <w:rPr>
                <w:sz w:val="20"/>
              </w:rPr>
            </w:pPr>
            <w:r>
              <w:rPr>
                <w:rFonts w:ascii="Calibri" w:eastAsia="Calibri"/>
                <w:w w:val="95"/>
                <w:sz w:val="20"/>
              </w:rPr>
              <w:t>14.</w:t>
            </w:r>
            <w:r>
              <w:rPr>
                <w:w w:val="95"/>
                <w:sz w:val="20"/>
              </w:rPr>
              <w:t>肺源</w:t>
            </w:r>
            <w:r>
              <w:rPr>
                <w:w w:val="95"/>
                <w:sz w:val="20"/>
              </w:rPr>
              <w:t>性</w:t>
            </w:r>
            <w:r>
              <w:rPr>
                <w:w w:val="95"/>
                <w:sz w:val="20"/>
              </w:rPr>
              <w:t>心</w:t>
            </w:r>
            <w:r>
              <w:rPr>
                <w:spacing w:val="-5"/>
                <w:w w:val="95"/>
                <w:sz w:val="20"/>
              </w:rPr>
              <w:t>脏病</w:t>
            </w:r>
          </w:p>
        </w:tc>
        <w:tc>
          <w:tcPr>
            <w:tcW w:w="2078" w:type="dxa"/>
          </w:tcPr>
          <w:p>
            <w:pPr>
              <w:pStyle w:val="TableParagraph"/>
              <w:spacing w:line="292" w:lineRule="auto" w:before="28"/>
              <w:ind w:left="109" w:right="70"/>
              <w:rPr>
                <w:sz w:val="20"/>
              </w:rPr>
            </w:pPr>
            <w:r>
              <w:rPr>
                <w:rFonts w:ascii="Calibri" w:eastAsia="Calibri"/>
                <w:spacing w:val="-2"/>
                <w:sz w:val="20"/>
              </w:rPr>
              <w:t>14.</w:t>
            </w:r>
            <w:r>
              <w:rPr>
                <w:spacing w:val="-2"/>
                <w:sz w:val="20"/>
              </w:rPr>
              <w:t>经输血导致的</w:t>
            </w:r>
            <w:r>
              <w:rPr>
                <w:spacing w:val="-2"/>
                <w:sz w:val="20"/>
              </w:rPr>
              <w:t>人</w:t>
            </w:r>
            <w:r>
              <w:rPr>
                <w:spacing w:val="-2"/>
                <w:sz w:val="20"/>
              </w:rPr>
              <w:t>类</w:t>
            </w:r>
            <w:r>
              <w:rPr>
                <w:w w:val="95"/>
                <w:sz w:val="20"/>
              </w:rPr>
              <w:t>免</w:t>
            </w:r>
            <w:r>
              <w:rPr>
                <w:w w:val="95"/>
                <w:sz w:val="20"/>
              </w:rPr>
              <w:t>疫</w:t>
            </w:r>
            <w:r>
              <w:rPr>
                <w:w w:val="95"/>
                <w:sz w:val="20"/>
              </w:rPr>
              <w:t>缺</w:t>
            </w:r>
            <w:r>
              <w:rPr>
                <w:w w:val="95"/>
                <w:sz w:val="20"/>
              </w:rPr>
              <w:t>陷</w:t>
            </w:r>
            <w:r>
              <w:rPr>
                <w:w w:val="95"/>
                <w:sz w:val="20"/>
              </w:rPr>
              <w:t>病</w:t>
            </w:r>
            <w:r>
              <w:rPr>
                <w:w w:val="95"/>
                <w:sz w:val="20"/>
              </w:rPr>
              <w:t>毒</w:t>
            </w:r>
            <w:r>
              <w:rPr>
                <w:spacing w:val="-4"/>
                <w:w w:val="95"/>
                <w:sz w:val="20"/>
              </w:rPr>
              <w:t>（</w:t>
            </w:r>
            <w:r>
              <w:rPr>
                <w:rFonts w:ascii="Calibri" w:eastAsia="Calibri"/>
                <w:spacing w:val="-4"/>
                <w:w w:val="95"/>
                <w:sz w:val="20"/>
              </w:rPr>
              <w:t>HIV</w:t>
            </w:r>
            <w:r>
              <w:rPr>
                <w:spacing w:val="-4"/>
                <w:w w:val="95"/>
                <w:sz w:val="20"/>
              </w:rPr>
              <w:t>）</w:t>
            </w:r>
          </w:p>
          <w:p>
            <w:pPr>
              <w:pStyle w:val="TableParagraph"/>
              <w:spacing w:line="255" w:lineRule="exact"/>
              <w:ind w:left="109"/>
              <w:rPr>
                <w:sz w:val="20"/>
              </w:rPr>
            </w:pPr>
            <w:r>
              <w:rPr>
                <w:w w:val="95"/>
                <w:sz w:val="20"/>
              </w:rPr>
              <w:t>感</w:t>
            </w:r>
            <w:r>
              <w:rPr>
                <w:spacing w:val="-10"/>
                <w:sz w:val="20"/>
              </w:rPr>
              <w:t>染</w:t>
            </w:r>
          </w:p>
        </w:tc>
      </w:tr>
    </w:tbl>
    <w:p>
      <w:pPr>
        <w:spacing w:after="0" w:line="255" w:lineRule="exact"/>
        <w:rPr>
          <w:sz w:val="20"/>
        </w:rPr>
        <w:sectPr>
          <w:type w:val="continuous"/>
          <w:pgSz w:w="11910" w:h="16840"/>
          <w:pgMar w:header="0" w:footer="655" w:top="140" w:bottom="280" w:left="560" w:right="480"/>
        </w:sectPr>
      </w:pPr>
    </w:p>
    <w:tbl>
      <w:tblPr>
        <w:tblW w:w="0" w:type="auto"/>
        <w:jc w:val="left"/>
        <w:tblInd w:w="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76"/>
        <w:gridCol w:w="2079"/>
        <w:gridCol w:w="2076"/>
        <w:gridCol w:w="2076"/>
        <w:gridCol w:w="2078"/>
      </w:tblGrid>
      <w:tr>
        <w:trPr>
          <w:trHeight w:val="935" w:hRule="atLeast"/>
        </w:trPr>
        <w:tc>
          <w:tcPr>
            <w:tcW w:w="2076" w:type="dxa"/>
          </w:tcPr>
          <w:p>
            <w:pPr>
              <w:pStyle w:val="TableParagraph"/>
              <w:ind w:left="0"/>
              <w:rPr>
                <w:rFonts w:ascii="Times New Roman"/>
                <w:sz w:val="18"/>
              </w:rPr>
            </w:pPr>
          </w:p>
        </w:tc>
        <w:tc>
          <w:tcPr>
            <w:tcW w:w="2079" w:type="dxa"/>
          </w:tcPr>
          <w:p>
            <w:pPr>
              <w:pStyle w:val="TableParagraph"/>
              <w:spacing w:line="292" w:lineRule="auto" w:before="179"/>
              <w:ind w:right="102"/>
              <w:rPr>
                <w:sz w:val="20"/>
              </w:rPr>
            </w:pPr>
            <w:r>
              <w:rPr>
                <w:rFonts w:ascii="Calibri" w:eastAsia="Calibri"/>
                <w:spacing w:val="-2"/>
                <w:sz w:val="20"/>
              </w:rPr>
              <w:t>15.</w:t>
            </w:r>
            <w:r>
              <w:rPr>
                <w:spacing w:val="-2"/>
                <w:sz w:val="20"/>
              </w:rPr>
              <w:t>严重自身免疫性</w:t>
            </w:r>
            <w:r>
              <w:rPr>
                <w:spacing w:val="-2"/>
                <w:sz w:val="20"/>
              </w:rPr>
              <w:t>肝</w:t>
            </w:r>
            <w:r>
              <w:rPr>
                <w:spacing w:val="-10"/>
                <w:sz w:val="20"/>
              </w:rPr>
              <w:t>炎</w:t>
            </w:r>
          </w:p>
        </w:tc>
        <w:tc>
          <w:tcPr>
            <w:tcW w:w="2076" w:type="dxa"/>
          </w:tcPr>
          <w:p>
            <w:pPr>
              <w:pStyle w:val="TableParagraph"/>
              <w:spacing w:before="2"/>
              <w:ind w:left="0"/>
              <w:rPr>
                <w:b/>
                <w:sz w:val="26"/>
              </w:rPr>
            </w:pPr>
          </w:p>
          <w:p>
            <w:pPr>
              <w:pStyle w:val="TableParagraph"/>
              <w:rPr>
                <w:sz w:val="20"/>
              </w:rPr>
            </w:pPr>
            <w:r>
              <w:rPr>
                <w:rFonts w:ascii="Calibri" w:eastAsia="Calibri"/>
                <w:w w:val="95"/>
                <w:sz w:val="20"/>
              </w:rPr>
              <w:t>15.</w:t>
            </w:r>
            <w:r>
              <w:rPr>
                <w:w w:val="95"/>
                <w:sz w:val="20"/>
              </w:rPr>
              <w:t>严重</w:t>
            </w:r>
            <w:r>
              <w:rPr>
                <w:w w:val="95"/>
                <w:sz w:val="20"/>
              </w:rPr>
              <w:t>脊</w:t>
            </w:r>
            <w:r>
              <w:rPr>
                <w:w w:val="95"/>
                <w:sz w:val="20"/>
              </w:rPr>
              <w:t>髓</w:t>
            </w:r>
            <w:r>
              <w:rPr>
                <w:w w:val="95"/>
                <w:sz w:val="20"/>
              </w:rPr>
              <w:t>灰</w:t>
            </w:r>
            <w:r>
              <w:rPr>
                <w:w w:val="95"/>
                <w:sz w:val="20"/>
              </w:rPr>
              <w:t>质</w:t>
            </w:r>
            <w:r>
              <w:rPr>
                <w:spacing w:val="-10"/>
                <w:w w:val="95"/>
                <w:sz w:val="20"/>
              </w:rPr>
              <w:t>炎</w:t>
            </w:r>
          </w:p>
        </w:tc>
        <w:tc>
          <w:tcPr>
            <w:tcW w:w="2076" w:type="dxa"/>
          </w:tcPr>
          <w:p>
            <w:pPr>
              <w:pStyle w:val="TableParagraph"/>
              <w:spacing w:line="292" w:lineRule="auto" w:before="179"/>
              <w:ind w:right="98"/>
              <w:rPr>
                <w:sz w:val="20"/>
              </w:rPr>
            </w:pPr>
            <w:r>
              <w:rPr>
                <w:rFonts w:ascii="Calibri" w:eastAsia="Calibri"/>
                <w:spacing w:val="-2"/>
                <w:sz w:val="20"/>
              </w:rPr>
              <w:t>15.</w:t>
            </w:r>
            <w:r>
              <w:rPr>
                <w:spacing w:val="-2"/>
                <w:sz w:val="20"/>
              </w:rPr>
              <w:t>严重继发性肺动</w:t>
            </w:r>
            <w:r>
              <w:rPr>
                <w:spacing w:val="-2"/>
                <w:sz w:val="20"/>
              </w:rPr>
              <w:t>脉</w:t>
            </w:r>
            <w:r>
              <w:rPr>
                <w:spacing w:val="-6"/>
                <w:sz w:val="20"/>
              </w:rPr>
              <w:t>高</w:t>
            </w:r>
            <w:r>
              <w:rPr>
                <w:spacing w:val="-6"/>
                <w:sz w:val="20"/>
              </w:rPr>
              <w:t>压</w:t>
            </w:r>
          </w:p>
        </w:tc>
        <w:tc>
          <w:tcPr>
            <w:tcW w:w="2078" w:type="dxa"/>
          </w:tcPr>
          <w:p>
            <w:pPr>
              <w:pStyle w:val="TableParagraph"/>
              <w:spacing w:before="23"/>
              <w:ind w:left="109"/>
              <w:rPr>
                <w:sz w:val="20"/>
              </w:rPr>
            </w:pPr>
            <w:r>
              <w:rPr>
                <w:rFonts w:ascii="Calibri" w:eastAsia="Calibri"/>
                <w:w w:val="95"/>
                <w:sz w:val="20"/>
              </w:rPr>
              <w:t>15.</w:t>
            </w:r>
            <w:r>
              <w:rPr>
                <w:w w:val="95"/>
                <w:sz w:val="20"/>
              </w:rPr>
              <w:t>因职业关系导</w:t>
            </w:r>
            <w:r>
              <w:rPr>
                <w:w w:val="95"/>
                <w:sz w:val="20"/>
              </w:rPr>
              <w:t>致</w:t>
            </w:r>
            <w:r>
              <w:rPr>
                <w:spacing w:val="-10"/>
                <w:w w:val="95"/>
                <w:sz w:val="20"/>
              </w:rPr>
              <w:t>的</w:t>
            </w:r>
          </w:p>
          <w:p>
            <w:pPr>
              <w:pStyle w:val="TableParagraph"/>
              <w:spacing w:line="310" w:lineRule="atLeast" w:before="2"/>
              <w:ind w:left="109" w:right="101"/>
              <w:rPr>
                <w:sz w:val="20"/>
              </w:rPr>
            </w:pPr>
            <w:r>
              <w:rPr>
                <w:spacing w:val="-2"/>
                <w:sz w:val="20"/>
              </w:rPr>
              <w:t>人类免疫缺陷</w:t>
            </w:r>
            <w:r>
              <w:rPr>
                <w:spacing w:val="-2"/>
                <w:sz w:val="20"/>
              </w:rPr>
              <w:t>病</w:t>
            </w:r>
            <w:r>
              <w:rPr>
                <w:spacing w:val="-2"/>
                <w:sz w:val="20"/>
              </w:rPr>
              <w:t>毒</w:t>
            </w:r>
            <w:r>
              <w:rPr>
                <w:spacing w:val="-2"/>
                <w:sz w:val="20"/>
              </w:rPr>
              <w:t>感</w:t>
            </w:r>
            <w:r>
              <w:rPr>
                <w:spacing w:val="-10"/>
                <w:sz w:val="20"/>
              </w:rPr>
              <w:t>染</w:t>
            </w:r>
          </w:p>
        </w:tc>
      </w:tr>
      <w:tr>
        <w:trPr>
          <w:trHeight w:val="935" w:hRule="atLeast"/>
        </w:trPr>
        <w:tc>
          <w:tcPr>
            <w:tcW w:w="2076" w:type="dxa"/>
          </w:tcPr>
          <w:p>
            <w:pPr>
              <w:pStyle w:val="TableParagraph"/>
              <w:ind w:left="0"/>
              <w:rPr>
                <w:rFonts w:ascii="Times New Roman"/>
                <w:sz w:val="18"/>
              </w:rPr>
            </w:pPr>
          </w:p>
        </w:tc>
        <w:tc>
          <w:tcPr>
            <w:tcW w:w="2079" w:type="dxa"/>
          </w:tcPr>
          <w:p>
            <w:pPr>
              <w:pStyle w:val="TableParagraph"/>
              <w:spacing w:before="1"/>
              <w:ind w:left="0"/>
              <w:rPr>
                <w:b/>
                <w:sz w:val="26"/>
              </w:rPr>
            </w:pPr>
          </w:p>
          <w:p>
            <w:pPr>
              <w:pStyle w:val="TableParagraph"/>
              <w:spacing w:before="1"/>
              <w:rPr>
                <w:sz w:val="20"/>
              </w:rPr>
            </w:pPr>
            <w:r>
              <w:rPr>
                <w:rFonts w:ascii="Calibri" w:eastAsia="Calibri"/>
                <w:w w:val="95"/>
                <w:sz w:val="20"/>
              </w:rPr>
              <w:t>16.</w:t>
            </w:r>
            <w:r>
              <w:rPr>
                <w:w w:val="95"/>
                <w:sz w:val="20"/>
              </w:rPr>
              <w:t>肝豆</w:t>
            </w:r>
            <w:r>
              <w:rPr>
                <w:w w:val="95"/>
                <w:sz w:val="20"/>
              </w:rPr>
              <w:t>状</w:t>
            </w:r>
            <w:r>
              <w:rPr>
                <w:w w:val="95"/>
                <w:sz w:val="20"/>
              </w:rPr>
              <w:t>核</w:t>
            </w:r>
            <w:r>
              <w:rPr>
                <w:spacing w:val="-5"/>
                <w:w w:val="95"/>
                <w:sz w:val="20"/>
              </w:rPr>
              <w:t>变性</w:t>
            </w:r>
          </w:p>
        </w:tc>
        <w:tc>
          <w:tcPr>
            <w:tcW w:w="2076" w:type="dxa"/>
          </w:tcPr>
          <w:p>
            <w:pPr>
              <w:pStyle w:val="TableParagraph"/>
              <w:spacing w:line="292" w:lineRule="auto" w:before="23"/>
              <w:ind w:right="62"/>
              <w:rPr>
                <w:sz w:val="20"/>
              </w:rPr>
            </w:pPr>
            <w:r>
              <w:rPr>
                <w:rFonts w:ascii="Calibri" w:eastAsia="Calibri"/>
                <w:sz w:val="20"/>
              </w:rPr>
              <w:t>16.</w:t>
            </w:r>
            <w:r>
              <w:rPr>
                <w:spacing w:val="1"/>
                <w:sz w:val="20"/>
              </w:rPr>
              <w:t>严重疯牛病</w:t>
            </w:r>
            <w:r>
              <w:rPr>
                <w:rFonts w:ascii="Calibri" w:eastAsia="Calibri"/>
                <w:sz w:val="20"/>
              </w:rPr>
              <w:t>(</w:t>
            </w:r>
            <w:r>
              <w:rPr>
                <w:spacing w:val="6"/>
                <w:sz w:val="20"/>
              </w:rPr>
              <w:t>克</w:t>
            </w:r>
            <w:r>
              <w:rPr>
                <w:rFonts w:ascii="Calibri" w:eastAsia="Calibri"/>
                <w:sz w:val="20"/>
              </w:rPr>
              <w:t>-</w:t>
            </w:r>
            <w:r>
              <w:rPr>
                <w:sz w:val="20"/>
              </w:rPr>
              <w:t>雅</w:t>
            </w:r>
            <w:r>
              <w:rPr>
                <w:spacing w:val="1"/>
                <w:w w:val="95"/>
                <w:sz w:val="20"/>
              </w:rPr>
              <w:t>氏病 </w:t>
            </w:r>
            <w:r>
              <w:rPr>
                <w:rFonts w:ascii="Calibri" w:eastAsia="Calibri"/>
                <w:w w:val="95"/>
                <w:sz w:val="20"/>
              </w:rPr>
              <w:t>/CJD/</w:t>
            </w:r>
            <w:r>
              <w:rPr>
                <w:rFonts w:ascii="Calibri" w:eastAsia="Calibri"/>
                <w:spacing w:val="17"/>
                <w:sz w:val="20"/>
              </w:rPr>
              <w:t> </w:t>
            </w:r>
            <w:r>
              <w:rPr>
                <w:spacing w:val="36"/>
                <w:w w:val="95"/>
                <w:sz w:val="20"/>
              </w:rPr>
              <w:t>人</w:t>
            </w:r>
            <w:r>
              <w:rPr>
                <w:spacing w:val="36"/>
                <w:w w:val="95"/>
                <w:sz w:val="20"/>
              </w:rPr>
              <w:t>类</w:t>
            </w:r>
            <w:r>
              <w:rPr>
                <w:spacing w:val="36"/>
                <w:w w:val="95"/>
                <w:sz w:val="20"/>
              </w:rPr>
              <w:t>疯</w:t>
            </w:r>
            <w:r>
              <w:rPr>
                <w:spacing w:val="-10"/>
                <w:w w:val="95"/>
                <w:sz w:val="20"/>
              </w:rPr>
              <w:t>牛 </w:t>
            </w:r>
          </w:p>
          <w:p>
            <w:pPr>
              <w:pStyle w:val="TableParagraph"/>
              <w:spacing w:line="255" w:lineRule="exact"/>
              <w:rPr>
                <w:rFonts w:ascii="Calibri" w:eastAsia="Calibri"/>
                <w:sz w:val="20"/>
              </w:rPr>
            </w:pPr>
            <w:r>
              <w:rPr>
                <w:w w:val="95"/>
                <w:sz w:val="20"/>
              </w:rPr>
              <w:t>病</w:t>
            </w:r>
            <w:r>
              <w:rPr>
                <w:rFonts w:ascii="Calibri" w:eastAsia="Calibri"/>
                <w:spacing w:val="-10"/>
                <w:sz w:val="20"/>
              </w:rPr>
              <w:t>)</w:t>
            </w:r>
          </w:p>
        </w:tc>
        <w:tc>
          <w:tcPr>
            <w:tcW w:w="2076" w:type="dxa"/>
          </w:tcPr>
          <w:p>
            <w:pPr>
              <w:pStyle w:val="TableParagraph"/>
              <w:spacing w:before="1"/>
              <w:ind w:left="0"/>
              <w:rPr>
                <w:b/>
                <w:sz w:val="26"/>
              </w:rPr>
            </w:pPr>
          </w:p>
          <w:p>
            <w:pPr>
              <w:pStyle w:val="TableParagraph"/>
              <w:spacing w:before="1"/>
              <w:rPr>
                <w:sz w:val="20"/>
              </w:rPr>
            </w:pPr>
            <w:r>
              <w:rPr>
                <w:rFonts w:ascii="Calibri" w:eastAsia="Calibri"/>
                <w:w w:val="95"/>
                <w:sz w:val="20"/>
              </w:rPr>
              <w:t>16.</w:t>
            </w:r>
            <w:r>
              <w:rPr>
                <w:w w:val="95"/>
                <w:sz w:val="20"/>
              </w:rPr>
              <w:t>严重</w:t>
            </w:r>
            <w:r>
              <w:rPr>
                <w:w w:val="95"/>
                <w:sz w:val="20"/>
              </w:rPr>
              <w:t>川</w:t>
            </w:r>
            <w:r>
              <w:rPr>
                <w:w w:val="95"/>
                <w:sz w:val="20"/>
              </w:rPr>
              <w:t>崎</w:t>
            </w:r>
            <w:r>
              <w:rPr>
                <w:spacing w:val="-10"/>
                <w:w w:val="95"/>
                <w:sz w:val="20"/>
              </w:rPr>
              <w:t>病</w:t>
            </w:r>
          </w:p>
        </w:tc>
        <w:tc>
          <w:tcPr>
            <w:tcW w:w="2078" w:type="dxa"/>
          </w:tcPr>
          <w:p>
            <w:pPr>
              <w:pStyle w:val="TableParagraph"/>
              <w:spacing w:before="1"/>
              <w:ind w:left="0"/>
              <w:rPr>
                <w:b/>
                <w:sz w:val="26"/>
              </w:rPr>
            </w:pPr>
          </w:p>
          <w:p>
            <w:pPr>
              <w:pStyle w:val="TableParagraph"/>
              <w:spacing w:before="1"/>
              <w:ind w:left="109"/>
              <w:rPr>
                <w:sz w:val="20"/>
              </w:rPr>
            </w:pPr>
            <w:r>
              <w:rPr>
                <w:rFonts w:ascii="Calibri" w:eastAsia="Calibri"/>
                <w:w w:val="95"/>
                <w:sz w:val="20"/>
              </w:rPr>
              <w:t>16.</w:t>
            </w:r>
            <w:r>
              <w:rPr>
                <w:w w:val="95"/>
                <w:sz w:val="20"/>
              </w:rPr>
              <w:t>严重</w:t>
            </w:r>
            <w:r>
              <w:rPr>
                <w:w w:val="95"/>
                <w:sz w:val="20"/>
              </w:rPr>
              <w:t>系</w:t>
            </w:r>
            <w:r>
              <w:rPr>
                <w:w w:val="95"/>
                <w:sz w:val="20"/>
              </w:rPr>
              <w:t>统</w:t>
            </w:r>
            <w:r>
              <w:rPr>
                <w:w w:val="95"/>
                <w:sz w:val="20"/>
              </w:rPr>
              <w:t>性</w:t>
            </w:r>
            <w:r>
              <w:rPr>
                <w:w w:val="95"/>
                <w:sz w:val="20"/>
              </w:rPr>
              <w:t>硬</w:t>
            </w:r>
            <w:r>
              <w:rPr>
                <w:w w:val="95"/>
                <w:sz w:val="20"/>
              </w:rPr>
              <w:t>皮</w:t>
            </w:r>
            <w:r>
              <w:rPr>
                <w:spacing w:val="-10"/>
                <w:w w:val="95"/>
                <w:sz w:val="20"/>
              </w:rPr>
              <w:t>病</w:t>
            </w:r>
          </w:p>
        </w:tc>
      </w:tr>
      <w:tr>
        <w:trPr>
          <w:trHeight w:val="625" w:hRule="atLeast"/>
        </w:trPr>
        <w:tc>
          <w:tcPr>
            <w:tcW w:w="2076" w:type="dxa"/>
          </w:tcPr>
          <w:p>
            <w:pPr>
              <w:pStyle w:val="TableParagraph"/>
              <w:ind w:left="0"/>
              <w:rPr>
                <w:rFonts w:ascii="Times New Roman"/>
                <w:sz w:val="18"/>
              </w:rPr>
            </w:pPr>
          </w:p>
        </w:tc>
        <w:tc>
          <w:tcPr>
            <w:tcW w:w="2079" w:type="dxa"/>
          </w:tcPr>
          <w:p>
            <w:pPr>
              <w:pStyle w:val="TableParagraph"/>
              <w:spacing w:before="181"/>
              <w:rPr>
                <w:sz w:val="20"/>
              </w:rPr>
            </w:pPr>
            <w:r>
              <w:rPr>
                <w:rFonts w:ascii="Calibri" w:eastAsia="Calibri"/>
                <w:w w:val="95"/>
                <w:sz w:val="20"/>
              </w:rPr>
              <w:t>17.</w:t>
            </w:r>
            <w:r>
              <w:rPr>
                <w:w w:val="95"/>
                <w:sz w:val="20"/>
              </w:rPr>
              <w:t>严重</w:t>
            </w:r>
            <w:r>
              <w:rPr>
                <w:w w:val="95"/>
                <w:sz w:val="20"/>
              </w:rPr>
              <w:t>席</w:t>
            </w:r>
            <w:r>
              <w:rPr>
                <w:w w:val="95"/>
                <w:sz w:val="20"/>
              </w:rPr>
              <w:t>汉</w:t>
            </w:r>
            <w:r>
              <w:rPr>
                <w:w w:val="95"/>
                <w:sz w:val="20"/>
              </w:rPr>
              <w:t>氏</w:t>
            </w:r>
            <w:r>
              <w:rPr>
                <w:w w:val="95"/>
                <w:sz w:val="20"/>
              </w:rPr>
              <w:t>综</w:t>
            </w:r>
            <w:r>
              <w:rPr>
                <w:w w:val="95"/>
                <w:sz w:val="20"/>
              </w:rPr>
              <w:t>合</w:t>
            </w:r>
            <w:r>
              <w:rPr>
                <w:spacing w:val="-10"/>
                <w:w w:val="95"/>
                <w:sz w:val="20"/>
              </w:rPr>
              <w:t>征</w:t>
            </w:r>
          </w:p>
        </w:tc>
        <w:tc>
          <w:tcPr>
            <w:tcW w:w="2076" w:type="dxa"/>
          </w:tcPr>
          <w:p>
            <w:pPr>
              <w:pStyle w:val="TableParagraph"/>
              <w:spacing w:before="181"/>
              <w:rPr>
                <w:sz w:val="20"/>
              </w:rPr>
            </w:pPr>
            <w:r>
              <w:rPr>
                <w:rFonts w:ascii="Calibri" w:eastAsia="Calibri"/>
                <w:w w:val="95"/>
                <w:sz w:val="20"/>
              </w:rPr>
              <w:t>17.</w:t>
            </w:r>
            <w:r>
              <w:rPr>
                <w:w w:val="95"/>
                <w:sz w:val="20"/>
              </w:rPr>
              <w:t>严重</w:t>
            </w:r>
            <w:r>
              <w:rPr>
                <w:w w:val="95"/>
                <w:sz w:val="20"/>
              </w:rPr>
              <w:t>癫</w:t>
            </w:r>
            <w:r>
              <w:rPr>
                <w:spacing w:val="-10"/>
                <w:w w:val="95"/>
                <w:sz w:val="20"/>
              </w:rPr>
              <w:t>痫</w:t>
            </w:r>
          </w:p>
        </w:tc>
        <w:tc>
          <w:tcPr>
            <w:tcW w:w="2076" w:type="dxa"/>
          </w:tcPr>
          <w:p>
            <w:pPr>
              <w:pStyle w:val="TableParagraph"/>
              <w:spacing w:before="25"/>
              <w:rPr>
                <w:sz w:val="20"/>
              </w:rPr>
            </w:pPr>
            <w:r>
              <w:rPr>
                <w:rFonts w:ascii="Calibri" w:eastAsia="Calibri"/>
                <w:w w:val="95"/>
                <w:sz w:val="20"/>
              </w:rPr>
              <w:t>17.</w:t>
            </w:r>
            <w:r>
              <w:rPr>
                <w:w w:val="95"/>
                <w:sz w:val="20"/>
              </w:rPr>
              <w:t>严重慢性缩窄</w:t>
            </w:r>
            <w:r>
              <w:rPr>
                <w:w w:val="95"/>
                <w:sz w:val="20"/>
              </w:rPr>
              <w:t>型</w:t>
            </w:r>
            <w:r>
              <w:rPr>
                <w:spacing w:val="-10"/>
                <w:w w:val="95"/>
                <w:sz w:val="20"/>
              </w:rPr>
              <w:t>心</w:t>
            </w:r>
          </w:p>
          <w:p>
            <w:pPr>
              <w:pStyle w:val="TableParagraph"/>
              <w:spacing w:before="56"/>
              <w:rPr>
                <w:sz w:val="20"/>
              </w:rPr>
            </w:pPr>
            <w:r>
              <w:rPr>
                <w:w w:val="95"/>
                <w:sz w:val="20"/>
              </w:rPr>
              <w:t>包</w:t>
            </w:r>
            <w:r>
              <w:rPr>
                <w:spacing w:val="-10"/>
                <w:sz w:val="20"/>
              </w:rPr>
              <w:t>炎</w:t>
            </w:r>
          </w:p>
        </w:tc>
        <w:tc>
          <w:tcPr>
            <w:tcW w:w="2078" w:type="dxa"/>
          </w:tcPr>
          <w:p>
            <w:pPr>
              <w:pStyle w:val="TableParagraph"/>
              <w:spacing w:before="181"/>
              <w:ind w:left="109"/>
              <w:rPr>
                <w:sz w:val="20"/>
              </w:rPr>
            </w:pPr>
            <w:r>
              <w:rPr>
                <w:rFonts w:ascii="Calibri" w:eastAsia="Calibri"/>
                <w:w w:val="95"/>
                <w:sz w:val="20"/>
              </w:rPr>
              <w:t>17.</w:t>
            </w:r>
            <w:r>
              <w:rPr>
                <w:w w:val="95"/>
                <w:sz w:val="20"/>
              </w:rPr>
              <w:t>埃博</w:t>
            </w:r>
            <w:r>
              <w:rPr>
                <w:w w:val="95"/>
                <w:sz w:val="20"/>
              </w:rPr>
              <w:t>拉</w:t>
            </w:r>
            <w:r>
              <w:rPr>
                <w:w w:val="95"/>
                <w:sz w:val="20"/>
              </w:rPr>
              <w:t>病</w:t>
            </w:r>
            <w:r>
              <w:rPr>
                <w:w w:val="95"/>
                <w:sz w:val="20"/>
              </w:rPr>
              <w:t>毒</w:t>
            </w:r>
            <w:r>
              <w:rPr>
                <w:w w:val="95"/>
                <w:sz w:val="20"/>
              </w:rPr>
              <w:t>感</w:t>
            </w:r>
            <w:r>
              <w:rPr>
                <w:spacing w:val="-10"/>
                <w:w w:val="95"/>
                <w:sz w:val="20"/>
              </w:rPr>
              <w:t>染</w:t>
            </w:r>
          </w:p>
        </w:tc>
      </w:tr>
      <w:tr>
        <w:trPr>
          <w:trHeight w:val="623" w:hRule="atLeast"/>
        </w:trPr>
        <w:tc>
          <w:tcPr>
            <w:tcW w:w="2076" w:type="dxa"/>
          </w:tcPr>
          <w:p>
            <w:pPr>
              <w:pStyle w:val="TableParagraph"/>
              <w:ind w:left="0"/>
              <w:rPr>
                <w:rFonts w:ascii="Times New Roman"/>
                <w:sz w:val="18"/>
              </w:rPr>
            </w:pPr>
          </w:p>
        </w:tc>
        <w:tc>
          <w:tcPr>
            <w:tcW w:w="2079" w:type="dxa"/>
          </w:tcPr>
          <w:p>
            <w:pPr>
              <w:pStyle w:val="TableParagraph"/>
              <w:spacing w:before="179"/>
              <w:rPr>
                <w:sz w:val="20"/>
              </w:rPr>
            </w:pPr>
            <w:r>
              <w:rPr>
                <w:rFonts w:ascii="Calibri" w:eastAsia="Calibri"/>
                <w:sz w:val="20"/>
              </w:rPr>
              <w:t>18.</w:t>
            </w:r>
            <w:r>
              <w:rPr>
                <w:sz w:val="20"/>
              </w:rPr>
              <w:t>严</w:t>
            </w:r>
            <w:r>
              <w:rPr>
                <w:sz w:val="20"/>
              </w:rPr>
              <w:t>重</w:t>
            </w:r>
            <w:r>
              <w:rPr>
                <w:spacing w:val="-50"/>
                <w:sz w:val="20"/>
              </w:rPr>
              <w:t> </w:t>
            </w:r>
            <w:r>
              <w:rPr>
                <w:rFonts w:ascii="Calibri" w:eastAsia="Calibri"/>
                <w:sz w:val="20"/>
              </w:rPr>
              <w:t>1</w:t>
            </w:r>
            <w:r>
              <w:rPr>
                <w:rFonts w:ascii="Calibri" w:eastAsia="Calibri"/>
                <w:spacing w:val="-9"/>
                <w:sz w:val="20"/>
              </w:rPr>
              <w:t> </w:t>
            </w:r>
            <w:r>
              <w:rPr>
                <w:sz w:val="20"/>
              </w:rPr>
              <w:t>型</w:t>
            </w:r>
            <w:r>
              <w:rPr>
                <w:sz w:val="20"/>
              </w:rPr>
              <w:t>糖</w:t>
            </w:r>
            <w:r>
              <w:rPr>
                <w:sz w:val="20"/>
              </w:rPr>
              <w:t>尿</w:t>
            </w:r>
            <w:r>
              <w:rPr>
                <w:spacing w:val="-10"/>
                <w:sz w:val="20"/>
              </w:rPr>
              <w:t>病</w:t>
            </w:r>
          </w:p>
        </w:tc>
        <w:tc>
          <w:tcPr>
            <w:tcW w:w="2076" w:type="dxa"/>
          </w:tcPr>
          <w:p>
            <w:pPr>
              <w:pStyle w:val="TableParagraph"/>
              <w:spacing w:before="179"/>
              <w:rPr>
                <w:sz w:val="20"/>
              </w:rPr>
            </w:pPr>
            <w:r>
              <w:rPr>
                <w:rFonts w:ascii="Calibri" w:eastAsia="Calibri"/>
                <w:w w:val="95"/>
                <w:sz w:val="20"/>
              </w:rPr>
              <w:t>18.</w:t>
            </w:r>
            <w:r>
              <w:rPr>
                <w:w w:val="95"/>
                <w:sz w:val="20"/>
              </w:rPr>
              <w:t>重症</w:t>
            </w:r>
            <w:r>
              <w:rPr>
                <w:w w:val="95"/>
                <w:sz w:val="20"/>
              </w:rPr>
              <w:t>手</w:t>
            </w:r>
            <w:r>
              <w:rPr>
                <w:w w:val="95"/>
                <w:sz w:val="20"/>
              </w:rPr>
              <w:t>足</w:t>
            </w:r>
            <w:r>
              <w:rPr>
                <w:spacing w:val="-5"/>
                <w:w w:val="95"/>
                <w:sz w:val="20"/>
              </w:rPr>
              <w:t>口病</w:t>
            </w:r>
          </w:p>
        </w:tc>
        <w:tc>
          <w:tcPr>
            <w:tcW w:w="2076" w:type="dxa"/>
          </w:tcPr>
          <w:p>
            <w:pPr>
              <w:pStyle w:val="TableParagraph"/>
              <w:spacing w:before="23"/>
              <w:rPr>
                <w:rFonts w:ascii="Calibri" w:eastAsia="Calibri"/>
                <w:sz w:val="20"/>
              </w:rPr>
            </w:pPr>
            <w:r>
              <w:rPr>
                <w:rFonts w:ascii="Calibri" w:eastAsia="Calibri"/>
                <w:sz w:val="20"/>
              </w:rPr>
              <w:t>18.</w:t>
            </w:r>
            <w:r>
              <w:rPr>
                <w:sz w:val="20"/>
              </w:rPr>
              <w:t>严重</w:t>
            </w:r>
            <w:r>
              <w:rPr>
                <w:sz w:val="20"/>
              </w:rPr>
              <w:t>心</w:t>
            </w:r>
            <w:r>
              <w:rPr>
                <w:sz w:val="20"/>
              </w:rPr>
              <w:t>脏</w:t>
            </w:r>
            <w:r>
              <w:rPr>
                <w:spacing w:val="-6"/>
                <w:sz w:val="20"/>
              </w:rPr>
              <w:t>衰竭 </w:t>
            </w:r>
            <w:r>
              <w:rPr>
                <w:rFonts w:ascii="Calibri" w:eastAsia="Calibri"/>
                <w:spacing w:val="-5"/>
                <w:sz w:val="20"/>
              </w:rPr>
              <w:t>CRT</w:t>
            </w:r>
          </w:p>
          <w:p>
            <w:pPr>
              <w:pStyle w:val="TableParagraph"/>
              <w:spacing w:before="55"/>
              <w:rPr>
                <w:sz w:val="20"/>
              </w:rPr>
            </w:pPr>
            <w:r>
              <w:rPr>
                <w:w w:val="95"/>
                <w:sz w:val="20"/>
              </w:rPr>
              <w:t>心</w:t>
            </w:r>
            <w:r>
              <w:rPr>
                <w:w w:val="95"/>
                <w:sz w:val="20"/>
              </w:rPr>
              <w:t>脏</w:t>
            </w:r>
            <w:r>
              <w:rPr>
                <w:w w:val="95"/>
                <w:sz w:val="20"/>
              </w:rPr>
              <w:t>再</w:t>
            </w:r>
            <w:r>
              <w:rPr>
                <w:w w:val="95"/>
                <w:sz w:val="20"/>
              </w:rPr>
              <w:t>同</w:t>
            </w:r>
            <w:r>
              <w:rPr>
                <w:w w:val="95"/>
                <w:sz w:val="20"/>
              </w:rPr>
              <w:t>步</w:t>
            </w:r>
            <w:r>
              <w:rPr>
                <w:w w:val="95"/>
                <w:sz w:val="20"/>
              </w:rPr>
              <w:t>治</w:t>
            </w:r>
            <w:r>
              <w:rPr>
                <w:spacing w:val="-10"/>
                <w:w w:val="95"/>
                <w:sz w:val="20"/>
              </w:rPr>
              <w:t>疗</w:t>
            </w:r>
          </w:p>
        </w:tc>
        <w:tc>
          <w:tcPr>
            <w:tcW w:w="2078" w:type="dxa"/>
          </w:tcPr>
          <w:p>
            <w:pPr>
              <w:pStyle w:val="TableParagraph"/>
              <w:spacing w:before="23"/>
              <w:ind w:left="109"/>
              <w:rPr>
                <w:sz w:val="20"/>
              </w:rPr>
            </w:pPr>
            <w:r>
              <w:rPr>
                <w:rFonts w:ascii="Calibri" w:eastAsia="Calibri"/>
                <w:w w:val="95"/>
                <w:sz w:val="20"/>
              </w:rPr>
              <w:t>18.</w:t>
            </w:r>
            <w:r>
              <w:rPr>
                <w:w w:val="95"/>
                <w:sz w:val="20"/>
              </w:rPr>
              <w:t>严重肠道疾病</w:t>
            </w:r>
            <w:r>
              <w:rPr>
                <w:w w:val="95"/>
                <w:sz w:val="20"/>
              </w:rPr>
              <w:t>并</w:t>
            </w:r>
            <w:r>
              <w:rPr>
                <w:spacing w:val="-10"/>
                <w:w w:val="95"/>
                <w:sz w:val="20"/>
              </w:rPr>
              <w:t>发</w:t>
            </w:r>
          </w:p>
          <w:p>
            <w:pPr>
              <w:pStyle w:val="TableParagraph"/>
              <w:spacing w:before="55"/>
              <w:ind w:left="109"/>
              <w:rPr>
                <w:sz w:val="20"/>
              </w:rPr>
            </w:pPr>
            <w:r>
              <w:rPr>
                <w:w w:val="99"/>
                <w:sz w:val="20"/>
              </w:rPr>
              <w:t>症</w:t>
            </w:r>
          </w:p>
        </w:tc>
      </w:tr>
      <w:tr>
        <w:trPr>
          <w:trHeight w:val="448" w:hRule="atLeast"/>
        </w:trPr>
        <w:tc>
          <w:tcPr>
            <w:tcW w:w="2076" w:type="dxa"/>
          </w:tcPr>
          <w:p>
            <w:pPr>
              <w:pStyle w:val="TableParagraph"/>
              <w:ind w:left="0"/>
              <w:rPr>
                <w:rFonts w:ascii="Times New Roman"/>
                <w:sz w:val="18"/>
              </w:rPr>
            </w:pPr>
          </w:p>
        </w:tc>
        <w:tc>
          <w:tcPr>
            <w:tcW w:w="2079" w:type="dxa"/>
          </w:tcPr>
          <w:p>
            <w:pPr>
              <w:pStyle w:val="TableParagraph"/>
              <w:spacing w:before="92"/>
              <w:rPr>
                <w:sz w:val="20"/>
              </w:rPr>
            </w:pPr>
            <w:r>
              <w:rPr>
                <w:rFonts w:ascii="Calibri" w:eastAsia="Calibri"/>
                <w:w w:val="95"/>
                <w:sz w:val="20"/>
              </w:rPr>
              <w:t>19.</w:t>
            </w:r>
            <w:r>
              <w:rPr>
                <w:w w:val="95"/>
                <w:sz w:val="20"/>
              </w:rPr>
              <w:t>肺孢</w:t>
            </w:r>
            <w:r>
              <w:rPr>
                <w:w w:val="95"/>
                <w:sz w:val="20"/>
              </w:rPr>
              <w:t>子</w:t>
            </w:r>
            <w:r>
              <w:rPr>
                <w:w w:val="95"/>
                <w:sz w:val="20"/>
              </w:rPr>
              <w:t>菌</w:t>
            </w:r>
            <w:r>
              <w:rPr>
                <w:spacing w:val="-5"/>
                <w:w w:val="95"/>
                <w:sz w:val="20"/>
              </w:rPr>
              <w:t>肺炎</w:t>
            </w:r>
          </w:p>
        </w:tc>
        <w:tc>
          <w:tcPr>
            <w:tcW w:w="2076" w:type="dxa"/>
          </w:tcPr>
          <w:p>
            <w:pPr>
              <w:pStyle w:val="TableParagraph"/>
              <w:spacing w:before="92"/>
              <w:rPr>
                <w:sz w:val="20"/>
              </w:rPr>
            </w:pPr>
            <w:r>
              <w:rPr>
                <w:rFonts w:ascii="Calibri" w:eastAsia="Calibri"/>
                <w:w w:val="95"/>
                <w:sz w:val="20"/>
              </w:rPr>
              <w:t>19.</w:t>
            </w:r>
            <w:r>
              <w:rPr>
                <w:w w:val="95"/>
                <w:sz w:val="20"/>
              </w:rPr>
              <w:t>严重</w:t>
            </w:r>
            <w:r>
              <w:rPr>
                <w:w w:val="95"/>
                <w:sz w:val="20"/>
              </w:rPr>
              <w:t>骨</w:t>
            </w:r>
            <w:r>
              <w:rPr>
                <w:w w:val="95"/>
                <w:sz w:val="20"/>
              </w:rPr>
              <w:t>生</w:t>
            </w:r>
            <w:r>
              <w:rPr>
                <w:w w:val="95"/>
                <w:sz w:val="20"/>
              </w:rPr>
              <w:t>长</w:t>
            </w:r>
            <w:r>
              <w:rPr>
                <w:w w:val="95"/>
                <w:sz w:val="20"/>
              </w:rPr>
              <w:t>不</w:t>
            </w:r>
            <w:r>
              <w:rPr>
                <w:w w:val="95"/>
                <w:sz w:val="20"/>
              </w:rPr>
              <w:t>全</w:t>
            </w:r>
            <w:r>
              <w:rPr>
                <w:spacing w:val="-10"/>
                <w:w w:val="95"/>
                <w:sz w:val="20"/>
              </w:rPr>
              <w:t>症</w:t>
            </w:r>
          </w:p>
        </w:tc>
        <w:tc>
          <w:tcPr>
            <w:tcW w:w="2076" w:type="dxa"/>
          </w:tcPr>
          <w:p>
            <w:pPr>
              <w:pStyle w:val="TableParagraph"/>
              <w:spacing w:before="92"/>
              <w:rPr>
                <w:sz w:val="20"/>
              </w:rPr>
            </w:pPr>
            <w:r>
              <w:rPr>
                <w:rFonts w:ascii="Calibri" w:eastAsia="Calibri"/>
                <w:w w:val="95"/>
                <w:sz w:val="20"/>
              </w:rPr>
              <w:t>19.</w:t>
            </w:r>
            <w:r>
              <w:rPr>
                <w:w w:val="95"/>
                <w:sz w:val="20"/>
              </w:rPr>
              <w:t>艾森</w:t>
            </w:r>
            <w:r>
              <w:rPr>
                <w:w w:val="95"/>
                <w:sz w:val="20"/>
              </w:rPr>
              <w:t>门</w:t>
            </w:r>
            <w:r>
              <w:rPr>
                <w:w w:val="95"/>
                <w:sz w:val="20"/>
              </w:rPr>
              <w:t>格</w:t>
            </w:r>
            <w:r>
              <w:rPr>
                <w:w w:val="95"/>
                <w:sz w:val="20"/>
              </w:rPr>
              <w:t>综</w:t>
            </w:r>
            <w:r>
              <w:rPr>
                <w:w w:val="95"/>
                <w:sz w:val="20"/>
              </w:rPr>
              <w:t>合</w:t>
            </w:r>
            <w:r>
              <w:rPr>
                <w:spacing w:val="-10"/>
                <w:w w:val="95"/>
                <w:sz w:val="20"/>
              </w:rPr>
              <w:t>征</w:t>
            </w:r>
          </w:p>
        </w:tc>
        <w:tc>
          <w:tcPr>
            <w:tcW w:w="2078" w:type="dxa"/>
          </w:tcPr>
          <w:p>
            <w:pPr>
              <w:pStyle w:val="TableParagraph"/>
              <w:spacing w:before="92"/>
              <w:ind w:left="109"/>
              <w:rPr>
                <w:sz w:val="20"/>
              </w:rPr>
            </w:pPr>
            <w:r>
              <w:rPr>
                <w:rFonts w:ascii="Calibri" w:eastAsia="Calibri"/>
                <w:w w:val="95"/>
                <w:sz w:val="20"/>
              </w:rPr>
              <w:t>19.</w:t>
            </w:r>
            <w:r>
              <w:rPr>
                <w:w w:val="95"/>
                <w:sz w:val="20"/>
              </w:rPr>
              <w:t>一肢</w:t>
            </w:r>
            <w:r>
              <w:rPr>
                <w:w w:val="95"/>
                <w:sz w:val="20"/>
              </w:rPr>
              <w:t>及</w:t>
            </w:r>
            <w:r>
              <w:rPr>
                <w:w w:val="95"/>
                <w:sz w:val="20"/>
              </w:rPr>
              <w:t>单</w:t>
            </w:r>
            <w:r>
              <w:rPr>
                <w:w w:val="95"/>
                <w:sz w:val="20"/>
              </w:rPr>
              <w:t>眼</w:t>
            </w:r>
            <w:r>
              <w:rPr>
                <w:w w:val="95"/>
                <w:sz w:val="20"/>
              </w:rPr>
              <w:t>缺</w:t>
            </w:r>
            <w:r>
              <w:rPr>
                <w:spacing w:val="-10"/>
                <w:w w:val="95"/>
                <w:sz w:val="20"/>
              </w:rPr>
              <w:t>失</w:t>
            </w:r>
          </w:p>
        </w:tc>
      </w:tr>
      <w:tr>
        <w:trPr>
          <w:trHeight w:val="1250" w:hRule="atLeast"/>
        </w:trPr>
        <w:tc>
          <w:tcPr>
            <w:tcW w:w="2076" w:type="dxa"/>
          </w:tcPr>
          <w:p>
            <w:pPr>
              <w:pStyle w:val="TableParagraph"/>
              <w:ind w:left="0"/>
              <w:rPr>
                <w:rFonts w:ascii="Times New Roman"/>
                <w:sz w:val="18"/>
              </w:rPr>
            </w:pPr>
          </w:p>
        </w:tc>
        <w:tc>
          <w:tcPr>
            <w:tcW w:w="2079" w:type="dxa"/>
          </w:tcPr>
          <w:p>
            <w:pPr>
              <w:pStyle w:val="TableParagraph"/>
              <w:ind w:left="0"/>
              <w:rPr>
                <w:b/>
                <w:sz w:val="22"/>
              </w:rPr>
            </w:pPr>
          </w:p>
          <w:p>
            <w:pPr>
              <w:pStyle w:val="TableParagraph"/>
              <w:spacing w:before="7"/>
              <w:ind w:left="0"/>
              <w:rPr>
                <w:b/>
                <w:sz w:val="16"/>
              </w:rPr>
            </w:pPr>
          </w:p>
          <w:p>
            <w:pPr>
              <w:pStyle w:val="TableParagraph"/>
              <w:rPr>
                <w:sz w:val="20"/>
              </w:rPr>
            </w:pPr>
            <w:r>
              <w:rPr>
                <w:rFonts w:ascii="Calibri" w:eastAsia="Calibri"/>
                <w:w w:val="95"/>
                <w:sz w:val="20"/>
              </w:rPr>
              <w:t>20.</w:t>
            </w:r>
            <w:r>
              <w:rPr>
                <w:w w:val="95"/>
                <w:sz w:val="20"/>
              </w:rPr>
              <w:t>特发</w:t>
            </w:r>
            <w:r>
              <w:rPr>
                <w:w w:val="95"/>
                <w:sz w:val="20"/>
              </w:rPr>
              <w:t>性</w:t>
            </w:r>
            <w:r>
              <w:rPr>
                <w:w w:val="95"/>
                <w:sz w:val="20"/>
              </w:rPr>
              <w:t>肺</w:t>
            </w:r>
            <w:r>
              <w:rPr>
                <w:w w:val="95"/>
                <w:sz w:val="20"/>
              </w:rPr>
              <w:t>纤</w:t>
            </w:r>
            <w:r>
              <w:rPr>
                <w:w w:val="95"/>
                <w:sz w:val="20"/>
              </w:rPr>
              <w:t>维</w:t>
            </w:r>
            <w:r>
              <w:rPr>
                <w:spacing w:val="-10"/>
                <w:w w:val="95"/>
                <w:sz w:val="20"/>
              </w:rPr>
              <w:t>化</w:t>
            </w:r>
          </w:p>
        </w:tc>
        <w:tc>
          <w:tcPr>
            <w:tcW w:w="2076" w:type="dxa"/>
          </w:tcPr>
          <w:p>
            <w:pPr>
              <w:pStyle w:val="TableParagraph"/>
              <w:tabs>
                <w:tab w:pos="1766" w:val="left" w:leader="none"/>
              </w:tabs>
              <w:spacing w:line="292" w:lineRule="auto" w:before="25"/>
              <w:ind w:right="97"/>
              <w:rPr>
                <w:sz w:val="20"/>
              </w:rPr>
            </w:pPr>
            <w:r>
              <w:rPr>
                <w:rFonts w:ascii="Calibri" w:eastAsia="Calibri"/>
                <w:spacing w:val="-2"/>
                <w:sz w:val="20"/>
              </w:rPr>
              <w:t>20.</w:t>
            </w:r>
            <w:r>
              <w:rPr>
                <w:spacing w:val="-2"/>
                <w:sz w:val="20"/>
              </w:rPr>
              <w:t>严重进行性核上</w:t>
            </w:r>
            <w:r>
              <w:rPr>
                <w:spacing w:val="-2"/>
                <w:sz w:val="20"/>
              </w:rPr>
              <w:t>性</w:t>
            </w:r>
            <w:r>
              <w:rPr>
                <w:spacing w:val="-10"/>
                <w:sz w:val="20"/>
              </w:rPr>
              <w:t>麻</w:t>
            </w:r>
            <w:r>
              <w:rPr>
                <w:sz w:val="20"/>
              </w:rPr>
              <w:tab/>
            </w:r>
            <w:r>
              <w:rPr>
                <w:spacing w:val="-10"/>
                <w:sz w:val="20"/>
              </w:rPr>
              <w:t>痹</w:t>
            </w:r>
          </w:p>
          <w:p>
            <w:pPr>
              <w:pStyle w:val="TableParagraph"/>
              <w:spacing w:before="7"/>
              <w:rPr>
                <w:rFonts w:ascii="Calibri"/>
                <w:sz w:val="20"/>
              </w:rPr>
            </w:pPr>
            <w:r>
              <w:rPr>
                <w:rFonts w:ascii="Calibri"/>
                <w:w w:val="95"/>
                <w:sz w:val="20"/>
              </w:rPr>
              <w:t>(Steele-Rchardson-</w:t>
            </w:r>
            <w:r>
              <w:rPr>
                <w:rFonts w:ascii="Calibri"/>
                <w:spacing w:val="-5"/>
                <w:w w:val="95"/>
                <w:sz w:val="20"/>
              </w:rPr>
              <w:t>Ols</w:t>
            </w:r>
          </w:p>
          <w:p>
            <w:pPr>
              <w:pStyle w:val="TableParagraph"/>
              <w:spacing w:before="60"/>
              <w:rPr>
                <w:rFonts w:ascii="Calibri" w:eastAsia="Calibri"/>
                <w:sz w:val="20"/>
              </w:rPr>
            </w:pPr>
            <w:r>
              <w:rPr>
                <w:rFonts w:ascii="Calibri" w:eastAsia="Calibri"/>
                <w:spacing w:val="-2"/>
                <w:sz w:val="20"/>
              </w:rPr>
              <w:t>zewski</w:t>
            </w:r>
            <w:r>
              <w:rPr>
                <w:rFonts w:ascii="Calibri" w:eastAsia="Calibri"/>
                <w:spacing w:val="4"/>
                <w:sz w:val="20"/>
              </w:rPr>
              <w:t> </w:t>
            </w:r>
            <w:r>
              <w:rPr>
                <w:spacing w:val="-2"/>
                <w:sz w:val="20"/>
              </w:rPr>
              <w:t>综</w:t>
            </w:r>
            <w:r>
              <w:rPr>
                <w:spacing w:val="-2"/>
                <w:sz w:val="20"/>
              </w:rPr>
              <w:t>合</w:t>
            </w:r>
            <w:r>
              <w:rPr>
                <w:spacing w:val="-2"/>
                <w:sz w:val="20"/>
              </w:rPr>
              <w:t>征</w:t>
            </w:r>
            <w:r>
              <w:rPr>
                <w:rFonts w:ascii="Calibri" w:eastAsia="Calibri"/>
                <w:spacing w:val="-10"/>
                <w:sz w:val="20"/>
              </w:rPr>
              <w:t>)</w:t>
            </w:r>
          </w:p>
        </w:tc>
        <w:tc>
          <w:tcPr>
            <w:tcW w:w="2076" w:type="dxa"/>
          </w:tcPr>
          <w:p>
            <w:pPr>
              <w:pStyle w:val="TableParagraph"/>
              <w:ind w:left="0"/>
              <w:rPr>
                <w:b/>
                <w:sz w:val="22"/>
              </w:rPr>
            </w:pPr>
          </w:p>
          <w:p>
            <w:pPr>
              <w:pStyle w:val="TableParagraph"/>
              <w:spacing w:before="7"/>
              <w:ind w:left="0"/>
              <w:rPr>
                <w:b/>
                <w:sz w:val="16"/>
              </w:rPr>
            </w:pPr>
          </w:p>
          <w:p>
            <w:pPr>
              <w:pStyle w:val="TableParagraph"/>
              <w:rPr>
                <w:sz w:val="20"/>
              </w:rPr>
            </w:pPr>
            <w:r>
              <w:rPr>
                <w:rFonts w:ascii="Calibri" w:eastAsia="Calibri"/>
                <w:w w:val="95"/>
                <w:sz w:val="20"/>
              </w:rPr>
              <w:t>20.</w:t>
            </w:r>
            <w:r>
              <w:rPr>
                <w:w w:val="95"/>
                <w:sz w:val="20"/>
              </w:rPr>
              <w:t>主动</w:t>
            </w:r>
            <w:r>
              <w:rPr>
                <w:w w:val="95"/>
                <w:sz w:val="20"/>
              </w:rPr>
              <w:t>脉</w:t>
            </w:r>
            <w:r>
              <w:rPr>
                <w:w w:val="95"/>
                <w:sz w:val="20"/>
              </w:rPr>
              <w:t>夹</w:t>
            </w:r>
            <w:r>
              <w:rPr>
                <w:w w:val="95"/>
                <w:sz w:val="20"/>
              </w:rPr>
              <w:t>层</w:t>
            </w:r>
            <w:r>
              <w:rPr>
                <w:w w:val="95"/>
                <w:sz w:val="20"/>
              </w:rPr>
              <w:t>血</w:t>
            </w:r>
            <w:r>
              <w:rPr>
                <w:spacing w:val="-10"/>
                <w:w w:val="95"/>
                <w:sz w:val="20"/>
              </w:rPr>
              <w:t>肿</w:t>
            </w:r>
          </w:p>
        </w:tc>
        <w:tc>
          <w:tcPr>
            <w:tcW w:w="2078" w:type="dxa"/>
          </w:tcPr>
          <w:p>
            <w:pPr>
              <w:pStyle w:val="TableParagraph"/>
              <w:spacing w:before="4"/>
              <w:ind w:left="0"/>
              <w:rPr>
                <w:b/>
                <w:sz w:val="26"/>
              </w:rPr>
            </w:pPr>
          </w:p>
          <w:p>
            <w:pPr>
              <w:pStyle w:val="TableParagraph"/>
              <w:spacing w:line="292" w:lineRule="auto" w:before="1"/>
              <w:ind w:left="109" w:right="100"/>
              <w:rPr>
                <w:sz w:val="20"/>
              </w:rPr>
            </w:pPr>
            <w:r>
              <w:rPr>
                <w:rFonts w:ascii="Calibri" w:eastAsia="Calibri"/>
                <w:spacing w:val="-2"/>
                <w:sz w:val="20"/>
              </w:rPr>
              <w:t>20.</w:t>
            </w:r>
            <w:r>
              <w:rPr>
                <w:spacing w:val="-2"/>
                <w:sz w:val="20"/>
              </w:rPr>
              <w:t>因器官移植导致</w:t>
            </w:r>
            <w:r>
              <w:rPr>
                <w:spacing w:val="-2"/>
                <w:sz w:val="20"/>
              </w:rPr>
              <w:t>的</w:t>
            </w:r>
            <w:r>
              <w:rPr>
                <w:spacing w:val="-2"/>
                <w:sz w:val="20"/>
              </w:rPr>
              <w:t>艾</w:t>
            </w:r>
            <w:r>
              <w:rPr>
                <w:spacing w:val="-2"/>
                <w:sz w:val="20"/>
              </w:rPr>
              <w:t>滋</w:t>
            </w:r>
            <w:r>
              <w:rPr>
                <w:spacing w:val="-2"/>
                <w:sz w:val="20"/>
              </w:rPr>
              <w:t>病</w:t>
            </w:r>
            <w:r>
              <w:rPr>
                <w:spacing w:val="-2"/>
                <w:sz w:val="20"/>
              </w:rPr>
              <w:t>病</w:t>
            </w:r>
            <w:r>
              <w:rPr>
                <w:spacing w:val="-2"/>
                <w:sz w:val="20"/>
              </w:rPr>
              <w:t>毒</w:t>
            </w:r>
            <w:r>
              <w:rPr>
                <w:spacing w:val="-2"/>
                <w:sz w:val="20"/>
              </w:rPr>
              <w:t>感</w:t>
            </w:r>
            <w:r>
              <w:rPr>
                <w:spacing w:val="-2"/>
                <w:sz w:val="20"/>
              </w:rPr>
              <w:t>染</w:t>
            </w:r>
          </w:p>
        </w:tc>
      </w:tr>
      <w:tr>
        <w:trPr>
          <w:trHeight w:val="453"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21.</w:t>
            </w:r>
            <w:r>
              <w:rPr>
                <w:w w:val="95"/>
                <w:sz w:val="20"/>
              </w:rPr>
              <w:t>严重</w:t>
            </w:r>
            <w:r>
              <w:rPr>
                <w:w w:val="95"/>
                <w:sz w:val="20"/>
              </w:rPr>
              <w:t>瑞</w:t>
            </w:r>
            <w:r>
              <w:rPr>
                <w:w w:val="95"/>
                <w:sz w:val="20"/>
              </w:rPr>
              <w:t>氏</w:t>
            </w:r>
            <w:r>
              <w:rPr>
                <w:w w:val="95"/>
                <w:sz w:val="20"/>
              </w:rPr>
              <w:t>综</w:t>
            </w:r>
            <w:r>
              <w:rPr>
                <w:w w:val="95"/>
                <w:sz w:val="20"/>
              </w:rPr>
              <w:t>合</w:t>
            </w:r>
            <w:r>
              <w:rPr>
                <w:spacing w:val="-10"/>
                <w:w w:val="95"/>
                <w:sz w:val="20"/>
              </w:rPr>
              <w:t>征</w:t>
            </w:r>
          </w:p>
        </w:tc>
        <w:tc>
          <w:tcPr>
            <w:tcW w:w="2076" w:type="dxa"/>
          </w:tcPr>
          <w:p>
            <w:pPr>
              <w:pStyle w:val="TableParagraph"/>
              <w:spacing w:before="92"/>
              <w:rPr>
                <w:sz w:val="20"/>
              </w:rPr>
            </w:pPr>
            <w:r>
              <w:rPr>
                <w:rFonts w:ascii="Calibri" w:eastAsia="Calibri"/>
                <w:sz w:val="20"/>
              </w:rPr>
              <w:t>21.Brugada</w:t>
            </w:r>
            <w:r>
              <w:rPr>
                <w:rFonts w:ascii="Calibri" w:eastAsia="Calibri"/>
                <w:spacing w:val="-11"/>
                <w:sz w:val="20"/>
              </w:rPr>
              <w:t> </w:t>
            </w:r>
            <w:r>
              <w:rPr>
                <w:sz w:val="20"/>
              </w:rPr>
              <w:t>综</w:t>
            </w:r>
            <w:r>
              <w:rPr>
                <w:sz w:val="20"/>
              </w:rPr>
              <w:t>合</w:t>
            </w:r>
            <w:r>
              <w:rPr>
                <w:spacing w:val="-10"/>
                <w:sz w:val="20"/>
              </w:rPr>
              <w:t>征</w:t>
            </w:r>
          </w:p>
        </w:tc>
        <w:tc>
          <w:tcPr>
            <w:tcW w:w="2078" w:type="dxa"/>
          </w:tcPr>
          <w:p>
            <w:pPr>
              <w:pStyle w:val="TableParagraph"/>
              <w:spacing w:before="92"/>
              <w:ind w:left="109"/>
              <w:rPr>
                <w:sz w:val="20"/>
              </w:rPr>
            </w:pPr>
            <w:r>
              <w:rPr>
                <w:rFonts w:ascii="Calibri" w:eastAsia="Calibri"/>
                <w:w w:val="95"/>
                <w:sz w:val="20"/>
              </w:rPr>
              <w:t>21.</w:t>
            </w:r>
            <w:r>
              <w:rPr>
                <w:w w:val="95"/>
                <w:sz w:val="20"/>
              </w:rPr>
              <w:t>弥漫</w:t>
            </w:r>
            <w:r>
              <w:rPr>
                <w:w w:val="95"/>
                <w:sz w:val="20"/>
              </w:rPr>
              <w:t>性</w:t>
            </w:r>
            <w:r>
              <w:rPr>
                <w:w w:val="95"/>
                <w:sz w:val="20"/>
              </w:rPr>
              <w:t>血</w:t>
            </w:r>
            <w:r>
              <w:rPr>
                <w:w w:val="95"/>
                <w:sz w:val="20"/>
              </w:rPr>
              <w:t>管</w:t>
            </w:r>
            <w:r>
              <w:rPr>
                <w:w w:val="95"/>
                <w:sz w:val="20"/>
              </w:rPr>
              <w:t>内</w:t>
            </w:r>
            <w:r>
              <w:rPr>
                <w:w w:val="95"/>
                <w:sz w:val="20"/>
              </w:rPr>
              <w:t>凝</w:t>
            </w:r>
            <w:r>
              <w:rPr>
                <w:spacing w:val="-10"/>
                <w:w w:val="95"/>
                <w:sz w:val="20"/>
              </w:rPr>
              <w:t>血</w:t>
            </w:r>
          </w:p>
        </w:tc>
      </w:tr>
      <w:tr>
        <w:trPr>
          <w:trHeight w:val="935"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line="292" w:lineRule="auto" w:before="179"/>
              <w:ind w:right="99"/>
              <w:rPr>
                <w:sz w:val="20"/>
              </w:rPr>
            </w:pPr>
            <w:r>
              <w:rPr>
                <w:rFonts w:ascii="Calibri" w:eastAsia="Calibri"/>
                <w:spacing w:val="-2"/>
                <w:sz w:val="20"/>
              </w:rPr>
              <w:t>22.</w:t>
            </w:r>
            <w:r>
              <w:rPr>
                <w:spacing w:val="-2"/>
                <w:sz w:val="20"/>
              </w:rPr>
              <w:t>严重肾上腺脑白</w:t>
            </w:r>
            <w:r>
              <w:rPr>
                <w:spacing w:val="-2"/>
                <w:sz w:val="20"/>
              </w:rPr>
              <w:t>质</w:t>
            </w:r>
            <w:r>
              <w:rPr>
                <w:spacing w:val="-4"/>
                <w:sz w:val="20"/>
              </w:rPr>
              <w:t>营</w:t>
            </w:r>
            <w:r>
              <w:rPr>
                <w:spacing w:val="-4"/>
                <w:sz w:val="20"/>
              </w:rPr>
              <w:t>养</w:t>
            </w:r>
            <w:r>
              <w:rPr>
                <w:spacing w:val="-4"/>
                <w:sz w:val="20"/>
              </w:rPr>
              <w:t>不</w:t>
            </w:r>
            <w:r>
              <w:rPr>
                <w:spacing w:val="-4"/>
                <w:sz w:val="20"/>
              </w:rPr>
              <w:t>良</w:t>
            </w:r>
          </w:p>
        </w:tc>
        <w:tc>
          <w:tcPr>
            <w:tcW w:w="2076" w:type="dxa"/>
          </w:tcPr>
          <w:p>
            <w:pPr>
              <w:pStyle w:val="TableParagraph"/>
              <w:spacing w:before="1"/>
              <w:ind w:left="0"/>
              <w:rPr>
                <w:b/>
                <w:sz w:val="26"/>
              </w:rPr>
            </w:pPr>
          </w:p>
          <w:p>
            <w:pPr>
              <w:pStyle w:val="TableParagraph"/>
              <w:spacing w:before="1"/>
              <w:rPr>
                <w:sz w:val="20"/>
              </w:rPr>
            </w:pPr>
            <w:r>
              <w:rPr>
                <w:rFonts w:ascii="Calibri" w:eastAsia="Calibri"/>
                <w:w w:val="95"/>
                <w:sz w:val="20"/>
              </w:rPr>
              <w:t>22.</w:t>
            </w:r>
            <w:r>
              <w:rPr>
                <w:w w:val="95"/>
                <w:sz w:val="20"/>
              </w:rPr>
              <w:t>心脏</w:t>
            </w:r>
            <w:r>
              <w:rPr>
                <w:w w:val="95"/>
                <w:sz w:val="20"/>
              </w:rPr>
              <w:t>粘</w:t>
            </w:r>
            <w:r>
              <w:rPr>
                <w:w w:val="95"/>
                <w:sz w:val="20"/>
              </w:rPr>
              <w:t>液</w:t>
            </w:r>
            <w:r>
              <w:rPr>
                <w:spacing w:val="-10"/>
                <w:w w:val="95"/>
                <w:sz w:val="20"/>
              </w:rPr>
              <w:t>瘤</w:t>
            </w:r>
          </w:p>
        </w:tc>
        <w:tc>
          <w:tcPr>
            <w:tcW w:w="2078" w:type="dxa"/>
          </w:tcPr>
          <w:p>
            <w:pPr>
              <w:pStyle w:val="TableParagraph"/>
              <w:spacing w:line="292" w:lineRule="auto" w:before="23"/>
              <w:ind w:left="109" w:right="95"/>
              <w:rPr>
                <w:sz w:val="20"/>
              </w:rPr>
            </w:pPr>
            <w:r>
              <w:rPr>
                <w:rFonts w:ascii="Calibri" w:hAnsi="Calibri" w:eastAsia="Calibri"/>
                <w:sz w:val="20"/>
              </w:rPr>
              <w:t>22</w:t>
            </w:r>
            <w:r>
              <w:rPr>
                <w:rFonts w:ascii="Calibri" w:hAnsi="Calibri" w:eastAsia="Calibri"/>
                <w:spacing w:val="-13"/>
                <w:sz w:val="20"/>
              </w:rPr>
              <w:t>. </w:t>
            </w:r>
            <w:r>
              <w:rPr>
                <w:spacing w:val="17"/>
                <w:sz w:val="20"/>
              </w:rPr>
              <w:t>系</w:t>
            </w:r>
            <w:r>
              <w:rPr>
                <w:spacing w:val="17"/>
                <w:sz w:val="20"/>
              </w:rPr>
              <w:t>统</w:t>
            </w:r>
            <w:r>
              <w:rPr>
                <w:spacing w:val="17"/>
                <w:sz w:val="20"/>
              </w:rPr>
              <w:t>性</w:t>
            </w:r>
            <w:r>
              <w:rPr>
                <w:spacing w:val="17"/>
                <w:sz w:val="20"/>
              </w:rPr>
              <w:t>红</w:t>
            </w:r>
            <w:r>
              <w:rPr>
                <w:spacing w:val="17"/>
                <w:sz w:val="20"/>
              </w:rPr>
              <w:t>斑</w:t>
            </w:r>
            <w:r>
              <w:rPr>
                <w:spacing w:val="17"/>
                <w:sz w:val="20"/>
              </w:rPr>
              <w:t>狼</w:t>
            </w:r>
            <w:r>
              <w:rPr>
                <w:spacing w:val="17"/>
                <w:sz w:val="20"/>
              </w:rPr>
              <w:t>疮</w:t>
            </w:r>
            <w:r>
              <w:rPr>
                <w:rFonts w:ascii="Calibri" w:hAnsi="Calibri" w:eastAsia="Calibri"/>
                <w:sz w:val="20"/>
              </w:rPr>
              <w:t>-</w:t>
            </w:r>
            <w:r>
              <w:rPr>
                <w:rFonts w:ascii="Calibri" w:hAnsi="Calibri" w:eastAsia="Calibri"/>
                <w:sz w:val="20"/>
              </w:rPr>
              <w:t> </w:t>
            </w:r>
            <w:r>
              <w:rPr>
                <w:spacing w:val="-2"/>
                <w:w w:val="95"/>
                <w:sz w:val="20"/>
              </w:rPr>
              <w:t>Ⅲ型或以上狼疮性肾</w:t>
            </w:r>
          </w:p>
          <w:p>
            <w:pPr>
              <w:pStyle w:val="TableParagraph"/>
              <w:spacing w:line="255" w:lineRule="exact"/>
              <w:ind w:left="109"/>
              <w:rPr>
                <w:sz w:val="20"/>
              </w:rPr>
            </w:pPr>
            <w:r>
              <w:rPr>
                <w:w w:val="99"/>
                <w:sz w:val="20"/>
              </w:rPr>
              <w:t>炎</w:t>
            </w:r>
          </w:p>
        </w:tc>
      </w:tr>
      <w:tr>
        <w:trPr>
          <w:trHeight w:val="623"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23"/>
              <w:rPr>
                <w:sz w:val="20"/>
              </w:rPr>
            </w:pPr>
            <w:r>
              <w:rPr>
                <w:rFonts w:ascii="Calibri" w:eastAsia="Calibri"/>
                <w:w w:val="95"/>
                <w:sz w:val="20"/>
              </w:rPr>
              <w:t>23.</w:t>
            </w:r>
            <w:r>
              <w:rPr>
                <w:w w:val="95"/>
                <w:sz w:val="20"/>
              </w:rPr>
              <w:t>严重脊髓小脑</w:t>
            </w:r>
            <w:r>
              <w:rPr>
                <w:w w:val="95"/>
                <w:sz w:val="20"/>
              </w:rPr>
              <w:t>变</w:t>
            </w:r>
            <w:r>
              <w:rPr>
                <w:spacing w:val="-10"/>
                <w:w w:val="95"/>
                <w:sz w:val="20"/>
              </w:rPr>
              <w:t>性</w:t>
            </w:r>
          </w:p>
          <w:p>
            <w:pPr>
              <w:pStyle w:val="TableParagraph"/>
              <w:spacing w:before="55"/>
              <w:rPr>
                <w:sz w:val="20"/>
              </w:rPr>
            </w:pPr>
            <w:r>
              <w:rPr>
                <w:w w:val="99"/>
                <w:sz w:val="20"/>
              </w:rPr>
              <w:t>症</w:t>
            </w:r>
          </w:p>
        </w:tc>
        <w:tc>
          <w:tcPr>
            <w:tcW w:w="2076" w:type="dxa"/>
          </w:tcPr>
          <w:p>
            <w:pPr>
              <w:pStyle w:val="TableParagraph"/>
              <w:spacing w:before="179"/>
              <w:rPr>
                <w:sz w:val="20"/>
              </w:rPr>
            </w:pPr>
            <w:r>
              <w:rPr>
                <w:rFonts w:ascii="Calibri" w:eastAsia="Calibri"/>
                <w:w w:val="95"/>
                <w:sz w:val="20"/>
              </w:rPr>
              <w:t>23.</w:t>
            </w:r>
            <w:r>
              <w:rPr>
                <w:w w:val="95"/>
                <w:sz w:val="20"/>
              </w:rPr>
              <w:t>严重</w:t>
            </w:r>
            <w:r>
              <w:rPr>
                <w:w w:val="95"/>
                <w:sz w:val="20"/>
              </w:rPr>
              <w:t>大</w:t>
            </w:r>
            <w:r>
              <w:rPr>
                <w:w w:val="95"/>
                <w:sz w:val="20"/>
              </w:rPr>
              <w:t>动</w:t>
            </w:r>
            <w:r>
              <w:rPr>
                <w:spacing w:val="-5"/>
                <w:w w:val="95"/>
                <w:sz w:val="20"/>
              </w:rPr>
              <w:t>脉炎</w:t>
            </w:r>
          </w:p>
        </w:tc>
        <w:tc>
          <w:tcPr>
            <w:tcW w:w="2078" w:type="dxa"/>
          </w:tcPr>
          <w:p>
            <w:pPr>
              <w:pStyle w:val="TableParagraph"/>
              <w:spacing w:before="179"/>
              <w:ind w:left="109"/>
              <w:rPr>
                <w:sz w:val="20"/>
              </w:rPr>
            </w:pPr>
            <w:r>
              <w:rPr>
                <w:rFonts w:ascii="Calibri" w:eastAsia="Calibri"/>
                <w:w w:val="95"/>
                <w:sz w:val="20"/>
              </w:rPr>
              <w:t>23.</w:t>
            </w:r>
            <w:r>
              <w:rPr>
                <w:w w:val="95"/>
                <w:sz w:val="20"/>
              </w:rPr>
              <w:t>严重</w:t>
            </w:r>
            <w:r>
              <w:rPr>
                <w:w w:val="95"/>
                <w:sz w:val="20"/>
              </w:rPr>
              <w:t>面</w:t>
            </w:r>
            <w:r>
              <w:rPr>
                <w:w w:val="95"/>
                <w:sz w:val="20"/>
              </w:rPr>
              <w:t>部</w:t>
            </w:r>
            <w:r>
              <w:rPr>
                <w:spacing w:val="-5"/>
                <w:w w:val="95"/>
                <w:sz w:val="20"/>
              </w:rPr>
              <w:t>烧伤</w:t>
            </w:r>
          </w:p>
        </w:tc>
      </w:tr>
      <w:tr>
        <w:trPr>
          <w:trHeight w:val="623"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23"/>
              <w:rPr>
                <w:sz w:val="20"/>
              </w:rPr>
            </w:pPr>
            <w:r>
              <w:rPr>
                <w:rFonts w:ascii="Calibri" w:eastAsia="Calibri"/>
                <w:w w:val="95"/>
                <w:sz w:val="20"/>
              </w:rPr>
              <w:t>24.</w:t>
            </w:r>
            <w:r>
              <w:rPr>
                <w:w w:val="95"/>
                <w:sz w:val="20"/>
              </w:rPr>
              <w:t>严重进行性多</w:t>
            </w:r>
            <w:r>
              <w:rPr>
                <w:w w:val="95"/>
                <w:sz w:val="20"/>
              </w:rPr>
              <w:t>灶</w:t>
            </w:r>
            <w:r>
              <w:rPr>
                <w:spacing w:val="-10"/>
                <w:w w:val="95"/>
                <w:sz w:val="20"/>
              </w:rPr>
              <w:t>性</w:t>
            </w:r>
          </w:p>
          <w:p>
            <w:pPr>
              <w:pStyle w:val="TableParagraph"/>
              <w:spacing w:before="55"/>
              <w:rPr>
                <w:sz w:val="20"/>
              </w:rPr>
            </w:pPr>
            <w:r>
              <w:rPr>
                <w:w w:val="95"/>
                <w:sz w:val="20"/>
              </w:rPr>
              <w:t>白</w:t>
            </w:r>
            <w:r>
              <w:rPr>
                <w:w w:val="95"/>
                <w:sz w:val="20"/>
              </w:rPr>
              <w:t>质</w:t>
            </w:r>
            <w:r>
              <w:rPr>
                <w:w w:val="95"/>
                <w:sz w:val="20"/>
              </w:rPr>
              <w:t>脑</w:t>
            </w:r>
            <w:r>
              <w:rPr>
                <w:spacing w:val="-10"/>
                <w:w w:val="95"/>
                <w:sz w:val="20"/>
              </w:rPr>
              <w:t>病</w:t>
            </w:r>
          </w:p>
        </w:tc>
        <w:tc>
          <w:tcPr>
            <w:tcW w:w="2076" w:type="dxa"/>
          </w:tcPr>
          <w:p>
            <w:pPr>
              <w:pStyle w:val="TableParagraph"/>
              <w:spacing w:before="179"/>
              <w:rPr>
                <w:sz w:val="20"/>
              </w:rPr>
            </w:pPr>
            <w:r>
              <w:rPr>
                <w:rFonts w:ascii="Calibri" w:eastAsia="Calibri"/>
                <w:w w:val="95"/>
                <w:sz w:val="20"/>
              </w:rPr>
              <w:t>24.</w:t>
            </w:r>
            <w:r>
              <w:rPr>
                <w:w w:val="95"/>
                <w:sz w:val="20"/>
              </w:rPr>
              <w:t>严重</w:t>
            </w:r>
            <w:r>
              <w:rPr>
                <w:w w:val="95"/>
                <w:sz w:val="20"/>
              </w:rPr>
              <w:t>巨</w:t>
            </w:r>
            <w:r>
              <w:rPr>
                <w:w w:val="95"/>
                <w:sz w:val="20"/>
              </w:rPr>
              <w:t>细</w:t>
            </w:r>
            <w:r>
              <w:rPr>
                <w:w w:val="95"/>
                <w:sz w:val="20"/>
              </w:rPr>
              <w:t>胞</w:t>
            </w:r>
            <w:r>
              <w:rPr>
                <w:w w:val="95"/>
                <w:sz w:val="20"/>
              </w:rPr>
              <w:t>动</w:t>
            </w:r>
            <w:r>
              <w:rPr>
                <w:w w:val="95"/>
                <w:sz w:val="20"/>
              </w:rPr>
              <w:t>脉</w:t>
            </w:r>
            <w:r>
              <w:rPr>
                <w:spacing w:val="-10"/>
                <w:w w:val="95"/>
                <w:sz w:val="20"/>
              </w:rPr>
              <w:t>炎</w:t>
            </w:r>
          </w:p>
        </w:tc>
        <w:tc>
          <w:tcPr>
            <w:tcW w:w="2078" w:type="dxa"/>
          </w:tcPr>
          <w:p>
            <w:pPr>
              <w:pStyle w:val="TableParagraph"/>
              <w:spacing w:before="23"/>
              <w:ind w:left="109"/>
              <w:rPr>
                <w:sz w:val="20"/>
              </w:rPr>
            </w:pPr>
            <w:r>
              <w:rPr>
                <w:rFonts w:ascii="Calibri" w:eastAsia="Calibri"/>
                <w:w w:val="95"/>
                <w:sz w:val="20"/>
              </w:rPr>
              <w:t>24.</w:t>
            </w:r>
            <w:r>
              <w:rPr>
                <w:w w:val="95"/>
                <w:sz w:val="20"/>
              </w:rPr>
              <w:t>败血症导致的</w:t>
            </w:r>
            <w:r>
              <w:rPr>
                <w:w w:val="95"/>
                <w:sz w:val="20"/>
              </w:rPr>
              <w:t>多</w:t>
            </w:r>
            <w:r>
              <w:rPr>
                <w:spacing w:val="-10"/>
                <w:w w:val="95"/>
                <w:sz w:val="20"/>
              </w:rPr>
              <w:t>器</w:t>
            </w:r>
          </w:p>
          <w:p>
            <w:pPr>
              <w:pStyle w:val="TableParagraph"/>
              <w:spacing w:before="55"/>
              <w:ind w:left="109"/>
              <w:rPr>
                <w:sz w:val="20"/>
              </w:rPr>
            </w:pPr>
            <w:r>
              <w:rPr>
                <w:w w:val="95"/>
                <w:sz w:val="20"/>
              </w:rPr>
              <w:t>官</w:t>
            </w:r>
            <w:r>
              <w:rPr>
                <w:w w:val="95"/>
                <w:sz w:val="20"/>
              </w:rPr>
              <w:t>功</w:t>
            </w:r>
            <w:r>
              <w:rPr>
                <w:w w:val="95"/>
                <w:sz w:val="20"/>
              </w:rPr>
              <w:t>能</w:t>
            </w:r>
            <w:r>
              <w:rPr>
                <w:w w:val="95"/>
                <w:sz w:val="20"/>
              </w:rPr>
              <w:t>障</w:t>
            </w:r>
            <w:r>
              <w:rPr>
                <w:w w:val="95"/>
                <w:sz w:val="20"/>
              </w:rPr>
              <w:t>碍</w:t>
            </w:r>
            <w:r>
              <w:rPr>
                <w:w w:val="95"/>
                <w:sz w:val="20"/>
              </w:rPr>
              <w:t>综</w:t>
            </w:r>
            <w:r>
              <w:rPr>
                <w:spacing w:val="-5"/>
                <w:w w:val="95"/>
                <w:sz w:val="20"/>
              </w:rPr>
              <w:t>合症</w:t>
            </w:r>
          </w:p>
        </w:tc>
      </w:tr>
      <w:tr>
        <w:trPr>
          <w:trHeight w:val="681"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line="312" w:lineRule="exact" w:before="2"/>
              <w:ind w:right="99"/>
              <w:rPr>
                <w:sz w:val="20"/>
              </w:rPr>
            </w:pPr>
            <w:r>
              <w:rPr>
                <w:rFonts w:ascii="Calibri" w:eastAsia="Calibri"/>
                <w:spacing w:val="-2"/>
                <w:sz w:val="20"/>
              </w:rPr>
              <w:t>25.</w:t>
            </w:r>
            <w:r>
              <w:rPr>
                <w:spacing w:val="-2"/>
                <w:sz w:val="20"/>
              </w:rPr>
              <w:t>严重多处臂丛神</w:t>
            </w:r>
            <w:r>
              <w:rPr>
                <w:spacing w:val="-2"/>
                <w:sz w:val="20"/>
              </w:rPr>
              <w:t>经</w:t>
            </w:r>
            <w:r>
              <w:rPr>
                <w:spacing w:val="-4"/>
                <w:sz w:val="20"/>
              </w:rPr>
              <w:t>根</w:t>
            </w:r>
            <w:r>
              <w:rPr>
                <w:spacing w:val="-4"/>
                <w:sz w:val="20"/>
              </w:rPr>
              <w:t>性</w:t>
            </w:r>
            <w:r>
              <w:rPr>
                <w:spacing w:val="-4"/>
                <w:sz w:val="20"/>
              </w:rPr>
              <w:t>撕</w:t>
            </w:r>
            <w:r>
              <w:rPr>
                <w:spacing w:val="-4"/>
                <w:sz w:val="20"/>
              </w:rPr>
              <w:t>脱</w:t>
            </w:r>
          </w:p>
        </w:tc>
        <w:tc>
          <w:tcPr>
            <w:tcW w:w="2076" w:type="dxa"/>
          </w:tcPr>
          <w:p>
            <w:pPr>
              <w:pStyle w:val="TableParagraph"/>
              <w:spacing w:before="3"/>
              <w:ind w:left="0"/>
              <w:rPr>
                <w:b/>
                <w:sz w:val="16"/>
              </w:rPr>
            </w:pPr>
          </w:p>
          <w:p>
            <w:pPr>
              <w:pStyle w:val="TableParagraph"/>
              <w:rPr>
                <w:sz w:val="20"/>
              </w:rPr>
            </w:pPr>
            <w:r>
              <w:rPr>
                <w:rFonts w:ascii="Calibri" w:eastAsia="Calibri"/>
                <w:w w:val="95"/>
                <w:sz w:val="20"/>
              </w:rPr>
              <w:t>25.</w:t>
            </w:r>
            <w:r>
              <w:rPr>
                <w:w w:val="95"/>
                <w:sz w:val="20"/>
              </w:rPr>
              <w:t>室壁</w:t>
            </w:r>
            <w:r>
              <w:rPr>
                <w:w w:val="95"/>
                <w:sz w:val="20"/>
              </w:rPr>
              <w:t>瘤</w:t>
            </w:r>
            <w:r>
              <w:rPr>
                <w:w w:val="95"/>
                <w:sz w:val="20"/>
              </w:rPr>
              <w:t>切</w:t>
            </w:r>
            <w:r>
              <w:rPr>
                <w:w w:val="95"/>
                <w:sz w:val="20"/>
              </w:rPr>
              <w:t>除</w:t>
            </w:r>
            <w:r>
              <w:rPr>
                <w:w w:val="95"/>
                <w:sz w:val="20"/>
              </w:rPr>
              <w:t>手</w:t>
            </w:r>
            <w:r>
              <w:rPr>
                <w:spacing w:val="-10"/>
                <w:w w:val="95"/>
                <w:sz w:val="20"/>
              </w:rPr>
              <w:t>术</w:t>
            </w:r>
          </w:p>
        </w:tc>
        <w:tc>
          <w:tcPr>
            <w:tcW w:w="2078" w:type="dxa"/>
          </w:tcPr>
          <w:p>
            <w:pPr>
              <w:pStyle w:val="TableParagraph"/>
              <w:spacing w:before="3"/>
              <w:ind w:left="0"/>
              <w:rPr>
                <w:b/>
                <w:sz w:val="16"/>
              </w:rPr>
            </w:pPr>
          </w:p>
          <w:p>
            <w:pPr>
              <w:pStyle w:val="TableParagraph"/>
              <w:ind w:left="109"/>
              <w:rPr>
                <w:sz w:val="20"/>
              </w:rPr>
            </w:pPr>
            <w:r>
              <w:rPr>
                <w:rFonts w:ascii="Calibri" w:eastAsia="Calibri"/>
                <w:w w:val="95"/>
                <w:sz w:val="20"/>
              </w:rPr>
              <w:t>25.</w:t>
            </w:r>
            <w:r>
              <w:rPr>
                <w:w w:val="95"/>
                <w:sz w:val="20"/>
              </w:rPr>
              <w:t>范可</w:t>
            </w:r>
            <w:r>
              <w:rPr>
                <w:w w:val="95"/>
                <w:sz w:val="20"/>
              </w:rPr>
              <w:t>尼</w:t>
            </w:r>
            <w:r>
              <w:rPr>
                <w:w w:val="95"/>
                <w:sz w:val="20"/>
              </w:rPr>
              <w:t>综</w:t>
            </w:r>
            <w:r>
              <w:rPr>
                <w:spacing w:val="-5"/>
                <w:w w:val="95"/>
                <w:sz w:val="20"/>
              </w:rPr>
              <w:t>合征</w:t>
            </w:r>
          </w:p>
        </w:tc>
      </w:tr>
      <w:tr>
        <w:trPr>
          <w:trHeight w:val="678"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2"/>
              <w:ind w:left="0"/>
              <w:rPr>
                <w:b/>
                <w:sz w:val="16"/>
              </w:rPr>
            </w:pPr>
          </w:p>
          <w:p>
            <w:pPr>
              <w:pStyle w:val="TableParagraph"/>
              <w:rPr>
                <w:sz w:val="20"/>
              </w:rPr>
            </w:pPr>
            <w:r>
              <w:rPr>
                <w:rFonts w:ascii="Calibri" w:eastAsia="Calibri"/>
                <w:w w:val="95"/>
                <w:sz w:val="20"/>
              </w:rPr>
              <w:t>26.</w:t>
            </w:r>
            <w:r>
              <w:rPr>
                <w:w w:val="95"/>
                <w:sz w:val="20"/>
              </w:rPr>
              <w:t>神经</w:t>
            </w:r>
            <w:r>
              <w:rPr>
                <w:w w:val="95"/>
                <w:sz w:val="20"/>
              </w:rPr>
              <w:t>白</w:t>
            </w:r>
            <w:r>
              <w:rPr>
                <w:w w:val="95"/>
                <w:sz w:val="20"/>
              </w:rPr>
              <w:t>塞</w:t>
            </w:r>
            <w:r>
              <w:rPr>
                <w:spacing w:val="-10"/>
                <w:w w:val="95"/>
                <w:sz w:val="20"/>
              </w:rPr>
              <w:t>病</w:t>
            </w:r>
          </w:p>
        </w:tc>
        <w:tc>
          <w:tcPr>
            <w:tcW w:w="2076" w:type="dxa"/>
          </w:tcPr>
          <w:p>
            <w:pPr>
              <w:pStyle w:val="TableParagraph"/>
              <w:spacing w:line="312" w:lineRule="exact" w:before="2"/>
              <w:ind w:right="98"/>
              <w:rPr>
                <w:sz w:val="20"/>
              </w:rPr>
            </w:pPr>
            <w:r>
              <w:rPr>
                <w:rFonts w:ascii="Calibri" w:eastAsia="Calibri"/>
                <w:spacing w:val="-2"/>
                <w:sz w:val="20"/>
              </w:rPr>
              <w:t>26.</w:t>
            </w:r>
            <w:r>
              <w:rPr>
                <w:spacing w:val="-2"/>
                <w:sz w:val="20"/>
              </w:rPr>
              <w:t>重症心肌炎伴充</w:t>
            </w:r>
            <w:r>
              <w:rPr>
                <w:spacing w:val="-2"/>
                <w:sz w:val="20"/>
              </w:rPr>
              <w:t>血</w:t>
            </w:r>
            <w:r>
              <w:rPr>
                <w:spacing w:val="-2"/>
                <w:sz w:val="20"/>
              </w:rPr>
              <w:t>性</w:t>
            </w:r>
            <w:r>
              <w:rPr>
                <w:spacing w:val="-2"/>
                <w:sz w:val="20"/>
              </w:rPr>
              <w:t>心</w:t>
            </w:r>
            <w:r>
              <w:rPr>
                <w:spacing w:val="-2"/>
                <w:sz w:val="20"/>
              </w:rPr>
              <w:t>力</w:t>
            </w:r>
            <w:r>
              <w:rPr>
                <w:spacing w:val="-2"/>
                <w:sz w:val="20"/>
              </w:rPr>
              <w:t>衰竭</w:t>
            </w:r>
          </w:p>
        </w:tc>
        <w:tc>
          <w:tcPr>
            <w:tcW w:w="2078" w:type="dxa"/>
          </w:tcPr>
          <w:p>
            <w:pPr>
              <w:pStyle w:val="TableParagraph"/>
              <w:spacing w:before="2"/>
              <w:ind w:left="0"/>
              <w:rPr>
                <w:b/>
                <w:sz w:val="16"/>
              </w:rPr>
            </w:pPr>
          </w:p>
          <w:p>
            <w:pPr>
              <w:pStyle w:val="TableParagraph"/>
              <w:ind w:left="109"/>
              <w:rPr>
                <w:sz w:val="20"/>
              </w:rPr>
            </w:pPr>
            <w:r>
              <w:rPr>
                <w:rFonts w:ascii="Calibri" w:eastAsia="Calibri"/>
                <w:w w:val="95"/>
                <w:sz w:val="20"/>
              </w:rPr>
              <w:t>26.</w:t>
            </w:r>
            <w:r>
              <w:rPr>
                <w:w w:val="95"/>
                <w:sz w:val="20"/>
              </w:rPr>
              <w:t>严重</w:t>
            </w:r>
            <w:r>
              <w:rPr>
                <w:w w:val="95"/>
                <w:sz w:val="20"/>
              </w:rPr>
              <w:t>出</w:t>
            </w:r>
            <w:r>
              <w:rPr>
                <w:w w:val="95"/>
                <w:sz w:val="20"/>
              </w:rPr>
              <w:t>血</w:t>
            </w:r>
            <w:r>
              <w:rPr>
                <w:w w:val="95"/>
                <w:sz w:val="20"/>
              </w:rPr>
              <w:t>性</w:t>
            </w:r>
            <w:r>
              <w:rPr>
                <w:w w:val="95"/>
                <w:sz w:val="20"/>
              </w:rPr>
              <w:t>登</w:t>
            </w:r>
            <w:r>
              <w:rPr>
                <w:w w:val="95"/>
                <w:sz w:val="20"/>
              </w:rPr>
              <w:t>革</w:t>
            </w:r>
            <w:r>
              <w:rPr>
                <w:spacing w:val="-10"/>
                <w:w w:val="95"/>
                <w:sz w:val="20"/>
              </w:rPr>
              <w:t>热</w:t>
            </w:r>
          </w:p>
        </w:tc>
      </w:tr>
      <w:tr>
        <w:trPr>
          <w:trHeight w:val="937"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4"/>
              <w:ind w:left="0"/>
              <w:rPr>
                <w:b/>
                <w:sz w:val="26"/>
              </w:rPr>
            </w:pPr>
          </w:p>
          <w:p>
            <w:pPr>
              <w:pStyle w:val="TableParagraph"/>
              <w:rPr>
                <w:sz w:val="20"/>
              </w:rPr>
            </w:pPr>
            <w:r>
              <w:rPr>
                <w:rFonts w:ascii="Calibri" w:eastAsia="Calibri"/>
                <w:w w:val="95"/>
                <w:sz w:val="20"/>
              </w:rPr>
              <w:t>27.</w:t>
            </w:r>
            <w:r>
              <w:rPr>
                <w:w w:val="95"/>
                <w:sz w:val="20"/>
              </w:rPr>
              <w:t>严重</w:t>
            </w:r>
            <w:r>
              <w:rPr>
                <w:w w:val="95"/>
                <w:sz w:val="20"/>
              </w:rPr>
              <w:t>亚</w:t>
            </w:r>
            <w:r>
              <w:rPr>
                <w:w w:val="95"/>
                <w:sz w:val="20"/>
              </w:rPr>
              <w:t>历</w:t>
            </w:r>
            <w:r>
              <w:rPr>
                <w:w w:val="95"/>
                <w:sz w:val="20"/>
              </w:rPr>
              <w:t>山</w:t>
            </w:r>
            <w:r>
              <w:rPr>
                <w:w w:val="95"/>
                <w:sz w:val="20"/>
              </w:rPr>
              <w:t>大</w:t>
            </w:r>
            <w:r>
              <w:rPr>
                <w:spacing w:val="-10"/>
                <w:w w:val="95"/>
                <w:sz w:val="20"/>
              </w:rPr>
              <w:t>病</w:t>
            </w:r>
          </w:p>
        </w:tc>
        <w:tc>
          <w:tcPr>
            <w:tcW w:w="2076" w:type="dxa"/>
          </w:tcPr>
          <w:p>
            <w:pPr>
              <w:pStyle w:val="TableParagraph"/>
              <w:ind w:left="0"/>
              <w:rPr>
                <w:rFonts w:ascii="Times New Roman"/>
                <w:sz w:val="18"/>
              </w:rPr>
            </w:pPr>
          </w:p>
        </w:tc>
        <w:tc>
          <w:tcPr>
            <w:tcW w:w="2078" w:type="dxa"/>
          </w:tcPr>
          <w:p>
            <w:pPr>
              <w:pStyle w:val="TableParagraph"/>
              <w:spacing w:line="292" w:lineRule="auto" w:before="25"/>
              <w:ind w:left="109" w:right="57"/>
              <w:rPr>
                <w:sz w:val="20"/>
              </w:rPr>
            </w:pPr>
            <w:r>
              <w:rPr>
                <w:rFonts w:ascii="Calibri" w:eastAsia="Calibri"/>
                <w:spacing w:val="-2"/>
                <w:sz w:val="20"/>
              </w:rPr>
              <w:t>27.</w:t>
            </w:r>
            <w:r>
              <w:rPr>
                <w:spacing w:val="-2"/>
                <w:sz w:val="20"/>
              </w:rPr>
              <w:t>急性</w:t>
            </w:r>
            <w:r>
              <w:rPr>
                <w:spacing w:val="-2"/>
                <w:sz w:val="20"/>
              </w:rPr>
              <w:t>肺</w:t>
            </w:r>
            <w:r>
              <w:rPr>
                <w:spacing w:val="-2"/>
                <w:sz w:val="20"/>
              </w:rPr>
              <w:t>损</w:t>
            </w:r>
            <w:r>
              <w:rPr>
                <w:spacing w:val="-2"/>
                <w:sz w:val="20"/>
              </w:rPr>
              <w:t>伤</w:t>
            </w:r>
            <w:r>
              <w:rPr>
                <w:spacing w:val="-2"/>
                <w:sz w:val="20"/>
              </w:rPr>
              <w:t>（</w:t>
            </w:r>
            <w:r>
              <w:rPr>
                <w:rFonts w:ascii="Calibri" w:eastAsia="Calibri"/>
                <w:spacing w:val="-2"/>
                <w:sz w:val="20"/>
              </w:rPr>
              <w:t>ALI</w:t>
            </w:r>
            <w:r>
              <w:rPr>
                <w:spacing w:val="-2"/>
                <w:sz w:val="20"/>
              </w:rPr>
              <w:t>）</w:t>
            </w:r>
            <w:r>
              <w:rPr>
                <w:spacing w:val="-2"/>
                <w:w w:val="95"/>
                <w:sz w:val="20"/>
              </w:rPr>
              <w:t>或急性呼吸窘迫综合</w:t>
            </w:r>
          </w:p>
          <w:p>
            <w:pPr>
              <w:pStyle w:val="TableParagraph"/>
              <w:spacing w:line="255" w:lineRule="exact"/>
              <w:ind w:left="109"/>
              <w:rPr>
                <w:sz w:val="20"/>
              </w:rPr>
            </w:pPr>
            <w:r>
              <w:rPr>
                <w:w w:val="95"/>
                <w:sz w:val="20"/>
              </w:rPr>
              <w:t>征</w:t>
            </w:r>
            <w:r>
              <w:rPr>
                <w:spacing w:val="-2"/>
                <w:sz w:val="20"/>
              </w:rPr>
              <w:t>（</w:t>
            </w:r>
            <w:r>
              <w:rPr>
                <w:rFonts w:ascii="Calibri" w:eastAsia="Calibri"/>
                <w:spacing w:val="-2"/>
                <w:sz w:val="20"/>
              </w:rPr>
              <w:t>ARDS</w:t>
            </w:r>
            <w:r>
              <w:rPr>
                <w:spacing w:val="-2"/>
                <w:sz w:val="20"/>
              </w:rPr>
              <w:t>）</w:t>
            </w:r>
          </w:p>
        </w:tc>
      </w:tr>
      <w:tr>
        <w:trPr>
          <w:trHeight w:val="448"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28.</w:t>
            </w:r>
            <w:r>
              <w:rPr>
                <w:w w:val="95"/>
                <w:sz w:val="20"/>
              </w:rPr>
              <w:t>脑型</w:t>
            </w:r>
            <w:r>
              <w:rPr>
                <w:w w:val="95"/>
                <w:sz w:val="20"/>
              </w:rPr>
              <w:t>疟</w:t>
            </w:r>
            <w:r>
              <w:rPr>
                <w:spacing w:val="-10"/>
                <w:w w:val="95"/>
                <w:sz w:val="20"/>
              </w:rPr>
              <w:t>疾</w:t>
            </w:r>
          </w:p>
        </w:tc>
        <w:tc>
          <w:tcPr>
            <w:tcW w:w="2076" w:type="dxa"/>
          </w:tcPr>
          <w:p>
            <w:pPr>
              <w:pStyle w:val="TableParagraph"/>
              <w:ind w:left="0"/>
              <w:rPr>
                <w:rFonts w:ascii="Times New Roman"/>
                <w:sz w:val="18"/>
              </w:rPr>
            </w:pPr>
          </w:p>
        </w:tc>
        <w:tc>
          <w:tcPr>
            <w:tcW w:w="2078" w:type="dxa"/>
          </w:tcPr>
          <w:p>
            <w:pPr>
              <w:pStyle w:val="TableParagraph"/>
              <w:spacing w:before="92"/>
              <w:ind w:left="109"/>
              <w:rPr>
                <w:sz w:val="20"/>
              </w:rPr>
            </w:pPr>
            <w:r>
              <w:rPr>
                <w:rFonts w:ascii="Calibri" w:eastAsia="Calibri"/>
                <w:w w:val="95"/>
                <w:sz w:val="20"/>
              </w:rPr>
              <w:t>28.</w:t>
            </w:r>
            <w:r>
              <w:rPr>
                <w:w w:val="95"/>
                <w:sz w:val="20"/>
              </w:rPr>
              <w:t>溶血</w:t>
            </w:r>
            <w:r>
              <w:rPr>
                <w:w w:val="95"/>
                <w:sz w:val="20"/>
              </w:rPr>
              <w:t>性</w:t>
            </w:r>
            <w:r>
              <w:rPr>
                <w:w w:val="95"/>
                <w:sz w:val="20"/>
              </w:rPr>
              <w:t>尿</w:t>
            </w:r>
            <w:r>
              <w:rPr>
                <w:w w:val="95"/>
                <w:sz w:val="20"/>
              </w:rPr>
              <w:t>毒</w:t>
            </w:r>
            <w:r>
              <w:rPr>
                <w:w w:val="95"/>
                <w:sz w:val="20"/>
              </w:rPr>
              <w:t>综</w:t>
            </w:r>
            <w:r>
              <w:rPr>
                <w:w w:val="95"/>
                <w:sz w:val="20"/>
              </w:rPr>
              <w:t>合</w:t>
            </w:r>
            <w:r>
              <w:rPr>
                <w:spacing w:val="-10"/>
                <w:w w:val="95"/>
                <w:sz w:val="20"/>
              </w:rPr>
              <w:t>征</w:t>
            </w:r>
          </w:p>
        </w:tc>
      </w:tr>
      <w:tr>
        <w:trPr>
          <w:trHeight w:val="450"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29.</w:t>
            </w:r>
            <w:r>
              <w:rPr>
                <w:w w:val="95"/>
                <w:sz w:val="20"/>
              </w:rPr>
              <w:t>自身</w:t>
            </w:r>
            <w:r>
              <w:rPr>
                <w:w w:val="95"/>
                <w:sz w:val="20"/>
              </w:rPr>
              <w:t>免</w:t>
            </w:r>
            <w:r>
              <w:rPr>
                <w:w w:val="95"/>
                <w:sz w:val="20"/>
              </w:rPr>
              <w:t>疫</w:t>
            </w:r>
            <w:r>
              <w:rPr>
                <w:w w:val="95"/>
                <w:sz w:val="20"/>
              </w:rPr>
              <w:t>性</w:t>
            </w:r>
            <w:r>
              <w:rPr>
                <w:w w:val="95"/>
                <w:sz w:val="20"/>
              </w:rPr>
              <w:t>脑</w:t>
            </w:r>
            <w:r>
              <w:rPr>
                <w:spacing w:val="-10"/>
                <w:w w:val="95"/>
                <w:sz w:val="20"/>
              </w:rPr>
              <w:t>炎</w:t>
            </w:r>
          </w:p>
        </w:tc>
        <w:tc>
          <w:tcPr>
            <w:tcW w:w="2076" w:type="dxa"/>
          </w:tcPr>
          <w:p>
            <w:pPr>
              <w:pStyle w:val="TableParagraph"/>
              <w:ind w:left="0"/>
              <w:rPr>
                <w:rFonts w:ascii="Times New Roman"/>
                <w:sz w:val="18"/>
              </w:rPr>
            </w:pPr>
          </w:p>
        </w:tc>
        <w:tc>
          <w:tcPr>
            <w:tcW w:w="2078" w:type="dxa"/>
          </w:tcPr>
          <w:p>
            <w:pPr>
              <w:pStyle w:val="TableParagraph"/>
              <w:spacing w:before="92"/>
              <w:ind w:left="109"/>
              <w:rPr>
                <w:sz w:val="20"/>
              </w:rPr>
            </w:pPr>
            <w:r>
              <w:rPr>
                <w:rFonts w:ascii="Calibri" w:eastAsia="Calibri"/>
                <w:w w:val="95"/>
                <w:sz w:val="20"/>
              </w:rPr>
              <w:t>29.</w:t>
            </w:r>
            <w:r>
              <w:rPr>
                <w:w w:val="95"/>
                <w:sz w:val="20"/>
              </w:rPr>
              <w:t>严重</w:t>
            </w:r>
            <w:r>
              <w:rPr>
                <w:w w:val="95"/>
                <w:sz w:val="20"/>
              </w:rPr>
              <w:t>气</w:t>
            </w:r>
            <w:r>
              <w:rPr>
                <w:w w:val="95"/>
                <w:sz w:val="20"/>
              </w:rPr>
              <w:t>性</w:t>
            </w:r>
            <w:r>
              <w:rPr>
                <w:spacing w:val="-5"/>
                <w:w w:val="95"/>
                <w:sz w:val="20"/>
              </w:rPr>
              <w:t>坏疽</w:t>
            </w:r>
          </w:p>
        </w:tc>
      </w:tr>
      <w:tr>
        <w:trPr>
          <w:trHeight w:val="450"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30.</w:t>
            </w:r>
            <w:r>
              <w:rPr>
                <w:spacing w:val="-4"/>
                <w:w w:val="95"/>
                <w:sz w:val="20"/>
              </w:rPr>
              <w:t>库鲁病</w:t>
            </w:r>
          </w:p>
        </w:tc>
        <w:tc>
          <w:tcPr>
            <w:tcW w:w="2076" w:type="dxa"/>
          </w:tcPr>
          <w:p>
            <w:pPr>
              <w:pStyle w:val="TableParagraph"/>
              <w:ind w:left="0"/>
              <w:rPr>
                <w:rFonts w:ascii="Times New Roman"/>
                <w:sz w:val="18"/>
              </w:rPr>
            </w:pPr>
          </w:p>
        </w:tc>
        <w:tc>
          <w:tcPr>
            <w:tcW w:w="2078" w:type="dxa"/>
          </w:tcPr>
          <w:p>
            <w:pPr>
              <w:pStyle w:val="TableParagraph"/>
              <w:spacing w:before="92"/>
              <w:ind w:left="109"/>
              <w:rPr>
                <w:sz w:val="20"/>
              </w:rPr>
            </w:pPr>
            <w:r>
              <w:rPr>
                <w:rFonts w:ascii="Calibri" w:eastAsia="Calibri"/>
                <w:w w:val="95"/>
                <w:sz w:val="20"/>
              </w:rPr>
              <w:t>30.</w:t>
            </w:r>
            <w:r>
              <w:rPr>
                <w:w w:val="95"/>
                <w:sz w:val="20"/>
              </w:rPr>
              <w:t>严重</w:t>
            </w:r>
            <w:r>
              <w:rPr>
                <w:w w:val="95"/>
                <w:sz w:val="20"/>
              </w:rPr>
              <w:t>肺</w:t>
            </w:r>
            <w:r>
              <w:rPr>
                <w:w w:val="95"/>
                <w:sz w:val="20"/>
              </w:rPr>
              <w:t>结</w:t>
            </w:r>
            <w:r>
              <w:rPr>
                <w:spacing w:val="-5"/>
                <w:w w:val="95"/>
                <w:sz w:val="20"/>
              </w:rPr>
              <w:t>节病</w:t>
            </w:r>
          </w:p>
        </w:tc>
      </w:tr>
      <w:tr>
        <w:trPr>
          <w:trHeight w:val="679"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49"/>
              <w:rPr>
                <w:sz w:val="20"/>
              </w:rPr>
            </w:pPr>
            <w:r>
              <w:rPr>
                <w:rFonts w:ascii="Calibri" w:eastAsia="Calibri"/>
                <w:w w:val="95"/>
                <w:sz w:val="20"/>
              </w:rPr>
              <w:t>31.</w:t>
            </w:r>
            <w:r>
              <w:rPr>
                <w:w w:val="95"/>
                <w:sz w:val="20"/>
              </w:rPr>
              <w:t>特定的横贯性</w:t>
            </w:r>
            <w:r>
              <w:rPr>
                <w:w w:val="95"/>
                <w:sz w:val="20"/>
              </w:rPr>
              <w:t>脊</w:t>
            </w:r>
            <w:r>
              <w:rPr>
                <w:spacing w:val="-10"/>
                <w:w w:val="95"/>
                <w:sz w:val="20"/>
              </w:rPr>
              <w:t>髓</w:t>
            </w:r>
          </w:p>
          <w:p>
            <w:pPr>
              <w:pStyle w:val="TableParagraph"/>
              <w:spacing w:before="56"/>
              <w:rPr>
                <w:sz w:val="20"/>
              </w:rPr>
            </w:pPr>
            <w:r>
              <w:rPr>
                <w:w w:val="95"/>
                <w:sz w:val="20"/>
              </w:rPr>
              <w:t>炎</w:t>
            </w:r>
            <w:r>
              <w:rPr>
                <w:w w:val="95"/>
                <w:sz w:val="20"/>
              </w:rPr>
              <w:t>后</w:t>
            </w:r>
            <w:r>
              <w:rPr>
                <w:w w:val="95"/>
                <w:sz w:val="20"/>
              </w:rPr>
              <w:t>遗</w:t>
            </w:r>
            <w:r>
              <w:rPr>
                <w:spacing w:val="-10"/>
                <w:w w:val="95"/>
                <w:sz w:val="20"/>
              </w:rPr>
              <w:t>症</w:t>
            </w:r>
          </w:p>
        </w:tc>
        <w:tc>
          <w:tcPr>
            <w:tcW w:w="2076" w:type="dxa"/>
          </w:tcPr>
          <w:p>
            <w:pPr>
              <w:pStyle w:val="TableParagraph"/>
              <w:ind w:left="0"/>
              <w:rPr>
                <w:rFonts w:ascii="Times New Roman"/>
                <w:sz w:val="18"/>
              </w:rPr>
            </w:pPr>
          </w:p>
        </w:tc>
        <w:tc>
          <w:tcPr>
            <w:tcW w:w="2078" w:type="dxa"/>
          </w:tcPr>
          <w:p>
            <w:pPr>
              <w:pStyle w:val="TableParagraph"/>
              <w:spacing w:before="49"/>
              <w:ind w:left="109"/>
              <w:rPr>
                <w:sz w:val="20"/>
              </w:rPr>
            </w:pPr>
            <w:r>
              <w:rPr>
                <w:rFonts w:ascii="Calibri" w:eastAsia="Calibri"/>
                <w:w w:val="95"/>
                <w:sz w:val="20"/>
              </w:rPr>
              <w:t>31.</w:t>
            </w:r>
            <w:r>
              <w:rPr>
                <w:spacing w:val="14"/>
                <w:w w:val="95"/>
                <w:sz w:val="20"/>
              </w:rPr>
              <w:t>严重</w:t>
            </w:r>
            <w:r>
              <w:rPr>
                <w:rFonts w:ascii="Calibri" w:eastAsia="Calibri"/>
                <w:w w:val="95"/>
                <w:sz w:val="20"/>
              </w:rPr>
              <w:t>III</w:t>
            </w:r>
            <w:r>
              <w:rPr>
                <w:rFonts w:ascii="Calibri" w:eastAsia="Calibri"/>
                <w:spacing w:val="47"/>
                <w:sz w:val="20"/>
              </w:rPr>
              <w:t> </w:t>
            </w:r>
            <w:r>
              <w:rPr>
                <w:w w:val="95"/>
                <w:sz w:val="20"/>
              </w:rPr>
              <w:t>度冻</w:t>
            </w:r>
            <w:r>
              <w:rPr>
                <w:w w:val="95"/>
                <w:sz w:val="20"/>
              </w:rPr>
              <w:t>伤</w:t>
            </w:r>
            <w:r>
              <w:rPr>
                <w:w w:val="95"/>
                <w:sz w:val="20"/>
              </w:rPr>
              <w:t>导</w:t>
            </w:r>
            <w:r>
              <w:rPr>
                <w:spacing w:val="-10"/>
                <w:w w:val="95"/>
                <w:sz w:val="20"/>
              </w:rPr>
              <w:t>致</w:t>
            </w:r>
          </w:p>
          <w:p>
            <w:pPr>
              <w:pStyle w:val="TableParagraph"/>
              <w:spacing w:before="56"/>
              <w:ind w:left="109"/>
              <w:rPr>
                <w:sz w:val="20"/>
              </w:rPr>
            </w:pPr>
            <w:r>
              <w:rPr>
                <w:w w:val="95"/>
                <w:sz w:val="20"/>
              </w:rPr>
              <w:t>截</w:t>
            </w:r>
            <w:r>
              <w:rPr>
                <w:spacing w:val="-10"/>
                <w:sz w:val="20"/>
              </w:rPr>
              <w:t>肢</w:t>
            </w:r>
          </w:p>
        </w:tc>
      </w:tr>
      <w:tr>
        <w:trPr>
          <w:trHeight w:val="450"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32.</w:t>
            </w:r>
            <w:r>
              <w:rPr>
                <w:spacing w:val="-4"/>
                <w:w w:val="95"/>
                <w:sz w:val="20"/>
              </w:rPr>
              <w:t>脊柱裂</w:t>
            </w:r>
          </w:p>
        </w:tc>
        <w:tc>
          <w:tcPr>
            <w:tcW w:w="2076" w:type="dxa"/>
          </w:tcPr>
          <w:p>
            <w:pPr>
              <w:pStyle w:val="TableParagraph"/>
              <w:ind w:left="0"/>
              <w:rPr>
                <w:rFonts w:ascii="Times New Roman"/>
                <w:sz w:val="18"/>
              </w:rPr>
            </w:pPr>
          </w:p>
        </w:tc>
        <w:tc>
          <w:tcPr>
            <w:tcW w:w="2078" w:type="dxa"/>
          </w:tcPr>
          <w:p>
            <w:pPr>
              <w:pStyle w:val="TableParagraph"/>
              <w:spacing w:before="92"/>
              <w:ind w:left="109"/>
              <w:rPr>
                <w:sz w:val="20"/>
              </w:rPr>
            </w:pPr>
            <w:r>
              <w:rPr>
                <w:rFonts w:ascii="Calibri" w:eastAsia="Calibri"/>
                <w:w w:val="95"/>
                <w:sz w:val="20"/>
              </w:rPr>
              <w:t>32.</w:t>
            </w:r>
            <w:r>
              <w:rPr>
                <w:w w:val="95"/>
                <w:sz w:val="20"/>
              </w:rPr>
              <w:t>创伤</w:t>
            </w:r>
            <w:r>
              <w:rPr>
                <w:w w:val="95"/>
                <w:sz w:val="20"/>
              </w:rPr>
              <w:t>弧</w:t>
            </w:r>
            <w:r>
              <w:rPr>
                <w:w w:val="95"/>
                <w:sz w:val="20"/>
              </w:rPr>
              <w:t>菌</w:t>
            </w:r>
            <w:r>
              <w:rPr>
                <w:w w:val="95"/>
                <w:sz w:val="20"/>
              </w:rPr>
              <w:t>感</w:t>
            </w:r>
            <w:r>
              <w:rPr>
                <w:w w:val="95"/>
                <w:sz w:val="20"/>
              </w:rPr>
              <w:t>染</w:t>
            </w:r>
            <w:r>
              <w:rPr>
                <w:w w:val="95"/>
                <w:sz w:val="20"/>
              </w:rPr>
              <w:t>截</w:t>
            </w:r>
            <w:r>
              <w:rPr>
                <w:spacing w:val="-10"/>
                <w:w w:val="95"/>
                <w:sz w:val="20"/>
              </w:rPr>
              <w:t>肢</w:t>
            </w:r>
          </w:p>
        </w:tc>
      </w:tr>
      <w:tr>
        <w:trPr>
          <w:trHeight w:val="623"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23"/>
              <w:rPr>
                <w:sz w:val="20"/>
              </w:rPr>
            </w:pPr>
            <w:r>
              <w:rPr>
                <w:rFonts w:ascii="Calibri" w:eastAsia="Calibri"/>
                <w:w w:val="95"/>
                <w:sz w:val="20"/>
              </w:rPr>
              <w:t>33.</w:t>
            </w:r>
            <w:r>
              <w:rPr>
                <w:w w:val="95"/>
                <w:sz w:val="20"/>
              </w:rPr>
              <w:t>严重脊髓血管</w:t>
            </w:r>
            <w:r>
              <w:rPr>
                <w:w w:val="95"/>
                <w:sz w:val="20"/>
              </w:rPr>
              <w:t>病</w:t>
            </w:r>
            <w:r>
              <w:rPr>
                <w:spacing w:val="-10"/>
                <w:w w:val="95"/>
                <w:sz w:val="20"/>
              </w:rPr>
              <w:t>后</w:t>
            </w:r>
          </w:p>
          <w:p>
            <w:pPr>
              <w:pStyle w:val="TableParagraph"/>
              <w:spacing w:before="55"/>
              <w:rPr>
                <w:sz w:val="20"/>
              </w:rPr>
            </w:pPr>
            <w:r>
              <w:rPr>
                <w:w w:val="95"/>
                <w:sz w:val="20"/>
              </w:rPr>
              <w:t>遗</w:t>
            </w:r>
            <w:r>
              <w:rPr>
                <w:spacing w:val="-10"/>
                <w:sz w:val="20"/>
              </w:rPr>
              <w:t>症</w:t>
            </w:r>
          </w:p>
        </w:tc>
        <w:tc>
          <w:tcPr>
            <w:tcW w:w="2076" w:type="dxa"/>
          </w:tcPr>
          <w:p>
            <w:pPr>
              <w:pStyle w:val="TableParagraph"/>
              <w:ind w:left="0"/>
              <w:rPr>
                <w:rFonts w:ascii="Times New Roman"/>
                <w:sz w:val="18"/>
              </w:rPr>
            </w:pPr>
          </w:p>
        </w:tc>
        <w:tc>
          <w:tcPr>
            <w:tcW w:w="2078" w:type="dxa"/>
          </w:tcPr>
          <w:p>
            <w:pPr>
              <w:pStyle w:val="TableParagraph"/>
              <w:ind w:left="0"/>
              <w:rPr>
                <w:rFonts w:ascii="Times New Roman"/>
                <w:sz w:val="18"/>
              </w:rPr>
            </w:pPr>
          </w:p>
        </w:tc>
      </w:tr>
      <w:tr>
        <w:trPr>
          <w:trHeight w:val="450"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34.</w:t>
            </w:r>
            <w:r>
              <w:rPr>
                <w:w w:val="95"/>
                <w:sz w:val="20"/>
              </w:rPr>
              <w:t>皮质</w:t>
            </w:r>
            <w:r>
              <w:rPr>
                <w:w w:val="95"/>
                <w:sz w:val="20"/>
              </w:rPr>
              <w:t>基</w:t>
            </w:r>
            <w:r>
              <w:rPr>
                <w:w w:val="95"/>
                <w:sz w:val="20"/>
              </w:rPr>
              <w:t>底</w:t>
            </w:r>
            <w:r>
              <w:rPr>
                <w:w w:val="95"/>
                <w:sz w:val="20"/>
              </w:rPr>
              <w:t>节</w:t>
            </w:r>
            <w:r>
              <w:rPr>
                <w:w w:val="95"/>
                <w:sz w:val="20"/>
              </w:rPr>
              <w:t>变</w:t>
            </w:r>
            <w:r>
              <w:rPr>
                <w:spacing w:val="-10"/>
                <w:w w:val="95"/>
                <w:sz w:val="20"/>
              </w:rPr>
              <w:t>性</w:t>
            </w:r>
          </w:p>
        </w:tc>
        <w:tc>
          <w:tcPr>
            <w:tcW w:w="2076" w:type="dxa"/>
          </w:tcPr>
          <w:p>
            <w:pPr>
              <w:pStyle w:val="TableParagraph"/>
              <w:ind w:left="0"/>
              <w:rPr>
                <w:rFonts w:ascii="Times New Roman"/>
                <w:sz w:val="18"/>
              </w:rPr>
            </w:pPr>
          </w:p>
        </w:tc>
        <w:tc>
          <w:tcPr>
            <w:tcW w:w="2078" w:type="dxa"/>
          </w:tcPr>
          <w:p>
            <w:pPr>
              <w:pStyle w:val="TableParagraph"/>
              <w:ind w:left="0"/>
              <w:rPr>
                <w:rFonts w:ascii="Times New Roman"/>
                <w:sz w:val="18"/>
              </w:rPr>
            </w:pPr>
          </w:p>
        </w:tc>
      </w:tr>
      <w:tr>
        <w:trPr>
          <w:trHeight w:val="448" w:hRule="atLeast"/>
        </w:trPr>
        <w:tc>
          <w:tcPr>
            <w:tcW w:w="2076" w:type="dxa"/>
          </w:tcPr>
          <w:p>
            <w:pPr>
              <w:pStyle w:val="TableParagraph"/>
              <w:ind w:left="0"/>
              <w:rPr>
                <w:rFonts w:ascii="Times New Roman"/>
                <w:sz w:val="18"/>
              </w:rPr>
            </w:pPr>
          </w:p>
        </w:tc>
        <w:tc>
          <w:tcPr>
            <w:tcW w:w="2079" w:type="dxa"/>
          </w:tcPr>
          <w:p>
            <w:pPr>
              <w:pStyle w:val="TableParagraph"/>
              <w:ind w:left="0"/>
              <w:rPr>
                <w:rFonts w:ascii="Times New Roman"/>
                <w:sz w:val="18"/>
              </w:rPr>
            </w:pPr>
          </w:p>
        </w:tc>
        <w:tc>
          <w:tcPr>
            <w:tcW w:w="2076" w:type="dxa"/>
          </w:tcPr>
          <w:p>
            <w:pPr>
              <w:pStyle w:val="TableParagraph"/>
              <w:spacing w:before="92"/>
              <w:rPr>
                <w:sz w:val="20"/>
              </w:rPr>
            </w:pPr>
            <w:r>
              <w:rPr>
                <w:rFonts w:ascii="Calibri" w:eastAsia="Calibri"/>
                <w:w w:val="95"/>
                <w:sz w:val="20"/>
              </w:rPr>
              <w:t>35.</w:t>
            </w:r>
            <w:r>
              <w:rPr>
                <w:w w:val="95"/>
                <w:sz w:val="20"/>
              </w:rPr>
              <w:t>严重</w:t>
            </w:r>
            <w:r>
              <w:rPr>
                <w:w w:val="95"/>
                <w:sz w:val="20"/>
              </w:rPr>
              <w:t>强</w:t>
            </w:r>
            <w:r>
              <w:rPr>
                <w:w w:val="95"/>
                <w:sz w:val="20"/>
              </w:rPr>
              <w:t>直</w:t>
            </w:r>
            <w:r>
              <w:rPr>
                <w:w w:val="95"/>
                <w:sz w:val="20"/>
              </w:rPr>
              <w:t>性</w:t>
            </w:r>
            <w:r>
              <w:rPr>
                <w:w w:val="95"/>
                <w:sz w:val="20"/>
              </w:rPr>
              <w:t>脊</w:t>
            </w:r>
            <w:r>
              <w:rPr>
                <w:w w:val="95"/>
                <w:sz w:val="20"/>
              </w:rPr>
              <w:t>柱</w:t>
            </w:r>
            <w:r>
              <w:rPr>
                <w:spacing w:val="-10"/>
                <w:w w:val="95"/>
                <w:sz w:val="20"/>
              </w:rPr>
              <w:t>炎</w:t>
            </w:r>
          </w:p>
        </w:tc>
        <w:tc>
          <w:tcPr>
            <w:tcW w:w="2076" w:type="dxa"/>
          </w:tcPr>
          <w:p>
            <w:pPr>
              <w:pStyle w:val="TableParagraph"/>
              <w:ind w:left="0"/>
              <w:rPr>
                <w:rFonts w:ascii="Times New Roman"/>
                <w:sz w:val="18"/>
              </w:rPr>
            </w:pPr>
          </w:p>
        </w:tc>
        <w:tc>
          <w:tcPr>
            <w:tcW w:w="2078" w:type="dxa"/>
          </w:tcPr>
          <w:p>
            <w:pPr>
              <w:pStyle w:val="TableParagraph"/>
              <w:ind w:left="0"/>
              <w:rPr>
                <w:rFonts w:ascii="Times New Roman"/>
                <w:sz w:val="18"/>
              </w:rPr>
            </w:pPr>
          </w:p>
        </w:tc>
      </w:tr>
    </w:tbl>
    <w:p>
      <w:pPr>
        <w:spacing w:after="0"/>
        <w:rPr>
          <w:rFonts w:ascii="Times New Roman"/>
          <w:sz w:val="18"/>
        </w:rPr>
        <w:sectPr>
          <w:type w:val="continuous"/>
          <w:pgSz w:w="11910" w:h="16840"/>
          <w:pgMar w:header="0" w:footer="655" w:top="1460" w:bottom="1075" w:left="560" w:right="480"/>
        </w:sectPr>
      </w:pPr>
    </w:p>
    <w:tbl>
      <w:tblPr>
        <w:tblW w:w="0" w:type="auto"/>
        <w:jc w:val="left"/>
        <w:tblInd w:w="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76"/>
        <w:gridCol w:w="2079"/>
        <w:gridCol w:w="2076"/>
        <w:gridCol w:w="2076"/>
        <w:gridCol w:w="2078"/>
      </w:tblGrid>
      <w:tr>
        <w:trPr>
          <w:trHeight w:val="681" w:hRule="atLeast"/>
        </w:trPr>
        <w:tc>
          <w:tcPr>
            <w:tcW w:w="2076" w:type="dxa"/>
          </w:tcPr>
          <w:p>
            <w:pPr>
              <w:pStyle w:val="TableParagraph"/>
              <w:ind w:left="0"/>
              <w:rPr>
                <w:rFonts w:ascii="Times New Roman"/>
                <w:sz w:val="20"/>
              </w:rPr>
            </w:pPr>
          </w:p>
        </w:tc>
        <w:tc>
          <w:tcPr>
            <w:tcW w:w="2079" w:type="dxa"/>
          </w:tcPr>
          <w:p>
            <w:pPr>
              <w:pStyle w:val="TableParagraph"/>
              <w:ind w:left="0"/>
              <w:rPr>
                <w:rFonts w:ascii="Times New Roman"/>
                <w:sz w:val="20"/>
              </w:rPr>
            </w:pPr>
          </w:p>
        </w:tc>
        <w:tc>
          <w:tcPr>
            <w:tcW w:w="2076" w:type="dxa"/>
          </w:tcPr>
          <w:p>
            <w:pPr>
              <w:pStyle w:val="TableParagraph"/>
              <w:spacing w:line="312" w:lineRule="exact" w:before="2"/>
              <w:ind w:right="99"/>
              <w:rPr>
                <w:sz w:val="20"/>
              </w:rPr>
            </w:pPr>
            <w:r>
              <w:rPr>
                <w:rFonts w:ascii="Calibri" w:eastAsia="Calibri"/>
                <w:spacing w:val="-2"/>
                <w:sz w:val="20"/>
              </w:rPr>
              <w:t>36.</w:t>
            </w:r>
            <w:r>
              <w:rPr>
                <w:spacing w:val="-2"/>
                <w:sz w:val="20"/>
              </w:rPr>
              <w:t>严重的脊髓空洞</w:t>
            </w:r>
            <w:r>
              <w:rPr>
                <w:spacing w:val="-2"/>
                <w:sz w:val="20"/>
              </w:rPr>
              <w:t>症</w:t>
            </w:r>
            <w:r>
              <w:rPr>
                <w:spacing w:val="-2"/>
                <w:sz w:val="20"/>
              </w:rPr>
              <w:t>或</w:t>
            </w:r>
            <w:r>
              <w:rPr>
                <w:spacing w:val="-2"/>
                <w:sz w:val="20"/>
              </w:rPr>
              <w:t>严</w:t>
            </w:r>
            <w:r>
              <w:rPr>
                <w:spacing w:val="-2"/>
                <w:sz w:val="20"/>
              </w:rPr>
              <w:t>重</w:t>
            </w:r>
            <w:r>
              <w:rPr>
                <w:spacing w:val="-2"/>
                <w:sz w:val="20"/>
              </w:rPr>
              <w:t>的</w:t>
            </w:r>
            <w:r>
              <w:rPr>
                <w:spacing w:val="-2"/>
                <w:sz w:val="20"/>
              </w:rPr>
              <w:t>延</w:t>
            </w:r>
            <w:r>
              <w:rPr>
                <w:spacing w:val="-2"/>
                <w:sz w:val="20"/>
              </w:rPr>
              <w:t>髓</w:t>
            </w:r>
            <w:r>
              <w:rPr>
                <w:spacing w:val="-2"/>
                <w:sz w:val="20"/>
              </w:rPr>
              <w:t>空</w:t>
            </w:r>
            <w:r>
              <w:rPr>
                <w:spacing w:val="-2"/>
                <w:sz w:val="20"/>
              </w:rPr>
              <w:t>洞</w:t>
            </w:r>
            <w:r>
              <w:rPr>
                <w:spacing w:val="-2"/>
                <w:sz w:val="20"/>
              </w:rPr>
              <w:t>症</w:t>
            </w:r>
          </w:p>
        </w:tc>
        <w:tc>
          <w:tcPr>
            <w:tcW w:w="2076" w:type="dxa"/>
          </w:tcPr>
          <w:p>
            <w:pPr>
              <w:pStyle w:val="TableParagraph"/>
              <w:ind w:left="0"/>
              <w:rPr>
                <w:rFonts w:ascii="Times New Roman"/>
                <w:sz w:val="20"/>
              </w:rPr>
            </w:pPr>
          </w:p>
        </w:tc>
        <w:tc>
          <w:tcPr>
            <w:tcW w:w="2078" w:type="dxa"/>
          </w:tcPr>
          <w:p>
            <w:pPr>
              <w:pStyle w:val="TableParagraph"/>
              <w:ind w:left="0"/>
              <w:rPr>
                <w:rFonts w:ascii="Times New Roman"/>
                <w:sz w:val="20"/>
              </w:rPr>
            </w:pPr>
          </w:p>
        </w:tc>
      </w:tr>
      <w:tr>
        <w:trPr>
          <w:trHeight w:val="448" w:hRule="atLeast"/>
        </w:trPr>
        <w:tc>
          <w:tcPr>
            <w:tcW w:w="2076" w:type="dxa"/>
          </w:tcPr>
          <w:p>
            <w:pPr>
              <w:pStyle w:val="TableParagraph"/>
              <w:ind w:left="0"/>
              <w:rPr>
                <w:rFonts w:ascii="Times New Roman"/>
                <w:sz w:val="20"/>
              </w:rPr>
            </w:pPr>
          </w:p>
        </w:tc>
        <w:tc>
          <w:tcPr>
            <w:tcW w:w="2079" w:type="dxa"/>
          </w:tcPr>
          <w:p>
            <w:pPr>
              <w:pStyle w:val="TableParagraph"/>
              <w:ind w:left="0"/>
              <w:rPr>
                <w:rFonts w:ascii="Times New Roman"/>
                <w:sz w:val="20"/>
              </w:rPr>
            </w:pPr>
          </w:p>
        </w:tc>
        <w:tc>
          <w:tcPr>
            <w:tcW w:w="2076" w:type="dxa"/>
          </w:tcPr>
          <w:p>
            <w:pPr>
              <w:pStyle w:val="TableParagraph"/>
              <w:spacing w:before="92"/>
              <w:rPr>
                <w:sz w:val="20"/>
              </w:rPr>
            </w:pPr>
            <w:r>
              <w:rPr>
                <w:rFonts w:ascii="Calibri" w:eastAsia="Calibri"/>
                <w:w w:val="95"/>
                <w:sz w:val="20"/>
              </w:rPr>
              <w:t>37.</w:t>
            </w:r>
            <w:r>
              <w:rPr>
                <w:w w:val="95"/>
                <w:sz w:val="20"/>
              </w:rPr>
              <w:t>严重</w:t>
            </w:r>
            <w:r>
              <w:rPr>
                <w:w w:val="95"/>
                <w:sz w:val="20"/>
              </w:rPr>
              <w:t>血</w:t>
            </w:r>
            <w:r>
              <w:rPr>
                <w:w w:val="95"/>
                <w:sz w:val="20"/>
              </w:rPr>
              <w:t>管</w:t>
            </w:r>
            <w:r>
              <w:rPr>
                <w:w w:val="95"/>
                <w:sz w:val="20"/>
              </w:rPr>
              <w:t>性</w:t>
            </w:r>
            <w:r>
              <w:rPr>
                <w:w w:val="95"/>
                <w:sz w:val="20"/>
              </w:rPr>
              <w:t>痴</w:t>
            </w:r>
            <w:r>
              <w:rPr>
                <w:spacing w:val="-10"/>
                <w:w w:val="95"/>
                <w:sz w:val="20"/>
              </w:rPr>
              <w:t>呆</w:t>
            </w:r>
          </w:p>
        </w:tc>
        <w:tc>
          <w:tcPr>
            <w:tcW w:w="2076" w:type="dxa"/>
          </w:tcPr>
          <w:p>
            <w:pPr>
              <w:pStyle w:val="TableParagraph"/>
              <w:ind w:left="0"/>
              <w:rPr>
                <w:rFonts w:ascii="Times New Roman"/>
                <w:sz w:val="20"/>
              </w:rPr>
            </w:pPr>
          </w:p>
        </w:tc>
        <w:tc>
          <w:tcPr>
            <w:tcW w:w="2078" w:type="dxa"/>
          </w:tcPr>
          <w:p>
            <w:pPr>
              <w:pStyle w:val="TableParagraph"/>
              <w:ind w:left="0"/>
              <w:rPr>
                <w:rFonts w:ascii="Times New Roman"/>
                <w:sz w:val="20"/>
              </w:rPr>
            </w:pPr>
          </w:p>
        </w:tc>
      </w:tr>
      <w:tr>
        <w:trPr>
          <w:trHeight w:val="450" w:hRule="atLeast"/>
        </w:trPr>
        <w:tc>
          <w:tcPr>
            <w:tcW w:w="2076" w:type="dxa"/>
          </w:tcPr>
          <w:p>
            <w:pPr>
              <w:pStyle w:val="TableParagraph"/>
              <w:ind w:left="0"/>
              <w:rPr>
                <w:rFonts w:ascii="Times New Roman"/>
                <w:sz w:val="20"/>
              </w:rPr>
            </w:pPr>
          </w:p>
        </w:tc>
        <w:tc>
          <w:tcPr>
            <w:tcW w:w="2079" w:type="dxa"/>
          </w:tcPr>
          <w:p>
            <w:pPr>
              <w:pStyle w:val="TableParagraph"/>
              <w:ind w:left="0"/>
              <w:rPr>
                <w:rFonts w:ascii="Times New Roman"/>
                <w:sz w:val="20"/>
              </w:rPr>
            </w:pPr>
          </w:p>
        </w:tc>
        <w:tc>
          <w:tcPr>
            <w:tcW w:w="2076" w:type="dxa"/>
          </w:tcPr>
          <w:p>
            <w:pPr>
              <w:pStyle w:val="TableParagraph"/>
              <w:spacing w:before="92"/>
              <w:rPr>
                <w:sz w:val="20"/>
              </w:rPr>
            </w:pPr>
            <w:r>
              <w:rPr>
                <w:rFonts w:ascii="Calibri" w:eastAsia="Calibri"/>
                <w:w w:val="95"/>
                <w:sz w:val="20"/>
              </w:rPr>
              <w:t>38.</w:t>
            </w:r>
            <w:r>
              <w:rPr>
                <w:w w:val="95"/>
                <w:sz w:val="20"/>
              </w:rPr>
              <w:t>严重</w:t>
            </w:r>
            <w:r>
              <w:rPr>
                <w:w w:val="95"/>
                <w:sz w:val="20"/>
              </w:rPr>
              <w:t>额</w:t>
            </w:r>
            <w:r>
              <w:rPr>
                <w:w w:val="95"/>
                <w:sz w:val="20"/>
              </w:rPr>
              <w:t>颞</w:t>
            </w:r>
            <w:r>
              <w:rPr>
                <w:w w:val="95"/>
                <w:sz w:val="20"/>
              </w:rPr>
              <w:t>叶</w:t>
            </w:r>
            <w:r>
              <w:rPr>
                <w:w w:val="95"/>
                <w:sz w:val="20"/>
              </w:rPr>
              <w:t>痴</w:t>
            </w:r>
            <w:r>
              <w:rPr>
                <w:spacing w:val="-10"/>
                <w:w w:val="95"/>
                <w:sz w:val="20"/>
              </w:rPr>
              <w:t>呆</w:t>
            </w:r>
          </w:p>
        </w:tc>
        <w:tc>
          <w:tcPr>
            <w:tcW w:w="2076" w:type="dxa"/>
          </w:tcPr>
          <w:p>
            <w:pPr>
              <w:pStyle w:val="TableParagraph"/>
              <w:ind w:left="0"/>
              <w:rPr>
                <w:rFonts w:ascii="Times New Roman"/>
                <w:sz w:val="20"/>
              </w:rPr>
            </w:pPr>
          </w:p>
        </w:tc>
        <w:tc>
          <w:tcPr>
            <w:tcW w:w="2078" w:type="dxa"/>
          </w:tcPr>
          <w:p>
            <w:pPr>
              <w:pStyle w:val="TableParagraph"/>
              <w:ind w:left="0"/>
              <w:rPr>
                <w:rFonts w:ascii="Times New Roman"/>
                <w:sz w:val="20"/>
              </w:rPr>
            </w:pPr>
          </w:p>
        </w:tc>
      </w:tr>
      <w:tr>
        <w:trPr>
          <w:trHeight w:val="450" w:hRule="atLeast"/>
        </w:trPr>
        <w:tc>
          <w:tcPr>
            <w:tcW w:w="2076" w:type="dxa"/>
          </w:tcPr>
          <w:p>
            <w:pPr>
              <w:pStyle w:val="TableParagraph"/>
              <w:ind w:left="0"/>
              <w:rPr>
                <w:rFonts w:ascii="Times New Roman"/>
                <w:sz w:val="20"/>
              </w:rPr>
            </w:pPr>
          </w:p>
        </w:tc>
        <w:tc>
          <w:tcPr>
            <w:tcW w:w="2079" w:type="dxa"/>
          </w:tcPr>
          <w:p>
            <w:pPr>
              <w:pStyle w:val="TableParagraph"/>
              <w:ind w:left="0"/>
              <w:rPr>
                <w:rFonts w:ascii="Times New Roman"/>
                <w:sz w:val="20"/>
              </w:rPr>
            </w:pPr>
          </w:p>
        </w:tc>
        <w:tc>
          <w:tcPr>
            <w:tcW w:w="2076" w:type="dxa"/>
          </w:tcPr>
          <w:p>
            <w:pPr>
              <w:pStyle w:val="TableParagraph"/>
              <w:spacing w:before="92"/>
              <w:rPr>
                <w:sz w:val="20"/>
              </w:rPr>
            </w:pPr>
            <w:r>
              <w:rPr>
                <w:rFonts w:ascii="Calibri" w:eastAsia="Calibri"/>
                <w:w w:val="95"/>
                <w:sz w:val="20"/>
              </w:rPr>
              <w:t>39.</w:t>
            </w:r>
            <w:r>
              <w:rPr>
                <w:w w:val="95"/>
                <w:sz w:val="20"/>
              </w:rPr>
              <w:t>严重</w:t>
            </w:r>
            <w:r>
              <w:rPr>
                <w:w w:val="95"/>
                <w:sz w:val="20"/>
              </w:rPr>
              <w:t>路</w:t>
            </w:r>
            <w:r>
              <w:rPr>
                <w:w w:val="95"/>
                <w:sz w:val="20"/>
              </w:rPr>
              <w:t>易</w:t>
            </w:r>
            <w:r>
              <w:rPr>
                <w:w w:val="95"/>
                <w:sz w:val="20"/>
              </w:rPr>
              <w:t>体</w:t>
            </w:r>
            <w:r>
              <w:rPr>
                <w:w w:val="95"/>
                <w:sz w:val="20"/>
              </w:rPr>
              <w:t>痴</w:t>
            </w:r>
            <w:r>
              <w:rPr>
                <w:spacing w:val="-10"/>
                <w:w w:val="95"/>
                <w:sz w:val="20"/>
              </w:rPr>
              <w:t>呆</w:t>
            </w:r>
          </w:p>
        </w:tc>
        <w:tc>
          <w:tcPr>
            <w:tcW w:w="2076" w:type="dxa"/>
          </w:tcPr>
          <w:p>
            <w:pPr>
              <w:pStyle w:val="TableParagraph"/>
              <w:ind w:left="0"/>
              <w:rPr>
                <w:rFonts w:ascii="Times New Roman"/>
                <w:sz w:val="20"/>
              </w:rPr>
            </w:pPr>
          </w:p>
        </w:tc>
        <w:tc>
          <w:tcPr>
            <w:tcW w:w="2078" w:type="dxa"/>
          </w:tcPr>
          <w:p>
            <w:pPr>
              <w:pStyle w:val="TableParagraph"/>
              <w:ind w:left="0"/>
              <w:rPr>
                <w:rFonts w:ascii="Times New Roman"/>
                <w:sz w:val="20"/>
              </w:rPr>
            </w:pPr>
          </w:p>
        </w:tc>
      </w:tr>
      <w:tr>
        <w:trPr>
          <w:trHeight w:val="448" w:hRule="atLeast"/>
        </w:trPr>
        <w:tc>
          <w:tcPr>
            <w:tcW w:w="2076" w:type="dxa"/>
          </w:tcPr>
          <w:p>
            <w:pPr>
              <w:pStyle w:val="TableParagraph"/>
              <w:ind w:left="0"/>
              <w:rPr>
                <w:rFonts w:ascii="Times New Roman"/>
                <w:sz w:val="20"/>
              </w:rPr>
            </w:pPr>
          </w:p>
        </w:tc>
        <w:tc>
          <w:tcPr>
            <w:tcW w:w="2079" w:type="dxa"/>
          </w:tcPr>
          <w:p>
            <w:pPr>
              <w:pStyle w:val="TableParagraph"/>
              <w:ind w:left="0"/>
              <w:rPr>
                <w:rFonts w:ascii="Times New Roman"/>
                <w:sz w:val="20"/>
              </w:rPr>
            </w:pPr>
          </w:p>
        </w:tc>
        <w:tc>
          <w:tcPr>
            <w:tcW w:w="2076" w:type="dxa"/>
          </w:tcPr>
          <w:p>
            <w:pPr>
              <w:pStyle w:val="TableParagraph"/>
              <w:spacing w:before="92"/>
              <w:rPr>
                <w:sz w:val="20"/>
              </w:rPr>
            </w:pPr>
            <w:r>
              <w:rPr>
                <w:rFonts w:ascii="Calibri" w:eastAsia="Calibri"/>
                <w:w w:val="95"/>
                <w:sz w:val="20"/>
              </w:rPr>
              <w:t>40.</w:t>
            </w:r>
            <w:r>
              <w:rPr>
                <w:w w:val="95"/>
                <w:sz w:val="20"/>
              </w:rPr>
              <w:t>闭锁</w:t>
            </w:r>
            <w:r>
              <w:rPr>
                <w:w w:val="95"/>
                <w:sz w:val="20"/>
              </w:rPr>
              <w:t>综</w:t>
            </w:r>
            <w:r>
              <w:rPr>
                <w:w w:val="95"/>
                <w:sz w:val="20"/>
              </w:rPr>
              <w:t>合</w:t>
            </w:r>
            <w:r>
              <w:rPr>
                <w:spacing w:val="-10"/>
                <w:w w:val="95"/>
                <w:sz w:val="20"/>
              </w:rPr>
              <w:t>征</w:t>
            </w:r>
          </w:p>
        </w:tc>
        <w:tc>
          <w:tcPr>
            <w:tcW w:w="2076" w:type="dxa"/>
          </w:tcPr>
          <w:p>
            <w:pPr>
              <w:pStyle w:val="TableParagraph"/>
              <w:ind w:left="0"/>
              <w:rPr>
                <w:rFonts w:ascii="Times New Roman"/>
                <w:sz w:val="20"/>
              </w:rPr>
            </w:pPr>
          </w:p>
        </w:tc>
        <w:tc>
          <w:tcPr>
            <w:tcW w:w="2078" w:type="dxa"/>
          </w:tcPr>
          <w:p>
            <w:pPr>
              <w:pStyle w:val="TableParagraph"/>
              <w:ind w:left="0"/>
              <w:rPr>
                <w:rFonts w:ascii="Times New Roman"/>
                <w:sz w:val="20"/>
              </w:rPr>
            </w:pPr>
          </w:p>
        </w:tc>
      </w:tr>
    </w:tbl>
    <w:p>
      <w:pPr>
        <w:pStyle w:val="BodyText"/>
        <w:spacing w:before="4"/>
        <w:rPr>
          <w:b/>
          <w:sz w:val="20"/>
        </w:rPr>
      </w:pPr>
    </w:p>
    <w:p>
      <w:pPr>
        <w:pStyle w:val="ListParagraph"/>
        <w:numPr>
          <w:ilvl w:val="1"/>
          <w:numId w:val="14"/>
        </w:numPr>
        <w:tabs>
          <w:tab w:pos="1132" w:val="left" w:leader="none"/>
          <w:tab w:pos="1133" w:val="left" w:leader="none"/>
          <w:tab w:pos="3081" w:val="left" w:leader="none"/>
        </w:tabs>
        <w:spacing w:line="240" w:lineRule="auto" w:before="72" w:after="0"/>
        <w:ind w:left="1132" w:right="0" w:hanging="904"/>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BodyText"/>
        <w:spacing w:before="43"/>
        <w:ind w:left="3081"/>
      </w:pPr>
      <w:r>
        <w:rPr>
          <w:spacing w:val="-8"/>
        </w:rPr>
        <w:t>(一)具有有效的中华人民共和国《医师资格证书》；</w:t>
      </w:r>
    </w:p>
    <w:p>
      <w:pPr>
        <w:pStyle w:val="BodyText"/>
        <w:spacing w:line="278" w:lineRule="auto" w:before="43"/>
        <w:ind w:left="3081" w:right="216"/>
      </w:pPr>
      <w:r>
        <w:rPr>
          <w:spacing w:val="-7"/>
        </w:rPr>
        <w:t>(二)具有有效的中华人民共和国《医师执业证书》，并按期到相关部门登记注册；</w:t>
      </w:r>
      <w:r>
        <w:rPr>
          <w:spacing w:val="40"/>
        </w:rPr>
        <w:t> </w:t>
      </w:r>
      <w:r>
        <w:rPr>
          <w:spacing w:val="-9"/>
        </w:rPr>
        <w:t>(三)具有有效的中华人民共和国主治医师或主治医师以上职称的《医师职称证书》；</w:t>
      </w:r>
      <w:r>
        <w:rPr>
          <w:spacing w:val="-2"/>
        </w:rPr>
        <w:t> </w:t>
      </w:r>
      <w:r>
        <w:rPr>
          <w:spacing w:val="-12"/>
        </w:rPr>
        <w:t>(四)在国家《医院分级管理标准》二级或二级以上医院的相应科室从事临床工作三</w:t>
      </w:r>
    </w:p>
    <w:p>
      <w:pPr>
        <w:pStyle w:val="BodyText"/>
        <w:ind w:left="3501"/>
      </w:pPr>
      <w:r>
        <w:rPr>
          <w:spacing w:val="-4"/>
        </w:rPr>
        <w:t>年以上。</w:t>
      </w:r>
    </w:p>
    <w:p>
      <w:pPr>
        <w:pStyle w:val="BodyText"/>
        <w:spacing w:before="9"/>
        <w:rPr>
          <w:sz w:val="27"/>
        </w:rPr>
      </w:pPr>
    </w:p>
    <w:p>
      <w:pPr>
        <w:pStyle w:val="ListParagraph"/>
        <w:numPr>
          <w:ilvl w:val="1"/>
          <w:numId w:val="14"/>
        </w:numPr>
        <w:tabs>
          <w:tab w:pos="1132" w:val="left" w:leader="none"/>
          <w:tab w:pos="1133" w:val="left" w:leader="none"/>
        </w:tabs>
        <w:spacing w:line="240" w:lineRule="auto" w:before="0" w:after="21"/>
        <w:ind w:left="1132" w:right="0" w:hanging="904"/>
        <w:jc w:val="left"/>
        <w:rPr>
          <w:b/>
          <w:sz w:val="21"/>
        </w:rPr>
      </w:pPr>
      <w:r>
        <w:rPr>
          <w:b/>
          <w:spacing w:val="-2"/>
          <w:sz w:val="21"/>
        </w:rPr>
        <w:t>轻症疾病分组</w:t>
      </w:r>
    </w:p>
    <w:tbl>
      <w:tblPr>
        <w:tblW w:w="0" w:type="auto"/>
        <w:jc w:val="left"/>
        <w:tblInd w:w="1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65"/>
        <w:gridCol w:w="2126"/>
        <w:gridCol w:w="2126"/>
        <w:gridCol w:w="2126"/>
      </w:tblGrid>
      <w:tr>
        <w:trPr>
          <w:trHeight w:val="681" w:hRule="atLeast"/>
        </w:trPr>
        <w:tc>
          <w:tcPr>
            <w:tcW w:w="2165" w:type="dxa"/>
          </w:tcPr>
          <w:p>
            <w:pPr>
              <w:pStyle w:val="TableParagraph"/>
              <w:spacing w:before="7"/>
              <w:ind w:left="0"/>
              <w:rPr>
                <w:b/>
                <w:sz w:val="16"/>
              </w:rPr>
            </w:pPr>
          </w:p>
          <w:p>
            <w:pPr>
              <w:pStyle w:val="TableParagraph"/>
              <w:ind w:left="107"/>
              <w:rPr>
                <w:sz w:val="20"/>
              </w:rPr>
            </w:pPr>
            <w:r>
              <w:rPr>
                <w:rFonts w:ascii="Calibri" w:eastAsia="Calibri"/>
                <w:sz w:val="20"/>
              </w:rPr>
              <w:t>A </w:t>
            </w:r>
            <w:r>
              <w:rPr>
                <w:sz w:val="20"/>
              </w:rPr>
              <w:t>组（</w:t>
            </w:r>
            <w:r>
              <w:rPr>
                <w:rFonts w:ascii="Calibri" w:eastAsia="Calibri"/>
                <w:sz w:val="20"/>
              </w:rPr>
              <w:t>11 </w:t>
            </w:r>
            <w:r>
              <w:rPr>
                <w:sz w:val="20"/>
              </w:rPr>
              <w:t>种</w:t>
            </w:r>
            <w:r>
              <w:rPr>
                <w:spacing w:val="-10"/>
                <w:sz w:val="20"/>
              </w:rPr>
              <w:t>）</w:t>
            </w:r>
          </w:p>
        </w:tc>
        <w:tc>
          <w:tcPr>
            <w:tcW w:w="2126" w:type="dxa"/>
          </w:tcPr>
          <w:p>
            <w:pPr>
              <w:pStyle w:val="TableParagraph"/>
              <w:spacing w:before="7"/>
              <w:ind w:left="0"/>
              <w:rPr>
                <w:b/>
                <w:sz w:val="16"/>
              </w:rPr>
            </w:pPr>
          </w:p>
          <w:p>
            <w:pPr>
              <w:pStyle w:val="TableParagraph"/>
              <w:rPr>
                <w:sz w:val="20"/>
              </w:rPr>
            </w:pPr>
            <w:r>
              <w:rPr>
                <w:rFonts w:ascii="Calibri" w:eastAsia="Calibri"/>
                <w:sz w:val="20"/>
              </w:rPr>
              <w:t>B</w:t>
            </w:r>
            <w:r>
              <w:rPr>
                <w:rFonts w:ascii="Calibri" w:eastAsia="Calibri"/>
                <w:spacing w:val="-1"/>
                <w:sz w:val="20"/>
              </w:rPr>
              <w:t> </w:t>
            </w:r>
            <w:r>
              <w:rPr>
                <w:sz w:val="20"/>
              </w:rPr>
              <w:t>组</w:t>
            </w:r>
            <w:r>
              <w:rPr>
                <w:sz w:val="20"/>
              </w:rPr>
              <w:t>（</w:t>
            </w:r>
            <w:r>
              <w:rPr>
                <w:rFonts w:ascii="Calibri" w:eastAsia="Calibri"/>
                <w:sz w:val="20"/>
              </w:rPr>
              <w:t>13</w:t>
            </w:r>
            <w:r>
              <w:rPr>
                <w:rFonts w:ascii="Calibri" w:eastAsia="Calibri"/>
                <w:spacing w:val="1"/>
                <w:sz w:val="20"/>
              </w:rPr>
              <w:t> </w:t>
            </w:r>
            <w:r>
              <w:rPr>
                <w:sz w:val="20"/>
              </w:rPr>
              <w:t>种</w:t>
            </w:r>
            <w:r>
              <w:rPr>
                <w:spacing w:val="-12"/>
                <w:sz w:val="20"/>
              </w:rPr>
              <w:t>）</w:t>
            </w:r>
          </w:p>
        </w:tc>
        <w:tc>
          <w:tcPr>
            <w:tcW w:w="2126" w:type="dxa"/>
          </w:tcPr>
          <w:p>
            <w:pPr>
              <w:pStyle w:val="TableParagraph"/>
              <w:spacing w:before="7"/>
              <w:ind w:left="0"/>
              <w:rPr>
                <w:b/>
                <w:sz w:val="16"/>
              </w:rPr>
            </w:pPr>
          </w:p>
          <w:p>
            <w:pPr>
              <w:pStyle w:val="TableParagraph"/>
              <w:rPr>
                <w:sz w:val="20"/>
              </w:rPr>
            </w:pPr>
            <w:r>
              <w:rPr>
                <w:rFonts w:ascii="Calibri" w:eastAsia="Calibri"/>
                <w:sz w:val="20"/>
              </w:rPr>
              <w:t>C</w:t>
            </w:r>
            <w:r>
              <w:rPr>
                <w:rFonts w:ascii="Calibri" w:eastAsia="Calibri"/>
                <w:spacing w:val="-1"/>
                <w:sz w:val="20"/>
              </w:rPr>
              <w:t> </w:t>
            </w:r>
            <w:r>
              <w:rPr>
                <w:sz w:val="20"/>
              </w:rPr>
              <w:t>组</w:t>
            </w:r>
            <w:r>
              <w:rPr>
                <w:sz w:val="20"/>
              </w:rPr>
              <w:t>（</w:t>
            </w:r>
            <w:r>
              <w:rPr>
                <w:rFonts w:ascii="Calibri" w:eastAsia="Calibri"/>
                <w:sz w:val="20"/>
              </w:rPr>
              <w:t>15</w:t>
            </w:r>
            <w:r>
              <w:rPr>
                <w:rFonts w:ascii="Calibri" w:eastAsia="Calibri"/>
                <w:spacing w:val="1"/>
                <w:sz w:val="20"/>
              </w:rPr>
              <w:t> </w:t>
            </w:r>
            <w:r>
              <w:rPr>
                <w:sz w:val="20"/>
              </w:rPr>
              <w:t>种</w:t>
            </w:r>
            <w:r>
              <w:rPr>
                <w:spacing w:val="-12"/>
                <w:sz w:val="20"/>
              </w:rPr>
              <w:t>）</w:t>
            </w:r>
          </w:p>
        </w:tc>
        <w:tc>
          <w:tcPr>
            <w:tcW w:w="2126" w:type="dxa"/>
          </w:tcPr>
          <w:p>
            <w:pPr>
              <w:pStyle w:val="TableParagraph"/>
              <w:spacing w:before="7"/>
              <w:ind w:left="0"/>
              <w:rPr>
                <w:b/>
                <w:sz w:val="16"/>
              </w:rPr>
            </w:pPr>
          </w:p>
          <w:p>
            <w:pPr>
              <w:pStyle w:val="TableParagraph"/>
              <w:ind w:left="109"/>
              <w:rPr>
                <w:sz w:val="20"/>
              </w:rPr>
            </w:pPr>
            <w:r>
              <w:rPr>
                <w:rFonts w:ascii="Calibri" w:eastAsia="Calibri"/>
                <w:sz w:val="20"/>
              </w:rPr>
              <w:t>D </w:t>
            </w:r>
            <w:r>
              <w:rPr>
                <w:sz w:val="20"/>
              </w:rPr>
              <w:t>组</w:t>
            </w:r>
            <w:r>
              <w:rPr>
                <w:sz w:val="20"/>
              </w:rPr>
              <w:t>（</w:t>
            </w:r>
            <w:r>
              <w:rPr>
                <w:rFonts w:ascii="Calibri" w:eastAsia="Calibri"/>
                <w:sz w:val="20"/>
              </w:rPr>
              <w:t>16</w:t>
            </w:r>
            <w:r>
              <w:rPr>
                <w:rFonts w:ascii="Calibri" w:eastAsia="Calibri"/>
                <w:spacing w:val="1"/>
                <w:sz w:val="20"/>
              </w:rPr>
              <w:t> </w:t>
            </w:r>
            <w:r>
              <w:rPr>
                <w:sz w:val="20"/>
              </w:rPr>
              <w:t>种</w:t>
            </w:r>
            <w:r>
              <w:rPr>
                <w:spacing w:val="-10"/>
                <w:sz w:val="20"/>
              </w:rPr>
              <w:t>）</w:t>
            </w:r>
          </w:p>
        </w:tc>
      </w:tr>
      <w:tr>
        <w:trPr>
          <w:trHeight w:val="453" w:hRule="atLeast"/>
        </w:trPr>
        <w:tc>
          <w:tcPr>
            <w:tcW w:w="2165" w:type="dxa"/>
          </w:tcPr>
          <w:p>
            <w:pPr>
              <w:pStyle w:val="TableParagraph"/>
              <w:spacing w:before="99"/>
              <w:ind w:left="107"/>
              <w:rPr>
                <w:sz w:val="20"/>
              </w:rPr>
            </w:pPr>
            <w:r>
              <w:rPr>
                <w:w w:val="95"/>
                <w:sz w:val="20"/>
              </w:rPr>
              <w:t>1.</w:t>
            </w:r>
            <w:r>
              <w:rPr>
                <w:w w:val="95"/>
                <w:sz w:val="20"/>
              </w:rPr>
              <w:t>恶</w:t>
            </w:r>
            <w:r>
              <w:rPr>
                <w:w w:val="95"/>
                <w:sz w:val="20"/>
              </w:rPr>
              <w:t>性</w:t>
            </w:r>
            <w:r>
              <w:rPr>
                <w:w w:val="95"/>
                <w:sz w:val="20"/>
              </w:rPr>
              <w:t>肿</w:t>
            </w:r>
            <w:r>
              <w:rPr>
                <w:w w:val="95"/>
                <w:sz w:val="20"/>
              </w:rPr>
              <w:t>瘤</w:t>
            </w:r>
            <w:r>
              <w:rPr>
                <w:w w:val="95"/>
                <w:sz w:val="20"/>
              </w:rPr>
              <w:t>——</w:t>
            </w:r>
            <w:r>
              <w:rPr>
                <w:w w:val="95"/>
                <w:sz w:val="20"/>
              </w:rPr>
              <w:t>轻</w:t>
            </w:r>
            <w:r>
              <w:rPr>
                <w:w w:val="95"/>
                <w:sz w:val="20"/>
              </w:rPr>
              <w:t>度</w:t>
            </w:r>
            <w:r>
              <w:rPr>
                <w:spacing w:val="-10"/>
                <w:w w:val="95"/>
                <w:sz w:val="20"/>
              </w:rPr>
              <w:t>*</w:t>
            </w:r>
          </w:p>
        </w:tc>
        <w:tc>
          <w:tcPr>
            <w:tcW w:w="2126" w:type="dxa"/>
          </w:tcPr>
          <w:p>
            <w:pPr>
              <w:pStyle w:val="TableParagraph"/>
              <w:spacing w:before="99"/>
              <w:rPr>
                <w:sz w:val="20"/>
              </w:rPr>
            </w:pPr>
            <w:r>
              <w:rPr>
                <w:w w:val="95"/>
                <w:sz w:val="20"/>
              </w:rPr>
              <w:t>1.</w:t>
            </w:r>
            <w:r>
              <w:rPr>
                <w:w w:val="95"/>
                <w:sz w:val="20"/>
              </w:rPr>
              <w:t>轻</w:t>
            </w:r>
            <w:r>
              <w:rPr>
                <w:w w:val="95"/>
                <w:sz w:val="20"/>
              </w:rPr>
              <w:t>度</w:t>
            </w:r>
            <w:r>
              <w:rPr>
                <w:w w:val="95"/>
                <w:sz w:val="20"/>
              </w:rPr>
              <w:t>脑</w:t>
            </w:r>
            <w:r>
              <w:rPr>
                <w:w w:val="95"/>
                <w:sz w:val="20"/>
              </w:rPr>
              <w:t>中</w:t>
            </w:r>
            <w:r>
              <w:rPr>
                <w:w w:val="95"/>
                <w:sz w:val="20"/>
              </w:rPr>
              <w:t>风</w:t>
            </w:r>
            <w:r>
              <w:rPr>
                <w:w w:val="95"/>
                <w:sz w:val="20"/>
              </w:rPr>
              <w:t>后</w:t>
            </w:r>
            <w:r>
              <w:rPr>
                <w:w w:val="95"/>
                <w:sz w:val="20"/>
              </w:rPr>
              <w:t>遗</w:t>
            </w:r>
            <w:r>
              <w:rPr>
                <w:w w:val="95"/>
                <w:sz w:val="20"/>
              </w:rPr>
              <w:t>症</w:t>
            </w:r>
            <w:r>
              <w:rPr>
                <w:spacing w:val="-10"/>
                <w:w w:val="95"/>
                <w:sz w:val="20"/>
              </w:rPr>
              <w:t>*</w:t>
            </w:r>
          </w:p>
        </w:tc>
        <w:tc>
          <w:tcPr>
            <w:tcW w:w="2126" w:type="dxa"/>
          </w:tcPr>
          <w:p>
            <w:pPr>
              <w:pStyle w:val="TableParagraph"/>
              <w:spacing w:before="99"/>
              <w:rPr>
                <w:sz w:val="20"/>
              </w:rPr>
            </w:pPr>
            <w:r>
              <w:rPr>
                <w:w w:val="95"/>
                <w:sz w:val="20"/>
              </w:rPr>
              <w:t>1.</w:t>
            </w:r>
            <w:r>
              <w:rPr>
                <w:w w:val="95"/>
                <w:sz w:val="20"/>
              </w:rPr>
              <w:t>较</w:t>
            </w:r>
            <w:r>
              <w:rPr>
                <w:w w:val="95"/>
                <w:sz w:val="20"/>
              </w:rPr>
              <w:t>轻</w:t>
            </w:r>
            <w:r>
              <w:rPr>
                <w:w w:val="95"/>
                <w:sz w:val="20"/>
              </w:rPr>
              <w:t>急</w:t>
            </w:r>
            <w:r>
              <w:rPr>
                <w:w w:val="95"/>
                <w:sz w:val="20"/>
              </w:rPr>
              <w:t>性</w:t>
            </w:r>
            <w:r>
              <w:rPr>
                <w:w w:val="95"/>
                <w:sz w:val="20"/>
              </w:rPr>
              <w:t>心</w:t>
            </w:r>
            <w:r>
              <w:rPr>
                <w:w w:val="95"/>
                <w:sz w:val="20"/>
              </w:rPr>
              <w:t>肌</w:t>
            </w:r>
            <w:r>
              <w:rPr>
                <w:w w:val="95"/>
                <w:sz w:val="20"/>
              </w:rPr>
              <w:t>梗</w:t>
            </w:r>
            <w:r>
              <w:rPr>
                <w:w w:val="95"/>
                <w:sz w:val="20"/>
              </w:rPr>
              <w:t>死</w:t>
            </w:r>
            <w:r>
              <w:rPr>
                <w:spacing w:val="-10"/>
                <w:w w:val="95"/>
                <w:sz w:val="20"/>
              </w:rPr>
              <w:t>*</w:t>
            </w:r>
          </w:p>
        </w:tc>
        <w:tc>
          <w:tcPr>
            <w:tcW w:w="2126" w:type="dxa"/>
          </w:tcPr>
          <w:p>
            <w:pPr>
              <w:pStyle w:val="TableParagraph"/>
              <w:spacing w:before="99"/>
              <w:ind w:left="109"/>
              <w:rPr>
                <w:sz w:val="20"/>
              </w:rPr>
            </w:pPr>
            <w:r>
              <w:rPr>
                <w:w w:val="95"/>
                <w:sz w:val="20"/>
              </w:rPr>
              <w:t>1.</w:t>
            </w:r>
            <w:r>
              <w:rPr>
                <w:w w:val="95"/>
                <w:sz w:val="20"/>
              </w:rPr>
              <w:t>慢</w:t>
            </w:r>
            <w:r>
              <w:rPr>
                <w:w w:val="95"/>
                <w:sz w:val="20"/>
              </w:rPr>
              <w:t>性</w:t>
            </w:r>
            <w:r>
              <w:rPr>
                <w:w w:val="95"/>
                <w:sz w:val="20"/>
              </w:rPr>
              <w:t>肾</w:t>
            </w:r>
            <w:r>
              <w:rPr>
                <w:w w:val="95"/>
                <w:sz w:val="20"/>
              </w:rPr>
              <w:t>功</w:t>
            </w:r>
            <w:r>
              <w:rPr>
                <w:w w:val="95"/>
                <w:sz w:val="20"/>
              </w:rPr>
              <w:t>能</w:t>
            </w:r>
            <w:r>
              <w:rPr>
                <w:spacing w:val="-5"/>
                <w:w w:val="95"/>
                <w:sz w:val="20"/>
              </w:rPr>
              <w:t>衰竭</w:t>
            </w:r>
          </w:p>
        </w:tc>
      </w:tr>
      <w:tr>
        <w:trPr>
          <w:trHeight w:val="623" w:hRule="atLeast"/>
        </w:trPr>
        <w:tc>
          <w:tcPr>
            <w:tcW w:w="2165" w:type="dxa"/>
          </w:tcPr>
          <w:p>
            <w:pPr>
              <w:pStyle w:val="TableParagraph"/>
              <w:spacing w:before="27"/>
              <w:ind w:left="107"/>
              <w:rPr>
                <w:sz w:val="20"/>
              </w:rPr>
            </w:pPr>
            <w:r>
              <w:rPr>
                <w:w w:val="95"/>
                <w:sz w:val="20"/>
              </w:rPr>
              <w:t>2</w:t>
            </w:r>
            <w:r>
              <w:rPr>
                <w:spacing w:val="-6"/>
                <w:w w:val="95"/>
                <w:sz w:val="20"/>
              </w:rPr>
              <w:t>. </w:t>
            </w:r>
            <w:r>
              <w:rPr>
                <w:spacing w:val="19"/>
                <w:w w:val="95"/>
                <w:sz w:val="20"/>
              </w:rPr>
              <w:t>急</w:t>
            </w:r>
            <w:r>
              <w:rPr>
                <w:spacing w:val="19"/>
                <w:w w:val="95"/>
                <w:sz w:val="20"/>
              </w:rPr>
              <w:t>性</w:t>
            </w:r>
            <w:r>
              <w:rPr>
                <w:spacing w:val="19"/>
                <w:w w:val="95"/>
                <w:sz w:val="20"/>
              </w:rPr>
              <w:t>出</w:t>
            </w:r>
            <w:r>
              <w:rPr>
                <w:spacing w:val="19"/>
                <w:w w:val="95"/>
                <w:sz w:val="20"/>
              </w:rPr>
              <w:t>血</w:t>
            </w:r>
            <w:r>
              <w:rPr>
                <w:spacing w:val="19"/>
                <w:w w:val="95"/>
                <w:sz w:val="20"/>
              </w:rPr>
              <w:t>坏</w:t>
            </w:r>
            <w:r>
              <w:rPr>
                <w:spacing w:val="19"/>
                <w:w w:val="95"/>
                <w:sz w:val="20"/>
              </w:rPr>
              <w:t>死</w:t>
            </w:r>
            <w:r>
              <w:rPr>
                <w:spacing w:val="19"/>
                <w:w w:val="95"/>
                <w:sz w:val="20"/>
              </w:rPr>
              <w:t>性</w:t>
            </w:r>
            <w:r>
              <w:rPr>
                <w:spacing w:val="9"/>
                <w:w w:val="95"/>
                <w:sz w:val="20"/>
              </w:rPr>
              <w:t>胰</w:t>
            </w:r>
          </w:p>
          <w:p>
            <w:pPr>
              <w:pStyle w:val="TableParagraph"/>
              <w:spacing w:before="56"/>
              <w:ind w:left="107"/>
              <w:rPr>
                <w:sz w:val="20"/>
              </w:rPr>
            </w:pPr>
            <w:r>
              <w:rPr>
                <w:w w:val="95"/>
                <w:sz w:val="20"/>
              </w:rPr>
              <w:t>腺</w:t>
            </w:r>
            <w:r>
              <w:rPr>
                <w:w w:val="95"/>
                <w:sz w:val="20"/>
              </w:rPr>
              <w:t>炎</w:t>
            </w:r>
            <w:r>
              <w:rPr>
                <w:w w:val="95"/>
                <w:sz w:val="20"/>
              </w:rPr>
              <w:t>腹</w:t>
            </w:r>
            <w:r>
              <w:rPr>
                <w:w w:val="95"/>
                <w:sz w:val="20"/>
              </w:rPr>
              <w:t>腔</w:t>
            </w:r>
            <w:r>
              <w:rPr>
                <w:w w:val="95"/>
                <w:sz w:val="20"/>
              </w:rPr>
              <w:t>镜</w:t>
            </w:r>
            <w:r>
              <w:rPr>
                <w:w w:val="95"/>
                <w:sz w:val="20"/>
              </w:rPr>
              <w:t>手</w:t>
            </w:r>
            <w:r>
              <w:rPr>
                <w:spacing w:val="-10"/>
                <w:w w:val="95"/>
                <w:sz w:val="20"/>
              </w:rPr>
              <w:t>术</w:t>
            </w:r>
          </w:p>
        </w:tc>
        <w:tc>
          <w:tcPr>
            <w:tcW w:w="2126" w:type="dxa"/>
          </w:tcPr>
          <w:p>
            <w:pPr>
              <w:pStyle w:val="TableParagraph"/>
              <w:spacing w:before="4"/>
              <w:ind w:left="0"/>
              <w:rPr>
                <w:b/>
                <w:sz w:val="14"/>
              </w:rPr>
            </w:pPr>
          </w:p>
          <w:p>
            <w:pPr>
              <w:pStyle w:val="TableParagraph"/>
              <w:rPr>
                <w:sz w:val="20"/>
              </w:rPr>
            </w:pPr>
            <w:r>
              <w:rPr>
                <w:w w:val="95"/>
                <w:sz w:val="20"/>
              </w:rPr>
              <w:t>2.</w:t>
            </w:r>
            <w:r>
              <w:rPr>
                <w:w w:val="95"/>
                <w:sz w:val="20"/>
              </w:rPr>
              <w:t>中</w:t>
            </w:r>
            <w:r>
              <w:rPr>
                <w:w w:val="95"/>
                <w:sz w:val="20"/>
              </w:rPr>
              <w:t>度</w:t>
            </w:r>
            <w:r>
              <w:rPr>
                <w:w w:val="95"/>
                <w:sz w:val="20"/>
              </w:rPr>
              <w:t>阿</w:t>
            </w:r>
            <w:r>
              <w:rPr>
                <w:w w:val="95"/>
                <w:sz w:val="20"/>
              </w:rPr>
              <w:t>尔</w:t>
            </w:r>
            <w:r>
              <w:rPr>
                <w:w w:val="95"/>
                <w:sz w:val="20"/>
              </w:rPr>
              <w:t>兹</w:t>
            </w:r>
            <w:r>
              <w:rPr>
                <w:w w:val="95"/>
                <w:sz w:val="20"/>
              </w:rPr>
              <w:t>海</w:t>
            </w:r>
            <w:r>
              <w:rPr>
                <w:w w:val="95"/>
                <w:sz w:val="20"/>
              </w:rPr>
              <w:t>默</w:t>
            </w:r>
            <w:r>
              <w:rPr>
                <w:spacing w:val="-10"/>
                <w:w w:val="95"/>
                <w:sz w:val="20"/>
              </w:rPr>
              <w:t>病</w:t>
            </w:r>
          </w:p>
        </w:tc>
        <w:tc>
          <w:tcPr>
            <w:tcW w:w="2126" w:type="dxa"/>
          </w:tcPr>
          <w:p>
            <w:pPr>
              <w:pStyle w:val="TableParagraph"/>
              <w:spacing w:before="27"/>
              <w:rPr>
                <w:sz w:val="20"/>
              </w:rPr>
            </w:pPr>
            <w:r>
              <w:rPr>
                <w:w w:val="95"/>
                <w:sz w:val="20"/>
              </w:rPr>
              <w:t>2.</w:t>
            </w:r>
            <w:r>
              <w:rPr>
                <w:spacing w:val="14"/>
                <w:w w:val="95"/>
                <w:sz w:val="20"/>
              </w:rPr>
              <w:t>微</w:t>
            </w:r>
            <w:r>
              <w:rPr>
                <w:spacing w:val="14"/>
                <w:w w:val="95"/>
                <w:sz w:val="20"/>
              </w:rPr>
              <w:t>创</w:t>
            </w:r>
            <w:r>
              <w:rPr>
                <w:spacing w:val="14"/>
                <w:w w:val="95"/>
                <w:sz w:val="20"/>
              </w:rPr>
              <w:t>冠</w:t>
            </w:r>
            <w:r>
              <w:rPr>
                <w:spacing w:val="14"/>
                <w:w w:val="95"/>
                <w:sz w:val="20"/>
              </w:rPr>
              <w:t>状</w:t>
            </w:r>
            <w:r>
              <w:rPr>
                <w:spacing w:val="14"/>
                <w:w w:val="95"/>
                <w:sz w:val="20"/>
              </w:rPr>
              <w:t>动</w:t>
            </w:r>
            <w:r>
              <w:rPr>
                <w:spacing w:val="14"/>
                <w:w w:val="95"/>
                <w:sz w:val="20"/>
              </w:rPr>
              <w:t>脉</w:t>
            </w:r>
            <w:r>
              <w:rPr>
                <w:spacing w:val="14"/>
                <w:w w:val="95"/>
                <w:sz w:val="20"/>
              </w:rPr>
              <w:t>搭</w:t>
            </w:r>
            <w:r>
              <w:rPr>
                <w:spacing w:val="4"/>
                <w:w w:val="95"/>
                <w:sz w:val="20"/>
              </w:rPr>
              <w:t>桥</w:t>
            </w:r>
          </w:p>
          <w:p>
            <w:pPr>
              <w:pStyle w:val="TableParagraph"/>
              <w:spacing w:before="56"/>
              <w:rPr>
                <w:sz w:val="20"/>
              </w:rPr>
            </w:pPr>
            <w:r>
              <w:rPr>
                <w:w w:val="99"/>
                <w:sz w:val="20"/>
              </w:rPr>
              <w:t>术</w:t>
            </w:r>
          </w:p>
        </w:tc>
        <w:tc>
          <w:tcPr>
            <w:tcW w:w="2126" w:type="dxa"/>
          </w:tcPr>
          <w:p>
            <w:pPr>
              <w:pStyle w:val="TableParagraph"/>
              <w:spacing w:before="4"/>
              <w:ind w:left="0"/>
              <w:rPr>
                <w:b/>
                <w:sz w:val="14"/>
              </w:rPr>
            </w:pPr>
          </w:p>
          <w:p>
            <w:pPr>
              <w:pStyle w:val="TableParagraph"/>
              <w:ind w:left="109"/>
              <w:rPr>
                <w:sz w:val="20"/>
              </w:rPr>
            </w:pPr>
            <w:r>
              <w:rPr>
                <w:w w:val="95"/>
                <w:sz w:val="20"/>
              </w:rPr>
              <w:t>2.</w:t>
            </w:r>
            <w:r>
              <w:rPr>
                <w:w w:val="95"/>
                <w:sz w:val="20"/>
              </w:rPr>
              <w:t>肾</w:t>
            </w:r>
            <w:r>
              <w:rPr>
                <w:w w:val="95"/>
                <w:sz w:val="20"/>
              </w:rPr>
              <w:t>脏</w:t>
            </w:r>
            <w:r>
              <w:rPr>
                <w:w w:val="95"/>
                <w:sz w:val="20"/>
              </w:rPr>
              <w:t>切</w:t>
            </w:r>
            <w:r>
              <w:rPr>
                <w:spacing w:val="-10"/>
                <w:w w:val="95"/>
                <w:sz w:val="20"/>
              </w:rPr>
              <w:t>除</w:t>
            </w:r>
          </w:p>
        </w:tc>
      </w:tr>
      <w:tr>
        <w:trPr>
          <w:trHeight w:val="626" w:hRule="atLeast"/>
        </w:trPr>
        <w:tc>
          <w:tcPr>
            <w:tcW w:w="2165" w:type="dxa"/>
          </w:tcPr>
          <w:p>
            <w:pPr>
              <w:pStyle w:val="TableParagraph"/>
              <w:spacing w:before="6"/>
              <w:ind w:left="0"/>
              <w:rPr>
                <w:b/>
                <w:sz w:val="14"/>
              </w:rPr>
            </w:pPr>
          </w:p>
          <w:p>
            <w:pPr>
              <w:pStyle w:val="TableParagraph"/>
              <w:spacing w:before="1"/>
              <w:ind w:left="107"/>
              <w:rPr>
                <w:sz w:val="20"/>
              </w:rPr>
            </w:pPr>
            <w:r>
              <w:rPr>
                <w:w w:val="95"/>
                <w:sz w:val="20"/>
              </w:rPr>
              <w:t>3.</w:t>
            </w:r>
            <w:r>
              <w:rPr>
                <w:w w:val="95"/>
                <w:sz w:val="20"/>
              </w:rPr>
              <w:t>肝</w:t>
            </w:r>
            <w:r>
              <w:rPr>
                <w:w w:val="95"/>
                <w:sz w:val="20"/>
              </w:rPr>
              <w:t>叶</w:t>
            </w:r>
            <w:r>
              <w:rPr>
                <w:w w:val="95"/>
                <w:sz w:val="20"/>
              </w:rPr>
              <w:t>切</w:t>
            </w:r>
            <w:r>
              <w:rPr>
                <w:spacing w:val="-10"/>
                <w:w w:val="95"/>
                <w:sz w:val="20"/>
              </w:rPr>
              <w:t>除</w:t>
            </w:r>
          </w:p>
        </w:tc>
        <w:tc>
          <w:tcPr>
            <w:tcW w:w="2126" w:type="dxa"/>
          </w:tcPr>
          <w:p>
            <w:pPr>
              <w:pStyle w:val="TableParagraph"/>
              <w:spacing w:before="30"/>
              <w:rPr>
                <w:sz w:val="20"/>
              </w:rPr>
            </w:pPr>
            <w:r>
              <w:rPr>
                <w:w w:val="95"/>
                <w:sz w:val="20"/>
              </w:rPr>
              <w:t>3.</w:t>
            </w:r>
            <w:r>
              <w:rPr>
                <w:spacing w:val="14"/>
                <w:w w:val="95"/>
                <w:sz w:val="20"/>
              </w:rPr>
              <w:t>中</w:t>
            </w:r>
            <w:r>
              <w:rPr>
                <w:spacing w:val="14"/>
                <w:w w:val="95"/>
                <w:sz w:val="20"/>
              </w:rPr>
              <w:t>度</w:t>
            </w:r>
            <w:r>
              <w:rPr>
                <w:spacing w:val="14"/>
                <w:w w:val="95"/>
                <w:sz w:val="20"/>
              </w:rPr>
              <w:t>脑</w:t>
            </w:r>
            <w:r>
              <w:rPr>
                <w:spacing w:val="14"/>
                <w:w w:val="95"/>
                <w:sz w:val="20"/>
              </w:rPr>
              <w:t>炎</w:t>
            </w:r>
            <w:r>
              <w:rPr>
                <w:spacing w:val="14"/>
                <w:w w:val="95"/>
                <w:sz w:val="20"/>
              </w:rPr>
              <w:t>或</w:t>
            </w:r>
            <w:r>
              <w:rPr>
                <w:spacing w:val="14"/>
                <w:w w:val="95"/>
                <w:sz w:val="20"/>
              </w:rPr>
              <w:t>脑</w:t>
            </w:r>
            <w:r>
              <w:rPr>
                <w:spacing w:val="14"/>
                <w:w w:val="95"/>
                <w:sz w:val="20"/>
              </w:rPr>
              <w:t>膜</w:t>
            </w:r>
            <w:r>
              <w:rPr>
                <w:spacing w:val="4"/>
                <w:w w:val="95"/>
                <w:sz w:val="20"/>
              </w:rPr>
              <w:t>炎</w:t>
            </w:r>
          </w:p>
          <w:p>
            <w:pPr>
              <w:pStyle w:val="TableParagraph"/>
              <w:spacing w:before="56"/>
              <w:rPr>
                <w:sz w:val="20"/>
              </w:rPr>
            </w:pPr>
            <w:r>
              <w:rPr>
                <w:w w:val="95"/>
                <w:sz w:val="20"/>
              </w:rPr>
              <w:t>后</w:t>
            </w:r>
            <w:r>
              <w:rPr>
                <w:w w:val="95"/>
                <w:sz w:val="20"/>
              </w:rPr>
              <w:t>遗</w:t>
            </w:r>
            <w:r>
              <w:rPr>
                <w:spacing w:val="-10"/>
                <w:w w:val="95"/>
                <w:sz w:val="20"/>
              </w:rPr>
              <w:t>症</w:t>
            </w:r>
          </w:p>
        </w:tc>
        <w:tc>
          <w:tcPr>
            <w:tcW w:w="2126" w:type="dxa"/>
          </w:tcPr>
          <w:p>
            <w:pPr>
              <w:pStyle w:val="TableParagraph"/>
              <w:spacing w:before="30"/>
              <w:rPr>
                <w:sz w:val="20"/>
              </w:rPr>
            </w:pPr>
            <w:r>
              <w:rPr>
                <w:w w:val="95"/>
                <w:sz w:val="20"/>
              </w:rPr>
              <w:t>3.</w:t>
            </w:r>
            <w:r>
              <w:rPr>
                <w:spacing w:val="14"/>
                <w:w w:val="95"/>
                <w:sz w:val="20"/>
              </w:rPr>
              <w:t>冠</w:t>
            </w:r>
            <w:r>
              <w:rPr>
                <w:spacing w:val="14"/>
                <w:w w:val="95"/>
                <w:sz w:val="20"/>
              </w:rPr>
              <w:t>状</w:t>
            </w:r>
            <w:r>
              <w:rPr>
                <w:spacing w:val="14"/>
                <w:w w:val="95"/>
                <w:sz w:val="20"/>
              </w:rPr>
              <w:t>动</w:t>
            </w:r>
            <w:r>
              <w:rPr>
                <w:spacing w:val="14"/>
                <w:w w:val="95"/>
                <w:sz w:val="20"/>
              </w:rPr>
              <w:t>脉</w:t>
            </w:r>
            <w:r>
              <w:rPr>
                <w:spacing w:val="14"/>
                <w:w w:val="95"/>
                <w:sz w:val="20"/>
              </w:rPr>
              <w:t>介</w:t>
            </w:r>
            <w:r>
              <w:rPr>
                <w:spacing w:val="14"/>
                <w:w w:val="95"/>
                <w:sz w:val="20"/>
              </w:rPr>
              <w:t>入</w:t>
            </w:r>
            <w:r>
              <w:rPr>
                <w:spacing w:val="14"/>
                <w:w w:val="95"/>
                <w:sz w:val="20"/>
              </w:rPr>
              <w:t>手</w:t>
            </w:r>
            <w:r>
              <w:rPr>
                <w:spacing w:val="4"/>
                <w:w w:val="95"/>
                <w:sz w:val="20"/>
              </w:rPr>
              <w:t>术</w:t>
            </w:r>
          </w:p>
          <w:p>
            <w:pPr>
              <w:pStyle w:val="TableParagraph"/>
              <w:spacing w:before="56"/>
              <w:rPr>
                <w:sz w:val="20"/>
              </w:rPr>
            </w:pPr>
            <w:r>
              <w:rPr>
                <w:w w:val="95"/>
                <w:sz w:val="20"/>
              </w:rPr>
              <w:t>（</w:t>
            </w:r>
            <w:r>
              <w:rPr>
                <w:w w:val="95"/>
                <w:sz w:val="20"/>
              </w:rPr>
              <w:t>非</w:t>
            </w:r>
            <w:r>
              <w:rPr>
                <w:w w:val="95"/>
                <w:sz w:val="20"/>
              </w:rPr>
              <w:t>开</w:t>
            </w:r>
            <w:r>
              <w:rPr>
                <w:w w:val="95"/>
                <w:sz w:val="20"/>
              </w:rPr>
              <w:t>胸</w:t>
            </w:r>
            <w:r>
              <w:rPr>
                <w:w w:val="95"/>
                <w:sz w:val="20"/>
              </w:rPr>
              <w:t>手</w:t>
            </w:r>
            <w:r>
              <w:rPr>
                <w:w w:val="95"/>
                <w:sz w:val="20"/>
              </w:rPr>
              <w:t>术</w:t>
            </w:r>
            <w:r>
              <w:rPr>
                <w:spacing w:val="-10"/>
                <w:w w:val="95"/>
                <w:sz w:val="20"/>
              </w:rPr>
              <w:t>）</w:t>
            </w:r>
          </w:p>
        </w:tc>
        <w:tc>
          <w:tcPr>
            <w:tcW w:w="2126" w:type="dxa"/>
          </w:tcPr>
          <w:p>
            <w:pPr>
              <w:pStyle w:val="TableParagraph"/>
              <w:spacing w:before="6"/>
              <w:ind w:left="0"/>
              <w:rPr>
                <w:b/>
                <w:sz w:val="14"/>
              </w:rPr>
            </w:pPr>
          </w:p>
          <w:p>
            <w:pPr>
              <w:pStyle w:val="TableParagraph"/>
              <w:spacing w:before="1"/>
              <w:ind w:left="109"/>
              <w:rPr>
                <w:sz w:val="20"/>
              </w:rPr>
            </w:pPr>
            <w:r>
              <w:rPr>
                <w:w w:val="95"/>
                <w:sz w:val="20"/>
              </w:rPr>
              <w:t>3.</w:t>
            </w:r>
            <w:r>
              <w:rPr>
                <w:w w:val="95"/>
                <w:sz w:val="20"/>
              </w:rPr>
              <w:t>糖</w:t>
            </w:r>
            <w:r>
              <w:rPr>
                <w:w w:val="95"/>
                <w:sz w:val="20"/>
              </w:rPr>
              <w:t>尿</w:t>
            </w:r>
            <w:r>
              <w:rPr>
                <w:w w:val="95"/>
                <w:sz w:val="20"/>
              </w:rPr>
              <w:t>病</w:t>
            </w:r>
            <w:r>
              <w:rPr>
                <w:w w:val="95"/>
                <w:sz w:val="20"/>
              </w:rPr>
              <w:t>肾</w:t>
            </w:r>
            <w:r>
              <w:rPr>
                <w:spacing w:val="-10"/>
                <w:w w:val="95"/>
                <w:sz w:val="20"/>
              </w:rPr>
              <w:t>病</w:t>
            </w:r>
          </w:p>
        </w:tc>
      </w:tr>
      <w:tr>
        <w:trPr>
          <w:trHeight w:val="623" w:hRule="atLeast"/>
        </w:trPr>
        <w:tc>
          <w:tcPr>
            <w:tcW w:w="2165" w:type="dxa"/>
          </w:tcPr>
          <w:p>
            <w:pPr>
              <w:pStyle w:val="TableParagraph"/>
              <w:spacing w:before="4"/>
              <w:ind w:left="0"/>
              <w:rPr>
                <w:b/>
                <w:sz w:val="14"/>
              </w:rPr>
            </w:pPr>
          </w:p>
          <w:p>
            <w:pPr>
              <w:pStyle w:val="TableParagraph"/>
              <w:spacing w:before="1"/>
              <w:ind w:left="107"/>
              <w:rPr>
                <w:sz w:val="20"/>
              </w:rPr>
            </w:pPr>
            <w:r>
              <w:rPr>
                <w:w w:val="95"/>
                <w:sz w:val="20"/>
              </w:rPr>
              <w:t>4.</w:t>
            </w:r>
            <w:r>
              <w:rPr>
                <w:w w:val="95"/>
                <w:sz w:val="20"/>
              </w:rPr>
              <w:t>单</w:t>
            </w:r>
            <w:r>
              <w:rPr>
                <w:w w:val="95"/>
                <w:sz w:val="20"/>
              </w:rPr>
              <w:t>侧</w:t>
            </w:r>
            <w:r>
              <w:rPr>
                <w:w w:val="95"/>
                <w:sz w:val="20"/>
              </w:rPr>
              <w:t>肺</w:t>
            </w:r>
            <w:r>
              <w:rPr>
                <w:w w:val="95"/>
                <w:sz w:val="20"/>
              </w:rPr>
              <w:t>脏</w:t>
            </w:r>
            <w:r>
              <w:rPr>
                <w:w w:val="95"/>
                <w:sz w:val="20"/>
              </w:rPr>
              <w:t>切</w:t>
            </w:r>
            <w:r>
              <w:rPr>
                <w:spacing w:val="-10"/>
                <w:w w:val="95"/>
                <w:sz w:val="20"/>
              </w:rPr>
              <w:t>除</w:t>
            </w:r>
          </w:p>
        </w:tc>
        <w:tc>
          <w:tcPr>
            <w:tcW w:w="2126" w:type="dxa"/>
          </w:tcPr>
          <w:p>
            <w:pPr>
              <w:pStyle w:val="TableParagraph"/>
              <w:spacing w:before="4"/>
              <w:ind w:left="0"/>
              <w:rPr>
                <w:b/>
                <w:sz w:val="14"/>
              </w:rPr>
            </w:pPr>
          </w:p>
          <w:p>
            <w:pPr>
              <w:pStyle w:val="TableParagraph"/>
              <w:spacing w:before="1"/>
              <w:rPr>
                <w:sz w:val="20"/>
              </w:rPr>
            </w:pPr>
            <w:r>
              <w:rPr>
                <w:w w:val="95"/>
                <w:sz w:val="20"/>
              </w:rPr>
              <w:t>4.</w:t>
            </w:r>
            <w:r>
              <w:rPr>
                <w:w w:val="95"/>
                <w:sz w:val="20"/>
              </w:rPr>
              <w:t>中</w:t>
            </w:r>
            <w:r>
              <w:rPr>
                <w:w w:val="95"/>
                <w:sz w:val="20"/>
              </w:rPr>
              <w:t>度</w:t>
            </w:r>
            <w:r>
              <w:rPr>
                <w:w w:val="95"/>
                <w:sz w:val="20"/>
              </w:rPr>
              <w:t>脑</w:t>
            </w:r>
            <w:r>
              <w:rPr>
                <w:w w:val="95"/>
                <w:sz w:val="20"/>
              </w:rPr>
              <w:t>损</w:t>
            </w:r>
            <w:r>
              <w:rPr>
                <w:spacing w:val="-10"/>
                <w:w w:val="95"/>
                <w:sz w:val="20"/>
              </w:rPr>
              <w:t>伤</w:t>
            </w:r>
          </w:p>
        </w:tc>
        <w:tc>
          <w:tcPr>
            <w:tcW w:w="2126" w:type="dxa"/>
          </w:tcPr>
          <w:p>
            <w:pPr>
              <w:pStyle w:val="TableParagraph"/>
              <w:spacing w:before="28"/>
              <w:rPr>
                <w:sz w:val="20"/>
              </w:rPr>
            </w:pPr>
            <w:r>
              <w:rPr>
                <w:w w:val="95"/>
                <w:sz w:val="20"/>
              </w:rPr>
              <w:t>4.</w:t>
            </w:r>
            <w:r>
              <w:rPr>
                <w:spacing w:val="14"/>
                <w:w w:val="95"/>
                <w:sz w:val="20"/>
              </w:rPr>
              <w:t>心</w:t>
            </w:r>
            <w:r>
              <w:rPr>
                <w:spacing w:val="14"/>
                <w:w w:val="95"/>
                <w:sz w:val="20"/>
              </w:rPr>
              <w:t>脏</w:t>
            </w:r>
            <w:r>
              <w:rPr>
                <w:spacing w:val="14"/>
                <w:w w:val="95"/>
                <w:sz w:val="20"/>
              </w:rPr>
              <w:t>瓣</w:t>
            </w:r>
            <w:r>
              <w:rPr>
                <w:spacing w:val="14"/>
                <w:w w:val="95"/>
                <w:sz w:val="20"/>
              </w:rPr>
              <w:t>膜</w:t>
            </w:r>
            <w:r>
              <w:rPr>
                <w:spacing w:val="14"/>
                <w:w w:val="95"/>
                <w:sz w:val="20"/>
              </w:rPr>
              <w:t>介</w:t>
            </w:r>
            <w:r>
              <w:rPr>
                <w:spacing w:val="14"/>
                <w:w w:val="95"/>
                <w:sz w:val="20"/>
              </w:rPr>
              <w:t>入</w:t>
            </w:r>
            <w:r>
              <w:rPr>
                <w:spacing w:val="14"/>
                <w:w w:val="95"/>
                <w:sz w:val="20"/>
              </w:rPr>
              <w:t>手</w:t>
            </w:r>
            <w:r>
              <w:rPr>
                <w:spacing w:val="4"/>
                <w:w w:val="95"/>
                <w:sz w:val="20"/>
              </w:rPr>
              <w:t>术</w:t>
            </w:r>
          </w:p>
          <w:p>
            <w:pPr>
              <w:pStyle w:val="TableParagraph"/>
              <w:spacing w:before="56"/>
              <w:rPr>
                <w:sz w:val="20"/>
              </w:rPr>
            </w:pPr>
            <w:r>
              <w:rPr>
                <w:w w:val="95"/>
                <w:sz w:val="20"/>
              </w:rPr>
              <w:t>（</w:t>
            </w:r>
            <w:r>
              <w:rPr>
                <w:w w:val="95"/>
                <w:sz w:val="20"/>
              </w:rPr>
              <w:t>非</w:t>
            </w:r>
            <w:r>
              <w:rPr>
                <w:w w:val="95"/>
                <w:sz w:val="20"/>
              </w:rPr>
              <w:t>开</w:t>
            </w:r>
            <w:r>
              <w:rPr>
                <w:w w:val="95"/>
                <w:sz w:val="20"/>
              </w:rPr>
              <w:t>胸</w:t>
            </w:r>
            <w:r>
              <w:rPr>
                <w:w w:val="95"/>
                <w:sz w:val="20"/>
              </w:rPr>
              <w:t>手</w:t>
            </w:r>
            <w:r>
              <w:rPr>
                <w:w w:val="95"/>
                <w:sz w:val="20"/>
              </w:rPr>
              <w:t>术</w:t>
            </w:r>
            <w:r>
              <w:rPr>
                <w:spacing w:val="-10"/>
                <w:w w:val="95"/>
                <w:sz w:val="20"/>
              </w:rPr>
              <w:t>）</w:t>
            </w:r>
          </w:p>
        </w:tc>
        <w:tc>
          <w:tcPr>
            <w:tcW w:w="2126" w:type="dxa"/>
          </w:tcPr>
          <w:p>
            <w:pPr>
              <w:pStyle w:val="TableParagraph"/>
              <w:spacing w:before="28"/>
              <w:ind w:left="109"/>
              <w:rPr>
                <w:sz w:val="20"/>
              </w:rPr>
            </w:pPr>
            <w:r>
              <w:rPr>
                <w:w w:val="95"/>
                <w:sz w:val="20"/>
              </w:rPr>
              <w:t>4.</w:t>
            </w:r>
            <w:r>
              <w:rPr>
                <w:spacing w:val="14"/>
                <w:w w:val="95"/>
                <w:sz w:val="20"/>
              </w:rPr>
              <w:t>因</w:t>
            </w:r>
            <w:r>
              <w:rPr>
                <w:spacing w:val="14"/>
                <w:w w:val="95"/>
                <w:sz w:val="20"/>
              </w:rPr>
              <w:t>肾</w:t>
            </w:r>
            <w:r>
              <w:rPr>
                <w:spacing w:val="14"/>
                <w:w w:val="95"/>
                <w:sz w:val="20"/>
              </w:rPr>
              <w:t>上</w:t>
            </w:r>
            <w:r>
              <w:rPr>
                <w:spacing w:val="14"/>
                <w:w w:val="95"/>
                <w:sz w:val="20"/>
              </w:rPr>
              <w:t>腺</w:t>
            </w:r>
            <w:r>
              <w:rPr>
                <w:spacing w:val="14"/>
                <w:w w:val="95"/>
                <w:sz w:val="20"/>
              </w:rPr>
              <w:t>腺</w:t>
            </w:r>
            <w:r>
              <w:rPr>
                <w:spacing w:val="14"/>
                <w:w w:val="95"/>
                <w:sz w:val="20"/>
              </w:rPr>
              <w:t>瘤</w:t>
            </w:r>
            <w:r>
              <w:rPr>
                <w:spacing w:val="14"/>
                <w:w w:val="95"/>
                <w:sz w:val="20"/>
              </w:rPr>
              <w:t>的</w:t>
            </w:r>
            <w:r>
              <w:rPr>
                <w:spacing w:val="4"/>
                <w:w w:val="95"/>
                <w:sz w:val="20"/>
              </w:rPr>
              <w:t>肾</w:t>
            </w:r>
          </w:p>
          <w:p>
            <w:pPr>
              <w:pStyle w:val="TableParagraph"/>
              <w:spacing w:before="56"/>
              <w:ind w:left="109"/>
              <w:rPr>
                <w:sz w:val="20"/>
              </w:rPr>
            </w:pPr>
            <w:r>
              <w:rPr>
                <w:w w:val="95"/>
                <w:sz w:val="20"/>
              </w:rPr>
              <w:t>上</w:t>
            </w:r>
            <w:r>
              <w:rPr>
                <w:w w:val="95"/>
                <w:sz w:val="20"/>
              </w:rPr>
              <w:t>腺</w:t>
            </w:r>
            <w:r>
              <w:rPr>
                <w:w w:val="95"/>
                <w:sz w:val="20"/>
              </w:rPr>
              <w:t>切</w:t>
            </w:r>
            <w:r>
              <w:rPr>
                <w:spacing w:val="-5"/>
                <w:w w:val="95"/>
                <w:sz w:val="20"/>
              </w:rPr>
              <w:t>除术</w:t>
            </w:r>
          </w:p>
        </w:tc>
      </w:tr>
      <w:tr>
        <w:trPr>
          <w:trHeight w:val="623" w:hRule="atLeast"/>
        </w:trPr>
        <w:tc>
          <w:tcPr>
            <w:tcW w:w="2165" w:type="dxa"/>
          </w:tcPr>
          <w:p>
            <w:pPr>
              <w:pStyle w:val="TableParagraph"/>
              <w:spacing w:before="28"/>
              <w:ind w:left="107"/>
              <w:rPr>
                <w:sz w:val="20"/>
              </w:rPr>
            </w:pPr>
            <w:r>
              <w:rPr>
                <w:w w:val="95"/>
                <w:sz w:val="20"/>
              </w:rPr>
              <w:t>5</w:t>
            </w:r>
            <w:r>
              <w:rPr>
                <w:spacing w:val="-6"/>
                <w:w w:val="95"/>
                <w:sz w:val="20"/>
              </w:rPr>
              <w:t>. </w:t>
            </w:r>
            <w:r>
              <w:rPr>
                <w:spacing w:val="19"/>
                <w:w w:val="95"/>
                <w:sz w:val="20"/>
              </w:rPr>
              <w:t>双</w:t>
            </w:r>
            <w:r>
              <w:rPr>
                <w:spacing w:val="19"/>
                <w:w w:val="95"/>
                <w:sz w:val="20"/>
              </w:rPr>
              <w:t>侧</w:t>
            </w:r>
            <w:r>
              <w:rPr>
                <w:spacing w:val="19"/>
                <w:w w:val="95"/>
                <w:sz w:val="20"/>
              </w:rPr>
              <w:t>卵</w:t>
            </w:r>
            <w:r>
              <w:rPr>
                <w:spacing w:val="19"/>
                <w:w w:val="95"/>
                <w:sz w:val="20"/>
              </w:rPr>
              <w:t>巢</w:t>
            </w:r>
            <w:r>
              <w:rPr>
                <w:spacing w:val="19"/>
                <w:w w:val="95"/>
                <w:sz w:val="20"/>
              </w:rPr>
              <w:t>或</w:t>
            </w:r>
            <w:r>
              <w:rPr>
                <w:spacing w:val="19"/>
                <w:w w:val="95"/>
                <w:sz w:val="20"/>
              </w:rPr>
              <w:t>睾</w:t>
            </w:r>
            <w:r>
              <w:rPr>
                <w:spacing w:val="19"/>
                <w:w w:val="95"/>
                <w:sz w:val="20"/>
              </w:rPr>
              <w:t>丸</w:t>
            </w:r>
            <w:r>
              <w:rPr>
                <w:spacing w:val="9"/>
                <w:w w:val="95"/>
                <w:sz w:val="20"/>
              </w:rPr>
              <w:t>切</w:t>
            </w:r>
          </w:p>
          <w:p>
            <w:pPr>
              <w:pStyle w:val="TableParagraph"/>
              <w:spacing w:before="55"/>
              <w:ind w:left="107"/>
              <w:rPr>
                <w:sz w:val="20"/>
              </w:rPr>
            </w:pPr>
            <w:r>
              <w:rPr>
                <w:w w:val="95"/>
                <w:sz w:val="20"/>
              </w:rPr>
              <w:t>除</w:t>
            </w:r>
            <w:r>
              <w:rPr>
                <w:spacing w:val="-10"/>
                <w:sz w:val="20"/>
              </w:rPr>
              <w:t>术</w:t>
            </w:r>
          </w:p>
        </w:tc>
        <w:tc>
          <w:tcPr>
            <w:tcW w:w="2126" w:type="dxa"/>
          </w:tcPr>
          <w:p>
            <w:pPr>
              <w:pStyle w:val="TableParagraph"/>
              <w:spacing w:before="28"/>
              <w:rPr>
                <w:sz w:val="20"/>
              </w:rPr>
            </w:pPr>
            <w:r>
              <w:rPr>
                <w:w w:val="95"/>
                <w:sz w:val="20"/>
              </w:rPr>
              <w:t>5.</w:t>
            </w:r>
            <w:r>
              <w:rPr>
                <w:w w:val="95"/>
                <w:sz w:val="20"/>
              </w:rPr>
              <w:t>脑</w:t>
            </w:r>
            <w:r>
              <w:rPr>
                <w:w w:val="95"/>
                <w:sz w:val="20"/>
              </w:rPr>
              <w:t>垂</w:t>
            </w:r>
            <w:r>
              <w:rPr>
                <w:w w:val="95"/>
                <w:sz w:val="20"/>
              </w:rPr>
              <w:t>体</w:t>
            </w:r>
            <w:r>
              <w:rPr>
                <w:w w:val="95"/>
                <w:sz w:val="20"/>
              </w:rPr>
              <w:t>瘤</w:t>
            </w:r>
            <w:r>
              <w:rPr>
                <w:w w:val="95"/>
                <w:sz w:val="20"/>
              </w:rPr>
              <w:t>、</w:t>
            </w:r>
            <w:r>
              <w:rPr>
                <w:w w:val="95"/>
                <w:sz w:val="20"/>
              </w:rPr>
              <w:t>脑</w:t>
            </w:r>
            <w:r>
              <w:rPr>
                <w:w w:val="95"/>
                <w:sz w:val="20"/>
              </w:rPr>
              <w:t>囊</w:t>
            </w:r>
            <w:r>
              <w:rPr>
                <w:w w:val="95"/>
                <w:sz w:val="20"/>
              </w:rPr>
              <w:t>肿</w:t>
            </w:r>
            <w:r>
              <w:rPr>
                <w:spacing w:val="-10"/>
                <w:w w:val="95"/>
                <w:sz w:val="20"/>
              </w:rPr>
              <w:t>、</w:t>
            </w:r>
          </w:p>
          <w:p>
            <w:pPr>
              <w:pStyle w:val="TableParagraph"/>
              <w:spacing w:before="55"/>
              <w:rPr>
                <w:sz w:val="20"/>
              </w:rPr>
            </w:pPr>
            <w:r>
              <w:rPr>
                <w:w w:val="95"/>
                <w:sz w:val="20"/>
              </w:rPr>
              <w:t>脑</w:t>
            </w:r>
            <w:r>
              <w:rPr>
                <w:w w:val="95"/>
                <w:sz w:val="20"/>
              </w:rPr>
              <w:t>动</w:t>
            </w:r>
            <w:r>
              <w:rPr>
                <w:w w:val="95"/>
                <w:sz w:val="20"/>
              </w:rPr>
              <w:t>脉</w:t>
            </w:r>
            <w:r>
              <w:rPr>
                <w:w w:val="95"/>
                <w:sz w:val="20"/>
              </w:rPr>
              <w:t>瘤</w:t>
            </w:r>
            <w:r>
              <w:rPr>
                <w:w w:val="95"/>
                <w:sz w:val="20"/>
              </w:rPr>
              <w:t>及</w:t>
            </w:r>
            <w:r>
              <w:rPr>
                <w:w w:val="95"/>
                <w:sz w:val="20"/>
              </w:rPr>
              <w:t>脑</w:t>
            </w:r>
            <w:r>
              <w:rPr>
                <w:w w:val="95"/>
                <w:sz w:val="20"/>
              </w:rPr>
              <w:t>血</w:t>
            </w:r>
            <w:r>
              <w:rPr>
                <w:w w:val="95"/>
                <w:sz w:val="20"/>
              </w:rPr>
              <w:t>管</w:t>
            </w:r>
            <w:r>
              <w:rPr>
                <w:spacing w:val="-10"/>
                <w:w w:val="95"/>
                <w:sz w:val="20"/>
              </w:rPr>
              <w:t>瘤</w:t>
            </w:r>
          </w:p>
        </w:tc>
        <w:tc>
          <w:tcPr>
            <w:tcW w:w="2126" w:type="dxa"/>
          </w:tcPr>
          <w:p>
            <w:pPr>
              <w:pStyle w:val="TableParagraph"/>
              <w:spacing w:before="28"/>
              <w:rPr>
                <w:sz w:val="20"/>
              </w:rPr>
            </w:pPr>
            <w:r>
              <w:rPr>
                <w:w w:val="95"/>
                <w:sz w:val="20"/>
              </w:rPr>
              <w:t>5.</w:t>
            </w:r>
            <w:r>
              <w:rPr>
                <w:w w:val="95"/>
                <w:sz w:val="20"/>
              </w:rPr>
              <w:t>主</w:t>
            </w:r>
            <w:r>
              <w:rPr>
                <w:w w:val="95"/>
                <w:sz w:val="20"/>
              </w:rPr>
              <w:t>动</w:t>
            </w:r>
            <w:r>
              <w:rPr>
                <w:w w:val="95"/>
                <w:sz w:val="20"/>
              </w:rPr>
              <w:t>脉</w:t>
            </w:r>
            <w:r>
              <w:rPr>
                <w:w w:val="95"/>
                <w:sz w:val="20"/>
              </w:rPr>
              <w:t>内</w:t>
            </w:r>
            <w:r>
              <w:rPr>
                <w:w w:val="95"/>
                <w:sz w:val="20"/>
              </w:rPr>
              <w:t>手</w:t>
            </w:r>
            <w:r>
              <w:rPr>
                <w:spacing w:val="-89"/>
                <w:w w:val="95"/>
                <w:sz w:val="20"/>
              </w:rPr>
              <w:t>术</w:t>
            </w:r>
            <w:r>
              <w:rPr>
                <w:w w:val="95"/>
                <w:sz w:val="20"/>
              </w:rPr>
              <w:t>（</w:t>
            </w:r>
            <w:r>
              <w:rPr>
                <w:w w:val="95"/>
                <w:sz w:val="20"/>
              </w:rPr>
              <w:t>非</w:t>
            </w:r>
            <w:r>
              <w:rPr>
                <w:spacing w:val="-10"/>
                <w:w w:val="95"/>
                <w:sz w:val="20"/>
              </w:rPr>
              <w:t>开</w:t>
            </w:r>
          </w:p>
          <w:p>
            <w:pPr>
              <w:pStyle w:val="TableParagraph"/>
              <w:spacing w:before="55"/>
              <w:rPr>
                <w:sz w:val="20"/>
              </w:rPr>
            </w:pPr>
            <w:r>
              <w:rPr>
                <w:w w:val="95"/>
                <w:sz w:val="20"/>
              </w:rPr>
              <w:t>胸</w:t>
            </w:r>
            <w:r>
              <w:rPr>
                <w:w w:val="95"/>
                <w:sz w:val="20"/>
              </w:rPr>
              <w:t>手</w:t>
            </w:r>
            <w:r>
              <w:rPr>
                <w:w w:val="95"/>
                <w:sz w:val="20"/>
              </w:rPr>
              <w:t>术</w:t>
            </w:r>
            <w:r>
              <w:rPr>
                <w:spacing w:val="-10"/>
                <w:w w:val="95"/>
                <w:sz w:val="20"/>
              </w:rPr>
              <w:t>）</w:t>
            </w:r>
          </w:p>
        </w:tc>
        <w:tc>
          <w:tcPr>
            <w:tcW w:w="2126" w:type="dxa"/>
          </w:tcPr>
          <w:p>
            <w:pPr>
              <w:pStyle w:val="TableParagraph"/>
              <w:spacing w:before="4"/>
              <w:ind w:left="0"/>
              <w:rPr>
                <w:b/>
                <w:sz w:val="14"/>
              </w:rPr>
            </w:pPr>
          </w:p>
          <w:p>
            <w:pPr>
              <w:pStyle w:val="TableParagraph"/>
              <w:ind w:left="109"/>
              <w:rPr>
                <w:sz w:val="20"/>
              </w:rPr>
            </w:pPr>
            <w:r>
              <w:rPr>
                <w:w w:val="95"/>
                <w:sz w:val="20"/>
              </w:rPr>
              <w:t>5.</w:t>
            </w:r>
            <w:r>
              <w:rPr>
                <w:w w:val="95"/>
                <w:sz w:val="20"/>
              </w:rPr>
              <w:t>单</w:t>
            </w:r>
            <w:r>
              <w:rPr>
                <w:w w:val="95"/>
                <w:sz w:val="20"/>
              </w:rPr>
              <w:t>个</w:t>
            </w:r>
            <w:r>
              <w:rPr>
                <w:w w:val="95"/>
                <w:sz w:val="20"/>
              </w:rPr>
              <w:t>肢</w:t>
            </w:r>
            <w:r>
              <w:rPr>
                <w:w w:val="95"/>
                <w:sz w:val="20"/>
              </w:rPr>
              <w:t>体</w:t>
            </w:r>
            <w:r>
              <w:rPr>
                <w:w w:val="95"/>
                <w:sz w:val="20"/>
              </w:rPr>
              <w:t>缺</w:t>
            </w:r>
            <w:r>
              <w:rPr>
                <w:spacing w:val="-10"/>
                <w:w w:val="95"/>
                <w:sz w:val="20"/>
              </w:rPr>
              <w:t>失</w:t>
            </w:r>
          </w:p>
        </w:tc>
      </w:tr>
      <w:tr>
        <w:trPr>
          <w:trHeight w:val="453" w:hRule="atLeast"/>
        </w:trPr>
        <w:tc>
          <w:tcPr>
            <w:tcW w:w="2165" w:type="dxa"/>
          </w:tcPr>
          <w:p>
            <w:pPr>
              <w:pStyle w:val="TableParagraph"/>
              <w:spacing w:before="100"/>
              <w:ind w:left="107"/>
              <w:rPr>
                <w:sz w:val="20"/>
              </w:rPr>
            </w:pPr>
            <w:r>
              <w:rPr>
                <w:w w:val="95"/>
                <w:sz w:val="20"/>
              </w:rPr>
              <w:t>6.</w:t>
            </w:r>
            <w:r>
              <w:rPr>
                <w:w w:val="95"/>
                <w:sz w:val="20"/>
              </w:rPr>
              <w:t>胆</w:t>
            </w:r>
            <w:r>
              <w:rPr>
                <w:w w:val="95"/>
                <w:sz w:val="20"/>
              </w:rPr>
              <w:t>总</w:t>
            </w:r>
            <w:r>
              <w:rPr>
                <w:w w:val="95"/>
                <w:sz w:val="20"/>
              </w:rPr>
              <w:t>管</w:t>
            </w:r>
            <w:r>
              <w:rPr>
                <w:w w:val="95"/>
                <w:sz w:val="20"/>
              </w:rPr>
              <w:t>小</w:t>
            </w:r>
            <w:r>
              <w:rPr>
                <w:w w:val="95"/>
                <w:sz w:val="20"/>
              </w:rPr>
              <w:t>肠</w:t>
            </w:r>
            <w:r>
              <w:rPr>
                <w:w w:val="95"/>
                <w:sz w:val="20"/>
              </w:rPr>
              <w:t>吻</w:t>
            </w:r>
            <w:r>
              <w:rPr>
                <w:w w:val="95"/>
                <w:sz w:val="20"/>
              </w:rPr>
              <w:t>合</w:t>
            </w:r>
            <w:r>
              <w:rPr>
                <w:spacing w:val="-10"/>
                <w:w w:val="95"/>
                <w:sz w:val="20"/>
              </w:rPr>
              <w:t>术</w:t>
            </w:r>
          </w:p>
        </w:tc>
        <w:tc>
          <w:tcPr>
            <w:tcW w:w="2126" w:type="dxa"/>
          </w:tcPr>
          <w:p>
            <w:pPr>
              <w:pStyle w:val="TableParagraph"/>
              <w:spacing w:before="100"/>
              <w:rPr>
                <w:sz w:val="20"/>
              </w:rPr>
            </w:pPr>
            <w:r>
              <w:rPr>
                <w:w w:val="95"/>
                <w:sz w:val="20"/>
              </w:rPr>
              <w:t>6.</w:t>
            </w:r>
            <w:r>
              <w:rPr>
                <w:w w:val="95"/>
                <w:sz w:val="20"/>
              </w:rPr>
              <w:t>中</w:t>
            </w:r>
            <w:r>
              <w:rPr>
                <w:w w:val="95"/>
                <w:sz w:val="20"/>
              </w:rPr>
              <w:t>度</w:t>
            </w:r>
            <w:r>
              <w:rPr>
                <w:w w:val="95"/>
                <w:sz w:val="20"/>
              </w:rPr>
              <w:t>运</w:t>
            </w:r>
            <w:r>
              <w:rPr>
                <w:w w:val="95"/>
                <w:sz w:val="20"/>
              </w:rPr>
              <w:t>动</w:t>
            </w:r>
            <w:r>
              <w:rPr>
                <w:w w:val="95"/>
                <w:sz w:val="20"/>
              </w:rPr>
              <w:t>神</w:t>
            </w:r>
            <w:r>
              <w:rPr>
                <w:w w:val="95"/>
                <w:sz w:val="20"/>
              </w:rPr>
              <w:t>经</w:t>
            </w:r>
            <w:r>
              <w:rPr>
                <w:w w:val="95"/>
                <w:sz w:val="20"/>
              </w:rPr>
              <w:t>元</w:t>
            </w:r>
            <w:r>
              <w:rPr>
                <w:spacing w:val="-10"/>
                <w:w w:val="95"/>
                <w:sz w:val="20"/>
              </w:rPr>
              <w:t>病</w:t>
            </w:r>
          </w:p>
        </w:tc>
        <w:tc>
          <w:tcPr>
            <w:tcW w:w="2126" w:type="dxa"/>
          </w:tcPr>
          <w:p>
            <w:pPr>
              <w:pStyle w:val="TableParagraph"/>
              <w:spacing w:before="100"/>
              <w:rPr>
                <w:sz w:val="20"/>
              </w:rPr>
            </w:pPr>
            <w:r>
              <w:rPr>
                <w:w w:val="95"/>
                <w:sz w:val="20"/>
              </w:rPr>
              <w:t>6.</w:t>
            </w:r>
            <w:r>
              <w:rPr>
                <w:w w:val="95"/>
                <w:sz w:val="20"/>
              </w:rPr>
              <w:t>心</w:t>
            </w:r>
            <w:r>
              <w:rPr>
                <w:w w:val="95"/>
                <w:sz w:val="20"/>
              </w:rPr>
              <w:t>包</w:t>
            </w:r>
            <w:r>
              <w:rPr>
                <w:w w:val="95"/>
                <w:sz w:val="20"/>
              </w:rPr>
              <w:t>膜</w:t>
            </w:r>
            <w:r>
              <w:rPr>
                <w:w w:val="95"/>
                <w:sz w:val="20"/>
              </w:rPr>
              <w:t>切</w:t>
            </w:r>
            <w:r>
              <w:rPr>
                <w:w w:val="95"/>
                <w:sz w:val="20"/>
              </w:rPr>
              <w:t>除</w:t>
            </w:r>
            <w:r>
              <w:rPr>
                <w:spacing w:val="-10"/>
                <w:w w:val="95"/>
                <w:sz w:val="20"/>
              </w:rPr>
              <w:t>术</w:t>
            </w:r>
          </w:p>
        </w:tc>
        <w:tc>
          <w:tcPr>
            <w:tcW w:w="2126" w:type="dxa"/>
          </w:tcPr>
          <w:p>
            <w:pPr>
              <w:pStyle w:val="TableParagraph"/>
              <w:spacing w:before="100"/>
              <w:ind w:left="109"/>
              <w:rPr>
                <w:sz w:val="20"/>
              </w:rPr>
            </w:pPr>
            <w:r>
              <w:rPr>
                <w:w w:val="95"/>
                <w:sz w:val="20"/>
              </w:rPr>
              <w:t>6.</w:t>
            </w:r>
            <w:r>
              <w:rPr>
                <w:w w:val="95"/>
                <w:sz w:val="20"/>
              </w:rPr>
              <w:t>单</w:t>
            </w:r>
            <w:r>
              <w:rPr>
                <w:w w:val="95"/>
                <w:sz w:val="20"/>
              </w:rPr>
              <w:t>耳</w:t>
            </w:r>
            <w:r>
              <w:rPr>
                <w:w w:val="95"/>
                <w:sz w:val="20"/>
              </w:rPr>
              <w:t>失</w:t>
            </w:r>
            <w:r>
              <w:rPr>
                <w:spacing w:val="-10"/>
                <w:w w:val="95"/>
                <w:sz w:val="20"/>
              </w:rPr>
              <w:t>聪</w:t>
            </w:r>
          </w:p>
        </w:tc>
      </w:tr>
      <w:tr>
        <w:trPr>
          <w:trHeight w:val="623" w:hRule="atLeast"/>
        </w:trPr>
        <w:tc>
          <w:tcPr>
            <w:tcW w:w="2165" w:type="dxa"/>
          </w:tcPr>
          <w:p>
            <w:pPr>
              <w:pStyle w:val="TableParagraph"/>
              <w:spacing w:before="27"/>
              <w:ind w:left="107"/>
              <w:rPr>
                <w:sz w:val="20"/>
              </w:rPr>
            </w:pPr>
            <w:r>
              <w:rPr>
                <w:w w:val="95"/>
                <w:sz w:val="20"/>
              </w:rPr>
              <w:t>7</w:t>
            </w:r>
            <w:r>
              <w:rPr>
                <w:spacing w:val="-6"/>
                <w:w w:val="95"/>
                <w:sz w:val="20"/>
              </w:rPr>
              <w:t>. </w:t>
            </w:r>
            <w:r>
              <w:rPr>
                <w:spacing w:val="19"/>
                <w:w w:val="95"/>
                <w:sz w:val="20"/>
              </w:rPr>
              <w:t>中</w:t>
            </w:r>
            <w:r>
              <w:rPr>
                <w:spacing w:val="19"/>
                <w:w w:val="95"/>
                <w:sz w:val="20"/>
              </w:rPr>
              <w:t>度</w:t>
            </w:r>
            <w:r>
              <w:rPr>
                <w:spacing w:val="19"/>
                <w:w w:val="95"/>
                <w:sz w:val="20"/>
              </w:rPr>
              <w:t>严</w:t>
            </w:r>
            <w:r>
              <w:rPr>
                <w:spacing w:val="19"/>
                <w:w w:val="95"/>
                <w:sz w:val="20"/>
              </w:rPr>
              <w:t>重</w:t>
            </w:r>
            <w:r>
              <w:rPr>
                <w:spacing w:val="19"/>
                <w:w w:val="95"/>
                <w:sz w:val="20"/>
              </w:rPr>
              <w:t>溃</w:t>
            </w:r>
            <w:r>
              <w:rPr>
                <w:spacing w:val="19"/>
                <w:w w:val="95"/>
                <w:sz w:val="20"/>
              </w:rPr>
              <w:t>疡</w:t>
            </w:r>
            <w:r>
              <w:rPr>
                <w:spacing w:val="19"/>
                <w:w w:val="95"/>
                <w:sz w:val="20"/>
              </w:rPr>
              <w:t>性</w:t>
            </w:r>
            <w:r>
              <w:rPr>
                <w:spacing w:val="9"/>
                <w:w w:val="95"/>
                <w:sz w:val="20"/>
              </w:rPr>
              <w:t>结</w:t>
            </w:r>
          </w:p>
          <w:p>
            <w:pPr>
              <w:pStyle w:val="TableParagraph"/>
              <w:spacing w:before="56"/>
              <w:ind w:left="107"/>
              <w:rPr>
                <w:sz w:val="20"/>
              </w:rPr>
            </w:pPr>
            <w:r>
              <w:rPr>
                <w:w w:val="95"/>
                <w:sz w:val="20"/>
              </w:rPr>
              <w:t>肠</w:t>
            </w:r>
            <w:r>
              <w:rPr>
                <w:spacing w:val="-10"/>
                <w:sz w:val="20"/>
              </w:rPr>
              <w:t>炎</w:t>
            </w:r>
          </w:p>
        </w:tc>
        <w:tc>
          <w:tcPr>
            <w:tcW w:w="2126" w:type="dxa"/>
          </w:tcPr>
          <w:p>
            <w:pPr>
              <w:pStyle w:val="TableParagraph"/>
              <w:spacing w:before="4"/>
              <w:ind w:left="0"/>
              <w:rPr>
                <w:b/>
                <w:sz w:val="14"/>
              </w:rPr>
            </w:pPr>
          </w:p>
          <w:p>
            <w:pPr>
              <w:pStyle w:val="TableParagraph"/>
              <w:rPr>
                <w:sz w:val="20"/>
              </w:rPr>
            </w:pPr>
            <w:r>
              <w:rPr>
                <w:w w:val="95"/>
                <w:sz w:val="20"/>
              </w:rPr>
              <w:t>7.</w:t>
            </w:r>
            <w:r>
              <w:rPr>
                <w:w w:val="95"/>
                <w:sz w:val="20"/>
              </w:rPr>
              <w:t>中</w:t>
            </w:r>
            <w:r>
              <w:rPr>
                <w:w w:val="95"/>
                <w:sz w:val="20"/>
              </w:rPr>
              <w:t>度</w:t>
            </w:r>
            <w:r>
              <w:rPr>
                <w:w w:val="95"/>
                <w:sz w:val="20"/>
              </w:rPr>
              <w:t>瘫</w:t>
            </w:r>
            <w:r>
              <w:rPr>
                <w:spacing w:val="-10"/>
                <w:w w:val="95"/>
                <w:sz w:val="20"/>
              </w:rPr>
              <w:t>痪</w:t>
            </w:r>
          </w:p>
        </w:tc>
        <w:tc>
          <w:tcPr>
            <w:tcW w:w="2126" w:type="dxa"/>
          </w:tcPr>
          <w:p>
            <w:pPr>
              <w:pStyle w:val="TableParagraph"/>
              <w:spacing w:before="4"/>
              <w:ind w:left="0"/>
              <w:rPr>
                <w:b/>
                <w:sz w:val="14"/>
              </w:rPr>
            </w:pPr>
          </w:p>
          <w:p>
            <w:pPr>
              <w:pStyle w:val="TableParagraph"/>
              <w:rPr>
                <w:sz w:val="20"/>
              </w:rPr>
            </w:pPr>
            <w:r>
              <w:rPr>
                <w:w w:val="95"/>
                <w:sz w:val="20"/>
              </w:rPr>
              <w:t>7.</w:t>
            </w:r>
            <w:r>
              <w:rPr>
                <w:w w:val="95"/>
                <w:sz w:val="20"/>
              </w:rPr>
              <w:t>植</w:t>
            </w:r>
            <w:r>
              <w:rPr>
                <w:w w:val="95"/>
                <w:sz w:val="20"/>
              </w:rPr>
              <w:t>入</w:t>
            </w:r>
            <w:r>
              <w:rPr>
                <w:w w:val="95"/>
                <w:sz w:val="20"/>
              </w:rPr>
              <w:t>心</w:t>
            </w:r>
            <w:r>
              <w:rPr>
                <w:w w:val="95"/>
                <w:sz w:val="20"/>
              </w:rPr>
              <w:t>脏</w:t>
            </w:r>
            <w:r>
              <w:rPr>
                <w:w w:val="95"/>
                <w:sz w:val="20"/>
              </w:rPr>
              <w:t>起</w:t>
            </w:r>
            <w:r>
              <w:rPr>
                <w:spacing w:val="-5"/>
                <w:w w:val="95"/>
                <w:sz w:val="20"/>
              </w:rPr>
              <w:t>搏器</w:t>
            </w:r>
          </w:p>
        </w:tc>
        <w:tc>
          <w:tcPr>
            <w:tcW w:w="2126" w:type="dxa"/>
          </w:tcPr>
          <w:p>
            <w:pPr>
              <w:pStyle w:val="TableParagraph"/>
              <w:spacing w:before="4"/>
              <w:ind w:left="0"/>
              <w:rPr>
                <w:b/>
                <w:sz w:val="14"/>
              </w:rPr>
            </w:pPr>
          </w:p>
          <w:p>
            <w:pPr>
              <w:pStyle w:val="TableParagraph"/>
              <w:ind w:left="109"/>
              <w:rPr>
                <w:sz w:val="20"/>
              </w:rPr>
            </w:pPr>
            <w:r>
              <w:rPr>
                <w:w w:val="95"/>
                <w:sz w:val="20"/>
              </w:rPr>
              <w:t>7.</w:t>
            </w:r>
            <w:r>
              <w:rPr>
                <w:w w:val="95"/>
                <w:sz w:val="20"/>
              </w:rPr>
              <w:t>人</w:t>
            </w:r>
            <w:r>
              <w:rPr>
                <w:w w:val="95"/>
                <w:sz w:val="20"/>
              </w:rPr>
              <w:t>工</w:t>
            </w:r>
            <w:r>
              <w:rPr>
                <w:w w:val="95"/>
                <w:sz w:val="20"/>
              </w:rPr>
              <w:t>耳</w:t>
            </w:r>
            <w:r>
              <w:rPr>
                <w:w w:val="95"/>
                <w:sz w:val="20"/>
              </w:rPr>
              <w:t>蜗</w:t>
            </w:r>
            <w:r>
              <w:rPr>
                <w:w w:val="95"/>
                <w:sz w:val="20"/>
              </w:rPr>
              <w:t>植</w:t>
            </w:r>
            <w:r>
              <w:rPr>
                <w:spacing w:val="-5"/>
                <w:w w:val="95"/>
                <w:sz w:val="20"/>
              </w:rPr>
              <w:t>入术</w:t>
            </w:r>
          </w:p>
        </w:tc>
      </w:tr>
      <w:tr>
        <w:trPr>
          <w:trHeight w:val="625" w:hRule="atLeast"/>
        </w:trPr>
        <w:tc>
          <w:tcPr>
            <w:tcW w:w="2165" w:type="dxa"/>
          </w:tcPr>
          <w:p>
            <w:pPr>
              <w:pStyle w:val="TableParagraph"/>
              <w:spacing w:before="6"/>
              <w:ind w:left="0"/>
              <w:rPr>
                <w:b/>
                <w:sz w:val="14"/>
              </w:rPr>
            </w:pPr>
          </w:p>
          <w:p>
            <w:pPr>
              <w:pStyle w:val="TableParagraph"/>
              <w:spacing w:before="1"/>
              <w:ind w:left="107"/>
              <w:rPr>
                <w:sz w:val="20"/>
              </w:rPr>
            </w:pPr>
            <w:r>
              <w:rPr>
                <w:w w:val="95"/>
                <w:sz w:val="20"/>
              </w:rPr>
              <w:t>8.</w:t>
            </w:r>
            <w:r>
              <w:rPr>
                <w:w w:val="95"/>
                <w:sz w:val="20"/>
              </w:rPr>
              <w:t>中</w:t>
            </w:r>
            <w:r>
              <w:rPr>
                <w:w w:val="95"/>
                <w:sz w:val="20"/>
              </w:rPr>
              <w:t>度</w:t>
            </w:r>
            <w:r>
              <w:rPr>
                <w:w w:val="95"/>
                <w:sz w:val="20"/>
              </w:rPr>
              <w:t>严</w:t>
            </w:r>
            <w:r>
              <w:rPr>
                <w:w w:val="95"/>
                <w:sz w:val="20"/>
              </w:rPr>
              <w:t>重</w:t>
            </w:r>
            <w:r>
              <w:rPr>
                <w:w w:val="95"/>
                <w:sz w:val="20"/>
              </w:rPr>
              <w:t>克</w:t>
            </w:r>
            <w:r>
              <w:rPr>
                <w:spacing w:val="-5"/>
                <w:w w:val="95"/>
                <w:sz w:val="20"/>
              </w:rPr>
              <w:t>隆病</w:t>
            </w:r>
          </w:p>
        </w:tc>
        <w:tc>
          <w:tcPr>
            <w:tcW w:w="2126" w:type="dxa"/>
          </w:tcPr>
          <w:p>
            <w:pPr>
              <w:pStyle w:val="TableParagraph"/>
              <w:spacing w:before="6"/>
              <w:ind w:left="0"/>
              <w:rPr>
                <w:b/>
                <w:sz w:val="14"/>
              </w:rPr>
            </w:pPr>
          </w:p>
          <w:p>
            <w:pPr>
              <w:pStyle w:val="TableParagraph"/>
              <w:spacing w:before="1"/>
              <w:rPr>
                <w:sz w:val="20"/>
              </w:rPr>
            </w:pPr>
            <w:r>
              <w:rPr>
                <w:w w:val="95"/>
                <w:sz w:val="20"/>
              </w:rPr>
              <w:t>8.</w:t>
            </w:r>
            <w:r>
              <w:rPr>
                <w:w w:val="95"/>
                <w:sz w:val="20"/>
              </w:rPr>
              <w:t>轻</w:t>
            </w:r>
            <w:r>
              <w:rPr>
                <w:w w:val="95"/>
                <w:sz w:val="20"/>
              </w:rPr>
              <w:t>度</w:t>
            </w:r>
            <w:r>
              <w:rPr>
                <w:w w:val="95"/>
                <w:sz w:val="20"/>
              </w:rPr>
              <w:t>颅</w:t>
            </w:r>
            <w:r>
              <w:rPr>
                <w:w w:val="95"/>
                <w:sz w:val="20"/>
              </w:rPr>
              <w:t>脑</w:t>
            </w:r>
            <w:r>
              <w:rPr>
                <w:w w:val="95"/>
                <w:sz w:val="20"/>
              </w:rPr>
              <w:t>手</w:t>
            </w:r>
            <w:r>
              <w:rPr>
                <w:spacing w:val="-10"/>
                <w:w w:val="95"/>
                <w:sz w:val="20"/>
              </w:rPr>
              <w:t>术</w:t>
            </w:r>
          </w:p>
        </w:tc>
        <w:tc>
          <w:tcPr>
            <w:tcW w:w="2126" w:type="dxa"/>
          </w:tcPr>
          <w:p>
            <w:pPr>
              <w:pStyle w:val="TableParagraph"/>
              <w:spacing w:before="30"/>
              <w:rPr>
                <w:sz w:val="20"/>
              </w:rPr>
            </w:pPr>
            <w:r>
              <w:rPr>
                <w:w w:val="95"/>
                <w:sz w:val="20"/>
              </w:rPr>
              <w:t>8.</w:t>
            </w:r>
            <w:r>
              <w:rPr>
                <w:spacing w:val="14"/>
                <w:w w:val="95"/>
                <w:sz w:val="20"/>
              </w:rPr>
              <w:t>颈</w:t>
            </w:r>
            <w:r>
              <w:rPr>
                <w:spacing w:val="14"/>
                <w:w w:val="95"/>
                <w:sz w:val="20"/>
              </w:rPr>
              <w:t>动</w:t>
            </w:r>
            <w:r>
              <w:rPr>
                <w:spacing w:val="14"/>
                <w:w w:val="95"/>
                <w:sz w:val="20"/>
              </w:rPr>
              <w:t>脉</w:t>
            </w:r>
            <w:r>
              <w:rPr>
                <w:spacing w:val="14"/>
                <w:w w:val="95"/>
                <w:sz w:val="20"/>
              </w:rPr>
              <w:t>狭</w:t>
            </w:r>
            <w:r>
              <w:rPr>
                <w:spacing w:val="14"/>
                <w:w w:val="95"/>
                <w:sz w:val="20"/>
              </w:rPr>
              <w:t>窄</w:t>
            </w:r>
            <w:r>
              <w:rPr>
                <w:spacing w:val="14"/>
                <w:w w:val="95"/>
                <w:sz w:val="20"/>
              </w:rPr>
              <w:t>介</w:t>
            </w:r>
            <w:r>
              <w:rPr>
                <w:spacing w:val="14"/>
                <w:w w:val="95"/>
                <w:sz w:val="20"/>
              </w:rPr>
              <w:t>入</w:t>
            </w:r>
            <w:r>
              <w:rPr>
                <w:spacing w:val="4"/>
                <w:w w:val="95"/>
                <w:sz w:val="20"/>
              </w:rPr>
              <w:t>治</w:t>
            </w:r>
          </w:p>
          <w:p>
            <w:pPr>
              <w:pStyle w:val="TableParagraph"/>
              <w:spacing w:before="56"/>
              <w:rPr>
                <w:sz w:val="20"/>
              </w:rPr>
            </w:pPr>
            <w:r>
              <w:rPr>
                <w:w w:val="99"/>
                <w:sz w:val="20"/>
              </w:rPr>
              <w:t>疗</w:t>
            </w:r>
          </w:p>
        </w:tc>
        <w:tc>
          <w:tcPr>
            <w:tcW w:w="2126" w:type="dxa"/>
          </w:tcPr>
          <w:p>
            <w:pPr>
              <w:pStyle w:val="TableParagraph"/>
              <w:spacing w:before="6"/>
              <w:ind w:left="0"/>
              <w:rPr>
                <w:b/>
                <w:sz w:val="14"/>
              </w:rPr>
            </w:pPr>
          </w:p>
          <w:p>
            <w:pPr>
              <w:pStyle w:val="TableParagraph"/>
              <w:spacing w:before="1"/>
              <w:ind w:left="109"/>
              <w:rPr>
                <w:sz w:val="20"/>
              </w:rPr>
            </w:pPr>
            <w:r>
              <w:rPr>
                <w:w w:val="95"/>
                <w:sz w:val="20"/>
              </w:rPr>
              <w:t>8.</w:t>
            </w:r>
            <w:r>
              <w:rPr>
                <w:w w:val="95"/>
                <w:sz w:val="20"/>
              </w:rPr>
              <w:t>视</w:t>
            </w:r>
            <w:r>
              <w:rPr>
                <w:w w:val="95"/>
                <w:sz w:val="20"/>
              </w:rPr>
              <w:t>力</w:t>
            </w:r>
            <w:r>
              <w:rPr>
                <w:w w:val="95"/>
                <w:sz w:val="20"/>
              </w:rPr>
              <w:t>严</w:t>
            </w:r>
            <w:r>
              <w:rPr>
                <w:w w:val="95"/>
                <w:sz w:val="20"/>
              </w:rPr>
              <w:t>重</w:t>
            </w:r>
            <w:r>
              <w:rPr>
                <w:w w:val="95"/>
                <w:sz w:val="20"/>
              </w:rPr>
              <w:t>受</w:t>
            </w:r>
            <w:r>
              <w:rPr>
                <w:spacing w:val="-10"/>
                <w:w w:val="95"/>
                <w:sz w:val="20"/>
              </w:rPr>
              <w:t>损</w:t>
            </w:r>
          </w:p>
        </w:tc>
      </w:tr>
      <w:tr>
        <w:trPr>
          <w:trHeight w:val="623" w:hRule="atLeast"/>
        </w:trPr>
        <w:tc>
          <w:tcPr>
            <w:tcW w:w="2165" w:type="dxa"/>
          </w:tcPr>
          <w:p>
            <w:pPr>
              <w:pStyle w:val="TableParagraph"/>
              <w:spacing w:before="4"/>
              <w:ind w:left="0"/>
              <w:rPr>
                <w:b/>
                <w:sz w:val="14"/>
              </w:rPr>
            </w:pPr>
          </w:p>
          <w:p>
            <w:pPr>
              <w:pStyle w:val="TableParagraph"/>
              <w:ind w:left="107"/>
              <w:rPr>
                <w:sz w:val="20"/>
              </w:rPr>
            </w:pPr>
            <w:r>
              <w:rPr>
                <w:w w:val="95"/>
                <w:sz w:val="20"/>
              </w:rPr>
              <w:t>9.</w:t>
            </w:r>
            <w:r>
              <w:rPr>
                <w:w w:val="95"/>
                <w:sz w:val="20"/>
              </w:rPr>
              <w:t>原</w:t>
            </w:r>
            <w:r>
              <w:rPr>
                <w:w w:val="95"/>
                <w:sz w:val="20"/>
              </w:rPr>
              <w:t>位</w:t>
            </w:r>
            <w:r>
              <w:rPr>
                <w:spacing w:val="-10"/>
                <w:w w:val="95"/>
                <w:sz w:val="20"/>
              </w:rPr>
              <w:t>癌</w:t>
            </w:r>
          </w:p>
        </w:tc>
        <w:tc>
          <w:tcPr>
            <w:tcW w:w="2126" w:type="dxa"/>
          </w:tcPr>
          <w:p>
            <w:pPr>
              <w:pStyle w:val="TableParagraph"/>
              <w:spacing w:before="4"/>
              <w:ind w:left="0"/>
              <w:rPr>
                <w:b/>
                <w:sz w:val="14"/>
              </w:rPr>
            </w:pPr>
          </w:p>
          <w:p>
            <w:pPr>
              <w:pStyle w:val="TableParagraph"/>
              <w:rPr>
                <w:sz w:val="20"/>
              </w:rPr>
            </w:pPr>
            <w:r>
              <w:rPr>
                <w:w w:val="95"/>
                <w:sz w:val="20"/>
              </w:rPr>
              <w:t>9.</w:t>
            </w:r>
            <w:r>
              <w:rPr>
                <w:w w:val="95"/>
                <w:sz w:val="20"/>
              </w:rPr>
              <w:t>植</w:t>
            </w:r>
            <w:r>
              <w:rPr>
                <w:w w:val="95"/>
                <w:sz w:val="20"/>
              </w:rPr>
              <w:t>入</w:t>
            </w:r>
            <w:r>
              <w:rPr>
                <w:w w:val="95"/>
                <w:sz w:val="20"/>
              </w:rPr>
              <w:t>大</w:t>
            </w:r>
            <w:r>
              <w:rPr>
                <w:w w:val="95"/>
                <w:sz w:val="20"/>
              </w:rPr>
              <w:t>脑</w:t>
            </w:r>
            <w:r>
              <w:rPr>
                <w:w w:val="95"/>
                <w:sz w:val="20"/>
              </w:rPr>
              <w:t>内</w:t>
            </w:r>
            <w:r>
              <w:rPr>
                <w:w w:val="95"/>
                <w:sz w:val="20"/>
              </w:rPr>
              <w:t>分</w:t>
            </w:r>
            <w:r>
              <w:rPr>
                <w:w w:val="95"/>
                <w:sz w:val="20"/>
              </w:rPr>
              <w:t>流</w:t>
            </w:r>
            <w:r>
              <w:rPr>
                <w:spacing w:val="-10"/>
                <w:w w:val="95"/>
                <w:sz w:val="20"/>
              </w:rPr>
              <w:t>器</w:t>
            </w:r>
          </w:p>
        </w:tc>
        <w:tc>
          <w:tcPr>
            <w:tcW w:w="2126" w:type="dxa"/>
          </w:tcPr>
          <w:p>
            <w:pPr>
              <w:pStyle w:val="TableParagraph"/>
              <w:spacing w:before="27"/>
              <w:rPr>
                <w:sz w:val="20"/>
              </w:rPr>
            </w:pPr>
            <w:r>
              <w:rPr>
                <w:w w:val="95"/>
                <w:sz w:val="20"/>
              </w:rPr>
              <w:t>9.</w:t>
            </w:r>
            <w:r>
              <w:rPr>
                <w:spacing w:val="14"/>
                <w:w w:val="95"/>
                <w:sz w:val="20"/>
              </w:rPr>
              <w:t>特</w:t>
            </w:r>
            <w:r>
              <w:rPr>
                <w:spacing w:val="14"/>
                <w:w w:val="95"/>
                <w:sz w:val="20"/>
              </w:rPr>
              <w:t>定</w:t>
            </w:r>
            <w:r>
              <w:rPr>
                <w:spacing w:val="14"/>
                <w:w w:val="95"/>
                <w:sz w:val="20"/>
              </w:rPr>
              <w:t>周</w:t>
            </w:r>
            <w:r>
              <w:rPr>
                <w:spacing w:val="14"/>
                <w:w w:val="95"/>
                <w:sz w:val="20"/>
              </w:rPr>
              <w:t>围</w:t>
            </w:r>
            <w:r>
              <w:rPr>
                <w:spacing w:val="14"/>
                <w:w w:val="95"/>
                <w:sz w:val="20"/>
              </w:rPr>
              <w:t>动</w:t>
            </w:r>
            <w:r>
              <w:rPr>
                <w:spacing w:val="14"/>
                <w:w w:val="95"/>
                <w:sz w:val="20"/>
              </w:rPr>
              <w:t>脉</w:t>
            </w:r>
            <w:r>
              <w:rPr>
                <w:spacing w:val="14"/>
                <w:w w:val="95"/>
                <w:sz w:val="20"/>
              </w:rPr>
              <w:t>疾</w:t>
            </w:r>
            <w:r>
              <w:rPr>
                <w:spacing w:val="4"/>
                <w:w w:val="95"/>
                <w:sz w:val="20"/>
              </w:rPr>
              <w:t>病</w:t>
            </w:r>
          </w:p>
          <w:p>
            <w:pPr>
              <w:pStyle w:val="TableParagraph"/>
              <w:spacing w:before="56"/>
              <w:rPr>
                <w:sz w:val="20"/>
              </w:rPr>
            </w:pPr>
            <w:r>
              <w:rPr>
                <w:w w:val="95"/>
                <w:sz w:val="20"/>
              </w:rPr>
              <w:t>的</w:t>
            </w:r>
            <w:r>
              <w:rPr>
                <w:w w:val="95"/>
                <w:sz w:val="20"/>
              </w:rPr>
              <w:t>血</w:t>
            </w:r>
            <w:r>
              <w:rPr>
                <w:w w:val="95"/>
                <w:sz w:val="20"/>
              </w:rPr>
              <w:t>管</w:t>
            </w:r>
            <w:r>
              <w:rPr>
                <w:w w:val="95"/>
                <w:sz w:val="20"/>
              </w:rPr>
              <w:t>介</w:t>
            </w:r>
            <w:r>
              <w:rPr>
                <w:w w:val="95"/>
                <w:sz w:val="20"/>
              </w:rPr>
              <w:t>入</w:t>
            </w:r>
            <w:r>
              <w:rPr>
                <w:w w:val="95"/>
                <w:sz w:val="20"/>
              </w:rPr>
              <w:t>治</w:t>
            </w:r>
            <w:r>
              <w:rPr>
                <w:spacing w:val="-10"/>
                <w:w w:val="95"/>
                <w:sz w:val="20"/>
              </w:rPr>
              <w:t>疗</w:t>
            </w:r>
          </w:p>
        </w:tc>
        <w:tc>
          <w:tcPr>
            <w:tcW w:w="2126" w:type="dxa"/>
          </w:tcPr>
          <w:p>
            <w:pPr>
              <w:pStyle w:val="TableParagraph"/>
              <w:spacing w:before="4"/>
              <w:ind w:left="0"/>
              <w:rPr>
                <w:b/>
                <w:sz w:val="14"/>
              </w:rPr>
            </w:pPr>
          </w:p>
          <w:p>
            <w:pPr>
              <w:pStyle w:val="TableParagraph"/>
              <w:ind w:left="109"/>
              <w:rPr>
                <w:sz w:val="20"/>
              </w:rPr>
            </w:pPr>
            <w:r>
              <w:rPr>
                <w:w w:val="95"/>
                <w:sz w:val="20"/>
              </w:rPr>
              <w:t>9.</w:t>
            </w:r>
            <w:r>
              <w:rPr>
                <w:w w:val="95"/>
                <w:sz w:val="20"/>
              </w:rPr>
              <w:t>角</w:t>
            </w:r>
            <w:r>
              <w:rPr>
                <w:w w:val="95"/>
                <w:sz w:val="20"/>
              </w:rPr>
              <w:t>膜</w:t>
            </w:r>
            <w:r>
              <w:rPr>
                <w:w w:val="95"/>
                <w:sz w:val="20"/>
              </w:rPr>
              <w:t>移</w:t>
            </w:r>
            <w:r>
              <w:rPr>
                <w:spacing w:val="-10"/>
                <w:w w:val="95"/>
                <w:sz w:val="20"/>
              </w:rPr>
              <w:t>植</w:t>
            </w:r>
          </w:p>
        </w:tc>
      </w:tr>
      <w:tr>
        <w:trPr>
          <w:trHeight w:val="453" w:hRule="atLeast"/>
        </w:trPr>
        <w:tc>
          <w:tcPr>
            <w:tcW w:w="2165" w:type="dxa"/>
          </w:tcPr>
          <w:p>
            <w:pPr>
              <w:pStyle w:val="TableParagraph"/>
              <w:spacing w:before="100"/>
              <w:ind w:left="107"/>
              <w:rPr>
                <w:sz w:val="20"/>
              </w:rPr>
            </w:pPr>
            <w:r>
              <w:rPr>
                <w:w w:val="95"/>
                <w:sz w:val="20"/>
              </w:rPr>
              <w:t>10.</w:t>
            </w:r>
            <w:r>
              <w:rPr>
                <w:w w:val="95"/>
                <w:sz w:val="20"/>
              </w:rPr>
              <w:t>早</w:t>
            </w:r>
            <w:r>
              <w:rPr>
                <w:w w:val="95"/>
                <w:sz w:val="20"/>
              </w:rPr>
              <w:t>期</w:t>
            </w:r>
            <w:r>
              <w:rPr>
                <w:w w:val="95"/>
                <w:sz w:val="20"/>
              </w:rPr>
              <w:t>肝</w:t>
            </w:r>
            <w:r>
              <w:rPr>
                <w:w w:val="95"/>
                <w:sz w:val="20"/>
              </w:rPr>
              <w:t>硬</w:t>
            </w:r>
            <w:r>
              <w:rPr>
                <w:spacing w:val="-10"/>
                <w:w w:val="95"/>
                <w:sz w:val="20"/>
              </w:rPr>
              <w:t>化</w:t>
            </w:r>
          </w:p>
        </w:tc>
        <w:tc>
          <w:tcPr>
            <w:tcW w:w="2126" w:type="dxa"/>
          </w:tcPr>
          <w:p>
            <w:pPr>
              <w:pStyle w:val="TableParagraph"/>
              <w:spacing w:before="100"/>
              <w:rPr>
                <w:sz w:val="20"/>
              </w:rPr>
            </w:pPr>
            <w:r>
              <w:rPr>
                <w:w w:val="95"/>
                <w:sz w:val="20"/>
              </w:rPr>
              <w:t>10.</w:t>
            </w:r>
            <w:r>
              <w:rPr>
                <w:w w:val="95"/>
                <w:sz w:val="20"/>
              </w:rPr>
              <w:t>深</w:t>
            </w:r>
            <w:r>
              <w:rPr>
                <w:w w:val="95"/>
                <w:sz w:val="20"/>
              </w:rPr>
              <w:t>度</w:t>
            </w:r>
            <w:r>
              <w:rPr>
                <w:w w:val="95"/>
                <w:sz w:val="20"/>
              </w:rPr>
              <w:t>昏</w:t>
            </w:r>
            <w:r>
              <w:rPr>
                <w:w w:val="95"/>
                <w:sz w:val="20"/>
              </w:rPr>
              <w:t>迷</w:t>
            </w:r>
            <w:r>
              <w:rPr>
                <w:spacing w:val="-14"/>
                <w:w w:val="95"/>
                <w:sz w:val="20"/>
              </w:rPr>
              <w:t> </w:t>
            </w:r>
            <w:r>
              <w:rPr>
                <w:w w:val="95"/>
                <w:sz w:val="20"/>
              </w:rPr>
              <w:t>72</w:t>
            </w:r>
            <w:r>
              <w:rPr>
                <w:spacing w:val="-11"/>
                <w:w w:val="95"/>
                <w:sz w:val="20"/>
              </w:rPr>
              <w:t> </w:t>
            </w:r>
            <w:r>
              <w:rPr>
                <w:w w:val="95"/>
                <w:sz w:val="20"/>
              </w:rPr>
              <w:t>小</w:t>
            </w:r>
            <w:r>
              <w:rPr>
                <w:spacing w:val="-10"/>
                <w:w w:val="95"/>
                <w:sz w:val="20"/>
              </w:rPr>
              <w:t>时</w:t>
            </w:r>
          </w:p>
        </w:tc>
        <w:tc>
          <w:tcPr>
            <w:tcW w:w="2126" w:type="dxa"/>
          </w:tcPr>
          <w:p>
            <w:pPr>
              <w:pStyle w:val="TableParagraph"/>
              <w:spacing w:before="100"/>
              <w:rPr>
                <w:sz w:val="20"/>
              </w:rPr>
            </w:pPr>
            <w:r>
              <w:rPr>
                <w:w w:val="95"/>
                <w:sz w:val="20"/>
              </w:rPr>
              <w:t>10.</w:t>
            </w:r>
            <w:r>
              <w:rPr>
                <w:w w:val="95"/>
                <w:sz w:val="20"/>
              </w:rPr>
              <w:t>早</w:t>
            </w:r>
            <w:r>
              <w:rPr>
                <w:w w:val="95"/>
                <w:sz w:val="20"/>
              </w:rPr>
              <w:t>期</w:t>
            </w:r>
            <w:r>
              <w:rPr>
                <w:w w:val="95"/>
                <w:sz w:val="20"/>
              </w:rPr>
              <w:t>原</w:t>
            </w:r>
            <w:r>
              <w:rPr>
                <w:w w:val="95"/>
                <w:sz w:val="20"/>
              </w:rPr>
              <w:t>发</w:t>
            </w:r>
            <w:r>
              <w:rPr>
                <w:w w:val="95"/>
                <w:sz w:val="20"/>
              </w:rPr>
              <w:t>性</w:t>
            </w:r>
            <w:r>
              <w:rPr>
                <w:w w:val="95"/>
                <w:sz w:val="20"/>
              </w:rPr>
              <w:t>心</w:t>
            </w:r>
            <w:r>
              <w:rPr>
                <w:spacing w:val="-5"/>
                <w:w w:val="95"/>
                <w:sz w:val="20"/>
              </w:rPr>
              <w:t>肌病</w:t>
            </w:r>
          </w:p>
        </w:tc>
        <w:tc>
          <w:tcPr>
            <w:tcW w:w="2126" w:type="dxa"/>
          </w:tcPr>
          <w:p>
            <w:pPr>
              <w:pStyle w:val="TableParagraph"/>
              <w:spacing w:before="100"/>
              <w:ind w:left="109"/>
              <w:rPr>
                <w:sz w:val="20"/>
              </w:rPr>
            </w:pPr>
            <w:r>
              <w:rPr>
                <w:w w:val="95"/>
                <w:sz w:val="20"/>
              </w:rPr>
              <w:t>10.</w:t>
            </w:r>
            <w:r>
              <w:rPr>
                <w:w w:val="95"/>
                <w:sz w:val="20"/>
              </w:rPr>
              <w:t>单</w:t>
            </w:r>
            <w:r>
              <w:rPr>
                <w:w w:val="95"/>
                <w:sz w:val="20"/>
              </w:rPr>
              <w:t>目</w:t>
            </w:r>
            <w:r>
              <w:rPr>
                <w:w w:val="95"/>
                <w:sz w:val="20"/>
              </w:rPr>
              <w:t>失</w:t>
            </w:r>
            <w:r>
              <w:rPr>
                <w:spacing w:val="-10"/>
                <w:w w:val="95"/>
                <w:sz w:val="20"/>
              </w:rPr>
              <w:t>明</w:t>
            </w:r>
          </w:p>
        </w:tc>
      </w:tr>
      <w:tr>
        <w:trPr>
          <w:trHeight w:val="623" w:hRule="atLeast"/>
        </w:trPr>
        <w:tc>
          <w:tcPr>
            <w:tcW w:w="2165" w:type="dxa"/>
          </w:tcPr>
          <w:p>
            <w:pPr>
              <w:pStyle w:val="TableParagraph"/>
              <w:spacing w:before="27"/>
              <w:ind w:left="107"/>
              <w:rPr>
                <w:sz w:val="20"/>
              </w:rPr>
            </w:pPr>
            <w:r>
              <w:rPr>
                <w:w w:val="95"/>
                <w:sz w:val="20"/>
              </w:rPr>
              <w:t>11.</w:t>
            </w:r>
            <w:r>
              <w:rPr>
                <w:w w:val="95"/>
                <w:sz w:val="20"/>
              </w:rPr>
              <w:t>可</w:t>
            </w:r>
            <w:r>
              <w:rPr>
                <w:w w:val="95"/>
                <w:sz w:val="20"/>
              </w:rPr>
              <w:t>逆</w:t>
            </w:r>
            <w:r>
              <w:rPr>
                <w:w w:val="95"/>
                <w:sz w:val="20"/>
              </w:rPr>
              <w:t>性</w:t>
            </w:r>
            <w:r>
              <w:rPr>
                <w:w w:val="95"/>
                <w:sz w:val="20"/>
              </w:rPr>
              <w:t>再</w:t>
            </w:r>
            <w:r>
              <w:rPr>
                <w:w w:val="95"/>
                <w:sz w:val="20"/>
              </w:rPr>
              <w:t>生</w:t>
            </w:r>
            <w:r>
              <w:rPr>
                <w:w w:val="95"/>
                <w:sz w:val="20"/>
              </w:rPr>
              <w:t>障</w:t>
            </w:r>
            <w:r>
              <w:rPr>
                <w:w w:val="95"/>
                <w:sz w:val="20"/>
              </w:rPr>
              <w:t>碍</w:t>
            </w:r>
            <w:r>
              <w:rPr>
                <w:spacing w:val="-10"/>
                <w:w w:val="95"/>
                <w:sz w:val="20"/>
              </w:rPr>
              <w:t>性</w:t>
            </w:r>
          </w:p>
          <w:p>
            <w:pPr>
              <w:pStyle w:val="TableParagraph"/>
              <w:spacing w:before="56"/>
              <w:ind w:left="107"/>
              <w:rPr>
                <w:sz w:val="20"/>
              </w:rPr>
            </w:pPr>
            <w:r>
              <w:rPr>
                <w:w w:val="95"/>
                <w:sz w:val="20"/>
              </w:rPr>
              <w:t>贫</w:t>
            </w:r>
            <w:r>
              <w:rPr>
                <w:spacing w:val="-10"/>
                <w:sz w:val="20"/>
              </w:rPr>
              <w:t>血</w:t>
            </w:r>
          </w:p>
        </w:tc>
        <w:tc>
          <w:tcPr>
            <w:tcW w:w="2126" w:type="dxa"/>
          </w:tcPr>
          <w:p>
            <w:pPr>
              <w:pStyle w:val="TableParagraph"/>
              <w:spacing w:before="4"/>
              <w:ind w:left="0"/>
              <w:rPr>
                <w:b/>
                <w:sz w:val="14"/>
              </w:rPr>
            </w:pPr>
          </w:p>
          <w:p>
            <w:pPr>
              <w:pStyle w:val="TableParagraph"/>
              <w:rPr>
                <w:sz w:val="20"/>
              </w:rPr>
            </w:pPr>
            <w:r>
              <w:rPr>
                <w:w w:val="95"/>
                <w:sz w:val="20"/>
              </w:rPr>
              <w:t>11.</w:t>
            </w:r>
            <w:r>
              <w:rPr>
                <w:w w:val="95"/>
                <w:sz w:val="20"/>
              </w:rPr>
              <w:t>中</w:t>
            </w:r>
            <w:r>
              <w:rPr>
                <w:w w:val="95"/>
                <w:sz w:val="20"/>
              </w:rPr>
              <w:t>度</w:t>
            </w:r>
            <w:r>
              <w:rPr>
                <w:w w:val="95"/>
                <w:sz w:val="20"/>
              </w:rPr>
              <w:t>帕</w:t>
            </w:r>
            <w:r>
              <w:rPr>
                <w:w w:val="95"/>
                <w:sz w:val="20"/>
              </w:rPr>
              <w:t>金</w:t>
            </w:r>
            <w:r>
              <w:rPr>
                <w:w w:val="95"/>
                <w:sz w:val="20"/>
              </w:rPr>
              <w:t>森</w:t>
            </w:r>
            <w:r>
              <w:rPr>
                <w:w w:val="95"/>
                <w:sz w:val="20"/>
              </w:rPr>
              <w:t>氏</w:t>
            </w:r>
            <w:r>
              <w:rPr>
                <w:spacing w:val="-10"/>
                <w:w w:val="95"/>
                <w:sz w:val="20"/>
              </w:rPr>
              <w:t>病</w:t>
            </w:r>
          </w:p>
        </w:tc>
        <w:tc>
          <w:tcPr>
            <w:tcW w:w="2126" w:type="dxa"/>
          </w:tcPr>
          <w:p>
            <w:pPr>
              <w:pStyle w:val="TableParagraph"/>
              <w:spacing w:before="27"/>
              <w:rPr>
                <w:sz w:val="20"/>
              </w:rPr>
            </w:pPr>
            <w:r>
              <w:rPr>
                <w:w w:val="95"/>
                <w:sz w:val="20"/>
              </w:rPr>
              <w:t>11.</w:t>
            </w:r>
            <w:r>
              <w:rPr>
                <w:w w:val="95"/>
                <w:sz w:val="20"/>
              </w:rPr>
              <w:t>心</w:t>
            </w:r>
            <w:r>
              <w:rPr>
                <w:w w:val="95"/>
                <w:sz w:val="20"/>
              </w:rPr>
              <w:t>脏</w:t>
            </w:r>
            <w:r>
              <w:rPr>
                <w:w w:val="95"/>
                <w:sz w:val="20"/>
              </w:rPr>
              <w:t>起</w:t>
            </w:r>
            <w:r>
              <w:rPr>
                <w:w w:val="95"/>
                <w:sz w:val="20"/>
              </w:rPr>
              <w:t>搏</w:t>
            </w:r>
            <w:r>
              <w:rPr>
                <w:w w:val="95"/>
                <w:sz w:val="20"/>
              </w:rPr>
              <w:t>器</w:t>
            </w:r>
            <w:r>
              <w:rPr>
                <w:w w:val="95"/>
                <w:sz w:val="20"/>
              </w:rPr>
              <w:t>或</w:t>
            </w:r>
            <w:r>
              <w:rPr>
                <w:w w:val="95"/>
                <w:sz w:val="20"/>
              </w:rPr>
              <w:t>除</w:t>
            </w:r>
            <w:r>
              <w:rPr>
                <w:spacing w:val="-10"/>
                <w:w w:val="95"/>
                <w:sz w:val="20"/>
              </w:rPr>
              <w:t>颤</w:t>
            </w:r>
          </w:p>
          <w:p>
            <w:pPr>
              <w:pStyle w:val="TableParagraph"/>
              <w:spacing w:before="56"/>
              <w:rPr>
                <w:sz w:val="20"/>
              </w:rPr>
            </w:pPr>
            <w:r>
              <w:rPr>
                <w:w w:val="95"/>
                <w:sz w:val="20"/>
              </w:rPr>
              <w:t>器</w:t>
            </w:r>
            <w:r>
              <w:rPr>
                <w:w w:val="95"/>
                <w:sz w:val="20"/>
              </w:rPr>
              <w:t>植</w:t>
            </w:r>
            <w:r>
              <w:rPr>
                <w:spacing w:val="-10"/>
                <w:w w:val="95"/>
                <w:sz w:val="20"/>
              </w:rPr>
              <w:t>入</w:t>
            </w:r>
          </w:p>
        </w:tc>
        <w:tc>
          <w:tcPr>
            <w:tcW w:w="2126" w:type="dxa"/>
          </w:tcPr>
          <w:p>
            <w:pPr>
              <w:pStyle w:val="TableParagraph"/>
              <w:spacing w:before="27"/>
              <w:ind w:left="109"/>
              <w:rPr>
                <w:sz w:val="20"/>
              </w:rPr>
            </w:pPr>
            <w:r>
              <w:rPr>
                <w:w w:val="95"/>
                <w:sz w:val="20"/>
              </w:rPr>
              <w:t>11.</w:t>
            </w:r>
            <w:r>
              <w:rPr>
                <w:w w:val="95"/>
                <w:sz w:val="20"/>
              </w:rPr>
              <w:t>全</w:t>
            </w:r>
            <w:r>
              <w:rPr>
                <w:w w:val="95"/>
                <w:sz w:val="20"/>
              </w:rPr>
              <w:t>身</w:t>
            </w:r>
            <w:r>
              <w:rPr>
                <w:w w:val="95"/>
                <w:sz w:val="20"/>
              </w:rPr>
              <w:t>较</w:t>
            </w:r>
            <w:r>
              <w:rPr>
                <w:w w:val="95"/>
                <w:sz w:val="20"/>
              </w:rPr>
              <w:t>小</w:t>
            </w:r>
            <w:r>
              <w:rPr>
                <w:w w:val="95"/>
                <w:sz w:val="20"/>
              </w:rPr>
              <w:t>面</w:t>
            </w:r>
            <w:r>
              <w:rPr>
                <w:w w:val="95"/>
                <w:sz w:val="20"/>
              </w:rPr>
              <w:t>积</w:t>
            </w:r>
            <w:r>
              <w:rPr>
                <w:w w:val="95"/>
                <w:sz w:val="20"/>
              </w:rPr>
              <w:t>Ⅲ</w:t>
            </w:r>
            <w:r>
              <w:rPr>
                <w:spacing w:val="-10"/>
                <w:w w:val="95"/>
                <w:sz w:val="20"/>
              </w:rPr>
              <w:t>度</w:t>
            </w:r>
          </w:p>
          <w:p>
            <w:pPr>
              <w:pStyle w:val="TableParagraph"/>
              <w:spacing w:before="56"/>
              <w:ind w:left="109"/>
              <w:rPr>
                <w:sz w:val="20"/>
              </w:rPr>
            </w:pPr>
            <w:r>
              <w:rPr>
                <w:w w:val="95"/>
                <w:sz w:val="20"/>
              </w:rPr>
              <w:t>烧</w:t>
            </w:r>
            <w:r>
              <w:rPr>
                <w:spacing w:val="-10"/>
                <w:sz w:val="20"/>
              </w:rPr>
              <w:t>伤</w:t>
            </w:r>
          </w:p>
        </w:tc>
      </w:tr>
      <w:tr>
        <w:trPr>
          <w:trHeight w:val="623" w:hRule="atLeast"/>
        </w:trPr>
        <w:tc>
          <w:tcPr>
            <w:tcW w:w="2165" w:type="dxa"/>
          </w:tcPr>
          <w:p>
            <w:pPr>
              <w:pStyle w:val="TableParagraph"/>
              <w:ind w:left="0"/>
              <w:rPr>
                <w:rFonts w:ascii="Times New Roman"/>
                <w:sz w:val="20"/>
              </w:rPr>
            </w:pPr>
          </w:p>
        </w:tc>
        <w:tc>
          <w:tcPr>
            <w:tcW w:w="2126" w:type="dxa"/>
          </w:tcPr>
          <w:p>
            <w:pPr>
              <w:pStyle w:val="TableParagraph"/>
              <w:spacing w:before="4"/>
              <w:ind w:left="0"/>
              <w:rPr>
                <w:b/>
                <w:sz w:val="14"/>
              </w:rPr>
            </w:pPr>
          </w:p>
          <w:p>
            <w:pPr>
              <w:pStyle w:val="TableParagraph"/>
              <w:rPr>
                <w:sz w:val="20"/>
              </w:rPr>
            </w:pPr>
            <w:r>
              <w:rPr>
                <w:w w:val="95"/>
                <w:sz w:val="20"/>
              </w:rPr>
              <w:t>12.</w:t>
            </w:r>
            <w:r>
              <w:rPr>
                <w:w w:val="95"/>
                <w:sz w:val="20"/>
              </w:rPr>
              <w:t>结</w:t>
            </w:r>
            <w:r>
              <w:rPr>
                <w:w w:val="95"/>
                <w:sz w:val="20"/>
              </w:rPr>
              <w:t>核</w:t>
            </w:r>
            <w:r>
              <w:rPr>
                <w:w w:val="95"/>
                <w:sz w:val="20"/>
              </w:rPr>
              <w:t>性</w:t>
            </w:r>
            <w:r>
              <w:rPr>
                <w:w w:val="95"/>
                <w:sz w:val="20"/>
              </w:rPr>
              <w:t>脊</w:t>
            </w:r>
            <w:r>
              <w:rPr>
                <w:w w:val="95"/>
                <w:sz w:val="20"/>
              </w:rPr>
              <w:t>髓</w:t>
            </w:r>
            <w:r>
              <w:rPr>
                <w:spacing w:val="-10"/>
                <w:w w:val="95"/>
                <w:sz w:val="20"/>
              </w:rPr>
              <w:t>炎</w:t>
            </w:r>
          </w:p>
        </w:tc>
        <w:tc>
          <w:tcPr>
            <w:tcW w:w="2126" w:type="dxa"/>
          </w:tcPr>
          <w:p>
            <w:pPr>
              <w:pStyle w:val="TableParagraph"/>
              <w:spacing w:before="4"/>
              <w:ind w:left="0"/>
              <w:rPr>
                <w:b/>
                <w:sz w:val="14"/>
              </w:rPr>
            </w:pPr>
          </w:p>
          <w:p>
            <w:pPr>
              <w:pStyle w:val="TableParagraph"/>
              <w:rPr>
                <w:sz w:val="20"/>
              </w:rPr>
            </w:pPr>
            <w:r>
              <w:rPr>
                <w:w w:val="95"/>
                <w:sz w:val="20"/>
              </w:rPr>
              <w:t>12.</w:t>
            </w:r>
            <w:r>
              <w:rPr>
                <w:w w:val="95"/>
                <w:sz w:val="20"/>
              </w:rPr>
              <w:t>植</w:t>
            </w:r>
            <w:r>
              <w:rPr>
                <w:w w:val="95"/>
                <w:sz w:val="20"/>
              </w:rPr>
              <w:t>入</w:t>
            </w:r>
            <w:r>
              <w:rPr>
                <w:w w:val="95"/>
                <w:sz w:val="20"/>
              </w:rPr>
              <w:t>腔</w:t>
            </w:r>
            <w:r>
              <w:rPr>
                <w:w w:val="95"/>
                <w:sz w:val="20"/>
              </w:rPr>
              <w:t>静</w:t>
            </w:r>
            <w:r>
              <w:rPr>
                <w:w w:val="95"/>
                <w:sz w:val="20"/>
              </w:rPr>
              <w:t>脉</w:t>
            </w:r>
            <w:r>
              <w:rPr>
                <w:w w:val="95"/>
                <w:sz w:val="20"/>
              </w:rPr>
              <w:t>过</w:t>
            </w:r>
            <w:r>
              <w:rPr>
                <w:spacing w:val="-5"/>
                <w:w w:val="95"/>
                <w:sz w:val="20"/>
              </w:rPr>
              <w:t>滤器</w:t>
            </w:r>
          </w:p>
        </w:tc>
        <w:tc>
          <w:tcPr>
            <w:tcW w:w="2126" w:type="dxa"/>
          </w:tcPr>
          <w:p>
            <w:pPr>
              <w:pStyle w:val="TableParagraph"/>
              <w:spacing w:before="27"/>
              <w:ind w:left="109"/>
              <w:rPr>
                <w:sz w:val="20"/>
              </w:rPr>
            </w:pPr>
            <w:r>
              <w:rPr>
                <w:w w:val="95"/>
                <w:sz w:val="20"/>
              </w:rPr>
              <w:t>12.</w:t>
            </w:r>
            <w:r>
              <w:rPr>
                <w:w w:val="95"/>
                <w:sz w:val="20"/>
              </w:rPr>
              <w:t>意</w:t>
            </w:r>
            <w:r>
              <w:rPr>
                <w:w w:val="95"/>
                <w:sz w:val="20"/>
              </w:rPr>
              <w:t>外</w:t>
            </w:r>
            <w:r>
              <w:rPr>
                <w:w w:val="95"/>
                <w:sz w:val="20"/>
              </w:rPr>
              <w:t>受</w:t>
            </w:r>
            <w:r>
              <w:rPr>
                <w:w w:val="95"/>
                <w:sz w:val="20"/>
              </w:rPr>
              <w:t>伤</w:t>
            </w:r>
            <w:r>
              <w:rPr>
                <w:w w:val="95"/>
                <w:sz w:val="20"/>
              </w:rPr>
              <w:t>所</w:t>
            </w:r>
            <w:r>
              <w:rPr>
                <w:w w:val="95"/>
                <w:sz w:val="20"/>
              </w:rPr>
              <w:t>需</w:t>
            </w:r>
            <w:r>
              <w:rPr>
                <w:w w:val="95"/>
                <w:sz w:val="20"/>
              </w:rPr>
              <w:t>的</w:t>
            </w:r>
            <w:r>
              <w:rPr>
                <w:spacing w:val="-10"/>
                <w:w w:val="95"/>
                <w:sz w:val="20"/>
              </w:rPr>
              <w:t>面</w:t>
            </w:r>
          </w:p>
          <w:p>
            <w:pPr>
              <w:pStyle w:val="TableParagraph"/>
              <w:spacing w:before="56"/>
              <w:ind w:left="109"/>
              <w:rPr>
                <w:sz w:val="20"/>
              </w:rPr>
            </w:pPr>
            <w:r>
              <w:rPr>
                <w:w w:val="95"/>
                <w:sz w:val="20"/>
              </w:rPr>
              <w:t>部</w:t>
            </w:r>
            <w:r>
              <w:rPr>
                <w:w w:val="95"/>
                <w:sz w:val="20"/>
              </w:rPr>
              <w:t>重</w:t>
            </w:r>
            <w:r>
              <w:rPr>
                <w:w w:val="95"/>
                <w:sz w:val="20"/>
              </w:rPr>
              <w:t>建</w:t>
            </w:r>
            <w:r>
              <w:rPr>
                <w:spacing w:val="-5"/>
                <w:w w:val="95"/>
                <w:sz w:val="20"/>
              </w:rPr>
              <w:t>手术</w:t>
            </w:r>
          </w:p>
        </w:tc>
      </w:tr>
      <w:tr>
        <w:trPr>
          <w:trHeight w:val="625" w:hRule="atLeast"/>
        </w:trPr>
        <w:tc>
          <w:tcPr>
            <w:tcW w:w="2165" w:type="dxa"/>
          </w:tcPr>
          <w:p>
            <w:pPr>
              <w:pStyle w:val="TableParagraph"/>
              <w:ind w:left="0"/>
              <w:rPr>
                <w:rFonts w:ascii="Times New Roman"/>
                <w:sz w:val="20"/>
              </w:rPr>
            </w:pPr>
          </w:p>
        </w:tc>
        <w:tc>
          <w:tcPr>
            <w:tcW w:w="2126" w:type="dxa"/>
          </w:tcPr>
          <w:p>
            <w:pPr>
              <w:pStyle w:val="TableParagraph"/>
              <w:spacing w:before="6"/>
              <w:ind w:left="0"/>
              <w:rPr>
                <w:b/>
                <w:sz w:val="14"/>
              </w:rPr>
            </w:pPr>
          </w:p>
          <w:p>
            <w:pPr>
              <w:pStyle w:val="TableParagraph"/>
              <w:rPr>
                <w:sz w:val="20"/>
              </w:rPr>
            </w:pPr>
            <w:r>
              <w:rPr>
                <w:w w:val="95"/>
                <w:sz w:val="20"/>
              </w:rPr>
              <w:t>13.</w:t>
            </w:r>
            <w:r>
              <w:rPr>
                <w:w w:val="95"/>
                <w:sz w:val="20"/>
              </w:rPr>
              <w:t>中</w:t>
            </w:r>
            <w:r>
              <w:rPr>
                <w:w w:val="95"/>
                <w:sz w:val="20"/>
              </w:rPr>
              <w:t>度</w:t>
            </w:r>
            <w:r>
              <w:rPr>
                <w:w w:val="95"/>
                <w:sz w:val="20"/>
              </w:rPr>
              <w:t>脊</w:t>
            </w:r>
            <w:r>
              <w:rPr>
                <w:w w:val="95"/>
                <w:sz w:val="20"/>
              </w:rPr>
              <w:t>髓</w:t>
            </w:r>
            <w:r>
              <w:rPr>
                <w:w w:val="95"/>
                <w:sz w:val="20"/>
              </w:rPr>
              <w:t>灰</w:t>
            </w:r>
            <w:r>
              <w:rPr>
                <w:w w:val="95"/>
                <w:sz w:val="20"/>
              </w:rPr>
              <w:t>质</w:t>
            </w:r>
            <w:r>
              <w:rPr>
                <w:spacing w:val="-10"/>
                <w:w w:val="95"/>
                <w:sz w:val="20"/>
              </w:rPr>
              <w:t>炎</w:t>
            </w:r>
          </w:p>
        </w:tc>
        <w:tc>
          <w:tcPr>
            <w:tcW w:w="2126" w:type="dxa"/>
          </w:tcPr>
          <w:p>
            <w:pPr>
              <w:pStyle w:val="TableParagraph"/>
              <w:spacing w:before="6"/>
              <w:ind w:left="0"/>
              <w:rPr>
                <w:b/>
                <w:sz w:val="14"/>
              </w:rPr>
            </w:pPr>
          </w:p>
          <w:p>
            <w:pPr>
              <w:pStyle w:val="TableParagraph"/>
              <w:rPr>
                <w:sz w:val="20"/>
              </w:rPr>
            </w:pPr>
            <w:r>
              <w:rPr>
                <w:w w:val="95"/>
                <w:sz w:val="20"/>
              </w:rPr>
              <w:t>13.</w:t>
            </w:r>
            <w:r>
              <w:rPr>
                <w:w w:val="95"/>
                <w:sz w:val="20"/>
              </w:rPr>
              <w:t>原</w:t>
            </w:r>
            <w:r>
              <w:rPr>
                <w:w w:val="95"/>
                <w:sz w:val="20"/>
              </w:rPr>
              <w:t>发</w:t>
            </w:r>
            <w:r>
              <w:rPr>
                <w:w w:val="95"/>
                <w:sz w:val="20"/>
              </w:rPr>
              <w:t>性</w:t>
            </w:r>
            <w:r>
              <w:rPr>
                <w:w w:val="95"/>
                <w:sz w:val="20"/>
              </w:rPr>
              <w:t>肺</w:t>
            </w:r>
            <w:r>
              <w:rPr>
                <w:w w:val="95"/>
                <w:sz w:val="20"/>
              </w:rPr>
              <w:t>动</w:t>
            </w:r>
            <w:r>
              <w:rPr>
                <w:w w:val="95"/>
                <w:sz w:val="20"/>
              </w:rPr>
              <w:t>脉</w:t>
            </w:r>
            <w:r>
              <w:rPr>
                <w:spacing w:val="-5"/>
                <w:w w:val="95"/>
                <w:sz w:val="20"/>
              </w:rPr>
              <w:t>高压</w:t>
            </w:r>
          </w:p>
        </w:tc>
        <w:tc>
          <w:tcPr>
            <w:tcW w:w="2126" w:type="dxa"/>
          </w:tcPr>
          <w:p>
            <w:pPr>
              <w:pStyle w:val="TableParagraph"/>
              <w:spacing w:before="30"/>
              <w:ind w:left="109"/>
              <w:rPr>
                <w:sz w:val="20"/>
              </w:rPr>
            </w:pPr>
            <w:r>
              <w:rPr>
                <w:w w:val="95"/>
                <w:sz w:val="20"/>
              </w:rPr>
              <w:t>13.</w:t>
            </w:r>
            <w:r>
              <w:rPr>
                <w:w w:val="95"/>
                <w:sz w:val="20"/>
              </w:rPr>
              <w:t>中</w:t>
            </w:r>
            <w:r>
              <w:rPr>
                <w:w w:val="95"/>
                <w:sz w:val="20"/>
              </w:rPr>
              <w:t>度</w:t>
            </w:r>
            <w:r>
              <w:rPr>
                <w:w w:val="95"/>
                <w:sz w:val="20"/>
              </w:rPr>
              <w:t>严</w:t>
            </w:r>
            <w:r>
              <w:rPr>
                <w:w w:val="95"/>
                <w:sz w:val="20"/>
              </w:rPr>
              <w:t>重</w:t>
            </w:r>
            <w:r>
              <w:rPr>
                <w:w w:val="95"/>
                <w:sz w:val="20"/>
              </w:rPr>
              <w:t>类</w:t>
            </w:r>
            <w:r>
              <w:rPr>
                <w:w w:val="95"/>
                <w:sz w:val="20"/>
              </w:rPr>
              <w:t>风</w:t>
            </w:r>
            <w:r>
              <w:rPr>
                <w:w w:val="95"/>
                <w:sz w:val="20"/>
              </w:rPr>
              <w:t>湿</w:t>
            </w:r>
            <w:r>
              <w:rPr>
                <w:spacing w:val="-10"/>
                <w:w w:val="95"/>
                <w:sz w:val="20"/>
              </w:rPr>
              <w:t>性</w:t>
            </w:r>
          </w:p>
          <w:p>
            <w:pPr>
              <w:pStyle w:val="TableParagraph"/>
              <w:spacing w:before="56"/>
              <w:ind w:left="109"/>
              <w:rPr>
                <w:sz w:val="20"/>
              </w:rPr>
            </w:pPr>
            <w:r>
              <w:rPr>
                <w:w w:val="95"/>
                <w:sz w:val="20"/>
              </w:rPr>
              <w:t>关</w:t>
            </w:r>
            <w:r>
              <w:rPr>
                <w:w w:val="95"/>
                <w:sz w:val="20"/>
              </w:rPr>
              <w:t>节</w:t>
            </w:r>
            <w:r>
              <w:rPr>
                <w:spacing w:val="-10"/>
                <w:w w:val="95"/>
                <w:sz w:val="20"/>
              </w:rPr>
              <w:t>炎</w:t>
            </w:r>
          </w:p>
        </w:tc>
      </w:tr>
    </w:tbl>
    <w:p>
      <w:pPr>
        <w:spacing w:after="0"/>
        <w:rPr>
          <w:sz w:val="20"/>
        </w:rPr>
        <w:sectPr>
          <w:type w:val="continuous"/>
          <w:pgSz w:w="11910" w:h="16840"/>
          <w:pgMar w:header="0" w:footer="655" w:top="1460" w:bottom="1297" w:left="560" w:right="480"/>
        </w:sectPr>
      </w:pPr>
    </w:p>
    <w:tbl>
      <w:tblPr>
        <w:tblW w:w="0" w:type="auto"/>
        <w:jc w:val="left"/>
        <w:tblInd w:w="1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65"/>
        <w:gridCol w:w="2126"/>
        <w:gridCol w:w="2126"/>
        <w:gridCol w:w="2126"/>
      </w:tblGrid>
      <w:tr>
        <w:trPr>
          <w:trHeight w:val="624" w:hRule="atLeast"/>
        </w:trPr>
        <w:tc>
          <w:tcPr>
            <w:tcW w:w="2165" w:type="dxa"/>
          </w:tcPr>
          <w:p>
            <w:pPr>
              <w:pStyle w:val="TableParagraph"/>
              <w:ind w:left="0"/>
              <w:rPr>
                <w:rFonts w:ascii="Times New Roman"/>
                <w:sz w:val="20"/>
              </w:rPr>
            </w:pPr>
          </w:p>
        </w:tc>
        <w:tc>
          <w:tcPr>
            <w:tcW w:w="2126" w:type="dxa"/>
          </w:tcPr>
          <w:p>
            <w:pPr>
              <w:pStyle w:val="TableParagraph"/>
              <w:ind w:left="0"/>
              <w:rPr>
                <w:rFonts w:ascii="Times New Roman"/>
                <w:sz w:val="20"/>
              </w:rPr>
            </w:pPr>
          </w:p>
        </w:tc>
        <w:tc>
          <w:tcPr>
            <w:tcW w:w="2126" w:type="dxa"/>
          </w:tcPr>
          <w:p>
            <w:pPr>
              <w:pStyle w:val="TableParagraph"/>
              <w:spacing w:before="179"/>
              <w:rPr>
                <w:sz w:val="20"/>
              </w:rPr>
            </w:pPr>
            <w:r>
              <w:rPr>
                <w:w w:val="95"/>
                <w:sz w:val="20"/>
              </w:rPr>
              <w:t>14.</w:t>
            </w:r>
            <w:r>
              <w:rPr>
                <w:w w:val="95"/>
                <w:sz w:val="20"/>
              </w:rPr>
              <w:t>早</w:t>
            </w:r>
            <w:r>
              <w:rPr>
                <w:w w:val="95"/>
                <w:sz w:val="20"/>
              </w:rPr>
              <w:t>期</w:t>
            </w:r>
            <w:r>
              <w:rPr>
                <w:w w:val="95"/>
                <w:sz w:val="20"/>
              </w:rPr>
              <w:t>象</w:t>
            </w:r>
            <w:r>
              <w:rPr>
                <w:w w:val="95"/>
                <w:sz w:val="20"/>
              </w:rPr>
              <w:t>皮</w:t>
            </w:r>
            <w:r>
              <w:rPr>
                <w:spacing w:val="-10"/>
                <w:w w:val="95"/>
                <w:sz w:val="20"/>
              </w:rPr>
              <w:t>病</w:t>
            </w:r>
          </w:p>
        </w:tc>
        <w:tc>
          <w:tcPr>
            <w:tcW w:w="2126" w:type="dxa"/>
          </w:tcPr>
          <w:p>
            <w:pPr>
              <w:pStyle w:val="TableParagraph"/>
              <w:spacing w:before="23"/>
              <w:ind w:left="109"/>
              <w:rPr>
                <w:sz w:val="20"/>
              </w:rPr>
            </w:pPr>
            <w:r>
              <w:rPr>
                <w:w w:val="95"/>
                <w:sz w:val="20"/>
              </w:rPr>
              <w:t>14.</w:t>
            </w:r>
            <w:r>
              <w:rPr>
                <w:w w:val="95"/>
                <w:sz w:val="20"/>
              </w:rPr>
              <w:t>中</w:t>
            </w:r>
            <w:r>
              <w:rPr>
                <w:w w:val="95"/>
                <w:sz w:val="20"/>
              </w:rPr>
              <w:t>度</w:t>
            </w:r>
            <w:r>
              <w:rPr>
                <w:w w:val="95"/>
                <w:sz w:val="20"/>
              </w:rPr>
              <w:t>严</w:t>
            </w:r>
            <w:r>
              <w:rPr>
                <w:w w:val="95"/>
                <w:sz w:val="20"/>
              </w:rPr>
              <w:t>重</w:t>
            </w:r>
            <w:r>
              <w:rPr>
                <w:w w:val="95"/>
                <w:sz w:val="20"/>
              </w:rPr>
              <w:t>系</w:t>
            </w:r>
            <w:r>
              <w:rPr>
                <w:w w:val="95"/>
                <w:sz w:val="20"/>
              </w:rPr>
              <w:t>统</w:t>
            </w:r>
            <w:r>
              <w:rPr>
                <w:w w:val="95"/>
                <w:sz w:val="20"/>
              </w:rPr>
              <w:t>性</w:t>
            </w:r>
            <w:r>
              <w:rPr>
                <w:spacing w:val="-10"/>
                <w:w w:val="95"/>
                <w:sz w:val="20"/>
              </w:rPr>
              <w:t>红</w:t>
            </w:r>
          </w:p>
          <w:p>
            <w:pPr>
              <w:pStyle w:val="TableParagraph"/>
              <w:spacing w:before="56"/>
              <w:ind w:left="109"/>
              <w:rPr>
                <w:sz w:val="20"/>
              </w:rPr>
            </w:pPr>
            <w:r>
              <w:rPr>
                <w:w w:val="95"/>
                <w:sz w:val="20"/>
              </w:rPr>
              <w:t>斑</w:t>
            </w:r>
            <w:r>
              <w:rPr>
                <w:w w:val="95"/>
                <w:sz w:val="20"/>
              </w:rPr>
              <w:t>狼</w:t>
            </w:r>
            <w:r>
              <w:rPr>
                <w:spacing w:val="-10"/>
                <w:w w:val="95"/>
                <w:sz w:val="20"/>
              </w:rPr>
              <w:t>疮</w:t>
            </w:r>
          </w:p>
        </w:tc>
      </w:tr>
      <w:tr>
        <w:trPr>
          <w:trHeight w:val="623" w:hRule="atLeast"/>
        </w:trPr>
        <w:tc>
          <w:tcPr>
            <w:tcW w:w="2165" w:type="dxa"/>
          </w:tcPr>
          <w:p>
            <w:pPr>
              <w:pStyle w:val="TableParagraph"/>
              <w:ind w:left="0"/>
              <w:rPr>
                <w:rFonts w:ascii="Times New Roman"/>
                <w:sz w:val="20"/>
              </w:rPr>
            </w:pPr>
          </w:p>
        </w:tc>
        <w:tc>
          <w:tcPr>
            <w:tcW w:w="2126" w:type="dxa"/>
          </w:tcPr>
          <w:p>
            <w:pPr>
              <w:pStyle w:val="TableParagraph"/>
              <w:ind w:left="0"/>
              <w:rPr>
                <w:rFonts w:ascii="Times New Roman"/>
                <w:sz w:val="20"/>
              </w:rPr>
            </w:pPr>
          </w:p>
        </w:tc>
        <w:tc>
          <w:tcPr>
            <w:tcW w:w="2126" w:type="dxa"/>
          </w:tcPr>
          <w:p>
            <w:pPr>
              <w:pStyle w:val="TableParagraph"/>
              <w:spacing w:before="23"/>
              <w:rPr>
                <w:sz w:val="20"/>
              </w:rPr>
            </w:pPr>
            <w:r>
              <w:rPr>
                <w:w w:val="95"/>
                <w:sz w:val="20"/>
              </w:rPr>
              <w:t>15.</w:t>
            </w:r>
            <w:r>
              <w:rPr>
                <w:w w:val="95"/>
                <w:sz w:val="20"/>
              </w:rPr>
              <w:t>激</w:t>
            </w:r>
            <w:r>
              <w:rPr>
                <w:w w:val="95"/>
                <w:sz w:val="20"/>
              </w:rPr>
              <w:t>光</w:t>
            </w:r>
            <w:r>
              <w:rPr>
                <w:w w:val="95"/>
                <w:sz w:val="20"/>
              </w:rPr>
              <w:t>心</w:t>
            </w:r>
            <w:r>
              <w:rPr>
                <w:w w:val="95"/>
                <w:sz w:val="20"/>
              </w:rPr>
              <w:t>肌</w:t>
            </w:r>
            <w:r>
              <w:rPr>
                <w:w w:val="95"/>
                <w:sz w:val="20"/>
              </w:rPr>
              <w:t>血</w:t>
            </w:r>
            <w:r>
              <w:rPr>
                <w:w w:val="95"/>
                <w:sz w:val="20"/>
              </w:rPr>
              <w:t>运</w:t>
            </w:r>
            <w:r>
              <w:rPr>
                <w:w w:val="95"/>
                <w:sz w:val="20"/>
              </w:rPr>
              <w:t>重</w:t>
            </w:r>
            <w:r>
              <w:rPr>
                <w:spacing w:val="-10"/>
                <w:w w:val="95"/>
                <w:sz w:val="20"/>
              </w:rPr>
              <w:t>建</w:t>
            </w:r>
          </w:p>
          <w:p>
            <w:pPr>
              <w:pStyle w:val="TableParagraph"/>
              <w:spacing w:before="55"/>
              <w:rPr>
                <w:sz w:val="20"/>
              </w:rPr>
            </w:pPr>
            <w:r>
              <w:rPr>
                <w:w w:val="99"/>
                <w:sz w:val="20"/>
              </w:rPr>
              <w:t>术</w:t>
            </w:r>
          </w:p>
        </w:tc>
        <w:tc>
          <w:tcPr>
            <w:tcW w:w="2126" w:type="dxa"/>
          </w:tcPr>
          <w:p>
            <w:pPr>
              <w:pStyle w:val="TableParagraph"/>
              <w:spacing w:before="23"/>
              <w:ind w:left="109"/>
              <w:rPr>
                <w:sz w:val="20"/>
              </w:rPr>
            </w:pPr>
            <w:r>
              <w:rPr>
                <w:w w:val="95"/>
                <w:sz w:val="20"/>
              </w:rPr>
              <w:t>15.</w:t>
            </w:r>
            <w:r>
              <w:rPr>
                <w:w w:val="95"/>
                <w:sz w:val="20"/>
              </w:rPr>
              <w:t>严</w:t>
            </w:r>
            <w:r>
              <w:rPr>
                <w:w w:val="95"/>
                <w:sz w:val="20"/>
              </w:rPr>
              <w:t>重</w:t>
            </w:r>
            <w:r>
              <w:rPr>
                <w:w w:val="95"/>
                <w:sz w:val="20"/>
              </w:rPr>
              <w:t>阻</w:t>
            </w:r>
            <w:r>
              <w:rPr>
                <w:w w:val="95"/>
                <w:sz w:val="20"/>
              </w:rPr>
              <w:t>塞</w:t>
            </w:r>
            <w:r>
              <w:rPr>
                <w:w w:val="95"/>
                <w:sz w:val="20"/>
              </w:rPr>
              <w:t>性</w:t>
            </w:r>
            <w:r>
              <w:rPr>
                <w:w w:val="95"/>
                <w:sz w:val="20"/>
              </w:rPr>
              <w:t>睡</w:t>
            </w:r>
            <w:r>
              <w:rPr>
                <w:w w:val="95"/>
                <w:sz w:val="20"/>
              </w:rPr>
              <w:t>眠</w:t>
            </w:r>
            <w:r>
              <w:rPr>
                <w:spacing w:val="-10"/>
                <w:w w:val="95"/>
                <w:sz w:val="20"/>
              </w:rPr>
              <w:t>窒</w:t>
            </w:r>
          </w:p>
          <w:p>
            <w:pPr>
              <w:pStyle w:val="TableParagraph"/>
              <w:spacing w:before="55"/>
              <w:ind w:left="109"/>
              <w:rPr>
                <w:sz w:val="20"/>
              </w:rPr>
            </w:pPr>
            <w:r>
              <w:rPr>
                <w:w w:val="95"/>
                <w:sz w:val="20"/>
              </w:rPr>
              <w:t>息</w:t>
            </w:r>
            <w:r>
              <w:rPr>
                <w:spacing w:val="-10"/>
                <w:sz w:val="20"/>
              </w:rPr>
              <w:t>症</w:t>
            </w:r>
          </w:p>
        </w:tc>
      </w:tr>
      <w:tr>
        <w:trPr>
          <w:trHeight w:val="455" w:hRule="atLeast"/>
        </w:trPr>
        <w:tc>
          <w:tcPr>
            <w:tcW w:w="2165" w:type="dxa"/>
          </w:tcPr>
          <w:p>
            <w:pPr>
              <w:pStyle w:val="TableParagraph"/>
              <w:ind w:left="0"/>
              <w:rPr>
                <w:rFonts w:ascii="Times New Roman"/>
                <w:sz w:val="20"/>
              </w:rPr>
            </w:pPr>
          </w:p>
        </w:tc>
        <w:tc>
          <w:tcPr>
            <w:tcW w:w="2126" w:type="dxa"/>
          </w:tcPr>
          <w:p>
            <w:pPr>
              <w:pStyle w:val="TableParagraph"/>
              <w:ind w:left="0"/>
              <w:rPr>
                <w:rFonts w:ascii="Times New Roman"/>
                <w:sz w:val="20"/>
              </w:rPr>
            </w:pPr>
          </w:p>
        </w:tc>
        <w:tc>
          <w:tcPr>
            <w:tcW w:w="2126" w:type="dxa"/>
          </w:tcPr>
          <w:p>
            <w:pPr>
              <w:pStyle w:val="TableParagraph"/>
              <w:ind w:left="0"/>
              <w:rPr>
                <w:rFonts w:ascii="Times New Roman"/>
                <w:sz w:val="20"/>
              </w:rPr>
            </w:pPr>
          </w:p>
        </w:tc>
        <w:tc>
          <w:tcPr>
            <w:tcW w:w="2126" w:type="dxa"/>
          </w:tcPr>
          <w:p>
            <w:pPr>
              <w:pStyle w:val="TableParagraph"/>
              <w:spacing w:before="95"/>
              <w:ind w:left="109"/>
              <w:rPr>
                <w:sz w:val="20"/>
              </w:rPr>
            </w:pPr>
            <w:r>
              <w:rPr>
                <w:w w:val="95"/>
                <w:sz w:val="20"/>
              </w:rPr>
              <w:t>16.</w:t>
            </w:r>
            <w:r>
              <w:rPr>
                <w:w w:val="95"/>
                <w:sz w:val="20"/>
              </w:rPr>
              <w:t>中</w:t>
            </w:r>
            <w:r>
              <w:rPr>
                <w:w w:val="95"/>
                <w:sz w:val="20"/>
              </w:rPr>
              <w:t>度</w:t>
            </w:r>
            <w:r>
              <w:rPr>
                <w:w w:val="95"/>
                <w:sz w:val="20"/>
              </w:rPr>
              <w:t>肌</w:t>
            </w:r>
            <w:r>
              <w:rPr>
                <w:w w:val="95"/>
                <w:sz w:val="20"/>
              </w:rPr>
              <w:t>营</w:t>
            </w:r>
            <w:r>
              <w:rPr>
                <w:w w:val="95"/>
                <w:sz w:val="20"/>
              </w:rPr>
              <w:t>养</w:t>
            </w:r>
            <w:r>
              <w:rPr>
                <w:w w:val="95"/>
                <w:sz w:val="20"/>
              </w:rPr>
              <w:t>不</w:t>
            </w:r>
            <w:r>
              <w:rPr>
                <w:spacing w:val="-5"/>
                <w:w w:val="95"/>
                <w:sz w:val="20"/>
              </w:rPr>
              <w:t>良症</w:t>
            </w:r>
          </w:p>
        </w:tc>
      </w:tr>
    </w:tbl>
    <w:p>
      <w:pPr>
        <w:pStyle w:val="BodyText"/>
        <w:spacing w:before="3"/>
        <w:rPr>
          <w:b/>
          <w:sz w:val="20"/>
        </w:rPr>
      </w:pPr>
    </w:p>
    <w:p>
      <w:pPr>
        <w:pStyle w:val="ListParagraph"/>
        <w:numPr>
          <w:ilvl w:val="1"/>
          <w:numId w:val="14"/>
        </w:numPr>
        <w:tabs>
          <w:tab w:pos="1133" w:val="left" w:leader="none"/>
          <w:tab w:pos="3081" w:val="left" w:leader="none"/>
        </w:tabs>
        <w:spacing w:line="278" w:lineRule="auto" w:before="71" w:after="0"/>
        <w:ind w:left="3081" w:right="322" w:hanging="2852"/>
        <w:jc w:val="both"/>
        <w:rPr>
          <w:sz w:val="21"/>
        </w:rPr>
      </w:pPr>
      <w:r>
        <w:rPr>
          <w:b/>
          <w:spacing w:val="-6"/>
          <w:sz w:val="21"/>
        </w:rPr>
        <w:t>毒</w:t>
      </w:r>
      <w:r>
        <w:rPr>
          <w:b/>
          <w:spacing w:val="-6"/>
          <w:sz w:val="21"/>
        </w:rPr>
        <w:t>品</w:t>
      </w:r>
      <w:r>
        <w:rPr>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8"/>
          <w:sz w:val="21"/>
        </w:rPr>
        <w:t>）</w:t>
      </w:r>
      <w:r>
        <w:rPr>
          <w:spacing w:val="-2"/>
          <w:sz w:val="21"/>
        </w:rPr>
        <w:t>、吗啡、大</w:t>
      </w:r>
      <w:r>
        <w:rPr>
          <w:spacing w:val="-2"/>
          <w:sz w:val="21"/>
        </w:rPr>
        <w:t>麻</w:t>
      </w:r>
      <w:r>
        <w:rPr>
          <w:spacing w:val="-2"/>
          <w:sz w:val="21"/>
        </w:rPr>
        <w:t>、</w:t>
      </w:r>
      <w:r>
        <w:rPr>
          <w:spacing w:val="-2"/>
          <w:sz w:val="21"/>
        </w:rPr>
        <w:t>可</w:t>
      </w:r>
      <w:r>
        <w:rPr>
          <w:spacing w:val="-2"/>
          <w:sz w:val="21"/>
        </w:rPr>
        <w:t>卡</w:t>
      </w:r>
      <w:r>
        <w:rPr>
          <w:spacing w:val="-2"/>
          <w:sz w:val="21"/>
        </w:rPr>
        <w:t>因以及国家规定管制</w:t>
      </w:r>
      <w:r>
        <w:rPr>
          <w:spacing w:val="-2"/>
          <w:sz w:val="21"/>
        </w:rPr>
        <w:t>的</w:t>
      </w:r>
      <w:r>
        <w:rPr>
          <w:spacing w:val="-2"/>
          <w:sz w:val="21"/>
        </w:rPr>
        <w:t>其</w:t>
      </w:r>
      <w:r>
        <w:rPr>
          <w:spacing w:val="-2"/>
          <w:sz w:val="21"/>
        </w:rPr>
        <w:t>他能够使人形成瘾癖</w:t>
      </w:r>
      <w:r>
        <w:rPr>
          <w:spacing w:val="-2"/>
          <w:sz w:val="21"/>
        </w:rPr>
        <w:t>的</w:t>
      </w:r>
      <w:r>
        <w:rPr>
          <w:spacing w:val="-2"/>
          <w:sz w:val="21"/>
        </w:rPr>
        <w:t>麻</w:t>
      </w:r>
      <w:r>
        <w:rPr>
          <w:spacing w:val="-2"/>
          <w:sz w:val="21"/>
        </w:rPr>
        <w:t>醉药品和精神药品</w:t>
      </w:r>
      <w:r>
        <w:rPr>
          <w:spacing w:val="-108"/>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医生开具并遵医嘱使</w:t>
      </w:r>
      <w:r>
        <w:rPr>
          <w:spacing w:val="-2"/>
          <w:sz w:val="21"/>
        </w:rPr>
        <w:t>用</w:t>
      </w:r>
      <w:r>
        <w:rPr>
          <w:spacing w:val="-2"/>
          <w:sz w:val="21"/>
        </w:rPr>
        <w:t>的</w:t>
      </w:r>
      <w:r>
        <w:rPr>
          <w:spacing w:val="-2"/>
          <w:sz w:val="21"/>
        </w:rPr>
        <w:t>用于治疗疾病但含有</w:t>
      </w:r>
      <w:r>
        <w:rPr>
          <w:spacing w:val="-2"/>
          <w:sz w:val="21"/>
        </w:rPr>
        <w:t>毒</w:t>
      </w:r>
      <w:r>
        <w:rPr>
          <w:spacing w:val="-2"/>
          <w:sz w:val="21"/>
        </w:rPr>
        <w:t>品</w:t>
      </w:r>
      <w:r>
        <w:rPr>
          <w:spacing w:val="-2"/>
          <w:sz w:val="21"/>
        </w:rPr>
        <w:t>成分的处方药品。</w:t>
      </w:r>
    </w:p>
    <w:p>
      <w:pPr>
        <w:pStyle w:val="BodyText"/>
        <w:spacing w:before="10"/>
        <w:rPr>
          <w:sz w:val="17"/>
        </w:rPr>
      </w:pPr>
    </w:p>
    <w:p>
      <w:pPr>
        <w:pStyle w:val="ListParagraph"/>
        <w:numPr>
          <w:ilvl w:val="1"/>
          <w:numId w:val="14"/>
        </w:numPr>
        <w:tabs>
          <w:tab w:pos="1133" w:val="left" w:leader="none"/>
        </w:tabs>
        <w:spacing w:line="278" w:lineRule="auto" w:before="0" w:after="0"/>
        <w:ind w:left="3081" w:right="322" w:hanging="2852"/>
        <w:jc w:val="both"/>
        <w:rPr>
          <w:sz w:val="21"/>
        </w:rPr>
      </w:pPr>
      <w:r>
        <w:rPr>
          <w:b/>
          <w:sz w:val="21"/>
        </w:rPr>
        <w:t>酒后驾驶</w:t>
      </w:r>
      <w:r>
        <w:rPr>
          <w:b/>
          <w:spacing w:val="971"/>
          <w:sz w:val="21"/>
        </w:rPr>
        <w:t> </w:t>
      </w:r>
      <w:r>
        <w:rPr>
          <w:spacing w:val="-11"/>
          <w:sz w:val="21"/>
        </w:rPr>
        <w:t>指经检测或鉴定，发生事故时车辆驾驶人员每百毫升血液中的酒精含量达到或超过</w:t>
      </w:r>
      <w:r>
        <w:rPr>
          <w:spacing w:val="-4"/>
          <w:sz w:val="21"/>
        </w:rPr>
        <w:t>一定的标准，公安机关交通管理部门依据《道路交通安全法》的规定认定为饮酒后</w:t>
      </w:r>
      <w:r>
        <w:rPr>
          <w:spacing w:val="-2"/>
          <w:sz w:val="21"/>
        </w:rPr>
        <w:t>驾驶或醉酒后驾驶。</w:t>
      </w:r>
    </w:p>
    <w:p>
      <w:pPr>
        <w:pStyle w:val="BodyText"/>
        <w:spacing w:before="1"/>
        <w:rPr>
          <w:sz w:val="12"/>
        </w:rPr>
      </w:pPr>
    </w:p>
    <w:p>
      <w:pPr>
        <w:spacing w:after="0"/>
        <w:rPr>
          <w:sz w:val="12"/>
        </w:rPr>
        <w:sectPr>
          <w:type w:val="continuous"/>
          <w:pgSz w:w="11910" w:h="16840"/>
          <w:pgMar w:header="0" w:footer="655" w:top="1460" w:bottom="840" w:left="560" w:right="480"/>
        </w:sectPr>
      </w:pPr>
    </w:p>
    <w:p>
      <w:pPr>
        <w:pStyle w:val="ListParagraph"/>
        <w:numPr>
          <w:ilvl w:val="1"/>
          <w:numId w:val="14"/>
        </w:numPr>
        <w:tabs>
          <w:tab w:pos="1132" w:val="left" w:leader="none"/>
          <w:tab w:pos="1133" w:val="left" w:leader="none"/>
        </w:tabs>
        <w:spacing w:line="240" w:lineRule="auto" w:before="71" w:after="0"/>
        <w:ind w:left="1132" w:right="0" w:hanging="904"/>
        <w:jc w:val="left"/>
        <w:rPr>
          <w:b/>
          <w:sz w:val="21"/>
        </w:rPr>
      </w:pPr>
      <w:r>
        <w:rPr>
          <w:b/>
          <w:spacing w:val="-4"/>
          <w:sz w:val="21"/>
        </w:rPr>
        <w:t>无合法有效驾驶证</w:t>
      </w:r>
    </w:p>
    <w:p>
      <w:pPr>
        <w:spacing w:before="43"/>
        <w:ind w:left="1132" w:right="0" w:firstLine="0"/>
        <w:jc w:val="left"/>
        <w:rPr>
          <w:b/>
          <w:sz w:val="21"/>
        </w:rPr>
      </w:pPr>
      <w:r>
        <w:rPr>
          <w:b/>
          <w:spacing w:val="-5"/>
          <w:sz w:val="21"/>
        </w:rPr>
        <w:t>驾驶</w:t>
      </w:r>
    </w:p>
    <w:p>
      <w:pPr>
        <w:pStyle w:val="BodyText"/>
        <w:spacing w:before="71"/>
        <w:ind w:left="219"/>
      </w:pPr>
      <w:r>
        <w:rPr/>
        <w:br w:type="column"/>
      </w:r>
      <w:r>
        <w:rPr>
          <w:spacing w:val="-4"/>
        </w:rPr>
        <w:t>指下列情形之一：</w:t>
      </w:r>
    </w:p>
    <w:p>
      <w:pPr>
        <w:pStyle w:val="BodyText"/>
        <w:spacing w:before="43"/>
        <w:ind w:left="219"/>
      </w:pPr>
      <w:r>
        <w:rPr>
          <w:spacing w:val="-3"/>
        </w:rPr>
        <w:t>(一)没有驾驶证驾驶；</w:t>
      </w:r>
    </w:p>
    <w:p>
      <w:pPr>
        <w:pStyle w:val="BodyText"/>
        <w:spacing w:line="278" w:lineRule="auto" w:before="43"/>
        <w:ind w:left="219" w:right="3547"/>
      </w:pPr>
      <w:r>
        <w:rPr>
          <w:spacing w:val="-2"/>
        </w:rPr>
        <w:t>(二)驾驶与驾驶证准驾车型不相符合的车辆； (三)驾驶员持审验不合格的驾驶证驾驶；</w:t>
      </w:r>
    </w:p>
    <w:p>
      <w:pPr>
        <w:pStyle w:val="BodyText"/>
        <w:spacing w:line="269" w:lineRule="exact"/>
        <w:ind w:left="219"/>
      </w:pPr>
      <w:r>
        <w:rPr>
          <w:spacing w:val="-3"/>
        </w:rPr>
        <w:t>(四)未经公安交通管理部门同意，持未审验的驾驶证驾驶；</w:t>
      </w:r>
    </w:p>
    <w:p>
      <w:pPr>
        <w:pStyle w:val="BodyText"/>
        <w:spacing w:line="278" w:lineRule="auto" w:before="43"/>
        <w:ind w:left="639" w:right="322" w:hanging="421"/>
      </w:pPr>
      <w:r>
        <w:rPr>
          <w:spacing w:val="-4"/>
        </w:rPr>
        <w:t>(五)持学习驾驶证学习驾车时，无教练员随车指导，或不按指定时间、路线学习驾</w:t>
      </w:r>
      <w:r>
        <w:rPr>
          <w:spacing w:val="-6"/>
        </w:rPr>
        <w:t>车；</w:t>
      </w:r>
    </w:p>
    <w:p>
      <w:pPr>
        <w:pStyle w:val="BodyText"/>
        <w:spacing w:line="269" w:lineRule="exact"/>
        <w:ind w:left="219"/>
      </w:pPr>
      <w:r>
        <w:rPr>
          <w:spacing w:val="-3"/>
        </w:rPr>
        <w:t>(六)公安交通管理部门规定的其他无有效驾驶证驾驶的情况。</w:t>
      </w:r>
    </w:p>
    <w:p>
      <w:pPr>
        <w:spacing w:after="0" w:line="269" w:lineRule="exact"/>
        <w:sectPr>
          <w:type w:val="continuous"/>
          <w:pgSz w:w="11910" w:h="16840"/>
          <w:pgMar w:header="0" w:footer="655" w:top="140" w:bottom="280" w:left="560" w:right="480"/>
          <w:cols w:num="2" w:equalWidth="0">
            <w:col w:w="2823" w:space="40"/>
            <w:col w:w="8007"/>
          </w:cols>
        </w:sectPr>
      </w:pPr>
    </w:p>
    <w:p>
      <w:pPr>
        <w:pStyle w:val="BodyText"/>
        <w:spacing w:before="7"/>
        <w:rPr>
          <w:sz w:val="15"/>
        </w:rPr>
      </w:pPr>
    </w:p>
    <w:p>
      <w:pPr>
        <w:pStyle w:val="ListParagraph"/>
        <w:numPr>
          <w:ilvl w:val="1"/>
          <w:numId w:val="14"/>
        </w:numPr>
        <w:tabs>
          <w:tab w:pos="1132" w:val="left" w:leader="none"/>
          <w:tab w:pos="1133" w:val="left" w:leader="none"/>
        </w:tabs>
        <w:spacing w:line="240" w:lineRule="auto" w:before="72" w:after="0"/>
        <w:ind w:left="1132" w:right="0" w:hanging="904"/>
        <w:jc w:val="left"/>
        <w:rPr>
          <w:sz w:val="21"/>
        </w:rPr>
      </w:pPr>
      <w:r>
        <w:rPr>
          <w:b/>
          <w:spacing w:val="15"/>
          <w:sz w:val="21"/>
        </w:rPr>
        <w:t>无合法有效行驶证 </w:t>
      </w:r>
      <w:r>
        <w:rPr>
          <w:spacing w:val="-2"/>
          <w:sz w:val="21"/>
        </w:rPr>
        <w:t>指下列情形之一：</w:t>
      </w:r>
    </w:p>
    <w:p>
      <w:pPr>
        <w:pStyle w:val="BodyText"/>
        <w:spacing w:before="43"/>
        <w:ind w:left="3081"/>
      </w:pPr>
      <w:r>
        <w:rPr>
          <w:spacing w:val="-3"/>
        </w:rPr>
        <w:t>(一)没有机动车行驶证；</w:t>
      </w:r>
    </w:p>
    <w:p>
      <w:pPr>
        <w:pStyle w:val="BodyText"/>
        <w:spacing w:before="43"/>
        <w:ind w:left="3081"/>
      </w:pPr>
      <w:r>
        <w:rPr>
          <w:spacing w:val="-3"/>
        </w:rPr>
        <w:t>(二)未在法律规定期限内按时进行或通过安全技术检验。</w:t>
      </w:r>
    </w:p>
    <w:p>
      <w:pPr>
        <w:pStyle w:val="BodyText"/>
        <w:spacing w:before="12"/>
        <w:rPr>
          <w:sz w:val="20"/>
        </w:rPr>
      </w:pPr>
    </w:p>
    <w:p>
      <w:pPr>
        <w:pStyle w:val="ListParagraph"/>
        <w:numPr>
          <w:ilvl w:val="1"/>
          <w:numId w:val="14"/>
        </w:numPr>
        <w:tabs>
          <w:tab w:pos="1132" w:val="left" w:leader="none"/>
          <w:tab w:pos="1133" w:val="left" w:leader="none"/>
          <w:tab w:pos="3081" w:val="left" w:leader="none"/>
        </w:tabs>
        <w:spacing w:line="278" w:lineRule="auto" w:before="0" w:after="0"/>
        <w:ind w:left="3081" w:right="322" w:hanging="2852"/>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动力装置驱动或者牵引</w:t>
      </w:r>
      <w:r>
        <w:rPr>
          <w:spacing w:val="-106"/>
          <w:sz w:val="21"/>
        </w:rPr>
        <w:t>，</w:t>
      </w:r>
      <w:r>
        <w:rPr>
          <w:spacing w:val="-2"/>
          <w:sz w:val="21"/>
        </w:rPr>
        <w:t>上道路行驶的供人员乘</w:t>
      </w:r>
      <w:r>
        <w:rPr>
          <w:spacing w:val="-2"/>
          <w:sz w:val="21"/>
        </w:rPr>
        <w:t>用</w:t>
      </w:r>
      <w:r>
        <w:rPr>
          <w:spacing w:val="-2"/>
          <w:sz w:val="21"/>
        </w:rPr>
        <w:t>或</w:t>
      </w:r>
      <w:r>
        <w:rPr>
          <w:spacing w:val="-2"/>
          <w:sz w:val="21"/>
        </w:rPr>
        <w:t>者用于运送物品以及</w:t>
      </w:r>
      <w:r>
        <w:rPr>
          <w:spacing w:val="-2"/>
          <w:sz w:val="21"/>
        </w:rPr>
        <w:t>进</w:t>
      </w:r>
      <w:r>
        <w:rPr>
          <w:spacing w:val="-2"/>
          <w:sz w:val="21"/>
        </w:rPr>
        <w:t>行</w:t>
      </w:r>
      <w:r>
        <w:rPr>
          <w:spacing w:val="-2"/>
          <w:sz w:val="21"/>
        </w:rPr>
        <w:t>工</w:t>
      </w:r>
      <w:r>
        <w:rPr>
          <w:spacing w:val="-2"/>
          <w:sz w:val="21"/>
        </w:rPr>
        <w:t>程</w:t>
      </w:r>
      <w:r>
        <w:rPr>
          <w:spacing w:val="-2"/>
          <w:sz w:val="21"/>
        </w:rPr>
        <w:t>专项作业的轮式车辆</w:t>
      </w:r>
      <w:r>
        <w:rPr>
          <w:spacing w:val="-2"/>
          <w:sz w:val="21"/>
        </w:rPr>
        <w:t>或</w:t>
      </w:r>
      <w:r>
        <w:rPr>
          <w:spacing w:val="-2"/>
          <w:sz w:val="21"/>
        </w:rPr>
        <w:t>履</w:t>
      </w:r>
      <w:r>
        <w:rPr>
          <w:spacing w:val="-2"/>
          <w:sz w:val="21"/>
        </w:rPr>
        <w:t>带车辆。</w:t>
      </w:r>
    </w:p>
    <w:p>
      <w:pPr>
        <w:pStyle w:val="BodyText"/>
        <w:spacing w:before="10"/>
        <w:rPr>
          <w:sz w:val="17"/>
        </w:rPr>
      </w:pPr>
    </w:p>
    <w:p>
      <w:pPr>
        <w:pStyle w:val="ListParagraph"/>
        <w:numPr>
          <w:ilvl w:val="1"/>
          <w:numId w:val="14"/>
        </w:numPr>
        <w:tabs>
          <w:tab w:pos="1132" w:val="left" w:leader="none"/>
          <w:tab w:pos="1133" w:val="left" w:leader="none"/>
          <w:tab w:pos="3081" w:val="left" w:leader="none"/>
        </w:tabs>
        <w:spacing w:line="240" w:lineRule="auto" w:before="0" w:after="0"/>
        <w:ind w:left="1132" w:right="0" w:hanging="904"/>
        <w:jc w:val="left"/>
        <w:rPr>
          <w:sz w:val="21"/>
        </w:rPr>
      </w:pPr>
      <w:r>
        <w:rPr>
          <w:b/>
          <w:sz w:val="21"/>
        </w:rPr>
        <w:t>艾滋病病</w:t>
      </w:r>
      <w:r>
        <w:rPr>
          <w:b/>
          <w:spacing w:val="-10"/>
          <w:sz w:val="21"/>
        </w:rPr>
        <w:t>毒</w:t>
      </w:r>
      <w:r>
        <w:rPr>
          <w:b/>
          <w:sz w:val="21"/>
        </w:rPr>
        <w:tab/>
      </w:r>
      <w:r>
        <w:rPr>
          <w:spacing w:val="-2"/>
          <w:sz w:val="21"/>
        </w:rPr>
        <w:t>艾</w:t>
      </w:r>
      <w:r>
        <w:rPr>
          <w:spacing w:val="-2"/>
          <w:sz w:val="21"/>
        </w:rPr>
        <w:t>滋</w:t>
      </w:r>
      <w:r>
        <w:rPr>
          <w:spacing w:val="-2"/>
          <w:sz w:val="21"/>
        </w:rPr>
        <w:t>病病毒指人类免疫缺</w:t>
      </w:r>
      <w:r>
        <w:rPr>
          <w:spacing w:val="-2"/>
          <w:sz w:val="21"/>
        </w:rPr>
        <w:t>陷</w:t>
      </w:r>
      <w:r>
        <w:rPr>
          <w:spacing w:val="-2"/>
          <w:sz w:val="21"/>
        </w:rPr>
        <w:t>病</w:t>
      </w:r>
      <w:r>
        <w:rPr>
          <w:spacing w:val="-2"/>
          <w:sz w:val="21"/>
        </w:rPr>
        <w:t>毒，英文缩写为</w:t>
      </w:r>
      <w:r>
        <w:rPr>
          <w:spacing w:val="-38"/>
          <w:sz w:val="21"/>
        </w:rPr>
        <w:t> </w:t>
      </w:r>
      <w:r>
        <w:rPr>
          <w:spacing w:val="-2"/>
          <w:sz w:val="21"/>
        </w:rPr>
        <w:t>HIV</w:t>
      </w:r>
      <w:r>
        <w:rPr>
          <w:spacing w:val="-10"/>
          <w:sz w:val="21"/>
        </w:rPr>
        <w:t>。</w:t>
      </w:r>
    </w:p>
    <w:p>
      <w:pPr>
        <w:pStyle w:val="BodyText"/>
      </w:pPr>
    </w:p>
    <w:p>
      <w:pPr>
        <w:pStyle w:val="ListParagraph"/>
        <w:numPr>
          <w:ilvl w:val="1"/>
          <w:numId w:val="14"/>
        </w:numPr>
        <w:tabs>
          <w:tab w:pos="1132" w:val="left" w:leader="none"/>
          <w:tab w:pos="1133" w:val="left" w:leader="none"/>
          <w:tab w:pos="3081" w:val="left" w:leader="none"/>
        </w:tabs>
        <w:spacing w:line="278" w:lineRule="auto" w:before="0" w:after="0"/>
        <w:ind w:left="3081" w:right="219" w:hanging="2852"/>
        <w:jc w:val="left"/>
        <w:rPr>
          <w:sz w:val="21"/>
        </w:rPr>
      </w:pPr>
      <w:r>
        <w:rPr>
          <w:b/>
          <w:spacing w:val="-4"/>
          <w:sz w:val="21"/>
        </w:rPr>
        <w:t>艾</w:t>
      </w:r>
      <w:r>
        <w:rPr>
          <w:b/>
          <w:spacing w:val="-4"/>
          <w:sz w:val="21"/>
        </w:rPr>
        <w:t>滋</w:t>
      </w:r>
      <w:r>
        <w:rPr>
          <w:b/>
          <w:spacing w:val="-4"/>
          <w:sz w:val="21"/>
        </w:rPr>
        <w:t>病</w:t>
      </w:r>
      <w:r>
        <w:rPr>
          <w:b/>
          <w:sz w:val="21"/>
        </w:rPr>
        <w:tab/>
      </w:r>
      <w:r>
        <w:rPr>
          <w:sz w:val="21"/>
        </w:rPr>
        <w:t>艾滋病指人类免疫缺陷病</w:t>
      </w:r>
      <w:r>
        <w:rPr>
          <w:sz w:val="21"/>
        </w:rPr>
        <w:t>毒引起的获得性免疫缺陷</w:t>
      </w:r>
      <w:r>
        <w:rPr>
          <w:sz w:val="21"/>
        </w:rPr>
        <w:t>综合征，英文缩写为</w:t>
      </w:r>
      <w:r>
        <w:rPr>
          <w:spacing w:val="-13"/>
          <w:sz w:val="21"/>
        </w:rPr>
        <w:t> </w:t>
      </w:r>
      <w:r>
        <w:rPr>
          <w:sz w:val="21"/>
        </w:rPr>
        <w:t>AIDS 。</w:t>
      </w:r>
      <w:r>
        <w:rPr>
          <w:sz w:val="21"/>
        </w:rPr>
        <w:t> </w:t>
      </w:r>
      <w:r>
        <w:rPr>
          <w:spacing w:val="-2"/>
          <w:sz w:val="21"/>
        </w:rPr>
        <w:t>在</w:t>
      </w:r>
      <w:r>
        <w:rPr>
          <w:spacing w:val="-2"/>
          <w:sz w:val="21"/>
        </w:rPr>
        <w:t>人</w:t>
      </w:r>
      <w:r>
        <w:rPr>
          <w:spacing w:val="-2"/>
          <w:sz w:val="21"/>
        </w:rPr>
        <w:t>体血液或其他样本中</w:t>
      </w:r>
      <w:r>
        <w:rPr>
          <w:spacing w:val="-2"/>
          <w:sz w:val="21"/>
        </w:rPr>
        <w:t>检</w:t>
      </w:r>
      <w:r>
        <w:rPr>
          <w:spacing w:val="-2"/>
          <w:sz w:val="21"/>
        </w:rPr>
        <w:t>测</w:t>
      </w:r>
      <w:r>
        <w:rPr>
          <w:spacing w:val="-2"/>
          <w:sz w:val="21"/>
        </w:rPr>
        <w:t>到艾滋病病毒或其抗</w:t>
      </w:r>
      <w:r>
        <w:rPr>
          <w:spacing w:val="-2"/>
          <w:sz w:val="21"/>
        </w:rPr>
        <w:t>体</w:t>
      </w:r>
      <w:r>
        <w:rPr>
          <w:spacing w:val="-2"/>
          <w:sz w:val="21"/>
        </w:rPr>
        <w:t>呈</w:t>
      </w:r>
      <w:r>
        <w:rPr>
          <w:spacing w:val="-2"/>
          <w:sz w:val="21"/>
        </w:rPr>
        <w:t>阳性</w:t>
      </w:r>
      <w:r>
        <w:rPr>
          <w:spacing w:val="-108"/>
          <w:sz w:val="21"/>
        </w:rPr>
        <w:t>，</w:t>
      </w:r>
      <w:r>
        <w:rPr>
          <w:spacing w:val="-2"/>
          <w:sz w:val="21"/>
        </w:rPr>
        <w:t>没有出现临床症</w:t>
      </w:r>
      <w:r>
        <w:rPr>
          <w:spacing w:val="-2"/>
          <w:sz w:val="21"/>
        </w:rPr>
        <w:t>状</w:t>
      </w:r>
      <w:r>
        <w:rPr>
          <w:spacing w:val="-2"/>
          <w:sz w:val="21"/>
        </w:rPr>
        <w:t>或</w:t>
      </w:r>
      <w:r>
        <w:rPr>
          <w:spacing w:val="-2"/>
          <w:sz w:val="21"/>
        </w:rPr>
        <w:t>体</w:t>
      </w:r>
      <w:r>
        <w:rPr>
          <w:spacing w:val="-2"/>
          <w:sz w:val="21"/>
        </w:rPr>
        <w:t>征</w:t>
      </w:r>
      <w:r>
        <w:rPr>
          <w:spacing w:val="-2"/>
          <w:sz w:val="21"/>
        </w:rPr>
        <w:t>的</w:t>
      </w:r>
      <w:r>
        <w:rPr>
          <w:spacing w:val="-73"/>
          <w:sz w:val="21"/>
        </w:rPr>
        <w:t>，</w:t>
      </w:r>
      <w:r>
        <w:rPr>
          <w:spacing w:val="-2"/>
          <w:sz w:val="21"/>
        </w:rPr>
        <w:t>为感染艾滋病病毒</w:t>
      </w:r>
      <w:r>
        <w:rPr>
          <w:spacing w:val="-70"/>
          <w:sz w:val="21"/>
        </w:rPr>
        <w:t>；</w:t>
      </w:r>
      <w:r>
        <w:rPr>
          <w:spacing w:val="-2"/>
          <w:sz w:val="21"/>
        </w:rPr>
        <w:t>如果同时出现了明显临床</w:t>
      </w:r>
      <w:r>
        <w:rPr>
          <w:spacing w:val="-2"/>
          <w:sz w:val="21"/>
        </w:rPr>
        <w:t>症</w:t>
      </w:r>
      <w:r>
        <w:rPr>
          <w:spacing w:val="-2"/>
          <w:sz w:val="21"/>
        </w:rPr>
        <w:t>状</w:t>
      </w:r>
      <w:r>
        <w:rPr>
          <w:spacing w:val="-2"/>
          <w:sz w:val="21"/>
        </w:rPr>
        <w:t>或体征的</w:t>
      </w:r>
      <w:r>
        <w:rPr>
          <w:spacing w:val="-70"/>
          <w:sz w:val="21"/>
        </w:rPr>
        <w:t>，</w:t>
      </w:r>
      <w:r>
        <w:rPr>
          <w:spacing w:val="-2"/>
          <w:sz w:val="21"/>
        </w:rPr>
        <w:t>为患艾滋病。</w:t>
      </w:r>
    </w:p>
    <w:p>
      <w:pPr>
        <w:pStyle w:val="BodyText"/>
        <w:spacing w:before="9"/>
        <w:rPr>
          <w:sz w:val="17"/>
        </w:rPr>
      </w:pPr>
    </w:p>
    <w:p>
      <w:pPr>
        <w:pStyle w:val="ListParagraph"/>
        <w:numPr>
          <w:ilvl w:val="1"/>
          <w:numId w:val="14"/>
        </w:numPr>
        <w:tabs>
          <w:tab w:pos="1132" w:val="left" w:leader="none"/>
          <w:tab w:pos="1133" w:val="left" w:leader="none"/>
          <w:tab w:pos="3081" w:val="left" w:leader="none"/>
        </w:tabs>
        <w:spacing w:line="278" w:lineRule="auto" w:before="1" w:after="0"/>
        <w:ind w:left="3081" w:right="217" w:hanging="2852"/>
        <w:jc w:val="left"/>
        <w:rPr>
          <w:sz w:val="21"/>
        </w:rPr>
      </w:pPr>
      <w:r>
        <w:rPr>
          <w:b/>
          <w:spacing w:val="-2"/>
          <w:sz w:val="21"/>
        </w:rPr>
        <w:t>遗</w:t>
      </w:r>
      <w:r>
        <w:rPr>
          <w:b/>
          <w:spacing w:val="-2"/>
          <w:sz w:val="21"/>
        </w:rPr>
        <w:t>传</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突变或畸变所引起的疾病，</w:t>
      </w:r>
      <w:r>
        <w:rPr>
          <w:spacing w:val="-2"/>
          <w:sz w:val="21"/>
        </w:rPr>
        <w:t>通</w:t>
      </w:r>
      <w:r>
        <w:rPr>
          <w:spacing w:val="-2"/>
          <w:sz w:val="21"/>
        </w:rPr>
        <w:t>常</w:t>
      </w:r>
      <w:r>
        <w:rPr>
          <w:spacing w:val="-2"/>
          <w:sz w:val="21"/>
        </w:rPr>
        <w:t>具有由亲代传至后代</w:t>
      </w:r>
      <w:r>
        <w:rPr>
          <w:spacing w:val="-2"/>
          <w:sz w:val="21"/>
        </w:rPr>
        <w:t>的</w:t>
      </w:r>
      <w:r>
        <w:rPr>
          <w:spacing w:val="-2"/>
          <w:sz w:val="21"/>
        </w:rPr>
        <w:t>垂</w:t>
      </w:r>
      <w:r>
        <w:rPr>
          <w:spacing w:val="-2"/>
          <w:sz w:val="21"/>
        </w:rPr>
        <w:t>直传递的特</w:t>
      </w:r>
      <w:r>
        <w:rPr>
          <w:spacing w:val="-2"/>
          <w:sz w:val="21"/>
        </w:rPr>
        <w:t>征</w:t>
      </w:r>
      <w:r>
        <w:rPr>
          <w:spacing w:val="-2"/>
          <w:sz w:val="21"/>
        </w:rPr>
        <w:t>。</w:t>
      </w:r>
    </w:p>
    <w:p>
      <w:pPr>
        <w:pStyle w:val="BodyText"/>
        <w:spacing w:before="3"/>
        <w:rPr>
          <w:sz w:val="12"/>
        </w:rPr>
      </w:pPr>
    </w:p>
    <w:p>
      <w:pPr>
        <w:spacing w:after="0"/>
        <w:rPr>
          <w:sz w:val="12"/>
        </w:rPr>
        <w:sectPr>
          <w:type w:val="continuous"/>
          <w:pgSz w:w="11910" w:h="16840"/>
          <w:pgMar w:header="0" w:footer="655" w:top="140" w:bottom="280" w:left="560" w:right="480"/>
        </w:sectPr>
      </w:pPr>
    </w:p>
    <w:p>
      <w:pPr>
        <w:pStyle w:val="ListParagraph"/>
        <w:numPr>
          <w:ilvl w:val="1"/>
          <w:numId w:val="14"/>
        </w:numPr>
        <w:tabs>
          <w:tab w:pos="1132" w:val="left" w:leader="none"/>
          <w:tab w:pos="1133" w:val="left" w:leader="none"/>
        </w:tabs>
        <w:spacing w:line="240" w:lineRule="auto" w:before="71" w:after="0"/>
        <w:ind w:left="1132" w:right="0" w:hanging="904"/>
        <w:jc w:val="left"/>
        <w:rPr>
          <w:b/>
          <w:sz w:val="21"/>
        </w:rPr>
      </w:pPr>
      <w:r>
        <w:rPr>
          <w:b/>
          <w:spacing w:val="-2"/>
          <w:sz w:val="21"/>
        </w:rPr>
        <w:t>先天性畸形、变形</w:t>
      </w:r>
    </w:p>
    <w:p>
      <w:pPr>
        <w:spacing w:before="43"/>
        <w:ind w:left="1132" w:right="0" w:firstLine="0"/>
        <w:jc w:val="left"/>
        <w:rPr>
          <w:b/>
          <w:sz w:val="21"/>
        </w:rPr>
      </w:pPr>
      <w:r>
        <w:rPr>
          <w:b/>
          <w:spacing w:val="-2"/>
          <w:sz w:val="21"/>
        </w:rPr>
        <w:t>或染色体异常</w:t>
      </w:r>
    </w:p>
    <w:p>
      <w:pPr>
        <w:pStyle w:val="BodyText"/>
        <w:spacing w:line="278" w:lineRule="auto" w:before="71"/>
        <w:ind w:left="219" w:right="322"/>
      </w:pPr>
      <w:r>
        <w:rPr/>
        <w:br w:type="column"/>
      </w:r>
      <w:r>
        <w:rPr>
          <w:spacing w:val="-4"/>
        </w:rPr>
        <w:t>指被保险人出生时就具有的畸形、变形或染色体异常。先天性畸形、变形或染色体</w:t>
      </w:r>
      <w:r>
        <w:rPr>
          <w:spacing w:val="-1"/>
        </w:rPr>
        <w:t>异常按照世界卫生组织《疾病和有关健康问题的国际统计分类》第十次修订版</w:t>
      </w:r>
    </w:p>
    <w:p>
      <w:pPr>
        <w:pStyle w:val="BodyText"/>
        <w:spacing w:line="269" w:lineRule="exact"/>
        <w:ind w:left="219"/>
      </w:pPr>
      <w:r>
        <w:rPr>
          <w:spacing w:val="-2"/>
        </w:rPr>
        <w:t>（ICD-10）</w:t>
      </w:r>
      <w:r>
        <w:rPr>
          <w:spacing w:val="-5"/>
        </w:rPr>
        <w:t>确定。</w:t>
      </w:r>
    </w:p>
    <w:p>
      <w:pPr>
        <w:spacing w:after="0" w:line="269" w:lineRule="exact"/>
        <w:sectPr>
          <w:type w:val="continuous"/>
          <w:pgSz w:w="11910" w:h="16840"/>
          <w:pgMar w:header="0" w:footer="655" w:top="140" w:bottom="280" w:left="560" w:right="480"/>
          <w:cols w:num="2" w:equalWidth="0">
            <w:col w:w="2823" w:space="40"/>
            <w:col w:w="8007"/>
          </w:cols>
        </w:sectPr>
      </w:pPr>
    </w:p>
    <w:p>
      <w:pPr>
        <w:pStyle w:val="BodyText"/>
        <w:spacing w:before="5"/>
        <w:rPr>
          <w:sz w:val="15"/>
        </w:rPr>
      </w:pPr>
    </w:p>
    <w:p>
      <w:pPr>
        <w:pStyle w:val="ListParagraph"/>
        <w:numPr>
          <w:ilvl w:val="1"/>
          <w:numId w:val="14"/>
        </w:numPr>
        <w:tabs>
          <w:tab w:pos="1133" w:val="left" w:leader="none"/>
        </w:tabs>
        <w:spacing w:line="278" w:lineRule="auto" w:before="72" w:after="0"/>
        <w:ind w:left="3081" w:right="404" w:hanging="2852"/>
        <w:jc w:val="both"/>
        <w:rPr>
          <w:sz w:val="21"/>
        </w:rPr>
      </w:pPr>
      <w:r>
        <w:rPr>
          <w:b/>
          <w:sz w:val="21"/>
        </w:rPr>
        <w:t>医疗机构</w:t>
      </w:r>
      <w:r>
        <w:rPr>
          <w:b/>
          <w:spacing w:val="988"/>
          <w:sz w:val="21"/>
        </w:rPr>
        <w:t> </w:t>
      </w:r>
      <w:r>
        <w:rPr>
          <w:sz w:val="21"/>
        </w:rPr>
        <w:t>指经中华人民共和国卫生部门正式评定的二级或以上之公立医院，</w:t>
      </w:r>
      <w:r>
        <w:rPr>
          <w:rFonts w:ascii="黑体" w:eastAsia="黑体" w:hint="eastAsia"/>
          <w:b/>
          <w:sz w:val="21"/>
        </w:rPr>
        <w:t>但不包括上述</w:t>
      </w:r>
      <w:r>
        <w:rPr>
          <w:rFonts w:ascii="黑体" w:eastAsia="黑体" w:hint="eastAsia"/>
          <w:b/>
          <w:spacing w:val="-2"/>
          <w:sz w:val="21"/>
        </w:rPr>
        <w:t>医院的分院、联合病房或联合病床，精神病院，专供康复、休养、戒毒、戒酒、</w:t>
      </w:r>
      <w:r>
        <w:rPr>
          <w:rFonts w:ascii="黑体" w:eastAsia="黑体" w:hint="eastAsia"/>
          <w:b/>
          <w:spacing w:val="-2"/>
          <w:sz w:val="21"/>
        </w:rPr>
        <w:t>护理、养老等非以直接诊治病人为目的之医疗机构</w:t>
      </w:r>
      <w:r>
        <w:rPr>
          <w:spacing w:val="-2"/>
          <w:sz w:val="21"/>
        </w:rPr>
        <w:t>。</w:t>
      </w:r>
    </w:p>
    <w:p>
      <w:pPr>
        <w:spacing w:after="0" w:line="278" w:lineRule="auto"/>
        <w:jc w:val="both"/>
        <w:rPr>
          <w:sz w:val="21"/>
        </w:rPr>
        <w:sectPr>
          <w:type w:val="continuous"/>
          <w:pgSz w:w="11910" w:h="16840"/>
          <w:pgMar w:header="0" w:footer="655" w:top="140" w:bottom="280" w:left="560" w:right="480"/>
        </w:sectPr>
      </w:pPr>
    </w:p>
    <w:p>
      <w:pPr>
        <w:pStyle w:val="ListParagraph"/>
        <w:numPr>
          <w:ilvl w:val="1"/>
          <w:numId w:val="14"/>
        </w:numPr>
        <w:tabs>
          <w:tab w:pos="1132" w:val="left" w:leader="none"/>
          <w:tab w:pos="1133" w:val="left" w:leader="none"/>
          <w:tab w:pos="3081" w:val="left" w:leader="none"/>
        </w:tabs>
        <w:spacing w:line="278" w:lineRule="auto" w:before="58" w:after="0"/>
        <w:ind w:left="3081" w:right="300" w:hanging="2852"/>
        <w:jc w:val="left"/>
        <w:rPr>
          <w:sz w:val="21"/>
        </w:rPr>
      </w:pPr>
      <w:r>
        <w:rPr/>
        <w:drawing>
          <wp:anchor distT="0" distB="0" distL="0" distR="0" allowOverlap="1" layoutInCell="1" locked="0" behindDoc="1" simplePos="0" relativeHeight="485911552">
            <wp:simplePos x="0" y="0"/>
            <wp:positionH relativeFrom="page">
              <wp:posOffset>576072</wp:posOffset>
            </wp:positionH>
            <wp:positionV relativeFrom="page">
              <wp:posOffset>1827529</wp:posOffset>
            </wp:positionV>
            <wp:extent cx="6408166" cy="8005013"/>
            <wp:effectExtent l="0" t="0" r="0" b="0"/>
            <wp:wrapNone/>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6408166" cy="8005013"/>
                    </a:xfrm>
                    <a:prstGeom prst="rect">
                      <a:avLst/>
                    </a:prstGeom>
                  </pic:spPr>
                </pic:pic>
              </a:graphicData>
            </a:graphic>
          </wp:anchor>
        </w:drawing>
      </w:r>
      <w:r>
        <w:rPr>
          <w:b/>
          <w:spacing w:val="-6"/>
          <w:sz w:val="21"/>
        </w:rPr>
        <w:t>利</w:t>
      </w:r>
      <w:r>
        <w:rPr>
          <w:b/>
          <w:spacing w:val="-6"/>
          <w:sz w:val="21"/>
        </w:rPr>
        <w:t>息</w:t>
      </w:r>
      <w:r>
        <w:rPr>
          <w:b/>
          <w:sz w:val="21"/>
        </w:rPr>
        <w:tab/>
      </w:r>
      <w:r>
        <w:rPr>
          <w:spacing w:val="-4"/>
          <w:sz w:val="21"/>
        </w:rPr>
        <w:t>指</w:t>
      </w:r>
      <w:r>
        <w:rPr>
          <w:spacing w:val="-4"/>
          <w:sz w:val="21"/>
        </w:rPr>
        <w:t>保</w:t>
      </w:r>
      <w:r>
        <w:rPr>
          <w:spacing w:val="-4"/>
          <w:sz w:val="21"/>
        </w:rPr>
        <w:t>单贷款的利息，按保</w:t>
      </w:r>
      <w:r>
        <w:rPr>
          <w:spacing w:val="-4"/>
          <w:sz w:val="21"/>
        </w:rPr>
        <w:t>单</w:t>
      </w:r>
      <w:r>
        <w:rPr>
          <w:spacing w:val="-4"/>
          <w:sz w:val="21"/>
        </w:rPr>
        <w:t>贷</w:t>
      </w:r>
      <w:r>
        <w:rPr>
          <w:spacing w:val="-4"/>
          <w:sz w:val="21"/>
        </w:rPr>
        <w:t>款的数额、经过天数</w:t>
      </w:r>
      <w:r>
        <w:rPr>
          <w:spacing w:val="-4"/>
          <w:sz w:val="21"/>
        </w:rPr>
        <w:t>和</w:t>
      </w:r>
      <w:r>
        <w:rPr>
          <w:spacing w:val="-4"/>
          <w:sz w:val="21"/>
        </w:rPr>
        <w:t>利</w:t>
      </w:r>
      <w:r>
        <w:rPr>
          <w:spacing w:val="-4"/>
          <w:sz w:val="21"/>
        </w:rPr>
        <w:t>率按日复利方式计算。</w:t>
      </w:r>
      <w:r>
        <w:rPr>
          <w:spacing w:val="-4"/>
          <w:sz w:val="21"/>
        </w:rPr>
        <w:t>利</w:t>
      </w:r>
      <w:r>
        <w:rPr>
          <w:spacing w:val="-4"/>
          <w:sz w:val="21"/>
        </w:rPr>
        <w:t>率</w:t>
      </w:r>
      <w:r>
        <w:rPr>
          <w:spacing w:val="-2"/>
          <w:sz w:val="21"/>
        </w:rPr>
        <w:t>将</w:t>
      </w:r>
      <w:r>
        <w:rPr>
          <w:spacing w:val="-2"/>
          <w:sz w:val="21"/>
        </w:rPr>
        <w:t>参</w:t>
      </w:r>
      <w:r>
        <w:rPr>
          <w:spacing w:val="-2"/>
          <w:sz w:val="21"/>
        </w:rPr>
        <w:t>照人民银行公布的同</w:t>
      </w:r>
      <w:r>
        <w:rPr>
          <w:spacing w:val="-2"/>
          <w:sz w:val="21"/>
        </w:rPr>
        <w:t>期</w:t>
      </w:r>
      <w:r>
        <w:rPr>
          <w:spacing w:val="-2"/>
          <w:sz w:val="21"/>
        </w:rPr>
        <w:t>贷</w:t>
      </w:r>
      <w:r>
        <w:rPr>
          <w:spacing w:val="-2"/>
          <w:sz w:val="21"/>
        </w:rPr>
        <w:t>款利率、公司自身资</w:t>
      </w:r>
      <w:r>
        <w:rPr>
          <w:spacing w:val="-2"/>
          <w:sz w:val="21"/>
        </w:rPr>
        <w:t>金</w:t>
      </w:r>
      <w:r>
        <w:rPr>
          <w:spacing w:val="-2"/>
          <w:sz w:val="21"/>
        </w:rPr>
        <w:t>成</w:t>
      </w:r>
      <w:r>
        <w:rPr>
          <w:spacing w:val="-2"/>
          <w:sz w:val="21"/>
        </w:rPr>
        <w:t>本及风险管控能力确</w:t>
      </w:r>
      <w:r>
        <w:rPr>
          <w:spacing w:val="-2"/>
          <w:sz w:val="21"/>
        </w:rPr>
        <w:t>定</w:t>
      </w:r>
      <w:r>
        <w:rPr>
          <w:spacing w:val="-2"/>
          <w:sz w:val="21"/>
        </w:rPr>
        <w:t>。</w:t>
      </w:r>
    </w:p>
    <w:p>
      <w:pPr>
        <w:pStyle w:val="BodyText"/>
        <w:spacing w:before="4"/>
        <w:rPr>
          <w:sz w:val="24"/>
        </w:rPr>
      </w:pPr>
    </w:p>
    <w:p>
      <w:pPr>
        <w:spacing w:before="0"/>
        <w:ind w:left="460" w:right="0" w:firstLine="0"/>
        <w:jc w:val="left"/>
        <w:rPr>
          <w:b/>
          <w:sz w:val="21"/>
        </w:rPr>
      </w:pPr>
      <w:r>
        <w:rPr>
          <w:b/>
          <w:spacing w:val="-4"/>
          <w:sz w:val="21"/>
        </w:rPr>
        <w:t>附表：</w:t>
      </w:r>
    </w:p>
    <w:p>
      <w:pPr>
        <w:pStyle w:val="BodyText"/>
        <w:rPr>
          <w:b/>
          <w:sz w:val="20"/>
        </w:rPr>
      </w:pPr>
    </w:p>
    <w:p>
      <w:pPr>
        <w:pStyle w:val="BodyText"/>
        <w:spacing w:before="128"/>
        <w:ind w:left="460"/>
      </w:pPr>
      <w:r>
        <w:rPr>
          <w:spacing w:val="-2"/>
        </w:rPr>
        <w:t>甲状腺乳头状癌、滤泡癌、低分化癌、Hürthle 细胞癌和未分化癌</w:t>
      </w:r>
    </w:p>
    <w:p>
      <w:pPr>
        <w:pStyle w:val="BodyText"/>
        <w:spacing w:line="276" w:lineRule="auto" w:before="95"/>
        <w:ind w:left="460" w:right="824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78" w:lineRule="auto" w:before="29"/>
        <w:ind w:left="880" w:right="6528" w:hanging="421"/>
      </w:pPr>
      <w:r>
        <w:rPr>
          <w:spacing w:val="-2"/>
          <w:position w:val="1"/>
        </w:rPr>
        <w:t>pT</w:t>
      </w:r>
      <w:r>
        <w:rPr>
          <w:spacing w:val="-2"/>
          <w:sz w:val="11"/>
        </w:rPr>
        <w:t>1</w:t>
      </w:r>
      <w:r>
        <w:rPr>
          <w:spacing w:val="-2"/>
          <w:position w:val="1"/>
        </w:rPr>
        <w:t>：肿瘤局限在甲状腺内，最大径≤2c</w:t>
      </w:r>
      <w:r>
        <w:rPr>
          <w:spacing w:val="-2"/>
          <w:position w:val="1"/>
        </w:rPr>
        <w:t>m </w:t>
      </w:r>
      <w:r>
        <w:rPr>
          <w:position w:val="1"/>
        </w:rPr>
        <w:t>T</w:t>
      </w:r>
      <w:r>
        <w:rPr>
          <w:sz w:val="11"/>
        </w:rPr>
        <w:t>1a</w:t>
      </w:r>
      <w:r>
        <w:rPr>
          <w:spacing w:val="-29"/>
          <w:sz w:val="11"/>
        </w:rPr>
        <w:t> </w:t>
      </w:r>
      <w:r>
        <w:rPr>
          <w:position w:val="1"/>
        </w:rPr>
        <w:t>肿瘤最大径≤1cm</w:t>
      </w:r>
    </w:p>
    <w:p>
      <w:pPr>
        <w:pStyle w:val="BodyText"/>
        <w:spacing w:line="319" w:lineRule="auto" w:before="24"/>
        <w:ind w:left="460" w:right="7013" w:firstLine="425"/>
      </w:pPr>
      <w:r>
        <w:rPr>
          <w:spacing w:val="-2"/>
          <w:position w:val="1"/>
        </w:rPr>
        <w:t>T</w:t>
      </w:r>
      <w:r>
        <w:rPr>
          <w:spacing w:val="-2"/>
          <w:sz w:val="11"/>
        </w:rPr>
        <w:t>1b</w:t>
      </w:r>
      <w:r>
        <w:rPr>
          <w:spacing w:val="-29"/>
          <w:sz w:val="11"/>
        </w:rPr>
        <w:t> </w:t>
      </w:r>
      <w:r>
        <w:rPr>
          <w:spacing w:val="-2"/>
          <w:position w:val="1"/>
        </w:rPr>
        <w:t>肿瘤最大径＞1cm，≤2cm </w:t>
      </w:r>
      <w:r>
        <w:rPr>
          <w:position w:val="1"/>
        </w:rPr>
        <w:t>pT</w:t>
      </w:r>
      <w:r>
        <w:rPr>
          <w:sz w:val="11"/>
        </w:rPr>
        <w:t>2</w:t>
      </w:r>
      <w:r>
        <w:rPr/>
        <w:t>：</w:t>
      </w:r>
      <w:r>
        <w:rPr>
          <w:position w:val="1"/>
        </w:rPr>
        <w:t>肿瘤 2～4cm</w:t>
      </w:r>
    </w:p>
    <w:p>
      <w:pPr>
        <w:pStyle w:val="BodyText"/>
        <w:spacing w:line="324" w:lineRule="auto"/>
        <w:ind w:left="460" w:right="488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17" w:lineRule="exact"/>
        <w:ind w:left="460"/>
      </w:pPr>
      <w:r>
        <w:rPr>
          <w:spacing w:val="-2"/>
          <w:position w:val="1"/>
        </w:rPr>
        <w:t>pT</w:t>
      </w:r>
      <w:r>
        <w:rPr>
          <w:spacing w:val="-2"/>
          <w:sz w:val="11"/>
        </w:rPr>
        <w:t>3b</w:t>
      </w:r>
      <w:r>
        <w:rPr>
          <w:spacing w:val="-3"/>
          <w:position w:val="1"/>
        </w:rPr>
        <w:t>：大体侵犯甲状腺外带状肌，无论肿瘤大小</w:t>
      </w:r>
    </w:p>
    <w:p>
      <w:pPr>
        <w:pStyle w:val="BodyText"/>
        <w:spacing w:before="89"/>
        <w:ind w:left="1026"/>
      </w:pPr>
      <w:r>
        <w:rPr>
          <w:spacing w:val="-3"/>
        </w:rPr>
        <w:t>带状肌包括：胸骨舌骨肌、胸骨甲状肌、甲状舌骨肌、肩胛舌骨肌</w:t>
      </w:r>
    </w:p>
    <w:p>
      <w:pPr>
        <w:pStyle w:val="BodyText"/>
        <w:spacing w:before="93"/>
        <w:ind w:left="460"/>
      </w:pPr>
      <w:r>
        <w:rPr>
          <w:spacing w:val="-2"/>
          <w:position w:val="1"/>
        </w:rPr>
        <w:t>pT</w:t>
      </w:r>
      <w:r>
        <w:rPr>
          <w:spacing w:val="-2"/>
          <w:sz w:val="11"/>
        </w:rPr>
        <w:t>4</w:t>
      </w:r>
      <w:r>
        <w:rPr>
          <w:spacing w:val="-3"/>
          <w:position w:val="1"/>
        </w:rPr>
        <w:t>：大体侵犯甲状腺外带状肌外</w:t>
      </w:r>
    </w:p>
    <w:p>
      <w:pPr>
        <w:pStyle w:val="BodyText"/>
        <w:spacing w:line="321" w:lineRule="auto" w:before="93"/>
        <w:ind w:left="460" w:right="5670"/>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spacing w:before="153"/>
        <w:ind w:left="460"/>
      </w:pPr>
      <w:r>
        <w:rPr>
          <w:spacing w:val="-4"/>
        </w:rPr>
        <w:t>甲状腺髓样癌</w:t>
      </w:r>
    </w:p>
    <w:p>
      <w:pPr>
        <w:pStyle w:val="BodyText"/>
        <w:spacing w:line="360" w:lineRule="auto" w:before="93"/>
        <w:ind w:left="460" w:right="824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28" w:lineRule="exact"/>
        <w:ind w:left="460"/>
      </w:pPr>
      <w:r>
        <w:rPr>
          <w:spacing w:val="-2"/>
          <w:position w:val="1"/>
        </w:rPr>
        <w:t>pT</w:t>
      </w:r>
      <w:r>
        <w:rPr>
          <w:spacing w:val="-2"/>
          <w:sz w:val="11"/>
        </w:rPr>
        <w:t>1</w:t>
      </w:r>
      <w:r>
        <w:rPr>
          <w:spacing w:val="-3"/>
          <w:position w:val="1"/>
        </w:rPr>
        <w:t>：肿瘤局限在甲状腺内，最大径≤</w:t>
      </w:r>
      <w:r>
        <w:rPr>
          <w:spacing w:val="-4"/>
          <w:position w:val="1"/>
        </w:rPr>
        <w:t>2cm</w:t>
      </w:r>
    </w:p>
    <w:p>
      <w:pPr>
        <w:spacing w:before="91"/>
        <w:ind w:left="880" w:right="0" w:firstLine="0"/>
        <w:jc w:val="left"/>
        <w:rPr>
          <w:sz w:val="21"/>
        </w:rPr>
      </w:pPr>
      <w:r>
        <w:rPr>
          <w:spacing w:val="-2"/>
          <w:position w:val="1"/>
          <w:sz w:val="21"/>
        </w:rPr>
        <w:t>T</w:t>
      </w:r>
      <w:r>
        <w:rPr>
          <w:spacing w:val="-2"/>
          <w:sz w:val="11"/>
        </w:rPr>
        <w:t>1a</w:t>
      </w:r>
      <w:r>
        <w:rPr>
          <w:spacing w:val="-21"/>
          <w:sz w:val="11"/>
        </w:rPr>
        <w:t> </w:t>
      </w:r>
      <w:r>
        <w:rPr>
          <w:spacing w:val="-3"/>
          <w:position w:val="1"/>
          <w:sz w:val="21"/>
        </w:rPr>
        <w:t>肿瘤最大径≤</w:t>
      </w:r>
      <w:r>
        <w:rPr>
          <w:spacing w:val="-4"/>
          <w:position w:val="1"/>
          <w:sz w:val="21"/>
        </w:rPr>
        <w:t>1cm</w:t>
      </w:r>
    </w:p>
    <w:p>
      <w:pPr>
        <w:pStyle w:val="BodyText"/>
        <w:spacing w:line="324" w:lineRule="auto" w:before="93"/>
        <w:ind w:left="460" w:right="7013" w:firstLine="425"/>
      </w:pPr>
      <w:r>
        <w:rPr>
          <w:spacing w:val="-2"/>
          <w:position w:val="1"/>
        </w:rPr>
        <w:t>T</w:t>
      </w:r>
      <w:r>
        <w:rPr>
          <w:spacing w:val="-2"/>
          <w:sz w:val="11"/>
        </w:rPr>
        <w:t>1b</w:t>
      </w:r>
      <w:r>
        <w:rPr>
          <w:spacing w:val="-29"/>
          <w:sz w:val="11"/>
        </w:rPr>
        <w:t> </w:t>
      </w:r>
      <w:r>
        <w:rPr>
          <w:spacing w:val="-2"/>
          <w:position w:val="1"/>
        </w:rPr>
        <w:t>肿瘤最大径＞1cm，≤2cm </w:t>
      </w:r>
      <w:r>
        <w:rPr>
          <w:position w:val="1"/>
        </w:rPr>
        <w:t>pT</w:t>
      </w:r>
      <w:r>
        <w:rPr>
          <w:sz w:val="11"/>
        </w:rPr>
        <w:t>2</w:t>
      </w:r>
      <w:r>
        <w:rPr>
          <w:position w:val="1"/>
        </w:rPr>
        <w:t>：肿瘤 2～4cm</w:t>
      </w:r>
    </w:p>
    <w:p>
      <w:pPr>
        <w:pStyle w:val="BodyText"/>
        <w:spacing w:line="324" w:lineRule="auto"/>
        <w:ind w:left="460" w:right="488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15" w:lineRule="exact"/>
        <w:ind w:left="460"/>
      </w:pPr>
      <w:r>
        <w:rPr>
          <w:spacing w:val="-2"/>
          <w:position w:val="1"/>
        </w:rPr>
        <w:t>pT</w:t>
      </w:r>
      <w:r>
        <w:rPr>
          <w:spacing w:val="-2"/>
          <w:sz w:val="11"/>
        </w:rPr>
        <w:t>3b</w:t>
      </w:r>
      <w:r>
        <w:rPr>
          <w:spacing w:val="-3"/>
          <w:position w:val="1"/>
        </w:rPr>
        <w:t>：大体侵犯甲状腺外带状肌，无论肿瘤大小</w:t>
      </w:r>
    </w:p>
    <w:p>
      <w:pPr>
        <w:pStyle w:val="BodyText"/>
        <w:spacing w:before="87"/>
        <w:ind w:left="1026"/>
      </w:pPr>
      <w:r>
        <w:rPr>
          <w:spacing w:val="-3"/>
        </w:rPr>
        <w:t>带状肌包括：胸骨舌骨肌、胸骨甲状肌、甲状舌骨肌、肩胛舌骨肌</w:t>
      </w:r>
    </w:p>
    <w:p>
      <w:pPr>
        <w:pStyle w:val="BodyText"/>
        <w:spacing w:before="137"/>
        <w:ind w:left="460"/>
      </w:pPr>
      <w:r>
        <w:rPr>
          <w:spacing w:val="-2"/>
          <w:position w:val="1"/>
        </w:rPr>
        <w:t>pT</w:t>
      </w:r>
      <w:r>
        <w:rPr>
          <w:spacing w:val="-2"/>
          <w:sz w:val="11"/>
        </w:rPr>
        <w:t>4</w:t>
      </w:r>
      <w:r>
        <w:rPr>
          <w:spacing w:val="-4"/>
          <w:position w:val="1"/>
        </w:rPr>
        <w:t>：进展期病变</w:t>
      </w:r>
    </w:p>
    <w:p>
      <w:pPr>
        <w:pStyle w:val="BodyText"/>
        <w:spacing w:line="319" w:lineRule="auto" w:before="88"/>
        <w:ind w:left="460" w:right="939"/>
      </w:pPr>
      <w:r>
        <w:rPr>
          <w:spacing w:val="-4"/>
          <w:position w:val="1"/>
        </w:rPr>
        <w:t>pT</w:t>
      </w:r>
      <w:r>
        <w:rPr>
          <w:spacing w:val="-4"/>
          <w:sz w:val="11"/>
        </w:rPr>
        <w:t>4a</w:t>
      </w:r>
      <w:r>
        <w:rPr>
          <w:spacing w:val="-4"/>
          <w:position w:val="1"/>
        </w:rPr>
        <w:t>：中度进展，任何大小的肿瘤，侵犯甲状腺外颈部周围器官和软组织，如喉、气管、食管、喉</w:t>
      </w:r>
      <w:r>
        <w:rPr>
          <w:spacing w:val="-4"/>
        </w:rPr>
        <w:t>反神经</w:t>
      </w:r>
      <w:r>
        <w:rPr>
          <w:spacing w:val="-2"/>
        </w:rPr>
        <w:t>及皮下软组织</w:t>
      </w:r>
    </w:p>
    <w:p>
      <w:pPr>
        <w:pStyle w:val="BodyText"/>
        <w:spacing w:before="5"/>
        <w:ind w:left="460"/>
      </w:pPr>
      <w:r>
        <w:rPr>
          <w:spacing w:val="-2"/>
          <w:position w:val="1"/>
        </w:rPr>
        <w:t>pT</w:t>
      </w:r>
      <w:r>
        <w:rPr>
          <w:spacing w:val="-2"/>
          <w:sz w:val="11"/>
        </w:rPr>
        <w:t>4b</w:t>
      </w:r>
      <w:r>
        <w:rPr>
          <w:spacing w:val="-3"/>
          <w:position w:val="1"/>
        </w:rPr>
        <w:t>：重度进展，任何大小的肿瘤，侵犯椎前筋膜，或包裹颈动脉、纵隔血管</w:t>
      </w:r>
    </w:p>
    <w:p>
      <w:pPr>
        <w:pStyle w:val="BodyText"/>
        <w:spacing w:before="11"/>
        <w:rPr>
          <w:sz w:val="18"/>
        </w:rPr>
      </w:pPr>
    </w:p>
    <w:p>
      <w:pPr>
        <w:pStyle w:val="BodyText"/>
        <w:spacing w:before="1"/>
        <w:ind w:left="460"/>
      </w:pPr>
      <w:r>
        <w:rPr>
          <w:spacing w:val="-3"/>
        </w:rPr>
        <w:t>区域淋巴结：适用于所有甲状腺癌</w:t>
      </w:r>
    </w:p>
    <w:p>
      <w:pPr>
        <w:pStyle w:val="BodyText"/>
        <w:spacing w:line="321" w:lineRule="auto" w:before="95"/>
        <w:ind w:left="460" w:right="8037"/>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w:t>
      </w:r>
      <w:r>
        <w:rPr>
          <w:spacing w:val="-2"/>
          <w:position w:val="1"/>
        </w:rPr>
        <w:t> pN</w:t>
      </w:r>
      <w:r>
        <w:rPr>
          <w:spacing w:val="-2"/>
          <w:sz w:val="11"/>
        </w:rPr>
        <w:t>1</w:t>
      </w:r>
      <w:r>
        <w:rPr>
          <w:spacing w:val="-2"/>
          <w:position w:val="1"/>
        </w:rPr>
        <w:t>：区域淋巴结转移</w:t>
      </w:r>
    </w:p>
    <w:p>
      <w:pPr>
        <w:pStyle w:val="BodyText"/>
        <w:spacing w:line="275" w:lineRule="exact"/>
        <w:ind w:left="460"/>
      </w:pPr>
      <w:r>
        <w:rPr>
          <w:spacing w:val="-10"/>
          <w:position w:val="1"/>
        </w:rPr>
        <w:t>pN</w:t>
      </w:r>
      <w:r>
        <w:rPr>
          <w:spacing w:val="-10"/>
          <w:sz w:val="11"/>
        </w:rPr>
        <w:t>1a</w:t>
      </w:r>
      <w:r>
        <w:rPr>
          <w:spacing w:val="-10"/>
          <w:position w:val="1"/>
        </w:rPr>
        <w:t>：转移至Ⅵ、Ⅶ区（包括气管旁、气管前、喉前/Delphian</w:t>
      </w:r>
      <w:r>
        <w:rPr>
          <w:spacing w:val="-5"/>
          <w:position w:val="1"/>
        </w:rPr>
        <w:t> 或上纵隔</w:t>
      </w:r>
      <w:r>
        <w:rPr>
          <w:spacing w:val="-10"/>
          <w:position w:val="1"/>
        </w:rPr>
        <w:t>）淋巴结，可以为单侧或双</w:t>
      </w:r>
      <w:r>
        <w:rPr>
          <w:spacing w:val="-10"/>
        </w:rPr>
        <w:t>侧。</w:t>
      </w:r>
    </w:p>
    <w:p>
      <w:pPr>
        <w:spacing w:after="0" w:line="275" w:lineRule="exact"/>
        <w:sectPr>
          <w:pgSz w:w="11910" w:h="16840"/>
          <w:pgMar w:header="0" w:footer="655" w:top="1420" w:bottom="840" w:left="560" w:right="480"/>
        </w:sectPr>
      </w:pPr>
    </w:p>
    <w:p>
      <w:pPr>
        <w:pStyle w:val="BodyText"/>
        <w:spacing w:before="51"/>
        <w:ind w:left="460"/>
      </w:pPr>
      <w:r>
        <w:rPr/>
        <w:drawing>
          <wp:anchor distT="0" distB="0" distL="0" distR="0" allowOverlap="1" layoutInCell="1" locked="0" behindDoc="1" simplePos="0" relativeHeight="485912064">
            <wp:simplePos x="0" y="0"/>
            <wp:positionH relativeFrom="page">
              <wp:posOffset>576072</wp:posOffset>
            </wp:positionH>
            <wp:positionV relativeFrom="paragraph">
              <wp:posOffset>-3174</wp:posOffset>
            </wp:positionV>
            <wp:extent cx="6408166" cy="6855841"/>
            <wp:effectExtent l="0" t="0" r="0" b="0"/>
            <wp:wrapNone/>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6408166" cy="6855841"/>
                    </a:xfrm>
                    <a:prstGeom prst="rect">
                      <a:avLst/>
                    </a:prstGeom>
                  </pic:spPr>
                </pic:pic>
              </a:graphicData>
            </a:graphic>
          </wp:anchor>
        </w:drawing>
      </w:r>
      <w:r>
        <w:rPr>
          <w:spacing w:val="-2"/>
          <w:position w:val="1"/>
        </w:rPr>
        <w:t>pN</w:t>
      </w:r>
      <w:r>
        <w:rPr>
          <w:spacing w:val="-2"/>
          <w:sz w:val="11"/>
        </w:rPr>
        <w:t>1b</w:t>
      </w:r>
      <w:r>
        <w:rPr>
          <w:spacing w:val="-2"/>
          <w:position w:val="1"/>
        </w:rPr>
        <w:t>：单侧、双侧或对侧颈淋巴结转移（包括Ⅰ、Ⅱ、Ⅲ、Ⅳ或Ⅴ区）</w:t>
      </w:r>
      <w:r>
        <w:rPr>
          <w:spacing w:val="-3"/>
          <w:position w:val="1"/>
        </w:rPr>
        <w:t>淋巴结或咽后淋巴结转移。</w:t>
      </w:r>
    </w:p>
    <w:p>
      <w:pPr>
        <w:pStyle w:val="BodyText"/>
        <w:spacing w:before="2"/>
        <w:rPr>
          <w:sz w:val="19"/>
        </w:rPr>
      </w:pPr>
    </w:p>
    <w:p>
      <w:pPr>
        <w:pStyle w:val="BodyText"/>
        <w:ind w:left="460"/>
      </w:pPr>
      <w:r>
        <w:rPr>
          <w:spacing w:val="-3"/>
        </w:rPr>
        <w:t>远处转移：适用于所有甲状腺癌</w:t>
      </w:r>
    </w:p>
    <w:p>
      <w:pPr>
        <w:pStyle w:val="BodyText"/>
        <w:spacing w:line="278" w:lineRule="auto" w:before="69"/>
        <w:ind w:left="460" w:right="8981"/>
      </w:pPr>
      <w:r>
        <w:rPr>
          <w:spacing w:val="-2"/>
          <w:position w:val="1"/>
        </w:rPr>
        <w:t>M</w:t>
      </w:r>
      <w:r>
        <w:rPr>
          <w:spacing w:val="-2"/>
          <w:sz w:val="11"/>
        </w:rPr>
        <w:t>0</w:t>
      </w:r>
      <w:r>
        <w:rPr>
          <w:spacing w:val="-2"/>
          <w:position w:val="1"/>
        </w:rPr>
        <w:t>：无远处转移 M</w:t>
      </w:r>
      <w:r>
        <w:rPr>
          <w:spacing w:val="-2"/>
          <w:sz w:val="11"/>
        </w:rPr>
        <w:t>1</w:t>
      </w:r>
      <w:r>
        <w:rPr>
          <w:spacing w:val="-4"/>
          <w:position w:val="1"/>
        </w:rPr>
        <w:t>：有远处转移</w:t>
      </w:r>
    </w:p>
    <w:p>
      <w:pPr>
        <w:pStyle w:val="BodyText"/>
        <w:spacing w:before="5"/>
        <w:rPr>
          <w:sz w:val="10"/>
        </w:rPr>
      </w:pPr>
    </w:p>
    <w:tbl>
      <w:tblPr>
        <w:tblW w:w="0" w:type="auto"/>
        <w:jc w:val="left"/>
        <w:tblInd w:w="8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497"/>
        <w:gridCol w:w="1985"/>
        <w:gridCol w:w="1843"/>
        <w:gridCol w:w="1880"/>
      </w:tblGrid>
      <w:tr>
        <w:trPr>
          <w:trHeight w:val="313" w:hRule="atLeast"/>
        </w:trPr>
        <w:tc>
          <w:tcPr>
            <w:tcW w:w="9205" w:type="dxa"/>
            <w:gridSpan w:val="4"/>
          </w:tcPr>
          <w:p>
            <w:pPr>
              <w:pStyle w:val="TableParagraph"/>
              <w:spacing w:line="269" w:lineRule="exact" w:before="25"/>
              <w:ind w:left="107"/>
              <w:rPr>
                <w:sz w:val="21"/>
              </w:rPr>
            </w:pPr>
            <w:r>
              <w:rPr>
                <w:spacing w:val="-2"/>
                <w:sz w:val="21"/>
              </w:rPr>
              <w:t>乳头状或滤泡状癌（分化型</w:t>
            </w:r>
            <w:r>
              <w:rPr>
                <w:spacing w:val="-10"/>
                <w:sz w:val="21"/>
              </w:rPr>
              <w:t>）</w:t>
            </w:r>
          </w:p>
        </w:tc>
      </w:tr>
      <w:tr>
        <w:trPr>
          <w:trHeight w:val="311" w:hRule="atLeast"/>
        </w:trPr>
        <w:tc>
          <w:tcPr>
            <w:tcW w:w="9205" w:type="dxa"/>
            <w:gridSpan w:val="4"/>
          </w:tcPr>
          <w:p>
            <w:pPr>
              <w:pStyle w:val="TableParagraph"/>
              <w:spacing w:line="269" w:lineRule="exact" w:before="22"/>
              <w:ind w:left="107"/>
              <w:rPr>
                <w:sz w:val="21"/>
              </w:rPr>
            </w:pPr>
            <w:r>
              <w:rPr>
                <w:sz w:val="21"/>
              </w:rPr>
              <w:t>年龄＜55</w:t>
            </w:r>
            <w:r>
              <w:rPr>
                <w:spacing w:val="-8"/>
                <w:sz w:val="21"/>
              </w:rPr>
              <w:t> 岁</w:t>
            </w:r>
          </w:p>
        </w:tc>
      </w:tr>
      <w:tr>
        <w:trPr>
          <w:trHeight w:val="311" w:hRule="atLeast"/>
        </w:trPr>
        <w:tc>
          <w:tcPr>
            <w:tcW w:w="3497" w:type="dxa"/>
          </w:tcPr>
          <w:p>
            <w:pPr>
              <w:pStyle w:val="TableParagraph"/>
              <w:ind w:left="0"/>
              <w:rPr>
                <w:rFonts w:ascii="Times New Roman"/>
                <w:sz w:val="20"/>
              </w:rPr>
            </w:pPr>
          </w:p>
        </w:tc>
        <w:tc>
          <w:tcPr>
            <w:tcW w:w="1985" w:type="dxa"/>
          </w:tcPr>
          <w:p>
            <w:pPr>
              <w:pStyle w:val="TableParagraph"/>
              <w:spacing w:line="269" w:lineRule="exact" w:before="22"/>
              <w:ind w:left="107"/>
              <w:rPr>
                <w:sz w:val="21"/>
              </w:rPr>
            </w:pPr>
            <w:r>
              <w:rPr>
                <w:w w:val="100"/>
                <w:sz w:val="21"/>
              </w:rPr>
              <w:t>T</w:t>
            </w:r>
          </w:p>
        </w:tc>
        <w:tc>
          <w:tcPr>
            <w:tcW w:w="1843" w:type="dxa"/>
          </w:tcPr>
          <w:p>
            <w:pPr>
              <w:pStyle w:val="TableParagraph"/>
              <w:spacing w:line="269" w:lineRule="exact" w:before="22"/>
              <w:rPr>
                <w:sz w:val="21"/>
              </w:rPr>
            </w:pPr>
            <w:r>
              <w:rPr>
                <w:w w:val="100"/>
                <w:sz w:val="21"/>
              </w:rPr>
              <w:t>N</w:t>
            </w:r>
          </w:p>
        </w:tc>
        <w:tc>
          <w:tcPr>
            <w:tcW w:w="1880" w:type="dxa"/>
          </w:tcPr>
          <w:p>
            <w:pPr>
              <w:pStyle w:val="TableParagraph"/>
              <w:spacing w:line="269" w:lineRule="exact" w:before="22"/>
              <w:rPr>
                <w:sz w:val="21"/>
              </w:rPr>
            </w:pPr>
            <w:r>
              <w:rPr>
                <w:w w:val="100"/>
                <w:sz w:val="21"/>
              </w:rPr>
              <w:t>M</w:t>
            </w:r>
          </w:p>
        </w:tc>
      </w:tr>
      <w:tr>
        <w:trPr>
          <w:trHeight w:val="313" w:hRule="atLeast"/>
        </w:trPr>
        <w:tc>
          <w:tcPr>
            <w:tcW w:w="3497" w:type="dxa"/>
          </w:tcPr>
          <w:p>
            <w:pPr>
              <w:pStyle w:val="TableParagraph"/>
              <w:spacing w:line="269" w:lineRule="exact" w:before="25"/>
              <w:ind w:left="107"/>
              <w:rPr>
                <w:sz w:val="21"/>
              </w:rPr>
            </w:pPr>
            <w:r>
              <w:rPr>
                <w:spacing w:val="-5"/>
                <w:sz w:val="21"/>
              </w:rPr>
              <w:t>Ⅰ期</w:t>
            </w:r>
          </w:p>
        </w:tc>
        <w:tc>
          <w:tcPr>
            <w:tcW w:w="1985" w:type="dxa"/>
          </w:tcPr>
          <w:p>
            <w:pPr>
              <w:pStyle w:val="TableParagraph"/>
              <w:spacing w:line="269" w:lineRule="exact" w:before="25"/>
              <w:ind w:left="107"/>
              <w:rPr>
                <w:sz w:val="21"/>
              </w:rPr>
            </w:pPr>
            <w:r>
              <w:rPr>
                <w:spacing w:val="-5"/>
                <w:sz w:val="21"/>
              </w:rPr>
              <w:t>任何</w:t>
            </w:r>
          </w:p>
        </w:tc>
        <w:tc>
          <w:tcPr>
            <w:tcW w:w="1843" w:type="dxa"/>
          </w:tcPr>
          <w:p>
            <w:pPr>
              <w:pStyle w:val="TableParagraph"/>
              <w:spacing w:line="269" w:lineRule="exact" w:before="25"/>
              <w:rPr>
                <w:sz w:val="21"/>
              </w:rPr>
            </w:pPr>
            <w:r>
              <w:rPr>
                <w:spacing w:val="-5"/>
                <w:sz w:val="21"/>
              </w:rPr>
              <w:t>任何</w:t>
            </w:r>
          </w:p>
        </w:tc>
        <w:tc>
          <w:tcPr>
            <w:tcW w:w="1880" w:type="dxa"/>
          </w:tcPr>
          <w:p>
            <w:pPr>
              <w:pStyle w:val="TableParagraph"/>
              <w:spacing w:line="269" w:lineRule="exact" w:before="25"/>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pacing w:val="-5"/>
                <w:sz w:val="21"/>
              </w:rPr>
              <w:t>Ⅱ期</w:t>
            </w:r>
          </w:p>
        </w:tc>
        <w:tc>
          <w:tcPr>
            <w:tcW w:w="1985" w:type="dxa"/>
          </w:tcPr>
          <w:p>
            <w:pPr>
              <w:pStyle w:val="TableParagraph"/>
              <w:spacing w:line="269" w:lineRule="exact" w:before="22"/>
              <w:ind w:left="107"/>
              <w:rPr>
                <w:sz w:val="21"/>
              </w:rPr>
            </w:pPr>
            <w:r>
              <w:rPr>
                <w:spacing w:val="-5"/>
                <w:sz w:val="21"/>
              </w:rPr>
              <w:t>任何</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1</w:t>
            </w:r>
          </w:p>
        </w:tc>
      </w:tr>
      <w:tr>
        <w:trPr>
          <w:trHeight w:val="311" w:hRule="atLeast"/>
        </w:trPr>
        <w:tc>
          <w:tcPr>
            <w:tcW w:w="9205" w:type="dxa"/>
            <w:gridSpan w:val="4"/>
          </w:tcPr>
          <w:p>
            <w:pPr>
              <w:pStyle w:val="TableParagraph"/>
              <w:spacing w:line="269" w:lineRule="exact" w:before="22"/>
              <w:ind w:left="107"/>
              <w:rPr>
                <w:sz w:val="21"/>
              </w:rPr>
            </w:pPr>
            <w:r>
              <w:rPr>
                <w:sz w:val="21"/>
              </w:rPr>
              <w:t>年龄≥55</w:t>
            </w:r>
            <w:r>
              <w:rPr>
                <w:spacing w:val="-8"/>
                <w:sz w:val="21"/>
              </w:rPr>
              <w:t> 岁</w:t>
            </w:r>
          </w:p>
        </w:tc>
      </w:tr>
      <w:tr>
        <w:trPr>
          <w:trHeight w:val="313" w:hRule="atLeast"/>
        </w:trPr>
        <w:tc>
          <w:tcPr>
            <w:tcW w:w="3497" w:type="dxa"/>
            <w:vMerge w:val="restart"/>
          </w:tcPr>
          <w:p>
            <w:pPr>
              <w:pStyle w:val="TableParagraph"/>
              <w:spacing w:before="11"/>
              <w:ind w:left="0"/>
              <w:rPr>
                <w:sz w:val="14"/>
              </w:rPr>
            </w:pPr>
          </w:p>
          <w:p>
            <w:pPr>
              <w:pStyle w:val="TableParagraph"/>
              <w:ind w:left="107"/>
              <w:rPr>
                <w:sz w:val="21"/>
              </w:rPr>
            </w:pPr>
            <w:r>
              <w:rPr>
                <w:spacing w:val="-5"/>
                <w:sz w:val="21"/>
              </w:rPr>
              <w:t>Ⅰ期</w:t>
            </w:r>
          </w:p>
        </w:tc>
        <w:tc>
          <w:tcPr>
            <w:tcW w:w="1985" w:type="dxa"/>
          </w:tcPr>
          <w:p>
            <w:pPr>
              <w:pStyle w:val="TableParagraph"/>
              <w:spacing w:line="269" w:lineRule="exact" w:before="24"/>
              <w:ind w:left="107"/>
              <w:rPr>
                <w:sz w:val="21"/>
              </w:rPr>
            </w:pPr>
            <w:r>
              <w:rPr>
                <w:w w:val="100"/>
                <w:sz w:val="21"/>
              </w:rPr>
              <w:t>1</w:t>
            </w:r>
          </w:p>
        </w:tc>
        <w:tc>
          <w:tcPr>
            <w:tcW w:w="1843" w:type="dxa"/>
          </w:tcPr>
          <w:p>
            <w:pPr>
              <w:pStyle w:val="TableParagraph"/>
              <w:spacing w:line="269" w:lineRule="exact" w:before="24"/>
              <w:rPr>
                <w:sz w:val="21"/>
              </w:rPr>
            </w:pPr>
            <w:r>
              <w:rPr>
                <w:spacing w:val="-5"/>
                <w:sz w:val="21"/>
              </w:rPr>
              <w:t>0/x</w:t>
            </w:r>
          </w:p>
        </w:tc>
        <w:tc>
          <w:tcPr>
            <w:tcW w:w="1880" w:type="dxa"/>
          </w:tcPr>
          <w:p>
            <w:pPr>
              <w:pStyle w:val="TableParagraph"/>
              <w:spacing w:line="269" w:lineRule="exact" w:before="24"/>
              <w:rPr>
                <w:sz w:val="21"/>
              </w:rPr>
            </w:pPr>
            <w:r>
              <w:rPr>
                <w:w w:val="100"/>
                <w:sz w:val="21"/>
              </w:rPr>
              <w:t>0</w:t>
            </w:r>
          </w:p>
        </w:tc>
      </w:tr>
      <w:tr>
        <w:trPr>
          <w:trHeight w:val="311" w:hRule="atLeast"/>
        </w:trPr>
        <w:tc>
          <w:tcPr>
            <w:tcW w:w="3497" w:type="dxa"/>
            <w:vMerge/>
            <w:tcBorders>
              <w:top w:val="nil"/>
            </w:tcBorders>
          </w:tcPr>
          <w:p>
            <w:pPr>
              <w:rPr>
                <w:sz w:val="2"/>
                <w:szCs w:val="2"/>
              </w:rPr>
            </w:pPr>
          </w:p>
        </w:tc>
        <w:tc>
          <w:tcPr>
            <w:tcW w:w="1985" w:type="dxa"/>
          </w:tcPr>
          <w:p>
            <w:pPr>
              <w:pStyle w:val="TableParagraph"/>
              <w:spacing w:line="269" w:lineRule="exact" w:before="23"/>
              <w:ind w:left="107"/>
              <w:rPr>
                <w:sz w:val="21"/>
              </w:rPr>
            </w:pPr>
            <w:r>
              <w:rPr>
                <w:w w:val="100"/>
                <w:sz w:val="21"/>
              </w:rPr>
              <w:t>2</w:t>
            </w:r>
          </w:p>
        </w:tc>
        <w:tc>
          <w:tcPr>
            <w:tcW w:w="1843" w:type="dxa"/>
          </w:tcPr>
          <w:p>
            <w:pPr>
              <w:pStyle w:val="TableParagraph"/>
              <w:spacing w:line="269" w:lineRule="exact" w:before="23"/>
              <w:rPr>
                <w:sz w:val="21"/>
              </w:rPr>
            </w:pPr>
            <w:r>
              <w:rPr>
                <w:spacing w:val="-5"/>
                <w:sz w:val="21"/>
              </w:rPr>
              <w:t>0/x</w:t>
            </w:r>
          </w:p>
        </w:tc>
        <w:tc>
          <w:tcPr>
            <w:tcW w:w="1880" w:type="dxa"/>
          </w:tcPr>
          <w:p>
            <w:pPr>
              <w:pStyle w:val="TableParagraph"/>
              <w:spacing w:line="269" w:lineRule="exact" w:before="23"/>
              <w:rPr>
                <w:sz w:val="21"/>
              </w:rPr>
            </w:pPr>
            <w:r>
              <w:rPr>
                <w:w w:val="100"/>
                <w:sz w:val="21"/>
              </w:rPr>
              <w:t>0</w:t>
            </w:r>
          </w:p>
        </w:tc>
      </w:tr>
      <w:tr>
        <w:trPr>
          <w:trHeight w:val="311" w:hRule="atLeast"/>
        </w:trPr>
        <w:tc>
          <w:tcPr>
            <w:tcW w:w="3497" w:type="dxa"/>
            <w:vMerge w:val="restart"/>
          </w:tcPr>
          <w:p>
            <w:pPr>
              <w:pStyle w:val="TableParagraph"/>
              <w:spacing w:before="8"/>
              <w:ind w:left="0"/>
              <w:rPr>
                <w:sz w:val="14"/>
              </w:rPr>
            </w:pPr>
          </w:p>
          <w:p>
            <w:pPr>
              <w:pStyle w:val="TableParagraph"/>
              <w:ind w:left="107"/>
              <w:rPr>
                <w:sz w:val="21"/>
              </w:rPr>
            </w:pPr>
            <w:r>
              <w:rPr>
                <w:spacing w:val="-5"/>
                <w:sz w:val="21"/>
              </w:rPr>
              <w:t>Ⅱ期</w:t>
            </w:r>
          </w:p>
        </w:tc>
        <w:tc>
          <w:tcPr>
            <w:tcW w:w="1985" w:type="dxa"/>
          </w:tcPr>
          <w:p>
            <w:pPr>
              <w:pStyle w:val="TableParagraph"/>
              <w:spacing w:line="269" w:lineRule="exact" w:before="22"/>
              <w:ind w:left="107"/>
              <w:rPr>
                <w:sz w:val="21"/>
              </w:rPr>
            </w:pPr>
            <w:r>
              <w:rPr>
                <w:spacing w:val="-5"/>
                <w:sz w:val="21"/>
              </w:rPr>
              <w:t>1～2</w:t>
            </w:r>
          </w:p>
        </w:tc>
        <w:tc>
          <w:tcPr>
            <w:tcW w:w="1843" w:type="dxa"/>
          </w:tcPr>
          <w:p>
            <w:pPr>
              <w:pStyle w:val="TableParagraph"/>
              <w:spacing w:line="269" w:lineRule="exact" w:before="22"/>
              <w:rPr>
                <w:sz w:val="21"/>
              </w:rPr>
            </w:pPr>
            <w:r>
              <w:rPr>
                <w:w w:val="100"/>
                <w:sz w:val="21"/>
              </w:rPr>
              <w:t>1</w:t>
            </w:r>
          </w:p>
        </w:tc>
        <w:tc>
          <w:tcPr>
            <w:tcW w:w="1880" w:type="dxa"/>
          </w:tcPr>
          <w:p>
            <w:pPr>
              <w:pStyle w:val="TableParagraph"/>
              <w:spacing w:line="269" w:lineRule="exact" w:before="22"/>
              <w:rPr>
                <w:sz w:val="21"/>
              </w:rPr>
            </w:pPr>
            <w:r>
              <w:rPr>
                <w:w w:val="100"/>
                <w:sz w:val="21"/>
              </w:rPr>
              <w:t>0</w:t>
            </w:r>
          </w:p>
        </w:tc>
      </w:tr>
      <w:tr>
        <w:trPr>
          <w:trHeight w:val="313" w:hRule="atLeast"/>
        </w:trPr>
        <w:tc>
          <w:tcPr>
            <w:tcW w:w="3497" w:type="dxa"/>
            <w:vMerge/>
            <w:tcBorders>
              <w:top w:val="nil"/>
            </w:tcBorders>
          </w:tcPr>
          <w:p>
            <w:pPr>
              <w:rPr>
                <w:sz w:val="2"/>
                <w:szCs w:val="2"/>
              </w:rPr>
            </w:pPr>
          </w:p>
        </w:tc>
        <w:tc>
          <w:tcPr>
            <w:tcW w:w="1985" w:type="dxa"/>
          </w:tcPr>
          <w:p>
            <w:pPr>
              <w:pStyle w:val="TableParagraph"/>
              <w:spacing w:line="269" w:lineRule="exact" w:before="25"/>
              <w:ind w:left="107"/>
              <w:rPr>
                <w:sz w:val="21"/>
              </w:rPr>
            </w:pPr>
            <w:r>
              <w:rPr>
                <w:spacing w:val="-2"/>
                <w:sz w:val="21"/>
              </w:rPr>
              <w:t>3a～3b</w:t>
            </w:r>
          </w:p>
        </w:tc>
        <w:tc>
          <w:tcPr>
            <w:tcW w:w="1843" w:type="dxa"/>
          </w:tcPr>
          <w:p>
            <w:pPr>
              <w:pStyle w:val="TableParagraph"/>
              <w:spacing w:line="269" w:lineRule="exact" w:before="25"/>
              <w:rPr>
                <w:sz w:val="21"/>
              </w:rPr>
            </w:pPr>
            <w:r>
              <w:rPr>
                <w:spacing w:val="-5"/>
                <w:sz w:val="21"/>
              </w:rPr>
              <w:t>任何</w:t>
            </w:r>
          </w:p>
        </w:tc>
        <w:tc>
          <w:tcPr>
            <w:tcW w:w="1880" w:type="dxa"/>
          </w:tcPr>
          <w:p>
            <w:pPr>
              <w:pStyle w:val="TableParagraph"/>
              <w:spacing w:line="269" w:lineRule="exact" w:before="25"/>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pacing w:val="-5"/>
                <w:sz w:val="21"/>
              </w:rPr>
              <w:t>Ⅲ期</w:t>
            </w:r>
          </w:p>
        </w:tc>
        <w:tc>
          <w:tcPr>
            <w:tcW w:w="1985" w:type="dxa"/>
          </w:tcPr>
          <w:p>
            <w:pPr>
              <w:pStyle w:val="TableParagraph"/>
              <w:spacing w:line="269" w:lineRule="exact" w:before="22"/>
              <w:ind w:left="107"/>
              <w:rPr>
                <w:sz w:val="21"/>
              </w:rPr>
            </w:pPr>
            <w:r>
              <w:rPr>
                <w:spacing w:val="-5"/>
                <w:sz w:val="21"/>
              </w:rPr>
              <w:t>4a</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z w:val="21"/>
              </w:rPr>
              <w:t>ⅣA</w:t>
            </w:r>
            <w:r>
              <w:rPr>
                <w:spacing w:val="-5"/>
                <w:sz w:val="21"/>
              </w:rPr>
              <w:t> 期</w:t>
            </w:r>
          </w:p>
        </w:tc>
        <w:tc>
          <w:tcPr>
            <w:tcW w:w="1985" w:type="dxa"/>
          </w:tcPr>
          <w:p>
            <w:pPr>
              <w:pStyle w:val="TableParagraph"/>
              <w:spacing w:line="269" w:lineRule="exact" w:before="22"/>
              <w:ind w:left="107"/>
              <w:rPr>
                <w:sz w:val="21"/>
              </w:rPr>
            </w:pPr>
            <w:r>
              <w:rPr>
                <w:spacing w:val="-5"/>
                <w:sz w:val="21"/>
              </w:rPr>
              <w:t>4b</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0</w:t>
            </w:r>
          </w:p>
        </w:tc>
      </w:tr>
      <w:tr>
        <w:trPr>
          <w:trHeight w:val="313" w:hRule="atLeast"/>
        </w:trPr>
        <w:tc>
          <w:tcPr>
            <w:tcW w:w="3497" w:type="dxa"/>
          </w:tcPr>
          <w:p>
            <w:pPr>
              <w:pStyle w:val="TableParagraph"/>
              <w:spacing w:line="269" w:lineRule="exact" w:before="25"/>
              <w:ind w:left="107"/>
              <w:rPr>
                <w:sz w:val="21"/>
              </w:rPr>
            </w:pPr>
            <w:r>
              <w:rPr>
                <w:sz w:val="21"/>
              </w:rPr>
              <w:t>ⅣB</w:t>
            </w:r>
            <w:r>
              <w:rPr>
                <w:spacing w:val="-5"/>
                <w:sz w:val="21"/>
              </w:rPr>
              <w:t> 期</w:t>
            </w:r>
          </w:p>
        </w:tc>
        <w:tc>
          <w:tcPr>
            <w:tcW w:w="1985" w:type="dxa"/>
          </w:tcPr>
          <w:p>
            <w:pPr>
              <w:pStyle w:val="TableParagraph"/>
              <w:spacing w:line="269" w:lineRule="exact" w:before="25"/>
              <w:ind w:left="107"/>
              <w:rPr>
                <w:sz w:val="21"/>
              </w:rPr>
            </w:pPr>
            <w:r>
              <w:rPr>
                <w:spacing w:val="-5"/>
                <w:sz w:val="21"/>
              </w:rPr>
              <w:t>任何</w:t>
            </w:r>
          </w:p>
        </w:tc>
        <w:tc>
          <w:tcPr>
            <w:tcW w:w="1843" w:type="dxa"/>
          </w:tcPr>
          <w:p>
            <w:pPr>
              <w:pStyle w:val="TableParagraph"/>
              <w:spacing w:line="269" w:lineRule="exact" w:before="25"/>
              <w:rPr>
                <w:sz w:val="21"/>
              </w:rPr>
            </w:pPr>
            <w:r>
              <w:rPr>
                <w:spacing w:val="-5"/>
                <w:sz w:val="21"/>
              </w:rPr>
              <w:t>任何</w:t>
            </w:r>
          </w:p>
        </w:tc>
        <w:tc>
          <w:tcPr>
            <w:tcW w:w="1880" w:type="dxa"/>
          </w:tcPr>
          <w:p>
            <w:pPr>
              <w:pStyle w:val="TableParagraph"/>
              <w:spacing w:line="269" w:lineRule="exact" w:before="25"/>
              <w:rPr>
                <w:sz w:val="21"/>
              </w:rPr>
            </w:pPr>
            <w:r>
              <w:rPr>
                <w:w w:val="100"/>
                <w:sz w:val="21"/>
              </w:rPr>
              <w:t>1</w:t>
            </w:r>
          </w:p>
        </w:tc>
      </w:tr>
      <w:tr>
        <w:trPr>
          <w:trHeight w:val="311" w:hRule="atLeast"/>
        </w:trPr>
        <w:tc>
          <w:tcPr>
            <w:tcW w:w="9205" w:type="dxa"/>
            <w:gridSpan w:val="4"/>
          </w:tcPr>
          <w:p>
            <w:pPr>
              <w:pStyle w:val="TableParagraph"/>
              <w:spacing w:line="269" w:lineRule="exact" w:before="22"/>
              <w:ind w:left="107"/>
              <w:rPr>
                <w:sz w:val="21"/>
              </w:rPr>
            </w:pPr>
            <w:r>
              <w:rPr>
                <w:spacing w:val="-2"/>
                <w:sz w:val="21"/>
              </w:rPr>
              <w:t>髓样癌（所有年龄组</w:t>
            </w:r>
            <w:r>
              <w:rPr>
                <w:spacing w:val="-10"/>
                <w:sz w:val="21"/>
              </w:rPr>
              <w:t>）</w:t>
            </w:r>
          </w:p>
        </w:tc>
      </w:tr>
      <w:tr>
        <w:trPr>
          <w:trHeight w:val="311" w:hRule="atLeast"/>
        </w:trPr>
        <w:tc>
          <w:tcPr>
            <w:tcW w:w="3497" w:type="dxa"/>
          </w:tcPr>
          <w:p>
            <w:pPr>
              <w:pStyle w:val="TableParagraph"/>
              <w:spacing w:line="269" w:lineRule="exact" w:before="22"/>
              <w:ind w:left="107"/>
              <w:rPr>
                <w:sz w:val="21"/>
              </w:rPr>
            </w:pPr>
            <w:r>
              <w:rPr>
                <w:spacing w:val="-5"/>
                <w:sz w:val="21"/>
              </w:rPr>
              <w:t>Ⅰ期</w:t>
            </w:r>
          </w:p>
        </w:tc>
        <w:tc>
          <w:tcPr>
            <w:tcW w:w="1985" w:type="dxa"/>
          </w:tcPr>
          <w:p>
            <w:pPr>
              <w:pStyle w:val="TableParagraph"/>
              <w:spacing w:line="269" w:lineRule="exact" w:before="22"/>
              <w:ind w:left="107"/>
              <w:rPr>
                <w:sz w:val="21"/>
              </w:rPr>
            </w:pPr>
            <w:r>
              <w:rPr>
                <w:w w:val="100"/>
                <w:sz w:val="21"/>
              </w:rPr>
              <w:t>1</w:t>
            </w:r>
          </w:p>
        </w:tc>
        <w:tc>
          <w:tcPr>
            <w:tcW w:w="1843" w:type="dxa"/>
          </w:tcPr>
          <w:p>
            <w:pPr>
              <w:pStyle w:val="TableParagraph"/>
              <w:spacing w:line="269" w:lineRule="exact" w:before="22"/>
              <w:rPr>
                <w:sz w:val="21"/>
              </w:rPr>
            </w:pPr>
            <w:r>
              <w:rPr>
                <w:w w:val="100"/>
                <w:sz w:val="21"/>
              </w:rPr>
              <w:t>0</w:t>
            </w:r>
          </w:p>
        </w:tc>
        <w:tc>
          <w:tcPr>
            <w:tcW w:w="1880" w:type="dxa"/>
          </w:tcPr>
          <w:p>
            <w:pPr>
              <w:pStyle w:val="TableParagraph"/>
              <w:spacing w:line="269" w:lineRule="exact" w:before="22"/>
              <w:rPr>
                <w:sz w:val="21"/>
              </w:rPr>
            </w:pPr>
            <w:r>
              <w:rPr>
                <w:w w:val="100"/>
                <w:sz w:val="21"/>
              </w:rPr>
              <w:t>0</w:t>
            </w:r>
          </w:p>
        </w:tc>
      </w:tr>
      <w:tr>
        <w:trPr>
          <w:trHeight w:val="313" w:hRule="atLeast"/>
        </w:trPr>
        <w:tc>
          <w:tcPr>
            <w:tcW w:w="3497" w:type="dxa"/>
          </w:tcPr>
          <w:p>
            <w:pPr>
              <w:pStyle w:val="TableParagraph"/>
              <w:spacing w:line="269" w:lineRule="exact" w:before="25"/>
              <w:ind w:left="107"/>
              <w:rPr>
                <w:sz w:val="21"/>
              </w:rPr>
            </w:pPr>
            <w:r>
              <w:rPr>
                <w:spacing w:val="-5"/>
                <w:sz w:val="21"/>
              </w:rPr>
              <w:t>Ⅱ期</w:t>
            </w:r>
          </w:p>
        </w:tc>
        <w:tc>
          <w:tcPr>
            <w:tcW w:w="1985" w:type="dxa"/>
          </w:tcPr>
          <w:p>
            <w:pPr>
              <w:pStyle w:val="TableParagraph"/>
              <w:spacing w:line="269" w:lineRule="exact" w:before="25"/>
              <w:ind w:left="107"/>
              <w:rPr>
                <w:sz w:val="21"/>
              </w:rPr>
            </w:pPr>
            <w:r>
              <w:rPr>
                <w:spacing w:val="-5"/>
                <w:sz w:val="21"/>
              </w:rPr>
              <w:t>2～3</w:t>
            </w:r>
          </w:p>
        </w:tc>
        <w:tc>
          <w:tcPr>
            <w:tcW w:w="1843" w:type="dxa"/>
          </w:tcPr>
          <w:p>
            <w:pPr>
              <w:pStyle w:val="TableParagraph"/>
              <w:spacing w:line="269" w:lineRule="exact" w:before="25"/>
              <w:rPr>
                <w:sz w:val="21"/>
              </w:rPr>
            </w:pPr>
            <w:r>
              <w:rPr>
                <w:w w:val="100"/>
                <w:sz w:val="21"/>
              </w:rPr>
              <w:t>0</w:t>
            </w:r>
          </w:p>
        </w:tc>
        <w:tc>
          <w:tcPr>
            <w:tcW w:w="1880" w:type="dxa"/>
          </w:tcPr>
          <w:p>
            <w:pPr>
              <w:pStyle w:val="TableParagraph"/>
              <w:spacing w:line="269" w:lineRule="exact" w:before="25"/>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pacing w:val="-5"/>
                <w:sz w:val="21"/>
              </w:rPr>
              <w:t>Ⅲ期</w:t>
            </w:r>
          </w:p>
        </w:tc>
        <w:tc>
          <w:tcPr>
            <w:tcW w:w="1985" w:type="dxa"/>
          </w:tcPr>
          <w:p>
            <w:pPr>
              <w:pStyle w:val="TableParagraph"/>
              <w:spacing w:line="269" w:lineRule="exact" w:before="22"/>
              <w:ind w:left="107"/>
              <w:rPr>
                <w:sz w:val="21"/>
              </w:rPr>
            </w:pPr>
            <w:r>
              <w:rPr>
                <w:spacing w:val="-5"/>
                <w:sz w:val="21"/>
              </w:rPr>
              <w:t>1～3</w:t>
            </w:r>
          </w:p>
        </w:tc>
        <w:tc>
          <w:tcPr>
            <w:tcW w:w="1843" w:type="dxa"/>
          </w:tcPr>
          <w:p>
            <w:pPr>
              <w:pStyle w:val="TableParagraph"/>
              <w:spacing w:line="269" w:lineRule="exact" w:before="22"/>
              <w:rPr>
                <w:sz w:val="21"/>
              </w:rPr>
            </w:pPr>
            <w:r>
              <w:rPr>
                <w:spacing w:val="-5"/>
                <w:sz w:val="21"/>
              </w:rPr>
              <w:t>1a</w:t>
            </w:r>
          </w:p>
        </w:tc>
        <w:tc>
          <w:tcPr>
            <w:tcW w:w="1880" w:type="dxa"/>
          </w:tcPr>
          <w:p>
            <w:pPr>
              <w:pStyle w:val="TableParagraph"/>
              <w:spacing w:line="269" w:lineRule="exact" w:before="22"/>
              <w:rPr>
                <w:sz w:val="21"/>
              </w:rPr>
            </w:pPr>
            <w:r>
              <w:rPr>
                <w:w w:val="100"/>
                <w:sz w:val="21"/>
              </w:rPr>
              <w:t>0</w:t>
            </w:r>
          </w:p>
        </w:tc>
      </w:tr>
      <w:tr>
        <w:trPr>
          <w:trHeight w:val="311" w:hRule="atLeast"/>
        </w:trPr>
        <w:tc>
          <w:tcPr>
            <w:tcW w:w="3497" w:type="dxa"/>
            <w:vMerge w:val="restart"/>
          </w:tcPr>
          <w:p>
            <w:pPr>
              <w:pStyle w:val="TableParagraph"/>
              <w:spacing w:before="8"/>
              <w:ind w:left="0"/>
              <w:rPr>
                <w:sz w:val="14"/>
              </w:rPr>
            </w:pPr>
          </w:p>
          <w:p>
            <w:pPr>
              <w:pStyle w:val="TableParagraph"/>
              <w:ind w:left="107"/>
              <w:rPr>
                <w:sz w:val="21"/>
              </w:rPr>
            </w:pPr>
            <w:r>
              <w:rPr>
                <w:sz w:val="21"/>
              </w:rPr>
              <w:t>ⅣA</w:t>
            </w:r>
            <w:r>
              <w:rPr>
                <w:spacing w:val="-5"/>
                <w:sz w:val="21"/>
              </w:rPr>
              <w:t> 期</w:t>
            </w:r>
          </w:p>
        </w:tc>
        <w:tc>
          <w:tcPr>
            <w:tcW w:w="1985" w:type="dxa"/>
          </w:tcPr>
          <w:p>
            <w:pPr>
              <w:pStyle w:val="TableParagraph"/>
              <w:spacing w:line="269" w:lineRule="exact" w:before="22"/>
              <w:ind w:left="107"/>
              <w:rPr>
                <w:sz w:val="21"/>
              </w:rPr>
            </w:pPr>
            <w:r>
              <w:rPr>
                <w:spacing w:val="-5"/>
                <w:sz w:val="21"/>
              </w:rPr>
              <w:t>4a</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0</w:t>
            </w:r>
          </w:p>
        </w:tc>
      </w:tr>
      <w:tr>
        <w:trPr>
          <w:trHeight w:val="313" w:hRule="atLeast"/>
        </w:trPr>
        <w:tc>
          <w:tcPr>
            <w:tcW w:w="3497" w:type="dxa"/>
            <w:vMerge/>
            <w:tcBorders>
              <w:top w:val="nil"/>
            </w:tcBorders>
          </w:tcPr>
          <w:p>
            <w:pPr>
              <w:rPr>
                <w:sz w:val="2"/>
                <w:szCs w:val="2"/>
              </w:rPr>
            </w:pPr>
          </w:p>
        </w:tc>
        <w:tc>
          <w:tcPr>
            <w:tcW w:w="1985" w:type="dxa"/>
          </w:tcPr>
          <w:p>
            <w:pPr>
              <w:pStyle w:val="TableParagraph"/>
              <w:spacing w:line="269" w:lineRule="exact" w:before="25"/>
              <w:ind w:left="107"/>
              <w:rPr>
                <w:sz w:val="21"/>
              </w:rPr>
            </w:pPr>
            <w:r>
              <w:rPr>
                <w:spacing w:val="-5"/>
                <w:sz w:val="21"/>
              </w:rPr>
              <w:t>1～3</w:t>
            </w:r>
          </w:p>
        </w:tc>
        <w:tc>
          <w:tcPr>
            <w:tcW w:w="1843" w:type="dxa"/>
          </w:tcPr>
          <w:p>
            <w:pPr>
              <w:pStyle w:val="TableParagraph"/>
              <w:spacing w:line="269" w:lineRule="exact" w:before="25"/>
              <w:rPr>
                <w:sz w:val="21"/>
              </w:rPr>
            </w:pPr>
            <w:r>
              <w:rPr>
                <w:spacing w:val="-5"/>
                <w:sz w:val="21"/>
              </w:rPr>
              <w:t>1b</w:t>
            </w:r>
          </w:p>
        </w:tc>
        <w:tc>
          <w:tcPr>
            <w:tcW w:w="1880" w:type="dxa"/>
          </w:tcPr>
          <w:p>
            <w:pPr>
              <w:pStyle w:val="TableParagraph"/>
              <w:spacing w:line="269" w:lineRule="exact" w:before="25"/>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z w:val="21"/>
              </w:rPr>
              <w:t>ⅣB</w:t>
            </w:r>
            <w:r>
              <w:rPr>
                <w:spacing w:val="-5"/>
                <w:sz w:val="21"/>
              </w:rPr>
              <w:t> 期</w:t>
            </w:r>
          </w:p>
        </w:tc>
        <w:tc>
          <w:tcPr>
            <w:tcW w:w="1985" w:type="dxa"/>
          </w:tcPr>
          <w:p>
            <w:pPr>
              <w:pStyle w:val="TableParagraph"/>
              <w:spacing w:line="269" w:lineRule="exact" w:before="22"/>
              <w:ind w:left="107"/>
              <w:rPr>
                <w:sz w:val="21"/>
              </w:rPr>
            </w:pPr>
            <w:r>
              <w:rPr>
                <w:spacing w:val="-5"/>
                <w:sz w:val="21"/>
              </w:rPr>
              <w:t>4b</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z w:val="21"/>
              </w:rPr>
              <w:t>ⅣC</w:t>
            </w:r>
            <w:r>
              <w:rPr>
                <w:spacing w:val="-5"/>
                <w:sz w:val="21"/>
              </w:rPr>
              <w:t> 期</w:t>
            </w:r>
          </w:p>
        </w:tc>
        <w:tc>
          <w:tcPr>
            <w:tcW w:w="1985" w:type="dxa"/>
          </w:tcPr>
          <w:p>
            <w:pPr>
              <w:pStyle w:val="TableParagraph"/>
              <w:spacing w:line="269" w:lineRule="exact" w:before="22"/>
              <w:ind w:left="107"/>
              <w:rPr>
                <w:sz w:val="21"/>
              </w:rPr>
            </w:pPr>
            <w:r>
              <w:rPr>
                <w:spacing w:val="-5"/>
                <w:sz w:val="21"/>
              </w:rPr>
              <w:t>任何</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1</w:t>
            </w:r>
          </w:p>
        </w:tc>
      </w:tr>
      <w:tr>
        <w:trPr>
          <w:trHeight w:val="313" w:hRule="atLeast"/>
        </w:trPr>
        <w:tc>
          <w:tcPr>
            <w:tcW w:w="9205" w:type="dxa"/>
            <w:gridSpan w:val="4"/>
          </w:tcPr>
          <w:p>
            <w:pPr>
              <w:pStyle w:val="TableParagraph"/>
              <w:spacing w:line="269" w:lineRule="exact" w:before="24"/>
              <w:ind w:left="107"/>
              <w:rPr>
                <w:sz w:val="21"/>
              </w:rPr>
            </w:pPr>
            <w:r>
              <w:rPr>
                <w:spacing w:val="-2"/>
                <w:sz w:val="21"/>
              </w:rPr>
              <w:t>未分化癌（所有年龄组</w:t>
            </w:r>
            <w:r>
              <w:rPr>
                <w:spacing w:val="-10"/>
                <w:sz w:val="21"/>
              </w:rPr>
              <w:t>）</w:t>
            </w:r>
          </w:p>
        </w:tc>
      </w:tr>
      <w:tr>
        <w:trPr>
          <w:trHeight w:val="311" w:hRule="atLeast"/>
        </w:trPr>
        <w:tc>
          <w:tcPr>
            <w:tcW w:w="3497" w:type="dxa"/>
          </w:tcPr>
          <w:p>
            <w:pPr>
              <w:pStyle w:val="TableParagraph"/>
              <w:spacing w:line="269" w:lineRule="exact" w:before="22"/>
              <w:ind w:left="107"/>
              <w:rPr>
                <w:sz w:val="21"/>
              </w:rPr>
            </w:pPr>
            <w:r>
              <w:rPr>
                <w:sz w:val="21"/>
              </w:rPr>
              <w:t>ⅣA</w:t>
            </w:r>
            <w:r>
              <w:rPr>
                <w:spacing w:val="-5"/>
                <w:sz w:val="21"/>
              </w:rPr>
              <w:t> 期</w:t>
            </w:r>
          </w:p>
        </w:tc>
        <w:tc>
          <w:tcPr>
            <w:tcW w:w="1985" w:type="dxa"/>
          </w:tcPr>
          <w:p>
            <w:pPr>
              <w:pStyle w:val="TableParagraph"/>
              <w:spacing w:line="269" w:lineRule="exact" w:before="22"/>
              <w:ind w:left="107"/>
              <w:rPr>
                <w:sz w:val="21"/>
              </w:rPr>
            </w:pPr>
            <w:r>
              <w:rPr>
                <w:spacing w:val="-4"/>
                <w:sz w:val="21"/>
              </w:rPr>
              <w:t>1～3a</w:t>
            </w:r>
          </w:p>
        </w:tc>
        <w:tc>
          <w:tcPr>
            <w:tcW w:w="1843" w:type="dxa"/>
          </w:tcPr>
          <w:p>
            <w:pPr>
              <w:pStyle w:val="TableParagraph"/>
              <w:spacing w:line="269" w:lineRule="exact" w:before="22"/>
              <w:rPr>
                <w:sz w:val="21"/>
              </w:rPr>
            </w:pPr>
            <w:r>
              <w:rPr>
                <w:spacing w:val="-5"/>
                <w:sz w:val="21"/>
              </w:rPr>
              <w:t>0/x</w:t>
            </w:r>
          </w:p>
        </w:tc>
        <w:tc>
          <w:tcPr>
            <w:tcW w:w="1880" w:type="dxa"/>
          </w:tcPr>
          <w:p>
            <w:pPr>
              <w:pStyle w:val="TableParagraph"/>
              <w:spacing w:line="269" w:lineRule="exact" w:before="22"/>
              <w:rPr>
                <w:sz w:val="21"/>
              </w:rPr>
            </w:pPr>
            <w:r>
              <w:rPr>
                <w:w w:val="100"/>
                <w:sz w:val="21"/>
              </w:rPr>
              <w:t>0</w:t>
            </w:r>
          </w:p>
        </w:tc>
      </w:tr>
      <w:tr>
        <w:trPr>
          <w:trHeight w:val="311" w:hRule="atLeast"/>
        </w:trPr>
        <w:tc>
          <w:tcPr>
            <w:tcW w:w="3497" w:type="dxa"/>
            <w:vMerge w:val="restart"/>
          </w:tcPr>
          <w:p>
            <w:pPr>
              <w:pStyle w:val="TableParagraph"/>
              <w:spacing w:before="8"/>
              <w:ind w:left="0"/>
              <w:rPr>
                <w:sz w:val="14"/>
              </w:rPr>
            </w:pPr>
          </w:p>
          <w:p>
            <w:pPr>
              <w:pStyle w:val="TableParagraph"/>
              <w:ind w:left="107"/>
              <w:rPr>
                <w:sz w:val="21"/>
              </w:rPr>
            </w:pPr>
            <w:r>
              <w:rPr>
                <w:sz w:val="21"/>
              </w:rPr>
              <w:t>ⅣB</w:t>
            </w:r>
            <w:r>
              <w:rPr>
                <w:spacing w:val="-5"/>
                <w:sz w:val="21"/>
              </w:rPr>
              <w:t> 期</w:t>
            </w:r>
          </w:p>
        </w:tc>
        <w:tc>
          <w:tcPr>
            <w:tcW w:w="1985" w:type="dxa"/>
          </w:tcPr>
          <w:p>
            <w:pPr>
              <w:pStyle w:val="TableParagraph"/>
              <w:spacing w:line="269" w:lineRule="exact" w:before="22"/>
              <w:ind w:left="107"/>
              <w:rPr>
                <w:sz w:val="21"/>
              </w:rPr>
            </w:pPr>
            <w:r>
              <w:rPr>
                <w:spacing w:val="-4"/>
                <w:sz w:val="21"/>
              </w:rPr>
              <w:t>1～3a</w:t>
            </w:r>
          </w:p>
        </w:tc>
        <w:tc>
          <w:tcPr>
            <w:tcW w:w="1843" w:type="dxa"/>
          </w:tcPr>
          <w:p>
            <w:pPr>
              <w:pStyle w:val="TableParagraph"/>
              <w:spacing w:line="269" w:lineRule="exact" w:before="22"/>
              <w:rPr>
                <w:sz w:val="21"/>
              </w:rPr>
            </w:pPr>
            <w:r>
              <w:rPr>
                <w:w w:val="100"/>
                <w:sz w:val="21"/>
              </w:rPr>
              <w:t>1</w:t>
            </w:r>
          </w:p>
        </w:tc>
        <w:tc>
          <w:tcPr>
            <w:tcW w:w="1880" w:type="dxa"/>
          </w:tcPr>
          <w:p>
            <w:pPr>
              <w:pStyle w:val="TableParagraph"/>
              <w:spacing w:line="269" w:lineRule="exact" w:before="22"/>
              <w:rPr>
                <w:sz w:val="21"/>
              </w:rPr>
            </w:pPr>
            <w:r>
              <w:rPr>
                <w:w w:val="100"/>
                <w:sz w:val="21"/>
              </w:rPr>
              <w:t>0</w:t>
            </w:r>
          </w:p>
        </w:tc>
      </w:tr>
      <w:tr>
        <w:trPr>
          <w:trHeight w:val="313" w:hRule="atLeast"/>
        </w:trPr>
        <w:tc>
          <w:tcPr>
            <w:tcW w:w="3497" w:type="dxa"/>
            <w:vMerge/>
            <w:tcBorders>
              <w:top w:val="nil"/>
            </w:tcBorders>
          </w:tcPr>
          <w:p>
            <w:pPr>
              <w:rPr>
                <w:sz w:val="2"/>
                <w:szCs w:val="2"/>
              </w:rPr>
            </w:pPr>
          </w:p>
        </w:tc>
        <w:tc>
          <w:tcPr>
            <w:tcW w:w="1985" w:type="dxa"/>
          </w:tcPr>
          <w:p>
            <w:pPr>
              <w:pStyle w:val="TableParagraph"/>
              <w:spacing w:line="269" w:lineRule="exact" w:before="25"/>
              <w:ind w:left="107"/>
              <w:rPr>
                <w:sz w:val="21"/>
              </w:rPr>
            </w:pPr>
            <w:r>
              <w:rPr>
                <w:spacing w:val="-4"/>
                <w:sz w:val="21"/>
              </w:rPr>
              <w:t>3b～4</w:t>
            </w:r>
          </w:p>
        </w:tc>
        <w:tc>
          <w:tcPr>
            <w:tcW w:w="1843" w:type="dxa"/>
          </w:tcPr>
          <w:p>
            <w:pPr>
              <w:pStyle w:val="TableParagraph"/>
              <w:spacing w:line="269" w:lineRule="exact" w:before="25"/>
              <w:rPr>
                <w:sz w:val="21"/>
              </w:rPr>
            </w:pPr>
            <w:r>
              <w:rPr>
                <w:spacing w:val="-5"/>
                <w:sz w:val="21"/>
              </w:rPr>
              <w:t>任何</w:t>
            </w:r>
          </w:p>
        </w:tc>
        <w:tc>
          <w:tcPr>
            <w:tcW w:w="1880" w:type="dxa"/>
          </w:tcPr>
          <w:p>
            <w:pPr>
              <w:pStyle w:val="TableParagraph"/>
              <w:spacing w:line="269" w:lineRule="exact" w:before="25"/>
              <w:rPr>
                <w:sz w:val="21"/>
              </w:rPr>
            </w:pPr>
            <w:r>
              <w:rPr>
                <w:w w:val="100"/>
                <w:sz w:val="21"/>
              </w:rPr>
              <w:t>0</w:t>
            </w:r>
          </w:p>
        </w:tc>
      </w:tr>
      <w:tr>
        <w:trPr>
          <w:trHeight w:val="311" w:hRule="atLeast"/>
        </w:trPr>
        <w:tc>
          <w:tcPr>
            <w:tcW w:w="3497" w:type="dxa"/>
          </w:tcPr>
          <w:p>
            <w:pPr>
              <w:pStyle w:val="TableParagraph"/>
              <w:spacing w:line="269" w:lineRule="exact" w:before="22"/>
              <w:ind w:left="107"/>
              <w:rPr>
                <w:sz w:val="21"/>
              </w:rPr>
            </w:pPr>
            <w:r>
              <w:rPr>
                <w:sz w:val="21"/>
              </w:rPr>
              <w:t>ⅣC</w:t>
            </w:r>
            <w:r>
              <w:rPr>
                <w:spacing w:val="-5"/>
                <w:sz w:val="21"/>
              </w:rPr>
              <w:t> 期</w:t>
            </w:r>
          </w:p>
        </w:tc>
        <w:tc>
          <w:tcPr>
            <w:tcW w:w="1985" w:type="dxa"/>
          </w:tcPr>
          <w:p>
            <w:pPr>
              <w:pStyle w:val="TableParagraph"/>
              <w:spacing w:line="269" w:lineRule="exact" w:before="22"/>
              <w:ind w:left="107"/>
              <w:rPr>
                <w:sz w:val="21"/>
              </w:rPr>
            </w:pPr>
            <w:r>
              <w:rPr>
                <w:spacing w:val="-5"/>
                <w:sz w:val="21"/>
              </w:rPr>
              <w:t>任何</w:t>
            </w:r>
          </w:p>
        </w:tc>
        <w:tc>
          <w:tcPr>
            <w:tcW w:w="1843" w:type="dxa"/>
          </w:tcPr>
          <w:p>
            <w:pPr>
              <w:pStyle w:val="TableParagraph"/>
              <w:spacing w:line="269" w:lineRule="exact" w:before="22"/>
              <w:rPr>
                <w:sz w:val="21"/>
              </w:rPr>
            </w:pPr>
            <w:r>
              <w:rPr>
                <w:spacing w:val="-5"/>
                <w:sz w:val="21"/>
              </w:rPr>
              <w:t>任何</w:t>
            </w:r>
          </w:p>
        </w:tc>
        <w:tc>
          <w:tcPr>
            <w:tcW w:w="1880" w:type="dxa"/>
          </w:tcPr>
          <w:p>
            <w:pPr>
              <w:pStyle w:val="TableParagraph"/>
              <w:spacing w:line="269" w:lineRule="exact" w:before="22"/>
              <w:rPr>
                <w:sz w:val="21"/>
              </w:rPr>
            </w:pPr>
            <w:r>
              <w:rPr>
                <w:w w:val="100"/>
                <w:sz w:val="21"/>
              </w:rPr>
              <w:t>1</w:t>
            </w:r>
          </w:p>
        </w:tc>
      </w:tr>
    </w:tbl>
    <w:p>
      <w:pPr>
        <w:pStyle w:val="BodyText"/>
        <w:spacing w:before="32"/>
        <w:ind w:left="460"/>
      </w:pPr>
      <w:r>
        <w:rPr>
          <w:spacing w:val="-3"/>
        </w:rPr>
        <w:t>注：以上表格中“年龄”指患者病理组织标本获取日期时的年龄。</w:t>
      </w:r>
    </w:p>
    <w:sectPr>
      <w:pgSz w:w="11910" w:h="16840"/>
      <w:pgMar w:header="0" w:footer="655" w:top="1460" w:bottom="840" w:left="56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 w:name="华文新魏">
    <w:altName w:val="华文新魏"/>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089996pt;margin-top:798.145996pt;width:16.1500pt;height:11pt;mso-position-horizontal-relative:page;mso-position-vertical-relative:page;z-index:-17410560" type="#_x0000_t202" id="docshape1" filled="false" stroked="false">
          <v:textbox inset="0,0,0,0">
            <w:txbxContent>
              <w:p>
                <w:pPr>
                  <w:spacing w:line="203" w:lineRule="exact" w:before="0"/>
                  <w:ind w:left="60" w:right="0" w:firstLine="0"/>
                  <w:jc w:val="left"/>
                  <w:rPr>
                    <w:rFonts w:ascii="Calibri"/>
                    <w:sz w:val="18"/>
                  </w:rPr>
                </w:pPr>
                <w:r>
                  <w:rPr>
                    <w:rFonts w:ascii="Calibri"/>
                    <w:spacing w:val="-5"/>
                    <w:sz w:val="18"/>
                  </w:rPr>
                  <w:fldChar w:fldCharType="begin"/>
                </w:r>
                <w:r>
                  <w:rPr>
                    <w:rFonts w:ascii="Calibri"/>
                    <w:spacing w:val="-5"/>
                    <w:sz w:val="18"/>
                  </w:rPr>
                  <w:instrText> PAGE </w:instrText>
                </w:r>
                <w:r>
                  <w:rPr>
                    <w:rFonts w:ascii="Calibri"/>
                    <w:spacing w:val="-5"/>
                    <w:sz w:val="18"/>
                  </w:rPr>
                  <w:fldChar w:fldCharType="separate"/>
                </w:r>
                <w:r>
                  <w:rPr>
                    <w:rFonts w:ascii="Calibri"/>
                    <w:spacing w:val="-5"/>
                    <w:sz w:val="18"/>
                  </w:rPr>
                  <w:t>10</w:t>
                </w:r>
                <w:r>
                  <w:rPr>
                    <w:rFonts w:ascii="Calibri"/>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724" w:hanging="213"/>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213"/>
      </w:pPr>
      <w:rPr>
        <w:rFonts w:hint="default"/>
        <w:lang w:val="en-US" w:eastAsia="zh-CN" w:bidi="ar-SA"/>
      </w:rPr>
    </w:lvl>
    <w:lvl w:ilvl="2">
      <w:start w:val="0"/>
      <w:numFmt w:val="bullet"/>
      <w:lvlText w:val="•"/>
      <w:lvlJc w:val="left"/>
      <w:pPr>
        <w:ind w:left="2172" w:hanging="213"/>
      </w:pPr>
      <w:rPr>
        <w:rFonts w:hint="default"/>
        <w:lang w:val="en-US" w:eastAsia="zh-CN" w:bidi="ar-SA"/>
      </w:rPr>
    </w:lvl>
    <w:lvl w:ilvl="3">
      <w:start w:val="0"/>
      <w:numFmt w:val="bullet"/>
      <w:lvlText w:val="•"/>
      <w:lvlJc w:val="left"/>
      <w:pPr>
        <w:ind w:left="2898" w:hanging="213"/>
      </w:pPr>
      <w:rPr>
        <w:rFonts w:hint="default"/>
        <w:lang w:val="en-US" w:eastAsia="zh-CN" w:bidi="ar-SA"/>
      </w:rPr>
    </w:lvl>
    <w:lvl w:ilvl="4">
      <w:start w:val="0"/>
      <w:numFmt w:val="bullet"/>
      <w:lvlText w:val="•"/>
      <w:lvlJc w:val="left"/>
      <w:pPr>
        <w:ind w:left="3624" w:hanging="213"/>
      </w:pPr>
      <w:rPr>
        <w:rFonts w:hint="default"/>
        <w:lang w:val="en-US" w:eastAsia="zh-CN" w:bidi="ar-SA"/>
      </w:rPr>
    </w:lvl>
    <w:lvl w:ilvl="5">
      <w:start w:val="0"/>
      <w:numFmt w:val="bullet"/>
      <w:lvlText w:val="•"/>
      <w:lvlJc w:val="left"/>
      <w:pPr>
        <w:ind w:left="4350" w:hanging="213"/>
      </w:pPr>
      <w:rPr>
        <w:rFonts w:hint="default"/>
        <w:lang w:val="en-US" w:eastAsia="zh-CN" w:bidi="ar-SA"/>
      </w:rPr>
    </w:lvl>
    <w:lvl w:ilvl="6">
      <w:start w:val="0"/>
      <w:numFmt w:val="bullet"/>
      <w:lvlText w:val="•"/>
      <w:lvlJc w:val="left"/>
      <w:pPr>
        <w:ind w:left="5076" w:hanging="213"/>
      </w:pPr>
      <w:rPr>
        <w:rFonts w:hint="default"/>
        <w:lang w:val="en-US" w:eastAsia="zh-CN" w:bidi="ar-SA"/>
      </w:rPr>
    </w:lvl>
    <w:lvl w:ilvl="7">
      <w:start w:val="0"/>
      <w:numFmt w:val="bullet"/>
      <w:lvlText w:val="•"/>
      <w:lvlJc w:val="left"/>
      <w:pPr>
        <w:ind w:left="5802" w:hanging="213"/>
      </w:pPr>
      <w:rPr>
        <w:rFonts w:hint="default"/>
        <w:lang w:val="en-US" w:eastAsia="zh-CN" w:bidi="ar-SA"/>
      </w:rPr>
    </w:lvl>
    <w:lvl w:ilvl="8">
      <w:start w:val="0"/>
      <w:numFmt w:val="bullet"/>
      <w:lvlText w:val="•"/>
      <w:lvlJc w:val="left"/>
      <w:pPr>
        <w:ind w:left="6528" w:hanging="213"/>
      </w:pPr>
      <w:rPr>
        <w:rFonts w:hint="default"/>
        <w:lang w:val="en-US" w:eastAsia="zh-CN" w:bidi="ar-SA"/>
      </w:rPr>
    </w:lvl>
  </w:abstractNum>
  <w:abstractNum w:abstractNumId="23">
    <w:multiLevelType w:val="hybridMultilevel"/>
    <w:lvl w:ilvl="0">
      <w:start w:val="1"/>
      <w:numFmt w:val="lowerLetter"/>
      <w:lvlText w:val="%1."/>
      <w:lvlJc w:val="left"/>
      <w:pPr>
        <w:ind w:left="3081" w:hanging="213"/>
        <w:jc w:val="left"/>
      </w:pPr>
      <w:rPr>
        <w:rFonts w:hint="default" w:ascii="黑体" w:hAnsi="黑体" w:eastAsia="黑体" w:cs="黑体"/>
        <w:b/>
        <w:bCs/>
        <w:i w:val="0"/>
        <w:iCs w:val="0"/>
        <w:w w:val="99"/>
        <w:sz w:val="19"/>
        <w:szCs w:val="19"/>
        <w:lang w:val="en-US" w:eastAsia="zh-CN" w:bidi="ar-SA"/>
      </w:rPr>
    </w:lvl>
    <w:lvl w:ilvl="1">
      <w:start w:val="0"/>
      <w:numFmt w:val="bullet"/>
      <w:lvlText w:val="•"/>
      <w:lvlJc w:val="left"/>
      <w:pPr>
        <w:ind w:left="3858" w:hanging="213"/>
      </w:pPr>
      <w:rPr>
        <w:rFonts w:hint="default"/>
        <w:lang w:val="en-US" w:eastAsia="zh-CN" w:bidi="ar-SA"/>
      </w:rPr>
    </w:lvl>
    <w:lvl w:ilvl="2">
      <w:start w:val="0"/>
      <w:numFmt w:val="bullet"/>
      <w:lvlText w:val="•"/>
      <w:lvlJc w:val="left"/>
      <w:pPr>
        <w:ind w:left="4637" w:hanging="213"/>
      </w:pPr>
      <w:rPr>
        <w:rFonts w:hint="default"/>
        <w:lang w:val="en-US" w:eastAsia="zh-CN" w:bidi="ar-SA"/>
      </w:rPr>
    </w:lvl>
    <w:lvl w:ilvl="3">
      <w:start w:val="0"/>
      <w:numFmt w:val="bullet"/>
      <w:lvlText w:val="•"/>
      <w:lvlJc w:val="left"/>
      <w:pPr>
        <w:ind w:left="5415" w:hanging="213"/>
      </w:pPr>
      <w:rPr>
        <w:rFonts w:hint="default"/>
        <w:lang w:val="en-US" w:eastAsia="zh-CN" w:bidi="ar-SA"/>
      </w:rPr>
    </w:lvl>
    <w:lvl w:ilvl="4">
      <w:start w:val="0"/>
      <w:numFmt w:val="bullet"/>
      <w:lvlText w:val="•"/>
      <w:lvlJc w:val="left"/>
      <w:pPr>
        <w:ind w:left="6194" w:hanging="213"/>
      </w:pPr>
      <w:rPr>
        <w:rFonts w:hint="default"/>
        <w:lang w:val="en-US" w:eastAsia="zh-CN" w:bidi="ar-SA"/>
      </w:rPr>
    </w:lvl>
    <w:lvl w:ilvl="5">
      <w:start w:val="0"/>
      <w:numFmt w:val="bullet"/>
      <w:lvlText w:val="•"/>
      <w:lvlJc w:val="left"/>
      <w:pPr>
        <w:ind w:left="6973" w:hanging="213"/>
      </w:pPr>
      <w:rPr>
        <w:rFonts w:hint="default"/>
        <w:lang w:val="en-US" w:eastAsia="zh-CN" w:bidi="ar-SA"/>
      </w:rPr>
    </w:lvl>
    <w:lvl w:ilvl="6">
      <w:start w:val="0"/>
      <w:numFmt w:val="bullet"/>
      <w:lvlText w:val="•"/>
      <w:lvlJc w:val="left"/>
      <w:pPr>
        <w:ind w:left="7751" w:hanging="213"/>
      </w:pPr>
      <w:rPr>
        <w:rFonts w:hint="default"/>
        <w:lang w:val="en-US" w:eastAsia="zh-CN" w:bidi="ar-SA"/>
      </w:rPr>
    </w:lvl>
    <w:lvl w:ilvl="7">
      <w:start w:val="0"/>
      <w:numFmt w:val="bullet"/>
      <w:lvlText w:val="•"/>
      <w:lvlJc w:val="left"/>
      <w:pPr>
        <w:ind w:left="8530" w:hanging="213"/>
      </w:pPr>
      <w:rPr>
        <w:rFonts w:hint="default"/>
        <w:lang w:val="en-US" w:eastAsia="zh-CN" w:bidi="ar-SA"/>
      </w:rPr>
    </w:lvl>
    <w:lvl w:ilvl="8">
      <w:start w:val="0"/>
      <w:numFmt w:val="bullet"/>
      <w:lvlText w:val="•"/>
      <w:lvlJc w:val="left"/>
      <w:pPr>
        <w:ind w:left="9309" w:hanging="213"/>
      </w:pPr>
      <w:rPr>
        <w:rFonts w:hint="default"/>
        <w:lang w:val="en-US" w:eastAsia="zh-CN" w:bidi="ar-SA"/>
      </w:rPr>
    </w:lvl>
  </w:abstractNum>
  <w:abstractNum w:abstractNumId="22">
    <w:multiLevelType w:val="hybridMultilevel"/>
    <w:lvl w:ilvl="0">
      <w:start w:val="1"/>
      <w:numFmt w:val="decimal"/>
      <w:lvlText w:val="%1."/>
      <w:lvlJc w:val="left"/>
      <w:pPr>
        <w:ind w:left="3713"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34" w:hanging="315"/>
      </w:pPr>
      <w:rPr>
        <w:rFonts w:hint="default"/>
        <w:lang w:val="en-US" w:eastAsia="zh-CN" w:bidi="ar-SA"/>
      </w:rPr>
    </w:lvl>
    <w:lvl w:ilvl="2">
      <w:start w:val="0"/>
      <w:numFmt w:val="bullet"/>
      <w:lvlText w:val="•"/>
      <w:lvlJc w:val="left"/>
      <w:pPr>
        <w:ind w:left="5149" w:hanging="315"/>
      </w:pPr>
      <w:rPr>
        <w:rFonts w:hint="default"/>
        <w:lang w:val="en-US" w:eastAsia="zh-CN" w:bidi="ar-SA"/>
      </w:rPr>
    </w:lvl>
    <w:lvl w:ilvl="3">
      <w:start w:val="0"/>
      <w:numFmt w:val="bullet"/>
      <w:lvlText w:val="•"/>
      <w:lvlJc w:val="left"/>
      <w:pPr>
        <w:ind w:left="5863" w:hanging="315"/>
      </w:pPr>
      <w:rPr>
        <w:rFonts w:hint="default"/>
        <w:lang w:val="en-US" w:eastAsia="zh-CN" w:bidi="ar-SA"/>
      </w:rPr>
    </w:lvl>
    <w:lvl w:ilvl="4">
      <w:start w:val="0"/>
      <w:numFmt w:val="bullet"/>
      <w:lvlText w:val="•"/>
      <w:lvlJc w:val="left"/>
      <w:pPr>
        <w:ind w:left="6578" w:hanging="315"/>
      </w:pPr>
      <w:rPr>
        <w:rFonts w:hint="default"/>
        <w:lang w:val="en-US" w:eastAsia="zh-CN" w:bidi="ar-SA"/>
      </w:rPr>
    </w:lvl>
    <w:lvl w:ilvl="5">
      <w:start w:val="0"/>
      <w:numFmt w:val="bullet"/>
      <w:lvlText w:val="•"/>
      <w:lvlJc w:val="left"/>
      <w:pPr>
        <w:ind w:left="7293" w:hanging="315"/>
      </w:pPr>
      <w:rPr>
        <w:rFonts w:hint="default"/>
        <w:lang w:val="en-US" w:eastAsia="zh-CN" w:bidi="ar-SA"/>
      </w:rPr>
    </w:lvl>
    <w:lvl w:ilvl="6">
      <w:start w:val="0"/>
      <w:numFmt w:val="bullet"/>
      <w:lvlText w:val="•"/>
      <w:lvlJc w:val="left"/>
      <w:pPr>
        <w:ind w:left="8007" w:hanging="315"/>
      </w:pPr>
      <w:rPr>
        <w:rFonts w:hint="default"/>
        <w:lang w:val="en-US" w:eastAsia="zh-CN" w:bidi="ar-SA"/>
      </w:rPr>
    </w:lvl>
    <w:lvl w:ilvl="7">
      <w:start w:val="0"/>
      <w:numFmt w:val="bullet"/>
      <w:lvlText w:val="•"/>
      <w:lvlJc w:val="left"/>
      <w:pPr>
        <w:ind w:left="8722" w:hanging="315"/>
      </w:pPr>
      <w:rPr>
        <w:rFonts w:hint="default"/>
        <w:lang w:val="en-US" w:eastAsia="zh-CN" w:bidi="ar-SA"/>
      </w:rPr>
    </w:lvl>
    <w:lvl w:ilvl="8">
      <w:start w:val="0"/>
      <w:numFmt w:val="bullet"/>
      <w:lvlText w:val="•"/>
      <w:lvlJc w:val="left"/>
      <w:pPr>
        <w:ind w:left="9437" w:hanging="315"/>
      </w:pPr>
      <w:rPr>
        <w:rFonts w:hint="default"/>
        <w:lang w:val="en-US" w:eastAsia="zh-CN" w:bidi="ar-SA"/>
      </w:rPr>
    </w:lvl>
  </w:abstractNum>
  <w:abstractNum w:abstractNumId="21">
    <w:multiLevelType w:val="hybridMultilevel"/>
    <w:lvl w:ilvl="0">
      <w:start w:val="1"/>
      <w:numFmt w:val="decimal"/>
      <w:lvlText w:val="%1."/>
      <w:lvlJc w:val="left"/>
      <w:pPr>
        <w:ind w:left="802" w:hanging="31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15" w:hanging="315"/>
      </w:pPr>
      <w:rPr>
        <w:rFonts w:hint="default"/>
        <w:lang w:val="en-US" w:eastAsia="zh-CN" w:bidi="ar-SA"/>
      </w:rPr>
    </w:lvl>
    <w:lvl w:ilvl="2">
      <w:start w:val="0"/>
      <w:numFmt w:val="bullet"/>
      <w:lvlText w:val="•"/>
      <w:lvlJc w:val="left"/>
      <w:pPr>
        <w:ind w:left="2231" w:hanging="315"/>
      </w:pPr>
      <w:rPr>
        <w:rFonts w:hint="default"/>
        <w:lang w:val="en-US" w:eastAsia="zh-CN" w:bidi="ar-SA"/>
      </w:rPr>
    </w:lvl>
    <w:lvl w:ilvl="3">
      <w:start w:val="0"/>
      <w:numFmt w:val="bullet"/>
      <w:lvlText w:val="•"/>
      <w:lvlJc w:val="left"/>
      <w:pPr>
        <w:ind w:left="2946" w:hanging="315"/>
      </w:pPr>
      <w:rPr>
        <w:rFonts w:hint="default"/>
        <w:lang w:val="en-US" w:eastAsia="zh-CN" w:bidi="ar-SA"/>
      </w:rPr>
    </w:lvl>
    <w:lvl w:ilvl="4">
      <w:start w:val="0"/>
      <w:numFmt w:val="bullet"/>
      <w:lvlText w:val="•"/>
      <w:lvlJc w:val="left"/>
      <w:pPr>
        <w:ind w:left="3662" w:hanging="315"/>
      </w:pPr>
      <w:rPr>
        <w:rFonts w:hint="default"/>
        <w:lang w:val="en-US" w:eastAsia="zh-CN" w:bidi="ar-SA"/>
      </w:rPr>
    </w:lvl>
    <w:lvl w:ilvl="5">
      <w:start w:val="0"/>
      <w:numFmt w:val="bullet"/>
      <w:lvlText w:val="•"/>
      <w:lvlJc w:val="left"/>
      <w:pPr>
        <w:ind w:left="4378" w:hanging="315"/>
      </w:pPr>
      <w:rPr>
        <w:rFonts w:hint="default"/>
        <w:lang w:val="en-US" w:eastAsia="zh-CN" w:bidi="ar-SA"/>
      </w:rPr>
    </w:lvl>
    <w:lvl w:ilvl="6">
      <w:start w:val="0"/>
      <w:numFmt w:val="bullet"/>
      <w:lvlText w:val="•"/>
      <w:lvlJc w:val="left"/>
      <w:pPr>
        <w:ind w:left="5093" w:hanging="315"/>
      </w:pPr>
      <w:rPr>
        <w:rFonts w:hint="default"/>
        <w:lang w:val="en-US" w:eastAsia="zh-CN" w:bidi="ar-SA"/>
      </w:rPr>
    </w:lvl>
    <w:lvl w:ilvl="7">
      <w:start w:val="0"/>
      <w:numFmt w:val="bullet"/>
      <w:lvlText w:val="•"/>
      <w:lvlJc w:val="left"/>
      <w:pPr>
        <w:ind w:left="5809" w:hanging="315"/>
      </w:pPr>
      <w:rPr>
        <w:rFonts w:hint="default"/>
        <w:lang w:val="en-US" w:eastAsia="zh-CN" w:bidi="ar-SA"/>
      </w:rPr>
    </w:lvl>
    <w:lvl w:ilvl="8">
      <w:start w:val="0"/>
      <w:numFmt w:val="bullet"/>
      <w:lvlText w:val="•"/>
      <w:lvlJc w:val="left"/>
      <w:pPr>
        <w:ind w:left="6525" w:hanging="315"/>
      </w:pPr>
      <w:rPr>
        <w:rFonts w:hint="default"/>
        <w:lang w:val="en-US" w:eastAsia="zh-CN" w:bidi="ar-SA"/>
      </w:rPr>
    </w:lvl>
  </w:abstractNum>
  <w:abstractNum w:abstractNumId="20">
    <w:multiLevelType w:val="hybridMultilevel"/>
    <w:lvl w:ilvl="0">
      <w:start w:val="1"/>
      <w:numFmt w:val="decimal"/>
      <w:lvlText w:val="%1."/>
      <w:lvlJc w:val="left"/>
      <w:pPr>
        <w:ind w:left="170"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57" w:hanging="315"/>
      </w:pPr>
      <w:rPr>
        <w:rFonts w:hint="default"/>
        <w:lang w:val="en-US" w:eastAsia="zh-CN" w:bidi="ar-SA"/>
      </w:rPr>
    </w:lvl>
    <w:lvl w:ilvl="2">
      <w:start w:val="0"/>
      <w:numFmt w:val="bullet"/>
      <w:lvlText w:val="•"/>
      <w:lvlJc w:val="left"/>
      <w:pPr>
        <w:ind w:left="1735" w:hanging="315"/>
      </w:pPr>
      <w:rPr>
        <w:rFonts w:hint="default"/>
        <w:lang w:val="en-US" w:eastAsia="zh-CN" w:bidi="ar-SA"/>
      </w:rPr>
    </w:lvl>
    <w:lvl w:ilvl="3">
      <w:start w:val="0"/>
      <w:numFmt w:val="bullet"/>
      <w:lvlText w:val="•"/>
      <w:lvlJc w:val="left"/>
      <w:pPr>
        <w:ind w:left="2512" w:hanging="315"/>
      </w:pPr>
      <w:rPr>
        <w:rFonts w:hint="default"/>
        <w:lang w:val="en-US" w:eastAsia="zh-CN" w:bidi="ar-SA"/>
      </w:rPr>
    </w:lvl>
    <w:lvl w:ilvl="4">
      <w:start w:val="0"/>
      <w:numFmt w:val="bullet"/>
      <w:lvlText w:val="•"/>
      <w:lvlJc w:val="left"/>
      <w:pPr>
        <w:ind w:left="3290" w:hanging="315"/>
      </w:pPr>
      <w:rPr>
        <w:rFonts w:hint="default"/>
        <w:lang w:val="en-US" w:eastAsia="zh-CN" w:bidi="ar-SA"/>
      </w:rPr>
    </w:lvl>
    <w:lvl w:ilvl="5">
      <w:start w:val="0"/>
      <w:numFmt w:val="bullet"/>
      <w:lvlText w:val="•"/>
      <w:lvlJc w:val="left"/>
      <w:pPr>
        <w:ind w:left="4068" w:hanging="315"/>
      </w:pPr>
      <w:rPr>
        <w:rFonts w:hint="default"/>
        <w:lang w:val="en-US" w:eastAsia="zh-CN" w:bidi="ar-SA"/>
      </w:rPr>
    </w:lvl>
    <w:lvl w:ilvl="6">
      <w:start w:val="0"/>
      <w:numFmt w:val="bullet"/>
      <w:lvlText w:val="•"/>
      <w:lvlJc w:val="left"/>
      <w:pPr>
        <w:ind w:left="4845" w:hanging="315"/>
      </w:pPr>
      <w:rPr>
        <w:rFonts w:hint="default"/>
        <w:lang w:val="en-US" w:eastAsia="zh-CN" w:bidi="ar-SA"/>
      </w:rPr>
    </w:lvl>
    <w:lvl w:ilvl="7">
      <w:start w:val="0"/>
      <w:numFmt w:val="bullet"/>
      <w:lvlText w:val="•"/>
      <w:lvlJc w:val="left"/>
      <w:pPr>
        <w:ind w:left="5623" w:hanging="315"/>
      </w:pPr>
      <w:rPr>
        <w:rFonts w:hint="default"/>
        <w:lang w:val="en-US" w:eastAsia="zh-CN" w:bidi="ar-SA"/>
      </w:rPr>
    </w:lvl>
    <w:lvl w:ilvl="8">
      <w:start w:val="0"/>
      <w:numFmt w:val="bullet"/>
      <w:lvlText w:val="•"/>
      <w:lvlJc w:val="left"/>
      <w:pPr>
        <w:ind w:left="6400" w:hanging="315"/>
      </w:pPr>
      <w:rPr>
        <w:rFonts w:hint="default"/>
        <w:lang w:val="en-US" w:eastAsia="zh-CN" w:bidi="ar-SA"/>
      </w:rPr>
    </w:lvl>
  </w:abstractNum>
  <w:abstractNum w:abstractNumId="19">
    <w:multiLevelType w:val="hybridMultilevel"/>
    <w:lvl w:ilvl="0">
      <w:start w:val="1"/>
      <w:numFmt w:val="decimal"/>
      <w:lvlText w:val="%1."/>
      <w:lvlJc w:val="left"/>
      <w:pPr>
        <w:ind w:left="802"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15" w:hanging="315"/>
      </w:pPr>
      <w:rPr>
        <w:rFonts w:hint="default"/>
        <w:lang w:val="en-US" w:eastAsia="zh-CN" w:bidi="ar-SA"/>
      </w:rPr>
    </w:lvl>
    <w:lvl w:ilvl="2">
      <w:start w:val="0"/>
      <w:numFmt w:val="bullet"/>
      <w:lvlText w:val="•"/>
      <w:lvlJc w:val="left"/>
      <w:pPr>
        <w:ind w:left="2231" w:hanging="315"/>
      </w:pPr>
      <w:rPr>
        <w:rFonts w:hint="default"/>
        <w:lang w:val="en-US" w:eastAsia="zh-CN" w:bidi="ar-SA"/>
      </w:rPr>
    </w:lvl>
    <w:lvl w:ilvl="3">
      <w:start w:val="0"/>
      <w:numFmt w:val="bullet"/>
      <w:lvlText w:val="•"/>
      <w:lvlJc w:val="left"/>
      <w:pPr>
        <w:ind w:left="2946" w:hanging="315"/>
      </w:pPr>
      <w:rPr>
        <w:rFonts w:hint="default"/>
        <w:lang w:val="en-US" w:eastAsia="zh-CN" w:bidi="ar-SA"/>
      </w:rPr>
    </w:lvl>
    <w:lvl w:ilvl="4">
      <w:start w:val="0"/>
      <w:numFmt w:val="bullet"/>
      <w:lvlText w:val="•"/>
      <w:lvlJc w:val="left"/>
      <w:pPr>
        <w:ind w:left="3662" w:hanging="315"/>
      </w:pPr>
      <w:rPr>
        <w:rFonts w:hint="default"/>
        <w:lang w:val="en-US" w:eastAsia="zh-CN" w:bidi="ar-SA"/>
      </w:rPr>
    </w:lvl>
    <w:lvl w:ilvl="5">
      <w:start w:val="0"/>
      <w:numFmt w:val="bullet"/>
      <w:lvlText w:val="•"/>
      <w:lvlJc w:val="left"/>
      <w:pPr>
        <w:ind w:left="4378" w:hanging="315"/>
      </w:pPr>
      <w:rPr>
        <w:rFonts w:hint="default"/>
        <w:lang w:val="en-US" w:eastAsia="zh-CN" w:bidi="ar-SA"/>
      </w:rPr>
    </w:lvl>
    <w:lvl w:ilvl="6">
      <w:start w:val="0"/>
      <w:numFmt w:val="bullet"/>
      <w:lvlText w:val="•"/>
      <w:lvlJc w:val="left"/>
      <w:pPr>
        <w:ind w:left="5093" w:hanging="315"/>
      </w:pPr>
      <w:rPr>
        <w:rFonts w:hint="default"/>
        <w:lang w:val="en-US" w:eastAsia="zh-CN" w:bidi="ar-SA"/>
      </w:rPr>
    </w:lvl>
    <w:lvl w:ilvl="7">
      <w:start w:val="0"/>
      <w:numFmt w:val="bullet"/>
      <w:lvlText w:val="•"/>
      <w:lvlJc w:val="left"/>
      <w:pPr>
        <w:ind w:left="5809" w:hanging="315"/>
      </w:pPr>
      <w:rPr>
        <w:rFonts w:hint="default"/>
        <w:lang w:val="en-US" w:eastAsia="zh-CN" w:bidi="ar-SA"/>
      </w:rPr>
    </w:lvl>
    <w:lvl w:ilvl="8">
      <w:start w:val="0"/>
      <w:numFmt w:val="bullet"/>
      <w:lvlText w:val="•"/>
      <w:lvlJc w:val="left"/>
      <w:pPr>
        <w:ind w:left="6524" w:hanging="315"/>
      </w:pPr>
      <w:rPr>
        <w:rFonts w:hint="default"/>
        <w:lang w:val="en-US" w:eastAsia="zh-CN" w:bidi="ar-SA"/>
      </w:rPr>
    </w:lvl>
  </w:abstractNum>
  <w:abstractNum w:abstractNumId="18">
    <w:multiLevelType w:val="hybridMultilevel"/>
    <w:lvl w:ilvl="0">
      <w:start w:val="1"/>
      <w:numFmt w:val="decimal"/>
      <w:lvlText w:val="%1."/>
      <w:lvlJc w:val="left"/>
      <w:pPr>
        <w:ind w:left="826"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6" w:hanging="315"/>
      </w:pPr>
      <w:rPr>
        <w:rFonts w:hint="default"/>
        <w:lang w:val="en-US" w:eastAsia="zh-CN" w:bidi="ar-SA"/>
      </w:rPr>
    </w:lvl>
    <w:lvl w:ilvl="2">
      <w:start w:val="0"/>
      <w:numFmt w:val="bullet"/>
      <w:lvlText w:val="•"/>
      <w:lvlJc w:val="left"/>
      <w:pPr>
        <w:ind w:left="2252" w:hanging="315"/>
      </w:pPr>
      <w:rPr>
        <w:rFonts w:hint="default"/>
        <w:lang w:val="en-US" w:eastAsia="zh-CN" w:bidi="ar-SA"/>
      </w:rPr>
    </w:lvl>
    <w:lvl w:ilvl="3">
      <w:start w:val="0"/>
      <w:numFmt w:val="bullet"/>
      <w:lvlText w:val="•"/>
      <w:lvlJc w:val="left"/>
      <w:pPr>
        <w:ind w:left="2968" w:hanging="315"/>
      </w:pPr>
      <w:rPr>
        <w:rFonts w:hint="default"/>
        <w:lang w:val="en-US" w:eastAsia="zh-CN" w:bidi="ar-SA"/>
      </w:rPr>
    </w:lvl>
    <w:lvl w:ilvl="4">
      <w:start w:val="0"/>
      <w:numFmt w:val="bullet"/>
      <w:lvlText w:val="•"/>
      <w:lvlJc w:val="left"/>
      <w:pPr>
        <w:ind w:left="3684" w:hanging="315"/>
      </w:pPr>
      <w:rPr>
        <w:rFonts w:hint="default"/>
        <w:lang w:val="en-US" w:eastAsia="zh-CN" w:bidi="ar-SA"/>
      </w:rPr>
    </w:lvl>
    <w:lvl w:ilvl="5">
      <w:start w:val="0"/>
      <w:numFmt w:val="bullet"/>
      <w:lvlText w:val="•"/>
      <w:lvlJc w:val="left"/>
      <w:pPr>
        <w:ind w:left="4400" w:hanging="315"/>
      </w:pPr>
      <w:rPr>
        <w:rFonts w:hint="default"/>
        <w:lang w:val="en-US" w:eastAsia="zh-CN" w:bidi="ar-SA"/>
      </w:rPr>
    </w:lvl>
    <w:lvl w:ilvl="6">
      <w:start w:val="0"/>
      <w:numFmt w:val="bullet"/>
      <w:lvlText w:val="•"/>
      <w:lvlJc w:val="left"/>
      <w:pPr>
        <w:ind w:left="5116" w:hanging="315"/>
      </w:pPr>
      <w:rPr>
        <w:rFonts w:hint="default"/>
        <w:lang w:val="en-US" w:eastAsia="zh-CN" w:bidi="ar-SA"/>
      </w:rPr>
    </w:lvl>
    <w:lvl w:ilvl="7">
      <w:start w:val="0"/>
      <w:numFmt w:val="bullet"/>
      <w:lvlText w:val="•"/>
      <w:lvlJc w:val="left"/>
      <w:pPr>
        <w:ind w:left="5832" w:hanging="315"/>
      </w:pPr>
      <w:rPr>
        <w:rFonts w:hint="default"/>
        <w:lang w:val="en-US" w:eastAsia="zh-CN" w:bidi="ar-SA"/>
      </w:rPr>
    </w:lvl>
    <w:lvl w:ilvl="8">
      <w:start w:val="0"/>
      <w:numFmt w:val="bullet"/>
      <w:lvlText w:val="•"/>
      <w:lvlJc w:val="left"/>
      <w:pPr>
        <w:ind w:left="6548" w:hanging="315"/>
      </w:pPr>
      <w:rPr>
        <w:rFonts w:hint="default"/>
        <w:lang w:val="en-US" w:eastAsia="zh-CN" w:bidi="ar-SA"/>
      </w:rPr>
    </w:lvl>
  </w:abstractNum>
  <w:abstractNum w:abstractNumId="17">
    <w:multiLevelType w:val="hybridMultilevel"/>
    <w:lvl w:ilvl="0">
      <w:start w:val="1"/>
      <w:numFmt w:val="decimal"/>
      <w:lvlText w:val="%1."/>
      <w:lvlJc w:val="left"/>
      <w:pPr>
        <w:ind w:left="826"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6" w:hanging="315"/>
      </w:pPr>
      <w:rPr>
        <w:rFonts w:hint="default"/>
        <w:lang w:val="en-US" w:eastAsia="zh-CN" w:bidi="ar-SA"/>
      </w:rPr>
    </w:lvl>
    <w:lvl w:ilvl="2">
      <w:start w:val="0"/>
      <w:numFmt w:val="bullet"/>
      <w:lvlText w:val="•"/>
      <w:lvlJc w:val="left"/>
      <w:pPr>
        <w:ind w:left="2252" w:hanging="315"/>
      </w:pPr>
      <w:rPr>
        <w:rFonts w:hint="default"/>
        <w:lang w:val="en-US" w:eastAsia="zh-CN" w:bidi="ar-SA"/>
      </w:rPr>
    </w:lvl>
    <w:lvl w:ilvl="3">
      <w:start w:val="0"/>
      <w:numFmt w:val="bullet"/>
      <w:lvlText w:val="•"/>
      <w:lvlJc w:val="left"/>
      <w:pPr>
        <w:ind w:left="2968" w:hanging="315"/>
      </w:pPr>
      <w:rPr>
        <w:rFonts w:hint="default"/>
        <w:lang w:val="en-US" w:eastAsia="zh-CN" w:bidi="ar-SA"/>
      </w:rPr>
    </w:lvl>
    <w:lvl w:ilvl="4">
      <w:start w:val="0"/>
      <w:numFmt w:val="bullet"/>
      <w:lvlText w:val="•"/>
      <w:lvlJc w:val="left"/>
      <w:pPr>
        <w:ind w:left="3684" w:hanging="315"/>
      </w:pPr>
      <w:rPr>
        <w:rFonts w:hint="default"/>
        <w:lang w:val="en-US" w:eastAsia="zh-CN" w:bidi="ar-SA"/>
      </w:rPr>
    </w:lvl>
    <w:lvl w:ilvl="5">
      <w:start w:val="0"/>
      <w:numFmt w:val="bullet"/>
      <w:lvlText w:val="•"/>
      <w:lvlJc w:val="left"/>
      <w:pPr>
        <w:ind w:left="4400" w:hanging="315"/>
      </w:pPr>
      <w:rPr>
        <w:rFonts w:hint="default"/>
        <w:lang w:val="en-US" w:eastAsia="zh-CN" w:bidi="ar-SA"/>
      </w:rPr>
    </w:lvl>
    <w:lvl w:ilvl="6">
      <w:start w:val="0"/>
      <w:numFmt w:val="bullet"/>
      <w:lvlText w:val="•"/>
      <w:lvlJc w:val="left"/>
      <w:pPr>
        <w:ind w:left="5116" w:hanging="315"/>
      </w:pPr>
      <w:rPr>
        <w:rFonts w:hint="default"/>
        <w:lang w:val="en-US" w:eastAsia="zh-CN" w:bidi="ar-SA"/>
      </w:rPr>
    </w:lvl>
    <w:lvl w:ilvl="7">
      <w:start w:val="0"/>
      <w:numFmt w:val="bullet"/>
      <w:lvlText w:val="•"/>
      <w:lvlJc w:val="left"/>
      <w:pPr>
        <w:ind w:left="5832" w:hanging="315"/>
      </w:pPr>
      <w:rPr>
        <w:rFonts w:hint="default"/>
        <w:lang w:val="en-US" w:eastAsia="zh-CN" w:bidi="ar-SA"/>
      </w:rPr>
    </w:lvl>
    <w:lvl w:ilvl="8">
      <w:start w:val="0"/>
      <w:numFmt w:val="bullet"/>
      <w:lvlText w:val="•"/>
      <w:lvlJc w:val="left"/>
      <w:pPr>
        <w:ind w:left="6548" w:hanging="315"/>
      </w:pPr>
      <w:rPr>
        <w:rFonts w:hint="default"/>
        <w:lang w:val="en-US" w:eastAsia="zh-CN" w:bidi="ar-SA"/>
      </w:rPr>
    </w:lvl>
  </w:abstractNum>
  <w:abstractNum w:abstractNumId="16">
    <w:multiLevelType w:val="hybridMultilevel"/>
    <w:lvl w:ilvl="0">
      <w:start w:val="1"/>
      <w:numFmt w:val="decimal"/>
      <w:lvlText w:val="%1."/>
      <w:lvlJc w:val="left"/>
      <w:pPr>
        <w:ind w:left="862" w:hanging="31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75" w:hanging="315"/>
      </w:pPr>
      <w:rPr>
        <w:rFonts w:hint="default"/>
        <w:lang w:val="en-US" w:eastAsia="zh-CN" w:bidi="ar-SA"/>
      </w:rPr>
    </w:lvl>
    <w:lvl w:ilvl="2">
      <w:start w:val="0"/>
      <w:numFmt w:val="bullet"/>
      <w:lvlText w:val="•"/>
      <w:lvlJc w:val="left"/>
      <w:pPr>
        <w:ind w:left="2291" w:hanging="315"/>
      </w:pPr>
      <w:rPr>
        <w:rFonts w:hint="default"/>
        <w:lang w:val="en-US" w:eastAsia="zh-CN" w:bidi="ar-SA"/>
      </w:rPr>
    </w:lvl>
    <w:lvl w:ilvl="3">
      <w:start w:val="0"/>
      <w:numFmt w:val="bullet"/>
      <w:lvlText w:val="•"/>
      <w:lvlJc w:val="left"/>
      <w:pPr>
        <w:ind w:left="3006" w:hanging="315"/>
      </w:pPr>
      <w:rPr>
        <w:rFonts w:hint="default"/>
        <w:lang w:val="en-US" w:eastAsia="zh-CN" w:bidi="ar-SA"/>
      </w:rPr>
    </w:lvl>
    <w:lvl w:ilvl="4">
      <w:start w:val="0"/>
      <w:numFmt w:val="bullet"/>
      <w:lvlText w:val="•"/>
      <w:lvlJc w:val="left"/>
      <w:pPr>
        <w:ind w:left="3722" w:hanging="315"/>
      </w:pPr>
      <w:rPr>
        <w:rFonts w:hint="default"/>
        <w:lang w:val="en-US" w:eastAsia="zh-CN" w:bidi="ar-SA"/>
      </w:rPr>
    </w:lvl>
    <w:lvl w:ilvl="5">
      <w:start w:val="0"/>
      <w:numFmt w:val="bullet"/>
      <w:lvlText w:val="•"/>
      <w:lvlJc w:val="left"/>
      <w:pPr>
        <w:ind w:left="4438" w:hanging="315"/>
      </w:pPr>
      <w:rPr>
        <w:rFonts w:hint="default"/>
        <w:lang w:val="en-US" w:eastAsia="zh-CN" w:bidi="ar-SA"/>
      </w:rPr>
    </w:lvl>
    <w:lvl w:ilvl="6">
      <w:start w:val="0"/>
      <w:numFmt w:val="bullet"/>
      <w:lvlText w:val="•"/>
      <w:lvlJc w:val="left"/>
      <w:pPr>
        <w:ind w:left="5153" w:hanging="315"/>
      </w:pPr>
      <w:rPr>
        <w:rFonts w:hint="default"/>
        <w:lang w:val="en-US" w:eastAsia="zh-CN" w:bidi="ar-SA"/>
      </w:rPr>
    </w:lvl>
    <w:lvl w:ilvl="7">
      <w:start w:val="0"/>
      <w:numFmt w:val="bullet"/>
      <w:lvlText w:val="•"/>
      <w:lvlJc w:val="left"/>
      <w:pPr>
        <w:ind w:left="5869" w:hanging="315"/>
      </w:pPr>
      <w:rPr>
        <w:rFonts w:hint="default"/>
        <w:lang w:val="en-US" w:eastAsia="zh-CN" w:bidi="ar-SA"/>
      </w:rPr>
    </w:lvl>
    <w:lvl w:ilvl="8">
      <w:start w:val="0"/>
      <w:numFmt w:val="bullet"/>
      <w:lvlText w:val="•"/>
      <w:lvlJc w:val="left"/>
      <w:pPr>
        <w:ind w:left="6584" w:hanging="315"/>
      </w:pPr>
      <w:rPr>
        <w:rFonts w:hint="default"/>
        <w:lang w:val="en-US" w:eastAsia="zh-CN" w:bidi="ar-SA"/>
      </w:rPr>
    </w:lvl>
  </w:abstractNum>
  <w:abstractNum w:abstractNumId="15">
    <w:multiLevelType w:val="hybridMultilevel"/>
    <w:lvl w:ilvl="0">
      <w:start w:val="1"/>
      <w:numFmt w:val="decimal"/>
      <w:lvlText w:val="%1."/>
      <w:lvlJc w:val="left"/>
      <w:pPr>
        <w:ind w:left="194" w:hanging="31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978" w:hanging="315"/>
      </w:pPr>
      <w:rPr>
        <w:rFonts w:hint="default"/>
        <w:lang w:val="en-US" w:eastAsia="zh-CN" w:bidi="ar-SA"/>
      </w:rPr>
    </w:lvl>
    <w:lvl w:ilvl="2">
      <w:start w:val="0"/>
      <w:numFmt w:val="bullet"/>
      <w:lvlText w:val="•"/>
      <w:lvlJc w:val="left"/>
      <w:pPr>
        <w:ind w:left="1756" w:hanging="315"/>
      </w:pPr>
      <w:rPr>
        <w:rFonts w:hint="default"/>
        <w:lang w:val="en-US" w:eastAsia="zh-CN" w:bidi="ar-SA"/>
      </w:rPr>
    </w:lvl>
    <w:lvl w:ilvl="3">
      <w:start w:val="0"/>
      <w:numFmt w:val="bullet"/>
      <w:lvlText w:val="•"/>
      <w:lvlJc w:val="left"/>
      <w:pPr>
        <w:ind w:left="2534" w:hanging="315"/>
      </w:pPr>
      <w:rPr>
        <w:rFonts w:hint="default"/>
        <w:lang w:val="en-US" w:eastAsia="zh-CN" w:bidi="ar-SA"/>
      </w:rPr>
    </w:lvl>
    <w:lvl w:ilvl="4">
      <w:start w:val="0"/>
      <w:numFmt w:val="bullet"/>
      <w:lvlText w:val="•"/>
      <w:lvlJc w:val="left"/>
      <w:pPr>
        <w:ind w:left="3312" w:hanging="315"/>
      </w:pPr>
      <w:rPr>
        <w:rFonts w:hint="default"/>
        <w:lang w:val="en-US" w:eastAsia="zh-CN" w:bidi="ar-SA"/>
      </w:rPr>
    </w:lvl>
    <w:lvl w:ilvl="5">
      <w:start w:val="0"/>
      <w:numFmt w:val="bullet"/>
      <w:lvlText w:val="•"/>
      <w:lvlJc w:val="left"/>
      <w:pPr>
        <w:ind w:left="4090" w:hanging="315"/>
      </w:pPr>
      <w:rPr>
        <w:rFonts w:hint="default"/>
        <w:lang w:val="en-US" w:eastAsia="zh-CN" w:bidi="ar-SA"/>
      </w:rPr>
    </w:lvl>
    <w:lvl w:ilvl="6">
      <w:start w:val="0"/>
      <w:numFmt w:val="bullet"/>
      <w:lvlText w:val="•"/>
      <w:lvlJc w:val="left"/>
      <w:pPr>
        <w:ind w:left="4868" w:hanging="315"/>
      </w:pPr>
      <w:rPr>
        <w:rFonts w:hint="default"/>
        <w:lang w:val="en-US" w:eastAsia="zh-CN" w:bidi="ar-SA"/>
      </w:rPr>
    </w:lvl>
    <w:lvl w:ilvl="7">
      <w:start w:val="0"/>
      <w:numFmt w:val="bullet"/>
      <w:lvlText w:val="•"/>
      <w:lvlJc w:val="left"/>
      <w:pPr>
        <w:ind w:left="5646" w:hanging="315"/>
      </w:pPr>
      <w:rPr>
        <w:rFonts w:hint="default"/>
        <w:lang w:val="en-US" w:eastAsia="zh-CN" w:bidi="ar-SA"/>
      </w:rPr>
    </w:lvl>
    <w:lvl w:ilvl="8">
      <w:start w:val="0"/>
      <w:numFmt w:val="bullet"/>
      <w:lvlText w:val="•"/>
      <w:lvlJc w:val="left"/>
      <w:pPr>
        <w:ind w:left="6424" w:hanging="315"/>
      </w:pPr>
      <w:rPr>
        <w:rFonts w:hint="default"/>
        <w:lang w:val="en-US" w:eastAsia="zh-CN" w:bidi="ar-SA"/>
      </w:rPr>
    </w:lvl>
  </w:abstractNum>
  <w:abstractNum w:abstractNumId="13">
    <w:multiLevelType w:val="hybridMultilevel"/>
    <w:lvl w:ilvl="0">
      <w:start w:val="10"/>
      <w:numFmt w:val="decimal"/>
      <w:lvlText w:val="%1"/>
      <w:lvlJc w:val="left"/>
      <w:pPr>
        <w:ind w:left="3081" w:hanging="903"/>
        <w:jc w:val="left"/>
      </w:pPr>
      <w:rPr>
        <w:rFonts w:hint="default"/>
        <w:lang w:val="en-US" w:eastAsia="zh-CN" w:bidi="ar-SA"/>
      </w:rPr>
    </w:lvl>
    <w:lvl w:ilvl="1">
      <w:start w:val="1"/>
      <w:numFmt w:val="decimal"/>
      <w:lvlText w:val="%1.%2"/>
      <w:lvlJc w:val="left"/>
      <w:pPr>
        <w:ind w:left="3081" w:hanging="90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826" w:hanging="317"/>
        <w:jc w:val="left"/>
      </w:pPr>
      <w:rPr>
        <w:rFonts w:hint="default"/>
        <w:w w:val="100"/>
        <w:lang w:val="en-US" w:eastAsia="zh-CN" w:bidi="ar-SA"/>
      </w:rPr>
    </w:lvl>
    <w:lvl w:ilvl="3">
      <w:start w:val="0"/>
      <w:numFmt w:val="decimal"/>
      <w:lvlText w:val="%4"/>
      <w:lvlJc w:val="left"/>
      <w:pPr>
        <w:ind w:left="978" w:hanging="317"/>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3776" w:hanging="317"/>
      </w:pPr>
      <w:rPr>
        <w:rFonts w:hint="default"/>
        <w:lang w:val="en-US" w:eastAsia="zh-CN" w:bidi="ar-SA"/>
      </w:rPr>
    </w:lvl>
    <w:lvl w:ilvl="5">
      <w:start w:val="0"/>
      <w:numFmt w:val="bullet"/>
      <w:lvlText w:val="•"/>
      <w:lvlJc w:val="left"/>
      <w:pPr>
        <w:ind w:left="4473" w:hanging="317"/>
      </w:pPr>
      <w:rPr>
        <w:rFonts w:hint="default"/>
        <w:lang w:val="en-US" w:eastAsia="zh-CN" w:bidi="ar-SA"/>
      </w:rPr>
    </w:lvl>
    <w:lvl w:ilvl="6">
      <w:start w:val="0"/>
      <w:numFmt w:val="bullet"/>
      <w:lvlText w:val="•"/>
      <w:lvlJc w:val="left"/>
      <w:pPr>
        <w:ind w:left="5169" w:hanging="317"/>
      </w:pPr>
      <w:rPr>
        <w:rFonts w:hint="default"/>
        <w:lang w:val="en-US" w:eastAsia="zh-CN" w:bidi="ar-SA"/>
      </w:rPr>
    </w:lvl>
    <w:lvl w:ilvl="7">
      <w:start w:val="0"/>
      <w:numFmt w:val="bullet"/>
      <w:lvlText w:val="•"/>
      <w:lvlJc w:val="left"/>
      <w:pPr>
        <w:ind w:left="5866" w:hanging="317"/>
      </w:pPr>
      <w:rPr>
        <w:rFonts w:hint="default"/>
        <w:lang w:val="en-US" w:eastAsia="zh-CN" w:bidi="ar-SA"/>
      </w:rPr>
    </w:lvl>
    <w:lvl w:ilvl="8">
      <w:start w:val="0"/>
      <w:numFmt w:val="bullet"/>
      <w:lvlText w:val="•"/>
      <w:lvlJc w:val="left"/>
      <w:pPr>
        <w:ind w:left="6563" w:hanging="317"/>
      </w:pPr>
      <w:rPr>
        <w:rFonts w:hint="default"/>
        <w:lang w:val="en-US" w:eastAsia="zh-CN" w:bidi="ar-SA"/>
      </w:rPr>
    </w:lvl>
  </w:abstractNum>
  <w:abstractNum w:abstractNumId="12">
    <w:multiLevelType w:val="hybridMultilevel"/>
    <w:lvl w:ilvl="0">
      <w:start w:val="9"/>
      <w:numFmt w:val="decimal"/>
      <w:lvlText w:val="%1"/>
      <w:lvlJc w:val="left"/>
      <w:pPr>
        <w:ind w:left="3081" w:hanging="903"/>
        <w:jc w:val="left"/>
      </w:pPr>
      <w:rPr>
        <w:rFonts w:hint="default"/>
        <w:lang w:val="en-US" w:eastAsia="zh-CN" w:bidi="ar-SA"/>
      </w:rPr>
    </w:lvl>
    <w:lvl w:ilvl="1">
      <w:start w:val="1"/>
      <w:numFmt w:val="decimal"/>
      <w:lvlText w:val="%1.%2"/>
      <w:lvlJc w:val="left"/>
      <w:pPr>
        <w:ind w:left="3081"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637" w:hanging="903"/>
      </w:pPr>
      <w:rPr>
        <w:rFonts w:hint="default"/>
        <w:lang w:val="en-US" w:eastAsia="zh-CN" w:bidi="ar-SA"/>
      </w:rPr>
    </w:lvl>
    <w:lvl w:ilvl="3">
      <w:start w:val="0"/>
      <w:numFmt w:val="bullet"/>
      <w:lvlText w:val="•"/>
      <w:lvlJc w:val="left"/>
      <w:pPr>
        <w:ind w:left="5415" w:hanging="903"/>
      </w:pPr>
      <w:rPr>
        <w:rFonts w:hint="default"/>
        <w:lang w:val="en-US" w:eastAsia="zh-CN" w:bidi="ar-SA"/>
      </w:rPr>
    </w:lvl>
    <w:lvl w:ilvl="4">
      <w:start w:val="0"/>
      <w:numFmt w:val="bullet"/>
      <w:lvlText w:val="•"/>
      <w:lvlJc w:val="left"/>
      <w:pPr>
        <w:ind w:left="6194" w:hanging="903"/>
      </w:pPr>
      <w:rPr>
        <w:rFonts w:hint="default"/>
        <w:lang w:val="en-US" w:eastAsia="zh-CN" w:bidi="ar-SA"/>
      </w:rPr>
    </w:lvl>
    <w:lvl w:ilvl="5">
      <w:start w:val="0"/>
      <w:numFmt w:val="bullet"/>
      <w:lvlText w:val="•"/>
      <w:lvlJc w:val="left"/>
      <w:pPr>
        <w:ind w:left="6973" w:hanging="903"/>
      </w:pPr>
      <w:rPr>
        <w:rFonts w:hint="default"/>
        <w:lang w:val="en-US" w:eastAsia="zh-CN" w:bidi="ar-SA"/>
      </w:rPr>
    </w:lvl>
    <w:lvl w:ilvl="6">
      <w:start w:val="0"/>
      <w:numFmt w:val="bullet"/>
      <w:lvlText w:val="•"/>
      <w:lvlJc w:val="left"/>
      <w:pPr>
        <w:ind w:left="7751" w:hanging="903"/>
      </w:pPr>
      <w:rPr>
        <w:rFonts w:hint="default"/>
        <w:lang w:val="en-US" w:eastAsia="zh-CN" w:bidi="ar-SA"/>
      </w:rPr>
    </w:lvl>
    <w:lvl w:ilvl="7">
      <w:start w:val="0"/>
      <w:numFmt w:val="bullet"/>
      <w:lvlText w:val="•"/>
      <w:lvlJc w:val="left"/>
      <w:pPr>
        <w:ind w:left="8530" w:hanging="903"/>
      </w:pPr>
      <w:rPr>
        <w:rFonts w:hint="default"/>
        <w:lang w:val="en-US" w:eastAsia="zh-CN" w:bidi="ar-SA"/>
      </w:rPr>
    </w:lvl>
    <w:lvl w:ilvl="8">
      <w:start w:val="0"/>
      <w:numFmt w:val="bullet"/>
      <w:lvlText w:val="•"/>
      <w:lvlJc w:val="left"/>
      <w:pPr>
        <w:ind w:left="9309" w:hanging="903"/>
      </w:pPr>
      <w:rPr>
        <w:rFonts w:hint="default"/>
        <w:lang w:val="en-US" w:eastAsia="zh-CN" w:bidi="ar-SA"/>
      </w:rPr>
    </w:lvl>
  </w:abstractNum>
  <w:abstractNum w:abstractNumId="11">
    <w:multiLevelType w:val="hybridMultilevel"/>
    <w:lvl w:ilvl="0">
      <w:start w:val="8"/>
      <w:numFmt w:val="decimal"/>
      <w:lvlText w:val="%1"/>
      <w:lvlJc w:val="left"/>
      <w:pPr>
        <w:ind w:left="1132" w:hanging="903"/>
        <w:jc w:val="left"/>
      </w:pPr>
      <w:rPr>
        <w:rFonts w:hint="default"/>
        <w:lang w:val="en-US" w:eastAsia="zh-CN" w:bidi="ar-SA"/>
      </w:rPr>
    </w:lvl>
    <w:lvl w:ilvl="1">
      <w:start w:val="1"/>
      <w:numFmt w:val="decimal"/>
      <w:lvlText w:val="%1.%2"/>
      <w:lvlJc w:val="left"/>
      <w:pPr>
        <w:ind w:left="1132"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85" w:hanging="903"/>
      </w:pPr>
      <w:rPr>
        <w:rFonts w:hint="default"/>
        <w:lang w:val="en-US" w:eastAsia="zh-CN" w:bidi="ar-SA"/>
      </w:rPr>
    </w:lvl>
    <w:lvl w:ilvl="3">
      <w:start w:val="0"/>
      <w:numFmt w:val="bullet"/>
      <w:lvlText w:val="•"/>
      <w:lvlJc w:val="left"/>
      <w:pPr>
        <w:ind w:left="4057" w:hanging="903"/>
      </w:pPr>
      <w:rPr>
        <w:rFonts w:hint="default"/>
        <w:lang w:val="en-US" w:eastAsia="zh-CN" w:bidi="ar-SA"/>
      </w:rPr>
    </w:lvl>
    <w:lvl w:ilvl="4">
      <w:start w:val="0"/>
      <w:numFmt w:val="bullet"/>
      <w:lvlText w:val="•"/>
      <w:lvlJc w:val="left"/>
      <w:pPr>
        <w:ind w:left="5030" w:hanging="903"/>
      </w:pPr>
      <w:rPr>
        <w:rFonts w:hint="default"/>
        <w:lang w:val="en-US" w:eastAsia="zh-CN" w:bidi="ar-SA"/>
      </w:rPr>
    </w:lvl>
    <w:lvl w:ilvl="5">
      <w:start w:val="0"/>
      <w:numFmt w:val="bullet"/>
      <w:lvlText w:val="•"/>
      <w:lvlJc w:val="left"/>
      <w:pPr>
        <w:ind w:left="6003" w:hanging="903"/>
      </w:pPr>
      <w:rPr>
        <w:rFonts w:hint="default"/>
        <w:lang w:val="en-US" w:eastAsia="zh-CN" w:bidi="ar-SA"/>
      </w:rPr>
    </w:lvl>
    <w:lvl w:ilvl="6">
      <w:start w:val="0"/>
      <w:numFmt w:val="bullet"/>
      <w:lvlText w:val="•"/>
      <w:lvlJc w:val="left"/>
      <w:pPr>
        <w:ind w:left="6975" w:hanging="903"/>
      </w:pPr>
      <w:rPr>
        <w:rFonts w:hint="default"/>
        <w:lang w:val="en-US" w:eastAsia="zh-CN" w:bidi="ar-SA"/>
      </w:rPr>
    </w:lvl>
    <w:lvl w:ilvl="7">
      <w:start w:val="0"/>
      <w:numFmt w:val="bullet"/>
      <w:lvlText w:val="•"/>
      <w:lvlJc w:val="left"/>
      <w:pPr>
        <w:ind w:left="7948" w:hanging="903"/>
      </w:pPr>
      <w:rPr>
        <w:rFonts w:hint="default"/>
        <w:lang w:val="en-US" w:eastAsia="zh-CN" w:bidi="ar-SA"/>
      </w:rPr>
    </w:lvl>
    <w:lvl w:ilvl="8">
      <w:start w:val="0"/>
      <w:numFmt w:val="bullet"/>
      <w:lvlText w:val="•"/>
      <w:lvlJc w:val="left"/>
      <w:pPr>
        <w:ind w:left="8921" w:hanging="903"/>
      </w:pPr>
      <w:rPr>
        <w:rFonts w:hint="default"/>
        <w:lang w:val="en-US" w:eastAsia="zh-CN" w:bidi="ar-SA"/>
      </w:rPr>
    </w:lvl>
  </w:abstractNum>
  <w:abstractNum w:abstractNumId="10">
    <w:multiLevelType w:val="hybridMultilevel"/>
    <w:lvl w:ilvl="0">
      <w:start w:val="7"/>
      <w:numFmt w:val="decimal"/>
      <w:lvlText w:val="%1"/>
      <w:lvlJc w:val="left"/>
      <w:pPr>
        <w:ind w:left="1132" w:hanging="903"/>
        <w:jc w:val="left"/>
      </w:pPr>
      <w:rPr>
        <w:rFonts w:hint="default"/>
        <w:lang w:val="en-US" w:eastAsia="zh-CN" w:bidi="ar-SA"/>
      </w:rPr>
    </w:lvl>
    <w:lvl w:ilvl="1">
      <w:start w:val="1"/>
      <w:numFmt w:val="decimal"/>
      <w:lvlText w:val="%1.%2"/>
      <w:lvlJc w:val="left"/>
      <w:pPr>
        <w:ind w:left="1132"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76" w:hanging="903"/>
      </w:pPr>
      <w:rPr>
        <w:rFonts w:hint="default"/>
        <w:lang w:val="en-US" w:eastAsia="zh-CN" w:bidi="ar-SA"/>
      </w:rPr>
    </w:lvl>
    <w:lvl w:ilvl="3">
      <w:start w:val="0"/>
      <w:numFmt w:val="bullet"/>
      <w:lvlText w:val="•"/>
      <w:lvlJc w:val="left"/>
      <w:pPr>
        <w:ind w:left="1644" w:hanging="903"/>
      </w:pPr>
      <w:rPr>
        <w:rFonts w:hint="default"/>
        <w:lang w:val="en-US" w:eastAsia="zh-CN" w:bidi="ar-SA"/>
      </w:rPr>
    </w:lvl>
    <w:lvl w:ilvl="4">
      <w:start w:val="0"/>
      <w:numFmt w:val="bullet"/>
      <w:lvlText w:val="•"/>
      <w:lvlJc w:val="left"/>
      <w:pPr>
        <w:ind w:left="1812" w:hanging="903"/>
      </w:pPr>
      <w:rPr>
        <w:rFonts w:hint="default"/>
        <w:lang w:val="en-US" w:eastAsia="zh-CN" w:bidi="ar-SA"/>
      </w:rPr>
    </w:lvl>
    <w:lvl w:ilvl="5">
      <w:start w:val="0"/>
      <w:numFmt w:val="bullet"/>
      <w:lvlText w:val="•"/>
      <w:lvlJc w:val="left"/>
      <w:pPr>
        <w:ind w:left="1981" w:hanging="903"/>
      </w:pPr>
      <w:rPr>
        <w:rFonts w:hint="default"/>
        <w:lang w:val="en-US" w:eastAsia="zh-CN" w:bidi="ar-SA"/>
      </w:rPr>
    </w:lvl>
    <w:lvl w:ilvl="6">
      <w:start w:val="0"/>
      <w:numFmt w:val="bullet"/>
      <w:lvlText w:val="•"/>
      <w:lvlJc w:val="left"/>
      <w:pPr>
        <w:ind w:left="2149" w:hanging="903"/>
      </w:pPr>
      <w:rPr>
        <w:rFonts w:hint="default"/>
        <w:lang w:val="en-US" w:eastAsia="zh-CN" w:bidi="ar-SA"/>
      </w:rPr>
    </w:lvl>
    <w:lvl w:ilvl="7">
      <w:start w:val="0"/>
      <w:numFmt w:val="bullet"/>
      <w:lvlText w:val="•"/>
      <w:lvlJc w:val="left"/>
      <w:pPr>
        <w:ind w:left="2317" w:hanging="903"/>
      </w:pPr>
      <w:rPr>
        <w:rFonts w:hint="default"/>
        <w:lang w:val="en-US" w:eastAsia="zh-CN" w:bidi="ar-SA"/>
      </w:rPr>
    </w:lvl>
    <w:lvl w:ilvl="8">
      <w:start w:val="0"/>
      <w:numFmt w:val="bullet"/>
      <w:lvlText w:val="•"/>
      <w:lvlJc w:val="left"/>
      <w:pPr>
        <w:ind w:left="2485" w:hanging="903"/>
      </w:pPr>
      <w:rPr>
        <w:rFonts w:hint="default"/>
        <w:lang w:val="en-US" w:eastAsia="zh-CN" w:bidi="ar-SA"/>
      </w:rPr>
    </w:lvl>
  </w:abstractNum>
  <w:abstractNum w:abstractNumId="9">
    <w:multiLevelType w:val="hybridMultilevel"/>
    <w:lvl w:ilvl="0">
      <w:start w:val="6"/>
      <w:numFmt w:val="decimal"/>
      <w:lvlText w:val="%1"/>
      <w:lvlJc w:val="left"/>
      <w:pPr>
        <w:ind w:left="1132" w:hanging="903"/>
        <w:jc w:val="left"/>
      </w:pPr>
      <w:rPr>
        <w:rFonts w:hint="default"/>
        <w:lang w:val="en-US" w:eastAsia="zh-CN" w:bidi="ar-SA"/>
      </w:rPr>
    </w:lvl>
    <w:lvl w:ilvl="1">
      <w:start w:val="1"/>
      <w:numFmt w:val="decimal"/>
      <w:lvlText w:val="%1.%2"/>
      <w:lvlJc w:val="left"/>
      <w:pPr>
        <w:ind w:left="1132"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85" w:hanging="903"/>
      </w:pPr>
      <w:rPr>
        <w:rFonts w:hint="default"/>
        <w:lang w:val="en-US" w:eastAsia="zh-CN" w:bidi="ar-SA"/>
      </w:rPr>
    </w:lvl>
    <w:lvl w:ilvl="3">
      <w:start w:val="0"/>
      <w:numFmt w:val="bullet"/>
      <w:lvlText w:val="•"/>
      <w:lvlJc w:val="left"/>
      <w:pPr>
        <w:ind w:left="4057" w:hanging="903"/>
      </w:pPr>
      <w:rPr>
        <w:rFonts w:hint="default"/>
        <w:lang w:val="en-US" w:eastAsia="zh-CN" w:bidi="ar-SA"/>
      </w:rPr>
    </w:lvl>
    <w:lvl w:ilvl="4">
      <w:start w:val="0"/>
      <w:numFmt w:val="bullet"/>
      <w:lvlText w:val="•"/>
      <w:lvlJc w:val="left"/>
      <w:pPr>
        <w:ind w:left="5030" w:hanging="903"/>
      </w:pPr>
      <w:rPr>
        <w:rFonts w:hint="default"/>
        <w:lang w:val="en-US" w:eastAsia="zh-CN" w:bidi="ar-SA"/>
      </w:rPr>
    </w:lvl>
    <w:lvl w:ilvl="5">
      <w:start w:val="0"/>
      <w:numFmt w:val="bullet"/>
      <w:lvlText w:val="•"/>
      <w:lvlJc w:val="left"/>
      <w:pPr>
        <w:ind w:left="6003" w:hanging="903"/>
      </w:pPr>
      <w:rPr>
        <w:rFonts w:hint="default"/>
        <w:lang w:val="en-US" w:eastAsia="zh-CN" w:bidi="ar-SA"/>
      </w:rPr>
    </w:lvl>
    <w:lvl w:ilvl="6">
      <w:start w:val="0"/>
      <w:numFmt w:val="bullet"/>
      <w:lvlText w:val="•"/>
      <w:lvlJc w:val="left"/>
      <w:pPr>
        <w:ind w:left="6975" w:hanging="903"/>
      </w:pPr>
      <w:rPr>
        <w:rFonts w:hint="default"/>
        <w:lang w:val="en-US" w:eastAsia="zh-CN" w:bidi="ar-SA"/>
      </w:rPr>
    </w:lvl>
    <w:lvl w:ilvl="7">
      <w:start w:val="0"/>
      <w:numFmt w:val="bullet"/>
      <w:lvlText w:val="•"/>
      <w:lvlJc w:val="left"/>
      <w:pPr>
        <w:ind w:left="7948" w:hanging="903"/>
      </w:pPr>
      <w:rPr>
        <w:rFonts w:hint="default"/>
        <w:lang w:val="en-US" w:eastAsia="zh-CN" w:bidi="ar-SA"/>
      </w:rPr>
    </w:lvl>
    <w:lvl w:ilvl="8">
      <w:start w:val="0"/>
      <w:numFmt w:val="bullet"/>
      <w:lvlText w:val="•"/>
      <w:lvlJc w:val="left"/>
      <w:pPr>
        <w:ind w:left="8921" w:hanging="903"/>
      </w:pPr>
      <w:rPr>
        <w:rFonts w:hint="default"/>
        <w:lang w:val="en-US" w:eastAsia="zh-CN" w:bidi="ar-SA"/>
      </w:rPr>
    </w:lvl>
  </w:abstractNum>
  <w:abstractNum w:abstractNumId="8">
    <w:multiLevelType w:val="hybridMultilevel"/>
    <w:lvl w:ilvl="0">
      <w:start w:val="5"/>
      <w:numFmt w:val="decimal"/>
      <w:lvlText w:val="%1"/>
      <w:lvlJc w:val="left"/>
      <w:pPr>
        <w:ind w:left="1132" w:hanging="903"/>
        <w:jc w:val="left"/>
      </w:pPr>
      <w:rPr>
        <w:rFonts w:hint="default"/>
        <w:lang w:val="en-US" w:eastAsia="zh-CN" w:bidi="ar-SA"/>
      </w:rPr>
    </w:lvl>
    <w:lvl w:ilvl="1">
      <w:start w:val="1"/>
      <w:numFmt w:val="decimal"/>
      <w:lvlText w:val="%1.%2"/>
      <w:lvlJc w:val="left"/>
      <w:pPr>
        <w:ind w:left="1132"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674" w:hanging="903"/>
      </w:pPr>
      <w:rPr>
        <w:rFonts w:hint="default"/>
        <w:lang w:val="en-US" w:eastAsia="zh-CN" w:bidi="ar-SA"/>
      </w:rPr>
    </w:lvl>
    <w:lvl w:ilvl="3">
      <w:start w:val="0"/>
      <w:numFmt w:val="bullet"/>
      <w:lvlText w:val="•"/>
      <w:lvlJc w:val="left"/>
      <w:pPr>
        <w:ind w:left="5448" w:hanging="903"/>
      </w:pPr>
      <w:rPr>
        <w:rFonts w:hint="default"/>
        <w:lang w:val="en-US" w:eastAsia="zh-CN" w:bidi="ar-SA"/>
      </w:rPr>
    </w:lvl>
    <w:lvl w:ilvl="4">
      <w:start w:val="0"/>
      <w:numFmt w:val="bullet"/>
      <w:lvlText w:val="•"/>
      <w:lvlJc w:val="left"/>
      <w:pPr>
        <w:ind w:left="6222" w:hanging="903"/>
      </w:pPr>
      <w:rPr>
        <w:rFonts w:hint="default"/>
        <w:lang w:val="en-US" w:eastAsia="zh-CN" w:bidi="ar-SA"/>
      </w:rPr>
    </w:lvl>
    <w:lvl w:ilvl="5">
      <w:start w:val="0"/>
      <w:numFmt w:val="bullet"/>
      <w:lvlText w:val="•"/>
      <w:lvlJc w:val="left"/>
      <w:pPr>
        <w:ind w:left="6996" w:hanging="903"/>
      </w:pPr>
      <w:rPr>
        <w:rFonts w:hint="default"/>
        <w:lang w:val="en-US" w:eastAsia="zh-CN" w:bidi="ar-SA"/>
      </w:rPr>
    </w:lvl>
    <w:lvl w:ilvl="6">
      <w:start w:val="0"/>
      <w:numFmt w:val="bullet"/>
      <w:lvlText w:val="•"/>
      <w:lvlJc w:val="left"/>
      <w:pPr>
        <w:ind w:left="7770" w:hanging="903"/>
      </w:pPr>
      <w:rPr>
        <w:rFonts w:hint="default"/>
        <w:lang w:val="en-US" w:eastAsia="zh-CN" w:bidi="ar-SA"/>
      </w:rPr>
    </w:lvl>
    <w:lvl w:ilvl="7">
      <w:start w:val="0"/>
      <w:numFmt w:val="bullet"/>
      <w:lvlText w:val="•"/>
      <w:lvlJc w:val="left"/>
      <w:pPr>
        <w:ind w:left="8544" w:hanging="903"/>
      </w:pPr>
      <w:rPr>
        <w:rFonts w:hint="default"/>
        <w:lang w:val="en-US" w:eastAsia="zh-CN" w:bidi="ar-SA"/>
      </w:rPr>
    </w:lvl>
    <w:lvl w:ilvl="8">
      <w:start w:val="0"/>
      <w:numFmt w:val="bullet"/>
      <w:lvlText w:val="•"/>
      <w:lvlJc w:val="left"/>
      <w:pPr>
        <w:ind w:left="9318" w:hanging="903"/>
      </w:pPr>
      <w:rPr>
        <w:rFonts w:hint="default"/>
        <w:lang w:val="en-US" w:eastAsia="zh-CN" w:bidi="ar-SA"/>
      </w:rPr>
    </w:lvl>
  </w:abstractNum>
  <w:abstractNum w:abstractNumId="7">
    <w:multiLevelType w:val="hybridMultilevel"/>
    <w:lvl w:ilvl="0">
      <w:start w:val="4"/>
      <w:numFmt w:val="decimal"/>
      <w:lvlText w:val="%1"/>
      <w:lvlJc w:val="left"/>
      <w:pPr>
        <w:ind w:left="3081" w:hanging="903"/>
        <w:jc w:val="left"/>
      </w:pPr>
      <w:rPr>
        <w:rFonts w:hint="default"/>
        <w:lang w:val="en-US" w:eastAsia="zh-CN" w:bidi="ar-SA"/>
      </w:rPr>
    </w:lvl>
    <w:lvl w:ilvl="1">
      <w:start w:val="1"/>
      <w:numFmt w:val="decimal"/>
      <w:lvlText w:val="%1.%2"/>
      <w:lvlJc w:val="left"/>
      <w:pPr>
        <w:ind w:left="3081"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637" w:hanging="903"/>
      </w:pPr>
      <w:rPr>
        <w:rFonts w:hint="default"/>
        <w:lang w:val="en-US" w:eastAsia="zh-CN" w:bidi="ar-SA"/>
      </w:rPr>
    </w:lvl>
    <w:lvl w:ilvl="3">
      <w:start w:val="0"/>
      <w:numFmt w:val="bullet"/>
      <w:lvlText w:val="•"/>
      <w:lvlJc w:val="left"/>
      <w:pPr>
        <w:ind w:left="5415" w:hanging="903"/>
      </w:pPr>
      <w:rPr>
        <w:rFonts w:hint="default"/>
        <w:lang w:val="en-US" w:eastAsia="zh-CN" w:bidi="ar-SA"/>
      </w:rPr>
    </w:lvl>
    <w:lvl w:ilvl="4">
      <w:start w:val="0"/>
      <w:numFmt w:val="bullet"/>
      <w:lvlText w:val="•"/>
      <w:lvlJc w:val="left"/>
      <w:pPr>
        <w:ind w:left="6194" w:hanging="903"/>
      </w:pPr>
      <w:rPr>
        <w:rFonts w:hint="default"/>
        <w:lang w:val="en-US" w:eastAsia="zh-CN" w:bidi="ar-SA"/>
      </w:rPr>
    </w:lvl>
    <w:lvl w:ilvl="5">
      <w:start w:val="0"/>
      <w:numFmt w:val="bullet"/>
      <w:lvlText w:val="•"/>
      <w:lvlJc w:val="left"/>
      <w:pPr>
        <w:ind w:left="6973" w:hanging="903"/>
      </w:pPr>
      <w:rPr>
        <w:rFonts w:hint="default"/>
        <w:lang w:val="en-US" w:eastAsia="zh-CN" w:bidi="ar-SA"/>
      </w:rPr>
    </w:lvl>
    <w:lvl w:ilvl="6">
      <w:start w:val="0"/>
      <w:numFmt w:val="bullet"/>
      <w:lvlText w:val="•"/>
      <w:lvlJc w:val="left"/>
      <w:pPr>
        <w:ind w:left="7751" w:hanging="903"/>
      </w:pPr>
      <w:rPr>
        <w:rFonts w:hint="default"/>
        <w:lang w:val="en-US" w:eastAsia="zh-CN" w:bidi="ar-SA"/>
      </w:rPr>
    </w:lvl>
    <w:lvl w:ilvl="7">
      <w:start w:val="0"/>
      <w:numFmt w:val="bullet"/>
      <w:lvlText w:val="•"/>
      <w:lvlJc w:val="left"/>
      <w:pPr>
        <w:ind w:left="8530" w:hanging="903"/>
      </w:pPr>
      <w:rPr>
        <w:rFonts w:hint="default"/>
        <w:lang w:val="en-US" w:eastAsia="zh-CN" w:bidi="ar-SA"/>
      </w:rPr>
    </w:lvl>
    <w:lvl w:ilvl="8">
      <w:start w:val="0"/>
      <w:numFmt w:val="bullet"/>
      <w:lvlText w:val="•"/>
      <w:lvlJc w:val="left"/>
      <w:pPr>
        <w:ind w:left="9309" w:hanging="903"/>
      </w:pPr>
      <w:rPr>
        <w:rFonts w:hint="default"/>
        <w:lang w:val="en-US" w:eastAsia="zh-CN" w:bidi="ar-SA"/>
      </w:rPr>
    </w:lvl>
  </w:abstractNum>
  <w:abstractNum w:abstractNumId="6">
    <w:multiLevelType w:val="hybridMultilevel"/>
    <w:lvl w:ilvl="0">
      <w:start w:val="3"/>
      <w:numFmt w:val="decimal"/>
      <w:lvlText w:val="%1"/>
      <w:lvlJc w:val="left"/>
      <w:pPr>
        <w:ind w:left="1132" w:hanging="903"/>
        <w:jc w:val="left"/>
      </w:pPr>
      <w:rPr>
        <w:rFonts w:hint="default"/>
        <w:lang w:val="en-US" w:eastAsia="zh-CN" w:bidi="ar-SA"/>
      </w:rPr>
    </w:lvl>
    <w:lvl w:ilvl="1">
      <w:start w:val="1"/>
      <w:numFmt w:val="decimal"/>
      <w:lvlText w:val="%1.%2"/>
      <w:lvlJc w:val="left"/>
      <w:pPr>
        <w:ind w:left="1132"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85" w:hanging="903"/>
      </w:pPr>
      <w:rPr>
        <w:rFonts w:hint="default"/>
        <w:lang w:val="en-US" w:eastAsia="zh-CN" w:bidi="ar-SA"/>
      </w:rPr>
    </w:lvl>
    <w:lvl w:ilvl="3">
      <w:start w:val="0"/>
      <w:numFmt w:val="bullet"/>
      <w:lvlText w:val="•"/>
      <w:lvlJc w:val="left"/>
      <w:pPr>
        <w:ind w:left="4057" w:hanging="903"/>
      </w:pPr>
      <w:rPr>
        <w:rFonts w:hint="default"/>
        <w:lang w:val="en-US" w:eastAsia="zh-CN" w:bidi="ar-SA"/>
      </w:rPr>
    </w:lvl>
    <w:lvl w:ilvl="4">
      <w:start w:val="0"/>
      <w:numFmt w:val="bullet"/>
      <w:lvlText w:val="•"/>
      <w:lvlJc w:val="left"/>
      <w:pPr>
        <w:ind w:left="5030" w:hanging="903"/>
      </w:pPr>
      <w:rPr>
        <w:rFonts w:hint="default"/>
        <w:lang w:val="en-US" w:eastAsia="zh-CN" w:bidi="ar-SA"/>
      </w:rPr>
    </w:lvl>
    <w:lvl w:ilvl="5">
      <w:start w:val="0"/>
      <w:numFmt w:val="bullet"/>
      <w:lvlText w:val="•"/>
      <w:lvlJc w:val="left"/>
      <w:pPr>
        <w:ind w:left="6003" w:hanging="903"/>
      </w:pPr>
      <w:rPr>
        <w:rFonts w:hint="default"/>
        <w:lang w:val="en-US" w:eastAsia="zh-CN" w:bidi="ar-SA"/>
      </w:rPr>
    </w:lvl>
    <w:lvl w:ilvl="6">
      <w:start w:val="0"/>
      <w:numFmt w:val="bullet"/>
      <w:lvlText w:val="•"/>
      <w:lvlJc w:val="left"/>
      <w:pPr>
        <w:ind w:left="6975" w:hanging="903"/>
      </w:pPr>
      <w:rPr>
        <w:rFonts w:hint="default"/>
        <w:lang w:val="en-US" w:eastAsia="zh-CN" w:bidi="ar-SA"/>
      </w:rPr>
    </w:lvl>
    <w:lvl w:ilvl="7">
      <w:start w:val="0"/>
      <w:numFmt w:val="bullet"/>
      <w:lvlText w:val="•"/>
      <w:lvlJc w:val="left"/>
      <w:pPr>
        <w:ind w:left="7948" w:hanging="903"/>
      </w:pPr>
      <w:rPr>
        <w:rFonts w:hint="default"/>
        <w:lang w:val="en-US" w:eastAsia="zh-CN" w:bidi="ar-SA"/>
      </w:rPr>
    </w:lvl>
    <w:lvl w:ilvl="8">
      <w:start w:val="0"/>
      <w:numFmt w:val="bullet"/>
      <w:lvlText w:val="•"/>
      <w:lvlJc w:val="left"/>
      <w:pPr>
        <w:ind w:left="8921" w:hanging="903"/>
      </w:pPr>
      <w:rPr>
        <w:rFonts w:hint="default"/>
        <w:lang w:val="en-US" w:eastAsia="zh-CN" w:bidi="ar-SA"/>
      </w:rPr>
    </w:lvl>
  </w:abstractNum>
  <w:abstractNum w:abstractNumId="5">
    <w:multiLevelType w:val="hybridMultilevel"/>
    <w:lvl w:ilvl="0">
      <w:start w:val="1"/>
      <w:numFmt w:val="decimal"/>
      <w:lvlText w:val="（%1）"/>
      <w:lvlJc w:val="left"/>
      <w:pPr>
        <w:ind w:left="75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5" w:hanging="530"/>
      </w:pPr>
      <w:rPr>
        <w:rFonts w:hint="default"/>
        <w:lang w:val="en-US" w:eastAsia="zh-CN" w:bidi="ar-SA"/>
      </w:rPr>
    </w:lvl>
    <w:lvl w:ilvl="2">
      <w:start w:val="0"/>
      <w:numFmt w:val="bullet"/>
      <w:lvlText w:val="•"/>
      <w:lvlJc w:val="left"/>
      <w:pPr>
        <w:ind w:left="2210" w:hanging="530"/>
      </w:pPr>
      <w:rPr>
        <w:rFonts w:hint="default"/>
        <w:lang w:val="en-US" w:eastAsia="zh-CN" w:bidi="ar-SA"/>
      </w:rPr>
    </w:lvl>
    <w:lvl w:ilvl="3">
      <w:start w:val="0"/>
      <w:numFmt w:val="bullet"/>
      <w:lvlText w:val="•"/>
      <w:lvlJc w:val="left"/>
      <w:pPr>
        <w:ind w:left="2935" w:hanging="530"/>
      </w:pPr>
      <w:rPr>
        <w:rFonts w:hint="default"/>
        <w:lang w:val="en-US" w:eastAsia="zh-CN" w:bidi="ar-SA"/>
      </w:rPr>
    </w:lvl>
    <w:lvl w:ilvl="4">
      <w:start w:val="0"/>
      <w:numFmt w:val="bullet"/>
      <w:lvlText w:val="•"/>
      <w:lvlJc w:val="left"/>
      <w:pPr>
        <w:ind w:left="3660" w:hanging="530"/>
      </w:pPr>
      <w:rPr>
        <w:rFonts w:hint="default"/>
        <w:lang w:val="en-US" w:eastAsia="zh-CN" w:bidi="ar-SA"/>
      </w:rPr>
    </w:lvl>
    <w:lvl w:ilvl="5">
      <w:start w:val="0"/>
      <w:numFmt w:val="bullet"/>
      <w:lvlText w:val="•"/>
      <w:lvlJc w:val="left"/>
      <w:pPr>
        <w:ind w:left="4385" w:hanging="530"/>
      </w:pPr>
      <w:rPr>
        <w:rFonts w:hint="default"/>
        <w:lang w:val="en-US" w:eastAsia="zh-CN" w:bidi="ar-SA"/>
      </w:rPr>
    </w:lvl>
    <w:lvl w:ilvl="6">
      <w:start w:val="0"/>
      <w:numFmt w:val="bullet"/>
      <w:lvlText w:val="•"/>
      <w:lvlJc w:val="left"/>
      <w:pPr>
        <w:ind w:left="5111" w:hanging="530"/>
      </w:pPr>
      <w:rPr>
        <w:rFonts w:hint="default"/>
        <w:lang w:val="en-US" w:eastAsia="zh-CN" w:bidi="ar-SA"/>
      </w:rPr>
    </w:lvl>
    <w:lvl w:ilvl="7">
      <w:start w:val="0"/>
      <w:numFmt w:val="bullet"/>
      <w:lvlText w:val="•"/>
      <w:lvlJc w:val="left"/>
      <w:pPr>
        <w:ind w:left="5836" w:hanging="530"/>
      </w:pPr>
      <w:rPr>
        <w:rFonts w:hint="default"/>
        <w:lang w:val="en-US" w:eastAsia="zh-CN" w:bidi="ar-SA"/>
      </w:rPr>
    </w:lvl>
    <w:lvl w:ilvl="8">
      <w:start w:val="0"/>
      <w:numFmt w:val="bullet"/>
      <w:lvlText w:val="•"/>
      <w:lvlJc w:val="left"/>
      <w:pPr>
        <w:ind w:left="6561" w:hanging="530"/>
      </w:pPr>
      <w:rPr>
        <w:rFonts w:hint="default"/>
        <w:lang w:val="en-US" w:eastAsia="zh-CN" w:bidi="ar-SA"/>
      </w:rPr>
    </w:lvl>
  </w:abstractNum>
  <w:abstractNum w:abstractNumId="4">
    <w:multiLevelType w:val="hybridMultilevel"/>
    <w:lvl w:ilvl="0">
      <w:start w:val="1"/>
      <w:numFmt w:val="decimal"/>
      <w:lvlText w:val="%1."/>
      <w:lvlJc w:val="left"/>
      <w:pPr>
        <w:ind w:left="1132" w:hanging="244"/>
        <w:jc w:val="left"/>
      </w:pPr>
      <w:rPr>
        <w:rFonts w:hint="default" w:ascii="宋体" w:hAnsi="宋体" w:eastAsia="宋体" w:cs="宋体"/>
        <w:b/>
        <w:bCs/>
        <w:i w:val="0"/>
        <w:iCs w:val="0"/>
        <w:spacing w:val="0"/>
        <w:w w:val="99"/>
        <w:sz w:val="22"/>
        <w:szCs w:val="22"/>
        <w:lang w:val="en-US" w:eastAsia="zh-CN" w:bidi="ar-SA"/>
      </w:rPr>
    </w:lvl>
    <w:lvl w:ilvl="1">
      <w:start w:val="0"/>
      <w:numFmt w:val="bullet"/>
      <w:lvlText w:val="•"/>
      <w:lvlJc w:val="left"/>
      <w:pPr>
        <w:ind w:left="1307" w:hanging="244"/>
      </w:pPr>
      <w:rPr>
        <w:rFonts w:hint="default"/>
        <w:lang w:val="en-US" w:eastAsia="zh-CN" w:bidi="ar-SA"/>
      </w:rPr>
    </w:lvl>
    <w:lvl w:ilvl="2">
      <w:start w:val="0"/>
      <w:numFmt w:val="bullet"/>
      <w:lvlText w:val="•"/>
      <w:lvlJc w:val="left"/>
      <w:pPr>
        <w:ind w:left="1474" w:hanging="244"/>
      </w:pPr>
      <w:rPr>
        <w:rFonts w:hint="default"/>
        <w:lang w:val="en-US" w:eastAsia="zh-CN" w:bidi="ar-SA"/>
      </w:rPr>
    </w:lvl>
    <w:lvl w:ilvl="3">
      <w:start w:val="0"/>
      <w:numFmt w:val="bullet"/>
      <w:lvlText w:val="•"/>
      <w:lvlJc w:val="left"/>
      <w:pPr>
        <w:ind w:left="1642" w:hanging="244"/>
      </w:pPr>
      <w:rPr>
        <w:rFonts w:hint="default"/>
        <w:lang w:val="en-US" w:eastAsia="zh-CN" w:bidi="ar-SA"/>
      </w:rPr>
    </w:lvl>
    <w:lvl w:ilvl="4">
      <w:start w:val="0"/>
      <w:numFmt w:val="bullet"/>
      <w:lvlText w:val="•"/>
      <w:lvlJc w:val="left"/>
      <w:pPr>
        <w:ind w:left="1809" w:hanging="244"/>
      </w:pPr>
      <w:rPr>
        <w:rFonts w:hint="default"/>
        <w:lang w:val="en-US" w:eastAsia="zh-CN" w:bidi="ar-SA"/>
      </w:rPr>
    </w:lvl>
    <w:lvl w:ilvl="5">
      <w:start w:val="0"/>
      <w:numFmt w:val="bullet"/>
      <w:lvlText w:val="•"/>
      <w:lvlJc w:val="left"/>
      <w:pPr>
        <w:ind w:left="1977" w:hanging="244"/>
      </w:pPr>
      <w:rPr>
        <w:rFonts w:hint="default"/>
        <w:lang w:val="en-US" w:eastAsia="zh-CN" w:bidi="ar-SA"/>
      </w:rPr>
    </w:lvl>
    <w:lvl w:ilvl="6">
      <w:start w:val="0"/>
      <w:numFmt w:val="bullet"/>
      <w:lvlText w:val="•"/>
      <w:lvlJc w:val="left"/>
      <w:pPr>
        <w:ind w:left="2144" w:hanging="244"/>
      </w:pPr>
      <w:rPr>
        <w:rFonts w:hint="default"/>
        <w:lang w:val="en-US" w:eastAsia="zh-CN" w:bidi="ar-SA"/>
      </w:rPr>
    </w:lvl>
    <w:lvl w:ilvl="7">
      <w:start w:val="0"/>
      <w:numFmt w:val="bullet"/>
      <w:lvlText w:val="•"/>
      <w:lvlJc w:val="left"/>
      <w:pPr>
        <w:ind w:left="2312" w:hanging="244"/>
      </w:pPr>
      <w:rPr>
        <w:rFonts w:hint="default"/>
        <w:lang w:val="en-US" w:eastAsia="zh-CN" w:bidi="ar-SA"/>
      </w:rPr>
    </w:lvl>
    <w:lvl w:ilvl="8">
      <w:start w:val="0"/>
      <w:numFmt w:val="bullet"/>
      <w:lvlText w:val="•"/>
      <w:lvlJc w:val="left"/>
      <w:pPr>
        <w:ind w:left="2479" w:hanging="244"/>
      </w:pPr>
      <w:rPr>
        <w:rFonts w:hint="default"/>
        <w:lang w:val="en-US" w:eastAsia="zh-CN" w:bidi="ar-SA"/>
      </w:rPr>
    </w:lvl>
  </w:abstractNum>
  <w:abstractNum w:abstractNumId="3">
    <w:multiLevelType w:val="hybridMultilevel"/>
    <w:lvl w:ilvl="0">
      <w:start w:val="2"/>
      <w:numFmt w:val="decimal"/>
      <w:lvlText w:val="%1"/>
      <w:lvlJc w:val="left"/>
      <w:pPr>
        <w:ind w:left="1132" w:hanging="903"/>
        <w:jc w:val="left"/>
      </w:pPr>
      <w:rPr>
        <w:rFonts w:hint="default"/>
        <w:lang w:val="en-US" w:eastAsia="zh-CN" w:bidi="ar-SA"/>
      </w:rPr>
    </w:lvl>
    <w:lvl w:ilvl="1">
      <w:start w:val="3"/>
      <w:numFmt w:val="decimal"/>
      <w:lvlText w:val="%1.%2"/>
      <w:lvlJc w:val="left"/>
      <w:pPr>
        <w:ind w:left="1132" w:hanging="90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1132" w:hanging="244"/>
        <w:jc w:val="left"/>
      </w:pPr>
      <w:rPr>
        <w:rFonts w:hint="default" w:ascii="宋体" w:hAnsi="宋体" w:eastAsia="宋体" w:cs="宋体"/>
        <w:b/>
        <w:bCs/>
        <w:i w:val="0"/>
        <w:iCs w:val="0"/>
        <w:spacing w:val="0"/>
        <w:w w:val="99"/>
        <w:sz w:val="22"/>
        <w:szCs w:val="22"/>
        <w:lang w:val="en-US" w:eastAsia="zh-CN" w:bidi="ar-SA"/>
      </w:rPr>
    </w:lvl>
    <w:lvl w:ilvl="3">
      <w:start w:val="0"/>
      <w:numFmt w:val="bullet"/>
      <w:lvlText w:val="•"/>
      <w:lvlJc w:val="left"/>
      <w:pPr>
        <w:ind w:left="1642" w:hanging="244"/>
      </w:pPr>
      <w:rPr>
        <w:rFonts w:hint="default"/>
        <w:lang w:val="en-US" w:eastAsia="zh-CN" w:bidi="ar-SA"/>
      </w:rPr>
    </w:lvl>
    <w:lvl w:ilvl="4">
      <w:start w:val="0"/>
      <w:numFmt w:val="bullet"/>
      <w:lvlText w:val="•"/>
      <w:lvlJc w:val="left"/>
      <w:pPr>
        <w:ind w:left="1809" w:hanging="244"/>
      </w:pPr>
      <w:rPr>
        <w:rFonts w:hint="default"/>
        <w:lang w:val="en-US" w:eastAsia="zh-CN" w:bidi="ar-SA"/>
      </w:rPr>
    </w:lvl>
    <w:lvl w:ilvl="5">
      <w:start w:val="0"/>
      <w:numFmt w:val="bullet"/>
      <w:lvlText w:val="•"/>
      <w:lvlJc w:val="left"/>
      <w:pPr>
        <w:ind w:left="1977" w:hanging="244"/>
      </w:pPr>
      <w:rPr>
        <w:rFonts w:hint="default"/>
        <w:lang w:val="en-US" w:eastAsia="zh-CN" w:bidi="ar-SA"/>
      </w:rPr>
    </w:lvl>
    <w:lvl w:ilvl="6">
      <w:start w:val="0"/>
      <w:numFmt w:val="bullet"/>
      <w:lvlText w:val="•"/>
      <w:lvlJc w:val="left"/>
      <w:pPr>
        <w:ind w:left="2144" w:hanging="244"/>
      </w:pPr>
      <w:rPr>
        <w:rFonts w:hint="default"/>
        <w:lang w:val="en-US" w:eastAsia="zh-CN" w:bidi="ar-SA"/>
      </w:rPr>
    </w:lvl>
    <w:lvl w:ilvl="7">
      <w:start w:val="0"/>
      <w:numFmt w:val="bullet"/>
      <w:lvlText w:val="•"/>
      <w:lvlJc w:val="left"/>
      <w:pPr>
        <w:ind w:left="2312" w:hanging="244"/>
      </w:pPr>
      <w:rPr>
        <w:rFonts w:hint="default"/>
        <w:lang w:val="en-US" w:eastAsia="zh-CN" w:bidi="ar-SA"/>
      </w:rPr>
    </w:lvl>
    <w:lvl w:ilvl="8">
      <w:start w:val="0"/>
      <w:numFmt w:val="bullet"/>
      <w:lvlText w:val="•"/>
      <w:lvlJc w:val="left"/>
      <w:pPr>
        <w:ind w:left="2479" w:hanging="244"/>
      </w:pPr>
      <w:rPr>
        <w:rFonts w:hint="default"/>
        <w:lang w:val="en-US" w:eastAsia="zh-CN" w:bidi="ar-SA"/>
      </w:rPr>
    </w:lvl>
  </w:abstractNum>
  <w:abstractNum w:abstractNumId="2">
    <w:multiLevelType w:val="hybridMultilevel"/>
    <w:lvl w:ilvl="0">
      <w:start w:val="1"/>
      <w:numFmt w:val="decimal"/>
      <w:lvlText w:val="%1"/>
      <w:lvlJc w:val="left"/>
      <w:pPr>
        <w:ind w:left="3081" w:hanging="903"/>
        <w:jc w:val="left"/>
      </w:pPr>
      <w:rPr>
        <w:rFonts w:hint="default"/>
        <w:lang w:val="en-US" w:eastAsia="zh-CN" w:bidi="ar-SA"/>
      </w:rPr>
    </w:lvl>
    <w:lvl w:ilvl="1">
      <w:start w:val="1"/>
      <w:numFmt w:val="decimal"/>
      <w:lvlText w:val="%1.%2"/>
      <w:lvlJc w:val="left"/>
      <w:pPr>
        <w:ind w:left="3081" w:hanging="90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637" w:hanging="903"/>
      </w:pPr>
      <w:rPr>
        <w:rFonts w:hint="default"/>
        <w:lang w:val="en-US" w:eastAsia="zh-CN" w:bidi="ar-SA"/>
      </w:rPr>
    </w:lvl>
    <w:lvl w:ilvl="3">
      <w:start w:val="0"/>
      <w:numFmt w:val="bullet"/>
      <w:lvlText w:val="•"/>
      <w:lvlJc w:val="left"/>
      <w:pPr>
        <w:ind w:left="5415" w:hanging="903"/>
      </w:pPr>
      <w:rPr>
        <w:rFonts w:hint="default"/>
        <w:lang w:val="en-US" w:eastAsia="zh-CN" w:bidi="ar-SA"/>
      </w:rPr>
    </w:lvl>
    <w:lvl w:ilvl="4">
      <w:start w:val="0"/>
      <w:numFmt w:val="bullet"/>
      <w:lvlText w:val="•"/>
      <w:lvlJc w:val="left"/>
      <w:pPr>
        <w:ind w:left="6194" w:hanging="903"/>
      </w:pPr>
      <w:rPr>
        <w:rFonts w:hint="default"/>
        <w:lang w:val="en-US" w:eastAsia="zh-CN" w:bidi="ar-SA"/>
      </w:rPr>
    </w:lvl>
    <w:lvl w:ilvl="5">
      <w:start w:val="0"/>
      <w:numFmt w:val="bullet"/>
      <w:lvlText w:val="•"/>
      <w:lvlJc w:val="left"/>
      <w:pPr>
        <w:ind w:left="6973" w:hanging="903"/>
      </w:pPr>
      <w:rPr>
        <w:rFonts w:hint="default"/>
        <w:lang w:val="en-US" w:eastAsia="zh-CN" w:bidi="ar-SA"/>
      </w:rPr>
    </w:lvl>
    <w:lvl w:ilvl="6">
      <w:start w:val="0"/>
      <w:numFmt w:val="bullet"/>
      <w:lvlText w:val="•"/>
      <w:lvlJc w:val="left"/>
      <w:pPr>
        <w:ind w:left="7751" w:hanging="903"/>
      </w:pPr>
      <w:rPr>
        <w:rFonts w:hint="default"/>
        <w:lang w:val="en-US" w:eastAsia="zh-CN" w:bidi="ar-SA"/>
      </w:rPr>
    </w:lvl>
    <w:lvl w:ilvl="7">
      <w:start w:val="0"/>
      <w:numFmt w:val="bullet"/>
      <w:lvlText w:val="•"/>
      <w:lvlJc w:val="left"/>
      <w:pPr>
        <w:ind w:left="8530" w:hanging="903"/>
      </w:pPr>
      <w:rPr>
        <w:rFonts w:hint="default"/>
        <w:lang w:val="en-US" w:eastAsia="zh-CN" w:bidi="ar-SA"/>
      </w:rPr>
    </w:lvl>
    <w:lvl w:ilvl="8">
      <w:start w:val="0"/>
      <w:numFmt w:val="bullet"/>
      <w:lvlText w:val="•"/>
      <w:lvlJc w:val="left"/>
      <w:pPr>
        <w:ind w:left="9309" w:hanging="903"/>
      </w:pPr>
      <w:rPr>
        <w:rFonts w:hint="default"/>
        <w:lang w:val="en-US" w:eastAsia="zh-CN" w:bidi="ar-SA"/>
      </w:rPr>
    </w:lvl>
  </w:abstractNum>
  <w:abstractNum w:abstractNumId="1">
    <w:multiLevelType w:val="hybridMultilevel"/>
    <w:lvl w:ilvl="0">
      <w:start w:val="1"/>
      <w:numFmt w:val="decimal"/>
      <w:lvlText w:val="%1."/>
      <w:lvlJc w:val="left"/>
      <w:pPr>
        <w:ind w:left="1284" w:hanging="213"/>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70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00" w:hanging="423"/>
      </w:pPr>
      <w:rPr>
        <w:rFonts w:hint="default"/>
        <w:lang w:val="en-US" w:eastAsia="zh-CN" w:bidi="ar-SA"/>
      </w:rPr>
    </w:lvl>
    <w:lvl w:ilvl="3">
      <w:start w:val="0"/>
      <w:numFmt w:val="bullet"/>
      <w:lvlText w:val="•"/>
      <w:lvlJc w:val="left"/>
      <w:pPr>
        <w:ind w:left="1075" w:hanging="423"/>
      </w:pPr>
      <w:rPr>
        <w:rFonts w:hint="default"/>
        <w:lang w:val="en-US" w:eastAsia="zh-CN" w:bidi="ar-SA"/>
      </w:rPr>
    </w:lvl>
    <w:lvl w:ilvl="4">
      <w:start w:val="0"/>
      <w:numFmt w:val="bullet"/>
      <w:lvlText w:val="•"/>
      <w:lvlJc w:val="left"/>
      <w:pPr>
        <w:ind w:left="450" w:hanging="423"/>
      </w:pPr>
      <w:rPr>
        <w:rFonts w:hint="default"/>
        <w:lang w:val="en-US" w:eastAsia="zh-CN" w:bidi="ar-SA"/>
      </w:rPr>
    </w:lvl>
    <w:lvl w:ilvl="5">
      <w:start w:val="0"/>
      <w:numFmt w:val="bullet"/>
      <w:lvlText w:val="•"/>
      <w:lvlJc w:val="left"/>
      <w:pPr>
        <w:ind w:left="-175" w:hanging="423"/>
      </w:pPr>
      <w:rPr>
        <w:rFonts w:hint="default"/>
        <w:lang w:val="en-US" w:eastAsia="zh-CN" w:bidi="ar-SA"/>
      </w:rPr>
    </w:lvl>
    <w:lvl w:ilvl="6">
      <w:start w:val="0"/>
      <w:numFmt w:val="bullet"/>
      <w:lvlText w:val="•"/>
      <w:lvlJc w:val="left"/>
      <w:pPr>
        <w:ind w:left="-800" w:hanging="423"/>
      </w:pPr>
      <w:rPr>
        <w:rFonts w:hint="default"/>
        <w:lang w:val="en-US" w:eastAsia="zh-CN" w:bidi="ar-SA"/>
      </w:rPr>
    </w:lvl>
    <w:lvl w:ilvl="7">
      <w:start w:val="0"/>
      <w:numFmt w:val="bullet"/>
      <w:lvlText w:val="•"/>
      <w:lvlJc w:val="left"/>
      <w:pPr>
        <w:ind w:left="-1425" w:hanging="423"/>
      </w:pPr>
      <w:rPr>
        <w:rFonts w:hint="default"/>
        <w:lang w:val="en-US" w:eastAsia="zh-CN" w:bidi="ar-SA"/>
      </w:rPr>
    </w:lvl>
    <w:lvl w:ilvl="8">
      <w:start w:val="0"/>
      <w:numFmt w:val="bullet"/>
      <w:lvlText w:val="•"/>
      <w:lvlJc w:val="left"/>
      <w:pPr>
        <w:ind w:left="-2050" w:hanging="423"/>
      </w:pPr>
      <w:rPr>
        <w:rFonts w:hint="default"/>
        <w:lang w:val="en-US" w:eastAsia="zh-CN" w:bidi="ar-SA"/>
      </w:rPr>
    </w:lvl>
  </w:abstractNum>
  <w:abstractNum w:abstractNumId="0">
    <w:multiLevelType w:val="hybridMultilevel"/>
    <w:lvl w:ilvl="0">
      <w:start w:val="0"/>
      <w:numFmt w:val="bullet"/>
      <w:lvlText w:val=""/>
      <w:lvlJc w:val="left"/>
      <w:pPr>
        <w:ind w:left="1775"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8" w:hanging="420"/>
      </w:pPr>
      <w:rPr>
        <w:rFonts w:hint="default"/>
        <w:lang w:val="en-US" w:eastAsia="zh-CN" w:bidi="ar-SA"/>
      </w:rPr>
    </w:lvl>
    <w:lvl w:ilvl="2">
      <w:start w:val="0"/>
      <w:numFmt w:val="bullet"/>
      <w:lvlText w:val="•"/>
      <w:lvlJc w:val="left"/>
      <w:pPr>
        <w:ind w:left="3597" w:hanging="420"/>
      </w:pPr>
      <w:rPr>
        <w:rFonts w:hint="default"/>
        <w:lang w:val="en-US" w:eastAsia="zh-CN" w:bidi="ar-SA"/>
      </w:rPr>
    </w:lvl>
    <w:lvl w:ilvl="3">
      <w:start w:val="0"/>
      <w:numFmt w:val="bullet"/>
      <w:lvlText w:val="•"/>
      <w:lvlJc w:val="left"/>
      <w:pPr>
        <w:ind w:left="4505" w:hanging="420"/>
      </w:pPr>
      <w:rPr>
        <w:rFonts w:hint="default"/>
        <w:lang w:val="en-US" w:eastAsia="zh-CN" w:bidi="ar-SA"/>
      </w:rPr>
    </w:lvl>
    <w:lvl w:ilvl="4">
      <w:start w:val="0"/>
      <w:numFmt w:val="bullet"/>
      <w:lvlText w:val="•"/>
      <w:lvlJc w:val="left"/>
      <w:pPr>
        <w:ind w:left="5414" w:hanging="420"/>
      </w:pPr>
      <w:rPr>
        <w:rFonts w:hint="default"/>
        <w:lang w:val="en-US" w:eastAsia="zh-CN" w:bidi="ar-SA"/>
      </w:rPr>
    </w:lvl>
    <w:lvl w:ilvl="5">
      <w:start w:val="0"/>
      <w:numFmt w:val="bullet"/>
      <w:lvlText w:val="•"/>
      <w:lvlJc w:val="left"/>
      <w:pPr>
        <w:ind w:left="6323" w:hanging="420"/>
      </w:pPr>
      <w:rPr>
        <w:rFonts w:hint="default"/>
        <w:lang w:val="en-US" w:eastAsia="zh-CN" w:bidi="ar-SA"/>
      </w:rPr>
    </w:lvl>
    <w:lvl w:ilvl="6">
      <w:start w:val="0"/>
      <w:numFmt w:val="bullet"/>
      <w:lvlText w:val="•"/>
      <w:lvlJc w:val="left"/>
      <w:pPr>
        <w:ind w:left="7231" w:hanging="420"/>
      </w:pPr>
      <w:rPr>
        <w:rFonts w:hint="default"/>
        <w:lang w:val="en-US" w:eastAsia="zh-CN" w:bidi="ar-SA"/>
      </w:rPr>
    </w:lvl>
    <w:lvl w:ilvl="7">
      <w:start w:val="0"/>
      <w:numFmt w:val="bullet"/>
      <w:lvlText w:val="•"/>
      <w:lvlJc w:val="left"/>
      <w:pPr>
        <w:ind w:left="8140" w:hanging="420"/>
      </w:pPr>
      <w:rPr>
        <w:rFonts w:hint="default"/>
        <w:lang w:val="en-US" w:eastAsia="zh-CN" w:bidi="ar-SA"/>
      </w:rPr>
    </w:lvl>
    <w:lvl w:ilvl="8">
      <w:start w:val="0"/>
      <w:numFmt w:val="bullet"/>
      <w:lvlText w:val="•"/>
      <w:lvlJc w:val="left"/>
      <w:pPr>
        <w:ind w:left="9049" w:hanging="420"/>
      </w:pPr>
      <w:rPr>
        <w:rFonts w:hint="default"/>
        <w:lang w:val="en-US" w:eastAsia="zh-CN" w:bidi="ar-SA"/>
      </w:rPr>
    </w:lvl>
  </w:abstractNum>
  <w:num w:numId="15">
    <w:abstractNumId w:val="1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89"/>
      <w:ind w:left="1132"/>
      <w:outlineLvl w:val="1"/>
    </w:pPr>
    <w:rPr>
      <w:rFonts w:ascii="华文新魏" w:hAnsi="华文新魏" w:eastAsia="华文新魏" w:cs="华文新魏"/>
      <w:b/>
      <w:bCs/>
      <w:sz w:val="24"/>
      <w:szCs w:val="24"/>
      <w:lang w:val="en-US" w:eastAsia="zh-CN" w:bidi="ar-SA"/>
    </w:rPr>
  </w:style>
  <w:style w:styleId="ListParagraph" w:type="paragraph">
    <w:name w:val="List Paragraph"/>
    <w:basedOn w:val="Normal"/>
    <w:uiPriority w:val="1"/>
    <w:qFormat/>
    <w:pPr>
      <w:spacing w:before="43"/>
      <w:ind w:left="1132" w:hanging="904"/>
    </w:pPr>
    <w:rPr>
      <w:rFonts w:ascii="宋体" w:hAnsi="宋体" w:eastAsia="宋体" w:cs="宋体"/>
      <w:lang w:val="en-US" w:eastAsia="zh-CN" w:bidi="ar-SA"/>
    </w:rPr>
  </w:style>
  <w:style w:styleId="TableParagraph" w:type="paragraph">
    <w:name w:val="Table Paragraph"/>
    <w:basedOn w:val="Normal"/>
    <w:uiPriority w:val="1"/>
    <w:qFormat/>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2023-06-02T02:24:14Z</dcterms:created>
  <dcterms:modified xsi:type="dcterms:W3CDTF">2023-06-02T02:24:14Z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