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p>
    <w:p>
      <w:pPr>
        <w:pStyle w:val="3"/>
        <w:spacing w:before="5"/>
        <w:rPr>
          <w:rFonts w:ascii="Times New Roman"/>
          <w:sz w:val="24"/>
        </w:rPr>
      </w:pPr>
    </w:p>
    <w:p>
      <w:pPr>
        <w:pStyle w:val="3"/>
        <w:ind w:left="262"/>
        <w:rPr>
          <w:rFonts w:ascii="Times New Roman"/>
          <w:sz w:val="20"/>
        </w:rPr>
      </w:pPr>
      <w:r>
        <w:rPr>
          <w:rFonts w:ascii="Times New Roman"/>
          <w:sz w:val="20"/>
        </w:rPr>
        <w:drawing>
          <wp:inline distT="0" distB="0" distL="0" distR="0">
            <wp:extent cx="1250950" cy="42481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7" cstate="print"/>
                    <a:stretch>
                      <a:fillRect/>
                    </a:stretch>
                  </pic:blipFill>
                  <pic:spPr>
                    <a:xfrm>
                      <a:off x="0" y="0"/>
                      <a:ext cx="1251380" cy="425196"/>
                    </a:xfrm>
                    <a:prstGeom prst="rect">
                      <a:avLst/>
                    </a:prstGeom>
                  </pic:spPr>
                </pic:pic>
              </a:graphicData>
            </a:graphic>
          </wp:inline>
        </w:drawing>
      </w:r>
    </w:p>
    <w:p>
      <w:pPr>
        <w:pStyle w:val="3"/>
        <w:rPr>
          <w:rFonts w:ascii="Times New Roman"/>
          <w:sz w:val="32"/>
        </w:rPr>
      </w:pPr>
    </w:p>
    <w:p>
      <w:pPr>
        <w:pStyle w:val="3"/>
        <w:spacing w:before="1"/>
        <w:rPr>
          <w:rFonts w:ascii="Times New Roman"/>
          <w:sz w:val="35"/>
        </w:rPr>
      </w:pPr>
    </w:p>
    <w:p>
      <w:pPr>
        <w:pStyle w:val="4"/>
        <w:jc w:val="right"/>
      </w:pPr>
      <w:r>
        <w:rPr>
          <w:spacing w:val="-4"/>
        </w:rPr>
        <w:t>阅 读 提 示</w:t>
      </w:r>
    </w:p>
    <w:p>
      <w:pPr>
        <w:pStyle w:val="3"/>
        <w:spacing w:before="42" w:line="643" w:lineRule="auto"/>
        <w:ind w:left="473" w:right="185" w:hanging="212"/>
      </w:pPr>
      <w:r>
        <w:br w:type="column"/>
      </w:r>
      <w:r>
        <w:rPr>
          <w:spacing w:val="-2"/>
        </w:rPr>
        <w:t>中意人寿[2019]医疗保险号请扫描以查询验证条款</w:t>
      </w:r>
    </w:p>
    <w:p>
      <w:pPr>
        <w:spacing w:after="0" w:line="643" w:lineRule="auto"/>
        <w:sectPr>
          <w:type w:val="continuous"/>
          <w:pgSz w:w="11910" w:h="16840"/>
          <w:pgMar w:top="320" w:right="620" w:bottom="280" w:left="1480" w:header="720" w:footer="720" w:gutter="0"/>
          <w:cols w:equalWidth="0" w:num="2">
            <w:col w:w="5682" w:space="1147"/>
            <w:col w:w="2981"/>
          </w:cols>
        </w:sectPr>
      </w:pPr>
    </w:p>
    <w:p>
      <w:pPr>
        <w:pStyle w:val="3"/>
        <w:spacing w:before="5"/>
        <w:rPr>
          <w:sz w:val="13"/>
        </w:rPr>
      </w:pPr>
    </w:p>
    <w:p>
      <w:pPr>
        <w:spacing w:before="71"/>
        <w:ind w:left="1209" w:right="1287" w:firstLine="0"/>
        <w:jc w:val="center"/>
        <w:rPr>
          <w:b/>
          <w:sz w:val="21"/>
        </w:rPr>
      </w:pPr>
      <w:r>
        <w:rPr>
          <w:b/>
          <w:spacing w:val="-3"/>
          <w:sz w:val="21"/>
        </w:rPr>
        <w:t>本阅读提示是为了帮助您更好理解条款，对本合同内容的解释以条款正文为准。</w:t>
      </w:r>
    </w:p>
    <w:p>
      <w:pPr>
        <w:pStyle w:val="3"/>
        <w:spacing w:before="12"/>
        <w:rPr>
          <w:b/>
          <w:sz w:val="18"/>
        </w:r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66"/>
        <w:gridCol w:w="4294"/>
        <w:gridCol w:w="1152"/>
        <w:gridCol w:w="177"/>
        <w:gridCol w:w="831"/>
        <w:gridCol w:w="840"/>
        <w:gridCol w:w="428"/>
        <w:gridCol w:w="699"/>
        <w:gridCol w:w="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trPr>
        <w:tc>
          <w:tcPr>
            <w:tcW w:w="366" w:type="dxa"/>
          </w:tcPr>
          <w:p>
            <w:pPr>
              <w:pStyle w:val="9"/>
              <w:spacing w:before="1"/>
              <w:ind w:left="50"/>
              <w:rPr>
                <w:rFonts w:ascii="Symbol" w:hAnsi="Symbol"/>
                <w:b/>
                <w:sz w:val="21"/>
              </w:rPr>
            </w:pPr>
            <w:r>
              <w:rPr>
                <w:rFonts w:ascii="Symbol" w:hAnsi="Symbol"/>
                <w:b/>
                <w:w w:val="100"/>
                <w:sz w:val="21"/>
              </w:rPr>
              <w:t></w:t>
            </w:r>
          </w:p>
        </w:tc>
        <w:tc>
          <w:tcPr>
            <w:tcW w:w="6454" w:type="dxa"/>
            <w:gridSpan w:val="4"/>
          </w:tcPr>
          <w:p>
            <w:pPr>
              <w:pStyle w:val="9"/>
              <w:spacing w:before="2"/>
              <w:ind w:left="106"/>
              <w:rPr>
                <w:b/>
                <w:sz w:val="21"/>
              </w:rPr>
            </w:pPr>
            <w:r>
              <w:rPr>
                <w:b/>
                <w:spacing w:val="-2"/>
                <w:sz w:val="21"/>
              </w:rPr>
              <w:t>您拥有的重要权益</w:t>
            </w:r>
          </w:p>
          <w:p>
            <w:pPr>
              <w:pStyle w:val="9"/>
              <w:numPr>
                <w:ilvl w:val="0"/>
                <w:numId w:val="1"/>
              </w:numPr>
              <w:tabs>
                <w:tab w:val="left" w:pos="371"/>
              </w:tabs>
              <w:spacing w:before="5" w:after="0" w:line="255" w:lineRule="exact"/>
              <w:ind w:left="370" w:right="0" w:hanging="265"/>
              <w:jc w:val="left"/>
              <w:rPr>
                <w:rFonts w:ascii="Times New Roman" w:hAnsi="Times New Roman" w:eastAsia="Times New Roman"/>
                <w:sz w:val="21"/>
              </w:rPr>
            </w:pPr>
            <w:r>
              <w:rPr>
                <w:spacing w:val="-4"/>
                <w:sz w:val="21"/>
              </w:rPr>
              <w:t xml:space="preserve">在犹豫期内您若要求解除合同，我们仅扣除工本费 </w:t>
            </w:r>
            <w:r>
              <w:rPr>
                <w:rFonts w:ascii="Times New Roman" w:hAnsi="Times New Roman" w:eastAsia="Times New Roman"/>
                <w:spacing w:val="-40"/>
                <w:sz w:val="21"/>
              </w:rPr>
              <w:t>································</w:t>
            </w:r>
          </w:p>
        </w:tc>
        <w:tc>
          <w:tcPr>
            <w:tcW w:w="840" w:type="dxa"/>
          </w:tcPr>
          <w:p>
            <w:pPr>
              <w:pStyle w:val="9"/>
              <w:rPr>
                <w:rFonts w:ascii="Times New Roman"/>
                <w:sz w:val="20"/>
              </w:rPr>
            </w:pPr>
          </w:p>
        </w:tc>
        <w:tc>
          <w:tcPr>
            <w:tcW w:w="1127" w:type="dxa"/>
            <w:gridSpan w:val="2"/>
          </w:tcPr>
          <w:p>
            <w:pPr>
              <w:pStyle w:val="9"/>
              <w:spacing w:before="8"/>
              <w:rPr>
                <w:b/>
                <w:sz w:val="22"/>
              </w:rPr>
            </w:pPr>
          </w:p>
          <w:p>
            <w:pPr>
              <w:pStyle w:val="9"/>
              <w:spacing w:line="241" w:lineRule="exact"/>
              <w:ind w:left="58"/>
              <w:rPr>
                <w:rFonts w:ascii="Times New Roman" w:hAnsi="Times New Roman"/>
                <w:sz w:val="21"/>
              </w:rPr>
            </w:pPr>
            <w:r>
              <w:rPr>
                <w:rFonts w:ascii="Times New Roman" w:hAnsi="Times New Roman"/>
                <w:spacing w:val="-37"/>
                <w:sz w:val="21"/>
              </w:rPr>
              <w:t>··················</w:t>
            </w:r>
          </w:p>
        </w:tc>
        <w:tc>
          <w:tcPr>
            <w:tcW w:w="557" w:type="dxa"/>
          </w:tcPr>
          <w:p>
            <w:pPr>
              <w:pStyle w:val="9"/>
              <w:spacing w:before="8"/>
              <w:rPr>
                <w:b/>
                <w:sz w:val="22"/>
              </w:rPr>
            </w:pPr>
          </w:p>
          <w:p>
            <w:pPr>
              <w:pStyle w:val="9"/>
              <w:spacing w:line="241" w:lineRule="exact"/>
              <w:ind w:right="48"/>
              <w:jc w:val="right"/>
              <w:rPr>
                <w:rFonts w:ascii="Times New Roman"/>
                <w:sz w:val="21"/>
              </w:rPr>
            </w:pPr>
            <w:r>
              <w:rPr>
                <w:rFonts w:ascii="Times New Roman"/>
                <w:spacing w:val="-5"/>
                <w:sz w:val="21"/>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66" w:type="dxa"/>
          </w:tcPr>
          <w:p>
            <w:pPr>
              <w:pStyle w:val="9"/>
              <w:rPr>
                <w:rFonts w:ascii="Times New Roman"/>
                <w:sz w:val="20"/>
              </w:rPr>
            </w:pPr>
          </w:p>
        </w:tc>
        <w:tc>
          <w:tcPr>
            <w:tcW w:w="6454" w:type="dxa"/>
            <w:gridSpan w:val="4"/>
          </w:tcPr>
          <w:p>
            <w:pPr>
              <w:pStyle w:val="9"/>
              <w:numPr>
                <w:ilvl w:val="0"/>
                <w:numId w:val="2"/>
              </w:numPr>
              <w:tabs>
                <w:tab w:val="left" w:pos="371"/>
              </w:tabs>
              <w:spacing w:before="0" w:after="0" w:line="251" w:lineRule="exact"/>
              <w:ind w:left="370" w:right="0" w:hanging="265"/>
              <w:jc w:val="left"/>
              <w:rPr>
                <w:rFonts w:ascii="Times New Roman" w:hAnsi="Times New Roman" w:eastAsia="Times New Roman"/>
                <w:sz w:val="21"/>
              </w:rPr>
            </w:pPr>
            <w:r>
              <w:rPr>
                <w:sz w:val="21"/>
              </w:rPr>
              <w:t>被保险人可以享有本合同提供的保障利益</w:t>
            </w:r>
            <w:r>
              <w:rPr>
                <w:rFonts w:ascii="Times New Roman" w:hAnsi="Times New Roman" w:eastAsia="Times New Roman"/>
                <w:spacing w:val="-40"/>
                <w:sz w:val="21"/>
              </w:rPr>
              <w:t>································</w:t>
            </w:r>
          </w:p>
        </w:tc>
        <w:tc>
          <w:tcPr>
            <w:tcW w:w="840" w:type="dxa"/>
          </w:tcPr>
          <w:p>
            <w:pPr>
              <w:pStyle w:val="9"/>
              <w:spacing w:before="13" w:line="238" w:lineRule="exact"/>
              <w:ind w:right="21"/>
              <w:jc w:val="center"/>
              <w:rPr>
                <w:rFonts w:ascii="Times New Roman" w:hAnsi="Times New Roman"/>
                <w:sz w:val="21"/>
              </w:rPr>
            </w:pPr>
            <w:r>
              <w:rPr>
                <w:rFonts w:ascii="Times New Roman" w:hAnsi="Times New Roman"/>
                <w:spacing w:val="-44"/>
                <w:sz w:val="21"/>
              </w:rPr>
              <w:t>······························</w:t>
            </w:r>
          </w:p>
        </w:tc>
        <w:tc>
          <w:tcPr>
            <w:tcW w:w="1127" w:type="dxa"/>
            <w:gridSpan w:val="2"/>
          </w:tcPr>
          <w:p>
            <w:pPr>
              <w:pStyle w:val="9"/>
              <w:rPr>
                <w:rFonts w:ascii="Times New Roman"/>
                <w:sz w:val="20"/>
              </w:rPr>
            </w:pPr>
          </w:p>
        </w:tc>
        <w:tc>
          <w:tcPr>
            <w:tcW w:w="557" w:type="dxa"/>
          </w:tcPr>
          <w:p>
            <w:pPr>
              <w:pStyle w:val="9"/>
              <w:spacing w:before="13" w:line="238" w:lineRule="exact"/>
              <w:ind w:right="48"/>
              <w:jc w:val="right"/>
              <w:rPr>
                <w:rFonts w:ascii="Times New Roman"/>
                <w:sz w:val="21"/>
              </w:rPr>
            </w:pPr>
            <w:r>
              <w:rPr>
                <w:rFonts w:ascii="Times New Roman"/>
                <w:spacing w:val="-5"/>
                <w:sz w:val="21"/>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366" w:type="dxa"/>
          </w:tcPr>
          <w:p>
            <w:pPr>
              <w:pStyle w:val="9"/>
              <w:rPr>
                <w:rFonts w:ascii="Times New Roman"/>
                <w:sz w:val="20"/>
              </w:rPr>
            </w:pPr>
          </w:p>
        </w:tc>
        <w:tc>
          <w:tcPr>
            <w:tcW w:w="6454" w:type="dxa"/>
            <w:gridSpan w:val="4"/>
          </w:tcPr>
          <w:p>
            <w:pPr>
              <w:pStyle w:val="9"/>
              <w:numPr>
                <w:ilvl w:val="0"/>
                <w:numId w:val="3"/>
              </w:numPr>
              <w:tabs>
                <w:tab w:val="left" w:pos="371"/>
                <w:tab w:val="left" w:pos="4183"/>
              </w:tabs>
              <w:spacing w:before="0" w:after="0" w:line="266" w:lineRule="exact"/>
              <w:ind w:left="370" w:right="0" w:hanging="265"/>
              <w:jc w:val="left"/>
              <w:rPr>
                <w:rFonts w:ascii="Times New Roman" w:hAnsi="Times New Roman" w:eastAsia="Times New Roman"/>
                <w:sz w:val="21"/>
              </w:rPr>
            </w:pPr>
            <w:r>
              <w:rPr>
                <w:sz w:val="21"/>
              </w:rPr>
              <w:t>您有权解除合</w:t>
            </w:r>
            <w:r>
              <w:rPr>
                <w:spacing w:val="27"/>
                <w:sz w:val="21"/>
              </w:rPr>
              <w:t>同</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1"/>
                <w:sz w:val="21"/>
              </w:rPr>
              <w:t>································</w:t>
            </w:r>
          </w:p>
        </w:tc>
        <w:tc>
          <w:tcPr>
            <w:tcW w:w="840" w:type="dxa"/>
          </w:tcPr>
          <w:p>
            <w:pPr>
              <w:pStyle w:val="9"/>
              <w:spacing w:before="10"/>
              <w:ind w:right="21"/>
              <w:jc w:val="center"/>
              <w:rPr>
                <w:rFonts w:ascii="Times New Roman" w:hAnsi="Times New Roman"/>
                <w:sz w:val="21"/>
              </w:rPr>
            </w:pPr>
            <w:r>
              <w:rPr>
                <w:rFonts w:ascii="Times New Roman" w:hAnsi="Times New Roman"/>
                <w:spacing w:val="-44"/>
                <w:sz w:val="21"/>
              </w:rPr>
              <w:t>······························</w:t>
            </w:r>
          </w:p>
        </w:tc>
        <w:tc>
          <w:tcPr>
            <w:tcW w:w="1127" w:type="dxa"/>
            <w:gridSpan w:val="2"/>
          </w:tcPr>
          <w:p>
            <w:pPr>
              <w:pStyle w:val="9"/>
              <w:rPr>
                <w:rFonts w:ascii="Times New Roman"/>
                <w:sz w:val="20"/>
              </w:rPr>
            </w:pPr>
          </w:p>
        </w:tc>
        <w:tc>
          <w:tcPr>
            <w:tcW w:w="557" w:type="dxa"/>
          </w:tcPr>
          <w:p>
            <w:pPr>
              <w:pStyle w:val="9"/>
              <w:spacing w:before="10"/>
              <w:ind w:right="48"/>
              <w:jc w:val="right"/>
              <w:rPr>
                <w:rFonts w:ascii="Times New Roman"/>
                <w:sz w:val="21"/>
              </w:rPr>
            </w:pPr>
            <w:r>
              <w:rPr>
                <w:rFonts w:ascii="Times New Roman"/>
                <w:spacing w:val="-5"/>
                <w:sz w:val="21"/>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366" w:type="dxa"/>
          </w:tcPr>
          <w:p>
            <w:pPr>
              <w:pStyle w:val="9"/>
              <w:spacing w:before="129" w:line="256" w:lineRule="exact"/>
              <w:ind w:left="50"/>
              <w:rPr>
                <w:rFonts w:ascii="Symbol" w:hAnsi="Symbol"/>
                <w:b/>
                <w:sz w:val="21"/>
              </w:rPr>
            </w:pPr>
            <w:r>
              <w:rPr>
                <w:rFonts w:ascii="Symbol" w:hAnsi="Symbol"/>
                <w:b/>
                <w:w w:val="100"/>
                <w:sz w:val="21"/>
              </w:rPr>
              <w:t></w:t>
            </w:r>
          </w:p>
        </w:tc>
        <w:tc>
          <w:tcPr>
            <w:tcW w:w="6454" w:type="dxa"/>
            <w:gridSpan w:val="4"/>
          </w:tcPr>
          <w:p>
            <w:pPr>
              <w:pStyle w:val="9"/>
              <w:spacing w:before="130" w:line="255" w:lineRule="exact"/>
              <w:ind w:left="106"/>
              <w:rPr>
                <w:b/>
                <w:sz w:val="21"/>
              </w:rPr>
            </w:pPr>
            <w:r>
              <w:rPr>
                <w:b/>
                <w:spacing w:val="-1"/>
                <w:sz w:val="21"/>
              </w:rPr>
              <w:t>您应当特别注意的事项</w:t>
            </w:r>
          </w:p>
        </w:tc>
        <w:tc>
          <w:tcPr>
            <w:tcW w:w="840" w:type="dxa"/>
          </w:tcPr>
          <w:p>
            <w:pPr>
              <w:pStyle w:val="9"/>
              <w:rPr>
                <w:rFonts w:ascii="Times New Roman"/>
                <w:sz w:val="20"/>
              </w:rPr>
            </w:pPr>
          </w:p>
        </w:tc>
        <w:tc>
          <w:tcPr>
            <w:tcW w:w="1127" w:type="dxa"/>
            <w:gridSpan w:val="2"/>
          </w:tcPr>
          <w:p>
            <w:pPr>
              <w:pStyle w:val="9"/>
              <w:rPr>
                <w:rFonts w:ascii="Times New Roman"/>
                <w:sz w:val="20"/>
              </w:rPr>
            </w:pPr>
          </w:p>
        </w:tc>
        <w:tc>
          <w:tcPr>
            <w:tcW w:w="557"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366" w:type="dxa"/>
          </w:tcPr>
          <w:p>
            <w:pPr>
              <w:pStyle w:val="9"/>
              <w:rPr>
                <w:rFonts w:ascii="Times New Roman"/>
                <w:sz w:val="18"/>
              </w:rPr>
            </w:pPr>
          </w:p>
        </w:tc>
        <w:tc>
          <w:tcPr>
            <w:tcW w:w="6454" w:type="dxa"/>
            <w:gridSpan w:val="4"/>
          </w:tcPr>
          <w:p>
            <w:pPr>
              <w:pStyle w:val="9"/>
              <w:numPr>
                <w:ilvl w:val="0"/>
                <w:numId w:val="4"/>
              </w:numPr>
              <w:tabs>
                <w:tab w:val="left" w:pos="371"/>
              </w:tabs>
              <w:spacing w:before="0" w:after="0" w:line="234" w:lineRule="exact"/>
              <w:ind w:left="370" w:right="0" w:hanging="265"/>
              <w:jc w:val="left"/>
              <w:rPr>
                <w:rFonts w:ascii="Times New Roman" w:hAnsi="Times New Roman" w:eastAsia="Times New Roman"/>
                <w:sz w:val="21"/>
              </w:rPr>
            </w:pPr>
            <w:r>
              <w:rPr>
                <w:spacing w:val="-6"/>
                <w:sz w:val="21"/>
              </w:rPr>
              <w:t xml:space="preserve">本合同的保险期间为一年，每 </w:t>
            </w:r>
            <w:r>
              <w:rPr>
                <w:rFonts w:ascii="Times New Roman" w:hAnsi="Times New Roman" w:eastAsia="Times New Roman"/>
                <w:spacing w:val="-2"/>
                <w:sz w:val="21"/>
              </w:rPr>
              <w:t>3</w:t>
            </w:r>
            <w:r>
              <w:rPr>
                <w:rFonts w:ascii="Times New Roman" w:hAnsi="Times New Roman" w:eastAsia="Times New Roman"/>
                <w:spacing w:val="7"/>
                <w:sz w:val="21"/>
              </w:rPr>
              <w:t xml:space="preserve"> </w:t>
            </w:r>
            <w:r>
              <w:rPr>
                <w:spacing w:val="-5"/>
                <w:sz w:val="21"/>
              </w:rPr>
              <w:t xml:space="preserve">年为一个保证续保期间 </w:t>
            </w:r>
            <w:r>
              <w:rPr>
                <w:rFonts w:ascii="Times New Roman" w:hAnsi="Times New Roman" w:eastAsia="Times New Roman"/>
                <w:spacing w:val="-40"/>
                <w:sz w:val="21"/>
              </w:rPr>
              <w:t>································</w:t>
            </w:r>
          </w:p>
        </w:tc>
        <w:tc>
          <w:tcPr>
            <w:tcW w:w="840" w:type="dxa"/>
          </w:tcPr>
          <w:p>
            <w:pPr>
              <w:pStyle w:val="9"/>
              <w:rPr>
                <w:rFonts w:ascii="Times New Roman"/>
                <w:sz w:val="18"/>
              </w:rPr>
            </w:pPr>
          </w:p>
        </w:tc>
        <w:tc>
          <w:tcPr>
            <w:tcW w:w="1127" w:type="dxa"/>
            <w:gridSpan w:val="2"/>
          </w:tcPr>
          <w:p>
            <w:pPr>
              <w:pStyle w:val="9"/>
              <w:spacing w:before="12" w:line="222" w:lineRule="exact"/>
              <w:ind w:left="490"/>
              <w:rPr>
                <w:rFonts w:ascii="Times New Roman" w:hAnsi="Times New Roman"/>
                <w:sz w:val="21"/>
              </w:rPr>
            </w:pPr>
            <w:r>
              <w:rPr>
                <w:rFonts w:ascii="Times New Roman" w:hAnsi="Times New Roman"/>
                <w:spacing w:val="-31"/>
                <w:sz w:val="21"/>
              </w:rPr>
              <w:t>············</w:t>
            </w:r>
          </w:p>
        </w:tc>
        <w:tc>
          <w:tcPr>
            <w:tcW w:w="557" w:type="dxa"/>
          </w:tcPr>
          <w:p>
            <w:pPr>
              <w:pStyle w:val="9"/>
              <w:spacing w:before="12" w:line="222" w:lineRule="exact"/>
              <w:ind w:right="48"/>
              <w:jc w:val="right"/>
              <w:rPr>
                <w:rFonts w:ascii="Times New Roman"/>
                <w:sz w:val="21"/>
              </w:rPr>
            </w:pPr>
            <w:r>
              <w:rPr>
                <w:rFonts w:ascii="Times New Roman"/>
                <w:spacing w:val="-5"/>
                <w:sz w:val="21"/>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9344" w:type="dxa"/>
            <w:gridSpan w:val="9"/>
          </w:tcPr>
          <w:p>
            <w:pPr>
              <w:pStyle w:val="9"/>
              <w:numPr>
                <w:ilvl w:val="0"/>
                <w:numId w:val="5"/>
              </w:numPr>
              <w:tabs>
                <w:tab w:val="left" w:pos="737"/>
                <w:tab w:val="left" w:pos="4986"/>
              </w:tabs>
              <w:spacing w:before="18" w:after="0" w:line="236" w:lineRule="exact"/>
              <w:ind w:left="736" w:right="0" w:hanging="265"/>
              <w:jc w:val="left"/>
              <w:rPr>
                <w:rFonts w:ascii="Times New Roman" w:hAnsi="Times New Roman" w:eastAsia="Times New Roman"/>
                <w:sz w:val="21"/>
              </w:rPr>
            </w:pPr>
            <w:r>
              <w:rPr>
                <w:spacing w:val="-1"/>
                <w:sz w:val="21"/>
              </w:rPr>
              <w:t>在某些情况下，我们不承担保险责任</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2"/>
                <w:sz w:val="21"/>
              </w:rPr>
              <w:t>1.5</w:t>
            </w:r>
            <w:r>
              <w:rPr>
                <w:spacing w:val="-2"/>
                <w:sz w:val="21"/>
              </w:rPr>
              <w:t>、</w:t>
            </w:r>
            <w:r>
              <w:rPr>
                <w:rFonts w:ascii="Times New Roman" w:hAnsi="Times New Roman" w:eastAsia="Times New Roman"/>
                <w:spacing w:val="-2"/>
                <w:sz w:val="21"/>
              </w:rPr>
              <w:t>2.3</w:t>
            </w:r>
            <w:r>
              <w:rPr>
                <w:spacing w:val="-2"/>
                <w:sz w:val="21"/>
              </w:rPr>
              <w:t>、</w:t>
            </w:r>
            <w:r>
              <w:rPr>
                <w:rFonts w:ascii="Times New Roman" w:hAnsi="Times New Roman" w:eastAsia="Times New Roman"/>
                <w:spacing w:val="-2"/>
                <w:sz w:val="21"/>
              </w:rPr>
              <w:t>2.4</w:t>
            </w:r>
            <w:r>
              <w:rPr>
                <w:spacing w:val="-2"/>
                <w:sz w:val="21"/>
              </w:rPr>
              <w:t>、</w:t>
            </w:r>
            <w:r>
              <w:rPr>
                <w:rFonts w:ascii="Times New Roman" w:hAnsi="Times New Roman" w:eastAsia="Times New Roman"/>
                <w:spacing w:val="-2"/>
                <w:sz w:val="21"/>
              </w:rPr>
              <w:t>2.6</w:t>
            </w:r>
            <w:r>
              <w:rPr>
                <w:spacing w:val="-2"/>
                <w:sz w:val="21"/>
              </w:rPr>
              <w:t>、</w:t>
            </w:r>
            <w:r>
              <w:rPr>
                <w:rFonts w:ascii="Times New Roman" w:hAnsi="Times New Roman" w:eastAsia="Times New Roman"/>
                <w:spacing w:val="-2"/>
                <w:sz w:val="21"/>
              </w:rPr>
              <w:t>3.2</w:t>
            </w:r>
            <w:r>
              <w:rPr>
                <w:spacing w:val="-2"/>
                <w:sz w:val="21"/>
              </w:rPr>
              <w:t>、</w:t>
            </w:r>
            <w:r>
              <w:rPr>
                <w:rFonts w:ascii="Times New Roman" w:hAnsi="Times New Roman" w:eastAsia="Times New Roman"/>
                <w:spacing w:val="-2"/>
                <w:sz w:val="21"/>
              </w:rPr>
              <w:t>5.1</w:t>
            </w:r>
            <w:r>
              <w:rPr>
                <w:spacing w:val="-2"/>
                <w:sz w:val="21"/>
              </w:rPr>
              <w:t>、</w:t>
            </w:r>
            <w:r>
              <w:rPr>
                <w:rFonts w:ascii="Times New Roman" w:hAnsi="Times New Roman" w:eastAsia="Times New Roman"/>
                <w:spacing w:val="-2"/>
                <w:sz w:val="21"/>
              </w:rPr>
              <w:t>7.1</w:t>
            </w:r>
            <w:r>
              <w:rPr>
                <w:spacing w:val="-2"/>
                <w:sz w:val="21"/>
              </w:rPr>
              <w:t>、</w:t>
            </w:r>
            <w:r>
              <w:rPr>
                <w:rFonts w:ascii="Times New Roman" w:hAnsi="Times New Roman" w:eastAsia="Times New Roman"/>
                <w:spacing w:val="-2"/>
                <w:sz w:val="21"/>
              </w:rPr>
              <w:t>8.1</w:t>
            </w:r>
            <w:r>
              <w:rPr>
                <w:spacing w:val="-2"/>
                <w:sz w:val="21"/>
              </w:rPr>
              <w:t>、</w:t>
            </w:r>
            <w:r>
              <w:rPr>
                <w:rFonts w:ascii="Times New Roman" w:hAnsi="Times New Roman" w:eastAsia="Times New Roman"/>
                <w:spacing w:val="-2"/>
                <w:sz w:val="21"/>
              </w:rPr>
              <w:t>9</w:t>
            </w:r>
            <w:r>
              <w:rPr>
                <w:spacing w:val="-2"/>
                <w:sz w:val="21"/>
              </w:rPr>
              <w:t>、</w:t>
            </w:r>
            <w:r>
              <w:rPr>
                <w:rFonts w:ascii="Times New Roman" w:hAnsi="Times New Roman" w:eastAsia="Times New Roman"/>
                <w:spacing w:val="-5"/>
                <w:sz w:val="21"/>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4660" w:type="dxa"/>
            <w:gridSpan w:val="2"/>
          </w:tcPr>
          <w:p>
            <w:pPr>
              <w:pStyle w:val="9"/>
              <w:numPr>
                <w:ilvl w:val="0"/>
                <w:numId w:val="6"/>
              </w:numPr>
              <w:tabs>
                <w:tab w:val="left" w:pos="737"/>
              </w:tabs>
              <w:spacing w:before="18" w:after="0" w:line="252" w:lineRule="exact"/>
              <w:ind w:left="736" w:right="0" w:hanging="265"/>
              <w:jc w:val="left"/>
              <w:rPr>
                <w:rFonts w:ascii="Times New Roman" w:hAnsi="Times New Roman" w:eastAsia="Times New Roman"/>
                <w:sz w:val="21"/>
              </w:rPr>
            </w:pPr>
            <w:r>
              <w:rPr>
                <w:spacing w:val="-4"/>
                <w:sz w:val="21"/>
              </w:rPr>
              <w:t xml:space="preserve">您应及时向我们通知保险事故 </w:t>
            </w:r>
            <w:r>
              <w:rPr>
                <w:rFonts w:ascii="Times New Roman" w:hAnsi="Times New Roman" w:eastAsia="Times New Roman"/>
                <w:spacing w:val="-41"/>
                <w:sz w:val="21"/>
              </w:rPr>
              <w:t>································</w:t>
            </w:r>
          </w:p>
        </w:tc>
        <w:tc>
          <w:tcPr>
            <w:tcW w:w="1152" w:type="dxa"/>
          </w:tcPr>
          <w:p>
            <w:pPr>
              <w:pStyle w:val="9"/>
              <w:rPr>
                <w:rFonts w:ascii="Times New Roman"/>
                <w:sz w:val="20"/>
              </w:rPr>
            </w:pPr>
          </w:p>
        </w:tc>
        <w:tc>
          <w:tcPr>
            <w:tcW w:w="1008" w:type="dxa"/>
            <w:gridSpan w:val="2"/>
          </w:tcPr>
          <w:p>
            <w:pPr>
              <w:pStyle w:val="9"/>
              <w:spacing w:before="32" w:line="238" w:lineRule="exact"/>
              <w:ind w:left="33"/>
              <w:rPr>
                <w:rFonts w:ascii="Times New Roman" w:hAnsi="Times New Roman"/>
                <w:sz w:val="21"/>
              </w:rPr>
            </w:pPr>
            <w:r>
              <w:rPr>
                <w:rFonts w:ascii="Times New Roman" w:hAnsi="Times New Roman"/>
                <w:spacing w:val="-41"/>
                <w:sz w:val="21"/>
              </w:rPr>
              <w:t>································</w:t>
            </w:r>
          </w:p>
        </w:tc>
        <w:tc>
          <w:tcPr>
            <w:tcW w:w="1268" w:type="dxa"/>
            <w:gridSpan w:val="2"/>
          </w:tcPr>
          <w:p>
            <w:pPr>
              <w:pStyle w:val="9"/>
              <w:rPr>
                <w:rFonts w:ascii="Times New Roman"/>
                <w:sz w:val="20"/>
              </w:rPr>
            </w:pPr>
          </w:p>
        </w:tc>
        <w:tc>
          <w:tcPr>
            <w:tcW w:w="699" w:type="dxa"/>
          </w:tcPr>
          <w:p>
            <w:pPr>
              <w:pStyle w:val="9"/>
              <w:spacing w:before="32" w:line="238" w:lineRule="exact"/>
              <w:ind w:left="62"/>
              <w:rPr>
                <w:rFonts w:ascii="Times New Roman" w:hAnsi="Times New Roman"/>
                <w:sz w:val="21"/>
              </w:rPr>
            </w:pPr>
            <w:r>
              <w:rPr>
                <w:rFonts w:ascii="Times New Roman" w:hAnsi="Times New Roman"/>
                <w:spacing w:val="-31"/>
                <w:sz w:val="21"/>
              </w:rPr>
              <w:t>············</w:t>
            </w:r>
          </w:p>
        </w:tc>
        <w:tc>
          <w:tcPr>
            <w:tcW w:w="557" w:type="dxa"/>
          </w:tcPr>
          <w:p>
            <w:pPr>
              <w:pStyle w:val="9"/>
              <w:spacing w:before="32" w:line="238" w:lineRule="exact"/>
              <w:ind w:right="48"/>
              <w:jc w:val="right"/>
              <w:rPr>
                <w:rFonts w:ascii="Times New Roman"/>
                <w:sz w:val="21"/>
              </w:rPr>
            </w:pPr>
            <w:r>
              <w:rPr>
                <w:rFonts w:ascii="Times New Roman"/>
                <w:spacing w:val="-5"/>
                <w:sz w:val="21"/>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2" w:hRule="atLeast"/>
        </w:trPr>
        <w:tc>
          <w:tcPr>
            <w:tcW w:w="4660" w:type="dxa"/>
            <w:gridSpan w:val="2"/>
          </w:tcPr>
          <w:p>
            <w:pPr>
              <w:pStyle w:val="9"/>
              <w:numPr>
                <w:ilvl w:val="0"/>
                <w:numId w:val="7"/>
              </w:numPr>
              <w:tabs>
                <w:tab w:val="left" w:pos="737"/>
              </w:tabs>
              <w:spacing w:before="0" w:after="0" w:line="232" w:lineRule="exact"/>
              <w:ind w:left="736" w:right="0" w:hanging="265"/>
              <w:jc w:val="left"/>
              <w:rPr>
                <w:rFonts w:ascii="Times New Roman" w:hAnsi="Times New Roman" w:eastAsia="Times New Roman"/>
                <w:sz w:val="21"/>
              </w:rPr>
            </w:pPr>
            <w:r>
              <w:rPr>
                <w:spacing w:val="-7"/>
                <w:sz w:val="21"/>
              </w:rPr>
              <w:t xml:space="preserve">您应按时支付保险费 </w:t>
            </w:r>
            <w:r>
              <w:rPr>
                <w:rFonts w:ascii="Times New Roman" w:hAnsi="Times New Roman" w:eastAsia="Times New Roman"/>
                <w:spacing w:val="-41"/>
                <w:sz w:val="21"/>
              </w:rPr>
              <w:t>································</w:t>
            </w:r>
          </w:p>
        </w:tc>
        <w:tc>
          <w:tcPr>
            <w:tcW w:w="1152" w:type="dxa"/>
          </w:tcPr>
          <w:p>
            <w:pPr>
              <w:pStyle w:val="9"/>
              <w:spacing w:before="10" w:line="222" w:lineRule="exact"/>
              <w:ind w:left="321"/>
              <w:rPr>
                <w:rFonts w:ascii="Times New Roman" w:hAnsi="Times New Roman"/>
                <w:sz w:val="21"/>
              </w:rPr>
            </w:pPr>
            <w:r>
              <w:rPr>
                <w:rFonts w:ascii="Times New Roman" w:hAnsi="Times New Roman"/>
                <w:spacing w:val="-46"/>
                <w:sz w:val="21"/>
              </w:rPr>
              <w:t>································</w:t>
            </w:r>
          </w:p>
        </w:tc>
        <w:tc>
          <w:tcPr>
            <w:tcW w:w="1008" w:type="dxa"/>
            <w:gridSpan w:val="2"/>
          </w:tcPr>
          <w:p>
            <w:pPr>
              <w:pStyle w:val="9"/>
              <w:rPr>
                <w:rFonts w:ascii="Times New Roman"/>
                <w:sz w:val="18"/>
              </w:rPr>
            </w:pPr>
          </w:p>
        </w:tc>
        <w:tc>
          <w:tcPr>
            <w:tcW w:w="1268" w:type="dxa"/>
            <w:gridSpan w:val="2"/>
          </w:tcPr>
          <w:p>
            <w:pPr>
              <w:pStyle w:val="9"/>
              <w:spacing w:before="10" w:line="222" w:lineRule="exact"/>
              <w:ind w:left="466"/>
              <w:rPr>
                <w:rFonts w:ascii="Times New Roman" w:hAnsi="Times New Roman"/>
                <w:sz w:val="21"/>
              </w:rPr>
            </w:pPr>
            <w:r>
              <w:rPr>
                <w:rFonts w:ascii="Times New Roman" w:hAnsi="Times New Roman"/>
                <w:spacing w:val="-39"/>
                <w:sz w:val="21"/>
              </w:rPr>
              <w:t>························</w:t>
            </w:r>
          </w:p>
        </w:tc>
        <w:tc>
          <w:tcPr>
            <w:tcW w:w="699" w:type="dxa"/>
          </w:tcPr>
          <w:p>
            <w:pPr>
              <w:pStyle w:val="9"/>
              <w:rPr>
                <w:rFonts w:ascii="Times New Roman"/>
                <w:sz w:val="18"/>
              </w:rPr>
            </w:pPr>
          </w:p>
        </w:tc>
        <w:tc>
          <w:tcPr>
            <w:tcW w:w="557" w:type="dxa"/>
          </w:tcPr>
          <w:p>
            <w:pPr>
              <w:pStyle w:val="9"/>
              <w:spacing w:before="10" w:line="222" w:lineRule="exact"/>
              <w:ind w:right="48"/>
              <w:jc w:val="right"/>
              <w:rPr>
                <w:rFonts w:ascii="Times New Roman"/>
                <w:sz w:val="21"/>
              </w:rPr>
            </w:pPr>
            <w:r>
              <w:rPr>
                <w:rFonts w:ascii="Times New Roman"/>
                <w:spacing w:val="-5"/>
                <w:sz w:val="21"/>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989" w:type="dxa"/>
            <w:gridSpan w:val="4"/>
          </w:tcPr>
          <w:p>
            <w:pPr>
              <w:pStyle w:val="9"/>
              <w:numPr>
                <w:ilvl w:val="0"/>
                <w:numId w:val="8"/>
              </w:numPr>
              <w:tabs>
                <w:tab w:val="left" w:pos="737"/>
              </w:tabs>
              <w:spacing w:before="18" w:after="0" w:line="255" w:lineRule="exact"/>
              <w:ind w:left="736" w:right="-15" w:hanging="265"/>
              <w:jc w:val="left"/>
              <w:rPr>
                <w:rFonts w:ascii="Times New Roman" w:hAnsi="Times New Roman" w:eastAsia="Times New Roman"/>
                <w:sz w:val="21"/>
              </w:rPr>
            </w:pPr>
            <w:r>
              <w:rPr>
                <w:spacing w:val="-4"/>
                <w:sz w:val="21"/>
              </w:rPr>
              <w:t xml:space="preserve">解除合同会给您造成一定的损失，请您慎重决策 </w:t>
            </w:r>
            <w:r>
              <w:rPr>
                <w:rFonts w:ascii="Times New Roman" w:hAnsi="Times New Roman" w:eastAsia="Times New Roman"/>
                <w:spacing w:val="-46"/>
                <w:sz w:val="21"/>
              </w:rPr>
              <w:t>································</w:t>
            </w:r>
          </w:p>
        </w:tc>
        <w:tc>
          <w:tcPr>
            <w:tcW w:w="831" w:type="dxa"/>
          </w:tcPr>
          <w:p>
            <w:pPr>
              <w:pStyle w:val="9"/>
              <w:rPr>
                <w:rFonts w:ascii="Times New Roman"/>
                <w:sz w:val="20"/>
              </w:rPr>
            </w:pPr>
          </w:p>
        </w:tc>
        <w:tc>
          <w:tcPr>
            <w:tcW w:w="1268" w:type="dxa"/>
            <w:gridSpan w:val="2"/>
          </w:tcPr>
          <w:p>
            <w:pPr>
              <w:pStyle w:val="9"/>
              <w:spacing w:before="32" w:line="241" w:lineRule="exact"/>
              <w:ind w:left="682"/>
              <w:rPr>
                <w:rFonts w:ascii="Times New Roman" w:hAnsi="Times New Roman"/>
                <w:sz w:val="21"/>
              </w:rPr>
            </w:pPr>
            <w:r>
              <w:rPr>
                <w:rFonts w:ascii="Times New Roman" w:hAnsi="Times New Roman"/>
                <w:spacing w:val="-44"/>
                <w:sz w:val="21"/>
              </w:rPr>
              <w:t>·····················</w:t>
            </w:r>
          </w:p>
        </w:tc>
        <w:tc>
          <w:tcPr>
            <w:tcW w:w="699" w:type="dxa"/>
          </w:tcPr>
          <w:p>
            <w:pPr>
              <w:pStyle w:val="9"/>
              <w:rPr>
                <w:rFonts w:ascii="Times New Roman"/>
                <w:sz w:val="20"/>
              </w:rPr>
            </w:pPr>
          </w:p>
        </w:tc>
        <w:tc>
          <w:tcPr>
            <w:tcW w:w="557" w:type="dxa"/>
          </w:tcPr>
          <w:p>
            <w:pPr>
              <w:pStyle w:val="9"/>
              <w:spacing w:before="32" w:line="241" w:lineRule="exact"/>
              <w:ind w:right="48"/>
              <w:jc w:val="right"/>
              <w:rPr>
                <w:rFonts w:ascii="Times New Roman"/>
                <w:sz w:val="21"/>
              </w:rPr>
            </w:pPr>
            <w:r>
              <w:rPr>
                <w:rFonts w:ascii="Times New Roman"/>
                <w:spacing w:val="-5"/>
                <w:sz w:val="21"/>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5989" w:type="dxa"/>
            <w:gridSpan w:val="4"/>
          </w:tcPr>
          <w:p>
            <w:pPr>
              <w:pStyle w:val="9"/>
              <w:numPr>
                <w:ilvl w:val="0"/>
                <w:numId w:val="9"/>
              </w:numPr>
              <w:tabs>
                <w:tab w:val="left" w:pos="737"/>
              </w:tabs>
              <w:spacing w:before="0" w:after="0" w:line="254" w:lineRule="exact"/>
              <w:ind w:left="736" w:right="0" w:hanging="265"/>
              <w:jc w:val="left"/>
              <w:rPr>
                <w:rFonts w:ascii="Times New Roman" w:hAnsi="Times New Roman" w:eastAsia="Times New Roman"/>
                <w:sz w:val="21"/>
              </w:rPr>
            </w:pPr>
            <w:r>
              <w:rPr>
                <w:spacing w:val="-2"/>
                <w:sz w:val="21"/>
              </w:rPr>
              <w:t>在某些情况下，本合同效力终止</w:t>
            </w:r>
            <w:r>
              <w:rPr>
                <w:rFonts w:ascii="Times New Roman" w:hAnsi="Times New Roman" w:eastAsia="Times New Roman"/>
                <w:spacing w:val="-41"/>
                <w:sz w:val="21"/>
              </w:rPr>
              <w:t>································</w:t>
            </w:r>
          </w:p>
        </w:tc>
        <w:tc>
          <w:tcPr>
            <w:tcW w:w="831" w:type="dxa"/>
          </w:tcPr>
          <w:p>
            <w:pPr>
              <w:pStyle w:val="9"/>
              <w:spacing w:before="13" w:line="241" w:lineRule="exact"/>
              <w:rPr>
                <w:rFonts w:ascii="Times New Roman" w:hAnsi="Times New Roman"/>
                <w:sz w:val="21"/>
              </w:rPr>
            </w:pPr>
            <w:r>
              <w:rPr>
                <w:rFonts w:ascii="Times New Roman" w:hAnsi="Times New Roman"/>
                <w:spacing w:val="-46"/>
                <w:sz w:val="21"/>
              </w:rPr>
              <w:t>································</w:t>
            </w:r>
          </w:p>
        </w:tc>
        <w:tc>
          <w:tcPr>
            <w:tcW w:w="1268" w:type="dxa"/>
            <w:gridSpan w:val="2"/>
          </w:tcPr>
          <w:p>
            <w:pPr>
              <w:pStyle w:val="9"/>
              <w:rPr>
                <w:rFonts w:ascii="Times New Roman"/>
                <w:sz w:val="20"/>
              </w:rPr>
            </w:pPr>
          </w:p>
        </w:tc>
        <w:tc>
          <w:tcPr>
            <w:tcW w:w="699" w:type="dxa"/>
          </w:tcPr>
          <w:p>
            <w:pPr>
              <w:pStyle w:val="9"/>
              <w:spacing w:before="13" w:line="241" w:lineRule="exact"/>
              <w:ind w:left="206"/>
              <w:rPr>
                <w:rFonts w:ascii="Times New Roman" w:hAnsi="Times New Roman"/>
                <w:sz w:val="21"/>
              </w:rPr>
            </w:pPr>
            <w:r>
              <w:rPr>
                <w:rFonts w:ascii="Times New Roman" w:hAnsi="Times New Roman"/>
                <w:spacing w:val="-28"/>
                <w:sz w:val="21"/>
              </w:rPr>
              <w:t>··········</w:t>
            </w:r>
          </w:p>
        </w:tc>
        <w:tc>
          <w:tcPr>
            <w:tcW w:w="557" w:type="dxa"/>
          </w:tcPr>
          <w:p>
            <w:pPr>
              <w:pStyle w:val="9"/>
              <w:spacing w:before="13" w:line="241" w:lineRule="exact"/>
              <w:ind w:right="48"/>
              <w:jc w:val="right"/>
              <w:rPr>
                <w:rFonts w:ascii="Times New Roman"/>
                <w:sz w:val="21"/>
              </w:rPr>
            </w:pPr>
            <w:r>
              <w:rPr>
                <w:rFonts w:ascii="Times New Roman"/>
                <w:spacing w:val="-5"/>
                <w:sz w:val="21"/>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5989" w:type="dxa"/>
            <w:gridSpan w:val="4"/>
          </w:tcPr>
          <w:p>
            <w:pPr>
              <w:pStyle w:val="9"/>
              <w:numPr>
                <w:ilvl w:val="0"/>
                <w:numId w:val="10"/>
              </w:numPr>
              <w:tabs>
                <w:tab w:val="left" w:pos="737"/>
              </w:tabs>
              <w:spacing w:before="0" w:after="0" w:line="235" w:lineRule="exact"/>
              <w:ind w:left="736" w:right="0" w:hanging="265"/>
              <w:jc w:val="left"/>
              <w:rPr>
                <w:rFonts w:ascii="Times New Roman" w:hAnsi="Times New Roman" w:eastAsia="Times New Roman"/>
                <w:sz w:val="21"/>
              </w:rPr>
            </w:pPr>
            <w:r>
              <w:rPr>
                <w:sz w:val="21"/>
              </w:rPr>
              <w:t>我们对一些重要术语进行了解释，请您注意</w:t>
            </w:r>
            <w:r>
              <w:rPr>
                <w:rFonts w:ascii="Times New Roman" w:hAnsi="Times New Roman" w:eastAsia="Times New Roman"/>
                <w:spacing w:val="-40"/>
                <w:sz w:val="21"/>
              </w:rPr>
              <w:t>································</w:t>
            </w:r>
          </w:p>
        </w:tc>
        <w:tc>
          <w:tcPr>
            <w:tcW w:w="831" w:type="dxa"/>
          </w:tcPr>
          <w:p>
            <w:pPr>
              <w:pStyle w:val="9"/>
              <w:rPr>
                <w:rFonts w:ascii="Times New Roman"/>
                <w:sz w:val="18"/>
              </w:rPr>
            </w:pPr>
          </w:p>
        </w:tc>
        <w:tc>
          <w:tcPr>
            <w:tcW w:w="1268" w:type="dxa"/>
            <w:gridSpan w:val="2"/>
          </w:tcPr>
          <w:p>
            <w:pPr>
              <w:pStyle w:val="9"/>
              <w:spacing w:before="13" w:line="222" w:lineRule="exact"/>
              <w:ind w:left="250"/>
              <w:rPr>
                <w:rFonts w:ascii="Times New Roman" w:hAnsi="Times New Roman"/>
                <w:sz w:val="21"/>
              </w:rPr>
            </w:pPr>
            <w:r>
              <w:rPr>
                <w:rFonts w:ascii="Times New Roman" w:hAnsi="Times New Roman"/>
                <w:spacing w:val="-40"/>
                <w:sz w:val="21"/>
              </w:rPr>
              <w:t>····························</w:t>
            </w:r>
          </w:p>
        </w:tc>
        <w:tc>
          <w:tcPr>
            <w:tcW w:w="699" w:type="dxa"/>
          </w:tcPr>
          <w:p>
            <w:pPr>
              <w:pStyle w:val="9"/>
              <w:rPr>
                <w:rFonts w:ascii="Times New Roman"/>
                <w:sz w:val="18"/>
              </w:rPr>
            </w:pPr>
          </w:p>
        </w:tc>
        <w:tc>
          <w:tcPr>
            <w:tcW w:w="557" w:type="dxa"/>
          </w:tcPr>
          <w:p>
            <w:pPr>
              <w:pStyle w:val="9"/>
              <w:spacing w:before="13" w:line="222" w:lineRule="exact"/>
              <w:ind w:right="48"/>
              <w:jc w:val="right"/>
              <w:rPr>
                <w:rFonts w:ascii="Times New Roman"/>
                <w:sz w:val="21"/>
              </w:rPr>
            </w:pPr>
            <w:r>
              <w:rPr>
                <w:rFonts w:ascii="Times New Roman"/>
                <w:spacing w:val="-5"/>
                <w:sz w:val="21"/>
              </w:rPr>
              <w:t>11</w:t>
            </w:r>
          </w:p>
        </w:tc>
      </w:tr>
    </w:tbl>
    <w:p>
      <w:pPr>
        <w:pStyle w:val="3"/>
        <w:spacing w:before="6"/>
        <w:rPr>
          <w:b/>
          <w:sz w:val="20"/>
        </w:rPr>
      </w:pPr>
    </w:p>
    <w:p>
      <w:pPr>
        <w:tabs>
          <w:tab w:val="left" w:pos="642"/>
        </w:tabs>
        <w:spacing w:before="1"/>
        <w:ind w:left="219" w:right="0" w:firstLine="0"/>
        <w:jc w:val="left"/>
        <w:rPr>
          <w:b/>
          <w:sz w:val="21"/>
        </w:rPr>
      </w:pPr>
      <w:r>
        <w:rPr>
          <w:rFonts w:ascii="Symbol" w:hAnsi="Symbol" w:eastAsia="Symbol"/>
          <w:b/>
          <w:spacing w:val="-10"/>
          <w:sz w:val="21"/>
        </w:rPr>
        <w:t></w:t>
      </w:r>
      <w:r>
        <w:rPr>
          <w:rFonts w:ascii="Times New Roman" w:hAnsi="Times New Roman" w:eastAsia="Times New Roman"/>
          <w:sz w:val="21"/>
        </w:rPr>
        <w:tab/>
      </w:r>
      <w:r>
        <w:rPr>
          <w:b/>
          <w:spacing w:val="-3"/>
          <w:sz w:val="21"/>
        </w:rPr>
        <w:t>条款是保险合同的重要内容，为充分保障您的权益，请您仔细阅读本条款。</w:t>
      </w:r>
    </w:p>
    <w:p>
      <w:pPr>
        <w:pStyle w:val="3"/>
        <w:spacing w:before="12"/>
        <w:rPr>
          <w:b/>
          <w:sz w:val="18"/>
        </w:rPr>
      </w:pPr>
    </w:p>
    <w:p>
      <w:pPr>
        <w:tabs>
          <w:tab w:val="left" w:pos="642"/>
        </w:tabs>
        <w:spacing w:before="0"/>
        <w:ind w:left="219" w:right="0" w:firstLine="0"/>
        <w:jc w:val="left"/>
        <w:rPr>
          <w:b/>
          <w:sz w:val="21"/>
        </w:rPr>
      </w:pPr>
      <w:r>
        <w:drawing>
          <wp:anchor distT="0" distB="0" distL="0" distR="0" simplePos="0" relativeHeight="251663360" behindDoc="1" locked="0" layoutInCell="1" allowOverlap="1">
            <wp:simplePos x="0" y="0"/>
            <wp:positionH relativeFrom="page">
              <wp:posOffset>1009015</wp:posOffset>
            </wp:positionH>
            <wp:positionV relativeFrom="paragraph">
              <wp:posOffset>173355</wp:posOffset>
            </wp:positionV>
            <wp:extent cx="6107430" cy="354266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107632" cy="3542665"/>
                    </a:xfrm>
                    <a:prstGeom prst="rect">
                      <a:avLst/>
                    </a:prstGeom>
                  </pic:spPr>
                </pic:pic>
              </a:graphicData>
            </a:graphic>
          </wp:anchor>
        </w:drawing>
      </w:r>
      <w:r>
        <w:pict>
          <v:shape id="docshape1" o:spid="_x0000_s1026" o:spt="202" type="#_x0000_t202" style="position:absolute;left:0pt;margin-left:85.2pt;margin-top:18.15pt;height:210.5pt;width:124.65pt;mso-position-horizontal-relative:page;z-index:251660288;mso-width-relative:page;mso-height-relative:page;" filled="f" stroked="f" coordsize="21600,21600">
            <v:path/>
            <v:fill on="f" focussize="0,0"/>
            <v:stroke on="f" joinstyle="miter"/>
            <v:imagedata o:title=""/>
            <o:lock v:ext="edit"/>
            <v:textbox inset="0mm,0mm,0mm,0mm">
              <w:txbxContent>
                <w:p>
                  <w:pPr>
                    <w:numPr>
                      <w:ilvl w:val="0"/>
                      <w:numId w:val="11"/>
                    </w:numPr>
                    <w:tabs>
                      <w:tab w:val="left" w:pos="212"/>
                    </w:tabs>
                    <w:spacing w:before="0" w:line="247" w:lineRule="exact"/>
                    <w:ind w:left="211" w:right="0" w:hanging="212"/>
                    <w:jc w:val="left"/>
                    <w:rPr>
                      <w:b/>
                      <w:sz w:val="21"/>
                    </w:rPr>
                  </w:pPr>
                  <w:r>
                    <w:rPr>
                      <w:b/>
                      <w:spacing w:val="-2"/>
                      <w:sz w:val="21"/>
                    </w:rPr>
                    <w:t>您与我们订立的合同</w:t>
                  </w:r>
                </w:p>
                <w:p>
                  <w:pPr>
                    <w:pStyle w:val="3"/>
                    <w:numPr>
                      <w:ilvl w:val="1"/>
                      <w:numId w:val="11"/>
                    </w:numPr>
                    <w:tabs>
                      <w:tab w:val="left" w:pos="582"/>
                    </w:tabs>
                    <w:spacing w:before="129" w:after="0" w:line="240" w:lineRule="auto"/>
                    <w:ind w:left="581" w:right="0" w:hanging="371"/>
                    <w:jc w:val="left"/>
                  </w:pPr>
                  <w:r>
                    <w:rPr>
                      <w:spacing w:val="-3"/>
                    </w:rPr>
                    <w:t>合同构成</w:t>
                  </w:r>
                </w:p>
                <w:p>
                  <w:pPr>
                    <w:pStyle w:val="3"/>
                    <w:numPr>
                      <w:ilvl w:val="1"/>
                      <w:numId w:val="11"/>
                    </w:numPr>
                    <w:tabs>
                      <w:tab w:val="left" w:pos="582"/>
                    </w:tabs>
                    <w:spacing w:before="130" w:after="0" w:line="240" w:lineRule="auto"/>
                    <w:ind w:left="581" w:right="0" w:hanging="371"/>
                    <w:jc w:val="left"/>
                  </w:pPr>
                  <w:r>
                    <w:rPr>
                      <w:spacing w:val="-3"/>
                    </w:rPr>
                    <w:t>保险合同成立与生效</w:t>
                  </w:r>
                </w:p>
                <w:p>
                  <w:pPr>
                    <w:pStyle w:val="3"/>
                    <w:numPr>
                      <w:ilvl w:val="1"/>
                      <w:numId w:val="11"/>
                    </w:numPr>
                    <w:tabs>
                      <w:tab w:val="left" w:pos="582"/>
                    </w:tabs>
                    <w:spacing w:before="129" w:after="0" w:line="240" w:lineRule="auto"/>
                    <w:ind w:left="581" w:right="0" w:hanging="371"/>
                    <w:jc w:val="left"/>
                  </w:pPr>
                  <w:r>
                    <w:rPr>
                      <w:spacing w:val="-3"/>
                    </w:rPr>
                    <w:t>投保年龄</w:t>
                  </w:r>
                </w:p>
                <w:p>
                  <w:pPr>
                    <w:pStyle w:val="3"/>
                    <w:numPr>
                      <w:ilvl w:val="1"/>
                      <w:numId w:val="11"/>
                    </w:numPr>
                    <w:tabs>
                      <w:tab w:val="left" w:pos="582"/>
                    </w:tabs>
                    <w:spacing w:before="125" w:after="0" w:line="240" w:lineRule="auto"/>
                    <w:ind w:left="581" w:right="0" w:hanging="371"/>
                    <w:jc w:val="left"/>
                  </w:pPr>
                  <w:r>
                    <w:rPr>
                      <w:spacing w:val="-4"/>
                    </w:rPr>
                    <w:t>合同的签收</w:t>
                  </w:r>
                </w:p>
                <w:p>
                  <w:pPr>
                    <w:pStyle w:val="3"/>
                    <w:numPr>
                      <w:ilvl w:val="1"/>
                      <w:numId w:val="11"/>
                    </w:numPr>
                    <w:tabs>
                      <w:tab w:val="left" w:pos="582"/>
                    </w:tabs>
                    <w:spacing w:before="129" w:after="0" w:line="240" w:lineRule="auto"/>
                    <w:ind w:left="581" w:right="0" w:hanging="371"/>
                    <w:jc w:val="left"/>
                  </w:pPr>
                  <w:r>
                    <w:rPr>
                      <w:spacing w:val="-4"/>
                    </w:rPr>
                    <w:t>犹豫期</w:t>
                  </w:r>
                </w:p>
                <w:p>
                  <w:pPr>
                    <w:numPr>
                      <w:ilvl w:val="0"/>
                      <w:numId w:val="11"/>
                    </w:numPr>
                    <w:tabs>
                      <w:tab w:val="left" w:pos="212"/>
                    </w:tabs>
                    <w:spacing w:before="130"/>
                    <w:ind w:left="211" w:right="0" w:hanging="212"/>
                    <w:jc w:val="left"/>
                    <w:rPr>
                      <w:b/>
                      <w:sz w:val="21"/>
                    </w:rPr>
                  </w:pPr>
                  <w:r>
                    <w:rPr>
                      <w:b/>
                      <w:spacing w:val="-2"/>
                      <w:sz w:val="21"/>
                    </w:rPr>
                    <w:t>我们提供的保障</w:t>
                  </w:r>
                </w:p>
                <w:p>
                  <w:pPr>
                    <w:pStyle w:val="3"/>
                    <w:numPr>
                      <w:ilvl w:val="1"/>
                      <w:numId w:val="11"/>
                    </w:numPr>
                    <w:tabs>
                      <w:tab w:val="left" w:pos="582"/>
                    </w:tabs>
                    <w:spacing w:before="124" w:after="0" w:line="240" w:lineRule="auto"/>
                    <w:ind w:left="581" w:right="0" w:hanging="371"/>
                    <w:jc w:val="left"/>
                  </w:pPr>
                  <w:r>
                    <w:rPr>
                      <w:spacing w:val="-3"/>
                    </w:rPr>
                    <w:t>保障计划</w:t>
                  </w:r>
                </w:p>
                <w:p>
                  <w:pPr>
                    <w:pStyle w:val="3"/>
                    <w:numPr>
                      <w:ilvl w:val="1"/>
                      <w:numId w:val="11"/>
                    </w:numPr>
                    <w:tabs>
                      <w:tab w:val="left" w:pos="582"/>
                    </w:tabs>
                    <w:spacing w:before="130" w:after="0" w:line="240" w:lineRule="auto"/>
                    <w:ind w:left="581" w:right="0" w:hanging="371"/>
                    <w:jc w:val="left"/>
                  </w:pPr>
                  <w:r>
                    <w:rPr>
                      <w:spacing w:val="-3"/>
                    </w:rPr>
                    <w:t>保险期间及保证续保</w:t>
                  </w:r>
                </w:p>
                <w:p>
                  <w:pPr>
                    <w:pStyle w:val="3"/>
                    <w:numPr>
                      <w:ilvl w:val="1"/>
                      <w:numId w:val="11"/>
                    </w:numPr>
                    <w:tabs>
                      <w:tab w:val="left" w:pos="582"/>
                    </w:tabs>
                    <w:spacing w:before="129" w:after="0" w:line="240" w:lineRule="auto"/>
                    <w:ind w:left="581" w:right="0" w:hanging="371"/>
                    <w:jc w:val="left"/>
                  </w:pPr>
                  <w:r>
                    <w:rPr>
                      <w:spacing w:val="-4"/>
                    </w:rPr>
                    <w:t>等待期</w:t>
                  </w:r>
                </w:p>
                <w:p>
                  <w:pPr>
                    <w:pStyle w:val="3"/>
                    <w:numPr>
                      <w:ilvl w:val="1"/>
                      <w:numId w:val="11"/>
                    </w:numPr>
                    <w:tabs>
                      <w:tab w:val="left" w:pos="582"/>
                    </w:tabs>
                    <w:spacing w:before="130" w:after="0" w:line="256" w:lineRule="exact"/>
                    <w:ind w:left="581" w:right="0" w:hanging="371"/>
                    <w:jc w:val="left"/>
                  </w:pPr>
                  <w:r>
                    <w:rPr>
                      <w:spacing w:val="-3"/>
                    </w:rPr>
                    <w:t>保险责任</w:t>
                  </w:r>
                </w:p>
              </w:txbxContent>
            </v:textbox>
          </v:shape>
        </w:pict>
      </w:r>
      <w:r>
        <w:pict>
          <v:shape id="docshape2" o:spid="_x0000_s1027" o:spt="202" type="#_x0000_t202" style="position:absolute;left:0pt;margin-left:246.55pt;margin-top:18.15pt;height:209.7pt;width:135.2pt;mso-position-horizontal-relative:page;z-index:251660288;mso-width-relative:page;mso-height-relative:page;" filled="f" stroked="f" coordsize="21600,21600">
            <v:path/>
            <v:fill on="f" focussize="0,0"/>
            <v:stroke on="f" joinstyle="miter"/>
            <v:imagedata o:title=""/>
            <o:lock v:ext="edit"/>
            <v:textbox inset="0mm,0mm,0mm,0mm">
              <w:txbxContent>
                <w:p>
                  <w:pPr>
                    <w:pStyle w:val="3"/>
                    <w:numPr>
                      <w:ilvl w:val="1"/>
                      <w:numId w:val="12"/>
                    </w:numPr>
                    <w:tabs>
                      <w:tab w:val="left" w:pos="582"/>
                    </w:tabs>
                    <w:spacing w:before="0" w:after="0" w:line="247" w:lineRule="exact"/>
                    <w:ind w:left="581" w:right="0" w:hanging="371"/>
                    <w:jc w:val="left"/>
                  </w:pPr>
                  <w:r>
                    <w:rPr>
                      <w:spacing w:val="-4"/>
                    </w:rPr>
                    <w:t>受益人</w:t>
                  </w:r>
                </w:p>
                <w:p>
                  <w:pPr>
                    <w:pStyle w:val="3"/>
                    <w:numPr>
                      <w:ilvl w:val="1"/>
                      <w:numId w:val="12"/>
                    </w:numPr>
                    <w:tabs>
                      <w:tab w:val="left" w:pos="582"/>
                    </w:tabs>
                    <w:spacing w:before="129" w:after="0" w:line="240" w:lineRule="auto"/>
                    <w:ind w:left="581" w:right="0" w:hanging="371"/>
                    <w:jc w:val="left"/>
                  </w:pPr>
                  <w:r>
                    <w:rPr>
                      <w:spacing w:val="-4"/>
                    </w:rPr>
                    <w:t>保险事故通知</w:t>
                  </w:r>
                </w:p>
                <w:p>
                  <w:pPr>
                    <w:pStyle w:val="3"/>
                    <w:numPr>
                      <w:ilvl w:val="1"/>
                      <w:numId w:val="12"/>
                    </w:numPr>
                    <w:tabs>
                      <w:tab w:val="left" w:pos="582"/>
                    </w:tabs>
                    <w:spacing w:before="130" w:after="0" w:line="240" w:lineRule="auto"/>
                    <w:ind w:left="581" w:right="0" w:hanging="371"/>
                    <w:jc w:val="left"/>
                  </w:pPr>
                  <w:r>
                    <w:rPr>
                      <w:spacing w:val="-4"/>
                    </w:rPr>
                    <w:t>保险金的申请</w:t>
                  </w:r>
                </w:p>
                <w:p>
                  <w:pPr>
                    <w:pStyle w:val="3"/>
                    <w:numPr>
                      <w:ilvl w:val="1"/>
                      <w:numId w:val="12"/>
                    </w:numPr>
                    <w:tabs>
                      <w:tab w:val="left" w:pos="582"/>
                    </w:tabs>
                    <w:spacing w:before="129" w:after="0" w:line="240" w:lineRule="auto"/>
                    <w:ind w:left="581" w:right="0" w:hanging="371"/>
                    <w:jc w:val="left"/>
                  </w:pPr>
                  <w:r>
                    <w:rPr>
                      <w:spacing w:val="-4"/>
                    </w:rPr>
                    <w:t>保险金的给付</w:t>
                  </w:r>
                </w:p>
                <w:p>
                  <w:pPr>
                    <w:pStyle w:val="3"/>
                    <w:numPr>
                      <w:ilvl w:val="1"/>
                      <w:numId w:val="12"/>
                    </w:numPr>
                    <w:tabs>
                      <w:tab w:val="left" w:pos="582"/>
                    </w:tabs>
                    <w:spacing w:before="125" w:after="0" w:line="240" w:lineRule="auto"/>
                    <w:ind w:left="581" w:right="0" w:hanging="371"/>
                    <w:jc w:val="left"/>
                  </w:pPr>
                  <w:r>
                    <w:rPr>
                      <w:spacing w:val="-3"/>
                    </w:rPr>
                    <w:t>诉讼时效</w:t>
                  </w:r>
                </w:p>
                <w:p>
                  <w:pPr>
                    <w:numPr>
                      <w:ilvl w:val="0"/>
                      <w:numId w:val="12"/>
                    </w:numPr>
                    <w:tabs>
                      <w:tab w:val="left" w:pos="212"/>
                    </w:tabs>
                    <w:spacing w:before="129"/>
                    <w:ind w:left="211" w:right="0" w:hanging="212"/>
                    <w:jc w:val="left"/>
                    <w:rPr>
                      <w:rFonts w:ascii="Times New Roman" w:eastAsia="Times New Roman"/>
                      <w:b/>
                      <w:sz w:val="21"/>
                    </w:rPr>
                  </w:pPr>
                  <w:r>
                    <w:rPr>
                      <w:b/>
                      <w:spacing w:val="-2"/>
                      <w:sz w:val="21"/>
                    </w:rPr>
                    <w:t>保险费的支付</w:t>
                  </w:r>
                </w:p>
                <w:p>
                  <w:pPr>
                    <w:pStyle w:val="3"/>
                    <w:numPr>
                      <w:ilvl w:val="1"/>
                      <w:numId w:val="12"/>
                    </w:numPr>
                    <w:tabs>
                      <w:tab w:val="left" w:pos="582"/>
                    </w:tabs>
                    <w:spacing w:before="130" w:after="0" w:line="240" w:lineRule="auto"/>
                    <w:ind w:left="581" w:right="0" w:hanging="371"/>
                    <w:jc w:val="left"/>
                  </w:pPr>
                  <w:r>
                    <w:rPr>
                      <w:spacing w:val="-4"/>
                    </w:rPr>
                    <w:t>保险费的支付</w:t>
                  </w:r>
                </w:p>
                <w:p>
                  <w:pPr>
                    <w:pStyle w:val="3"/>
                    <w:numPr>
                      <w:ilvl w:val="1"/>
                      <w:numId w:val="12"/>
                    </w:numPr>
                    <w:tabs>
                      <w:tab w:val="left" w:pos="582"/>
                    </w:tabs>
                    <w:spacing w:before="124" w:after="0" w:line="240" w:lineRule="auto"/>
                    <w:ind w:left="581" w:right="0" w:hanging="371"/>
                    <w:jc w:val="left"/>
                  </w:pPr>
                  <w:r>
                    <w:rPr>
                      <w:spacing w:val="-4"/>
                    </w:rPr>
                    <w:t>宽限期</w:t>
                  </w:r>
                </w:p>
                <w:p>
                  <w:pPr>
                    <w:pStyle w:val="3"/>
                    <w:numPr>
                      <w:ilvl w:val="1"/>
                      <w:numId w:val="12"/>
                    </w:numPr>
                    <w:tabs>
                      <w:tab w:val="left" w:pos="582"/>
                    </w:tabs>
                    <w:spacing w:before="130" w:after="0" w:line="240" w:lineRule="auto"/>
                    <w:ind w:left="581" w:right="0" w:hanging="371"/>
                    <w:jc w:val="left"/>
                  </w:pPr>
                  <w:r>
                    <w:rPr>
                      <w:spacing w:val="-4"/>
                    </w:rPr>
                    <w:t>保险费率调整</w:t>
                  </w:r>
                </w:p>
                <w:p>
                  <w:pPr>
                    <w:pStyle w:val="3"/>
                    <w:numPr>
                      <w:ilvl w:val="1"/>
                      <w:numId w:val="12"/>
                    </w:numPr>
                    <w:tabs>
                      <w:tab w:val="left" w:pos="582"/>
                    </w:tabs>
                    <w:spacing w:before="0" w:after="0" w:line="398" w:lineRule="exact"/>
                    <w:ind w:left="575" w:right="18" w:hanging="365"/>
                    <w:jc w:val="left"/>
                  </w:pPr>
                  <w:r>
                    <w:rPr>
                      <w:spacing w:val="-2"/>
                    </w:rPr>
                    <w:t>社会基本医疗保险或公费医疗身份变更</w:t>
                  </w:r>
                </w:p>
              </w:txbxContent>
            </v:textbox>
          </v:shape>
        </w:pict>
      </w:r>
      <w:r>
        <w:pict>
          <v:shape id="docshape3" o:spid="_x0000_s1028" o:spt="202" type="#_x0000_t202" style="position:absolute;left:0pt;margin-left:402.4pt;margin-top:18.15pt;height:210.5pt;width:156.05pt;mso-position-horizontal-relative:page;z-index:251661312;mso-width-relative:page;mso-height-relative:page;" filled="f" stroked="f" coordsize="21600,21600">
            <v:path/>
            <v:fill on="f" focussize="0,0"/>
            <v:stroke on="f" joinstyle="miter"/>
            <v:imagedata o:title=""/>
            <o:lock v:ext="edit"/>
            <v:textbox inset="0mm,0mm,0mm,0mm">
              <w:txbxContent>
                <w:p>
                  <w:pPr>
                    <w:pStyle w:val="3"/>
                    <w:spacing w:line="247" w:lineRule="exact"/>
                    <w:ind w:left="211"/>
                  </w:pPr>
                  <w:r>
                    <w:rPr>
                      <w:rFonts w:ascii="Times New Roman" w:eastAsia="Times New Roman"/>
                    </w:rPr>
                    <w:t>6.1</w:t>
                  </w:r>
                  <w:r>
                    <w:rPr>
                      <w:rFonts w:ascii="Times New Roman" w:eastAsia="Times New Roman"/>
                      <w:spacing w:val="47"/>
                    </w:rPr>
                    <w:t xml:space="preserve"> </w:t>
                  </w:r>
                  <w:r>
                    <w:rPr>
                      <w:spacing w:val="-2"/>
                    </w:rPr>
                    <w:t>合同效力的终止</w:t>
                  </w:r>
                </w:p>
                <w:p>
                  <w:pPr>
                    <w:numPr>
                      <w:ilvl w:val="0"/>
                      <w:numId w:val="13"/>
                    </w:numPr>
                    <w:tabs>
                      <w:tab w:val="left" w:pos="212"/>
                    </w:tabs>
                    <w:spacing w:before="129"/>
                    <w:ind w:left="211" w:right="0" w:hanging="212"/>
                    <w:jc w:val="left"/>
                    <w:rPr>
                      <w:b/>
                      <w:sz w:val="21"/>
                    </w:rPr>
                  </w:pPr>
                  <w:r>
                    <w:rPr>
                      <w:b/>
                      <w:spacing w:val="-3"/>
                      <w:sz w:val="21"/>
                    </w:rPr>
                    <w:t>如实告知</w:t>
                  </w:r>
                </w:p>
                <w:p>
                  <w:pPr>
                    <w:pStyle w:val="3"/>
                    <w:numPr>
                      <w:ilvl w:val="1"/>
                      <w:numId w:val="13"/>
                    </w:numPr>
                    <w:tabs>
                      <w:tab w:val="left" w:pos="581"/>
                    </w:tabs>
                    <w:spacing w:before="130" w:after="0" w:line="240" w:lineRule="auto"/>
                    <w:ind w:left="580" w:right="0" w:hanging="370"/>
                    <w:jc w:val="left"/>
                  </w:pPr>
                  <w:r>
                    <w:rPr>
                      <w:spacing w:val="-3"/>
                    </w:rPr>
                    <w:t>明确说明与如实告知</w:t>
                  </w:r>
                </w:p>
                <w:p>
                  <w:pPr>
                    <w:pStyle w:val="3"/>
                    <w:numPr>
                      <w:ilvl w:val="1"/>
                      <w:numId w:val="13"/>
                    </w:numPr>
                    <w:tabs>
                      <w:tab w:val="left" w:pos="581"/>
                    </w:tabs>
                    <w:spacing w:before="129" w:after="0" w:line="240" w:lineRule="auto"/>
                    <w:ind w:left="580" w:right="0" w:hanging="370"/>
                    <w:jc w:val="left"/>
                  </w:pPr>
                  <w:r>
                    <w:rPr>
                      <w:spacing w:val="-3"/>
                    </w:rPr>
                    <w:t>本公司合同解除权的限制</w:t>
                  </w:r>
                </w:p>
                <w:p>
                  <w:pPr>
                    <w:numPr>
                      <w:ilvl w:val="0"/>
                      <w:numId w:val="13"/>
                    </w:numPr>
                    <w:tabs>
                      <w:tab w:val="left" w:pos="212"/>
                    </w:tabs>
                    <w:spacing w:before="125"/>
                    <w:ind w:left="211" w:right="0" w:hanging="212"/>
                    <w:jc w:val="left"/>
                    <w:rPr>
                      <w:b/>
                      <w:sz w:val="21"/>
                    </w:rPr>
                  </w:pPr>
                  <w:r>
                    <w:rPr>
                      <w:b/>
                      <w:spacing w:val="-2"/>
                      <w:sz w:val="21"/>
                    </w:rPr>
                    <w:t>其他需要关注的事项</w:t>
                  </w:r>
                </w:p>
                <w:p>
                  <w:pPr>
                    <w:pStyle w:val="3"/>
                    <w:numPr>
                      <w:ilvl w:val="1"/>
                      <w:numId w:val="13"/>
                    </w:numPr>
                    <w:tabs>
                      <w:tab w:val="left" w:pos="581"/>
                    </w:tabs>
                    <w:spacing w:before="129" w:after="0" w:line="240" w:lineRule="auto"/>
                    <w:ind w:left="580" w:right="0" w:hanging="370"/>
                    <w:jc w:val="left"/>
                  </w:pPr>
                  <w:r>
                    <w:rPr>
                      <w:spacing w:val="-3"/>
                    </w:rPr>
                    <w:t>风险程度变化的告知及处理</w:t>
                  </w:r>
                </w:p>
                <w:p>
                  <w:pPr>
                    <w:pStyle w:val="3"/>
                    <w:numPr>
                      <w:ilvl w:val="1"/>
                      <w:numId w:val="13"/>
                    </w:numPr>
                    <w:tabs>
                      <w:tab w:val="left" w:pos="581"/>
                    </w:tabs>
                    <w:spacing w:before="130" w:after="0" w:line="240" w:lineRule="auto"/>
                    <w:ind w:left="580" w:right="0" w:hanging="370"/>
                    <w:jc w:val="left"/>
                  </w:pPr>
                  <w:r>
                    <w:rPr>
                      <w:spacing w:val="-3"/>
                    </w:rPr>
                    <w:t>年龄错误</w:t>
                  </w:r>
                </w:p>
                <w:p>
                  <w:pPr>
                    <w:pStyle w:val="3"/>
                    <w:numPr>
                      <w:ilvl w:val="1"/>
                      <w:numId w:val="13"/>
                    </w:numPr>
                    <w:tabs>
                      <w:tab w:val="left" w:pos="581"/>
                    </w:tabs>
                    <w:spacing w:before="124" w:after="0" w:line="240" w:lineRule="auto"/>
                    <w:ind w:left="580" w:right="0" w:hanging="370"/>
                    <w:jc w:val="left"/>
                  </w:pPr>
                  <w:r>
                    <w:rPr>
                      <w:spacing w:val="-4"/>
                    </w:rPr>
                    <w:t>合同内容变更</w:t>
                  </w:r>
                </w:p>
                <w:p>
                  <w:pPr>
                    <w:pStyle w:val="3"/>
                    <w:numPr>
                      <w:ilvl w:val="1"/>
                      <w:numId w:val="13"/>
                    </w:numPr>
                    <w:tabs>
                      <w:tab w:val="left" w:pos="581"/>
                    </w:tabs>
                    <w:spacing w:before="130" w:after="0" w:line="240" w:lineRule="auto"/>
                    <w:ind w:left="580" w:right="0" w:hanging="370"/>
                    <w:jc w:val="left"/>
                  </w:pPr>
                  <w:r>
                    <w:rPr>
                      <w:spacing w:val="-4"/>
                    </w:rPr>
                    <w:t>联系方式变更</w:t>
                  </w:r>
                </w:p>
                <w:p>
                  <w:pPr>
                    <w:pStyle w:val="3"/>
                    <w:numPr>
                      <w:ilvl w:val="1"/>
                      <w:numId w:val="13"/>
                    </w:numPr>
                    <w:tabs>
                      <w:tab w:val="left" w:pos="581"/>
                    </w:tabs>
                    <w:spacing w:before="129" w:after="0" w:line="240" w:lineRule="auto"/>
                    <w:ind w:left="580" w:right="0" w:hanging="370"/>
                    <w:jc w:val="left"/>
                  </w:pPr>
                  <w:r>
                    <w:rPr>
                      <w:spacing w:val="-3"/>
                    </w:rPr>
                    <w:t>争议处理</w:t>
                  </w:r>
                </w:p>
                <w:p>
                  <w:pPr>
                    <w:numPr>
                      <w:ilvl w:val="0"/>
                      <w:numId w:val="13"/>
                    </w:numPr>
                    <w:tabs>
                      <w:tab w:val="left" w:pos="212"/>
                    </w:tabs>
                    <w:spacing w:before="130" w:line="256" w:lineRule="exact"/>
                    <w:ind w:left="211" w:right="0" w:hanging="212"/>
                    <w:jc w:val="left"/>
                    <w:rPr>
                      <w:b/>
                      <w:sz w:val="21"/>
                    </w:rPr>
                  </w:pPr>
                  <w:r>
                    <w:rPr>
                      <w:b/>
                      <w:spacing w:val="-1"/>
                      <w:sz w:val="21"/>
                    </w:rPr>
                    <w:t>轻症疾病的定义及范围</w:t>
                  </w:r>
                </w:p>
              </w:txbxContent>
            </v:textbox>
          </v:shape>
        </w:pict>
      </w:r>
      <w:r>
        <w:rPr>
          <w:rFonts w:ascii="Symbol" w:hAnsi="Symbol" w:eastAsia="Symbol"/>
          <w:b/>
          <w:spacing w:val="-10"/>
          <w:sz w:val="21"/>
        </w:rPr>
        <w:t></w:t>
      </w:r>
      <w:r>
        <w:rPr>
          <w:rFonts w:ascii="Times New Roman" w:hAnsi="Times New Roman" w:eastAsia="Times New Roman"/>
          <w:sz w:val="21"/>
        </w:rPr>
        <w:tab/>
      </w:r>
      <w:r>
        <w:rPr>
          <w:b/>
          <w:spacing w:val="-3"/>
          <w:sz w:val="21"/>
        </w:rPr>
        <w:t>条款目录</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after="1"/>
        <w:rPr>
          <w:b/>
          <w:sz w:val="28"/>
        </w:rPr>
      </w:pPr>
    </w:p>
    <w:tbl>
      <w:tblPr>
        <w:tblStyle w:val="5"/>
        <w:tblW w:w="0" w:type="auto"/>
        <w:tblInd w:w="1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932"/>
        <w:gridCol w:w="565"/>
        <w:gridCol w:w="2742"/>
        <w:gridCol w:w="2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2932" w:type="dxa"/>
          </w:tcPr>
          <w:p>
            <w:pPr>
              <w:pStyle w:val="9"/>
              <w:spacing w:line="247" w:lineRule="exact"/>
              <w:ind w:left="322"/>
              <w:rPr>
                <w:sz w:val="21"/>
              </w:rPr>
            </w:pPr>
            <w:r>
              <w:rPr>
                <w:rFonts w:ascii="Times New Roman" w:eastAsia="Times New Roman"/>
                <w:sz w:val="21"/>
              </w:rPr>
              <w:t>2.5</w:t>
            </w:r>
            <w:r>
              <w:rPr>
                <w:rFonts w:ascii="Times New Roman" w:eastAsia="Times New Roman"/>
                <w:spacing w:val="-10"/>
                <w:sz w:val="21"/>
              </w:rPr>
              <w:t xml:space="preserve"> </w:t>
            </w:r>
            <w:r>
              <w:rPr>
                <w:spacing w:val="-2"/>
                <w:sz w:val="21"/>
              </w:rPr>
              <w:t>补偿原则及给付标准</w:t>
            </w:r>
          </w:p>
        </w:tc>
        <w:tc>
          <w:tcPr>
            <w:tcW w:w="565" w:type="dxa"/>
          </w:tcPr>
          <w:p>
            <w:pPr>
              <w:pStyle w:val="9"/>
              <w:spacing w:line="234" w:lineRule="exact"/>
              <w:ind w:right="51"/>
              <w:jc w:val="right"/>
              <w:rPr>
                <w:rFonts w:ascii="Times New Roman"/>
                <w:b/>
                <w:sz w:val="21"/>
              </w:rPr>
            </w:pPr>
            <w:r>
              <w:rPr>
                <w:rFonts w:ascii="Times New Roman"/>
                <w:b/>
                <w:w w:val="100"/>
                <w:sz w:val="21"/>
              </w:rPr>
              <w:t>5</w:t>
            </w:r>
          </w:p>
        </w:tc>
        <w:tc>
          <w:tcPr>
            <w:tcW w:w="2742" w:type="dxa"/>
          </w:tcPr>
          <w:p>
            <w:pPr>
              <w:pStyle w:val="9"/>
              <w:spacing w:line="247" w:lineRule="exact"/>
              <w:ind w:left="51"/>
              <w:rPr>
                <w:b/>
                <w:sz w:val="21"/>
              </w:rPr>
            </w:pPr>
            <w:r>
              <w:rPr>
                <w:b/>
                <w:spacing w:val="-3"/>
                <w:sz w:val="21"/>
              </w:rPr>
              <w:t>合同解除</w:t>
            </w:r>
          </w:p>
        </w:tc>
        <w:tc>
          <w:tcPr>
            <w:tcW w:w="2696" w:type="dxa"/>
          </w:tcPr>
          <w:p>
            <w:pPr>
              <w:pStyle w:val="9"/>
              <w:spacing w:line="247" w:lineRule="exact"/>
              <w:ind w:left="215"/>
              <w:rPr>
                <w:b/>
                <w:sz w:val="21"/>
              </w:rPr>
            </w:pPr>
            <w:r>
              <w:rPr>
                <w:rFonts w:ascii="Times New Roman" w:eastAsia="Times New Roman"/>
                <w:b/>
                <w:sz w:val="21"/>
              </w:rPr>
              <w:t>10</w:t>
            </w:r>
            <w:r>
              <w:rPr>
                <w:rFonts w:ascii="Times New Roman" w:eastAsia="Times New Roman"/>
                <w:b/>
                <w:spacing w:val="52"/>
                <w:sz w:val="21"/>
              </w:rPr>
              <w:t xml:space="preserve"> </w:t>
            </w:r>
            <w:r>
              <w:rPr>
                <w:b/>
                <w:spacing w:val="-1"/>
                <w:sz w:val="21"/>
              </w:rPr>
              <w:t>重大疾病的定义及范围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2932" w:type="dxa"/>
          </w:tcPr>
          <w:p>
            <w:pPr>
              <w:pStyle w:val="9"/>
              <w:spacing w:before="60"/>
              <w:ind w:left="322"/>
              <w:rPr>
                <w:sz w:val="21"/>
              </w:rPr>
            </w:pPr>
            <w:r>
              <w:rPr>
                <w:rFonts w:ascii="Times New Roman" w:eastAsia="Times New Roman"/>
                <w:sz w:val="21"/>
              </w:rPr>
              <w:t xml:space="preserve">2.6 </w:t>
            </w:r>
            <w:r>
              <w:rPr>
                <w:spacing w:val="-3"/>
                <w:sz w:val="21"/>
              </w:rPr>
              <w:t>责任免除</w:t>
            </w:r>
          </w:p>
        </w:tc>
        <w:tc>
          <w:tcPr>
            <w:tcW w:w="565" w:type="dxa"/>
          </w:tcPr>
          <w:p>
            <w:pPr>
              <w:pStyle w:val="9"/>
              <w:rPr>
                <w:rFonts w:ascii="Times New Roman"/>
                <w:sz w:val="20"/>
              </w:rPr>
            </w:pPr>
          </w:p>
        </w:tc>
        <w:tc>
          <w:tcPr>
            <w:tcW w:w="2742" w:type="dxa"/>
          </w:tcPr>
          <w:p>
            <w:pPr>
              <w:pStyle w:val="9"/>
              <w:spacing w:before="60"/>
              <w:ind w:left="51"/>
              <w:rPr>
                <w:sz w:val="21"/>
              </w:rPr>
            </w:pPr>
            <w:r>
              <w:rPr>
                <w:rFonts w:ascii="Times New Roman" w:eastAsia="Times New Roman"/>
                <w:sz w:val="21"/>
              </w:rPr>
              <w:t>5.1</w:t>
            </w:r>
            <w:r>
              <w:rPr>
                <w:rFonts w:ascii="Times New Roman" w:eastAsia="Times New Roman"/>
                <w:spacing w:val="43"/>
                <w:sz w:val="21"/>
              </w:rPr>
              <w:t xml:space="preserve"> </w:t>
            </w:r>
            <w:r>
              <w:rPr>
                <w:spacing w:val="-1"/>
                <w:sz w:val="21"/>
              </w:rPr>
              <w:t>解除合同的手续及风险</w:t>
            </w:r>
          </w:p>
        </w:tc>
        <w:tc>
          <w:tcPr>
            <w:tcW w:w="2696" w:type="dxa"/>
          </w:tcPr>
          <w:p>
            <w:pPr>
              <w:pStyle w:val="9"/>
              <w:spacing w:before="60"/>
              <w:ind w:left="215"/>
              <w:rPr>
                <w:b/>
                <w:sz w:val="21"/>
              </w:rPr>
            </w:pPr>
            <w:r>
              <w:rPr>
                <w:rFonts w:ascii="Times New Roman" w:eastAsia="Times New Roman"/>
                <w:b/>
                <w:sz w:val="21"/>
              </w:rPr>
              <w:t>11</w:t>
            </w:r>
            <w:r>
              <w:rPr>
                <w:rFonts w:ascii="Times New Roman" w:eastAsia="Times New Roman"/>
                <w:b/>
                <w:spacing w:val="37"/>
                <w:sz w:val="21"/>
              </w:rPr>
              <w:t xml:space="preserve"> </w:t>
            </w:r>
            <w:r>
              <w:rPr>
                <w:b/>
                <w:spacing w:val="-5"/>
                <w:sz w:val="21"/>
              </w:rPr>
              <w:t>释义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2932" w:type="dxa"/>
          </w:tcPr>
          <w:p>
            <w:pPr>
              <w:pStyle w:val="9"/>
              <w:spacing w:before="60"/>
              <w:ind w:left="110"/>
              <w:rPr>
                <w:b/>
                <w:sz w:val="21"/>
              </w:rPr>
            </w:pPr>
            <w:r>
              <w:rPr>
                <w:rFonts w:ascii="Times New Roman" w:eastAsia="Times New Roman"/>
                <w:b/>
                <w:sz w:val="21"/>
              </w:rPr>
              <w:t>3</w:t>
            </w:r>
            <w:r>
              <w:rPr>
                <w:rFonts w:ascii="Times New Roman" w:eastAsia="Times New Roman"/>
                <w:b/>
                <w:spacing w:val="53"/>
                <w:sz w:val="21"/>
              </w:rPr>
              <w:t xml:space="preserve"> </w:t>
            </w:r>
            <w:r>
              <w:rPr>
                <w:b/>
                <w:spacing w:val="-2"/>
                <w:sz w:val="21"/>
              </w:rPr>
              <w:t>保险金的申请</w:t>
            </w:r>
          </w:p>
        </w:tc>
        <w:tc>
          <w:tcPr>
            <w:tcW w:w="565" w:type="dxa"/>
          </w:tcPr>
          <w:p>
            <w:pPr>
              <w:pStyle w:val="9"/>
              <w:spacing w:before="74"/>
              <w:ind w:right="51"/>
              <w:jc w:val="right"/>
              <w:rPr>
                <w:rFonts w:ascii="Times New Roman"/>
                <w:b/>
                <w:sz w:val="21"/>
              </w:rPr>
            </w:pPr>
            <w:r>
              <w:rPr>
                <w:rFonts w:ascii="Times New Roman"/>
                <w:b/>
                <w:w w:val="100"/>
                <w:sz w:val="21"/>
              </w:rPr>
              <w:t>6</w:t>
            </w:r>
          </w:p>
        </w:tc>
        <w:tc>
          <w:tcPr>
            <w:tcW w:w="2742" w:type="dxa"/>
          </w:tcPr>
          <w:p>
            <w:pPr>
              <w:pStyle w:val="9"/>
              <w:spacing w:before="60"/>
              <w:ind w:left="51"/>
              <w:rPr>
                <w:b/>
                <w:sz w:val="21"/>
              </w:rPr>
            </w:pPr>
            <w:r>
              <w:rPr>
                <w:b/>
                <w:spacing w:val="-2"/>
                <w:sz w:val="21"/>
              </w:rPr>
              <w:t>合同效力的终止</w:t>
            </w:r>
          </w:p>
        </w:tc>
        <w:tc>
          <w:tcPr>
            <w:tcW w:w="2696" w:type="dxa"/>
          </w:tcPr>
          <w:p>
            <w:pPr>
              <w:pStyle w:val="9"/>
              <w:rPr>
                <w:rFonts w:ascii="Times New Roman"/>
                <w:sz w:val="20"/>
              </w:rPr>
            </w:pPr>
          </w:p>
        </w:tc>
      </w:tr>
    </w:tbl>
    <w:p>
      <w:pPr>
        <w:spacing w:after="0"/>
        <w:rPr>
          <w:rFonts w:ascii="Times New Roman"/>
          <w:sz w:val="20"/>
        </w:rPr>
        <w:sectPr>
          <w:type w:val="continuous"/>
          <w:pgSz w:w="11910" w:h="16840"/>
          <w:pgMar w:top="320" w:right="620" w:bottom="280" w:left="1480" w:header="720" w:footer="720" w:gutter="0"/>
          <w:cols w:space="720" w:num="1"/>
        </w:sectPr>
      </w:pPr>
    </w:p>
    <w:p>
      <w:pPr>
        <w:pStyle w:val="3"/>
        <w:spacing w:before="9"/>
        <w:rPr>
          <w:b/>
          <w:sz w:val="9"/>
        </w:rPr>
      </w:pPr>
    </w:p>
    <w:p>
      <w:pPr>
        <w:pStyle w:val="3"/>
        <w:ind w:left="1909"/>
        <w:rPr>
          <w:sz w:val="20"/>
        </w:rPr>
      </w:pPr>
      <w:r>
        <w:rPr>
          <w:sz w:val="20"/>
        </w:rPr>
        <w:drawing>
          <wp:inline distT="0" distB="0" distL="0" distR="0">
            <wp:extent cx="3585845" cy="79629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9" cstate="print"/>
                    <a:stretch>
                      <a:fillRect/>
                    </a:stretch>
                  </pic:blipFill>
                  <pic:spPr>
                    <a:xfrm>
                      <a:off x="0" y="0"/>
                      <a:ext cx="3586138" cy="796861"/>
                    </a:xfrm>
                    <a:prstGeom prst="rect">
                      <a:avLst/>
                    </a:prstGeom>
                  </pic:spPr>
                </pic:pic>
              </a:graphicData>
            </a:graphic>
          </wp:inline>
        </w:drawing>
      </w:r>
    </w:p>
    <w:p>
      <w:pPr>
        <w:pStyle w:val="3"/>
        <w:spacing w:before="6"/>
        <w:rPr>
          <w:b/>
          <w:sz w:val="16"/>
        </w:rPr>
      </w:pPr>
    </w:p>
    <w:p>
      <w:pPr>
        <w:pStyle w:val="4"/>
        <w:spacing w:before="67"/>
        <w:ind w:left="1001" w:right="1287"/>
      </w:pPr>
      <w:r>
        <w:rPr>
          <w:spacing w:val="-2"/>
        </w:rPr>
        <w:t>中意</w:t>
      </w:r>
      <w:r>
        <w:rPr>
          <w:rFonts w:ascii="Times New Roman" w:eastAsia="Times New Roman"/>
          <w:spacing w:val="-2"/>
        </w:rPr>
        <w:t>***</w:t>
      </w:r>
      <w:r>
        <w:rPr>
          <w:spacing w:val="-4"/>
        </w:rPr>
        <w:t>医疗保险条款</w:t>
      </w:r>
    </w:p>
    <w:p>
      <w:pPr>
        <w:pStyle w:val="3"/>
        <w:rPr>
          <w:b/>
          <w:sz w:val="36"/>
        </w:rPr>
      </w:pPr>
    </w:p>
    <w:p>
      <w:pPr>
        <w:pStyle w:val="3"/>
        <w:spacing w:before="8"/>
        <w:rPr>
          <w:b/>
          <w:sz w:val="28"/>
        </w:rPr>
      </w:pPr>
    </w:p>
    <w:p>
      <w:pPr>
        <w:pStyle w:val="3"/>
        <w:spacing w:before="1"/>
        <w:ind w:left="219" w:right="430" w:firstLine="422"/>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2"/>
        </w:rPr>
        <w:t>均指中意人寿保险有限公司，</w:t>
      </w:r>
      <w:r>
        <w:rPr>
          <w:rFonts w:ascii="Times New Roman" w:hAnsi="Times New Roman" w:eastAsia="Times New Roman"/>
          <w:spacing w:val="-2"/>
        </w:rPr>
        <w:t>“</w:t>
      </w:r>
      <w:r>
        <w:rPr>
          <w:spacing w:val="-2"/>
        </w:rPr>
        <w:t>本合同</w:t>
      </w:r>
      <w:r>
        <w:rPr>
          <w:rFonts w:ascii="Times New Roman" w:hAnsi="Times New Roman" w:eastAsia="Times New Roman"/>
          <w:spacing w:val="-2"/>
        </w:rPr>
        <w:t>”</w:t>
      </w:r>
      <w:r>
        <w:rPr>
          <w:spacing w:val="-2"/>
        </w:rPr>
        <w:t>指您与我们之间订立的</w:t>
      </w:r>
      <w:r>
        <w:rPr>
          <w:rFonts w:ascii="Times New Roman" w:hAnsi="Times New Roman" w:eastAsia="Times New Roman"/>
          <w:spacing w:val="-2"/>
        </w:rPr>
        <w:t>“</w:t>
      </w:r>
      <w:r>
        <w:rPr>
          <w:spacing w:val="-2"/>
        </w:rPr>
        <w:t>中意</w:t>
      </w:r>
      <w:r>
        <w:rPr>
          <w:rFonts w:ascii="Times New Roman" w:hAnsi="Times New Roman" w:eastAsia="Times New Roman"/>
          <w:spacing w:val="-2"/>
        </w:rPr>
        <w:t>***</w:t>
      </w:r>
      <w:r>
        <w:rPr>
          <w:spacing w:val="-2"/>
        </w:rPr>
        <w:t>医疗保险</w:t>
      </w:r>
      <w:r>
        <w:rPr>
          <w:rFonts w:ascii="Times New Roman" w:hAnsi="Times New Roman" w:eastAsia="Times New Roman"/>
          <w:spacing w:val="-2"/>
        </w:rPr>
        <w:t>”</w:t>
      </w:r>
      <w:r>
        <w:rPr>
          <w:spacing w:val="-2"/>
        </w:rPr>
        <w:t>保险合同。</w:t>
      </w:r>
    </w:p>
    <w:p>
      <w:pPr>
        <w:pStyle w:val="3"/>
        <w:spacing w:before="12"/>
        <w:rPr>
          <w:sz w:val="27"/>
        </w:rPr>
      </w:pPr>
    </w:p>
    <w:p>
      <w:pPr>
        <w:pStyle w:val="2"/>
        <w:numPr>
          <w:ilvl w:val="0"/>
          <w:numId w:val="14"/>
        </w:numPr>
        <w:tabs>
          <w:tab w:val="left" w:pos="1338"/>
          <w:tab w:val="left" w:pos="1339"/>
        </w:tabs>
        <w:spacing w:before="0" w:after="0" w:line="240" w:lineRule="auto"/>
        <w:ind w:left="1338" w:right="0" w:hanging="1005"/>
        <w:jc w:val="both"/>
      </w:pPr>
      <w:r>
        <w:rPr>
          <w:w w:val="95"/>
        </w:rPr>
        <w:t>您与我们订立的</w:t>
      </w:r>
      <w:r>
        <w:rPr>
          <w:spacing w:val="-5"/>
          <w:w w:val="95"/>
        </w:rPr>
        <w:t>合同</w:t>
      </w:r>
    </w:p>
    <w:p>
      <w:pPr>
        <w:pStyle w:val="3"/>
        <w:spacing w:before="2"/>
        <w:rPr>
          <w:b/>
          <w:sz w:val="4"/>
        </w:rPr>
      </w:pPr>
      <w:r>
        <w:drawing>
          <wp:anchor distT="0" distB="0" distL="0" distR="0" simplePos="0" relativeHeight="251659264" behindDoc="0" locked="0" layoutInCell="1" allowOverlap="1">
            <wp:simplePos x="0" y="0"/>
            <wp:positionH relativeFrom="page">
              <wp:posOffset>1082040</wp:posOffset>
            </wp:positionH>
            <wp:positionV relativeFrom="paragraph">
              <wp:posOffset>48895</wp:posOffset>
            </wp:positionV>
            <wp:extent cx="5757545" cy="635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5757353" cy="6096"/>
                    </a:xfrm>
                    <a:prstGeom prst="rect">
                      <a:avLst/>
                    </a:prstGeom>
                  </pic:spPr>
                </pic:pic>
              </a:graphicData>
            </a:graphic>
          </wp:anchor>
        </w:drawing>
      </w:r>
    </w:p>
    <w:p>
      <w:pPr>
        <w:pStyle w:val="8"/>
        <w:numPr>
          <w:ilvl w:val="1"/>
          <w:numId w:val="14"/>
        </w:numPr>
        <w:tabs>
          <w:tab w:val="left" w:pos="1338"/>
          <w:tab w:val="left" w:pos="1339"/>
          <w:tab w:val="left" w:pos="3307"/>
        </w:tabs>
        <w:spacing w:before="0" w:after="0" w:line="240" w:lineRule="auto"/>
        <w:ind w:left="1338" w:right="0" w:hanging="1005"/>
        <w:jc w:val="both"/>
        <w:rPr>
          <w:sz w:val="21"/>
        </w:rPr>
      </w:pPr>
      <w:r>
        <w:rPr>
          <w:b/>
          <w:sz w:val="21"/>
        </w:rPr>
        <w:t>合同构</w:t>
      </w:r>
      <w:r>
        <w:rPr>
          <w:b/>
          <w:spacing w:val="-10"/>
          <w:sz w:val="21"/>
        </w:rPr>
        <w:t>成</w:t>
      </w:r>
      <w:r>
        <w:rPr>
          <w:b/>
          <w:sz w:val="21"/>
        </w:rPr>
        <w:tab/>
      </w:r>
      <w:r>
        <w:rPr>
          <w:spacing w:val="-2"/>
          <w:sz w:val="21"/>
        </w:rPr>
        <w:t>本合同是您与我们约定保险权利义务关系的协议，包括本保险</w:t>
      </w:r>
      <w:r>
        <w:rPr>
          <w:spacing w:val="-10"/>
          <w:sz w:val="21"/>
        </w:rPr>
        <w:t>条</w:t>
      </w:r>
    </w:p>
    <w:p>
      <w:pPr>
        <w:pStyle w:val="3"/>
        <w:spacing w:line="242" w:lineRule="auto"/>
        <w:ind w:left="3307" w:right="617"/>
        <w:jc w:val="both"/>
      </w:pPr>
      <w:r>
        <w:rPr>
          <w:spacing w:val="-2"/>
        </w:rPr>
        <w:t>款、保险单或其他保险凭证、投保单、与保险合同有关的投保文件、合法有效的声明、批注、批单及其他您与我们共同认可的书</w:t>
      </w:r>
      <w:r>
        <w:rPr>
          <w:spacing w:val="-4"/>
        </w:rPr>
        <w:t>面协议。</w:t>
      </w:r>
    </w:p>
    <w:p>
      <w:pPr>
        <w:pStyle w:val="3"/>
        <w:spacing w:before="10"/>
        <w:rPr>
          <w:sz w:val="10"/>
        </w:rPr>
      </w:pPr>
    </w:p>
    <w:p>
      <w:pPr>
        <w:spacing w:after="0"/>
        <w:rPr>
          <w:sz w:val="10"/>
        </w:rPr>
        <w:sectPr>
          <w:footerReference r:id="rId5" w:type="default"/>
          <w:pgSz w:w="11910" w:h="16840"/>
          <w:pgMar w:top="1580" w:right="620" w:bottom="1040" w:left="1480" w:header="0" w:footer="851" w:gutter="0"/>
          <w:pgNumType w:start="1"/>
          <w:cols w:space="720" w:num="1"/>
        </w:sectPr>
      </w:pPr>
    </w:p>
    <w:p>
      <w:pPr>
        <w:pStyle w:val="8"/>
        <w:numPr>
          <w:ilvl w:val="1"/>
          <w:numId w:val="14"/>
        </w:numPr>
        <w:tabs>
          <w:tab w:val="left" w:pos="1338"/>
          <w:tab w:val="left" w:pos="1339"/>
        </w:tabs>
        <w:spacing w:before="92" w:after="0" w:line="244" w:lineRule="auto"/>
        <w:ind w:left="1338" w:right="0" w:hanging="1004"/>
        <w:jc w:val="left"/>
        <w:rPr>
          <w:b/>
          <w:sz w:val="21"/>
        </w:rPr>
      </w:pPr>
      <w:r>
        <w:rPr>
          <w:b/>
          <w:spacing w:val="-2"/>
          <w:sz w:val="21"/>
        </w:rPr>
        <w:t>保险合同成立与生</w:t>
      </w:r>
      <w:r>
        <w:rPr>
          <w:b/>
          <w:spacing w:val="-10"/>
          <w:sz w:val="21"/>
        </w:rPr>
        <w:t>效</w:t>
      </w:r>
    </w:p>
    <w:p>
      <w:pPr>
        <w:pStyle w:val="3"/>
        <w:spacing w:before="98"/>
        <w:ind w:left="162"/>
      </w:pPr>
      <w:r>
        <w:br w:type="column"/>
      </w:r>
      <w:r>
        <w:rPr>
          <w:spacing w:val="-3"/>
        </w:rPr>
        <w:t>您提出保险申请、我们同意承保，本合同成立。</w:t>
      </w:r>
    </w:p>
    <w:p>
      <w:pPr>
        <w:pStyle w:val="3"/>
        <w:spacing w:before="5"/>
        <w:rPr>
          <w:sz w:val="19"/>
        </w:rPr>
      </w:pPr>
    </w:p>
    <w:p>
      <w:pPr>
        <w:pStyle w:val="3"/>
        <w:spacing w:line="242" w:lineRule="auto"/>
        <w:ind w:left="162" w:right="511"/>
      </w:pPr>
      <w:r>
        <w:rPr>
          <w:spacing w:val="3"/>
          <w:w w:val="100"/>
        </w:rPr>
        <w:t>除另有约定外，本合同自我们同意承保并签发保险单后开始生</w:t>
      </w:r>
      <w:r>
        <w:rPr>
          <w:spacing w:val="-7"/>
          <w:w w:val="100"/>
        </w:rPr>
        <w:t>效，合同生效日期在保险单上载明。</w:t>
      </w:r>
      <w:r>
        <w:rPr>
          <w:b/>
          <w:spacing w:val="-3"/>
          <w:w w:val="100"/>
        </w:rPr>
        <w:t>保险费约定支付日</w:t>
      </w:r>
      <w:r>
        <w:rPr>
          <w:spacing w:val="-5"/>
          <w:w w:val="100"/>
        </w:rPr>
        <w:t>（</w:t>
      </w:r>
      <w:r>
        <w:rPr>
          <w:w w:val="100"/>
        </w:rPr>
        <w:t>见</w:t>
      </w:r>
      <w:r>
        <w:rPr>
          <w:rFonts w:ascii="Times New Roman" w:eastAsia="Times New Roman"/>
          <w:spacing w:val="-13"/>
          <w:w w:val="100"/>
        </w:rPr>
        <w:t>1</w:t>
      </w:r>
      <w:r>
        <w:rPr>
          <w:rFonts w:ascii="Times New Roman" w:eastAsia="Times New Roman"/>
          <w:spacing w:val="-3"/>
          <w:w w:val="100"/>
        </w:rPr>
        <w:t>1.1</w:t>
      </w:r>
      <w:r>
        <w:rPr>
          <w:spacing w:val="-3"/>
          <w:w w:val="100"/>
        </w:rPr>
        <w:t>）</w:t>
      </w:r>
      <w:r>
        <w:rPr>
          <w:spacing w:val="-1"/>
          <w:w w:val="100"/>
        </w:rPr>
        <w:t>以该日期计算。</w:t>
      </w:r>
    </w:p>
    <w:p>
      <w:pPr>
        <w:pStyle w:val="3"/>
        <w:spacing w:before="11"/>
        <w:rPr>
          <w:sz w:val="18"/>
        </w:rPr>
      </w:pPr>
    </w:p>
    <w:p>
      <w:pPr>
        <w:spacing w:before="0" w:line="244" w:lineRule="auto"/>
        <w:ind w:left="162" w:right="629" w:firstLine="0"/>
        <w:jc w:val="left"/>
        <w:rPr>
          <w:b/>
          <w:sz w:val="21"/>
        </w:rPr>
      </w:pPr>
      <w:r>
        <w:rPr>
          <w:b/>
          <w:spacing w:val="3"/>
          <w:w w:val="100"/>
          <w:sz w:val="21"/>
        </w:rPr>
        <w:t>我们自保险单上约定的生效日的次日零时起开始承担本合同约定的保险责任。</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b/>
          <w:sz w:val="11"/>
        </w:rPr>
      </w:pPr>
    </w:p>
    <w:p>
      <w:pPr>
        <w:pStyle w:val="8"/>
        <w:numPr>
          <w:ilvl w:val="1"/>
          <w:numId w:val="14"/>
        </w:numPr>
        <w:tabs>
          <w:tab w:val="left" w:pos="1338"/>
          <w:tab w:val="left" w:pos="1339"/>
          <w:tab w:val="left" w:pos="3307"/>
        </w:tabs>
        <w:spacing w:before="91" w:after="0" w:line="240" w:lineRule="auto"/>
        <w:ind w:left="1338" w:right="0" w:hanging="1005"/>
        <w:jc w:val="left"/>
        <w:rPr>
          <w:sz w:val="21"/>
        </w:rPr>
      </w:pPr>
      <w:r>
        <w:rPr>
          <w:b/>
          <w:sz w:val="21"/>
        </w:rPr>
        <w:t>投保年</w:t>
      </w:r>
      <w:r>
        <w:rPr>
          <w:b/>
          <w:spacing w:val="-10"/>
          <w:sz w:val="21"/>
        </w:rPr>
        <w:t>龄</w:t>
      </w:r>
      <w:r>
        <w:rPr>
          <w:b/>
          <w:sz w:val="21"/>
        </w:rPr>
        <w:tab/>
      </w:r>
      <w:r>
        <w:rPr>
          <w:spacing w:val="-2"/>
          <w:sz w:val="21"/>
        </w:rPr>
        <w:t>指您投保时被保险人的年龄，年龄以</w:t>
      </w:r>
      <w:r>
        <w:rPr>
          <w:b/>
          <w:spacing w:val="-2"/>
          <w:sz w:val="21"/>
        </w:rPr>
        <w:t>周岁</w:t>
      </w:r>
      <w:r>
        <w:rPr>
          <w:spacing w:val="-2"/>
          <w:sz w:val="21"/>
        </w:rPr>
        <w:t>（见</w:t>
      </w:r>
      <w:r>
        <w:rPr>
          <w:rFonts w:ascii="Times New Roman" w:eastAsia="Times New Roman"/>
          <w:spacing w:val="-2"/>
          <w:sz w:val="21"/>
        </w:rPr>
        <w:t>11.2</w:t>
      </w:r>
      <w:r>
        <w:rPr>
          <w:spacing w:val="-2"/>
          <w:sz w:val="21"/>
        </w:rPr>
        <w:t>）计算</w:t>
      </w:r>
      <w:r>
        <w:rPr>
          <w:spacing w:val="-10"/>
          <w:sz w:val="21"/>
        </w:rPr>
        <w:t>。</w:t>
      </w:r>
    </w:p>
    <w:p>
      <w:pPr>
        <w:pStyle w:val="3"/>
        <w:spacing w:before="5"/>
        <w:ind w:left="3307" w:right="616"/>
      </w:pPr>
      <w:r>
        <w:rPr>
          <w:spacing w:val="-2"/>
        </w:rPr>
        <w:t>本合同接受的投保年龄为出生满</w:t>
      </w:r>
      <w:r>
        <w:rPr>
          <w:rFonts w:ascii="Times New Roman" w:eastAsia="Times New Roman"/>
          <w:spacing w:val="-2"/>
        </w:rPr>
        <w:t>30</w:t>
      </w:r>
      <w:r>
        <w:rPr>
          <w:spacing w:val="-2"/>
        </w:rPr>
        <w:t>天至</w:t>
      </w:r>
      <w:r>
        <w:rPr>
          <w:rFonts w:ascii="Times New Roman" w:eastAsia="Times New Roman"/>
          <w:spacing w:val="-2"/>
        </w:rPr>
        <w:t>60</w:t>
      </w:r>
      <w:r>
        <w:rPr>
          <w:spacing w:val="-2"/>
        </w:rPr>
        <w:t>周岁，可续保至</w:t>
      </w:r>
      <w:r>
        <w:rPr>
          <w:rFonts w:ascii="Times New Roman" w:eastAsia="Times New Roman"/>
          <w:spacing w:val="-2"/>
        </w:rPr>
        <w:t>105</w:t>
      </w:r>
      <w:r>
        <w:rPr>
          <w:spacing w:val="-2"/>
        </w:rPr>
        <w:t>周</w:t>
      </w:r>
      <w:r>
        <w:rPr>
          <w:spacing w:val="-6"/>
        </w:rPr>
        <w:t>岁。</w:t>
      </w:r>
    </w:p>
    <w:p>
      <w:pPr>
        <w:pStyle w:val="3"/>
        <w:spacing w:before="8"/>
        <w:rPr>
          <w:sz w:val="18"/>
        </w:rPr>
      </w:pPr>
    </w:p>
    <w:p>
      <w:pPr>
        <w:pStyle w:val="8"/>
        <w:numPr>
          <w:ilvl w:val="1"/>
          <w:numId w:val="14"/>
        </w:numPr>
        <w:tabs>
          <w:tab w:val="left" w:pos="1338"/>
          <w:tab w:val="left" w:pos="1339"/>
          <w:tab w:val="left" w:pos="3307"/>
        </w:tabs>
        <w:spacing w:before="0" w:after="0" w:line="240" w:lineRule="auto"/>
        <w:ind w:left="1338" w:right="0" w:hanging="1005"/>
        <w:jc w:val="left"/>
        <w:rPr>
          <w:sz w:val="21"/>
        </w:rPr>
      </w:pPr>
      <w:r>
        <w:rPr>
          <w:b/>
          <w:sz w:val="21"/>
        </w:rPr>
        <w:t>合同的签</w:t>
      </w:r>
      <w:r>
        <w:rPr>
          <w:b/>
          <w:spacing w:val="-10"/>
          <w:sz w:val="21"/>
        </w:rPr>
        <w:t>收</w:t>
      </w:r>
      <w:r>
        <w:rPr>
          <w:b/>
          <w:sz w:val="21"/>
        </w:rPr>
        <w:tab/>
      </w:r>
      <w:r>
        <w:rPr>
          <w:spacing w:val="-2"/>
          <w:sz w:val="21"/>
        </w:rPr>
        <w:t>在您收到本合同时，您应当签署本合同的签收回执</w:t>
      </w:r>
      <w:r>
        <w:rPr>
          <w:spacing w:val="-10"/>
          <w:sz w:val="21"/>
        </w:rPr>
        <w:t>。</w:t>
      </w:r>
    </w:p>
    <w:p>
      <w:pPr>
        <w:pStyle w:val="3"/>
        <w:spacing w:before="8"/>
        <w:rPr>
          <w:sz w:val="18"/>
        </w:rPr>
      </w:pPr>
    </w:p>
    <w:p>
      <w:pPr>
        <w:pStyle w:val="8"/>
        <w:numPr>
          <w:ilvl w:val="1"/>
          <w:numId w:val="14"/>
        </w:numPr>
        <w:tabs>
          <w:tab w:val="left" w:pos="1338"/>
          <w:tab w:val="left" w:pos="1339"/>
          <w:tab w:val="left" w:pos="3307"/>
        </w:tabs>
        <w:spacing w:before="0" w:after="0" w:line="240" w:lineRule="auto"/>
        <w:ind w:left="1338" w:right="0" w:hanging="1005"/>
        <w:jc w:val="both"/>
        <w:rPr>
          <w:sz w:val="21"/>
        </w:rPr>
      </w:pPr>
      <w:r>
        <w:rPr>
          <w:b/>
          <w:sz w:val="21"/>
        </w:rPr>
        <w:t>犹豫</w:t>
      </w:r>
      <w:r>
        <w:rPr>
          <w:b/>
          <w:spacing w:val="-10"/>
          <w:sz w:val="21"/>
        </w:rPr>
        <w:t>期</w:t>
      </w:r>
      <w:r>
        <w:rPr>
          <w:b/>
          <w:sz w:val="21"/>
        </w:rPr>
        <w:tab/>
      </w:r>
      <w:r>
        <w:rPr>
          <w:spacing w:val="-2"/>
          <w:sz w:val="21"/>
        </w:rPr>
        <w:t>自您签收本合同的次日起，有</w:t>
      </w:r>
      <w:r>
        <w:rPr>
          <w:rFonts w:ascii="Times New Roman" w:eastAsia="Times New Roman"/>
          <w:spacing w:val="-2"/>
          <w:sz w:val="21"/>
        </w:rPr>
        <w:t>10</w:t>
      </w:r>
      <w:r>
        <w:rPr>
          <w:spacing w:val="-2"/>
          <w:sz w:val="21"/>
        </w:rPr>
        <w:t>日的犹豫期（通过商业银行代</w:t>
      </w:r>
      <w:r>
        <w:rPr>
          <w:spacing w:val="-10"/>
          <w:sz w:val="21"/>
        </w:rPr>
        <w:t>理</w:t>
      </w:r>
    </w:p>
    <w:p>
      <w:pPr>
        <w:pStyle w:val="3"/>
        <w:spacing w:before="4" w:line="242" w:lineRule="auto"/>
        <w:ind w:left="3307" w:right="609"/>
        <w:jc w:val="both"/>
      </w:pPr>
      <w:r>
        <w:rPr>
          <w:spacing w:val="-2"/>
        </w:rPr>
        <w:t>销售的，有</w:t>
      </w:r>
      <w:r>
        <w:rPr>
          <w:rFonts w:ascii="Times New Roman" w:eastAsia="Times New Roman"/>
          <w:spacing w:val="-2"/>
        </w:rPr>
        <w:t>15</w:t>
      </w:r>
      <w:r>
        <w:rPr>
          <w:spacing w:val="-2"/>
        </w:rPr>
        <w:t>日的犹豫期）。在此期间，请您仔细阅读本合同，如果您认为本合同与您的需求不相符，您可以在犹豫期结束前解除本合同，我们将在扣除不超过</w:t>
      </w:r>
      <w:r>
        <w:rPr>
          <w:rFonts w:ascii="Times New Roman" w:eastAsia="Times New Roman"/>
          <w:spacing w:val="-2"/>
        </w:rPr>
        <w:t>10</w:t>
      </w:r>
      <w:r>
        <w:rPr>
          <w:spacing w:val="-2"/>
        </w:rPr>
        <w:t>元的工本费后无息退还您所支付的保险费。</w:t>
      </w:r>
    </w:p>
    <w:p>
      <w:pPr>
        <w:pStyle w:val="3"/>
        <w:rPr>
          <w:sz w:val="19"/>
        </w:rPr>
      </w:pPr>
    </w:p>
    <w:p>
      <w:pPr>
        <w:spacing w:before="0" w:line="244" w:lineRule="auto"/>
        <w:ind w:left="3307" w:right="617" w:firstLine="0"/>
        <w:jc w:val="both"/>
        <w:rPr>
          <w:b/>
          <w:sz w:val="21"/>
        </w:rPr>
      </w:pPr>
      <w:r>
        <w:rPr>
          <w:spacing w:val="-2"/>
          <w:sz w:val="21"/>
        </w:rPr>
        <w:t>解除合同时，您需要填写申请书，并提供您的保险合同及</w:t>
      </w:r>
      <w:r>
        <w:rPr>
          <w:b/>
          <w:spacing w:val="-2"/>
          <w:sz w:val="21"/>
        </w:rPr>
        <w:t>有效身</w:t>
      </w:r>
      <w:r>
        <w:rPr>
          <w:b/>
          <w:spacing w:val="-6"/>
          <w:sz w:val="21"/>
        </w:rPr>
        <w:t>份证件</w:t>
      </w:r>
      <w:r>
        <w:rPr>
          <w:spacing w:val="-6"/>
          <w:sz w:val="21"/>
        </w:rPr>
        <w:t>（见</w:t>
      </w:r>
      <w:r>
        <w:rPr>
          <w:rFonts w:ascii="Times New Roman" w:eastAsia="Times New Roman"/>
          <w:spacing w:val="7"/>
          <w:sz w:val="21"/>
        </w:rPr>
        <w:t>1</w:t>
      </w:r>
      <w:r>
        <w:rPr>
          <w:rFonts w:ascii="Times New Roman" w:eastAsia="Times New Roman"/>
          <w:spacing w:val="17"/>
          <w:sz w:val="21"/>
        </w:rPr>
        <w:t>1.3</w:t>
      </w:r>
      <w:r>
        <w:rPr>
          <w:spacing w:val="-89"/>
          <w:sz w:val="21"/>
        </w:rPr>
        <w:t>）</w:t>
      </w:r>
      <w:r>
        <w:rPr>
          <w:spacing w:val="-6"/>
          <w:sz w:val="21"/>
        </w:rPr>
        <w:t>。</w:t>
      </w:r>
      <w:r>
        <w:rPr>
          <w:b/>
          <w:spacing w:val="-6"/>
          <w:sz w:val="21"/>
        </w:rPr>
        <w:t>自我们收到解除合同申请书时起，本合同即被</w:t>
      </w:r>
      <w:r>
        <w:rPr>
          <w:b/>
          <w:spacing w:val="-2"/>
          <w:sz w:val="21"/>
        </w:rPr>
        <w:t>解除，我们自本合同生效日起不承担保险责任。</w:t>
      </w:r>
    </w:p>
    <w:p>
      <w:pPr>
        <w:pStyle w:val="3"/>
        <w:spacing w:before="6"/>
        <w:rPr>
          <w:b/>
          <w:sz w:val="24"/>
        </w:rPr>
      </w:pPr>
    </w:p>
    <w:p>
      <w:pPr>
        <w:pStyle w:val="2"/>
        <w:numPr>
          <w:ilvl w:val="0"/>
          <w:numId w:val="14"/>
        </w:numPr>
        <w:tabs>
          <w:tab w:val="left" w:pos="1338"/>
          <w:tab w:val="left" w:pos="1339"/>
        </w:tabs>
        <w:spacing w:before="0" w:after="0" w:line="240" w:lineRule="auto"/>
        <w:ind w:left="1338" w:right="0" w:hanging="1005"/>
        <w:jc w:val="left"/>
      </w:pPr>
      <w:r>
        <w:rPr>
          <w:w w:val="95"/>
        </w:rPr>
        <w:t>我们提供的保</w:t>
      </w:r>
      <w:r>
        <w:rPr>
          <w:spacing w:val="-10"/>
          <w:w w:val="95"/>
        </w:rPr>
        <w:t>障</w:t>
      </w:r>
    </w:p>
    <w:p>
      <w:pPr>
        <w:pStyle w:val="3"/>
        <w:spacing w:before="6"/>
        <w:rPr>
          <w:b/>
          <w:sz w:val="4"/>
        </w:rPr>
      </w:pPr>
      <w:r>
        <w:drawing>
          <wp:anchor distT="0" distB="0" distL="0" distR="0" simplePos="0" relativeHeight="251659264" behindDoc="0" locked="0" layoutInCell="1" allowOverlap="1">
            <wp:simplePos x="0" y="0"/>
            <wp:positionH relativeFrom="page">
              <wp:posOffset>1082040</wp:posOffset>
            </wp:positionH>
            <wp:positionV relativeFrom="paragraph">
              <wp:posOffset>51435</wp:posOffset>
            </wp:positionV>
            <wp:extent cx="5756910" cy="6350"/>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10" cstate="print"/>
                    <a:stretch>
                      <a:fillRect/>
                    </a:stretch>
                  </pic:blipFill>
                  <pic:spPr>
                    <a:xfrm>
                      <a:off x="0" y="0"/>
                      <a:ext cx="5756633" cy="6095"/>
                    </a:xfrm>
                    <a:prstGeom prst="rect">
                      <a:avLst/>
                    </a:prstGeom>
                  </pic:spPr>
                </pic:pic>
              </a:graphicData>
            </a:graphic>
          </wp:anchor>
        </w:drawing>
      </w:r>
    </w:p>
    <w:p>
      <w:pPr>
        <w:pStyle w:val="8"/>
        <w:numPr>
          <w:ilvl w:val="1"/>
          <w:numId w:val="14"/>
        </w:numPr>
        <w:tabs>
          <w:tab w:val="left" w:pos="1338"/>
          <w:tab w:val="left" w:pos="1339"/>
          <w:tab w:val="left" w:pos="3307"/>
        </w:tabs>
        <w:spacing w:before="0" w:after="0" w:line="265" w:lineRule="exact"/>
        <w:ind w:left="1338" w:right="0" w:hanging="1005"/>
        <w:jc w:val="left"/>
        <w:rPr>
          <w:b/>
          <w:sz w:val="21"/>
        </w:rPr>
      </w:pPr>
      <w:r>
        <w:rPr>
          <w:b/>
          <w:sz w:val="21"/>
        </w:rPr>
        <w:t>保障计</w:t>
      </w:r>
      <w:r>
        <w:rPr>
          <w:b/>
          <w:spacing w:val="-10"/>
          <w:sz w:val="21"/>
        </w:rPr>
        <w:t>划</w:t>
      </w:r>
      <w:r>
        <w:rPr>
          <w:b/>
          <w:sz w:val="21"/>
        </w:rPr>
        <w:tab/>
      </w:r>
      <w:r>
        <w:rPr>
          <w:b/>
          <w:spacing w:val="-2"/>
          <w:sz w:val="21"/>
        </w:rPr>
        <w:t>本合同保障计划的各项保险金年度给付限额、给付比例及年度</w:t>
      </w:r>
      <w:r>
        <w:rPr>
          <w:b/>
          <w:spacing w:val="-10"/>
          <w:sz w:val="21"/>
        </w:rPr>
        <w:t>免</w:t>
      </w:r>
    </w:p>
    <w:p>
      <w:pPr>
        <w:spacing w:before="0"/>
        <w:ind w:left="3307" w:right="0" w:firstLine="0"/>
        <w:jc w:val="left"/>
        <w:rPr>
          <w:b/>
          <w:sz w:val="21"/>
        </w:rPr>
      </w:pPr>
      <w:r>
        <w:rPr>
          <w:b/>
          <w:spacing w:val="-2"/>
          <w:sz w:val="21"/>
        </w:rPr>
        <w:t>赔额见附表。</w:t>
      </w:r>
    </w:p>
    <w:p>
      <w:pPr>
        <w:pStyle w:val="3"/>
        <w:spacing w:before="5"/>
        <w:rPr>
          <w:b/>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14"/>
        </w:numPr>
        <w:tabs>
          <w:tab w:val="left" w:pos="1338"/>
          <w:tab w:val="left" w:pos="1339"/>
        </w:tabs>
        <w:spacing w:before="92" w:after="0" w:line="244" w:lineRule="auto"/>
        <w:ind w:left="1338" w:right="0" w:hanging="1004"/>
        <w:jc w:val="left"/>
        <w:rPr>
          <w:b/>
          <w:sz w:val="21"/>
        </w:rPr>
      </w:pPr>
      <w:r>
        <w:rPr>
          <w:b/>
          <w:sz w:val="21"/>
        </w:rPr>
        <w:t>保险期间及保证续</w:t>
      </w:r>
      <w:r>
        <w:rPr>
          <w:b/>
          <w:spacing w:val="-10"/>
          <w:sz w:val="21"/>
        </w:rPr>
        <w:t>保</w:t>
      </w:r>
    </w:p>
    <w:p>
      <w:pPr>
        <w:pStyle w:val="3"/>
        <w:spacing w:before="98" w:line="244" w:lineRule="auto"/>
        <w:ind w:left="171" w:right="713"/>
      </w:pPr>
      <w:r>
        <w:br w:type="column"/>
      </w:r>
      <w:r>
        <w:rPr>
          <w:spacing w:val="-2"/>
        </w:rPr>
        <w:t>本合同的保险期间为</w:t>
      </w:r>
      <w:r>
        <w:rPr>
          <w:rFonts w:ascii="Times New Roman" w:eastAsia="Times New Roman"/>
          <w:spacing w:val="-2"/>
        </w:rPr>
        <w:t>1</w:t>
      </w:r>
      <w:r>
        <w:rPr>
          <w:spacing w:val="-2"/>
        </w:rPr>
        <w:t>年，并于保险单上载明。自本合同生效日起，每</w:t>
      </w:r>
      <w:r>
        <w:rPr>
          <w:rFonts w:ascii="Times New Roman" w:eastAsia="Times New Roman"/>
          <w:spacing w:val="-2"/>
        </w:rPr>
        <w:t>3</w:t>
      </w:r>
      <w:r>
        <w:rPr>
          <w:spacing w:val="-2"/>
        </w:rPr>
        <w:t>年为一个保证续保期间。</w:t>
      </w:r>
    </w:p>
    <w:p>
      <w:pPr>
        <w:spacing w:after="0" w:line="244" w:lineRule="auto"/>
        <w:sectPr>
          <w:type w:val="continuous"/>
          <w:pgSz w:w="11910" w:h="16840"/>
          <w:pgMar w:top="320" w:right="620" w:bottom="280" w:left="1480" w:header="0" w:footer="851" w:gutter="0"/>
          <w:cols w:equalWidth="0" w:num="2">
            <w:col w:w="3097" w:space="40"/>
            <w:col w:w="6673"/>
          </w:cols>
        </w:sectPr>
      </w:pPr>
    </w:p>
    <w:p>
      <w:pPr>
        <w:pStyle w:val="3"/>
        <w:spacing w:before="56" w:line="269" w:lineRule="exact"/>
        <w:ind w:left="3307"/>
      </w:pPr>
      <w:r>
        <w:rPr>
          <w:spacing w:val="-3"/>
        </w:rPr>
        <w:t>在保证续保期间内，您享有如下保证续保权：</w:t>
      </w:r>
    </w:p>
    <w:p>
      <w:pPr>
        <w:pStyle w:val="8"/>
        <w:numPr>
          <w:ilvl w:val="2"/>
          <w:numId w:val="14"/>
        </w:numPr>
        <w:tabs>
          <w:tab w:val="left" w:pos="3847"/>
        </w:tabs>
        <w:spacing w:before="0" w:after="0" w:line="244" w:lineRule="auto"/>
        <w:ind w:left="3830" w:right="617" w:hanging="524"/>
        <w:jc w:val="both"/>
        <w:rPr>
          <w:sz w:val="19"/>
        </w:rPr>
      </w:pPr>
      <w:r>
        <w:rPr>
          <w:spacing w:val="-2"/>
          <w:sz w:val="21"/>
        </w:rPr>
        <w:t>每个保证续保期间内，我们依该保证续保期间期初约定的费率表按续保时被保险人的年龄收取保险费，该保险费不因本保险整体费率的调整而改变；</w:t>
      </w:r>
    </w:p>
    <w:p>
      <w:pPr>
        <w:pStyle w:val="8"/>
        <w:numPr>
          <w:ilvl w:val="2"/>
          <w:numId w:val="14"/>
        </w:numPr>
        <w:tabs>
          <w:tab w:val="left" w:pos="3847"/>
        </w:tabs>
        <w:spacing w:before="0" w:after="0" w:line="240" w:lineRule="auto"/>
        <w:ind w:left="3830" w:right="621" w:hanging="524"/>
        <w:jc w:val="left"/>
        <w:rPr>
          <w:sz w:val="19"/>
        </w:rPr>
      </w:pPr>
      <w:r>
        <w:rPr>
          <w:spacing w:val="-2"/>
          <w:sz w:val="21"/>
        </w:rPr>
        <w:t>每个保证续保期间内，我们不因被保险人的健康状况或历史理赔情况而拒绝您的续保申请；</w:t>
      </w:r>
    </w:p>
    <w:p>
      <w:pPr>
        <w:pStyle w:val="8"/>
        <w:numPr>
          <w:ilvl w:val="2"/>
          <w:numId w:val="14"/>
        </w:numPr>
        <w:tabs>
          <w:tab w:val="left" w:pos="3847"/>
        </w:tabs>
        <w:spacing w:before="2" w:after="0" w:line="244" w:lineRule="auto"/>
        <w:ind w:left="3830" w:right="621" w:hanging="524"/>
        <w:jc w:val="left"/>
        <w:rPr>
          <w:sz w:val="19"/>
        </w:rPr>
      </w:pPr>
      <w:r>
        <w:rPr>
          <w:spacing w:val="-2"/>
          <w:sz w:val="21"/>
        </w:rPr>
        <w:t>每个保证续保期间内，您的保证续保权不因本保险的停售</w:t>
      </w:r>
      <w:r>
        <w:rPr>
          <w:spacing w:val="-4"/>
          <w:sz w:val="21"/>
        </w:rPr>
        <w:t>而终止。</w:t>
      </w:r>
    </w:p>
    <w:p>
      <w:pPr>
        <w:pStyle w:val="3"/>
        <w:spacing w:before="7"/>
        <w:rPr>
          <w:sz w:val="18"/>
        </w:rPr>
      </w:pPr>
    </w:p>
    <w:p>
      <w:pPr>
        <w:pStyle w:val="3"/>
        <w:spacing w:before="1"/>
        <w:ind w:left="3307"/>
      </w:pPr>
      <w:r>
        <w:rPr>
          <w:spacing w:val="-3"/>
        </w:rPr>
        <w:t>在保证续保期间内，若发生下列情形之一，我们不再接受续保：</w:t>
      </w:r>
    </w:p>
    <w:p>
      <w:pPr>
        <w:pStyle w:val="8"/>
        <w:numPr>
          <w:ilvl w:val="0"/>
          <w:numId w:val="15"/>
        </w:numPr>
        <w:tabs>
          <w:tab w:val="left" w:pos="3837"/>
        </w:tabs>
        <w:spacing w:before="5" w:after="0" w:line="240" w:lineRule="auto"/>
        <w:ind w:left="3830" w:right="512" w:hanging="524"/>
        <w:jc w:val="left"/>
        <w:rPr>
          <w:sz w:val="21"/>
        </w:rPr>
      </w:pPr>
      <w:r>
        <w:rPr>
          <w:spacing w:val="-2"/>
          <w:sz w:val="21"/>
        </w:rPr>
        <w:t>若您选择了自动申请续保且您在本合同保险期间届满之前向我们提出停止续保申请；</w:t>
      </w:r>
    </w:p>
    <w:p>
      <w:pPr>
        <w:pStyle w:val="8"/>
        <w:numPr>
          <w:ilvl w:val="0"/>
          <w:numId w:val="15"/>
        </w:numPr>
        <w:tabs>
          <w:tab w:val="left" w:pos="3837"/>
        </w:tabs>
        <w:spacing w:before="4" w:after="0" w:line="240" w:lineRule="auto"/>
        <w:ind w:left="3836" w:right="0" w:hanging="530"/>
        <w:jc w:val="left"/>
        <w:rPr>
          <w:sz w:val="21"/>
        </w:rPr>
      </w:pPr>
      <w:r>
        <w:rPr>
          <w:spacing w:val="-2"/>
          <w:sz w:val="21"/>
        </w:rPr>
        <w:t>续保时被保险人的年龄超过</w:t>
      </w:r>
      <w:r>
        <w:rPr>
          <w:rFonts w:ascii="Times New Roman" w:eastAsia="Times New Roman"/>
          <w:spacing w:val="-2"/>
          <w:sz w:val="21"/>
        </w:rPr>
        <w:t>105</w:t>
      </w:r>
      <w:r>
        <w:rPr>
          <w:spacing w:val="-5"/>
          <w:sz w:val="21"/>
        </w:rPr>
        <w:t>周岁；</w:t>
      </w:r>
    </w:p>
    <w:p>
      <w:pPr>
        <w:pStyle w:val="8"/>
        <w:numPr>
          <w:ilvl w:val="0"/>
          <w:numId w:val="15"/>
        </w:numPr>
        <w:tabs>
          <w:tab w:val="left" w:pos="3837"/>
        </w:tabs>
        <w:spacing w:before="4" w:after="0" w:line="242" w:lineRule="auto"/>
        <w:ind w:left="3830" w:right="511" w:hanging="524"/>
        <w:jc w:val="both"/>
        <w:rPr>
          <w:sz w:val="21"/>
        </w:rPr>
      </w:pPr>
      <w:r>
        <w:rPr>
          <w:spacing w:val="-2"/>
          <w:sz w:val="21"/>
        </w:rPr>
        <w:t>您于保险期间届满之前或在本合同约定的宽限期内，未按照</w:t>
      </w:r>
      <w:r>
        <w:rPr>
          <w:spacing w:val="-13"/>
          <w:sz w:val="21"/>
        </w:rPr>
        <w:t>续保当时被保险人的保障计划、年龄、</w:t>
      </w:r>
      <w:r>
        <w:rPr>
          <w:b/>
          <w:spacing w:val="-11"/>
          <w:sz w:val="21"/>
        </w:rPr>
        <w:t>社会基本医疗保险</w:t>
      </w:r>
      <w:r>
        <w:rPr>
          <w:spacing w:val="-2"/>
          <w:sz w:val="21"/>
        </w:rPr>
        <w:t xml:space="preserve">（见 </w:t>
      </w:r>
      <w:r>
        <w:rPr>
          <w:rFonts w:ascii="Times New Roman" w:eastAsia="Times New Roman"/>
          <w:spacing w:val="-4"/>
          <w:sz w:val="21"/>
        </w:rPr>
        <w:t>11.4</w:t>
      </w:r>
      <w:r>
        <w:rPr>
          <w:spacing w:val="-4"/>
          <w:sz w:val="21"/>
        </w:rPr>
        <w:t>）或</w:t>
      </w:r>
      <w:r>
        <w:rPr>
          <w:b/>
          <w:spacing w:val="-4"/>
          <w:sz w:val="21"/>
        </w:rPr>
        <w:t>公费医疗</w:t>
      </w:r>
      <w:r>
        <w:rPr>
          <w:spacing w:val="-4"/>
          <w:sz w:val="21"/>
        </w:rPr>
        <w:t>（见</w:t>
      </w:r>
      <w:r>
        <w:rPr>
          <w:rFonts w:ascii="Times New Roman" w:eastAsia="Times New Roman"/>
          <w:spacing w:val="-4"/>
          <w:sz w:val="21"/>
        </w:rPr>
        <w:t>11.5</w:t>
      </w:r>
      <w:r>
        <w:rPr>
          <w:spacing w:val="-4"/>
          <w:sz w:val="21"/>
        </w:rPr>
        <w:t>）身份等所对应的保险费率和本合</w:t>
      </w:r>
      <w:r>
        <w:rPr>
          <w:spacing w:val="-2"/>
          <w:sz w:val="21"/>
        </w:rPr>
        <w:t>同约定的保险费支付方式支付相应的续期保险费；</w:t>
      </w:r>
    </w:p>
    <w:p>
      <w:pPr>
        <w:pStyle w:val="8"/>
        <w:numPr>
          <w:ilvl w:val="0"/>
          <w:numId w:val="15"/>
        </w:numPr>
        <w:tabs>
          <w:tab w:val="left" w:pos="3837"/>
        </w:tabs>
        <w:spacing w:before="4" w:after="0" w:line="240" w:lineRule="auto"/>
        <w:ind w:left="3836" w:right="0" w:hanging="530"/>
        <w:jc w:val="left"/>
        <w:rPr>
          <w:sz w:val="21"/>
        </w:rPr>
      </w:pPr>
      <w:r>
        <w:rPr>
          <w:spacing w:val="-3"/>
          <w:sz w:val="21"/>
        </w:rPr>
        <w:t>若您未履行如实告知义务，我们有权终止您的保证续保权。</w:t>
      </w:r>
    </w:p>
    <w:p>
      <w:pPr>
        <w:pStyle w:val="3"/>
        <w:rPr>
          <w:sz w:val="19"/>
        </w:rPr>
      </w:pPr>
    </w:p>
    <w:p>
      <w:pPr>
        <w:pStyle w:val="3"/>
        <w:spacing w:before="1" w:line="242" w:lineRule="auto"/>
        <w:ind w:left="3307" w:right="509"/>
        <w:rPr>
          <w:b/>
        </w:rPr>
      </w:pPr>
      <w:r>
        <w:rPr>
          <w:spacing w:val="-5"/>
          <w:w w:val="100"/>
        </w:rPr>
        <w:t>每个保证续保期间届满时，您将不再享有保证续保的权利。在每</w:t>
      </w:r>
      <w:r>
        <w:rPr>
          <w:spacing w:val="3"/>
          <w:w w:val="100"/>
        </w:rPr>
        <w:t>个保证续保期间届满时，我们将审核被保险人是否符合续保条</w:t>
      </w:r>
      <w:r>
        <w:rPr>
          <w:spacing w:val="-13"/>
          <w:w w:val="100"/>
        </w:rPr>
        <w:t>件。若我们审核后同意您续保，您可于每个保证续保期间届满时，</w:t>
      </w:r>
      <w:r>
        <w:rPr>
          <w:spacing w:val="-5"/>
          <w:w w:val="100"/>
        </w:rPr>
        <w:t>您按照续保时被保险人的保障计划、年龄、社会基本医疗保险或</w:t>
      </w:r>
      <w:r>
        <w:rPr>
          <w:spacing w:val="3"/>
          <w:w w:val="100"/>
        </w:rPr>
        <w:t>公费医疗身份等所对应的保险费率和本合同约定的保险费支付</w:t>
      </w:r>
      <w:r>
        <w:rPr>
          <w:spacing w:val="-5"/>
          <w:w w:val="100"/>
        </w:rPr>
        <w:t>方式支付相应的续期保险费后，本合同继续有效。若我们审核后</w:t>
      </w:r>
      <w:r>
        <w:rPr>
          <w:spacing w:val="-7"/>
          <w:w w:val="100"/>
        </w:rPr>
        <w:t>不同意您续保，我们会以书面形式通知您。</w:t>
      </w:r>
      <w:r>
        <w:rPr>
          <w:b/>
          <w:w w:val="100"/>
        </w:rPr>
        <w:t>若续保时本保险已停售，则我们不再接受续保。</w:t>
      </w:r>
    </w:p>
    <w:p>
      <w:pPr>
        <w:pStyle w:val="3"/>
        <w:spacing w:before="9"/>
        <w:rPr>
          <w:b/>
          <w:sz w:val="18"/>
        </w:rPr>
      </w:pPr>
    </w:p>
    <w:p>
      <w:pPr>
        <w:pStyle w:val="8"/>
        <w:numPr>
          <w:ilvl w:val="1"/>
          <w:numId w:val="14"/>
        </w:numPr>
        <w:tabs>
          <w:tab w:val="left" w:pos="1338"/>
          <w:tab w:val="left" w:pos="1339"/>
          <w:tab w:val="left" w:pos="3307"/>
        </w:tabs>
        <w:spacing w:before="0" w:after="0" w:line="240" w:lineRule="auto"/>
        <w:ind w:left="1338" w:right="0" w:hanging="1005"/>
        <w:jc w:val="left"/>
        <w:rPr>
          <w:sz w:val="21"/>
        </w:rPr>
      </w:pPr>
      <w:r>
        <w:rPr>
          <w:b/>
          <w:sz w:val="21"/>
        </w:rPr>
        <w:t>等待</w:t>
      </w:r>
      <w:r>
        <w:rPr>
          <w:b/>
          <w:spacing w:val="-10"/>
          <w:sz w:val="21"/>
        </w:rPr>
        <w:t>期</w:t>
      </w:r>
      <w:r>
        <w:rPr>
          <w:b/>
          <w:sz w:val="21"/>
        </w:rPr>
        <w:tab/>
      </w:r>
      <w:r>
        <w:rPr>
          <w:spacing w:val="-2"/>
          <w:sz w:val="21"/>
        </w:rPr>
        <w:t>本合同的等待期是指自本合同生效日起</w:t>
      </w:r>
      <w:r>
        <w:rPr>
          <w:rFonts w:ascii="Times New Roman" w:eastAsia="Times New Roman"/>
          <w:spacing w:val="-2"/>
          <w:sz w:val="21"/>
        </w:rPr>
        <w:t>30</w:t>
      </w:r>
      <w:r>
        <w:rPr>
          <w:spacing w:val="-2"/>
          <w:sz w:val="21"/>
        </w:rPr>
        <w:t>天内（含第</w:t>
      </w:r>
      <w:r>
        <w:rPr>
          <w:rFonts w:ascii="Times New Roman" w:eastAsia="Times New Roman"/>
          <w:spacing w:val="-2"/>
          <w:sz w:val="21"/>
        </w:rPr>
        <w:t>30</w:t>
      </w:r>
      <w:r>
        <w:rPr>
          <w:spacing w:val="-2"/>
          <w:sz w:val="21"/>
        </w:rPr>
        <w:t>天）的</w:t>
      </w:r>
      <w:r>
        <w:rPr>
          <w:spacing w:val="-10"/>
          <w:sz w:val="21"/>
        </w:rPr>
        <w:t>期</w:t>
      </w:r>
    </w:p>
    <w:p>
      <w:pPr>
        <w:pStyle w:val="3"/>
        <w:spacing w:before="4"/>
        <w:ind w:left="3307"/>
      </w:pPr>
      <w:r>
        <w:rPr>
          <w:spacing w:val="-5"/>
        </w:rPr>
        <w:t>间。</w:t>
      </w:r>
    </w:p>
    <w:p>
      <w:pPr>
        <w:pStyle w:val="3"/>
        <w:spacing w:before="5"/>
      </w:pPr>
    </w:p>
    <w:p>
      <w:pPr>
        <w:spacing w:before="0" w:line="244" w:lineRule="auto"/>
        <w:ind w:left="3307" w:right="612" w:firstLine="0"/>
        <w:jc w:val="both"/>
        <w:rPr>
          <w:b/>
          <w:sz w:val="21"/>
        </w:rPr>
      </w:pPr>
      <w:r>
        <w:rPr>
          <w:b/>
          <w:spacing w:val="-2"/>
          <w:sz w:val="21"/>
        </w:rPr>
        <w:t>若被保险人在等待期内确诊患有任何一项符合本合同第</w:t>
      </w:r>
      <w:r>
        <w:rPr>
          <w:rFonts w:ascii="Times New Roman" w:eastAsia="Times New Roman"/>
          <w:b/>
          <w:spacing w:val="-2"/>
          <w:sz w:val="21"/>
        </w:rPr>
        <w:t>9</w:t>
      </w:r>
      <w:r>
        <w:rPr>
          <w:b/>
          <w:spacing w:val="-2"/>
          <w:sz w:val="21"/>
        </w:rPr>
        <w:t>条约定保障范围及定义的轻症疾病、第</w:t>
      </w:r>
      <w:r>
        <w:rPr>
          <w:rFonts w:ascii="Times New Roman" w:eastAsia="Times New Roman"/>
          <w:b/>
          <w:spacing w:val="-2"/>
          <w:sz w:val="21"/>
        </w:rPr>
        <w:t>10</w:t>
      </w:r>
      <w:r>
        <w:rPr>
          <w:b/>
          <w:spacing w:val="-2"/>
          <w:sz w:val="21"/>
        </w:rPr>
        <w:t>条约定保障范围及定义的重大疾病，我们向您无息退还保险费，本合同效力终止。</w:t>
      </w:r>
    </w:p>
    <w:p>
      <w:pPr>
        <w:pStyle w:val="3"/>
        <w:spacing w:before="10"/>
        <w:rPr>
          <w:b/>
          <w:sz w:val="20"/>
        </w:rPr>
      </w:pPr>
    </w:p>
    <w:p>
      <w:pPr>
        <w:spacing w:before="0" w:line="242" w:lineRule="auto"/>
        <w:ind w:left="3307" w:right="617" w:firstLine="0"/>
        <w:jc w:val="both"/>
        <w:rPr>
          <w:sz w:val="21"/>
        </w:rPr>
      </w:pPr>
      <w:r>
        <w:rPr>
          <w:b/>
          <w:spacing w:val="-2"/>
          <w:sz w:val="21"/>
        </w:rPr>
        <w:t>若被保险人在等待期内确诊患有除本合同第</w:t>
      </w:r>
      <w:r>
        <w:rPr>
          <w:rFonts w:ascii="Times New Roman" w:eastAsia="Times New Roman"/>
          <w:b/>
          <w:spacing w:val="-2"/>
          <w:sz w:val="21"/>
        </w:rPr>
        <w:t>9</w:t>
      </w:r>
      <w:r>
        <w:rPr>
          <w:b/>
          <w:spacing w:val="-2"/>
          <w:sz w:val="21"/>
        </w:rPr>
        <w:t>条约定保障范围及定义的轻症疾病、第</w:t>
      </w:r>
      <w:r>
        <w:rPr>
          <w:rFonts w:ascii="Times New Roman" w:eastAsia="Times New Roman"/>
          <w:b/>
          <w:spacing w:val="-2"/>
          <w:sz w:val="21"/>
        </w:rPr>
        <w:t>10</w:t>
      </w:r>
      <w:r>
        <w:rPr>
          <w:b/>
          <w:spacing w:val="-2"/>
          <w:sz w:val="21"/>
        </w:rPr>
        <w:t>条约定保障范围及定义的重大疾病以外的疾病，并接受下列治疗，无论治疗是否延续至等待期后，我们均不承担给付保险金的责任，</w:t>
      </w:r>
      <w:r>
        <w:rPr>
          <w:spacing w:val="-2"/>
          <w:sz w:val="21"/>
        </w:rPr>
        <w:t>但本合同继续有效。</w:t>
      </w:r>
    </w:p>
    <w:p>
      <w:pPr>
        <w:pStyle w:val="8"/>
        <w:numPr>
          <w:ilvl w:val="0"/>
          <w:numId w:val="16"/>
        </w:numPr>
        <w:tabs>
          <w:tab w:val="left" w:pos="3837"/>
        </w:tabs>
        <w:spacing w:before="3" w:after="0" w:line="244" w:lineRule="auto"/>
        <w:ind w:left="3830" w:right="511" w:hanging="524"/>
        <w:jc w:val="left"/>
        <w:rPr>
          <w:sz w:val="19"/>
        </w:rPr>
      </w:pPr>
      <w:r>
        <w:rPr>
          <w:spacing w:val="-2"/>
          <w:sz w:val="21"/>
        </w:rPr>
        <w:t>接受住院治疗，或者与该住院治疗原因相同的所有治疗，或者与该住院视为</w:t>
      </w:r>
      <w:r>
        <w:rPr>
          <w:b/>
          <w:spacing w:val="-2"/>
          <w:sz w:val="21"/>
        </w:rPr>
        <w:t>同一次住院</w:t>
      </w:r>
      <w:r>
        <w:rPr>
          <w:spacing w:val="-2"/>
          <w:sz w:val="21"/>
        </w:rPr>
        <w:t>（见</w:t>
      </w:r>
      <w:r>
        <w:rPr>
          <w:rFonts w:ascii="Times New Roman" w:eastAsia="Times New Roman"/>
          <w:spacing w:val="-2"/>
          <w:sz w:val="21"/>
        </w:rPr>
        <w:t>11.6</w:t>
      </w:r>
      <w:r>
        <w:rPr>
          <w:spacing w:val="-2"/>
          <w:sz w:val="21"/>
        </w:rPr>
        <w:t>）的治疗；</w:t>
      </w:r>
    </w:p>
    <w:p>
      <w:pPr>
        <w:pStyle w:val="8"/>
        <w:numPr>
          <w:ilvl w:val="0"/>
          <w:numId w:val="16"/>
        </w:numPr>
        <w:tabs>
          <w:tab w:val="left" w:pos="3818"/>
        </w:tabs>
        <w:spacing w:before="0" w:after="0" w:line="240" w:lineRule="auto"/>
        <w:ind w:left="3806" w:right="617" w:hanging="500"/>
        <w:jc w:val="left"/>
        <w:rPr>
          <w:sz w:val="18"/>
        </w:rPr>
      </w:pPr>
      <w:r>
        <w:rPr>
          <w:spacing w:val="-9"/>
          <w:w w:val="100"/>
          <w:sz w:val="21"/>
        </w:rPr>
        <w:t>接受特定门诊治疗，或者与该特定门诊治疗原因相同的所</w:t>
      </w:r>
      <w:r>
        <w:rPr>
          <w:spacing w:val="-4"/>
          <w:w w:val="100"/>
          <w:sz w:val="21"/>
        </w:rPr>
        <w:t>有治疗；</w:t>
      </w:r>
    </w:p>
    <w:p>
      <w:pPr>
        <w:pStyle w:val="8"/>
        <w:numPr>
          <w:ilvl w:val="0"/>
          <w:numId w:val="16"/>
        </w:numPr>
        <w:tabs>
          <w:tab w:val="left" w:pos="3818"/>
        </w:tabs>
        <w:spacing w:before="3" w:after="0" w:line="244" w:lineRule="auto"/>
        <w:ind w:left="3806" w:right="617" w:hanging="500"/>
        <w:jc w:val="left"/>
        <w:rPr>
          <w:sz w:val="18"/>
        </w:rPr>
      </w:pPr>
      <w:r>
        <w:rPr>
          <w:spacing w:val="-9"/>
          <w:w w:val="100"/>
          <w:sz w:val="21"/>
        </w:rPr>
        <w:t>接受门诊手术治疗，或者与该门诊手术治疗原因相同的所</w:t>
      </w:r>
      <w:r>
        <w:rPr>
          <w:spacing w:val="-3"/>
          <w:w w:val="100"/>
          <w:sz w:val="21"/>
        </w:rPr>
        <w:t>有治疗。</w:t>
      </w:r>
    </w:p>
    <w:p>
      <w:pPr>
        <w:pStyle w:val="8"/>
        <w:numPr>
          <w:ilvl w:val="0"/>
          <w:numId w:val="16"/>
        </w:numPr>
        <w:tabs>
          <w:tab w:val="left" w:pos="3818"/>
        </w:tabs>
        <w:spacing w:before="0" w:after="0" w:line="263" w:lineRule="exact"/>
        <w:ind w:left="3817" w:right="0" w:hanging="511"/>
        <w:jc w:val="left"/>
        <w:rPr>
          <w:sz w:val="18"/>
        </w:rPr>
      </w:pPr>
      <w:r>
        <w:rPr>
          <w:spacing w:val="-12"/>
          <w:sz w:val="21"/>
        </w:rPr>
        <w:t>接受门急诊治疗，或者与该门急诊治疗原因相同的所有治疗。</w:t>
      </w:r>
    </w:p>
    <w:p>
      <w:pPr>
        <w:pStyle w:val="3"/>
        <w:spacing w:before="9"/>
      </w:pPr>
    </w:p>
    <w:p>
      <w:pPr>
        <w:pStyle w:val="3"/>
        <w:spacing w:line="244" w:lineRule="auto"/>
        <w:ind w:left="3307" w:right="622"/>
      </w:pPr>
      <w:r>
        <w:rPr>
          <w:spacing w:val="-2"/>
        </w:rPr>
        <w:t>因</w:t>
      </w:r>
      <w:r>
        <w:rPr>
          <w:b/>
          <w:spacing w:val="-2"/>
        </w:rPr>
        <w:t>意外伤害</w:t>
      </w:r>
      <w:r>
        <w:rPr>
          <w:spacing w:val="-2"/>
        </w:rPr>
        <w:t>（见</w:t>
      </w:r>
      <w:r>
        <w:rPr>
          <w:rFonts w:ascii="Times New Roman" w:eastAsia="Times New Roman"/>
          <w:spacing w:val="-2"/>
        </w:rPr>
        <w:t>11.7</w:t>
      </w:r>
      <w:r>
        <w:rPr>
          <w:spacing w:val="-2"/>
        </w:rPr>
        <w:t>）事故引起的保险事故无等待期。续保合同无等待期。</w:t>
      </w:r>
    </w:p>
    <w:p>
      <w:pPr>
        <w:pStyle w:val="3"/>
        <w:spacing w:before="1"/>
        <w:rPr>
          <w:sz w:val="18"/>
        </w:rPr>
      </w:pPr>
    </w:p>
    <w:p>
      <w:pPr>
        <w:pStyle w:val="8"/>
        <w:numPr>
          <w:ilvl w:val="1"/>
          <w:numId w:val="14"/>
        </w:numPr>
        <w:tabs>
          <w:tab w:val="left" w:pos="1338"/>
          <w:tab w:val="left" w:pos="1339"/>
          <w:tab w:val="left" w:pos="3307"/>
        </w:tabs>
        <w:spacing w:before="1" w:after="0" w:line="240" w:lineRule="auto"/>
        <w:ind w:left="1338" w:right="0" w:hanging="1005"/>
        <w:jc w:val="left"/>
        <w:rPr>
          <w:sz w:val="21"/>
        </w:rPr>
      </w:pPr>
      <w:r>
        <w:rPr>
          <w:b/>
          <w:sz w:val="21"/>
        </w:rPr>
        <w:t>保险责</w:t>
      </w:r>
      <w:r>
        <w:rPr>
          <w:b/>
          <w:spacing w:val="-10"/>
          <w:sz w:val="21"/>
        </w:rPr>
        <w:t>任</w:t>
      </w:r>
      <w:r>
        <w:rPr>
          <w:b/>
          <w:sz w:val="21"/>
        </w:rPr>
        <w:tab/>
      </w:r>
      <w:r>
        <w:rPr>
          <w:spacing w:val="-2"/>
          <w:sz w:val="21"/>
        </w:rPr>
        <w:t>在本合同保险期间内，我们承担如下保险责任</w:t>
      </w:r>
      <w:r>
        <w:rPr>
          <w:spacing w:val="-10"/>
          <w:sz w:val="21"/>
        </w:rPr>
        <w:t>：</w:t>
      </w:r>
    </w:p>
    <w:p>
      <w:pPr>
        <w:pStyle w:val="3"/>
        <w:spacing w:before="8"/>
        <w:rPr>
          <w:sz w:val="18"/>
        </w:rPr>
      </w:pPr>
    </w:p>
    <w:p>
      <w:pPr>
        <w:pStyle w:val="8"/>
        <w:numPr>
          <w:ilvl w:val="2"/>
          <w:numId w:val="17"/>
        </w:numPr>
        <w:tabs>
          <w:tab w:val="left" w:pos="1338"/>
          <w:tab w:val="left" w:pos="1339"/>
          <w:tab w:val="left" w:pos="3307"/>
        </w:tabs>
        <w:spacing w:before="0" w:after="0" w:line="240" w:lineRule="auto"/>
        <w:ind w:left="1338" w:right="0" w:hanging="1005"/>
        <w:jc w:val="left"/>
        <w:rPr>
          <w:sz w:val="21"/>
        </w:rPr>
      </w:pPr>
      <w:r>
        <w:rPr>
          <w:b/>
          <w:sz w:val="21"/>
        </w:rPr>
        <w:t>一般医疗保险</w:t>
      </w:r>
      <w:r>
        <w:rPr>
          <w:b/>
          <w:spacing w:val="-10"/>
          <w:sz w:val="21"/>
        </w:rPr>
        <w:t>金</w:t>
      </w:r>
      <w:r>
        <w:rPr>
          <w:b/>
          <w:sz w:val="21"/>
        </w:rPr>
        <w:tab/>
      </w:r>
      <w:r>
        <w:rPr>
          <w:spacing w:val="-2"/>
          <w:sz w:val="21"/>
        </w:rPr>
        <w:t>被保险人因意外伤害或在等待期后因意外伤害以外的原因，经</w:t>
      </w:r>
      <w:r>
        <w:rPr>
          <w:spacing w:val="-10"/>
          <w:sz w:val="21"/>
        </w:rPr>
        <w:t>本</w:t>
      </w:r>
    </w:p>
    <w:p>
      <w:pPr>
        <w:spacing w:after="0" w:line="240" w:lineRule="auto"/>
        <w:jc w:val="left"/>
        <w:rPr>
          <w:sz w:val="21"/>
        </w:rPr>
        <w:sectPr>
          <w:pgSz w:w="11910" w:h="16840"/>
          <w:pgMar w:top="1300" w:right="620" w:bottom="1040" w:left="1480" w:header="0" w:footer="851" w:gutter="0"/>
          <w:cols w:space="720" w:num="1"/>
        </w:sectPr>
      </w:pPr>
    </w:p>
    <w:p>
      <w:pPr>
        <w:pStyle w:val="3"/>
        <w:spacing w:before="51" w:line="244" w:lineRule="auto"/>
        <w:ind w:left="3307" w:right="623"/>
      </w:pPr>
      <w:r>
        <w:rPr>
          <w:spacing w:val="-2"/>
        </w:rPr>
        <w:t>合同约定的</w:t>
      </w:r>
      <w:r>
        <w:rPr>
          <w:b/>
          <w:spacing w:val="-2"/>
        </w:rPr>
        <w:t>医院</w:t>
      </w:r>
      <w:r>
        <w:rPr>
          <w:spacing w:val="-2"/>
        </w:rPr>
        <w:t>（见</w:t>
      </w:r>
      <w:r>
        <w:rPr>
          <w:rFonts w:ascii="Times New Roman" w:eastAsia="Times New Roman"/>
          <w:spacing w:val="-2"/>
        </w:rPr>
        <w:t>11.8</w:t>
      </w:r>
      <w:r>
        <w:rPr>
          <w:spacing w:val="-2"/>
        </w:rPr>
        <w:t>）诊断并接受治疗的，我们按以下约定给付一般医疗保险金：</w:t>
      </w:r>
    </w:p>
    <w:p>
      <w:pPr>
        <w:pStyle w:val="3"/>
        <w:spacing w:before="7"/>
        <w:rPr>
          <w:sz w:val="18"/>
        </w:rPr>
      </w:pPr>
    </w:p>
    <w:p>
      <w:pPr>
        <w:pStyle w:val="8"/>
        <w:numPr>
          <w:ilvl w:val="3"/>
          <w:numId w:val="17"/>
        </w:numPr>
        <w:tabs>
          <w:tab w:val="left" w:pos="3837"/>
        </w:tabs>
        <w:spacing w:before="1" w:after="0" w:line="240" w:lineRule="auto"/>
        <w:ind w:left="3836" w:right="0" w:hanging="530"/>
        <w:jc w:val="left"/>
        <w:rPr>
          <w:sz w:val="21"/>
        </w:rPr>
      </w:pPr>
      <w:r>
        <w:rPr>
          <w:spacing w:val="-4"/>
          <w:sz w:val="21"/>
        </w:rPr>
        <w:t>住院医疗费用</w:t>
      </w:r>
    </w:p>
    <w:p>
      <w:pPr>
        <w:spacing w:before="4" w:line="242" w:lineRule="auto"/>
        <w:ind w:left="3307" w:right="617" w:firstLine="0"/>
        <w:jc w:val="both"/>
        <w:rPr>
          <w:b/>
          <w:sz w:val="21"/>
        </w:rPr>
      </w:pPr>
      <w:r>
        <w:rPr>
          <w:spacing w:val="-2"/>
          <w:sz w:val="21"/>
        </w:rPr>
        <w:t>若被保险人因意外伤害或在等待期后因意外伤害以外的原因，经本合同约定的医院诊断必须住院治疗的，</w:t>
      </w:r>
      <w:r>
        <w:rPr>
          <w:b/>
          <w:spacing w:val="-2"/>
          <w:sz w:val="21"/>
        </w:rPr>
        <w:t>对于被保险人实际发生的合理且必需</w:t>
      </w:r>
      <w:r>
        <w:rPr>
          <w:spacing w:val="-2"/>
          <w:sz w:val="21"/>
        </w:rPr>
        <w:t>（见</w:t>
      </w:r>
      <w:r>
        <w:rPr>
          <w:rFonts w:ascii="Times New Roman" w:eastAsia="Times New Roman"/>
          <w:spacing w:val="-2"/>
          <w:sz w:val="21"/>
        </w:rPr>
        <w:t>11.9</w:t>
      </w:r>
      <w:r>
        <w:rPr>
          <w:spacing w:val="-2"/>
          <w:sz w:val="21"/>
        </w:rPr>
        <w:t>）</w:t>
      </w:r>
      <w:r>
        <w:rPr>
          <w:b/>
          <w:spacing w:val="-2"/>
          <w:sz w:val="21"/>
        </w:rPr>
        <w:t>的住院医疗费用，在扣除约定的免赔额后我们按本合同约定的给付比例给付一般医疗保险金。</w:t>
      </w:r>
    </w:p>
    <w:p>
      <w:pPr>
        <w:pStyle w:val="3"/>
        <w:spacing w:before="3"/>
        <w:rPr>
          <w:b/>
        </w:rPr>
      </w:pPr>
    </w:p>
    <w:p>
      <w:pPr>
        <w:pStyle w:val="3"/>
        <w:spacing w:line="244" w:lineRule="auto"/>
        <w:ind w:left="3307" w:right="617"/>
        <w:jc w:val="both"/>
      </w:pPr>
      <w:r>
        <w:rPr>
          <w:spacing w:val="-2"/>
        </w:rPr>
        <w:t>被保险人在本合同保险期间内开始住院治疗，到本合同保险期间届满日时仍未结束本次住院治疗且未续保的，我们将继续承担因本次住院发生的一般医疗保险金给付责任，但最长不超过本合同</w:t>
      </w:r>
      <w:r>
        <w:rPr>
          <w:spacing w:val="-3"/>
        </w:rPr>
        <w:t xml:space="preserve">保险期间届满日后 </w:t>
      </w:r>
      <w:r>
        <w:rPr>
          <w:rFonts w:ascii="Times New Roman" w:eastAsia="Times New Roman"/>
        </w:rPr>
        <w:t xml:space="preserve">30 </w:t>
      </w:r>
      <w:r>
        <w:t>天。</w:t>
      </w:r>
    </w:p>
    <w:p>
      <w:pPr>
        <w:pStyle w:val="3"/>
        <w:spacing w:before="9"/>
        <w:rPr>
          <w:sz w:val="23"/>
        </w:rPr>
      </w:pPr>
    </w:p>
    <w:p>
      <w:pPr>
        <w:spacing w:before="1" w:line="242" w:lineRule="auto"/>
        <w:ind w:left="3307" w:right="616" w:firstLine="0"/>
        <w:jc w:val="left"/>
        <w:rPr>
          <w:sz w:val="21"/>
        </w:rPr>
      </w:pPr>
      <w:r>
        <w:rPr>
          <w:spacing w:val="-4"/>
          <w:sz w:val="21"/>
        </w:rPr>
        <w:t>住院医疗费用包括</w:t>
      </w:r>
      <w:r>
        <w:rPr>
          <w:b/>
          <w:spacing w:val="-4"/>
          <w:sz w:val="21"/>
        </w:rPr>
        <w:t>床位费</w:t>
      </w:r>
      <w:r>
        <w:rPr>
          <w:spacing w:val="-4"/>
          <w:sz w:val="21"/>
        </w:rPr>
        <w:t>（</w:t>
      </w:r>
      <w:r>
        <w:rPr>
          <w:spacing w:val="-26"/>
          <w:sz w:val="21"/>
        </w:rPr>
        <w:t xml:space="preserve">见 </w:t>
      </w:r>
      <w:r>
        <w:rPr>
          <w:rFonts w:ascii="Times New Roman" w:eastAsia="Times New Roman"/>
          <w:spacing w:val="6"/>
          <w:sz w:val="21"/>
        </w:rPr>
        <w:t>1</w:t>
      </w:r>
      <w:r>
        <w:rPr>
          <w:rFonts w:ascii="Times New Roman" w:eastAsia="Times New Roman"/>
          <w:spacing w:val="16"/>
          <w:sz w:val="21"/>
        </w:rPr>
        <w:t>1.10</w:t>
      </w:r>
      <w:r>
        <w:rPr>
          <w:spacing w:val="-95"/>
          <w:sz w:val="21"/>
        </w:rPr>
        <w:t>）</w:t>
      </w:r>
      <w:r>
        <w:rPr>
          <w:spacing w:val="-4"/>
          <w:sz w:val="21"/>
        </w:rPr>
        <w:t>、</w:t>
      </w:r>
      <w:r>
        <w:rPr>
          <w:b/>
          <w:spacing w:val="-4"/>
          <w:sz w:val="21"/>
        </w:rPr>
        <w:t>医生诊疗费</w:t>
      </w:r>
      <w:r>
        <w:rPr>
          <w:spacing w:val="-4"/>
          <w:sz w:val="21"/>
        </w:rPr>
        <w:t>（</w:t>
      </w:r>
      <w:r>
        <w:rPr>
          <w:spacing w:val="-26"/>
          <w:sz w:val="21"/>
        </w:rPr>
        <w:t xml:space="preserve">见 </w:t>
      </w:r>
      <w:r>
        <w:rPr>
          <w:rFonts w:ascii="Times New Roman" w:eastAsia="Times New Roman"/>
          <w:spacing w:val="7"/>
          <w:sz w:val="21"/>
        </w:rPr>
        <w:t>1</w:t>
      </w:r>
      <w:r>
        <w:rPr>
          <w:rFonts w:ascii="Times New Roman" w:eastAsia="Times New Roman"/>
          <w:spacing w:val="17"/>
          <w:sz w:val="21"/>
        </w:rPr>
        <w:t>1.</w:t>
      </w:r>
      <w:r>
        <w:rPr>
          <w:rFonts w:ascii="Times New Roman" w:eastAsia="Times New Roman"/>
          <w:spacing w:val="7"/>
          <w:sz w:val="21"/>
        </w:rPr>
        <w:t>1</w:t>
      </w:r>
      <w:r>
        <w:rPr>
          <w:rFonts w:ascii="Times New Roman" w:eastAsia="Times New Roman"/>
          <w:spacing w:val="17"/>
          <w:sz w:val="21"/>
        </w:rPr>
        <w:t>1</w:t>
      </w:r>
      <w:r>
        <w:rPr>
          <w:spacing w:val="-89"/>
          <w:sz w:val="21"/>
        </w:rPr>
        <w:t>）</w:t>
      </w:r>
      <w:r>
        <w:rPr>
          <w:spacing w:val="-106"/>
          <w:sz w:val="21"/>
        </w:rPr>
        <w:t>、</w:t>
      </w:r>
      <w:r>
        <w:rPr>
          <w:b/>
          <w:spacing w:val="-10"/>
          <w:sz w:val="21"/>
        </w:rPr>
        <w:t>治疗费</w:t>
      </w:r>
      <w:r>
        <w:rPr>
          <w:spacing w:val="-10"/>
          <w:sz w:val="21"/>
        </w:rPr>
        <w:t>（</w:t>
      </w:r>
      <w:r>
        <w:rPr>
          <w:spacing w:val="-27"/>
          <w:sz w:val="21"/>
        </w:rPr>
        <w:t xml:space="preserve">见 </w:t>
      </w:r>
      <w:r>
        <w:rPr>
          <w:rFonts w:ascii="Times New Roman" w:eastAsia="Times New Roman"/>
          <w:spacing w:val="-1"/>
          <w:sz w:val="21"/>
        </w:rPr>
        <w:t>1</w:t>
      </w:r>
      <w:r>
        <w:rPr>
          <w:rFonts w:ascii="Times New Roman" w:eastAsia="Times New Roman"/>
          <w:spacing w:val="9"/>
          <w:sz w:val="21"/>
        </w:rPr>
        <w:t>1.12</w:t>
      </w:r>
      <w:r>
        <w:rPr>
          <w:spacing w:val="-97"/>
          <w:sz w:val="21"/>
        </w:rPr>
        <w:t>）</w:t>
      </w:r>
      <w:r>
        <w:rPr>
          <w:spacing w:val="-10"/>
          <w:sz w:val="21"/>
        </w:rPr>
        <w:t>、</w:t>
      </w:r>
      <w:r>
        <w:rPr>
          <w:b/>
          <w:spacing w:val="-10"/>
          <w:sz w:val="21"/>
        </w:rPr>
        <w:t>手术费</w:t>
      </w:r>
      <w:r>
        <w:rPr>
          <w:spacing w:val="-10"/>
          <w:sz w:val="21"/>
        </w:rPr>
        <w:t>（</w:t>
      </w:r>
      <w:r>
        <w:rPr>
          <w:spacing w:val="-28"/>
          <w:sz w:val="21"/>
        </w:rPr>
        <w:t xml:space="preserve">见 </w:t>
      </w:r>
      <w:r>
        <w:rPr>
          <w:rFonts w:ascii="Times New Roman" w:eastAsia="Times New Roman"/>
          <w:sz w:val="21"/>
        </w:rPr>
        <w:t>1</w:t>
      </w:r>
      <w:r>
        <w:rPr>
          <w:rFonts w:ascii="Times New Roman" w:eastAsia="Times New Roman"/>
          <w:spacing w:val="10"/>
          <w:sz w:val="21"/>
        </w:rPr>
        <w:t>1.1</w:t>
      </w:r>
      <w:r>
        <w:rPr>
          <w:rFonts w:ascii="Times New Roman" w:eastAsia="Times New Roman"/>
          <w:spacing w:val="5"/>
          <w:sz w:val="21"/>
        </w:rPr>
        <w:t>3</w:t>
      </w:r>
      <w:r>
        <w:rPr>
          <w:spacing w:val="-96"/>
          <w:sz w:val="21"/>
        </w:rPr>
        <w:t>）</w:t>
      </w:r>
      <w:r>
        <w:rPr>
          <w:spacing w:val="-10"/>
          <w:sz w:val="21"/>
        </w:rPr>
        <w:t>、</w:t>
      </w:r>
      <w:r>
        <w:rPr>
          <w:b/>
          <w:spacing w:val="-10"/>
          <w:sz w:val="21"/>
        </w:rPr>
        <w:t>药品费</w:t>
      </w:r>
      <w:r>
        <w:rPr>
          <w:spacing w:val="-10"/>
          <w:sz w:val="21"/>
        </w:rPr>
        <w:t>（</w:t>
      </w:r>
      <w:r>
        <w:rPr>
          <w:spacing w:val="-30"/>
          <w:sz w:val="21"/>
        </w:rPr>
        <w:t xml:space="preserve">见 </w:t>
      </w:r>
      <w:r>
        <w:rPr>
          <w:rFonts w:ascii="Times New Roman" w:eastAsia="Times New Roman"/>
          <w:spacing w:val="-1"/>
          <w:sz w:val="21"/>
        </w:rPr>
        <w:t>1</w:t>
      </w:r>
      <w:r>
        <w:rPr>
          <w:rFonts w:ascii="Times New Roman" w:eastAsia="Times New Roman"/>
          <w:spacing w:val="9"/>
          <w:sz w:val="21"/>
        </w:rPr>
        <w:t>1.14</w:t>
      </w:r>
      <w:r>
        <w:rPr>
          <w:spacing w:val="-97"/>
          <w:sz w:val="21"/>
        </w:rPr>
        <w:t>）</w:t>
      </w:r>
      <w:r>
        <w:rPr>
          <w:spacing w:val="-10"/>
          <w:sz w:val="21"/>
        </w:rPr>
        <w:t>、</w:t>
      </w:r>
      <w:r>
        <w:rPr>
          <w:b/>
          <w:spacing w:val="-10"/>
          <w:sz w:val="21"/>
        </w:rPr>
        <w:t>检查化验费</w:t>
      </w:r>
      <w:r>
        <w:rPr>
          <w:spacing w:val="-10"/>
          <w:sz w:val="21"/>
        </w:rPr>
        <w:t>（</w:t>
      </w:r>
      <w:r>
        <w:rPr>
          <w:spacing w:val="-29"/>
          <w:sz w:val="21"/>
        </w:rPr>
        <w:t xml:space="preserve">见 </w:t>
      </w:r>
      <w:r>
        <w:rPr>
          <w:rFonts w:ascii="Times New Roman" w:eastAsia="Times New Roman"/>
          <w:sz w:val="21"/>
        </w:rPr>
        <w:t>1</w:t>
      </w:r>
      <w:r>
        <w:rPr>
          <w:rFonts w:ascii="Times New Roman" w:eastAsia="Times New Roman"/>
          <w:spacing w:val="10"/>
          <w:sz w:val="21"/>
        </w:rPr>
        <w:t>1.15</w:t>
      </w:r>
      <w:r>
        <w:rPr>
          <w:spacing w:val="-101"/>
          <w:sz w:val="21"/>
        </w:rPr>
        <w:t>）</w:t>
      </w:r>
      <w:r>
        <w:rPr>
          <w:b/>
          <w:spacing w:val="-10"/>
          <w:sz w:val="21"/>
        </w:rPr>
        <w:t>、护理费</w:t>
      </w:r>
      <w:r>
        <w:rPr>
          <w:spacing w:val="-10"/>
          <w:sz w:val="21"/>
        </w:rPr>
        <w:t>（</w:t>
      </w:r>
      <w:r>
        <w:rPr>
          <w:spacing w:val="-29"/>
          <w:sz w:val="21"/>
        </w:rPr>
        <w:t xml:space="preserve">见 </w:t>
      </w:r>
      <w:r>
        <w:rPr>
          <w:rFonts w:ascii="Times New Roman" w:eastAsia="Times New Roman"/>
          <w:sz w:val="21"/>
        </w:rPr>
        <w:t>1</w:t>
      </w:r>
      <w:r>
        <w:rPr>
          <w:rFonts w:ascii="Times New Roman" w:eastAsia="Times New Roman"/>
          <w:spacing w:val="10"/>
          <w:sz w:val="21"/>
        </w:rPr>
        <w:t>1.1</w:t>
      </w:r>
      <w:r>
        <w:rPr>
          <w:rFonts w:ascii="Times New Roman" w:eastAsia="Times New Roman"/>
          <w:spacing w:val="5"/>
          <w:sz w:val="21"/>
        </w:rPr>
        <w:t>6</w:t>
      </w:r>
      <w:r>
        <w:rPr>
          <w:spacing w:val="-96"/>
          <w:sz w:val="21"/>
        </w:rPr>
        <w:t>）</w:t>
      </w:r>
      <w:r>
        <w:rPr>
          <w:spacing w:val="-10"/>
          <w:sz w:val="21"/>
        </w:rPr>
        <w:t>、</w:t>
      </w:r>
      <w:r>
        <w:rPr>
          <w:b/>
          <w:spacing w:val="-10"/>
          <w:sz w:val="21"/>
        </w:rPr>
        <w:t>膳食费</w:t>
      </w:r>
      <w:r>
        <w:rPr>
          <w:spacing w:val="-10"/>
          <w:sz w:val="21"/>
        </w:rPr>
        <w:t>（</w:t>
      </w:r>
      <w:r>
        <w:rPr>
          <w:spacing w:val="-29"/>
          <w:sz w:val="21"/>
        </w:rPr>
        <w:t xml:space="preserve">见 </w:t>
      </w:r>
      <w:r>
        <w:rPr>
          <w:rFonts w:ascii="Times New Roman" w:eastAsia="Times New Roman"/>
          <w:spacing w:val="-1"/>
          <w:sz w:val="21"/>
        </w:rPr>
        <w:t>1</w:t>
      </w:r>
      <w:r>
        <w:rPr>
          <w:rFonts w:ascii="Times New Roman" w:eastAsia="Times New Roman"/>
          <w:spacing w:val="9"/>
          <w:sz w:val="21"/>
        </w:rPr>
        <w:t>1.17</w:t>
      </w:r>
      <w:r>
        <w:rPr>
          <w:spacing w:val="-96"/>
          <w:sz w:val="21"/>
        </w:rPr>
        <w:t>）</w:t>
      </w:r>
      <w:r>
        <w:rPr>
          <w:spacing w:val="-10"/>
          <w:sz w:val="21"/>
        </w:rPr>
        <w:t>、</w:t>
      </w:r>
      <w:r>
        <w:rPr>
          <w:b/>
          <w:sz w:val="21"/>
        </w:rPr>
        <w:t>重症监护室床位费</w:t>
      </w:r>
      <w:r>
        <w:rPr>
          <w:sz w:val="21"/>
        </w:rPr>
        <w:t>（</w:t>
      </w:r>
      <w:r>
        <w:rPr>
          <w:spacing w:val="-20"/>
          <w:sz w:val="21"/>
        </w:rPr>
        <w:t xml:space="preserve">见 </w:t>
      </w:r>
      <w:r>
        <w:rPr>
          <w:rFonts w:ascii="Times New Roman" w:eastAsia="Times New Roman"/>
          <w:spacing w:val="10"/>
          <w:sz w:val="21"/>
        </w:rPr>
        <w:t>1</w:t>
      </w:r>
      <w:r>
        <w:rPr>
          <w:rFonts w:ascii="Times New Roman" w:eastAsia="Times New Roman"/>
          <w:spacing w:val="20"/>
          <w:sz w:val="21"/>
        </w:rPr>
        <w:t>1.1</w:t>
      </w:r>
      <w:r>
        <w:rPr>
          <w:rFonts w:ascii="Times New Roman" w:eastAsia="Times New Roman"/>
          <w:spacing w:val="15"/>
          <w:sz w:val="21"/>
        </w:rPr>
        <w:t>8</w:t>
      </w:r>
      <w:r>
        <w:rPr>
          <w:spacing w:val="-86"/>
          <w:sz w:val="21"/>
        </w:rPr>
        <w:t>）</w:t>
      </w:r>
      <w:r>
        <w:rPr>
          <w:sz w:val="21"/>
        </w:rPr>
        <w:t>。</w:t>
      </w:r>
    </w:p>
    <w:p>
      <w:pPr>
        <w:pStyle w:val="3"/>
        <w:spacing w:before="1"/>
        <w:rPr>
          <w:sz w:val="29"/>
        </w:rPr>
      </w:pPr>
    </w:p>
    <w:p>
      <w:pPr>
        <w:pStyle w:val="8"/>
        <w:numPr>
          <w:ilvl w:val="3"/>
          <w:numId w:val="17"/>
        </w:numPr>
        <w:tabs>
          <w:tab w:val="left" w:pos="3837"/>
        </w:tabs>
        <w:spacing w:before="0" w:after="0" w:line="240" w:lineRule="auto"/>
        <w:ind w:left="3836" w:right="0" w:hanging="530"/>
        <w:jc w:val="left"/>
        <w:rPr>
          <w:sz w:val="21"/>
        </w:rPr>
      </w:pPr>
      <w:r>
        <w:rPr>
          <w:spacing w:val="-4"/>
          <w:sz w:val="21"/>
        </w:rPr>
        <w:t>特定门诊医疗费用</w:t>
      </w:r>
    </w:p>
    <w:p>
      <w:pPr>
        <w:spacing w:before="4" w:line="242" w:lineRule="auto"/>
        <w:ind w:left="3307" w:right="617" w:firstLine="0"/>
        <w:jc w:val="both"/>
        <w:rPr>
          <w:b/>
          <w:sz w:val="21"/>
        </w:rPr>
      </w:pPr>
      <w:r>
        <w:rPr>
          <w:spacing w:val="-2"/>
          <w:sz w:val="21"/>
        </w:rPr>
        <w:t>若被保险人因意外伤害或等待期后因意外伤害以外的原因，经本合同约定的医院诊断必须在医院接受特定门诊治疗的，</w:t>
      </w:r>
      <w:r>
        <w:rPr>
          <w:b/>
          <w:spacing w:val="-2"/>
          <w:sz w:val="21"/>
        </w:rPr>
        <w:t>对于被保险人实际发生的合理且必需的特定门诊医疗费用，在扣除约定的免赔额后我们按本合同约定的给付比例给付一般医疗保险金。</w:t>
      </w:r>
    </w:p>
    <w:p>
      <w:pPr>
        <w:pStyle w:val="3"/>
        <w:rPr>
          <w:b/>
          <w:sz w:val="19"/>
        </w:rPr>
      </w:pPr>
    </w:p>
    <w:p>
      <w:pPr>
        <w:pStyle w:val="3"/>
        <w:ind w:left="3307"/>
      </w:pPr>
      <w:r>
        <w:rPr>
          <w:spacing w:val="-3"/>
        </w:rPr>
        <w:t>特定门诊治疗包括：</w:t>
      </w:r>
    </w:p>
    <w:p>
      <w:pPr>
        <w:pStyle w:val="3"/>
        <w:spacing w:before="4" w:line="269" w:lineRule="exact"/>
        <w:ind w:left="3413"/>
      </w:pPr>
      <w:r>
        <w:rPr>
          <w:spacing w:val="-3"/>
        </w:rPr>
        <w:t>① 门诊肾透析治疗；</w:t>
      </w:r>
    </w:p>
    <w:p>
      <w:pPr>
        <w:spacing w:before="0" w:line="244" w:lineRule="auto"/>
        <w:ind w:left="3730" w:right="511" w:hanging="317"/>
        <w:jc w:val="left"/>
        <w:rPr>
          <w:sz w:val="21"/>
        </w:rPr>
      </w:pPr>
      <w:r>
        <w:rPr>
          <w:spacing w:val="-5"/>
          <w:sz w:val="21"/>
        </w:rPr>
        <w:t>② 门诊恶性肿瘤</w:t>
      </w:r>
      <w:r>
        <w:rPr>
          <w:sz w:val="21"/>
        </w:rPr>
        <w:t>（</w:t>
      </w:r>
      <w:r>
        <w:rPr>
          <w:spacing w:val="-4"/>
          <w:sz w:val="21"/>
        </w:rPr>
        <w:t xml:space="preserve">有关恶性肿瘤，参照本合同第 </w:t>
      </w:r>
      <w:r>
        <w:rPr>
          <w:rFonts w:ascii="Times New Roman" w:hAnsi="Times New Roman" w:eastAsia="Times New Roman"/>
          <w:sz w:val="21"/>
        </w:rPr>
        <w:t>9.1</w:t>
      </w:r>
      <w:r>
        <w:rPr>
          <w:sz w:val="21"/>
        </w:rPr>
        <w:t>、</w:t>
      </w:r>
      <w:r>
        <w:rPr>
          <w:rFonts w:ascii="Times New Roman" w:hAnsi="Times New Roman" w:eastAsia="Times New Roman"/>
          <w:sz w:val="21"/>
        </w:rPr>
        <w:t>10.1</w:t>
      </w:r>
      <w:r>
        <w:rPr>
          <w:rFonts w:ascii="Times New Roman" w:hAnsi="Times New Roman" w:eastAsia="Times New Roman"/>
          <w:spacing w:val="-8"/>
          <w:sz w:val="21"/>
        </w:rPr>
        <w:t xml:space="preserve"> </w:t>
      </w:r>
      <w:r>
        <w:rPr>
          <w:sz w:val="21"/>
        </w:rPr>
        <w:t>条）</w:t>
      </w:r>
      <w:r>
        <w:rPr>
          <w:spacing w:val="-4"/>
          <w:sz w:val="21"/>
        </w:rPr>
        <w:t>治疗，包括</w:t>
      </w:r>
      <w:r>
        <w:rPr>
          <w:b/>
          <w:spacing w:val="-4"/>
          <w:sz w:val="21"/>
        </w:rPr>
        <w:t>化学疗法</w:t>
      </w:r>
      <w:r>
        <w:rPr>
          <w:spacing w:val="-4"/>
          <w:sz w:val="21"/>
        </w:rPr>
        <w:t>（</w:t>
      </w:r>
      <w:r>
        <w:rPr>
          <w:spacing w:val="-29"/>
          <w:sz w:val="21"/>
        </w:rPr>
        <w:t xml:space="preserve">见 </w:t>
      </w:r>
      <w:r>
        <w:rPr>
          <w:rFonts w:ascii="Times New Roman" w:hAnsi="Times New Roman" w:eastAsia="Times New Roman"/>
          <w:spacing w:val="6"/>
          <w:sz w:val="21"/>
        </w:rPr>
        <w:t>1</w:t>
      </w:r>
      <w:r>
        <w:rPr>
          <w:rFonts w:ascii="Times New Roman" w:hAnsi="Times New Roman" w:eastAsia="Times New Roman"/>
          <w:spacing w:val="16"/>
          <w:sz w:val="21"/>
        </w:rPr>
        <w:t>1.1</w:t>
      </w:r>
      <w:r>
        <w:rPr>
          <w:rFonts w:ascii="Times New Roman" w:hAnsi="Times New Roman" w:eastAsia="Times New Roman"/>
          <w:spacing w:val="11"/>
          <w:sz w:val="21"/>
        </w:rPr>
        <w:t>9</w:t>
      </w:r>
      <w:r>
        <w:rPr>
          <w:spacing w:val="-90"/>
          <w:sz w:val="21"/>
        </w:rPr>
        <w:t>）</w:t>
      </w:r>
      <w:r>
        <w:rPr>
          <w:spacing w:val="-4"/>
          <w:sz w:val="21"/>
        </w:rPr>
        <w:t>、</w:t>
      </w:r>
      <w:r>
        <w:rPr>
          <w:b/>
          <w:spacing w:val="-4"/>
          <w:sz w:val="21"/>
        </w:rPr>
        <w:t>放射疗法</w:t>
      </w:r>
      <w:r>
        <w:rPr>
          <w:spacing w:val="-4"/>
          <w:sz w:val="21"/>
        </w:rPr>
        <w:t>（</w:t>
      </w:r>
      <w:r>
        <w:rPr>
          <w:spacing w:val="-29"/>
          <w:sz w:val="21"/>
        </w:rPr>
        <w:t xml:space="preserve">见 </w:t>
      </w:r>
      <w:r>
        <w:rPr>
          <w:rFonts w:ascii="Times New Roman" w:hAnsi="Times New Roman" w:eastAsia="Times New Roman"/>
          <w:spacing w:val="6"/>
          <w:sz w:val="21"/>
        </w:rPr>
        <w:t>1</w:t>
      </w:r>
      <w:r>
        <w:rPr>
          <w:rFonts w:ascii="Times New Roman" w:hAnsi="Times New Roman" w:eastAsia="Times New Roman"/>
          <w:spacing w:val="16"/>
          <w:sz w:val="21"/>
        </w:rPr>
        <w:t>1.</w:t>
      </w:r>
      <w:r>
        <w:rPr>
          <w:rFonts w:ascii="Times New Roman" w:hAnsi="Times New Roman" w:eastAsia="Times New Roman"/>
          <w:spacing w:val="11"/>
          <w:sz w:val="21"/>
        </w:rPr>
        <w:t>2</w:t>
      </w:r>
      <w:r>
        <w:rPr>
          <w:rFonts w:ascii="Times New Roman" w:hAnsi="Times New Roman" w:eastAsia="Times New Roman"/>
          <w:spacing w:val="16"/>
          <w:sz w:val="21"/>
        </w:rPr>
        <w:t>0</w:t>
      </w:r>
      <w:r>
        <w:rPr>
          <w:spacing w:val="-90"/>
          <w:sz w:val="21"/>
        </w:rPr>
        <w:t>）</w:t>
      </w:r>
      <w:r>
        <w:rPr>
          <w:spacing w:val="-4"/>
          <w:sz w:val="21"/>
        </w:rPr>
        <w:t>、</w:t>
      </w:r>
      <w:r>
        <w:rPr>
          <w:b/>
          <w:spacing w:val="-4"/>
          <w:sz w:val="21"/>
        </w:rPr>
        <w:t>肿瘤免疫疗法</w:t>
      </w:r>
      <w:r>
        <w:rPr>
          <w:spacing w:val="-4"/>
          <w:sz w:val="21"/>
        </w:rPr>
        <w:t>（</w:t>
      </w:r>
      <w:r>
        <w:rPr>
          <w:spacing w:val="-29"/>
          <w:sz w:val="21"/>
        </w:rPr>
        <w:t xml:space="preserve">见 </w:t>
      </w:r>
      <w:r>
        <w:rPr>
          <w:rFonts w:ascii="Times New Roman" w:hAnsi="Times New Roman" w:eastAsia="Times New Roman"/>
          <w:spacing w:val="6"/>
          <w:sz w:val="21"/>
        </w:rPr>
        <w:t>1</w:t>
      </w:r>
      <w:r>
        <w:rPr>
          <w:rFonts w:ascii="Times New Roman" w:hAnsi="Times New Roman" w:eastAsia="Times New Roman"/>
          <w:spacing w:val="16"/>
          <w:sz w:val="21"/>
        </w:rPr>
        <w:t>1.2</w:t>
      </w:r>
      <w:r>
        <w:rPr>
          <w:rFonts w:ascii="Times New Roman" w:hAnsi="Times New Roman" w:eastAsia="Times New Roman"/>
          <w:spacing w:val="11"/>
          <w:sz w:val="21"/>
        </w:rPr>
        <w:t>1</w:t>
      </w:r>
      <w:r>
        <w:rPr>
          <w:spacing w:val="-90"/>
          <w:sz w:val="21"/>
        </w:rPr>
        <w:t>）</w:t>
      </w:r>
      <w:r>
        <w:rPr>
          <w:spacing w:val="-4"/>
          <w:sz w:val="21"/>
        </w:rPr>
        <w:t>、</w:t>
      </w:r>
      <w:r>
        <w:rPr>
          <w:b/>
          <w:spacing w:val="-4"/>
          <w:sz w:val="21"/>
        </w:rPr>
        <w:t>肿瘤内分泌疗法</w:t>
      </w:r>
      <w:r>
        <w:rPr>
          <w:spacing w:val="-4"/>
          <w:sz w:val="21"/>
        </w:rPr>
        <w:t>（</w:t>
      </w:r>
      <w:r>
        <w:rPr>
          <w:spacing w:val="-28"/>
          <w:sz w:val="21"/>
        </w:rPr>
        <w:t xml:space="preserve">见 </w:t>
      </w:r>
      <w:r>
        <w:rPr>
          <w:rFonts w:ascii="Times New Roman" w:hAnsi="Times New Roman" w:eastAsia="Times New Roman"/>
          <w:spacing w:val="7"/>
          <w:sz w:val="21"/>
        </w:rPr>
        <w:t>1</w:t>
      </w:r>
      <w:r>
        <w:rPr>
          <w:rFonts w:ascii="Times New Roman" w:hAnsi="Times New Roman" w:eastAsia="Times New Roman"/>
          <w:spacing w:val="17"/>
          <w:sz w:val="21"/>
        </w:rPr>
        <w:t>1.</w:t>
      </w:r>
      <w:r>
        <w:rPr>
          <w:rFonts w:ascii="Times New Roman" w:hAnsi="Times New Roman" w:eastAsia="Times New Roman"/>
          <w:spacing w:val="12"/>
          <w:sz w:val="21"/>
        </w:rPr>
        <w:t>2</w:t>
      </w:r>
      <w:r>
        <w:rPr>
          <w:rFonts w:ascii="Times New Roman" w:hAnsi="Times New Roman" w:eastAsia="Times New Roman"/>
          <w:spacing w:val="17"/>
          <w:sz w:val="21"/>
        </w:rPr>
        <w:t>2</w:t>
      </w:r>
      <w:r>
        <w:rPr>
          <w:spacing w:val="-94"/>
          <w:sz w:val="21"/>
        </w:rPr>
        <w:t>）</w:t>
      </w:r>
      <w:r>
        <w:rPr>
          <w:spacing w:val="-4"/>
          <w:sz w:val="21"/>
        </w:rPr>
        <w:t>、</w:t>
      </w:r>
      <w:r>
        <w:rPr>
          <w:b/>
          <w:spacing w:val="-4"/>
          <w:sz w:val="21"/>
        </w:rPr>
        <w:t>肿瘤靶向疗法</w:t>
      </w:r>
      <w:r>
        <w:rPr>
          <w:spacing w:val="-4"/>
          <w:sz w:val="21"/>
        </w:rPr>
        <w:t>（</w:t>
      </w:r>
      <w:r>
        <w:rPr>
          <w:spacing w:val="-29"/>
          <w:sz w:val="21"/>
        </w:rPr>
        <w:t xml:space="preserve">见 </w:t>
      </w:r>
      <w:r>
        <w:rPr>
          <w:rFonts w:ascii="Times New Roman" w:hAnsi="Times New Roman" w:eastAsia="Times New Roman"/>
          <w:spacing w:val="19"/>
          <w:sz w:val="21"/>
        </w:rPr>
        <w:t>1</w:t>
      </w:r>
      <w:r>
        <w:rPr>
          <w:rFonts w:ascii="Times New Roman" w:hAnsi="Times New Roman" w:eastAsia="Times New Roman"/>
          <w:spacing w:val="29"/>
          <w:sz w:val="21"/>
        </w:rPr>
        <w:t>1.23</w:t>
      </w:r>
      <w:r>
        <w:rPr>
          <w:spacing w:val="-82"/>
          <w:sz w:val="21"/>
        </w:rPr>
        <w:t>）；</w:t>
      </w:r>
    </w:p>
    <w:p>
      <w:pPr>
        <w:pStyle w:val="3"/>
        <w:spacing w:line="261" w:lineRule="exact"/>
        <w:ind w:left="3413"/>
      </w:pPr>
      <w:r>
        <w:rPr>
          <w:spacing w:val="-5"/>
        </w:rPr>
        <w:t>③ 器官移植后的门诊抗排异治疗。</w:t>
      </w:r>
    </w:p>
    <w:p>
      <w:pPr>
        <w:pStyle w:val="3"/>
        <w:spacing w:before="1"/>
        <w:rPr>
          <w:sz w:val="19"/>
        </w:rPr>
      </w:pPr>
    </w:p>
    <w:p>
      <w:pPr>
        <w:pStyle w:val="8"/>
        <w:numPr>
          <w:ilvl w:val="3"/>
          <w:numId w:val="17"/>
        </w:numPr>
        <w:tabs>
          <w:tab w:val="left" w:pos="3837"/>
        </w:tabs>
        <w:spacing w:before="0" w:after="0" w:line="240" w:lineRule="auto"/>
        <w:ind w:left="3836" w:right="0" w:hanging="530"/>
        <w:jc w:val="left"/>
        <w:rPr>
          <w:sz w:val="21"/>
        </w:rPr>
      </w:pPr>
      <w:r>
        <w:rPr>
          <w:spacing w:val="-4"/>
          <w:sz w:val="21"/>
        </w:rPr>
        <w:t>门诊手术医疗费用</w:t>
      </w:r>
    </w:p>
    <w:p>
      <w:pPr>
        <w:spacing w:before="6" w:line="242" w:lineRule="auto"/>
        <w:ind w:left="3307" w:right="617" w:firstLine="0"/>
        <w:jc w:val="both"/>
        <w:rPr>
          <w:b/>
          <w:sz w:val="21"/>
        </w:rPr>
      </w:pPr>
      <w:r>
        <w:rPr>
          <w:spacing w:val="-2"/>
          <w:sz w:val="21"/>
        </w:rPr>
        <w:t>若被保险人因意外伤害或等待期后因意外伤害以外的原因，经本合同约定的医院诊断必须接受门诊手术治疗的，</w:t>
      </w:r>
      <w:r>
        <w:rPr>
          <w:b/>
          <w:spacing w:val="-2"/>
          <w:sz w:val="21"/>
        </w:rPr>
        <w:t>对于被保险人实际发生的合理且必需的门诊手术医疗费用，在扣除约定的免赔额后我们按本合同约定的给付比例给付一般医疗保险金。</w:t>
      </w:r>
    </w:p>
    <w:p>
      <w:pPr>
        <w:pStyle w:val="3"/>
        <w:spacing w:before="11"/>
        <w:rPr>
          <w:b/>
          <w:sz w:val="18"/>
        </w:rPr>
      </w:pPr>
    </w:p>
    <w:p>
      <w:pPr>
        <w:pStyle w:val="8"/>
        <w:numPr>
          <w:ilvl w:val="3"/>
          <w:numId w:val="17"/>
        </w:numPr>
        <w:tabs>
          <w:tab w:val="left" w:pos="3837"/>
        </w:tabs>
        <w:spacing w:before="1" w:after="0" w:line="240" w:lineRule="auto"/>
        <w:ind w:left="3836" w:right="0" w:hanging="530"/>
        <w:jc w:val="left"/>
        <w:rPr>
          <w:sz w:val="21"/>
        </w:rPr>
      </w:pPr>
      <w:r>
        <w:rPr>
          <w:spacing w:val="-3"/>
          <w:sz w:val="21"/>
        </w:rPr>
        <w:t>住院前后门急诊费用</w:t>
      </w:r>
    </w:p>
    <w:p>
      <w:pPr>
        <w:spacing w:before="4" w:line="242" w:lineRule="auto"/>
        <w:ind w:left="3307" w:right="590" w:firstLine="0"/>
        <w:jc w:val="both"/>
        <w:rPr>
          <w:b/>
          <w:sz w:val="21"/>
        </w:rPr>
      </w:pPr>
      <w:r>
        <w:rPr>
          <w:spacing w:val="-2"/>
          <w:sz w:val="21"/>
        </w:rPr>
        <w:t>若被保险人因意外伤害或等待期后因意外伤害以外的原因，经本合同约定的医院诊断必须接受住院治疗的，</w:t>
      </w:r>
      <w:r>
        <w:rPr>
          <w:b/>
          <w:spacing w:val="-2"/>
          <w:sz w:val="21"/>
        </w:rPr>
        <w:t>对于被保险人在住院</w:t>
      </w:r>
      <w:r>
        <w:rPr>
          <w:b/>
          <w:spacing w:val="-14"/>
          <w:sz w:val="21"/>
        </w:rPr>
        <w:t xml:space="preserve">前 </w:t>
      </w:r>
      <w:r>
        <w:rPr>
          <w:rFonts w:ascii="Times New Roman" w:eastAsia="Times New Roman"/>
          <w:b/>
          <w:sz w:val="21"/>
        </w:rPr>
        <w:t>7</w:t>
      </w:r>
      <w:r>
        <w:rPr>
          <w:rFonts w:ascii="Times New Roman" w:eastAsia="Times New Roman"/>
          <w:b/>
          <w:spacing w:val="7"/>
          <w:sz w:val="21"/>
        </w:rPr>
        <w:t xml:space="preserve"> </w:t>
      </w:r>
      <w:r>
        <w:rPr>
          <w:b/>
          <w:sz w:val="21"/>
        </w:rPr>
        <w:t>日（含住院当日）</w:t>
      </w:r>
      <w:r>
        <w:rPr>
          <w:b/>
          <w:spacing w:val="-6"/>
          <w:sz w:val="21"/>
        </w:rPr>
        <w:t xml:space="preserve">和出院后 </w:t>
      </w:r>
      <w:r>
        <w:rPr>
          <w:rFonts w:ascii="Times New Roman" w:eastAsia="Times New Roman"/>
          <w:b/>
          <w:sz w:val="21"/>
        </w:rPr>
        <w:t>30</w:t>
      </w:r>
      <w:r>
        <w:rPr>
          <w:rFonts w:ascii="Times New Roman" w:eastAsia="Times New Roman"/>
          <w:b/>
          <w:spacing w:val="15"/>
          <w:sz w:val="21"/>
        </w:rPr>
        <w:t xml:space="preserve"> </w:t>
      </w:r>
      <w:r>
        <w:rPr>
          <w:b/>
          <w:sz w:val="21"/>
        </w:rPr>
        <w:t>日（含出院当日）内因与该</w:t>
      </w:r>
      <w:r>
        <w:rPr>
          <w:b/>
          <w:spacing w:val="-2"/>
          <w:sz w:val="21"/>
        </w:rPr>
        <w:t>次住院相同原因实际发生的合理且必需的门急诊医疗费用（但不包括上述特定门诊医疗费用和门诊手术医疗费用</w:t>
      </w:r>
      <w:r>
        <w:rPr>
          <w:b/>
          <w:spacing w:val="-106"/>
          <w:sz w:val="21"/>
        </w:rPr>
        <w:t>）</w:t>
      </w:r>
      <w:r>
        <w:rPr>
          <w:b/>
          <w:spacing w:val="-2"/>
          <w:sz w:val="21"/>
        </w:rPr>
        <w:t>，在扣除约定的免赔额后我们按本合同约定的给付比例给付一般医疗保险金。在本合同保险期间内，我们累计给付的一般医疗保险金以本合同约定的一般医疗保险金年度给付限额为限。</w:t>
      </w:r>
    </w:p>
    <w:p>
      <w:pPr>
        <w:pStyle w:val="3"/>
        <w:spacing w:before="9"/>
        <w:rPr>
          <w:b/>
          <w:sz w:val="15"/>
        </w:rPr>
      </w:pPr>
    </w:p>
    <w:p>
      <w:pPr>
        <w:spacing w:after="0"/>
        <w:rPr>
          <w:sz w:val="15"/>
        </w:rPr>
        <w:sectPr>
          <w:pgSz w:w="11910" w:h="16840"/>
          <w:pgMar w:top="1060" w:right="620" w:bottom="1040" w:left="1480" w:header="0" w:footer="851" w:gutter="0"/>
          <w:cols w:space="720" w:num="1"/>
        </w:sectPr>
      </w:pPr>
    </w:p>
    <w:p>
      <w:pPr>
        <w:pStyle w:val="8"/>
        <w:numPr>
          <w:ilvl w:val="2"/>
          <w:numId w:val="17"/>
        </w:numPr>
        <w:tabs>
          <w:tab w:val="left" w:pos="1338"/>
          <w:tab w:val="left" w:pos="1339"/>
        </w:tabs>
        <w:spacing w:before="92" w:after="0" w:line="244" w:lineRule="auto"/>
        <w:ind w:left="1338" w:right="0" w:hanging="1004"/>
        <w:jc w:val="left"/>
        <w:rPr>
          <w:b/>
          <w:sz w:val="21"/>
        </w:rPr>
      </w:pPr>
      <w:r>
        <w:rPr>
          <w:b/>
          <w:sz w:val="21"/>
        </w:rPr>
        <w:t>轻症疾病医疗保险</w:t>
      </w:r>
      <w:r>
        <w:rPr>
          <w:b/>
          <w:spacing w:val="-10"/>
          <w:sz w:val="21"/>
        </w:rPr>
        <w:t>金</w:t>
      </w:r>
    </w:p>
    <w:p>
      <w:pPr>
        <w:spacing w:before="98" w:line="242" w:lineRule="auto"/>
        <w:ind w:left="162" w:right="516" w:firstLine="0"/>
        <w:jc w:val="left"/>
        <w:rPr>
          <w:b/>
          <w:sz w:val="21"/>
        </w:rPr>
      </w:pPr>
      <w:r>
        <w:br w:type="column"/>
      </w:r>
      <w:r>
        <w:rPr>
          <w:spacing w:val="4"/>
          <w:w w:val="100"/>
          <w:sz w:val="21"/>
        </w:rPr>
        <w:t>若被保险人因意外伤害或等待期后因意外伤害以外的原因</w:t>
      </w:r>
      <w:r>
        <w:rPr>
          <w:b/>
          <w:spacing w:val="5"/>
          <w:w w:val="100"/>
          <w:sz w:val="21"/>
        </w:rPr>
        <w:t>首次</w:t>
      </w:r>
      <w:r>
        <w:rPr>
          <w:b/>
          <w:spacing w:val="4"/>
          <w:w w:val="100"/>
          <w:sz w:val="21"/>
        </w:rPr>
        <w:t>发病</w:t>
      </w:r>
      <w:r>
        <w:rPr>
          <w:spacing w:val="-5"/>
          <w:w w:val="100"/>
          <w:sz w:val="21"/>
        </w:rPr>
        <w:t>（</w:t>
      </w:r>
      <w:r>
        <w:rPr>
          <w:w w:val="100"/>
          <w:sz w:val="21"/>
        </w:rPr>
        <w:t>见</w:t>
      </w:r>
      <w:r>
        <w:rPr>
          <w:spacing w:val="-52"/>
          <w:sz w:val="21"/>
        </w:rPr>
        <w:t xml:space="preserve"> </w:t>
      </w:r>
      <w:r>
        <w:rPr>
          <w:rFonts w:ascii="Times New Roman" w:eastAsia="Times New Roman"/>
          <w:spacing w:val="-10"/>
          <w:w w:val="100"/>
          <w:sz w:val="21"/>
        </w:rPr>
        <w:t>1</w:t>
      </w:r>
      <w:r>
        <w:rPr>
          <w:rFonts w:ascii="Times New Roman" w:eastAsia="Times New Roman"/>
          <w:w w:val="100"/>
          <w:sz w:val="21"/>
        </w:rPr>
        <w:t>1.24</w:t>
      </w:r>
      <w:r>
        <w:rPr>
          <w:w w:val="100"/>
          <w:sz w:val="21"/>
        </w:rPr>
        <w:t>）</w:t>
      </w:r>
      <w:r>
        <w:rPr>
          <w:spacing w:val="-5"/>
          <w:w w:val="100"/>
          <w:sz w:val="21"/>
        </w:rPr>
        <w:t>并经</w:t>
      </w:r>
      <w:r>
        <w:rPr>
          <w:b/>
          <w:spacing w:val="1"/>
          <w:w w:val="100"/>
          <w:sz w:val="21"/>
        </w:rPr>
        <w:t>专科医生</w:t>
      </w:r>
      <w:r>
        <w:rPr>
          <w:spacing w:val="-5"/>
          <w:w w:val="100"/>
          <w:sz w:val="21"/>
        </w:rPr>
        <w:t>（</w:t>
      </w:r>
      <w:r>
        <w:rPr>
          <w:w w:val="100"/>
          <w:sz w:val="21"/>
        </w:rPr>
        <w:t>见</w:t>
      </w:r>
      <w:r>
        <w:rPr>
          <w:spacing w:val="-52"/>
          <w:sz w:val="21"/>
        </w:rPr>
        <w:t xml:space="preserve"> </w:t>
      </w:r>
      <w:r>
        <w:rPr>
          <w:rFonts w:ascii="Times New Roman" w:eastAsia="Times New Roman"/>
          <w:spacing w:val="-10"/>
          <w:w w:val="100"/>
          <w:sz w:val="21"/>
        </w:rPr>
        <w:t>1</w:t>
      </w:r>
      <w:r>
        <w:rPr>
          <w:rFonts w:ascii="Times New Roman" w:eastAsia="Times New Roman"/>
          <w:w w:val="100"/>
          <w:sz w:val="21"/>
        </w:rPr>
        <w:t>1.25</w:t>
      </w:r>
      <w:r>
        <w:rPr>
          <w:spacing w:val="-5"/>
          <w:w w:val="100"/>
          <w:sz w:val="21"/>
        </w:rPr>
        <w:t>）</w:t>
      </w:r>
      <w:r>
        <w:rPr>
          <w:b/>
          <w:w w:val="100"/>
          <w:sz w:val="21"/>
        </w:rPr>
        <w:t>首次确诊</w:t>
      </w:r>
      <w:r>
        <w:rPr>
          <w:w w:val="100"/>
          <w:sz w:val="21"/>
        </w:rPr>
        <w:t>（见</w:t>
      </w:r>
      <w:r>
        <w:rPr>
          <w:spacing w:val="-53"/>
          <w:sz w:val="21"/>
        </w:rPr>
        <w:t xml:space="preserve"> </w:t>
      </w:r>
      <w:r>
        <w:rPr>
          <w:rFonts w:ascii="Times New Roman" w:eastAsia="Times New Roman"/>
          <w:spacing w:val="-12"/>
          <w:w w:val="100"/>
          <w:sz w:val="21"/>
        </w:rPr>
        <w:t>1</w:t>
      </w:r>
      <w:r>
        <w:rPr>
          <w:rFonts w:ascii="Times New Roman" w:eastAsia="Times New Roman"/>
          <w:spacing w:val="-2"/>
          <w:w w:val="100"/>
          <w:sz w:val="21"/>
        </w:rPr>
        <w:t>1.26</w:t>
      </w:r>
      <w:r>
        <w:rPr>
          <w:spacing w:val="-2"/>
          <w:w w:val="100"/>
          <w:sz w:val="21"/>
        </w:rPr>
        <w:t>）</w:t>
      </w:r>
      <w:r>
        <w:rPr>
          <w:w w:val="100"/>
          <w:sz w:val="21"/>
        </w:rPr>
        <w:t>患有任何一项符合本合同第</w:t>
      </w:r>
      <w:r>
        <w:rPr>
          <w:spacing w:val="7"/>
          <w:sz w:val="21"/>
        </w:rPr>
        <w:t xml:space="preserve"> </w:t>
      </w:r>
      <w:r>
        <w:rPr>
          <w:rFonts w:ascii="Times New Roman" w:eastAsia="Times New Roman"/>
          <w:w w:val="100"/>
          <w:sz w:val="21"/>
        </w:rPr>
        <w:t>9</w:t>
      </w:r>
      <w:r>
        <w:rPr>
          <w:rFonts w:ascii="Times New Roman" w:eastAsia="Times New Roman"/>
          <w:sz w:val="21"/>
        </w:rPr>
        <w:t xml:space="preserve">  </w:t>
      </w:r>
      <w:r>
        <w:rPr>
          <w:w w:val="100"/>
          <w:sz w:val="21"/>
        </w:rPr>
        <w:t>条约定保障范围及定义的轻症疾</w:t>
      </w:r>
      <w:r>
        <w:rPr>
          <w:spacing w:val="-10"/>
          <w:w w:val="100"/>
          <w:sz w:val="21"/>
        </w:rPr>
        <w:t>病，</w:t>
      </w:r>
      <w:r>
        <w:rPr>
          <w:b/>
          <w:spacing w:val="-1"/>
          <w:w w:val="100"/>
          <w:sz w:val="21"/>
        </w:rPr>
        <w:t>我们首先按以下约定给付轻症疾病医疗保险金，当累计给付</w:t>
      </w:r>
    </w:p>
    <w:p>
      <w:pPr>
        <w:spacing w:after="0" w:line="242" w:lineRule="auto"/>
        <w:jc w:val="left"/>
        <w:rPr>
          <w:sz w:val="21"/>
        </w:rPr>
        <w:sectPr>
          <w:type w:val="continuous"/>
          <w:pgSz w:w="11910" w:h="16840"/>
          <w:pgMar w:top="320" w:right="620" w:bottom="280" w:left="1480" w:header="0" w:footer="851" w:gutter="0"/>
          <w:cols w:equalWidth="0" w:num="2">
            <w:col w:w="3106" w:space="40"/>
            <w:col w:w="6664"/>
          </w:cols>
        </w:sectPr>
      </w:pPr>
    </w:p>
    <w:p>
      <w:pPr>
        <w:spacing w:before="51" w:line="244" w:lineRule="auto"/>
        <w:ind w:left="3307" w:right="617" w:firstLine="0"/>
        <w:jc w:val="both"/>
        <w:rPr>
          <w:b/>
          <w:sz w:val="21"/>
        </w:rPr>
      </w:pPr>
      <w:r>
        <w:rPr>
          <w:b/>
          <w:sz w:val="21"/>
        </w:rPr>
        <w:t>的轻症疾病医疗保险金达到本合同约定的轻症疾病医疗保险金</w:t>
      </w:r>
      <w:r>
        <w:rPr>
          <w:b/>
          <w:spacing w:val="-3"/>
          <w:sz w:val="21"/>
        </w:rPr>
        <w:t xml:space="preserve">年度给付限额后，再按第 </w:t>
      </w:r>
      <w:r>
        <w:rPr>
          <w:rFonts w:ascii="Times New Roman" w:eastAsia="Times New Roman"/>
          <w:b/>
          <w:sz w:val="21"/>
        </w:rPr>
        <w:t xml:space="preserve">2.4.1 </w:t>
      </w:r>
      <w:r>
        <w:rPr>
          <w:b/>
          <w:sz w:val="21"/>
        </w:rPr>
        <w:t>条的约定给付一般医疗保险金：</w:t>
      </w:r>
    </w:p>
    <w:p>
      <w:pPr>
        <w:pStyle w:val="3"/>
        <w:spacing w:before="7"/>
        <w:rPr>
          <w:b/>
          <w:sz w:val="18"/>
        </w:rPr>
      </w:pPr>
    </w:p>
    <w:p>
      <w:pPr>
        <w:pStyle w:val="8"/>
        <w:numPr>
          <w:ilvl w:val="0"/>
          <w:numId w:val="18"/>
        </w:numPr>
        <w:tabs>
          <w:tab w:val="left" w:pos="3942"/>
        </w:tabs>
        <w:spacing w:before="1" w:after="0" w:line="240" w:lineRule="auto"/>
        <w:ind w:left="3941" w:right="0" w:hanging="635"/>
        <w:jc w:val="both"/>
        <w:rPr>
          <w:sz w:val="21"/>
        </w:rPr>
      </w:pPr>
      <w:r>
        <w:rPr>
          <w:spacing w:val="-3"/>
          <w:sz w:val="21"/>
        </w:rPr>
        <w:t>轻症疾病住院医疗费用</w:t>
      </w:r>
    </w:p>
    <w:p>
      <w:pPr>
        <w:spacing w:before="4" w:line="242" w:lineRule="auto"/>
        <w:ind w:left="3307"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55"/>
          <w:sz w:val="21"/>
        </w:rPr>
        <w:t xml:space="preserve"> </w:t>
      </w:r>
      <w:r>
        <w:rPr>
          <w:rFonts w:ascii="Times New Roman" w:eastAsia="Times New Roman"/>
          <w:w w:val="100"/>
          <w:sz w:val="21"/>
        </w:rPr>
        <w:t>9</w:t>
      </w:r>
      <w:r>
        <w:rPr>
          <w:rFonts w:ascii="Times New Roman" w:eastAsia="Times New Roman"/>
          <w:spacing w:val="-5"/>
          <w:sz w:val="21"/>
        </w:rPr>
        <w:t xml:space="preserve"> </w:t>
      </w:r>
      <w:r>
        <w:rPr>
          <w:spacing w:val="-5"/>
          <w:w w:val="100"/>
          <w:sz w:val="21"/>
        </w:rPr>
        <w:t>条约定</w:t>
      </w:r>
      <w:r>
        <w:rPr>
          <w:spacing w:val="-6"/>
          <w:w w:val="100"/>
          <w:sz w:val="21"/>
        </w:rPr>
        <w:t>保障范围及定义的轻症疾病，经本合同约定的医院诊断必须住院</w:t>
      </w:r>
      <w:r>
        <w:rPr>
          <w:spacing w:val="-9"/>
          <w:w w:val="100"/>
          <w:sz w:val="21"/>
        </w:rPr>
        <w:t>治疗的，</w:t>
      </w:r>
      <w:r>
        <w:rPr>
          <w:b/>
          <w:spacing w:val="-2"/>
          <w:w w:val="100"/>
          <w:sz w:val="21"/>
        </w:rPr>
        <w:t>对于被保险人实际发生的合理且必需的轻症疾病住院医</w:t>
      </w:r>
      <w:r>
        <w:rPr>
          <w:b/>
          <w:spacing w:val="3"/>
          <w:w w:val="100"/>
          <w:sz w:val="21"/>
        </w:rPr>
        <w:t>疗费用，我们按本合同约定的给付比例给付轻症疾病医疗保险金。</w:t>
      </w:r>
    </w:p>
    <w:p>
      <w:pPr>
        <w:pStyle w:val="3"/>
        <w:spacing w:before="4"/>
        <w:rPr>
          <w:b/>
          <w:sz w:val="19"/>
        </w:rPr>
      </w:pPr>
    </w:p>
    <w:p>
      <w:pPr>
        <w:pStyle w:val="3"/>
        <w:spacing w:line="242" w:lineRule="auto"/>
        <w:ind w:left="3307" w:right="618"/>
        <w:jc w:val="both"/>
      </w:pPr>
      <w:r>
        <w:rPr>
          <w:spacing w:val="-2"/>
        </w:rPr>
        <w:t xml:space="preserve">被保险人在本合同保险期间内开始住院治疗，到本合同保险期间届满日时仍未结束本次住院治疗且未续保的，我们将继续承担因本次住院发生的轻症疾病医疗保险金给付责任，但最长不超过本合同保险期间届满日后 </w:t>
      </w:r>
      <w:r>
        <w:rPr>
          <w:rFonts w:ascii="Times New Roman" w:eastAsia="Times New Roman"/>
        </w:rPr>
        <w:t xml:space="preserve">30 </w:t>
      </w:r>
      <w:r>
        <w:t>天。</w:t>
      </w:r>
    </w:p>
    <w:p>
      <w:pPr>
        <w:pStyle w:val="3"/>
        <w:spacing w:before="12"/>
        <w:rPr>
          <w:sz w:val="18"/>
        </w:rPr>
      </w:pPr>
    </w:p>
    <w:p>
      <w:pPr>
        <w:pStyle w:val="3"/>
        <w:spacing w:line="244" w:lineRule="auto"/>
        <w:ind w:left="3307" w:right="511"/>
      </w:pPr>
      <w:r>
        <w:rPr>
          <w:spacing w:val="-2"/>
        </w:rPr>
        <w:t>轻症疾病住院医疗费用包括床位费、医生诊疗费、治疗费、手术</w:t>
      </w:r>
      <w:r>
        <w:rPr>
          <w:spacing w:val="-7"/>
        </w:rPr>
        <w:t>费、药品费、检查化验费、护理费、膳食费、重症监护室床位费。</w:t>
      </w:r>
    </w:p>
    <w:p>
      <w:pPr>
        <w:pStyle w:val="3"/>
        <w:spacing w:before="8"/>
        <w:rPr>
          <w:sz w:val="18"/>
        </w:rPr>
      </w:pPr>
    </w:p>
    <w:p>
      <w:pPr>
        <w:pStyle w:val="8"/>
        <w:numPr>
          <w:ilvl w:val="0"/>
          <w:numId w:val="18"/>
        </w:numPr>
        <w:tabs>
          <w:tab w:val="left" w:pos="3837"/>
        </w:tabs>
        <w:spacing w:before="0" w:after="0" w:line="269" w:lineRule="exact"/>
        <w:ind w:left="3836" w:right="0" w:hanging="530"/>
        <w:jc w:val="left"/>
        <w:rPr>
          <w:sz w:val="21"/>
        </w:rPr>
      </w:pPr>
      <w:r>
        <w:rPr>
          <w:spacing w:val="-3"/>
          <w:sz w:val="21"/>
        </w:rPr>
        <w:t>轻症疾病特定门诊医疗费用</w:t>
      </w:r>
    </w:p>
    <w:p>
      <w:pPr>
        <w:spacing w:before="0" w:line="242" w:lineRule="auto"/>
        <w:ind w:left="3307"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55"/>
          <w:sz w:val="21"/>
        </w:rPr>
        <w:t xml:space="preserve"> </w:t>
      </w:r>
      <w:r>
        <w:rPr>
          <w:rFonts w:ascii="Times New Roman" w:eastAsia="Times New Roman"/>
          <w:w w:val="100"/>
          <w:sz w:val="21"/>
        </w:rPr>
        <w:t>9</w:t>
      </w:r>
      <w:r>
        <w:rPr>
          <w:rFonts w:ascii="Times New Roman" w:eastAsia="Times New Roman"/>
          <w:spacing w:val="-5"/>
          <w:sz w:val="21"/>
        </w:rPr>
        <w:t xml:space="preserve"> </w:t>
      </w:r>
      <w:r>
        <w:rPr>
          <w:spacing w:val="-5"/>
          <w:w w:val="100"/>
          <w:sz w:val="21"/>
        </w:rPr>
        <w:t>条约定</w:t>
      </w:r>
      <w:r>
        <w:rPr>
          <w:spacing w:val="-6"/>
          <w:w w:val="100"/>
          <w:sz w:val="21"/>
        </w:rPr>
        <w:t>保障范围及定义的轻症疾病，经本合同约定的医院诊断必须在医</w:t>
      </w:r>
      <w:r>
        <w:rPr>
          <w:spacing w:val="-4"/>
          <w:w w:val="100"/>
          <w:sz w:val="21"/>
        </w:rPr>
        <w:t>院接受特定门诊治疗的，</w:t>
      </w:r>
      <w:r>
        <w:rPr>
          <w:b/>
          <w:spacing w:val="-2"/>
          <w:w w:val="100"/>
          <w:sz w:val="21"/>
        </w:rPr>
        <w:t>对于被保险人实际发生的合理且必需的</w:t>
      </w:r>
      <w:r>
        <w:rPr>
          <w:b/>
          <w:spacing w:val="-6"/>
          <w:w w:val="100"/>
          <w:sz w:val="21"/>
        </w:rPr>
        <w:t>轻症疾病特定门诊医疗费用，我们按本合同约定的给付比例给付</w:t>
      </w:r>
      <w:r>
        <w:rPr>
          <w:b/>
          <w:w w:val="100"/>
          <w:sz w:val="21"/>
        </w:rPr>
        <w:t>轻症疾病医疗保险金。</w:t>
      </w:r>
    </w:p>
    <w:p>
      <w:pPr>
        <w:pStyle w:val="3"/>
        <w:spacing w:before="3"/>
        <w:rPr>
          <w:b/>
          <w:sz w:val="19"/>
        </w:rPr>
      </w:pPr>
    </w:p>
    <w:p>
      <w:pPr>
        <w:pStyle w:val="3"/>
        <w:ind w:left="3307"/>
      </w:pPr>
      <w:r>
        <w:rPr>
          <w:spacing w:val="-3"/>
        </w:rPr>
        <w:t>特定门诊治疗包括：</w:t>
      </w:r>
    </w:p>
    <w:p>
      <w:pPr>
        <w:pStyle w:val="3"/>
        <w:spacing w:before="5"/>
        <w:ind w:left="3413"/>
        <w:jc w:val="both"/>
      </w:pPr>
      <w:r>
        <w:rPr>
          <w:spacing w:val="-3"/>
        </w:rPr>
        <w:t>① 门诊肾透析治疗；</w:t>
      </w:r>
    </w:p>
    <w:p>
      <w:pPr>
        <w:pStyle w:val="3"/>
        <w:spacing w:before="5" w:line="242" w:lineRule="auto"/>
        <w:ind w:left="3730" w:right="507" w:hanging="317"/>
        <w:jc w:val="both"/>
      </w:pPr>
      <w:r>
        <w:rPr>
          <w:spacing w:val="-7"/>
        </w:rPr>
        <w:t>② 门诊恶性肿瘤</w:t>
      </w:r>
      <w:r>
        <w:rPr>
          <w:spacing w:val="-2"/>
        </w:rPr>
        <w:t>（</w:t>
      </w:r>
      <w:r>
        <w:rPr>
          <w:spacing w:val="-4"/>
        </w:rPr>
        <w:t xml:space="preserve">有关恶性肿瘤，参照本合同第 </w:t>
      </w:r>
      <w:r>
        <w:rPr>
          <w:rFonts w:ascii="Times New Roman" w:hAnsi="Times New Roman" w:eastAsia="Times New Roman"/>
          <w:spacing w:val="-2"/>
        </w:rPr>
        <w:t>9.1</w:t>
      </w:r>
      <w:r>
        <w:rPr>
          <w:rFonts w:ascii="Times New Roman" w:hAnsi="Times New Roman" w:eastAsia="Times New Roman"/>
          <w:spacing w:val="-11"/>
        </w:rPr>
        <w:t xml:space="preserve"> </w:t>
      </w:r>
      <w:r>
        <w:rPr>
          <w:spacing w:val="-2"/>
        </w:rPr>
        <w:t>条）治疗，</w:t>
      </w:r>
      <w:r>
        <w:rPr>
          <w:spacing w:val="-4"/>
        </w:rPr>
        <w:t>包括化学疗法、放射疗法、肿瘤免疫疗法、肿瘤内分泌疗法、</w:t>
      </w:r>
      <w:r>
        <w:rPr>
          <w:spacing w:val="-2"/>
        </w:rPr>
        <w:t>肿瘤靶向疗法；</w:t>
      </w:r>
    </w:p>
    <w:p>
      <w:pPr>
        <w:pStyle w:val="3"/>
        <w:spacing w:before="1"/>
        <w:ind w:left="3413"/>
        <w:jc w:val="both"/>
      </w:pPr>
      <w:r>
        <w:rPr>
          <w:spacing w:val="-5"/>
        </w:rPr>
        <w:t>③ 器官移植后的门诊抗排异治疗。</w:t>
      </w:r>
    </w:p>
    <w:p>
      <w:pPr>
        <w:pStyle w:val="3"/>
        <w:rPr>
          <w:sz w:val="19"/>
        </w:rPr>
      </w:pPr>
    </w:p>
    <w:p>
      <w:pPr>
        <w:pStyle w:val="8"/>
        <w:numPr>
          <w:ilvl w:val="0"/>
          <w:numId w:val="18"/>
        </w:numPr>
        <w:tabs>
          <w:tab w:val="left" w:pos="3837"/>
        </w:tabs>
        <w:spacing w:before="1" w:after="0" w:line="240" w:lineRule="auto"/>
        <w:ind w:left="3836" w:right="0" w:hanging="530"/>
        <w:jc w:val="left"/>
        <w:rPr>
          <w:sz w:val="21"/>
        </w:rPr>
      </w:pPr>
      <w:r>
        <w:rPr>
          <w:spacing w:val="-3"/>
          <w:sz w:val="21"/>
        </w:rPr>
        <w:t>轻症疾病门诊手术医疗费用</w:t>
      </w:r>
    </w:p>
    <w:p>
      <w:pPr>
        <w:spacing w:before="5" w:line="242" w:lineRule="auto"/>
        <w:ind w:left="3307"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55"/>
          <w:sz w:val="21"/>
        </w:rPr>
        <w:t xml:space="preserve"> </w:t>
      </w:r>
      <w:r>
        <w:rPr>
          <w:rFonts w:ascii="Times New Roman" w:eastAsia="Times New Roman"/>
          <w:w w:val="100"/>
          <w:sz w:val="21"/>
        </w:rPr>
        <w:t>9</w:t>
      </w:r>
      <w:r>
        <w:rPr>
          <w:rFonts w:ascii="Times New Roman" w:eastAsia="Times New Roman"/>
          <w:spacing w:val="-5"/>
          <w:sz w:val="21"/>
        </w:rPr>
        <w:t xml:space="preserve"> </w:t>
      </w:r>
      <w:r>
        <w:rPr>
          <w:spacing w:val="-5"/>
          <w:w w:val="100"/>
          <w:sz w:val="21"/>
        </w:rPr>
        <w:t>条约定</w:t>
      </w:r>
      <w:r>
        <w:rPr>
          <w:spacing w:val="-6"/>
          <w:w w:val="100"/>
          <w:sz w:val="21"/>
        </w:rPr>
        <w:t>保障范围及定义的轻症疾病，经本合同约定的医院诊断必须接受</w:t>
      </w:r>
      <w:r>
        <w:rPr>
          <w:spacing w:val="-5"/>
          <w:w w:val="100"/>
          <w:sz w:val="21"/>
        </w:rPr>
        <w:t>门诊手术治疗的，</w:t>
      </w:r>
      <w:r>
        <w:rPr>
          <w:b/>
          <w:spacing w:val="-2"/>
          <w:w w:val="100"/>
          <w:sz w:val="21"/>
        </w:rPr>
        <w:t>对于被保险人实际发生的合理且必需的轻症疾</w:t>
      </w:r>
      <w:r>
        <w:rPr>
          <w:b/>
          <w:spacing w:val="-6"/>
          <w:w w:val="100"/>
          <w:sz w:val="21"/>
        </w:rPr>
        <w:t>病门诊手术医疗费用，我们按本合同约定的给付比例给付轻症疾</w:t>
      </w:r>
      <w:r>
        <w:rPr>
          <w:b/>
          <w:w w:val="100"/>
          <w:sz w:val="21"/>
        </w:rPr>
        <w:t>病医疗保险金。</w:t>
      </w:r>
    </w:p>
    <w:p>
      <w:pPr>
        <w:pStyle w:val="3"/>
        <w:spacing w:before="11"/>
        <w:rPr>
          <w:b/>
          <w:sz w:val="18"/>
        </w:rPr>
      </w:pPr>
    </w:p>
    <w:p>
      <w:pPr>
        <w:pStyle w:val="8"/>
        <w:numPr>
          <w:ilvl w:val="0"/>
          <w:numId w:val="18"/>
        </w:numPr>
        <w:tabs>
          <w:tab w:val="left" w:pos="3837"/>
        </w:tabs>
        <w:spacing w:before="0" w:after="0" w:line="240" w:lineRule="auto"/>
        <w:ind w:left="3836" w:right="0" w:hanging="530"/>
        <w:jc w:val="left"/>
        <w:rPr>
          <w:sz w:val="21"/>
        </w:rPr>
      </w:pPr>
      <w:r>
        <w:rPr>
          <w:spacing w:val="-3"/>
          <w:sz w:val="21"/>
        </w:rPr>
        <w:t>轻症疾病住院前后门急诊医疗费用</w:t>
      </w:r>
    </w:p>
    <w:p>
      <w:pPr>
        <w:spacing w:before="5" w:line="242" w:lineRule="auto"/>
        <w:ind w:left="3307"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55"/>
          <w:sz w:val="21"/>
        </w:rPr>
        <w:t xml:space="preserve"> </w:t>
      </w:r>
      <w:r>
        <w:rPr>
          <w:rFonts w:ascii="Times New Roman" w:eastAsia="Times New Roman"/>
          <w:w w:val="100"/>
          <w:sz w:val="21"/>
        </w:rPr>
        <w:t>9</w:t>
      </w:r>
      <w:r>
        <w:rPr>
          <w:rFonts w:ascii="Times New Roman" w:eastAsia="Times New Roman"/>
          <w:spacing w:val="-5"/>
          <w:sz w:val="21"/>
        </w:rPr>
        <w:t xml:space="preserve"> </w:t>
      </w:r>
      <w:r>
        <w:rPr>
          <w:spacing w:val="-5"/>
          <w:w w:val="100"/>
          <w:sz w:val="21"/>
        </w:rPr>
        <w:t>条约定</w:t>
      </w:r>
      <w:r>
        <w:rPr>
          <w:spacing w:val="-6"/>
          <w:w w:val="100"/>
          <w:sz w:val="21"/>
        </w:rPr>
        <w:t>保障范围及定义的轻症疾病，经本合同约定的医院诊断必须接受</w:t>
      </w:r>
      <w:r>
        <w:rPr>
          <w:spacing w:val="-2"/>
          <w:w w:val="100"/>
          <w:sz w:val="21"/>
        </w:rPr>
        <w:t>住院治疗的，</w:t>
      </w:r>
      <w:r>
        <w:rPr>
          <w:b/>
          <w:w w:val="100"/>
          <w:sz w:val="21"/>
        </w:rPr>
        <w:t>对于被保险人在住院前</w:t>
      </w:r>
      <w:r>
        <w:rPr>
          <w:b/>
          <w:spacing w:val="-9"/>
          <w:sz w:val="21"/>
        </w:rPr>
        <w:t xml:space="preserve"> </w:t>
      </w:r>
      <w:r>
        <w:rPr>
          <w:rFonts w:ascii="Times New Roman" w:eastAsia="Times New Roman"/>
          <w:b/>
          <w:w w:val="100"/>
          <w:sz w:val="21"/>
        </w:rPr>
        <w:t>30</w:t>
      </w:r>
      <w:r>
        <w:rPr>
          <w:rFonts w:ascii="Times New Roman" w:eastAsia="Times New Roman"/>
          <w:b/>
          <w:spacing w:val="-10"/>
          <w:sz w:val="21"/>
        </w:rPr>
        <w:t xml:space="preserve">  </w:t>
      </w:r>
      <w:r>
        <w:rPr>
          <w:b/>
          <w:w w:val="100"/>
          <w:sz w:val="21"/>
        </w:rPr>
        <w:t>日（含住院当日）</w:t>
      </w:r>
      <w:r>
        <w:rPr>
          <w:b/>
          <w:spacing w:val="-8"/>
          <w:w w:val="100"/>
          <w:sz w:val="21"/>
        </w:rPr>
        <w:t>和出</w:t>
      </w:r>
    </w:p>
    <w:p>
      <w:pPr>
        <w:spacing w:before="3" w:line="242" w:lineRule="auto"/>
        <w:ind w:left="3307" w:right="616" w:firstLine="0"/>
        <w:jc w:val="both"/>
        <w:rPr>
          <w:b/>
          <w:sz w:val="21"/>
        </w:rPr>
      </w:pPr>
      <w:r>
        <w:rPr>
          <w:b/>
          <w:spacing w:val="-8"/>
          <w:sz w:val="21"/>
        </w:rPr>
        <w:t xml:space="preserve">院后 </w:t>
      </w:r>
      <w:r>
        <w:rPr>
          <w:rFonts w:ascii="Times New Roman" w:eastAsia="Times New Roman"/>
          <w:b/>
          <w:sz w:val="21"/>
        </w:rPr>
        <w:t>30</w:t>
      </w:r>
      <w:r>
        <w:rPr>
          <w:rFonts w:ascii="Times New Roman" w:eastAsia="Times New Roman"/>
          <w:b/>
          <w:spacing w:val="20"/>
          <w:sz w:val="21"/>
        </w:rPr>
        <w:t xml:space="preserve"> </w:t>
      </w:r>
      <w:r>
        <w:rPr>
          <w:b/>
          <w:sz w:val="21"/>
        </w:rPr>
        <w:t>日（含出院当日）内因与该次住院相同原因实际发生的</w:t>
      </w:r>
      <w:r>
        <w:rPr>
          <w:b/>
          <w:spacing w:val="-2"/>
          <w:sz w:val="21"/>
        </w:rPr>
        <w:t>合理且必需的轻症疾病门急诊医疗费用（但不包括上述轻症疾病门诊手术医疗费用</w:t>
      </w:r>
      <w:r>
        <w:rPr>
          <w:b/>
          <w:spacing w:val="-53"/>
          <w:sz w:val="21"/>
        </w:rPr>
        <w:t>）</w:t>
      </w:r>
      <w:r>
        <w:rPr>
          <w:b/>
          <w:spacing w:val="-2"/>
          <w:sz w:val="21"/>
        </w:rPr>
        <w:t>，我们按本合同约定的给付比例给付轻症疾病医疗保险金。</w:t>
      </w:r>
    </w:p>
    <w:p>
      <w:pPr>
        <w:pStyle w:val="3"/>
        <w:spacing w:before="11"/>
        <w:rPr>
          <w:b/>
          <w:sz w:val="18"/>
        </w:rPr>
      </w:pPr>
    </w:p>
    <w:p>
      <w:pPr>
        <w:spacing w:before="1" w:line="244" w:lineRule="auto"/>
        <w:ind w:left="3307" w:right="617" w:firstLine="0"/>
        <w:jc w:val="left"/>
        <w:rPr>
          <w:b/>
          <w:sz w:val="21"/>
        </w:rPr>
      </w:pPr>
      <w:r>
        <w:rPr>
          <w:b/>
          <w:spacing w:val="-2"/>
          <w:sz w:val="21"/>
        </w:rPr>
        <w:t>在本合同保险期间内，我们累计给付的轻症疾病医疗保险金以本合同约定的轻症疾病医疗保险金年度给付限额为限。</w:t>
      </w:r>
    </w:p>
    <w:p>
      <w:pPr>
        <w:spacing w:after="0" w:line="244" w:lineRule="auto"/>
        <w:jc w:val="left"/>
        <w:rPr>
          <w:sz w:val="21"/>
        </w:rPr>
        <w:sectPr>
          <w:pgSz w:w="11910" w:h="16840"/>
          <w:pgMar w:top="1060" w:right="620" w:bottom="1040" w:left="1480" w:header="0" w:footer="851" w:gutter="0"/>
          <w:cols w:space="720" w:num="1"/>
        </w:sectPr>
      </w:pPr>
    </w:p>
    <w:p>
      <w:pPr>
        <w:pStyle w:val="8"/>
        <w:numPr>
          <w:ilvl w:val="2"/>
          <w:numId w:val="17"/>
        </w:numPr>
        <w:tabs>
          <w:tab w:val="left" w:pos="1338"/>
          <w:tab w:val="left" w:pos="1339"/>
        </w:tabs>
        <w:spacing w:before="78" w:after="0" w:line="244" w:lineRule="auto"/>
        <w:ind w:left="1338" w:right="0" w:hanging="1004"/>
        <w:jc w:val="left"/>
        <w:rPr>
          <w:b/>
          <w:sz w:val="21"/>
        </w:rPr>
      </w:pPr>
      <w:r>
        <w:rPr>
          <w:b/>
          <w:sz w:val="21"/>
        </w:rPr>
        <w:t>重大疾病医疗保险</w:t>
      </w:r>
      <w:r>
        <w:rPr>
          <w:b/>
          <w:spacing w:val="-10"/>
          <w:sz w:val="21"/>
        </w:rPr>
        <w:t>金</w:t>
      </w:r>
    </w:p>
    <w:p>
      <w:pPr>
        <w:spacing w:before="84" w:line="242" w:lineRule="auto"/>
        <w:ind w:left="162" w:right="616" w:firstLine="0"/>
        <w:jc w:val="both"/>
        <w:rPr>
          <w:b/>
          <w:sz w:val="21"/>
        </w:rPr>
      </w:pPr>
      <w:r>
        <w:br w:type="column"/>
      </w: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4"/>
          <w:sz w:val="21"/>
        </w:rPr>
        <w:t xml:space="preserve"> </w:t>
      </w:r>
      <w:r>
        <w:rPr>
          <w:rFonts w:ascii="Times New Roman" w:eastAsia="Times New Roman"/>
          <w:w w:val="100"/>
          <w:sz w:val="21"/>
        </w:rPr>
        <w:t>10</w:t>
      </w:r>
      <w:r>
        <w:rPr>
          <w:rFonts w:ascii="Times New Roman" w:eastAsia="Times New Roman"/>
          <w:spacing w:val="-3"/>
          <w:sz w:val="21"/>
        </w:rPr>
        <w:t xml:space="preserve">  </w:t>
      </w:r>
      <w:r>
        <w:rPr>
          <w:spacing w:val="-7"/>
          <w:w w:val="100"/>
          <w:sz w:val="21"/>
        </w:rPr>
        <w:t>条约</w:t>
      </w:r>
      <w:r>
        <w:rPr>
          <w:spacing w:val="-5"/>
          <w:w w:val="100"/>
          <w:sz w:val="21"/>
        </w:rPr>
        <w:t>定保障范围及定义的重大疾病，</w:t>
      </w:r>
      <w:r>
        <w:rPr>
          <w:b/>
          <w:spacing w:val="-1"/>
          <w:w w:val="100"/>
          <w:sz w:val="21"/>
        </w:rPr>
        <w:t>我们首先按以下约定给付重大疾</w:t>
      </w:r>
      <w:r>
        <w:rPr>
          <w:b/>
          <w:spacing w:val="-6"/>
          <w:w w:val="100"/>
          <w:sz w:val="21"/>
        </w:rPr>
        <w:t>病医疗保险金，当累计给付的重大疾病医疗保险金达到本合同约</w:t>
      </w:r>
      <w:r>
        <w:rPr>
          <w:b/>
          <w:spacing w:val="-1"/>
          <w:w w:val="100"/>
          <w:sz w:val="21"/>
        </w:rPr>
        <w:t>定的重大疾病医疗保险金年度给付限额后，再按第</w:t>
      </w:r>
      <w:r>
        <w:rPr>
          <w:b/>
          <w:spacing w:val="-15"/>
          <w:sz w:val="21"/>
        </w:rPr>
        <w:t xml:space="preserve"> </w:t>
      </w:r>
      <w:r>
        <w:rPr>
          <w:rFonts w:ascii="Times New Roman" w:eastAsia="Times New Roman"/>
          <w:b/>
          <w:w w:val="100"/>
          <w:sz w:val="21"/>
        </w:rPr>
        <w:t>2</w:t>
      </w:r>
      <w:r>
        <w:rPr>
          <w:rFonts w:ascii="Times New Roman" w:eastAsia="Times New Roman"/>
          <w:b/>
          <w:spacing w:val="-5"/>
          <w:w w:val="100"/>
          <w:sz w:val="21"/>
        </w:rPr>
        <w:t>.</w:t>
      </w:r>
      <w:r>
        <w:rPr>
          <w:rFonts w:ascii="Times New Roman" w:eastAsia="Times New Roman"/>
          <w:b/>
          <w:w w:val="100"/>
          <w:sz w:val="21"/>
        </w:rPr>
        <w:t>4.1</w:t>
      </w:r>
      <w:r>
        <w:rPr>
          <w:rFonts w:ascii="Times New Roman" w:eastAsia="Times New Roman"/>
          <w:b/>
          <w:spacing w:val="-10"/>
          <w:sz w:val="21"/>
        </w:rPr>
        <w:t xml:space="preserve">  </w:t>
      </w:r>
      <w:r>
        <w:rPr>
          <w:b/>
          <w:w w:val="100"/>
          <w:sz w:val="21"/>
        </w:rPr>
        <w:t>条的约定给付一般医疗保险金：</w:t>
      </w:r>
    </w:p>
    <w:p>
      <w:pPr>
        <w:pStyle w:val="3"/>
        <w:spacing w:before="3"/>
        <w:rPr>
          <w:b/>
          <w:sz w:val="19"/>
        </w:rPr>
      </w:pPr>
    </w:p>
    <w:p>
      <w:pPr>
        <w:pStyle w:val="8"/>
        <w:numPr>
          <w:ilvl w:val="0"/>
          <w:numId w:val="19"/>
        </w:numPr>
        <w:tabs>
          <w:tab w:val="left" w:pos="796"/>
        </w:tabs>
        <w:spacing w:before="0" w:after="0" w:line="240" w:lineRule="auto"/>
        <w:ind w:left="795" w:right="0" w:hanging="634"/>
        <w:jc w:val="both"/>
        <w:rPr>
          <w:sz w:val="21"/>
        </w:rPr>
      </w:pPr>
      <w:r>
        <w:rPr>
          <w:spacing w:val="-3"/>
          <w:sz w:val="21"/>
        </w:rPr>
        <w:t>重大疾病住院医疗费用</w:t>
      </w:r>
    </w:p>
    <w:p>
      <w:pPr>
        <w:spacing w:before="5" w:line="242" w:lineRule="auto"/>
        <w:ind w:left="162"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3"/>
          <w:sz w:val="21"/>
        </w:rPr>
        <w:t xml:space="preserve"> </w:t>
      </w:r>
      <w:r>
        <w:rPr>
          <w:rFonts w:ascii="Times New Roman" w:eastAsia="Times New Roman"/>
          <w:w w:val="100"/>
          <w:sz w:val="21"/>
        </w:rPr>
        <w:t>10</w:t>
      </w:r>
      <w:r>
        <w:rPr>
          <w:rFonts w:ascii="Times New Roman" w:eastAsia="Times New Roman"/>
          <w:spacing w:val="-3"/>
          <w:sz w:val="21"/>
        </w:rPr>
        <w:t xml:space="preserve">  </w:t>
      </w:r>
      <w:r>
        <w:rPr>
          <w:spacing w:val="-7"/>
          <w:w w:val="100"/>
          <w:sz w:val="21"/>
        </w:rPr>
        <w:t>条约</w:t>
      </w:r>
      <w:r>
        <w:rPr>
          <w:spacing w:val="-6"/>
          <w:w w:val="100"/>
          <w:sz w:val="21"/>
        </w:rPr>
        <w:t>定保障范围及定义的重大疾病，经本合同约定的医院诊断必须住</w:t>
      </w:r>
      <w:r>
        <w:rPr>
          <w:spacing w:val="-7"/>
          <w:w w:val="100"/>
          <w:sz w:val="21"/>
        </w:rPr>
        <w:t>院治疗的，</w:t>
      </w:r>
      <w:r>
        <w:rPr>
          <w:b/>
          <w:spacing w:val="-2"/>
          <w:w w:val="100"/>
          <w:sz w:val="21"/>
        </w:rPr>
        <w:t>对于被保险人实际发生的合理且必需的重大疾病住院</w:t>
      </w:r>
      <w:r>
        <w:rPr>
          <w:b/>
          <w:spacing w:val="-6"/>
          <w:w w:val="100"/>
          <w:sz w:val="21"/>
        </w:rPr>
        <w:t>医疗费用，我们按本合同约定的给付比例给付重大疾病医疗保险</w:t>
      </w:r>
      <w:r>
        <w:rPr>
          <w:b/>
          <w:w w:val="100"/>
          <w:sz w:val="21"/>
        </w:rPr>
        <w:t>金。</w:t>
      </w:r>
    </w:p>
    <w:p>
      <w:pPr>
        <w:pStyle w:val="3"/>
        <w:spacing w:before="3"/>
        <w:rPr>
          <w:b/>
          <w:sz w:val="19"/>
        </w:rPr>
      </w:pPr>
    </w:p>
    <w:p>
      <w:pPr>
        <w:pStyle w:val="3"/>
        <w:spacing w:before="1" w:line="242" w:lineRule="auto"/>
        <w:ind w:left="162" w:right="619"/>
        <w:jc w:val="both"/>
      </w:pPr>
      <w:r>
        <w:rPr>
          <w:spacing w:val="-2"/>
        </w:rPr>
        <w:t xml:space="preserve">被保险人在本合同保险期间内开始住院治疗，到本合同保险期间届满日时仍未结束本次住院治疗且未续保的，我们将继续承担因本次住院发生的重大疾病医疗保险金给付责任，但最长不超过本合同保险期间届满日后 </w:t>
      </w:r>
      <w:r>
        <w:rPr>
          <w:rFonts w:ascii="Times New Roman" w:eastAsia="Times New Roman"/>
        </w:rPr>
        <w:t xml:space="preserve">30 </w:t>
      </w:r>
      <w:r>
        <w:t>天。</w:t>
      </w:r>
    </w:p>
    <w:p>
      <w:pPr>
        <w:pStyle w:val="3"/>
        <w:spacing w:before="11"/>
        <w:rPr>
          <w:sz w:val="18"/>
        </w:rPr>
      </w:pPr>
    </w:p>
    <w:p>
      <w:pPr>
        <w:pStyle w:val="3"/>
        <w:spacing w:line="244" w:lineRule="auto"/>
        <w:ind w:left="162" w:right="511"/>
      </w:pPr>
      <w:r>
        <w:rPr>
          <w:spacing w:val="-2"/>
        </w:rPr>
        <w:t>重大疾病住院医疗费用包括床位费、医生诊疗费、治疗费、手术</w:t>
      </w:r>
      <w:r>
        <w:rPr>
          <w:spacing w:val="-7"/>
        </w:rPr>
        <w:t>费、药品费、检查化验费、护理费、膳食费、重症监护室床位费。</w:t>
      </w:r>
    </w:p>
    <w:p>
      <w:pPr>
        <w:pStyle w:val="3"/>
        <w:spacing w:before="8"/>
        <w:rPr>
          <w:sz w:val="18"/>
        </w:rPr>
      </w:pPr>
    </w:p>
    <w:p>
      <w:pPr>
        <w:pStyle w:val="8"/>
        <w:numPr>
          <w:ilvl w:val="0"/>
          <w:numId w:val="19"/>
        </w:numPr>
        <w:tabs>
          <w:tab w:val="left" w:pos="692"/>
        </w:tabs>
        <w:spacing w:before="1" w:after="0" w:line="269" w:lineRule="exact"/>
        <w:ind w:left="691" w:right="0" w:hanging="530"/>
        <w:jc w:val="left"/>
        <w:rPr>
          <w:sz w:val="21"/>
        </w:rPr>
      </w:pPr>
      <w:r>
        <w:rPr>
          <w:spacing w:val="-3"/>
          <w:sz w:val="21"/>
        </w:rPr>
        <w:t>重大疾病特定门诊医疗费用</w:t>
      </w:r>
    </w:p>
    <w:p>
      <w:pPr>
        <w:spacing w:before="0" w:line="242" w:lineRule="auto"/>
        <w:ind w:left="162"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3"/>
          <w:sz w:val="21"/>
        </w:rPr>
        <w:t xml:space="preserve"> </w:t>
      </w:r>
      <w:r>
        <w:rPr>
          <w:rFonts w:ascii="Times New Roman" w:eastAsia="Times New Roman"/>
          <w:w w:val="100"/>
          <w:sz w:val="21"/>
        </w:rPr>
        <w:t>10</w:t>
      </w:r>
      <w:r>
        <w:rPr>
          <w:rFonts w:ascii="Times New Roman" w:eastAsia="Times New Roman"/>
          <w:spacing w:val="-3"/>
          <w:sz w:val="21"/>
        </w:rPr>
        <w:t xml:space="preserve">  </w:t>
      </w:r>
      <w:r>
        <w:rPr>
          <w:spacing w:val="-7"/>
          <w:w w:val="100"/>
          <w:sz w:val="21"/>
        </w:rPr>
        <w:t>条约</w:t>
      </w:r>
      <w:r>
        <w:rPr>
          <w:spacing w:val="-6"/>
          <w:w w:val="100"/>
          <w:sz w:val="21"/>
        </w:rPr>
        <w:t>定保障范围及定义的重大疾病，经本合同约定的医院诊断必须在</w:t>
      </w:r>
      <w:r>
        <w:rPr>
          <w:spacing w:val="-4"/>
          <w:w w:val="100"/>
          <w:sz w:val="21"/>
        </w:rPr>
        <w:t>医院接受特定门诊治疗的，</w:t>
      </w:r>
      <w:r>
        <w:rPr>
          <w:b/>
          <w:spacing w:val="-2"/>
          <w:w w:val="100"/>
          <w:sz w:val="21"/>
        </w:rPr>
        <w:t>对于被保险人实际发生的合理且必需</w:t>
      </w:r>
      <w:r>
        <w:rPr>
          <w:b/>
          <w:spacing w:val="-5"/>
          <w:w w:val="100"/>
          <w:sz w:val="21"/>
        </w:rPr>
        <w:t>的重大疾病特定门诊医疗费用，我们按本合同约定的给付比例给</w:t>
      </w:r>
      <w:r>
        <w:rPr>
          <w:b/>
          <w:w w:val="100"/>
          <w:sz w:val="21"/>
        </w:rPr>
        <w:t>付重大疾病医疗保险金。</w:t>
      </w:r>
    </w:p>
    <w:p>
      <w:pPr>
        <w:pStyle w:val="3"/>
        <w:spacing w:before="2"/>
        <w:rPr>
          <w:b/>
          <w:sz w:val="19"/>
        </w:rPr>
      </w:pPr>
    </w:p>
    <w:p>
      <w:pPr>
        <w:pStyle w:val="3"/>
        <w:spacing w:before="1"/>
        <w:ind w:left="162"/>
      </w:pPr>
      <w:r>
        <w:rPr>
          <w:spacing w:val="-3"/>
        </w:rPr>
        <w:t>特定门诊治疗包括：</w:t>
      </w:r>
    </w:p>
    <w:p>
      <w:pPr>
        <w:pStyle w:val="3"/>
        <w:spacing w:before="4"/>
        <w:ind w:left="267"/>
        <w:jc w:val="both"/>
      </w:pPr>
      <w:r>
        <w:rPr>
          <w:spacing w:val="-3"/>
        </w:rPr>
        <w:t>① 门诊肾透析治疗；</w:t>
      </w:r>
    </w:p>
    <w:p>
      <w:pPr>
        <w:pStyle w:val="3"/>
        <w:spacing w:before="5" w:line="242" w:lineRule="auto"/>
        <w:ind w:left="584" w:right="509" w:hanging="317"/>
        <w:jc w:val="both"/>
      </w:pPr>
      <w:r>
        <w:rPr>
          <w:spacing w:val="-13"/>
        </w:rPr>
        <w:t>② 门诊恶性肿瘤</w:t>
      </w:r>
      <w:r>
        <w:t>（</w:t>
      </w:r>
      <w:r>
        <w:rPr>
          <w:spacing w:val="-9"/>
        </w:rPr>
        <w:t xml:space="preserve">有关恶性肿瘤，参照本合同第 </w:t>
      </w:r>
      <w:r>
        <w:rPr>
          <w:rFonts w:ascii="Times New Roman" w:hAnsi="Times New Roman" w:eastAsia="Times New Roman"/>
        </w:rPr>
        <w:t>10.1</w:t>
      </w:r>
      <w:r>
        <w:rPr>
          <w:rFonts w:ascii="Times New Roman" w:hAnsi="Times New Roman" w:eastAsia="Times New Roman"/>
          <w:spacing w:val="-13"/>
        </w:rPr>
        <w:t xml:space="preserve"> </w:t>
      </w:r>
      <w:r>
        <w:t>条</w:t>
      </w:r>
      <w:r>
        <w:rPr>
          <w:spacing w:val="-53"/>
        </w:rPr>
        <w:t>）</w:t>
      </w:r>
      <w:r>
        <w:t>治疗，</w:t>
      </w:r>
      <w:r>
        <w:rPr>
          <w:spacing w:val="-6"/>
        </w:rPr>
        <w:t>包括化学疗法、放射疗法、肿瘤免疫疗法、肿瘤内分泌疗法、</w:t>
      </w:r>
      <w:r>
        <w:rPr>
          <w:spacing w:val="-2"/>
        </w:rPr>
        <w:t>肿瘤靶向疗法；</w:t>
      </w:r>
    </w:p>
    <w:p>
      <w:pPr>
        <w:pStyle w:val="3"/>
        <w:spacing w:before="1"/>
        <w:ind w:left="267"/>
        <w:jc w:val="both"/>
      </w:pPr>
      <w:r>
        <w:rPr>
          <w:spacing w:val="-5"/>
        </w:rPr>
        <w:t>③ 器官移植后的门诊抗排异治疗。</w:t>
      </w:r>
    </w:p>
    <w:p>
      <w:pPr>
        <w:pStyle w:val="3"/>
        <w:spacing w:before="1"/>
        <w:rPr>
          <w:sz w:val="19"/>
        </w:rPr>
      </w:pPr>
    </w:p>
    <w:p>
      <w:pPr>
        <w:pStyle w:val="8"/>
        <w:numPr>
          <w:ilvl w:val="0"/>
          <w:numId w:val="19"/>
        </w:numPr>
        <w:tabs>
          <w:tab w:val="left" w:pos="692"/>
        </w:tabs>
        <w:spacing w:before="0" w:after="0" w:line="240" w:lineRule="auto"/>
        <w:ind w:left="691" w:right="0" w:hanging="530"/>
        <w:jc w:val="left"/>
        <w:rPr>
          <w:sz w:val="21"/>
        </w:rPr>
      </w:pPr>
      <w:r>
        <w:rPr>
          <w:spacing w:val="-3"/>
          <w:sz w:val="21"/>
        </w:rPr>
        <w:t>重大疾病门诊手术医疗费用</w:t>
      </w:r>
    </w:p>
    <w:p>
      <w:pPr>
        <w:spacing w:before="5" w:line="242" w:lineRule="auto"/>
        <w:ind w:left="162" w:right="616" w:firstLine="0"/>
        <w:jc w:val="both"/>
        <w:rPr>
          <w:b/>
          <w:sz w:val="21"/>
        </w:rPr>
      </w:pPr>
      <w:r>
        <w:rPr>
          <w:sz w:val="21"/>
        </w:rPr>
        <w:t>若被保险人因意外伤害或等待期后因意外伤害以外的原因首次</w:t>
      </w:r>
      <w:r>
        <w:rPr>
          <w:spacing w:val="-1"/>
          <w:sz w:val="21"/>
        </w:rPr>
        <w:t xml:space="preserve">发病并经专科医生首次确诊患有任何一项符合本合同第 </w:t>
      </w:r>
      <w:r>
        <w:rPr>
          <w:rFonts w:ascii="Times New Roman" w:eastAsia="Times New Roman"/>
          <w:sz w:val="21"/>
        </w:rPr>
        <w:t>10</w:t>
      </w:r>
      <w:r>
        <w:rPr>
          <w:rFonts w:ascii="Times New Roman" w:eastAsia="Times New Roman"/>
          <w:spacing w:val="34"/>
          <w:sz w:val="21"/>
        </w:rPr>
        <w:t xml:space="preserve"> </w:t>
      </w:r>
      <w:r>
        <w:rPr>
          <w:sz w:val="21"/>
        </w:rPr>
        <w:t>条约</w:t>
      </w:r>
      <w:r>
        <w:rPr>
          <w:spacing w:val="-2"/>
          <w:sz w:val="21"/>
        </w:rPr>
        <w:t>定保障范围及定义的重大疾病，经本合同约定的医院诊断必须接受门诊手术治疗的，</w:t>
      </w:r>
      <w:r>
        <w:rPr>
          <w:b/>
          <w:spacing w:val="-2"/>
          <w:sz w:val="21"/>
        </w:rPr>
        <w:t>对于被保险人实际发生的合理且必需的重大疾病门诊手术医疗费用，我们按本合同约定的给付比例给付重大疾病医疗保险金。</w:t>
      </w:r>
    </w:p>
    <w:p>
      <w:pPr>
        <w:pStyle w:val="3"/>
        <w:spacing w:before="11"/>
        <w:rPr>
          <w:b/>
          <w:sz w:val="18"/>
        </w:rPr>
      </w:pPr>
    </w:p>
    <w:p>
      <w:pPr>
        <w:pStyle w:val="8"/>
        <w:numPr>
          <w:ilvl w:val="0"/>
          <w:numId w:val="19"/>
        </w:numPr>
        <w:tabs>
          <w:tab w:val="left" w:pos="692"/>
        </w:tabs>
        <w:spacing w:before="1" w:after="0" w:line="240" w:lineRule="auto"/>
        <w:ind w:left="691" w:right="0" w:hanging="530"/>
        <w:jc w:val="left"/>
        <w:rPr>
          <w:sz w:val="21"/>
        </w:rPr>
      </w:pPr>
      <w:r>
        <w:rPr>
          <w:spacing w:val="-3"/>
          <w:sz w:val="21"/>
        </w:rPr>
        <w:t>重大疾病住院前后门急诊医疗费用</w:t>
      </w:r>
    </w:p>
    <w:p>
      <w:pPr>
        <w:spacing w:before="4" w:line="242" w:lineRule="auto"/>
        <w:ind w:left="162" w:right="616" w:firstLine="0"/>
        <w:jc w:val="both"/>
        <w:rPr>
          <w:b/>
          <w:sz w:val="21"/>
        </w:rPr>
      </w:pPr>
      <w:r>
        <w:rPr>
          <w:spacing w:val="3"/>
          <w:w w:val="100"/>
          <w:sz w:val="21"/>
        </w:rPr>
        <w:t>若被保险人因意外伤害或等待期后因意外伤害以外的原因首次</w:t>
      </w:r>
      <w:r>
        <w:rPr>
          <w:spacing w:val="-5"/>
          <w:w w:val="100"/>
          <w:sz w:val="21"/>
        </w:rPr>
        <w:t>发病并经专科医生首次确诊患有任何一项符合本合同第</w:t>
      </w:r>
      <w:r>
        <w:rPr>
          <w:spacing w:val="-3"/>
          <w:sz w:val="21"/>
        </w:rPr>
        <w:t xml:space="preserve"> </w:t>
      </w:r>
      <w:r>
        <w:rPr>
          <w:rFonts w:ascii="Times New Roman" w:eastAsia="Times New Roman"/>
          <w:w w:val="100"/>
          <w:sz w:val="21"/>
        </w:rPr>
        <w:t>10</w:t>
      </w:r>
      <w:r>
        <w:rPr>
          <w:rFonts w:ascii="Times New Roman" w:eastAsia="Times New Roman"/>
          <w:spacing w:val="-3"/>
          <w:sz w:val="21"/>
        </w:rPr>
        <w:t xml:space="preserve">  </w:t>
      </w:r>
      <w:r>
        <w:rPr>
          <w:spacing w:val="-7"/>
          <w:w w:val="100"/>
          <w:sz w:val="21"/>
        </w:rPr>
        <w:t>条约</w:t>
      </w:r>
      <w:r>
        <w:rPr>
          <w:spacing w:val="-6"/>
          <w:w w:val="100"/>
          <w:sz w:val="21"/>
        </w:rPr>
        <w:t>定保障范围及定义的重大疾病，经本合同约定的医院诊断必须接</w:t>
      </w:r>
      <w:r>
        <w:rPr>
          <w:spacing w:val="-2"/>
          <w:w w:val="100"/>
          <w:sz w:val="21"/>
        </w:rPr>
        <w:t>受住院治疗的，</w:t>
      </w:r>
      <w:r>
        <w:rPr>
          <w:b/>
          <w:w w:val="100"/>
          <w:sz w:val="21"/>
        </w:rPr>
        <w:t>对于被保险人在住院前</w:t>
      </w:r>
      <w:r>
        <w:rPr>
          <w:b/>
          <w:spacing w:val="-9"/>
          <w:sz w:val="21"/>
        </w:rPr>
        <w:t xml:space="preserve"> </w:t>
      </w:r>
      <w:r>
        <w:rPr>
          <w:rFonts w:ascii="Times New Roman" w:eastAsia="Times New Roman"/>
          <w:b/>
          <w:w w:val="100"/>
          <w:sz w:val="21"/>
        </w:rPr>
        <w:t>30</w:t>
      </w:r>
      <w:r>
        <w:rPr>
          <w:rFonts w:ascii="Times New Roman" w:eastAsia="Times New Roman"/>
          <w:b/>
          <w:spacing w:val="-10"/>
          <w:sz w:val="21"/>
        </w:rPr>
        <w:t xml:space="preserve">  </w:t>
      </w:r>
      <w:r>
        <w:rPr>
          <w:b/>
          <w:w w:val="100"/>
          <w:sz w:val="21"/>
        </w:rPr>
        <w:t>日（含住院当日）</w:t>
      </w:r>
      <w:r>
        <w:rPr>
          <w:b/>
          <w:spacing w:val="-15"/>
          <w:w w:val="100"/>
          <w:sz w:val="21"/>
        </w:rPr>
        <w:t>和</w:t>
      </w:r>
    </w:p>
    <w:p>
      <w:pPr>
        <w:spacing w:before="3" w:line="244" w:lineRule="auto"/>
        <w:ind w:left="162" w:right="618" w:firstLine="0"/>
        <w:jc w:val="both"/>
        <w:rPr>
          <w:b/>
          <w:sz w:val="21"/>
        </w:rPr>
      </w:pPr>
      <w:r>
        <w:rPr>
          <w:b/>
          <w:spacing w:val="-7"/>
          <w:sz w:val="21"/>
        </w:rPr>
        <w:t xml:space="preserve">出院后 </w:t>
      </w:r>
      <w:r>
        <w:rPr>
          <w:rFonts w:ascii="Times New Roman" w:eastAsia="Times New Roman"/>
          <w:b/>
          <w:sz w:val="21"/>
        </w:rPr>
        <w:t>30</w:t>
      </w:r>
      <w:r>
        <w:rPr>
          <w:rFonts w:ascii="Times New Roman" w:eastAsia="Times New Roman"/>
          <w:b/>
          <w:spacing w:val="21"/>
          <w:sz w:val="21"/>
        </w:rPr>
        <w:t xml:space="preserve"> </w:t>
      </w:r>
      <w:r>
        <w:rPr>
          <w:b/>
          <w:sz w:val="21"/>
        </w:rPr>
        <w:t>日（含出院当日）内因与该次住院相同原因实际发生</w:t>
      </w:r>
      <w:r>
        <w:rPr>
          <w:b/>
          <w:spacing w:val="-2"/>
          <w:sz w:val="21"/>
        </w:rPr>
        <w:t>的合理且必需的重大疾病门急诊医疗费用（</w:t>
      </w:r>
      <w:r>
        <w:rPr>
          <w:b/>
          <w:spacing w:val="-3"/>
          <w:sz w:val="21"/>
        </w:rPr>
        <w:t>但不包括上述重大疾</w:t>
      </w:r>
    </w:p>
    <w:p>
      <w:pPr>
        <w:spacing w:after="0" w:line="244" w:lineRule="auto"/>
        <w:jc w:val="both"/>
        <w:rPr>
          <w:sz w:val="21"/>
        </w:rPr>
        <w:sectPr>
          <w:pgSz w:w="11910" w:h="16840"/>
          <w:pgMar w:top="1320" w:right="620" w:bottom="1040" w:left="1480" w:header="0" w:footer="851" w:gutter="0"/>
          <w:cols w:equalWidth="0" w:num="2">
            <w:col w:w="3106" w:space="40"/>
            <w:col w:w="6664"/>
          </w:cols>
        </w:sectPr>
      </w:pPr>
    </w:p>
    <w:p>
      <w:pPr>
        <w:spacing w:before="51" w:line="244" w:lineRule="auto"/>
        <w:ind w:left="3307" w:right="617" w:firstLine="0"/>
        <w:jc w:val="left"/>
        <w:rPr>
          <w:b/>
          <w:sz w:val="21"/>
        </w:rPr>
      </w:pPr>
      <w:r>
        <w:rPr>
          <w:b/>
          <w:spacing w:val="-2"/>
          <w:sz w:val="21"/>
        </w:rPr>
        <w:t>病特定门诊医疗费用和重大疾病门诊手术医疗费用</w:t>
      </w:r>
      <w:r>
        <w:rPr>
          <w:b/>
          <w:spacing w:val="-58"/>
          <w:sz w:val="21"/>
        </w:rPr>
        <w:t>）</w:t>
      </w:r>
      <w:r>
        <w:rPr>
          <w:b/>
          <w:spacing w:val="8"/>
          <w:sz w:val="21"/>
        </w:rPr>
        <w:t>，我们按本</w:t>
      </w:r>
      <w:r>
        <w:rPr>
          <w:b/>
          <w:spacing w:val="-2"/>
          <w:sz w:val="21"/>
        </w:rPr>
        <w:t>合同约定的给付比例给付重大疾病医疗保险金。</w:t>
      </w:r>
    </w:p>
    <w:p>
      <w:pPr>
        <w:pStyle w:val="3"/>
        <w:spacing w:before="7"/>
        <w:rPr>
          <w:b/>
          <w:sz w:val="18"/>
        </w:rPr>
      </w:pPr>
    </w:p>
    <w:p>
      <w:pPr>
        <w:spacing w:before="1" w:line="244" w:lineRule="auto"/>
        <w:ind w:left="3307" w:right="617" w:firstLine="0"/>
        <w:jc w:val="left"/>
        <w:rPr>
          <w:b/>
          <w:sz w:val="21"/>
        </w:rPr>
      </w:pPr>
      <w:r>
        <w:rPr>
          <w:b/>
          <w:spacing w:val="-2"/>
          <w:sz w:val="21"/>
        </w:rPr>
        <w:t>在本合同保险期间内，我们累计给付的重大疾病医疗保险金以本合同约定的重大疾病医疗保险金年度给付限额为限。</w:t>
      </w:r>
    </w:p>
    <w:p>
      <w:pPr>
        <w:pStyle w:val="3"/>
        <w:spacing w:before="2"/>
        <w:rPr>
          <w:b/>
          <w:sz w:val="15"/>
        </w:rPr>
      </w:pPr>
    </w:p>
    <w:p>
      <w:pPr>
        <w:spacing w:after="0"/>
        <w:rPr>
          <w:sz w:val="15"/>
        </w:rPr>
        <w:sectPr>
          <w:pgSz w:w="11910" w:h="16840"/>
          <w:pgMar w:top="1060" w:right="620" w:bottom="1040" w:left="1480" w:header="0" w:footer="851" w:gutter="0"/>
          <w:cols w:space="720" w:num="1"/>
        </w:sectPr>
      </w:pPr>
    </w:p>
    <w:p>
      <w:pPr>
        <w:pStyle w:val="8"/>
        <w:numPr>
          <w:ilvl w:val="2"/>
          <w:numId w:val="17"/>
        </w:numPr>
        <w:tabs>
          <w:tab w:val="left" w:pos="1338"/>
          <w:tab w:val="left" w:pos="1339"/>
        </w:tabs>
        <w:spacing w:before="91" w:after="0" w:line="240" w:lineRule="auto"/>
        <w:ind w:left="1338" w:right="0" w:hanging="1004"/>
        <w:jc w:val="left"/>
        <w:rPr>
          <w:b/>
          <w:sz w:val="21"/>
        </w:rPr>
      </w:pPr>
      <w:r>
        <w:rPr>
          <w:b/>
          <w:spacing w:val="-2"/>
          <w:sz w:val="21"/>
        </w:rPr>
        <w:t>特定药品费用保险</w:t>
      </w:r>
      <w:r>
        <w:rPr>
          <w:b/>
          <w:spacing w:val="-10"/>
          <w:sz w:val="21"/>
        </w:rPr>
        <w:t>金</w:t>
      </w:r>
    </w:p>
    <w:p>
      <w:pPr>
        <w:spacing w:before="97" w:line="242" w:lineRule="auto"/>
        <w:ind w:left="162" w:right="607" w:firstLine="0"/>
        <w:jc w:val="both"/>
        <w:rPr>
          <w:b/>
          <w:sz w:val="21"/>
        </w:rPr>
      </w:pPr>
      <w:r>
        <w:br w:type="column"/>
      </w:r>
      <w:r>
        <w:rPr>
          <w:spacing w:val="3"/>
          <w:w w:val="100"/>
          <w:sz w:val="21"/>
        </w:rPr>
        <w:t>若被保险人因意外伤害或等待期后因意外伤害以外的原因首次</w:t>
      </w:r>
      <w:r>
        <w:rPr>
          <w:w w:val="100"/>
          <w:sz w:val="21"/>
        </w:rPr>
        <w:t>发病并经专科医生首次确诊患有符合本合同第</w:t>
      </w:r>
      <w:r>
        <w:rPr>
          <w:rFonts w:ascii="Times New Roman" w:eastAsia="Times New Roman"/>
          <w:w w:val="100"/>
          <w:sz w:val="21"/>
        </w:rPr>
        <w:t>10.1</w:t>
      </w:r>
      <w:r>
        <w:rPr>
          <w:w w:val="100"/>
          <w:sz w:val="21"/>
        </w:rPr>
        <w:t>条约定保障范</w:t>
      </w:r>
      <w:r>
        <w:rPr>
          <w:spacing w:val="-5"/>
          <w:w w:val="100"/>
          <w:sz w:val="21"/>
        </w:rPr>
        <w:t>围及定义的恶性肿瘤，对被保险人实际发生的合理且必需的特定</w:t>
      </w:r>
      <w:r>
        <w:rPr>
          <w:spacing w:val="-11"/>
          <w:w w:val="100"/>
          <w:sz w:val="21"/>
        </w:rPr>
        <w:t>药品费用，</w:t>
      </w:r>
      <w:r>
        <w:rPr>
          <w:b/>
          <w:spacing w:val="-1"/>
          <w:w w:val="100"/>
          <w:sz w:val="21"/>
        </w:rPr>
        <w:t>我们首先按本合同约定的给付比例给付特定药品费用</w:t>
      </w:r>
      <w:r>
        <w:rPr>
          <w:b/>
          <w:spacing w:val="-6"/>
          <w:w w:val="100"/>
          <w:sz w:val="21"/>
        </w:rPr>
        <w:t>保险金，当累计给付的特定药品费用保险金达到本合同约定的特</w:t>
      </w:r>
      <w:r>
        <w:rPr>
          <w:b/>
          <w:spacing w:val="4"/>
          <w:w w:val="100"/>
          <w:sz w:val="21"/>
        </w:rPr>
        <w:t>定药品费用保险金年度给付限额后，再依次按照第</w:t>
      </w:r>
      <w:r>
        <w:rPr>
          <w:rFonts w:ascii="Times New Roman" w:eastAsia="Times New Roman"/>
          <w:b/>
          <w:spacing w:val="-5"/>
          <w:w w:val="100"/>
          <w:sz w:val="21"/>
        </w:rPr>
        <w:t>2</w:t>
      </w:r>
      <w:r>
        <w:rPr>
          <w:rFonts w:ascii="Times New Roman" w:eastAsia="Times New Roman"/>
          <w:b/>
          <w:w w:val="100"/>
          <w:sz w:val="21"/>
        </w:rPr>
        <w:t>.4.</w:t>
      </w:r>
      <w:r>
        <w:rPr>
          <w:rFonts w:ascii="Times New Roman" w:eastAsia="Times New Roman"/>
          <w:b/>
          <w:spacing w:val="4"/>
          <w:w w:val="100"/>
          <w:sz w:val="21"/>
        </w:rPr>
        <w:t>3</w:t>
      </w:r>
      <w:r>
        <w:rPr>
          <w:b/>
          <w:spacing w:val="9"/>
          <w:w w:val="100"/>
          <w:sz w:val="21"/>
        </w:rPr>
        <w:t xml:space="preserve">条和第 </w:t>
      </w:r>
      <w:r>
        <w:rPr>
          <w:rFonts w:ascii="Times New Roman" w:eastAsia="Times New Roman"/>
          <w:b/>
          <w:w w:val="100"/>
          <w:sz w:val="21"/>
        </w:rPr>
        <w:t>2.4.</w:t>
      </w:r>
      <w:r>
        <w:rPr>
          <w:rFonts w:ascii="Times New Roman" w:eastAsia="Times New Roman"/>
          <w:b/>
          <w:spacing w:val="-5"/>
          <w:w w:val="100"/>
          <w:sz w:val="21"/>
        </w:rPr>
        <w:t>1</w:t>
      </w:r>
      <w:r>
        <w:rPr>
          <w:b/>
          <w:spacing w:val="-1"/>
          <w:w w:val="100"/>
          <w:sz w:val="21"/>
        </w:rPr>
        <w:t>条的约定给付重大疾病医疗保险金和一般医疗保险金。</w:t>
      </w:r>
    </w:p>
    <w:p>
      <w:pPr>
        <w:pStyle w:val="3"/>
        <w:spacing w:before="3"/>
        <w:rPr>
          <w:b/>
        </w:rPr>
      </w:pPr>
    </w:p>
    <w:p>
      <w:pPr>
        <w:pStyle w:val="3"/>
        <w:spacing w:before="1"/>
        <w:ind w:left="162"/>
      </w:pPr>
      <w:r>
        <w:rPr>
          <w:spacing w:val="-3"/>
        </w:rPr>
        <w:t>特定药品须同时满足以下条件：</w:t>
      </w:r>
    </w:p>
    <w:p>
      <w:pPr>
        <w:pStyle w:val="8"/>
        <w:numPr>
          <w:ilvl w:val="0"/>
          <w:numId w:val="20"/>
        </w:numPr>
        <w:tabs>
          <w:tab w:val="left" w:pos="702"/>
        </w:tabs>
        <w:spacing w:before="4" w:after="0" w:line="244" w:lineRule="auto"/>
        <w:ind w:left="685" w:right="621" w:hanging="524"/>
        <w:jc w:val="left"/>
        <w:rPr>
          <w:sz w:val="21"/>
        </w:rPr>
      </w:pPr>
      <w:r>
        <w:rPr>
          <w:spacing w:val="-2"/>
          <w:sz w:val="21"/>
        </w:rPr>
        <w:t>该特定药品须由专科医生开具处方且为被保险人当前治疗必需的药品；</w:t>
      </w:r>
    </w:p>
    <w:p>
      <w:pPr>
        <w:pStyle w:val="8"/>
        <w:numPr>
          <w:ilvl w:val="0"/>
          <w:numId w:val="20"/>
        </w:numPr>
        <w:tabs>
          <w:tab w:val="left" w:pos="702"/>
        </w:tabs>
        <w:spacing w:before="0" w:after="0" w:line="240" w:lineRule="auto"/>
        <w:ind w:left="685" w:right="618" w:hanging="524"/>
        <w:jc w:val="left"/>
        <w:rPr>
          <w:sz w:val="21"/>
        </w:rPr>
      </w:pPr>
      <w:r>
        <w:rPr>
          <w:spacing w:val="-2"/>
          <w:sz w:val="21"/>
        </w:rPr>
        <w:t>该特定药品须为在本合同约定的医院购买的合理且必须的</w:t>
      </w:r>
      <w:r>
        <w:rPr>
          <w:spacing w:val="-4"/>
          <w:sz w:val="21"/>
        </w:rPr>
        <w:t>药品；</w:t>
      </w:r>
    </w:p>
    <w:p>
      <w:pPr>
        <w:pStyle w:val="8"/>
        <w:numPr>
          <w:ilvl w:val="0"/>
          <w:numId w:val="20"/>
        </w:numPr>
        <w:tabs>
          <w:tab w:val="left" w:pos="692"/>
        </w:tabs>
        <w:spacing w:before="3" w:after="0" w:line="240" w:lineRule="auto"/>
        <w:ind w:left="691" w:right="0" w:hanging="530"/>
        <w:jc w:val="left"/>
        <w:rPr>
          <w:sz w:val="21"/>
        </w:rPr>
      </w:pPr>
      <w:r>
        <w:rPr>
          <w:spacing w:val="-2"/>
          <w:sz w:val="21"/>
        </w:rPr>
        <w:t>每次特定药品处方剂量不超过</w:t>
      </w:r>
      <w:r>
        <w:rPr>
          <w:rFonts w:ascii="Times New Roman" w:eastAsia="Times New Roman"/>
          <w:spacing w:val="-2"/>
          <w:sz w:val="21"/>
        </w:rPr>
        <w:t>30</w:t>
      </w:r>
      <w:r>
        <w:rPr>
          <w:spacing w:val="-6"/>
          <w:sz w:val="21"/>
        </w:rPr>
        <w:t>天；</w:t>
      </w:r>
    </w:p>
    <w:p>
      <w:pPr>
        <w:pStyle w:val="8"/>
        <w:numPr>
          <w:ilvl w:val="0"/>
          <w:numId w:val="20"/>
        </w:numPr>
        <w:tabs>
          <w:tab w:val="left" w:pos="702"/>
        </w:tabs>
        <w:spacing w:before="5" w:after="0" w:line="242" w:lineRule="auto"/>
        <w:ind w:left="685" w:right="603" w:hanging="524"/>
        <w:jc w:val="both"/>
        <w:rPr>
          <w:sz w:val="21"/>
        </w:rPr>
      </w:pPr>
      <w:r>
        <w:rPr>
          <w:spacing w:val="-2"/>
          <w:sz w:val="21"/>
        </w:rPr>
        <w:t>该特定药品必须为本合同保险期间届满日前在中国国家药</w:t>
      </w:r>
      <w:r>
        <w:rPr>
          <w:spacing w:val="1"/>
          <w:sz w:val="21"/>
        </w:rPr>
        <w:t>品监督管理局批准且已在中国大陆上市的</w:t>
      </w:r>
      <w:r>
        <w:rPr>
          <w:b/>
          <w:spacing w:val="9"/>
          <w:sz w:val="21"/>
        </w:rPr>
        <w:t>靶向药物</w:t>
      </w:r>
      <w:r>
        <w:rPr>
          <w:spacing w:val="13"/>
          <w:sz w:val="21"/>
        </w:rPr>
        <w:t>（</w:t>
      </w:r>
      <w:r>
        <w:rPr>
          <w:sz w:val="21"/>
        </w:rPr>
        <w:t xml:space="preserve">见 </w:t>
      </w:r>
      <w:r>
        <w:rPr>
          <w:rFonts w:ascii="Times New Roman" w:eastAsia="Times New Roman"/>
          <w:spacing w:val="-2"/>
          <w:sz w:val="21"/>
        </w:rPr>
        <w:t>11.27</w:t>
      </w:r>
      <w:r>
        <w:rPr>
          <w:spacing w:val="-2"/>
          <w:sz w:val="21"/>
        </w:rPr>
        <w:t>）和</w:t>
      </w:r>
      <w:r>
        <w:rPr>
          <w:b/>
          <w:spacing w:val="-2"/>
          <w:sz w:val="21"/>
        </w:rPr>
        <w:t>免疫治疗药物</w:t>
      </w:r>
      <w:r>
        <w:rPr>
          <w:spacing w:val="-2"/>
          <w:sz w:val="21"/>
        </w:rPr>
        <w:t>（见</w:t>
      </w:r>
      <w:r>
        <w:rPr>
          <w:rFonts w:ascii="Times New Roman" w:eastAsia="Times New Roman"/>
          <w:spacing w:val="-2"/>
          <w:sz w:val="21"/>
        </w:rPr>
        <w:t>11.28</w:t>
      </w:r>
      <w:r>
        <w:rPr>
          <w:spacing w:val="-2"/>
          <w:sz w:val="21"/>
        </w:rPr>
        <w:t>）；</w:t>
      </w:r>
    </w:p>
    <w:p>
      <w:pPr>
        <w:pStyle w:val="8"/>
        <w:numPr>
          <w:ilvl w:val="0"/>
          <w:numId w:val="20"/>
        </w:numPr>
        <w:tabs>
          <w:tab w:val="left" w:pos="692"/>
        </w:tabs>
        <w:spacing w:before="1" w:after="0" w:line="240" w:lineRule="auto"/>
        <w:ind w:left="691" w:right="0" w:hanging="530"/>
        <w:jc w:val="left"/>
        <w:rPr>
          <w:sz w:val="21"/>
        </w:rPr>
      </w:pPr>
      <w:r>
        <w:rPr>
          <w:spacing w:val="-2"/>
          <w:sz w:val="21"/>
        </w:rPr>
        <w:t>该特定药品必须符合第</w:t>
      </w:r>
      <w:r>
        <w:rPr>
          <w:rFonts w:ascii="Times New Roman" w:eastAsia="Times New Roman"/>
          <w:spacing w:val="-2"/>
          <w:sz w:val="21"/>
        </w:rPr>
        <w:t>2.4.1</w:t>
      </w:r>
      <w:r>
        <w:rPr>
          <w:spacing w:val="-2"/>
          <w:sz w:val="21"/>
        </w:rPr>
        <w:t>条或第</w:t>
      </w:r>
      <w:r>
        <w:rPr>
          <w:rFonts w:ascii="Times New Roman" w:eastAsia="Times New Roman"/>
          <w:spacing w:val="-2"/>
          <w:sz w:val="21"/>
        </w:rPr>
        <w:t>2.4.3</w:t>
      </w:r>
      <w:r>
        <w:rPr>
          <w:spacing w:val="-4"/>
          <w:sz w:val="21"/>
        </w:rPr>
        <w:t>条的约定。</w:t>
      </w:r>
    </w:p>
    <w:p>
      <w:pPr>
        <w:pStyle w:val="3"/>
        <w:spacing w:before="9"/>
      </w:pPr>
    </w:p>
    <w:p>
      <w:pPr>
        <w:spacing w:before="0"/>
        <w:ind w:left="162" w:right="616" w:firstLine="0"/>
        <w:jc w:val="left"/>
        <w:rPr>
          <w:b/>
          <w:sz w:val="21"/>
        </w:rPr>
      </w:pPr>
      <w:r>
        <w:rPr>
          <w:b/>
          <w:spacing w:val="-2"/>
          <w:sz w:val="21"/>
        </w:rPr>
        <w:t xml:space="preserve">在本合同保险期间内，我们累计给付的特定药品费用保险金和质子重离子医疗保险金之和以 </w:t>
      </w:r>
      <w:r>
        <w:rPr>
          <w:rFonts w:ascii="Times New Roman" w:eastAsia="Times New Roman"/>
          <w:b/>
          <w:sz w:val="21"/>
        </w:rPr>
        <w:t xml:space="preserve">100 </w:t>
      </w:r>
      <w:r>
        <w:rPr>
          <w:b/>
          <w:sz w:val="21"/>
        </w:rPr>
        <w:t>万元为限。</w:t>
      </w:r>
    </w:p>
    <w:p>
      <w:pPr>
        <w:spacing w:after="0"/>
        <w:jc w:val="left"/>
        <w:rPr>
          <w:sz w:val="21"/>
        </w:rPr>
        <w:sectPr>
          <w:type w:val="continuous"/>
          <w:pgSz w:w="11910" w:h="16840"/>
          <w:pgMar w:top="320" w:right="620" w:bottom="280" w:left="1480" w:header="0" w:footer="851" w:gutter="0"/>
          <w:cols w:equalWidth="0" w:num="2">
            <w:col w:w="3106" w:space="40"/>
            <w:col w:w="6664"/>
          </w:cols>
        </w:sectPr>
      </w:pPr>
    </w:p>
    <w:p>
      <w:pPr>
        <w:pStyle w:val="3"/>
        <w:spacing w:before="8"/>
        <w:rPr>
          <w:b/>
          <w:sz w:val="15"/>
        </w:rPr>
      </w:pPr>
    </w:p>
    <w:p>
      <w:pPr>
        <w:spacing w:after="0"/>
        <w:rPr>
          <w:sz w:val="15"/>
        </w:rPr>
        <w:sectPr>
          <w:type w:val="continuous"/>
          <w:pgSz w:w="11910" w:h="16840"/>
          <w:pgMar w:top="320" w:right="620" w:bottom="280" w:left="1480" w:header="0" w:footer="851" w:gutter="0"/>
          <w:cols w:space="720" w:num="1"/>
        </w:sectPr>
      </w:pPr>
    </w:p>
    <w:p>
      <w:pPr>
        <w:pStyle w:val="8"/>
        <w:numPr>
          <w:ilvl w:val="2"/>
          <w:numId w:val="17"/>
        </w:numPr>
        <w:tabs>
          <w:tab w:val="left" w:pos="1338"/>
          <w:tab w:val="left" w:pos="1339"/>
        </w:tabs>
        <w:spacing w:before="91" w:after="0" w:line="244" w:lineRule="auto"/>
        <w:ind w:left="1338" w:right="0" w:hanging="1004"/>
        <w:jc w:val="left"/>
        <w:rPr>
          <w:b/>
          <w:sz w:val="21"/>
        </w:rPr>
      </w:pPr>
      <w:r>
        <w:rPr>
          <w:b/>
          <w:spacing w:val="-2"/>
          <w:sz w:val="21"/>
        </w:rPr>
        <w:t>质子重离子医疗保</w:t>
      </w:r>
      <w:r>
        <w:rPr>
          <w:b/>
          <w:spacing w:val="-6"/>
          <w:sz w:val="21"/>
        </w:rPr>
        <w:t>险金</w:t>
      </w:r>
    </w:p>
    <w:p>
      <w:pPr>
        <w:spacing w:before="97" w:line="242" w:lineRule="auto"/>
        <w:ind w:left="162" w:right="616" w:firstLine="0"/>
        <w:jc w:val="both"/>
        <w:rPr>
          <w:b/>
          <w:sz w:val="21"/>
        </w:rPr>
      </w:pPr>
      <w:r>
        <w:br w:type="column"/>
      </w:r>
      <w:r>
        <w:rPr>
          <w:spacing w:val="3"/>
          <w:w w:val="100"/>
          <w:sz w:val="21"/>
        </w:rPr>
        <w:t>若被保险人因意外伤害或等待期后因意外伤害以外的原因首次</w:t>
      </w:r>
      <w:r>
        <w:rPr>
          <w:w w:val="100"/>
          <w:sz w:val="21"/>
        </w:rPr>
        <w:t>发病并经专科医生首次确诊患有符合本合同第</w:t>
      </w:r>
      <w:r>
        <w:rPr>
          <w:spacing w:val="2"/>
          <w:sz w:val="21"/>
        </w:rPr>
        <w:t xml:space="preserve"> </w:t>
      </w:r>
      <w:r>
        <w:rPr>
          <w:rFonts w:ascii="Times New Roman" w:eastAsia="Times New Roman"/>
          <w:w w:val="100"/>
          <w:sz w:val="21"/>
        </w:rPr>
        <w:t>10.1</w:t>
      </w:r>
      <w:r>
        <w:rPr>
          <w:rFonts w:ascii="Times New Roman" w:eastAsia="Times New Roman"/>
          <w:spacing w:val="2"/>
          <w:sz w:val="21"/>
        </w:rPr>
        <w:t xml:space="preserve">  </w:t>
      </w:r>
      <w:r>
        <w:rPr>
          <w:w w:val="100"/>
          <w:sz w:val="21"/>
        </w:rPr>
        <w:t>条约定保障</w:t>
      </w:r>
      <w:r>
        <w:rPr>
          <w:spacing w:val="-6"/>
          <w:w w:val="100"/>
          <w:sz w:val="21"/>
        </w:rPr>
        <w:t>范围及定义的恶性肿瘤，并于本合同约定的医院接受质子重离子治疗的，对于被保险人实际发生的合理且必需的质子重离子医疗</w:t>
      </w:r>
      <w:r>
        <w:rPr>
          <w:spacing w:val="-12"/>
          <w:w w:val="100"/>
          <w:sz w:val="21"/>
        </w:rPr>
        <w:t>费用，</w:t>
      </w:r>
      <w:r>
        <w:rPr>
          <w:b/>
          <w:spacing w:val="-2"/>
          <w:w w:val="100"/>
          <w:sz w:val="21"/>
        </w:rPr>
        <w:t>我们首先按本合同约定的给付比例给付质子重离子医疗保</w:t>
      </w:r>
      <w:r>
        <w:rPr>
          <w:b/>
          <w:spacing w:val="-7"/>
          <w:w w:val="100"/>
          <w:sz w:val="21"/>
        </w:rPr>
        <w:t>险金，当累计给付的质子重离子医疗保险金达到本合同约定的质</w:t>
      </w:r>
      <w:r>
        <w:rPr>
          <w:b/>
          <w:spacing w:val="-2"/>
          <w:w w:val="100"/>
          <w:sz w:val="21"/>
        </w:rPr>
        <w:t>子重离子医疗保险金年度给付限额后，再依次按照第</w:t>
      </w:r>
      <w:r>
        <w:rPr>
          <w:b/>
          <w:spacing w:val="-10"/>
          <w:sz w:val="21"/>
        </w:rPr>
        <w:t xml:space="preserve"> </w:t>
      </w:r>
      <w:r>
        <w:rPr>
          <w:rFonts w:ascii="Times New Roman" w:eastAsia="Times New Roman"/>
          <w:b/>
          <w:w w:val="100"/>
          <w:sz w:val="21"/>
        </w:rPr>
        <w:t>2</w:t>
      </w:r>
      <w:r>
        <w:rPr>
          <w:rFonts w:ascii="Times New Roman" w:eastAsia="Times New Roman"/>
          <w:b/>
          <w:spacing w:val="-5"/>
          <w:w w:val="100"/>
          <w:sz w:val="21"/>
        </w:rPr>
        <w:t>.</w:t>
      </w:r>
      <w:r>
        <w:rPr>
          <w:rFonts w:ascii="Times New Roman" w:eastAsia="Times New Roman"/>
          <w:b/>
          <w:w w:val="100"/>
          <w:sz w:val="21"/>
        </w:rPr>
        <w:t>4.3</w:t>
      </w:r>
      <w:r>
        <w:rPr>
          <w:rFonts w:ascii="Times New Roman" w:eastAsia="Times New Roman"/>
          <w:b/>
          <w:spacing w:val="-10"/>
          <w:sz w:val="21"/>
        </w:rPr>
        <w:t xml:space="preserve">  </w:t>
      </w:r>
      <w:r>
        <w:rPr>
          <w:b/>
          <w:w w:val="100"/>
          <w:sz w:val="21"/>
        </w:rPr>
        <w:t>条和</w:t>
      </w:r>
    </w:p>
    <w:p>
      <w:pPr>
        <w:spacing w:before="4"/>
        <w:ind w:left="162" w:right="0" w:firstLine="0"/>
        <w:jc w:val="both"/>
        <w:rPr>
          <w:b/>
          <w:sz w:val="21"/>
        </w:rPr>
      </w:pPr>
      <w:r>
        <w:rPr>
          <w:b/>
          <w:spacing w:val="-13"/>
          <w:sz w:val="21"/>
        </w:rPr>
        <w:t xml:space="preserve">第 </w:t>
      </w:r>
      <w:r>
        <w:rPr>
          <w:rFonts w:ascii="Times New Roman" w:eastAsia="Times New Roman"/>
          <w:b/>
          <w:spacing w:val="-2"/>
          <w:sz w:val="21"/>
        </w:rPr>
        <w:t>2.4.1</w:t>
      </w:r>
      <w:r>
        <w:rPr>
          <w:rFonts w:ascii="Times New Roman" w:eastAsia="Times New Roman"/>
          <w:b/>
          <w:spacing w:val="17"/>
          <w:sz w:val="21"/>
        </w:rPr>
        <w:t xml:space="preserve"> </w:t>
      </w:r>
      <w:r>
        <w:rPr>
          <w:b/>
          <w:spacing w:val="-3"/>
          <w:sz w:val="21"/>
        </w:rPr>
        <w:t>条的约定给付重大疾病医疗保险金和一般医疗保险金。</w:t>
      </w:r>
    </w:p>
    <w:p>
      <w:pPr>
        <w:pStyle w:val="3"/>
        <w:spacing w:before="1"/>
        <w:rPr>
          <w:b/>
          <w:sz w:val="19"/>
        </w:rPr>
      </w:pPr>
    </w:p>
    <w:p>
      <w:pPr>
        <w:pStyle w:val="3"/>
        <w:spacing w:line="244" w:lineRule="auto"/>
        <w:ind w:left="162" w:right="609"/>
        <w:jc w:val="both"/>
      </w:pPr>
      <w:r>
        <w:rPr>
          <w:spacing w:val="-2"/>
        </w:rPr>
        <w:t>质子重离子医疗费用指被保险人因接受质子、重离子放射治疗，而发生的定位及制定放疗计划费用以及质子、重离子放射治疗实</w:t>
      </w:r>
      <w:r>
        <w:rPr>
          <w:spacing w:val="-4"/>
        </w:rPr>
        <w:t>施费用。</w:t>
      </w:r>
    </w:p>
    <w:p>
      <w:pPr>
        <w:pStyle w:val="3"/>
        <w:spacing w:before="7"/>
        <w:rPr>
          <w:sz w:val="18"/>
        </w:rPr>
      </w:pPr>
    </w:p>
    <w:p>
      <w:pPr>
        <w:spacing w:before="1" w:line="244" w:lineRule="auto"/>
        <w:ind w:left="162" w:right="616" w:firstLine="0"/>
        <w:jc w:val="both"/>
        <w:rPr>
          <w:b/>
          <w:sz w:val="21"/>
        </w:rPr>
      </w:pPr>
      <w:r>
        <w:rPr>
          <w:b/>
          <w:spacing w:val="-2"/>
          <w:sz w:val="21"/>
        </w:rPr>
        <w:t xml:space="preserve">在本合同保险期间内，我们累计给付的质子重离子医疗保险金和特定药品费用保险金之和以 </w:t>
      </w:r>
      <w:r>
        <w:rPr>
          <w:rFonts w:ascii="Times New Roman" w:eastAsia="Times New Roman"/>
          <w:b/>
          <w:sz w:val="21"/>
        </w:rPr>
        <w:t xml:space="preserve">100 </w:t>
      </w:r>
      <w:r>
        <w:rPr>
          <w:b/>
          <w:sz w:val="21"/>
        </w:rPr>
        <w:t>万元为限。</w:t>
      </w:r>
    </w:p>
    <w:p>
      <w:pPr>
        <w:spacing w:after="0" w:line="244" w:lineRule="auto"/>
        <w:jc w:val="both"/>
        <w:rPr>
          <w:sz w:val="21"/>
        </w:rPr>
        <w:sectPr>
          <w:type w:val="continuous"/>
          <w:pgSz w:w="11910" w:h="16840"/>
          <w:pgMar w:top="320" w:right="620" w:bottom="280" w:left="1480" w:header="0" w:footer="851" w:gutter="0"/>
          <w:cols w:equalWidth="0" w:num="2">
            <w:col w:w="3106" w:space="40"/>
            <w:col w:w="6664"/>
          </w:cols>
        </w:sectPr>
      </w:pPr>
    </w:p>
    <w:p>
      <w:pPr>
        <w:pStyle w:val="3"/>
        <w:spacing w:before="9"/>
        <w:rPr>
          <w:b/>
          <w:sz w:val="14"/>
        </w:rPr>
      </w:pPr>
    </w:p>
    <w:p>
      <w:pPr>
        <w:pStyle w:val="8"/>
        <w:numPr>
          <w:ilvl w:val="1"/>
          <w:numId w:val="14"/>
        </w:numPr>
        <w:tabs>
          <w:tab w:val="left" w:pos="1338"/>
          <w:tab w:val="left" w:pos="1339"/>
        </w:tabs>
        <w:spacing w:before="91" w:after="0" w:line="244" w:lineRule="auto"/>
        <w:ind w:left="1338" w:right="6705" w:hanging="1004"/>
        <w:jc w:val="left"/>
        <w:rPr>
          <w:b/>
          <w:sz w:val="21"/>
        </w:rPr>
      </w:pPr>
      <w:r>
        <w:rPr>
          <w:b/>
          <w:sz w:val="21"/>
        </w:rPr>
        <w:t>补偿原则及给付标</w:t>
      </w:r>
      <w:r>
        <w:rPr>
          <w:b/>
          <w:spacing w:val="-10"/>
          <w:sz w:val="21"/>
        </w:rPr>
        <w:t>准</w:t>
      </w:r>
    </w:p>
    <w:p>
      <w:pPr>
        <w:pStyle w:val="3"/>
        <w:spacing w:before="3"/>
        <w:rPr>
          <w:b/>
          <w:sz w:val="18"/>
        </w:rPr>
      </w:pPr>
    </w:p>
    <w:p>
      <w:pPr>
        <w:pStyle w:val="8"/>
        <w:numPr>
          <w:ilvl w:val="2"/>
          <w:numId w:val="21"/>
        </w:numPr>
        <w:tabs>
          <w:tab w:val="left" w:pos="1338"/>
          <w:tab w:val="left" w:pos="1339"/>
          <w:tab w:val="left" w:pos="3307"/>
        </w:tabs>
        <w:spacing w:before="0" w:after="0" w:line="240" w:lineRule="auto"/>
        <w:ind w:left="1338" w:right="0" w:hanging="1005"/>
        <w:jc w:val="both"/>
        <w:rPr>
          <w:b/>
          <w:sz w:val="21"/>
        </w:rPr>
      </w:pPr>
      <w:r>
        <w:rPr>
          <w:b/>
          <w:sz w:val="21"/>
        </w:rPr>
        <w:t>补偿原</w:t>
      </w:r>
      <w:r>
        <w:rPr>
          <w:b/>
          <w:spacing w:val="-10"/>
          <w:sz w:val="21"/>
        </w:rPr>
        <w:t>则</w:t>
      </w:r>
      <w:r>
        <w:rPr>
          <w:b/>
          <w:sz w:val="21"/>
        </w:rPr>
        <w:tab/>
      </w:r>
      <w:r>
        <w:rPr>
          <w:b/>
          <w:spacing w:val="-2"/>
          <w:sz w:val="21"/>
        </w:rPr>
        <w:t>若被保险人已从其他途径（包括社会基本医疗保险、公费医疗</w:t>
      </w:r>
      <w:r>
        <w:rPr>
          <w:b/>
          <w:spacing w:val="-10"/>
          <w:sz w:val="21"/>
        </w:rPr>
        <w:t>、</w:t>
      </w:r>
    </w:p>
    <w:p>
      <w:pPr>
        <w:spacing w:before="4" w:line="242" w:lineRule="auto"/>
        <w:ind w:left="3307" w:right="583" w:firstLine="0"/>
        <w:jc w:val="both"/>
        <w:rPr>
          <w:b/>
          <w:sz w:val="21"/>
        </w:rPr>
      </w:pPr>
      <w:r>
        <w:rPr>
          <w:b/>
          <w:spacing w:val="-2"/>
          <w:sz w:val="21"/>
        </w:rPr>
        <w:t>工作单位，以及我们在内的任何商业保险机构等）获得医疗费用补偿，则我们仅对被保险人实际发生的合理且必需的医疗费用扣除其已获得的医疗费用补偿后的余额按本合同的约定进行给付。包括本合同在内的各种途径所给付的所有补偿金额之和不得超过</w:t>
      </w:r>
      <w:r>
        <w:rPr>
          <w:b/>
          <w:spacing w:val="-3"/>
          <w:sz w:val="21"/>
        </w:rPr>
        <w:t>被保险人实际发生的医疗费用。社保个人账户部分支出视为个人</w:t>
      </w:r>
    </w:p>
    <w:p>
      <w:pPr>
        <w:spacing w:after="0" w:line="242" w:lineRule="auto"/>
        <w:jc w:val="both"/>
        <w:rPr>
          <w:sz w:val="21"/>
        </w:rPr>
        <w:sectPr>
          <w:type w:val="continuous"/>
          <w:pgSz w:w="11910" w:h="16840"/>
          <w:pgMar w:top="320" w:right="620" w:bottom="280" w:left="1480" w:header="0" w:footer="851" w:gutter="0"/>
          <w:cols w:space="720" w:num="1"/>
        </w:sectPr>
      </w:pPr>
    </w:p>
    <w:p>
      <w:pPr>
        <w:spacing w:before="51"/>
        <w:ind w:left="3307" w:right="0" w:firstLine="0"/>
        <w:jc w:val="left"/>
        <w:rPr>
          <w:b/>
          <w:sz w:val="21"/>
        </w:rPr>
      </w:pPr>
      <w:r>
        <w:rPr>
          <w:b/>
          <w:spacing w:val="-1"/>
          <w:sz w:val="21"/>
        </w:rPr>
        <w:t>支付，不属于已获得的医疗费用补偿。</w:t>
      </w:r>
    </w:p>
    <w:p>
      <w:pPr>
        <w:pStyle w:val="3"/>
        <w:spacing w:before="8"/>
        <w:rPr>
          <w:b/>
          <w:sz w:val="18"/>
        </w:rPr>
      </w:pPr>
    </w:p>
    <w:p>
      <w:pPr>
        <w:pStyle w:val="8"/>
        <w:numPr>
          <w:ilvl w:val="2"/>
          <w:numId w:val="21"/>
        </w:numPr>
        <w:tabs>
          <w:tab w:val="left" w:pos="1338"/>
          <w:tab w:val="left" w:pos="1339"/>
          <w:tab w:val="left" w:pos="3307"/>
        </w:tabs>
        <w:spacing w:before="0" w:after="0" w:line="240" w:lineRule="auto"/>
        <w:ind w:left="1338" w:right="0" w:hanging="1005"/>
        <w:jc w:val="both"/>
        <w:rPr>
          <w:sz w:val="21"/>
        </w:rPr>
      </w:pPr>
      <w:r>
        <w:rPr>
          <w:b/>
          <w:sz w:val="21"/>
        </w:rPr>
        <w:t>免赔</w:t>
      </w:r>
      <w:r>
        <w:rPr>
          <w:b/>
          <w:spacing w:val="-10"/>
          <w:sz w:val="21"/>
        </w:rPr>
        <w:t>额</w:t>
      </w:r>
      <w:r>
        <w:rPr>
          <w:b/>
          <w:sz w:val="21"/>
        </w:rPr>
        <w:tab/>
      </w:r>
      <w:r>
        <w:rPr>
          <w:spacing w:val="-2"/>
          <w:sz w:val="21"/>
        </w:rPr>
        <w:t>本合同中所指免赔额均为年度免赔额，指被保险人自行承担，</w:t>
      </w:r>
      <w:r>
        <w:rPr>
          <w:spacing w:val="-10"/>
          <w:sz w:val="21"/>
        </w:rPr>
        <w:t>本</w:t>
      </w:r>
    </w:p>
    <w:p>
      <w:pPr>
        <w:spacing w:before="4" w:line="244" w:lineRule="auto"/>
        <w:ind w:left="3307" w:right="618" w:firstLine="0"/>
        <w:jc w:val="both"/>
        <w:rPr>
          <w:b/>
          <w:sz w:val="21"/>
        </w:rPr>
      </w:pPr>
      <w:r>
        <w:rPr>
          <w:spacing w:val="-2"/>
          <w:sz w:val="21"/>
        </w:rPr>
        <w:t>合同不予赔偿的部分。</w:t>
      </w:r>
      <w:r>
        <w:rPr>
          <w:b/>
          <w:spacing w:val="-2"/>
          <w:sz w:val="21"/>
        </w:rPr>
        <w:t>被保险人从其他途径已获得的医疗费用补偿可用于抵扣免赔额，但通过社会基本医疗保险和公费医疗获得的补偿，不可用于抵扣免赔额。</w:t>
      </w:r>
    </w:p>
    <w:p>
      <w:pPr>
        <w:pStyle w:val="3"/>
        <w:spacing w:before="8"/>
        <w:rPr>
          <w:b/>
          <w:sz w:val="18"/>
        </w:rPr>
      </w:pPr>
    </w:p>
    <w:p>
      <w:pPr>
        <w:spacing w:before="0"/>
        <w:ind w:left="3307" w:right="622" w:firstLine="0"/>
        <w:jc w:val="left"/>
        <w:rPr>
          <w:b/>
          <w:sz w:val="21"/>
        </w:rPr>
      </w:pPr>
      <w:r>
        <w:rPr>
          <w:b/>
          <w:spacing w:val="-2"/>
          <w:w w:val="100"/>
          <w:sz w:val="21"/>
        </w:rPr>
        <w:t>若被保险人因意外伤害或等待期后因意外伤害以外的原因首次</w:t>
      </w:r>
      <w:r>
        <w:rPr>
          <w:b/>
          <w:spacing w:val="-4"/>
          <w:w w:val="100"/>
          <w:sz w:val="21"/>
        </w:rPr>
        <w:t>发病并经专科医生首次确诊患有任何一项符合本合同第</w:t>
      </w:r>
      <w:r>
        <w:rPr>
          <w:b/>
          <w:spacing w:val="-67"/>
          <w:sz w:val="21"/>
        </w:rPr>
        <w:t xml:space="preserve"> </w:t>
      </w:r>
      <w:r>
        <w:rPr>
          <w:rFonts w:ascii="Times New Roman" w:eastAsia="Times New Roman"/>
          <w:b/>
          <w:w w:val="100"/>
          <w:sz w:val="21"/>
        </w:rPr>
        <w:t>9</w:t>
      </w:r>
      <w:r>
        <w:rPr>
          <w:rFonts w:ascii="Times New Roman" w:eastAsia="Times New Roman"/>
          <w:b/>
          <w:spacing w:val="-19"/>
          <w:sz w:val="21"/>
        </w:rPr>
        <w:t xml:space="preserve"> </w:t>
      </w:r>
      <w:r>
        <w:rPr>
          <w:b/>
          <w:spacing w:val="-6"/>
          <w:w w:val="100"/>
          <w:sz w:val="21"/>
        </w:rPr>
        <w:t>条约定</w:t>
      </w:r>
    </w:p>
    <w:p>
      <w:pPr>
        <w:spacing w:before="4" w:line="242" w:lineRule="auto"/>
        <w:ind w:left="3307" w:right="617" w:firstLine="0"/>
        <w:jc w:val="left"/>
        <w:rPr>
          <w:b/>
          <w:sz w:val="21"/>
        </w:rPr>
      </w:pPr>
      <w:r>
        <w:rPr>
          <w:b/>
          <w:spacing w:val="-2"/>
          <w:sz w:val="21"/>
        </w:rPr>
        <w:t xml:space="preserve">保障范围及定义的轻症疾病、本合同第 </w:t>
      </w:r>
      <w:r>
        <w:rPr>
          <w:rFonts w:ascii="Times New Roman" w:eastAsia="Times New Roman"/>
          <w:b/>
          <w:sz w:val="21"/>
        </w:rPr>
        <w:t xml:space="preserve">10 </w:t>
      </w:r>
      <w:r>
        <w:rPr>
          <w:b/>
          <w:sz w:val="21"/>
        </w:rPr>
        <w:t>条约定保障范围及定</w:t>
      </w:r>
      <w:r>
        <w:rPr>
          <w:b/>
          <w:spacing w:val="-2"/>
          <w:sz w:val="21"/>
        </w:rPr>
        <w:t>义的重大疾病，从被保险人确诊之日起，对于被保险人实际发生的合理且必需的全部医疗费用，我们在给付保险金时不再扣除免</w:t>
      </w:r>
      <w:r>
        <w:rPr>
          <w:b/>
          <w:spacing w:val="-4"/>
          <w:sz w:val="21"/>
        </w:rPr>
        <w:t>赔额。</w:t>
      </w:r>
    </w:p>
    <w:p>
      <w:pPr>
        <w:pStyle w:val="3"/>
        <w:spacing w:before="12"/>
        <w:rPr>
          <w:b/>
          <w:sz w:val="18"/>
        </w:rPr>
      </w:pPr>
    </w:p>
    <w:p>
      <w:pPr>
        <w:spacing w:before="0" w:line="242" w:lineRule="auto"/>
        <w:ind w:left="3307" w:right="616" w:firstLine="0"/>
        <w:jc w:val="left"/>
        <w:rPr>
          <w:b/>
          <w:sz w:val="21"/>
        </w:rPr>
      </w:pPr>
      <w:r>
        <w:rPr>
          <w:b/>
          <w:spacing w:val="-2"/>
          <w:sz w:val="21"/>
        </w:rPr>
        <w:t>您续保本合同的，若被保险人在以往保险期间内首次确诊患有任何一项符合本合同第</w:t>
      </w:r>
      <w:r>
        <w:rPr>
          <w:rFonts w:ascii="Times New Roman" w:eastAsia="Times New Roman"/>
          <w:b/>
          <w:spacing w:val="-2"/>
          <w:sz w:val="21"/>
        </w:rPr>
        <w:t>9</w:t>
      </w:r>
      <w:r>
        <w:rPr>
          <w:b/>
          <w:spacing w:val="-2"/>
          <w:sz w:val="21"/>
        </w:rPr>
        <w:t>条约定保障范围及定义的轻症疾病、本合同第</w:t>
      </w:r>
      <w:r>
        <w:rPr>
          <w:rFonts w:ascii="Times New Roman" w:eastAsia="Times New Roman"/>
          <w:b/>
          <w:spacing w:val="-2"/>
          <w:sz w:val="21"/>
        </w:rPr>
        <w:t>10</w:t>
      </w:r>
      <w:r>
        <w:rPr>
          <w:b/>
          <w:spacing w:val="-2"/>
          <w:sz w:val="21"/>
        </w:rPr>
        <w:t>条约定保障范围及定义的重大疾病且接受治疗的，对于被保险人实际发生的合理且必需的全部医疗费用，我们在给付保险金时不再扣除免赔额。</w:t>
      </w:r>
    </w:p>
    <w:p>
      <w:pPr>
        <w:pStyle w:val="3"/>
        <w:spacing w:before="9"/>
        <w:rPr>
          <w:b/>
          <w:sz w:val="18"/>
        </w:rPr>
      </w:pPr>
    </w:p>
    <w:p>
      <w:pPr>
        <w:pStyle w:val="8"/>
        <w:numPr>
          <w:ilvl w:val="2"/>
          <w:numId w:val="21"/>
        </w:numPr>
        <w:tabs>
          <w:tab w:val="left" w:pos="1338"/>
          <w:tab w:val="left" w:pos="1339"/>
          <w:tab w:val="left" w:pos="3307"/>
        </w:tabs>
        <w:spacing w:before="0" w:after="0" w:line="240" w:lineRule="auto"/>
        <w:ind w:left="1338" w:right="0" w:hanging="1005"/>
        <w:jc w:val="both"/>
        <w:rPr>
          <w:b/>
          <w:sz w:val="21"/>
        </w:rPr>
      </w:pPr>
      <w:r>
        <w:rPr>
          <w:b/>
          <w:sz w:val="21"/>
        </w:rPr>
        <w:t>给付比</w:t>
      </w:r>
      <w:r>
        <w:rPr>
          <w:b/>
          <w:spacing w:val="-10"/>
          <w:sz w:val="21"/>
        </w:rPr>
        <w:t>例</w:t>
      </w:r>
      <w:r>
        <w:rPr>
          <w:b/>
          <w:sz w:val="21"/>
        </w:rPr>
        <w:tab/>
      </w:r>
      <w:r>
        <w:rPr>
          <w:spacing w:val="-2"/>
          <w:sz w:val="21"/>
        </w:rPr>
        <w:t>本合同约定的给付比例见附表。</w:t>
      </w:r>
      <w:r>
        <w:rPr>
          <w:b/>
          <w:spacing w:val="-2"/>
          <w:sz w:val="21"/>
        </w:rPr>
        <w:t>若被保险人以参加社会基本医</w:t>
      </w:r>
      <w:r>
        <w:rPr>
          <w:b/>
          <w:spacing w:val="-10"/>
          <w:sz w:val="21"/>
        </w:rPr>
        <w:t>疗</w:t>
      </w:r>
    </w:p>
    <w:p>
      <w:pPr>
        <w:spacing w:before="4" w:line="244" w:lineRule="auto"/>
        <w:ind w:left="3307" w:right="585" w:firstLine="0"/>
        <w:jc w:val="left"/>
        <w:rPr>
          <w:b/>
          <w:sz w:val="21"/>
        </w:rPr>
      </w:pPr>
      <w:r>
        <w:rPr>
          <w:b/>
          <w:spacing w:val="-2"/>
          <w:sz w:val="21"/>
        </w:rPr>
        <w:t xml:space="preserve">保险或公费医疗的身份投保，但未以参加社会基本医疗保险或公费医疗身份就诊且结算的，约定的给付比例为 </w:t>
      </w:r>
      <w:r>
        <w:rPr>
          <w:rFonts w:ascii="Times New Roman" w:eastAsia="Times New Roman"/>
          <w:b/>
          <w:sz w:val="21"/>
        </w:rPr>
        <w:t>60%</w:t>
      </w:r>
      <w:r>
        <w:rPr>
          <w:b/>
          <w:sz w:val="21"/>
        </w:rPr>
        <w:t>。</w:t>
      </w:r>
    </w:p>
    <w:p>
      <w:pPr>
        <w:pStyle w:val="3"/>
        <w:spacing w:before="2"/>
        <w:rPr>
          <w:b/>
          <w:sz w:val="18"/>
        </w:rPr>
      </w:pPr>
    </w:p>
    <w:p>
      <w:pPr>
        <w:pStyle w:val="8"/>
        <w:numPr>
          <w:ilvl w:val="1"/>
          <w:numId w:val="14"/>
        </w:numPr>
        <w:tabs>
          <w:tab w:val="left" w:pos="1338"/>
          <w:tab w:val="left" w:pos="1339"/>
          <w:tab w:val="left" w:pos="3307"/>
        </w:tabs>
        <w:spacing w:before="0" w:after="0" w:line="240" w:lineRule="auto"/>
        <w:ind w:left="1338" w:right="0" w:hanging="1005"/>
        <w:jc w:val="left"/>
        <w:rPr>
          <w:b/>
          <w:sz w:val="21"/>
        </w:rPr>
      </w:pPr>
      <w:r>
        <w:rPr>
          <w:b/>
          <w:sz w:val="21"/>
        </w:rPr>
        <w:t>责任免</w:t>
      </w:r>
      <w:r>
        <w:rPr>
          <w:b/>
          <w:spacing w:val="-10"/>
          <w:sz w:val="21"/>
        </w:rPr>
        <w:t>除</w:t>
      </w:r>
      <w:r>
        <w:rPr>
          <w:b/>
          <w:sz w:val="21"/>
        </w:rPr>
        <w:tab/>
      </w:r>
      <w:r>
        <w:rPr>
          <w:b/>
          <w:spacing w:val="-2"/>
          <w:sz w:val="21"/>
        </w:rPr>
        <w:t>因下列情形之一导致被保险人发生医疗费用支出的，我们不承</w:t>
      </w:r>
      <w:r>
        <w:rPr>
          <w:b/>
          <w:spacing w:val="-10"/>
          <w:sz w:val="21"/>
        </w:rPr>
        <w:t>担</w:t>
      </w:r>
    </w:p>
    <w:p>
      <w:pPr>
        <w:spacing w:before="5" w:line="269" w:lineRule="exact"/>
        <w:ind w:left="3307" w:right="0" w:firstLine="0"/>
        <w:jc w:val="left"/>
        <w:rPr>
          <w:b/>
          <w:sz w:val="21"/>
        </w:rPr>
      </w:pPr>
      <w:r>
        <w:rPr>
          <w:b/>
          <w:spacing w:val="-1"/>
          <w:sz w:val="21"/>
        </w:rPr>
        <w:t>给付各项保险金的责任：</w:t>
      </w:r>
    </w:p>
    <w:p>
      <w:pPr>
        <w:pStyle w:val="8"/>
        <w:numPr>
          <w:ilvl w:val="0"/>
          <w:numId w:val="22"/>
        </w:numPr>
        <w:tabs>
          <w:tab w:val="left" w:pos="3837"/>
        </w:tabs>
        <w:spacing w:before="0" w:after="0" w:line="240" w:lineRule="auto"/>
        <w:ind w:left="3836" w:right="0" w:hanging="530"/>
        <w:jc w:val="left"/>
        <w:rPr>
          <w:b/>
          <w:sz w:val="21"/>
        </w:rPr>
      </w:pPr>
      <w:r>
        <w:rPr>
          <w:b/>
          <w:spacing w:val="-3"/>
          <w:sz w:val="21"/>
        </w:rPr>
        <w:t>投保人对被保险人的故意杀害、故意伤害；</w:t>
      </w:r>
    </w:p>
    <w:p>
      <w:pPr>
        <w:pStyle w:val="8"/>
        <w:numPr>
          <w:ilvl w:val="0"/>
          <w:numId w:val="22"/>
        </w:numPr>
        <w:tabs>
          <w:tab w:val="left" w:pos="3846"/>
        </w:tabs>
        <w:spacing w:before="4" w:after="0" w:line="244" w:lineRule="auto"/>
        <w:ind w:left="3835" w:right="618" w:hanging="528"/>
        <w:jc w:val="left"/>
        <w:rPr>
          <w:b/>
          <w:sz w:val="21"/>
        </w:rPr>
      </w:pPr>
      <w:r>
        <w:rPr>
          <w:b/>
          <w:spacing w:val="-2"/>
          <w:sz w:val="21"/>
        </w:rPr>
        <w:t>被保险人故意自伤、故意犯罪或者抗拒依法采取的刑事强</w:t>
      </w:r>
      <w:r>
        <w:rPr>
          <w:b/>
          <w:spacing w:val="-4"/>
          <w:sz w:val="21"/>
        </w:rPr>
        <w:t>制措施；</w:t>
      </w:r>
    </w:p>
    <w:p>
      <w:pPr>
        <w:pStyle w:val="8"/>
        <w:numPr>
          <w:ilvl w:val="0"/>
          <w:numId w:val="22"/>
        </w:numPr>
        <w:tabs>
          <w:tab w:val="left" w:pos="3837"/>
        </w:tabs>
        <w:spacing w:before="0" w:after="0" w:line="240" w:lineRule="auto"/>
        <w:ind w:left="3835" w:right="512" w:hanging="528"/>
        <w:jc w:val="left"/>
        <w:rPr>
          <w:b/>
          <w:sz w:val="21"/>
        </w:rPr>
      </w:pPr>
      <w:r>
        <w:rPr>
          <w:b/>
          <w:spacing w:val="-2"/>
          <w:sz w:val="21"/>
        </w:rPr>
        <w:t>被保险人自杀，但被保险人自杀时为无民事行为能力人的除</w:t>
      </w:r>
      <w:r>
        <w:rPr>
          <w:b/>
          <w:spacing w:val="-6"/>
          <w:sz w:val="21"/>
        </w:rPr>
        <w:t>外；</w:t>
      </w:r>
    </w:p>
    <w:p>
      <w:pPr>
        <w:pStyle w:val="8"/>
        <w:numPr>
          <w:ilvl w:val="0"/>
          <w:numId w:val="22"/>
        </w:numPr>
        <w:tabs>
          <w:tab w:val="left" w:pos="3837"/>
        </w:tabs>
        <w:spacing w:before="3" w:after="0" w:line="240" w:lineRule="auto"/>
        <w:ind w:left="3836" w:right="0" w:hanging="530"/>
        <w:jc w:val="left"/>
        <w:rPr>
          <w:b/>
          <w:sz w:val="21"/>
        </w:rPr>
      </w:pPr>
      <w:r>
        <w:rPr>
          <w:b/>
          <w:spacing w:val="-2"/>
          <w:sz w:val="21"/>
        </w:rPr>
        <w:t>被保险人未经医师</w:t>
      </w:r>
      <w:r>
        <w:rPr>
          <w:spacing w:val="-2"/>
          <w:sz w:val="21"/>
        </w:rPr>
        <w:t>（</w:t>
      </w:r>
      <w:r>
        <w:rPr>
          <w:spacing w:val="-21"/>
          <w:sz w:val="21"/>
        </w:rPr>
        <w:t xml:space="preserve">见 </w:t>
      </w:r>
      <w:r>
        <w:rPr>
          <w:rFonts w:ascii="Times New Roman" w:eastAsia="Times New Roman"/>
          <w:spacing w:val="-2"/>
          <w:sz w:val="21"/>
        </w:rPr>
        <w:t>11.29</w:t>
      </w:r>
      <w:r>
        <w:rPr>
          <w:spacing w:val="-2"/>
          <w:sz w:val="21"/>
        </w:rPr>
        <w:t>）</w:t>
      </w:r>
      <w:r>
        <w:rPr>
          <w:b/>
          <w:spacing w:val="-3"/>
          <w:sz w:val="21"/>
        </w:rPr>
        <w:t>处方注射、吸食、服用毒品</w:t>
      </w:r>
    </w:p>
    <w:p>
      <w:pPr>
        <w:spacing w:before="5" w:line="269" w:lineRule="exact"/>
        <w:ind w:left="3835" w:right="0" w:firstLine="0"/>
        <w:jc w:val="left"/>
        <w:rPr>
          <w:b/>
          <w:sz w:val="21"/>
        </w:rPr>
      </w:pPr>
      <w:r>
        <w:rPr>
          <w:spacing w:val="-2"/>
          <w:sz w:val="21"/>
        </w:rPr>
        <w:t>（</w:t>
      </w:r>
      <w:r>
        <w:rPr>
          <w:spacing w:val="-23"/>
          <w:sz w:val="21"/>
        </w:rPr>
        <w:t xml:space="preserve">见 </w:t>
      </w:r>
      <w:r>
        <w:rPr>
          <w:rFonts w:ascii="Times New Roman" w:eastAsia="Times New Roman"/>
          <w:spacing w:val="-2"/>
          <w:sz w:val="21"/>
        </w:rPr>
        <w:t>11.30</w:t>
      </w:r>
      <w:r>
        <w:rPr>
          <w:spacing w:val="-2"/>
          <w:sz w:val="21"/>
        </w:rPr>
        <w:t>）</w:t>
      </w:r>
      <w:r>
        <w:rPr>
          <w:b/>
          <w:spacing w:val="-4"/>
          <w:sz w:val="21"/>
        </w:rPr>
        <w:t>或处方药品；</w:t>
      </w:r>
    </w:p>
    <w:p>
      <w:pPr>
        <w:pStyle w:val="8"/>
        <w:numPr>
          <w:ilvl w:val="0"/>
          <w:numId w:val="22"/>
        </w:numPr>
        <w:tabs>
          <w:tab w:val="left" w:pos="3837"/>
        </w:tabs>
        <w:spacing w:before="0" w:after="0" w:line="244" w:lineRule="auto"/>
        <w:ind w:left="3835" w:right="516" w:hanging="528"/>
        <w:jc w:val="left"/>
        <w:rPr>
          <w:b/>
          <w:sz w:val="21"/>
        </w:rPr>
      </w:pPr>
      <w:r>
        <w:rPr>
          <w:b/>
          <w:spacing w:val="-6"/>
          <w:sz w:val="21"/>
        </w:rPr>
        <w:t>被保险人酒后驾驶</w:t>
      </w:r>
      <w:r>
        <w:rPr>
          <w:spacing w:val="-6"/>
          <w:sz w:val="21"/>
        </w:rPr>
        <w:t>（</w:t>
      </w:r>
      <w:r>
        <w:rPr>
          <w:spacing w:val="-24"/>
          <w:sz w:val="21"/>
        </w:rPr>
        <w:t xml:space="preserve">见 </w:t>
      </w:r>
      <w:r>
        <w:rPr>
          <w:rFonts w:ascii="Times New Roman" w:eastAsia="Times New Roman"/>
          <w:spacing w:val="4"/>
          <w:sz w:val="21"/>
        </w:rPr>
        <w:t>1</w:t>
      </w:r>
      <w:r>
        <w:rPr>
          <w:rFonts w:ascii="Times New Roman" w:eastAsia="Times New Roman"/>
          <w:spacing w:val="14"/>
          <w:sz w:val="21"/>
        </w:rPr>
        <w:t>1.</w:t>
      </w:r>
      <w:r>
        <w:rPr>
          <w:rFonts w:ascii="Times New Roman" w:eastAsia="Times New Roman"/>
          <w:spacing w:val="9"/>
          <w:sz w:val="21"/>
        </w:rPr>
        <w:t>3</w:t>
      </w:r>
      <w:r>
        <w:rPr>
          <w:rFonts w:ascii="Times New Roman" w:eastAsia="Times New Roman"/>
          <w:spacing w:val="14"/>
          <w:sz w:val="21"/>
        </w:rPr>
        <w:t>1</w:t>
      </w:r>
      <w:r>
        <w:rPr>
          <w:spacing w:val="-96"/>
          <w:sz w:val="21"/>
        </w:rPr>
        <w:t>）</w:t>
      </w:r>
      <w:r>
        <w:rPr>
          <w:b/>
          <w:spacing w:val="-6"/>
          <w:sz w:val="21"/>
        </w:rPr>
        <w:t>、无合法有效驾驶证驾驶</w:t>
      </w:r>
      <w:r>
        <w:rPr>
          <w:spacing w:val="-6"/>
          <w:sz w:val="21"/>
        </w:rPr>
        <w:t xml:space="preserve">（见 </w:t>
      </w:r>
      <w:r>
        <w:rPr>
          <w:rFonts w:ascii="Times New Roman" w:eastAsia="Times New Roman"/>
          <w:spacing w:val="10"/>
          <w:sz w:val="21"/>
        </w:rPr>
        <w:t>1</w:t>
      </w:r>
      <w:r>
        <w:rPr>
          <w:rFonts w:ascii="Times New Roman" w:eastAsia="Times New Roman"/>
          <w:spacing w:val="20"/>
          <w:sz w:val="21"/>
        </w:rPr>
        <w:t>1.32</w:t>
      </w:r>
      <w:r>
        <w:rPr>
          <w:spacing w:val="-86"/>
          <w:sz w:val="21"/>
        </w:rPr>
        <w:t>）</w:t>
      </w:r>
      <w:r>
        <w:rPr>
          <w:b/>
          <w:spacing w:val="-30"/>
          <w:sz w:val="21"/>
        </w:rPr>
        <w:t>，或驾驶无有效行驶证</w:t>
      </w:r>
      <w:r>
        <w:rPr>
          <w:spacing w:val="-11"/>
          <w:sz w:val="21"/>
        </w:rPr>
        <w:t>（见</w:t>
      </w:r>
      <w:r>
        <w:rPr>
          <w:rFonts w:ascii="Times New Roman" w:eastAsia="Times New Roman"/>
          <w:spacing w:val="-1"/>
          <w:sz w:val="21"/>
        </w:rPr>
        <w:t>1</w:t>
      </w:r>
      <w:r>
        <w:rPr>
          <w:rFonts w:ascii="Times New Roman" w:eastAsia="Times New Roman"/>
          <w:spacing w:val="9"/>
          <w:sz w:val="21"/>
        </w:rPr>
        <w:t>1.33</w:t>
      </w:r>
      <w:r>
        <w:rPr>
          <w:spacing w:val="-102"/>
          <w:sz w:val="21"/>
        </w:rPr>
        <w:t>）</w:t>
      </w:r>
      <w:r>
        <w:rPr>
          <w:b/>
          <w:spacing w:val="-35"/>
          <w:sz w:val="21"/>
        </w:rPr>
        <w:t>的机动车</w:t>
      </w:r>
      <w:r>
        <w:rPr>
          <w:spacing w:val="-11"/>
          <w:sz w:val="21"/>
        </w:rPr>
        <w:t>（见</w:t>
      </w:r>
      <w:r>
        <w:rPr>
          <w:rFonts w:ascii="Times New Roman" w:eastAsia="Times New Roman"/>
          <w:spacing w:val="-3"/>
          <w:sz w:val="21"/>
        </w:rPr>
        <w:t>1</w:t>
      </w:r>
      <w:r>
        <w:rPr>
          <w:rFonts w:ascii="Times New Roman" w:eastAsia="Times New Roman"/>
          <w:spacing w:val="2"/>
          <w:sz w:val="21"/>
        </w:rPr>
        <w:t>1</w:t>
      </w:r>
      <w:r>
        <w:rPr>
          <w:rFonts w:ascii="Times New Roman" w:eastAsia="Times New Roman"/>
          <w:spacing w:val="7"/>
          <w:sz w:val="21"/>
        </w:rPr>
        <w:t>.34</w:t>
      </w:r>
      <w:r>
        <w:rPr>
          <w:spacing w:val="-104"/>
          <w:sz w:val="21"/>
        </w:rPr>
        <w:t>）</w:t>
      </w:r>
      <w:r>
        <w:rPr>
          <w:b/>
          <w:spacing w:val="7"/>
          <w:sz w:val="21"/>
        </w:rPr>
        <w:t>；</w:t>
      </w:r>
    </w:p>
    <w:p>
      <w:pPr>
        <w:pStyle w:val="8"/>
        <w:numPr>
          <w:ilvl w:val="0"/>
          <w:numId w:val="22"/>
        </w:numPr>
        <w:tabs>
          <w:tab w:val="left" w:pos="3842"/>
        </w:tabs>
        <w:spacing w:before="0" w:after="0" w:line="244" w:lineRule="auto"/>
        <w:ind w:left="3835" w:right="617" w:hanging="528"/>
        <w:jc w:val="left"/>
        <w:rPr>
          <w:b/>
          <w:sz w:val="21"/>
        </w:rPr>
      </w:pPr>
      <w:r>
        <w:rPr>
          <w:b/>
          <w:spacing w:val="-2"/>
          <w:sz w:val="21"/>
        </w:rPr>
        <w:t>被保险人感染艾滋病病毒或患艾滋病</w:t>
      </w:r>
      <w:r>
        <w:rPr>
          <w:spacing w:val="-2"/>
          <w:sz w:val="21"/>
        </w:rPr>
        <w:t>（</w:t>
      </w:r>
      <w:r>
        <w:rPr>
          <w:spacing w:val="-14"/>
          <w:sz w:val="21"/>
        </w:rPr>
        <w:t xml:space="preserve">见 </w:t>
      </w:r>
      <w:r>
        <w:rPr>
          <w:rFonts w:ascii="Times New Roman" w:eastAsia="Times New Roman"/>
          <w:spacing w:val="5"/>
          <w:sz w:val="21"/>
        </w:rPr>
        <w:t>1</w:t>
      </w:r>
      <w:r>
        <w:rPr>
          <w:rFonts w:ascii="Times New Roman" w:eastAsia="Times New Roman"/>
          <w:spacing w:val="15"/>
          <w:sz w:val="21"/>
        </w:rPr>
        <w:t>1.</w:t>
      </w:r>
      <w:r>
        <w:rPr>
          <w:rFonts w:ascii="Times New Roman" w:eastAsia="Times New Roman"/>
          <w:spacing w:val="10"/>
          <w:sz w:val="21"/>
        </w:rPr>
        <w:t>3</w:t>
      </w:r>
      <w:r>
        <w:rPr>
          <w:rFonts w:ascii="Times New Roman" w:eastAsia="Times New Roman"/>
          <w:spacing w:val="15"/>
          <w:sz w:val="21"/>
        </w:rPr>
        <w:t>5</w:t>
      </w:r>
      <w:r>
        <w:rPr>
          <w:spacing w:val="-91"/>
          <w:sz w:val="21"/>
        </w:rPr>
        <w:t>）</w:t>
      </w:r>
      <w:r>
        <w:rPr>
          <w:spacing w:val="15"/>
          <w:sz w:val="21"/>
        </w:rPr>
        <w:t>，</w:t>
      </w:r>
      <w:r>
        <w:rPr>
          <w:b/>
          <w:spacing w:val="-2"/>
          <w:sz w:val="21"/>
        </w:rPr>
        <w:t>但本合</w:t>
      </w:r>
      <w:r>
        <w:rPr>
          <w:b/>
          <w:spacing w:val="-8"/>
          <w:sz w:val="21"/>
        </w:rPr>
        <w:t xml:space="preserve">同第 </w:t>
      </w:r>
      <w:r>
        <w:rPr>
          <w:rFonts w:ascii="Times New Roman" w:eastAsia="Times New Roman"/>
          <w:b/>
          <w:sz w:val="21"/>
        </w:rPr>
        <w:t>10.29</w:t>
      </w:r>
      <w:r>
        <w:rPr>
          <w:b/>
          <w:sz w:val="21"/>
        </w:rPr>
        <w:t>、</w:t>
      </w:r>
      <w:r>
        <w:rPr>
          <w:rFonts w:ascii="Times New Roman" w:eastAsia="Times New Roman"/>
          <w:b/>
          <w:sz w:val="21"/>
        </w:rPr>
        <w:t>10.34</w:t>
      </w:r>
      <w:r>
        <w:rPr>
          <w:rFonts w:ascii="Times New Roman" w:eastAsia="Times New Roman"/>
          <w:b/>
          <w:spacing w:val="22"/>
          <w:sz w:val="21"/>
        </w:rPr>
        <w:t xml:space="preserve"> </w:t>
      </w:r>
      <w:r>
        <w:rPr>
          <w:b/>
          <w:spacing w:val="-8"/>
          <w:sz w:val="21"/>
        </w:rPr>
        <w:t xml:space="preserve">以及 </w:t>
      </w:r>
      <w:r>
        <w:rPr>
          <w:rFonts w:ascii="Times New Roman" w:eastAsia="Times New Roman"/>
          <w:b/>
          <w:sz w:val="21"/>
        </w:rPr>
        <w:t>10.88</w:t>
      </w:r>
      <w:r>
        <w:rPr>
          <w:rFonts w:ascii="Times New Roman" w:eastAsia="Times New Roman"/>
          <w:b/>
          <w:spacing w:val="22"/>
          <w:sz w:val="21"/>
        </w:rPr>
        <w:t xml:space="preserve"> </w:t>
      </w:r>
      <w:r>
        <w:rPr>
          <w:b/>
          <w:sz w:val="21"/>
        </w:rPr>
        <w:t>条约定的人类免疫缺陷病毒</w:t>
      </w:r>
    </w:p>
    <w:p>
      <w:pPr>
        <w:spacing w:before="0" w:line="263" w:lineRule="exact"/>
        <w:ind w:left="3835" w:right="0" w:firstLine="0"/>
        <w:jc w:val="left"/>
        <w:rPr>
          <w:b/>
          <w:sz w:val="21"/>
        </w:rPr>
      </w:pPr>
      <w:r>
        <w:rPr>
          <w:b/>
          <w:spacing w:val="-2"/>
          <w:sz w:val="21"/>
        </w:rPr>
        <w:t>（</w:t>
      </w:r>
      <w:r>
        <w:rPr>
          <w:rFonts w:ascii="Times New Roman" w:eastAsia="Times New Roman"/>
          <w:b/>
          <w:spacing w:val="-2"/>
          <w:sz w:val="21"/>
        </w:rPr>
        <w:t>HIV</w:t>
      </w:r>
      <w:r>
        <w:rPr>
          <w:b/>
          <w:spacing w:val="-2"/>
          <w:sz w:val="21"/>
        </w:rPr>
        <w:t>）</w:t>
      </w:r>
      <w:r>
        <w:rPr>
          <w:b/>
          <w:spacing w:val="-3"/>
          <w:sz w:val="21"/>
        </w:rPr>
        <w:t>感染不在责任免除范围内；</w:t>
      </w:r>
    </w:p>
    <w:p>
      <w:pPr>
        <w:pStyle w:val="8"/>
        <w:numPr>
          <w:ilvl w:val="0"/>
          <w:numId w:val="22"/>
        </w:numPr>
        <w:tabs>
          <w:tab w:val="left" w:pos="3837"/>
        </w:tabs>
        <w:spacing w:before="3" w:after="0" w:line="240" w:lineRule="auto"/>
        <w:ind w:left="3836" w:right="0" w:hanging="530"/>
        <w:jc w:val="left"/>
        <w:rPr>
          <w:b/>
          <w:sz w:val="21"/>
        </w:rPr>
      </w:pPr>
      <w:r>
        <w:rPr>
          <w:b/>
          <w:spacing w:val="-3"/>
          <w:sz w:val="21"/>
        </w:rPr>
        <w:t>战争、军事冲突、暴乱或武装叛乱；</w:t>
      </w:r>
    </w:p>
    <w:p>
      <w:pPr>
        <w:pStyle w:val="8"/>
        <w:numPr>
          <w:ilvl w:val="0"/>
          <w:numId w:val="22"/>
        </w:numPr>
        <w:tabs>
          <w:tab w:val="left" w:pos="3837"/>
        </w:tabs>
        <w:spacing w:before="5" w:after="0" w:line="240" w:lineRule="auto"/>
        <w:ind w:left="3836" w:right="0" w:hanging="530"/>
        <w:jc w:val="left"/>
        <w:rPr>
          <w:b/>
          <w:sz w:val="21"/>
        </w:rPr>
      </w:pPr>
      <w:r>
        <w:rPr>
          <w:b/>
          <w:spacing w:val="-1"/>
          <w:sz w:val="21"/>
        </w:rPr>
        <w:t>核爆炸、核辐射或核污染；</w:t>
      </w:r>
    </w:p>
    <w:p>
      <w:pPr>
        <w:pStyle w:val="8"/>
        <w:numPr>
          <w:ilvl w:val="0"/>
          <w:numId w:val="22"/>
        </w:numPr>
        <w:tabs>
          <w:tab w:val="left" w:pos="3842"/>
        </w:tabs>
        <w:spacing w:before="4" w:after="0" w:line="240" w:lineRule="auto"/>
        <w:ind w:left="3841" w:right="0" w:hanging="535"/>
        <w:jc w:val="left"/>
        <w:rPr>
          <w:b/>
          <w:sz w:val="21"/>
        </w:rPr>
      </w:pPr>
      <w:r>
        <w:rPr>
          <w:b/>
          <w:spacing w:val="-4"/>
          <w:sz w:val="21"/>
        </w:rPr>
        <w:t>遗传性疾病</w:t>
      </w:r>
      <w:r>
        <w:rPr>
          <w:spacing w:val="-4"/>
          <w:sz w:val="21"/>
        </w:rPr>
        <w:t>（</w:t>
      </w:r>
      <w:r>
        <w:rPr>
          <w:sz w:val="21"/>
        </w:rPr>
        <w:t xml:space="preserve">见 </w:t>
      </w:r>
      <w:r>
        <w:rPr>
          <w:rFonts w:ascii="Times New Roman" w:eastAsia="Times New Roman"/>
          <w:spacing w:val="5"/>
          <w:sz w:val="21"/>
        </w:rPr>
        <w:t>1</w:t>
      </w:r>
      <w:r>
        <w:rPr>
          <w:rFonts w:ascii="Times New Roman" w:eastAsia="Times New Roman"/>
          <w:spacing w:val="15"/>
          <w:sz w:val="21"/>
        </w:rPr>
        <w:t>1.36</w:t>
      </w:r>
      <w:r>
        <w:rPr>
          <w:spacing w:val="-91"/>
          <w:sz w:val="21"/>
        </w:rPr>
        <w:t>）</w:t>
      </w:r>
      <w:r>
        <w:rPr>
          <w:b/>
          <w:spacing w:val="-5"/>
          <w:sz w:val="21"/>
        </w:rPr>
        <w:t>、先天性畸形、变形或染色体异常</w:t>
      </w:r>
    </w:p>
    <w:p>
      <w:pPr>
        <w:spacing w:before="0"/>
        <w:ind w:left="3835" w:right="0" w:firstLine="0"/>
        <w:jc w:val="left"/>
        <w:rPr>
          <w:rFonts w:ascii="Times New Roman" w:eastAsia="Times New Roman"/>
          <w:b/>
          <w:sz w:val="21"/>
        </w:rPr>
      </w:pPr>
      <w:r>
        <w:rPr>
          <w:spacing w:val="-10"/>
          <w:sz w:val="21"/>
        </w:rPr>
        <w:t>（</w:t>
      </w:r>
      <w:r>
        <w:rPr>
          <w:spacing w:val="-26"/>
          <w:sz w:val="21"/>
        </w:rPr>
        <w:t xml:space="preserve">见 </w:t>
      </w:r>
      <w:r>
        <w:rPr>
          <w:rFonts w:ascii="Times New Roman" w:eastAsia="Times New Roman"/>
          <w:spacing w:val="3"/>
          <w:sz w:val="21"/>
        </w:rPr>
        <w:t>1</w:t>
      </w:r>
      <w:r>
        <w:rPr>
          <w:rFonts w:ascii="Times New Roman" w:eastAsia="Times New Roman"/>
          <w:spacing w:val="13"/>
          <w:sz w:val="21"/>
        </w:rPr>
        <w:t>1.37</w:t>
      </w:r>
      <w:r>
        <w:rPr>
          <w:spacing w:val="-98"/>
          <w:sz w:val="21"/>
        </w:rPr>
        <w:t>）</w:t>
      </w:r>
      <w:r>
        <w:rPr>
          <w:b/>
          <w:spacing w:val="-19"/>
          <w:sz w:val="21"/>
        </w:rPr>
        <w:t xml:space="preserve">，但本合同第 </w:t>
      </w:r>
      <w:r>
        <w:rPr>
          <w:rFonts w:ascii="Times New Roman" w:eastAsia="Times New Roman"/>
          <w:b/>
          <w:spacing w:val="-10"/>
          <w:sz w:val="21"/>
        </w:rPr>
        <w:t>10.36</w:t>
      </w:r>
      <w:r>
        <w:rPr>
          <w:b/>
          <w:spacing w:val="-10"/>
          <w:sz w:val="21"/>
        </w:rPr>
        <w:t>、</w:t>
      </w:r>
      <w:r>
        <w:rPr>
          <w:rFonts w:ascii="Times New Roman" w:eastAsia="Times New Roman"/>
          <w:b/>
          <w:spacing w:val="-10"/>
          <w:sz w:val="21"/>
        </w:rPr>
        <w:t>10.49</w:t>
      </w:r>
      <w:r>
        <w:rPr>
          <w:b/>
          <w:spacing w:val="-10"/>
          <w:sz w:val="21"/>
        </w:rPr>
        <w:t>、</w:t>
      </w:r>
      <w:r>
        <w:rPr>
          <w:rFonts w:ascii="Times New Roman" w:eastAsia="Times New Roman"/>
          <w:b/>
          <w:spacing w:val="-10"/>
          <w:sz w:val="21"/>
        </w:rPr>
        <w:t>10.70</w:t>
      </w:r>
      <w:r>
        <w:rPr>
          <w:b/>
          <w:spacing w:val="-10"/>
          <w:sz w:val="21"/>
        </w:rPr>
        <w:t>、</w:t>
      </w:r>
      <w:r>
        <w:rPr>
          <w:rFonts w:ascii="Times New Roman" w:eastAsia="Times New Roman"/>
          <w:b/>
          <w:spacing w:val="-10"/>
          <w:sz w:val="21"/>
        </w:rPr>
        <w:t>10.81</w:t>
      </w:r>
      <w:r>
        <w:rPr>
          <w:b/>
          <w:spacing w:val="-10"/>
          <w:sz w:val="21"/>
        </w:rPr>
        <w:t>、</w:t>
      </w:r>
      <w:r>
        <w:rPr>
          <w:rFonts w:ascii="Times New Roman" w:eastAsia="Times New Roman"/>
          <w:b/>
          <w:spacing w:val="-10"/>
          <w:sz w:val="21"/>
        </w:rPr>
        <w:t>10.82</w:t>
      </w:r>
    </w:p>
    <w:p>
      <w:pPr>
        <w:spacing w:before="5"/>
        <w:ind w:left="3835" w:right="0" w:firstLine="0"/>
        <w:jc w:val="both"/>
        <w:rPr>
          <w:b/>
          <w:sz w:val="21"/>
        </w:rPr>
      </w:pPr>
      <w:r>
        <w:rPr>
          <w:b/>
          <w:spacing w:val="-11"/>
          <w:sz w:val="21"/>
        </w:rPr>
        <w:t xml:space="preserve">以及 </w:t>
      </w:r>
      <w:r>
        <w:rPr>
          <w:rFonts w:ascii="Times New Roman" w:eastAsia="Times New Roman"/>
          <w:b/>
          <w:spacing w:val="-2"/>
          <w:sz w:val="21"/>
        </w:rPr>
        <w:t>10.98</w:t>
      </w:r>
      <w:r>
        <w:rPr>
          <w:rFonts w:ascii="Times New Roman" w:eastAsia="Times New Roman"/>
          <w:b/>
          <w:spacing w:val="14"/>
          <w:sz w:val="21"/>
        </w:rPr>
        <w:t xml:space="preserve"> </w:t>
      </w:r>
      <w:r>
        <w:rPr>
          <w:b/>
          <w:spacing w:val="-3"/>
          <w:sz w:val="21"/>
        </w:rPr>
        <w:t>条约定的遗传性疾病不在责任免除范围内；</w:t>
      </w:r>
    </w:p>
    <w:p>
      <w:pPr>
        <w:pStyle w:val="8"/>
        <w:numPr>
          <w:ilvl w:val="0"/>
          <w:numId w:val="22"/>
        </w:numPr>
        <w:tabs>
          <w:tab w:val="left" w:pos="3943"/>
        </w:tabs>
        <w:spacing w:before="4" w:after="0" w:line="242" w:lineRule="auto"/>
        <w:ind w:left="3941" w:right="616" w:hanging="634"/>
        <w:jc w:val="both"/>
        <w:rPr>
          <w:b/>
          <w:sz w:val="21"/>
        </w:rPr>
      </w:pPr>
      <w:r>
        <w:rPr>
          <w:b/>
          <w:spacing w:val="-2"/>
          <w:w w:val="95"/>
          <w:sz w:val="21"/>
        </w:rPr>
        <w:t>被保险人从事潜水</w:t>
      </w:r>
      <w:r>
        <w:rPr>
          <w:spacing w:val="-2"/>
          <w:w w:val="95"/>
          <w:sz w:val="21"/>
        </w:rPr>
        <w:t>（</w:t>
      </w:r>
      <w:r>
        <w:rPr>
          <w:spacing w:val="-7"/>
          <w:w w:val="95"/>
          <w:sz w:val="21"/>
        </w:rPr>
        <w:t xml:space="preserve">见 </w:t>
      </w:r>
      <w:r>
        <w:rPr>
          <w:rFonts w:ascii="Times New Roman" w:eastAsia="Times New Roman"/>
          <w:spacing w:val="8"/>
          <w:w w:val="95"/>
          <w:sz w:val="21"/>
        </w:rPr>
        <w:t>1</w:t>
      </w:r>
      <w:r>
        <w:rPr>
          <w:rFonts w:ascii="Times New Roman" w:eastAsia="Times New Roman"/>
          <w:spacing w:val="18"/>
          <w:w w:val="95"/>
          <w:sz w:val="21"/>
        </w:rPr>
        <w:t>1.38</w:t>
      </w:r>
      <w:r>
        <w:rPr>
          <w:spacing w:val="-93"/>
          <w:w w:val="95"/>
          <w:sz w:val="21"/>
        </w:rPr>
        <w:t>）</w:t>
      </w:r>
      <w:r>
        <w:rPr>
          <w:b/>
          <w:spacing w:val="-2"/>
          <w:w w:val="95"/>
          <w:sz w:val="21"/>
        </w:rPr>
        <w:t>、跳伞、攀岩</w:t>
      </w:r>
      <w:r>
        <w:rPr>
          <w:spacing w:val="-2"/>
          <w:w w:val="95"/>
          <w:sz w:val="21"/>
        </w:rPr>
        <w:t>（</w:t>
      </w:r>
      <w:r>
        <w:rPr>
          <w:spacing w:val="-7"/>
          <w:w w:val="95"/>
          <w:sz w:val="21"/>
        </w:rPr>
        <w:t xml:space="preserve">见 </w:t>
      </w:r>
      <w:r>
        <w:rPr>
          <w:rFonts w:ascii="Times New Roman" w:eastAsia="Times New Roman"/>
          <w:spacing w:val="8"/>
          <w:w w:val="95"/>
          <w:sz w:val="21"/>
        </w:rPr>
        <w:t>1</w:t>
      </w:r>
      <w:r>
        <w:rPr>
          <w:rFonts w:ascii="Times New Roman" w:eastAsia="Times New Roman"/>
          <w:spacing w:val="18"/>
          <w:w w:val="95"/>
          <w:sz w:val="21"/>
        </w:rPr>
        <w:t>1.39</w:t>
      </w:r>
      <w:r>
        <w:rPr>
          <w:spacing w:val="-92"/>
          <w:w w:val="95"/>
          <w:sz w:val="21"/>
        </w:rPr>
        <w:t>）</w:t>
      </w:r>
      <w:r>
        <w:rPr>
          <w:b/>
          <w:spacing w:val="-2"/>
          <w:w w:val="95"/>
          <w:sz w:val="21"/>
        </w:rPr>
        <w:t>、</w:t>
      </w:r>
      <w:r>
        <w:rPr>
          <w:b/>
          <w:spacing w:val="-6"/>
          <w:sz w:val="21"/>
        </w:rPr>
        <w:t>蹦极、驾驶滑翔机或滑翔伞、探险</w:t>
      </w:r>
      <w:r>
        <w:rPr>
          <w:spacing w:val="-6"/>
          <w:sz w:val="21"/>
        </w:rPr>
        <w:t>（</w:t>
      </w:r>
      <w:r>
        <w:rPr>
          <w:spacing w:val="-14"/>
          <w:sz w:val="21"/>
        </w:rPr>
        <w:t xml:space="preserve">见 </w:t>
      </w:r>
      <w:r>
        <w:rPr>
          <w:rFonts w:ascii="Times New Roman" w:eastAsia="Times New Roman"/>
          <w:spacing w:val="4"/>
          <w:sz w:val="21"/>
        </w:rPr>
        <w:t>1</w:t>
      </w:r>
      <w:r>
        <w:rPr>
          <w:rFonts w:ascii="Times New Roman" w:eastAsia="Times New Roman"/>
          <w:spacing w:val="14"/>
          <w:sz w:val="21"/>
        </w:rPr>
        <w:t>1.40</w:t>
      </w:r>
      <w:r>
        <w:rPr>
          <w:spacing w:val="-97"/>
          <w:sz w:val="21"/>
        </w:rPr>
        <w:t>）</w:t>
      </w:r>
      <w:r>
        <w:rPr>
          <w:b/>
          <w:spacing w:val="-6"/>
          <w:sz w:val="21"/>
        </w:rPr>
        <w:t>、摔跤、武</w:t>
      </w:r>
      <w:r>
        <w:rPr>
          <w:b/>
          <w:spacing w:val="-2"/>
          <w:w w:val="95"/>
          <w:sz w:val="21"/>
        </w:rPr>
        <w:t>术比赛</w:t>
      </w:r>
      <w:r>
        <w:rPr>
          <w:spacing w:val="-2"/>
          <w:w w:val="95"/>
          <w:sz w:val="21"/>
        </w:rPr>
        <w:t>（见</w:t>
      </w:r>
      <w:r>
        <w:rPr>
          <w:spacing w:val="-11"/>
          <w:w w:val="95"/>
          <w:sz w:val="21"/>
        </w:rPr>
        <w:t xml:space="preserve"> </w:t>
      </w:r>
      <w:r>
        <w:rPr>
          <w:rFonts w:ascii="Times New Roman" w:eastAsia="Times New Roman"/>
          <w:spacing w:val="8"/>
          <w:w w:val="95"/>
          <w:sz w:val="21"/>
        </w:rPr>
        <w:t>1</w:t>
      </w:r>
      <w:r>
        <w:rPr>
          <w:rFonts w:ascii="Times New Roman" w:eastAsia="Times New Roman"/>
          <w:spacing w:val="18"/>
          <w:w w:val="95"/>
          <w:sz w:val="21"/>
        </w:rPr>
        <w:t>1.41</w:t>
      </w:r>
      <w:r>
        <w:rPr>
          <w:spacing w:val="-93"/>
          <w:w w:val="95"/>
          <w:sz w:val="21"/>
        </w:rPr>
        <w:t>）</w:t>
      </w:r>
      <w:r>
        <w:rPr>
          <w:spacing w:val="-2"/>
          <w:w w:val="95"/>
          <w:sz w:val="21"/>
        </w:rPr>
        <w:t>、</w:t>
      </w:r>
      <w:r>
        <w:rPr>
          <w:b/>
          <w:spacing w:val="-2"/>
          <w:w w:val="95"/>
          <w:sz w:val="21"/>
        </w:rPr>
        <w:t>特技表演</w:t>
      </w:r>
      <w:r>
        <w:rPr>
          <w:spacing w:val="-2"/>
          <w:w w:val="95"/>
          <w:sz w:val="21"/>
        </w:rPr>
        <w:t>（见</w:t>
      </w:r>
      <w:r>
        <w:rPr>
          <w:spacing w:val="-11"/>
          <w:w w:val="95"/>
          <w:sz w:val="21"/>
        </w:rPr>
        <w:t xml:space="preserve"> </w:t>
      </w:r>
      <w:r>
        <w:rPr>
          <w:rFonts w:ascii="Times New Roman" w:eastAsia="Times New Roman"/>
          <w:spacing w:val="8"/>
          <w:w w:val="95"/>
          <w:sz w:val="21"/>
        </w:rPr>
        <w:t>1</w:t>
      </w:r>
      <w:r>
        <w:rPr>
          <w:rFonts w:ascii="Times New Roman" w:eastAsia="Times New Roman"/>
          <w:spacing w:val="18"/>
          <w:w w:val="95"/>
          <w:sz w:val="21"/>
        </w:rPr>
        <w:t>1.42</w:t>
      </w:r>
      <w:r>
        <w:rPr>
          <w:spacing w:val="-92"/>
          <w:w w:val="95"/>
          <w:sz w:val="21"/>
        </w:rPr>
        <w:t>）</w:t>
      </w:r>
      <w:r>
        <w:rPr>
          <w:b/>
          <w:spacing w:val="-2"/>
          <w:w w:val="95"/>
          <w:sz w:val="21"/>
        </w:rPr>
        <w:t>、赛马、赛车等</w:t>
      </w:r>
      <w:r>
        <w:rPr>
          <w:b/>
          <w:spacing w:val="-2"/>
          <w:sz w:val="21"/>
        </w:rPr>
        <w:t>高风险运动；</w:t>
      </w:r>
    </w:p>
    <w:p>
      <w:pPr>
        <w:pStyle w:val="8"/>
        <w:numPr>
          <w:ilvl w:val="0"/>
          <w:numId w:val="22"/>
        </w:numPr>
        <w:tabs>
          <w:tab w:val="left" w:pos="3933"/>
        </w:tabs>
        <w:spacing w:before="4" w:after="0" w:line="244" w:lineRule="auto"/>
        <w:ind w:left="3941" w:right="621" w:hanging="634"/>
        <w:jc w:val="left"/>
        <w:rPr>
          <w:b/>
          <w:sz w:val="21"/>
        </w:rPr>
      </w:pPr>
      <w:r>
        <w:rPr>
          <w:b/>
          <w:spacing w:val="-2"/>
          <w:sz w:val="21"/>
        </w:rPr>
        <w:t>被保险人妊娠（含宫外孕</w:t>
      </w:r>
      <w:r>
        <w:rPr>
          <w:b/>
          <w:spacing w:val="-106"/>
          <w:sz w:val="21"/>
        </w:rPr>
        <w:t>）</w:t>
      </w:r>
      <w:r>
        <w:rPr>
          <w:b/>
          <w:spacing w:val="-2"/>
          <w:sz w:val="21"/>
        </w:rPr>
        <w:t>、流产、分娩（含剖腹产</w:t>
      </w:r>
      <w:r>
        <w:rPr>
          <w:b/>
          <w:spacing w:val="-106"/>
          <w:sz w:val="21"/>
        </w:rPr>
        <w:t>）</w:t>
      </w:r>
      <w:r>
        <w:rPr>
          <w:b/>
          <w:spacing w:val="-2"/>
          <w:sz w:val="21"/>
        </w:rPr>
        <w:t>、不孕不育、避孕、节育（含绝育</w:t>
      </w:r>
      <w:r>
        <w:rPr>
          <w:b/>
          <w:spacing w:val="-105"/>
          <w:sz w:val="21"/>
        </w:rPr>
        <w:t>）</w:t>
      </w:r>
      <w:r>
        <w:rPr>
          <w:b/>
          <w:sz w:val="21"/>
        </w:rPr>
        <w:t>；</w:t>
      </w:r>
    </w:p>
    <w:p>
      <w:pPr>
        <w:pStyle w:val="8"/>
        <w:numPr>
          <w:ilvl w:val="0"/>
          <w:numId w:val="22"/>
        </w:numPr>
        <w:tabs>
          <w:tab w:val="left" w:pos="3943"/>
        </w:tabs>
        <w:spacing w:before="0" w:after="0" w:line="244" w:lineRule="auto"/>
        <w:ind w:left="3941" w:right="590" w:hanging="634"/>
        <w:jc w:val="both"/>
        <w:rPr>
          <w:b/>
          <w:sz w:val="21"/>
        </w:rPr>
      </w:pPr>
      <w:r>
        <w:rPr>
          <w:b/>
          <w:spacing w:val="-2"/>
          <w:sz w:val="21"/>
        </w:rPr>
        <w:t>美容手术、非意外事故所致的外科整形手术、视力矫正、</w:t>
      </w:r>
      <w:r>
        <w:rPr>
          <w:b/>
          <w:spacing w:val="-10"/>
          <w:sz w:val="21"/>
        </w:rPr>
        <w:t>义眼、助听器、义肢、一般身体检查、疗养、康复治疗</w:t>
      </w:r>
      <w:r>
        <w:rPr>
          <w:spacing w:val="-10"/>
          <w:sz w:val="21"/>
        </w:rPr>
        <w:t xml:space="preserve">（见 </w:t>
      </w:r>
      <w:r>
        <w:rPr>
          <w:rFonts w:ascii="Times New Roman" w:eastAsia="Times New Roman"/>
          <w:spacing w:val="7"/>
          <w:sz w:val="21"/>
        </w:rPr>
        <w:t>1</w:t>
      </w:r>
      <w:r>
        <w:rPr>
          <w:rFonts w:ascii="Times New Roman" w:eastAsia="Times New Roman"/>
          <w:spacing w:val="17"/>
          <w:sz w:val="21"/>
        </w:rPr>
        <w:t>1.43</w:t>
      </w:r>
      <w:r>
        <w:rPr>
          <w:spacing w:val="-89"/>
          <w:sz w:val="21"/>
        </w:rPr>
        <w:t>）</w:t>
      </w:r>
      <w:r>
        <w:rPr>
          <w:b/>
          <w:spacing w:val="-2"/>
          <w:sz w:val="21"/>
        </w:rPr>
        <w:t>、牙齿治疗</w:t>
      </w:r>
      <w:r>
        <w:rPr>
          <w:spacing w:val="-2"/>
          <w:sz w:val="21"/>
        </w:rPr>
        <w:t>（</w:t>
      </w:r>
      <w:r>
        <w:rPr>
          <w:spacing w:val="-28"/>
          <w:sz w:val="21"/>
        </w:rPr>
        <w:t xml:space="preserve">见 </w:t>
      </w:r>
      <w:r>
        <w:rPr>
          <w:rFonts w:ascii="Times New Roman" w:eastAsia="Times New Roman"/>
          <w:spacing w:val="6"/>
          <w:sz w:val="21"/>
        </w:rPr>
        <w:t>1</w:t>
      </w:r>
      <w:r>
        <w:rPr>
          <w:rFonts w:ascii="Times New Roman" w:eastAsia="Times New Roman"/>
          <w:spacing w:val="16"/>
          <w:sz w:val="21"/>
        </w:rPr>
        <w:t>1.</w:t>
      </w:r>
      <w:r>
        <w:rPr>
          <w:rFonts w:ascii="Times New Roman" w:eastAsia="Times New Roman"/>
          <w:spacing w:val="11"/>
          <w:sz w:val="21"/>
        </w:rPr>
        <w:t>4</w:t>
      </w:r>
      <w:r>
        <w:rPr>
          <w:rFonts w:ascii="Times New Roman" w:eastAsia="Times New Roman"/>
          <w:spacing w:val="16"/>
          <w:sz w:val="21"/>
        </w:rPr>
        <w:t>4</w:t>
      </w:r>
      <w:r>
        <w:rPr>
          <w:spacing w:val="-95"/>
          <w:sz w:val="21"/>
        </w:rPr>
        <w:t>）</w:t>
      </w:r>
      <w:r>
        <w:rPr>
          <w:b/>
          <w:spacing w:val="16"/>
          <w:sz w:val="21"/>
        </w:rPr>
        <w:t>；</w:t>
      </w:r>
    </w:p>
    <w:p>
      <w:pPr>
        <w:pStyle w:val="8"/>
        <w:numPr>
          <w:ilvl w:val="0"/>
          <w:numId w:val="22"/>
        </w:numPr>
        <w:tabs>
          <w:tab w:val="left" w:pos="3943"/>
        </w:tabs>
        <w:spacing w:before="51" w:after="0" w:line="240" w:lineRule="auto"/>
        <w:ind w:left="3942" w:right="0" w:hanging="636"/>
        <w:jc w:val="left"/>
        <w:rPr>
          <w:sz w:val="21"/>
        </w:rPr>
      </w:pPr>
      <w:r>
        <w:rPr>
          <w:b/>
          <w:spacing w:val="-2"/>
          <w:sz w:val="21"/>
        </w:rPr>
        <w:t>被保险人未遵医嘱使用管制药物或处方药物、未按照说明书所示内容使用非处方药物或有毒物质；</w:t>
      </w:r>
    </w:p>
    <w:p>
      <w:pPr>
        <w:pStyle w:val="8"/>
        <w:numPr>
          <w:ilvl w:val="0"/>
          <w:numId w:val="22"/>
        </w:numPr>
        <w:tabs>
          <w:tab w:val="left" w:pos="3943"/>
        </w:tabs>
        <w:spacing w:before="51" w:after="0" w:line="240" w:lineRule="auto"/>
        <w:ind w:left="3942" w:right="0" w:hanging="636"/>
        <w:jc w:val="left"/>
        <w:rPr>
          <w:sz w:val="21"/>
        </w:rPr>
      </w:pPr>
      <w:r>
        <w:rPr>
          <w:b/>
          <w:spacing w:val="-2"/>
          <w:sz w:val="21"/>
        </w:rPr>
        <w:t>未以书面形式或者双方认可的其他形式告知的既往症</w:t>
      </w:r>
      <w:r>
        <w:rPr>
          <w:spacing w:val="-2"/>
          <w:sz w:val="21"/>
        </w:rPr>
        <w:t>（</w:t>
      </w:r>
      <w:r>
        <w:rPr>
          <w:spacing w:val="-10"/>
          <w:sz w:val="21"/>
        </w:rPr>
        <w:t>见</w:t>
      </w:r>
    </w:p>
    <w:p>
      <w:pPr>
        <w:spacing w:before="4"/>
        <w:ind w:left="3941" w:right="0" w:firstLine="0"/>
        <w:jc w:val="left"/>
        <w:rPr>
          <w:b/>
          <w:sz w:val="21"/>
        </w:rPr>
      </w:pPr>
      <w:r>
        <w:rPr>
          <w:rFonts w:ascii="Times New Roman" w:eastAsia="Times New Roman"/>
          <w:spacing w:val="1"/>
          <w:sz w:val="21"/>
        </w:rPr>
        <w:t>1</w:t>
      </w:r>
      <w:r>
        <w:rPr>
          <w:rFonts w:ascii="Times New Roman" w:eastAsia="Times New Roman"/>
          <w:spacing w:val="11"/>
          <w:sz w:val="21"/>
        </w:rPr>
        <w:t>1.45</w:t>
      </w:r>
      <w:r>
        <w:rPr>
          <w:spacing w:val="-95"/>
          <w:sz w:val="21"/>
        </w:rPr>
        <w:t>）</w:t>
      </w:r>
      <w:r>
        <w:rPr>
          <w:b/>
          <w:spacing w:val="-9"/>
          <w:sz w:val="21"/>
        </w:rPr>
        <w:t>、本合同特别约定除外的疾病；</w:t>
      </w:r>
    </w:p>
    <w:p>
      <w:pPr>
        <w:pStyle w:val="8"/>
        <w:numPr>
          <w:ilvl w:val="0"/>
          <w:numId w:val="22"/>
        </w:numPr>
        <w:tabs>
          <w:tab w:val="left" w:pos="3943"/>
        </w:tabs>
        <w:spacing w:before="5" w:after="0" w:line="269" w:lineRule="exact"/>
        <w:ind w:left="3942" w:right="0" w:hanging="636"/>
        <w:jc w:val="left"/>
        <w:rPr>
          <w:b/>
          <w:sz w:val="21"/>
        </w:rPr>
      </w:pPr>
      <w:r>
        <w:rPr>
          <w:b/>
          <w:spacing w:val="-3"/>
          <w:sz w:val="21"/>
        </w:rPr>
        <w:t>被保险人献血、捐赠骨髓或任何人体器官、组织；</w:t>
      </w:r>
    </w:p>
    <w:p>
      <w:pPr>
        <w:pStyle w:val="8"/>
        <w:numPr>
          <w:ilvl w:val="0"/>
          <w:numId w:val="22"/>
        </w:numPr>
        <w:tabs>
          <w:tab w:val="left" w:pos="3961"/>
        </w:tabs>
        <w:spacing w:before="0" w:after="0" w:line="244" w:lineRule="auto"/>
        <w:ind w:left="3941" w:right="627" w:hanging="634"/>
        <w:jc w:val="left"/>
        <w:rPr>
          <w:b/>
          <w:sz w:val="21"/>
        </w:rPr>
      </w:pPr>
      <w:r>
        <w:rPr>
          <w:b/>
          <w:spacing w:val="4"/>
          <w:w w:val="100"/>
          <w:sz w:val="21"/>
        </w:rPr>
        <w:t>被保险人接受试验性治疗</w:t>
      </w:r>
      <w:r>
        <w:rPr>
          <w:b/>
          <w:spacing w:val="9"/>
          <w:w w:val="100"/>
          <w:sz w:val="21"/>
        </w:rPr>
        <w:t>（</w:t>
      </w:r>
      <w:r>
        <w:rPr>
          <w:b/>
          <w:spacing w:val="3"/>
          <w:w w:val="100"/>
          <w:sz w:val="21"/>
        </w:rPr>
        <w:t>即未经科学或医学认可的医疗</w:t>
      </w:r>
      <w:r>
        <w:rPr>
          <w:b/>
          <w:spacing w:val="-106"/>
          <w:w w:val="100"/>
          <w:sz w:val="21"/>
        </w:rPr>
        <w:t>）</w:t>
      </w:r>
      <w:r>
        <w:rPr>
          <w:b/>
          <w:spacing w:val="-1"/>
          <w:w w:val="100"/>
          <w:sz w:val="21"/>
        </w:rPr>
        <w:t>，或接受未被治疗所在地权威部门批准的治疗。</w:t>
      </w:r>
    </w:p>
    <w:p>
      <w:pPr>
        <w:pStyle w:val="3"/>
        <w:spacing w:before="7"/>
        <w:rPr>
          <w:b/>
          <w:sz w:val="24"/>
        </w:rPr>
      </w:pPr>
    </w:p>
    <w:p>
      <w:pPr>
        <w:pStyle w:val="2"/>
        <w:numPr>
          <w:ilvl w:val="0"/>
          <w:numId w:val="14"/>
        </w:numPr>
        <w:tabs>
          <w:tab w:val="left" w:pos="1338"/>
          <w:tab w:val="left" w:pos="1339"/>
        </w:tabs>
        <w:spacing w:before="0" w:after="0" w:line="240" w:lineRule="auto"/>
        <w:ind w:left="1338" w:right="0" w:hanging="1005"/>
        <w:jc w:val="left"/>
      </w:pPr>
      <w:r>
        <w:rPr>
          <w:w w:val="95"/>
        </w:rPr>
        <w:t>保险金的申</w:t>
      </w:r>
      <w:r>
        <w:rPr>
          <w:spacing w:val="-10"/>
          <w:w w:val="95"/>
        </w:rPr>
        <w:t>请</w:t>
      </w:r>
    </w:p>
    <w:p>
      <w:pPr>
        <w:pStyle w:val="3"/>
        <w:spacing w:before="6"/>
        <w:rPr>
          <w:b/>
          <w:sz w:val="4"/>
        </w:rPr>
      </w:pPr>
      <w:r>
        <w:drawing>
          <wp:anchor distT="0" distB="0" distL="0" distR="0" simplePos="0" relativeHeight="251659264" behindDoc="0" locked="0" layoutInCell="1" allowOverlap="1">
            <wp:simplePos x="0" y="0"/>
            <wp:positionH relativeFrom="page">
              <wp:posOffset>1082040</wp:posOffset>
            </wp:positionH>
            <wp:positionV relativeFrom="paragraph">
              <wp:posOffset>51435</wp:posOffset>
            </wp:positionV>
            <wp:extent cx="5756910" cy="6350"/>
            <wp:effectExtent l="0" t="0" r="0" b="0"/>
            <wp:wrapTopAndBottom/>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r:embed="rId11" cstate="print"/>
                    <a:stretch>
                      <a:fillRect/>
                    </a:stretch>
                  </pic:blipFill>
                  <pic:spPr>
                    <a:xfrm>
                      <a:off x="0" y="0"/>
                      <a:ext cx="5757113" cy="6096"/>
                    </a:xfrm>
                    <a:prstGeom prst="rect">
                      <a:avLst/>
                    </a:prstGeom>
                  </pic:spPr>
                </pic:pic>
              </a:graphicData>
            </a:graphic>
          </wp:anchor>
        </w:drawing>
      </w:r>
    </w:p>
    <w:p>
      <w:pPr>
        <w:pStyle w:val="8"/>
        <w:numPr>
          <w:ilvl w:val="1"/>
          <w:numId w:val="14"/>
        </w:numPr>
        <w:tabs>
          <w:tab w:val="left" w:pos="1338"/>
          <w:tab w:val="left" w:pos="1339"/>
          <w:tab w:val="left" w:pos="3307"/>
        </w:tabs>
        <w:spacing w:before="0" w:after="0" w:line="240" w:lineRule="auto"/>
        <w:ind w:left="1338" w:right="0" w:hanging="1005"/>
        <w:jc w:val="left"/>
        <w:rPr>
          <w:sz w:val="21"/>
        </w:rPr>
      </w:pPr>
      <w:r>
        <w:rPr>
          <w:b/>
          <w:sz w:val="21"/>
        </w:rPr>
        <w:t>受益</w:t>
      </w:r>
      <w:r>
        <w:rPr>
          <w:b/>
          <w:spacing w:val="-10"/>
          <w:sz w:val="21"/>
        </w:rPr>
        <w:t>人</w:t>
      </w:r>
      <w:r>
        <w:rPr>
          <w:b/>
          <w:sz w:val="21"/>
        </w:rPr>
        <w:tab/>
      </w:r>
      <w:r>
        <w:rPr>
          <w:spacing w:val="-2"/>
          <w:sz w:val="21"/>
        </w:rPr>
        <w:t>除另有约定外，本合同保险金的受益人为被保险人本人</w:t>
      </w:r>
      <w:r>
        <w:rPr>
          <w:spacing w:val="-10"/>
          <w:sz w:val="21"/>
        </w:rPr>
        <w:t>。</w:t>
      </w:r>
    </w:p>
    <w:p>
      <w:pPr>
        <w:pStyle w:val="3"/>
        <w:spacing w:before="9"/>
        <w:rPr>
          <w:sz w:val="10"/>
        </w:rPr>
      </w:pPr>
    </w:p>
    <w:p>
      <w:pPr>
        <w:pStyle w:val="8"/>
        <w:numPr>
          <w:ilvl w:val="1"/>
          <w:numId w:val="14"/>
        </w:numPr>
        <w:tabs>
          <w:tab w:val="left" w:pos="1338"/>
          <w:tab w:val="left" w:pos="1339"/>
          <w:tab w:val="left" w:pos="3307"/>
        </w:tabs>
        <w:spacing w:before="92" w:after="0" w:line="240" w:lineRule="auto"/>
        <w:ind w:left="1338" w:right="0" w:hanging="1005"/>
        <w:jc w:val="left"/>
        <w:rPr>
          <w:sz w:val="21"/>
        </w:rPr>
      </w:pPr>
      <w:r>
        <w:rPr>
          <w:b/>
          <w:sz w:val="21"/>
        </w:rPr>
        <w:t>保险事故通</w:t>
      </w:r>
      <w:r>
        <w:rPr>
          <w:b/>
          <w:spacing w:val="-10"/>
          <w:sz w:val="21"/>
        </w:rPr>
        <w:t>知</w:t>
      </w:r>
      <w:r>
        <w:rPr>
          <w:b/>
          <w:sz w:val="21"/>
        </w:rPr>
        <w:tab/>
      </w:r>
      <w:r>
        <w:rPr>
          <w:spacing w:val="-2"/>
          <w:sz w:val="21"/>
        </w:rPr>
        <w:t>您、被保险人或受益人知道或应当知道保险事故后应当在</w:t>
      </w:r>
      <w:r>
        <w:rPr>
          <w:rFonts w:ascii="Times New Roman" w:eastAsia="Times New Roman"/>
          <w:spacing w:val="-2"/>
          <w:sz w:val="21"/>
        </w:rPr>
        <w:t>10</w:t>
      </w:r>
      <w:r>
        <w:rPr>
          <w:spacing w:val="-2"/>
          <w:sz w:val="21"/>
        </w:rPr>
        <w:t>日</w:t>
      </w:r>
      <w:r>
        <w:rPr>
          <w:spacing w:val="-10"/>
          <w:sz w:val="21"/>
        </w:rPr>
        <w:t>内</w:t>
      </w:r>
    </w:p>
    <w:p>
      <w:pPr>
        <w:spacing w:before="5" w:line="242" w:lineRule="auto"/>
        <w:ind w:left="3307" w:right="590" w:firstLine="0"/>
        <w:jc w:val="left"/>
        <w:rPr>
          <w:sz w:val="21"/>
        </w:rPr>
      </w:pPr>
      <w:r>
        <w:rPr>
          <w:spacing w:val="-2"/>
          <w:sz w:val="21"/>
        </w:rPr>
        <w:t>通知我们。</w:t>
      </w:r>
      <w:r>
        <w:rPr>
          <w:b/>
          <w:spacing w:val="-2"/>
          <w:sz w:val="21"/>
        </w:rPr>
        <w:t>如果您、被保险人或受益人故意或者因重大过失未及时通知，致使保险事故的性质、原因、损失程度等难以确定的，我们对无法确定的部分，不承担给付保险金的责任</w:t>
      </w:r>
      <w:r>
        <w:rPr>
          <w:spacing w:val="-2"/>
          <w:sz w:val="21"/>
        </w:rPr>
        <w:t>，但我们通过其他途径已经及时知道或者应当及时知道保险事故发生或者虽</w:t>
      </w:r>
      <w:r>
        <w:rPr>
          <w:spacing w:val="40"/>
          <w:sz w:val="21"/>
        </w:rPr>
        <w:t xml:space="preserve"> </w:t>
      </w:r>
      <w:r>
        <w:rPr>
          <w:spacing w:val="-2"/>
          <w:sz w:val="21"/>
        </w:rPr>
        <w:t>未及时通知但不影响我们确定保险事故的性质、原因、损失程度</w:t>
      </w:r>
      <w:r>
        <w:rPr>
          <w:spacing w:val="-4"/>
          <w:sz w:val="21"/>
        </w:rPr>
        <w:t>的除外。</w:t>
      </w:r>
    </w:p>
    <w:p>
      <w:pPr>
        <w:pStyle w:val="3"/>
        <w:spacing w:before="5"/>
        <w:rPr>
          <w:sz w:val="18"/>
        </w:rPr>
      </w:pPr>
    </w:p>
    <w:p>
      <w:pPr>
        <w:pStyle w:val="8"/>
        <w:numPr>
          <w:ilvl w:val="1"/>
          <w:numId w:val="14"/>
        </w:numPr>
        <w:tabs>
          <w:tab w:val="left" w:pos="1338"/>
          <w:tab w:val="left" w:pos="1339"/>
          <w:tab w:val="left" w:pos="3307"/>
        </w:tabs>
        <w:spacing w:before="0" w:after="0" w:line="240" w:lineRule="auto"/>
        <w:ind w:left="1338" w:right="0" w:hanging="1005"/>
        <w:jc w:val="left"/>
        <w:rPr>
          <w:sz w:val="21"/>
        </w:rPr>
      </w:pPr>
      <w:r>
        <w:rPr>
          <w:b/>
          <w:sz w:val="21"/>
        </w:rPr>
        <w:t>保险金的申</w:t>
      </w:r>
      <w:r>
        <w:rPr>
          <w:b/>
          <w:spacing w:val="-10"/>
          <w:sz w:val="21"/>
        </w:rPr>
        <w:t>请</w:t>
      </w:r>
      <w:r>
        <w:rPr>
          <w:b/>
          <w:sz w:val="21"/>
        </w:rPr>
        <w:tab/>
      </w:r>
      <w:r>
        <w:rPr>
          <w:spacing w:val="-2"/>
          <w:sz w:val="21"/>
        </w:rPr>
        <w:t>受益人或者其他有权领取保险金的人（简称“保险金申请人</w:t>
      </w:r>
      <w:r>
        <w:rPr>
          <w:spacing w:val="-111"/>
          <w:sz w:val="21"/>
        </w:rPr>
        <w:t>”</w:t>
      </w:r>
      <w:r>
        <w:rPr>
          <w:spacing w:val="-5"/>
          <w:sz w:val="21"/>
        </w:rPr>
        <w:t>）</w:t>
      </w:r>
    </w:p>
    <w:p>
      <w:pPr>
        <w:tabs>
          <w:tab w:val="left" w:pos="1338"/>
        </w:tabs>
        <w:spacing w:before="92" w:line="244" w:lineRule="auto"/>
        <w:ind w:left="1430" w:leftChars="650" w:right="0" w:firstLine="2005" w:firstLineChars="946"/>
        <w:jc w:val="left"/>
        <w:rPr>
          <w:spacing w:val="-4"/>
        </w:rPr>
      </w:pPr>
      <w:r>
        <w:rPr>
          <w:spacing w:val="-4"/>
        </w:rPr>
        <w:t>可以申请保险金。</w:t>
      </w:r>
    </w:p>
    <w:p>
      <w:pPr>
        <w:tabs>
          <w:tab w:val="left" w:pos="1338"/>
        </w:tabs>
        <w:spacing w:before="92" w:line="244" w:lineRule="auto"/>
        <w:ind w:left="1338" w:right="0" w:hanging="1004"/>
        <w:jc w:val="left"/>
        <w:rPr>
          <w:rFonts w:hint="eastAsia"/>
          <w:b/>
          <w:spacing w:val="-6"/>
          <w:sz w:val="21"/>
          <w:lang w:val="en-US" w:eastAsia="zh-CN"/>
        </w:rPr>
      </w:pPr>
      <w:r>
        <w:rPr>
          <w:rFonts w:ascii="Times New Roman" w:eastAsia="Times New Roman"/>
          <w:spacing w:val="-2"/>
          <w:position w:val="2"/>
          <w:sz w:val="21"/>
        </w:rPr>
        <w:t>3.3.1</w:t>
      </w:r>
      <w:r>
        <w:rPr>
          <w:rFonts w:ascii="Times New Roman" w:eastAsia="Times New Roman"/>
          <w:position w:val="2"/>
          <w:sz w:val="21"/>
        </w:rPr>
        <w:tab/>
      </w:r>
      <w:r>
        <w:rPr>
          <w:b/>
          <w:sz w:val="21"/>
        </w:rPr>
        <w:t>一般医疗保险金的</w:t>
      </w:r>
      <w:r>
        <w:rPr>
          <w:b/>
          <w:spacing w:val="-6"/>
          <w:sz w:val="21"/>
        </w:rPr>
        <w:t>申请</w:t>
      </w:r>
      <w:bookmarkStart w:id="0" w:name="_GoBack"/>
      <w:bookmarkEnd w:id="0"/>
    </w:p>
    <w:p>
      <w:pPr>
        <w:tabs>
          <w:tab w:val="left" w:pos="1338"/>
        </w:tabs>
        <w:spacing w:before="92" w:line="244" w:lineRule="auto"/>
        <w:ind w:left="1338" w:right="0" w:hanging="1004"/>
        <w:jc w:val="left"/>
      </w:pPr>
      <w:r>
        <w:rPr>
          <w:spacing w:val="-2"/>
        </w:rPr>
        <w:t>保险金申请人须填写保险金给付申请书，并须提供下列证明和资</w:t>
      </w:r>
      <w:r>
        <w:rPr>
          <w:spacing w:val="-6"/>
        </w:rPr>
        <w:t>料：</w:t>
      </w:r>
    </w:p>
    <w:p>
      <w:pPr>
        <w:pStyle w:val="8"/>
        <w:numPr>
          <w:ilvl w:val="0"/>
          <w:numId w:val="23"/>
        </w:numPr>
        <w:tabs>
          <w:tab w:val="left" w:pos="701"/>
        </w:tabs>
        <w:spacing w:before="0" w:after="0" w:line="268" w:lineRule="exact"/>
        <w:ind w:left="700" w:right="0" w:hanging="530"/>
        <w:jc w:val="left"/>
        <w:rPr>
          <w:sz w:val="21"/>
        </w:rPr>
      </w:pPr>
      <w:r>
        <w:rPr>
          <w:spacing w:val="-4"/>
          <w:sz w:val="21"/>
        </w:rPr>
        <w:t>保险合同；</w:t>
      </w:r>
    </w:p>
    <w:p>
      <w:pPr>
        <w:pStyle w:val="8"/>
        <w:numPr>
          <w:ilvl w:val="0"/>
          <w:numId w:val="23"/>
        </w:numPr>
        <w:tabs>
          <w:tab w:val="left" w:pos="701"/>
        </w:tabs>
        <w:spacing w:before="0" w:after="0" w:line="240" w:lineRule="auto"/>
        <w:ind w:left="700" w:right="0" w:hanging="530"/>
        <w:jc w:val="left"/>
        <w:rPr>
          <w:sz w:val="21"/>
        </w:rPr>
      </w:pPr>
      <w:r>
        <w:rPr>
          <w:spacing w:val="-3"/>
          <w:sz w:val="21"/>
        </w:rPr>
        <w:t>保险金申请人的有效身份证件；</w:t>
      </w:r>
    </w:p>
    <w:p>
      <w:pPr>
        <w:pStyle w:val="8"/>
        <w:numPr>
          <w:ilvl w:val="0"/>
          <w:numId w:val="23"/>
        </w:numPr>
        <w:tabs>
          <w:tab w:val="left" w:pos="701"/>
        </w:tabs>
        <w:spacing w:before="4" w:after="0" w:line="244" w:lineRule="auto"/>
        <w:ind w:left="694" w:right="517" w:hanging="524"/>
        <w:jc w:val="left"/>
        <w:rPr>
          <w:sz w:val="21"/>
        </w:rPr>
      </w:pPr>
      <w:r>
        <w:rPr>
          <w:spacing w:val="-2"/>
          <w:sz w:val="21"/>
        </w:rPr>
        <w:t>医院出具的门、急诊医疗手册或病历，诊断书，医疗费用 原始收据或发票，医疗费用清单，住院还应提供住院病历、出院小结；</w:t>
      </w:r>
    </w:p>
    <w:p>
      <w:pPr>
        <w:pStyle w:val="8"/>
        <w:numPr>
          <w:ilvl w:val="0"/>
          <w:numId w:val="23"/>
        </w:numPr>
        <w:tabs>
          <w:tab w:val="left" w:pos="701"/>
        </w:tabs>
        <w:spacing w:before="0" w:after="0" w:line="244" w:lineRule="auto"/>
        <w:ind w:left="694" w:right="715" w:hanging="524"/>
        <w:jc w:val="left"/>
        <w:rPr>
          <w:sz w:val="21"/>
        </w:rPr>
      </w:pPr>
      <w:r>
        <w:rPr>
          <w:spacing w:val="-2"/>
          <w:sz w:val="21"/>
        </w:rPr>
        <w:t>若已从其他途径获得了医疗费用补偿，须提供从其他途径报销的凭证；</w:t>
      </w:r>
    </w:p>
    <w:p>
      <w:pPr>
        <w:pStyle w:val="3"/>
        <w:spacing w:before="2"/>
        <w:rPr>
          <w:sz w:val="18"/>
        </w:rPr>
      </w:pPr>
      <w:r>
        <w:rPr>
          <w:spacing w:val="-2"/>
          <w:sz w:val="21"/>
        </w:rPr>
        <w:t>所能提供的与确认保险事故的性质、原因等有关的其他证明和资料。</w:t>
      </w: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3"/>
        <w:gridCol w:w="2158"/>
        <w:gridCol w:w="60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63" w:type="dxa"/>
          </w:tcPr>
          <w:p>
            <w:pPr>
              <w:pStyle w:val="9"/>
              <w:spacing w:line="234" w:lineRule="exact"/>
              <w:ind w:left="50"/>
              <w:rPr>
                <w:rFonts w:ascii="Times New Roman"/>
                <w:sz w:val="21"/>
              </w:rPr>
            </w:pPr>
            <w:r>
              <w:rPr>
                <w:rFonts w:ascii="Times New Roman"/>
                <w:spacing w:val="-2"/>
                <w:sz w:val="21"/>
              </w:rPr>
              <w:t>3.3.2</w:t>
            </w:r>
          </w:p>
        </w:tc>
        <w:tc>
          <w:tcPr>
            <w:tcW w:w="2158" w:type="dxa"/>
          </w:tcPr>
          <w:p>
            <w:pPr>
              <w:pStyle w:val="9"/>
              <w:spacing w:line="246" w:lineRule="exact"/>
              <w:ind w:left="290"/>
              <w:rPr>
                <w:b/>
                <w:sz w:val="21"/>
              </w:rPr>
            </w:pPr>
            <w:r>
              <w:rPr>
                <w:b/>
                <w:spacing w:val="-2"/>
                <w:sz w:val="21"/>
              </w:rPr>
              <w:t>轻症疾病医疗保险</w:t>
            </w:r>
          </w:p>
        </w:tc>
        <w:tc>
          <w:tcPr>
            <w:tcW w:w="6026" w:type="dxa"/>
          </w:tcPr>
          <w:p>
            <w:pPr>
              <w:pStyle w:val="9"/>
              <w:spacing w:line="246" w:lineRule="exact"/>
              <w:ind w:left="101"/>
              <w:rPr>
                <w:sz w:val="21"/>
              </w:rPr>
            </w:pPr>
            <w:r>
              <w:rPr>
                <w:spacing w:val="-3"/>
                <w:sz w:val="21"/>
              </w:rPr>
              <w:t>保险金申请人须填写保险金给付申请书，并须提供下列证明和资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63" w:type="dxa"/>
          </w:tcPr>
          <w:p>
            <w:pPr>
              <w:pStyle w:val="9"/>
              <w:rPr>
                <w:rFonts w:ascii="Times New Roman"/>
                <w:sz w:val="18"/>
              </w:rPr>
            </w:pPr>
          </w:p>
        </w:tc>
        <w:tc>
          <w:tcPr>
            <w:tcW w:w="2158" w:type="dxa"/>
          </w:tcPr>
          <w:p>
            <w:pPr>
              <w:pStyle w:val="9"/>
              <w:spacing w:line="248" w:lineRule="exact"/>
              <w:ind w:left="290"/>
              <w:rPr>
                <w:b/>
                <w:sz w:val="21"/>
              </w:rPr>
            </w:pPr>
            <w:r>
              <w:rPr>
                <w:b/>
                <w:spacing w:val="-3"/>
                <w:sz w:val="21"/>
              </w:rPr>
              <w:t>金的申请</w:t>
            </w:r>
          </w:p>
        </w:tc>
        <w:tc>
          <w:tcPr>
            <w:tcW w:w="6026" w:type="dxa"/>
          </w:tcPr>
          <w:p>
            <w:pPr>
              <w:pStyle w:val="9"/>
              <w:spacing w:line="248" w:lineRule="exact"/>
              <w:ind w:left="101"/>
              <w:rPr>
                <w:sz w:val="21"/>
              </w:rPr>
            </w:pPr>
            <w:r>
              <w:rPr>
                <w:spacing w:val="-5"/>
                <w:sz w:val="21"/>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9" w:hRule="atLeast"/>
        </w:trPr>
        <w:tc>
          <w:tcPr>
            <w:tcW w:w="763" w:type="dxa"/>
          </w:tcPr>
          <w:p>
            <w:pPr>
              <w:pStyle w:val="9"/>
              <w:rPr>
                <w:rFonts w:ascii="Times New Roman"/>
                <w:sz w:val="20"/>
              </w:rPr>
            </w:pPr>
          </w:p>
        </w:tc>
        <w:tc>
          <w:tcPr>
            <w:tcW w:w="2158" w:type="dxa"/>
          </w:tcPr>
          <w:p>
            <w:pPr>
              <w:pStyle w:val="9"/>
              <w:rPr>
                <w:rFonts w:ascii="Times New Roman"/>
                <w:sz w:val="20"/>
              </w:rPr>
            </w:pPr>
          </w:p>
        </w:tc>
        <w:tc>
          <w:tcPr>
            <w:tcW w:w="6026" w:type="dxa"/>
          </w:tcPr>
          <w:p>
            <w:pPr>
              <w:pStyle w:val="9"/>
              <w:numPr>
                <w:ilvl w:val="0"/>
                <w:numId w:val="24"/>
              </w:numPr>
              <w:tabs>
                <w:tab w:val="left" w:pos="631"/>
              </w:tabs>
              <w:spacing w:before="6" w:after="0" w:line="240" w:lineRule="auto"/>
              <w:ind w:left="630" w:right="0" w:hanging="530"/>
              <w:jc w:val="left"/>
              <w:rPr>
                <w:sz w:val="21"/>
              </w:rPr>
            </w:pPr>
            <w:r>
              <w:rPr>
                <w:spacing w:val="-4"/>
                <w:sz w:val="21"/>
              </w:rPr>
              <w:t>保险合同；</w:t>
            </w:r>
          </w:p>
          <w:p>
            <w:pPr>
              <w:pStyle w:val="9"/>
              <w:numPr>
                <w:ilvl w:val="0"/>
                <w:numId w:val="24"/>
              </w:numPr>
              <w:tabs>
                <w:tab w:val="left" w:pos="631"/>
              </w:tabs>
              <w:spacing w:before="5" w:after="0" w:line="240" w:lineRule="auto"/>
              <w:ind w:left="630" w:right="0" w:hanging="530"/>
              <w:jc w:val="left"/>
              <w:rPr>
                <w:sz w:val="21"/>
              </w:rPr>
            </w:pPr>
            <w:r>
              <w:rPr>
                <w:spacing w:val="-3"/>
                <w:sz w:val="21"/>
              </w:rPr>
              <w:t>保险金申请人的有效身份证件；</w:t>
            </w:r>
          </w:p>
          <w:p>
            <w:pPr>
              <w:pStyle w:val="9"/>
              <w:numPr>
                <w:ilvl w:val="0"/>
                <w:numId w:val="24"/>
              </w:numPr>
              <w:tabs>
                <w:tab w:val="left" w:pos="631"/>
              </w:tabs>
              <w:spacing w:before="4" w:after="0" w:line="236" w:lineRule="exact"/>
              <w:ind w:left="630" w:right="0" w:hanging="530"/>
              <w:jc w:val="left"/>
              <w:rPr>
                <w:sz w:val="21"/>
              </w:rPr>
            </w:pPr>
            <w:r>
              <w:rPr>
                <w:spacing w:val="-3"/>
                <w:sz w:val="21"/>
              </w:rPr>
              <w:t>医院出具的门、急诊医疗手册或病历，诊断书，医疗费用</w:t>
            </w:r>
          </w:p>
        </w:tc>
      </w:tr>
    </w:tbl>
    <w:p>
      <w:pPr>
        <w:pStyle w:val="3"/>
        <w:spacing w:before="14" w:line="244" w:lineRule="auto"/>
        <w:ind w:left="3830" w:right="718"/>
        <w:jc w:val="both"/>
      </w:pPr>
      <w:r>
        <w:rPr>
          <w:spacing w:val="-2"/>
        </w:rPr>
        <w:t>原始收据或发票，医疗费用清单，可证明被保险人所患轻症疾病的诊断证明和诊断所患轻症疾病必需的检查报告，住院还应提供住院病历、出院小结；</w:t>
      </w:r>
    </w:p>
    <w:p>
      <w:pPr>
        <w:pStyle w:val="8"/>
        <w:numPr>
          <w:ilvl w:val="1"/>
          <w:numId w:val="23"/>
        </w:numPr>
        <w:tabs>
          <w:tab w:val="left" w:pos="3837"/>
        </w:tabs>
        <w:spacing w:before="0" w:after="0" w:line="240" w:lineRule="auto"/>
        <w:ind w:left="3830" w:right="715" w:hanging="524"/>
        <w:jc w:val="left"/>
        <w:rPr>
          <w:sz w:val="21"/>
        </w:rPr>
      </w:pPr>
      <w:r>
        <w:rPr>
          <w:spacing w:val="-2"/>
          <w:sz w:val="21"/>
        </w:rPr>
        <w:t>若已从其他途径获得了医疗费用补偿，须提供从其他途径报销的凭证；</w:t>
      </w:r>
    </w:p>
    <w:p>
      <w:pPr>
        <w:pStyle w:val="8"/>
        <w:numPr>
          <w:ilvl w:val="1"/>
          <w:numId w:val="23"/>
        </w:numPr>
        <w:tabs>
          <w:tab w:val="left" w:pos="3837"/>
        </w:tabs>
        <w:spacing w:before="2" w:after="0" w:line="244" w:lineRule="auto"/>
        <w:ind w:left="3830" w:right="715" w:hanging="524"/>
        <w:jc w:val="left"/>
        <w:rPr>
          <w:sz w:val="21"/>
        </w:rPr>
      </w:pPr>
      <w:r>
        <w:rPr>
          <w:spacing w:val="-2"/>
          <w:sz w:val="21"/>
        </w:rPr>
        <w:t>所能提供的与确认保险事故的性质、原因等有关的其他证明和资料。</w:t>
      </w:r>
    </w:p>
    <w:p>
      <w:pPr>
        <w:pStyle w:val="3"/>
        <w:spacing w:before="10" w:after="1"/>
        <w:rPr>
          <w:sz w:val="18"/>
        </w:r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3"/>
        <w:gridCol w:w="2158"/>
        <w:gridCol w:w="60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63" w:type="dxa"/>
          </w:tcPr>
          <w:p>
            <w:pPr>
              <w:pStyle w:val="9"/>
              <w:spacing w:line="234" w:lineRule="exact"/>
              <w:ind w:left="50"/>
              <w:rPr>
                <w:rFonts w:ascii="Times New Roman"/>
                <w:sz w:val="21"/>
              </w:rPr>
            </w:pPr>
            <w:r>
              <w:rPr>
                <w:rFonts w:ascii="Times New Roman"/>
                <w:spacing w:val="-2"/>
                <w:sz w:val="21"/>
              </w:rPr>
              <w:t>3.3.3</w:t>
            </w:r>
          </w:p>
        </w:tc>
        <w:tc>
          <w:tcPr>
            <w:tcW w:w="2158" w:type="dxa"/>
          </w:tcPr>
          <w:p>
            <w:pPr>
              <w:pStyle w:val="9"/>
              <w:spacing w:line="249" w:lineRule="exact"/>
              <w:ind w:left="290"/>
              <w:rPr>
                <w:b/>
                <w:sz w:val="21"/>
              </w:rPr>
            </w:pPr>
            <w:r>
              <w:rPr>
                <w:b/>
                <w:spacing w:val="-2"/>
                <w:sz w:val="21"/>
              </w:rPr>
              <w:t>重大疾病医疗保险</w:t>
            </w:r>
          </w:p>
        </w:tc>
        <w:tc>
          <w:tcPr>
            <w:tcW w:w="6026" w:type="dxa"/>
          </w:tcPr>
          <w:p>
            <w:pPr>
              <w:pStyle w:val="9"/>
              <w:spacing w:line="249" w:lineRule="exact"/>
              <w:ind w:left="101"/>
              <w:rPr>
                <w:sz w:val="21"/>
              </w:rPr>
            </w:pPr>
            <w:r>
              <w:rPr>
                <w:spacing w:val="-3"/>
                <w:sz w:val="21"/>
              </w:rPr>
              <w:t>保险金申请人须填写保险金给付申请书，并须提供下列证明和资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63" w:type="dxa"/>
          </w:tcPr>
          <w:p>
            <w:pPr>
              <w:pStyle w:val="9"/>
              <w:rPr>
                <w:rFonts w:ascii="Times New Roman"/>
                <w:sz w:val="18"/>
              </w:rPr>
            </w:pPr>
          </w:p>
        </w:tc>
        <w:tc>
          <w:tcPr>
            <w:tcW w:w="2158" w:type="dxa"/>
          </w:tcPr>
          <w:p>
            <w:pPr>
              <w:pStyle w:val="9"/>
              <w:spacing w:before="3" w:line="245" w:lineRule="exact"/>
              <w:ind w:left="290"/>
              <w:rPr>
                <w:b/>
                <w:sz w:val="21"/>
              </w:rPr>
            </w:pPr>
            <w:r>
              <w:rPr>
                <w:b/>
                <w:spacing w:val="-3"/>
                <w:sz w:val="21"/>
              </w:rPr>
              <w:t>金的申请</w:t>
            </w:r>
          </w:p>
        </w:tc>
        <w:tc>
          <w:tcPr>
            <w:tcW w:w="6026" w:type="dxa"/>
          </w:tcPr>
          <w:p>
            <w:pPr>
              <w:pStyle w:val="9"/>
              <w:spacing w:before="3" w:line="245" w:lineRule="exact"/>
              <w:ind w:left="101"/>
              <w:rPr>
                <w:sz w:val="21"/>
              </w:rPr>
            </w:pPr>
            <w:r>
              <w:rPr>
                <w:spacing w:val="-5"/>
                <w:sz w:val="21"/>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6" w:hRule="atLeast"/>
        </w:trPr>
        <w:tc>
          <w:tcPr>
            <w:tcW w:w="763" w:type="dxa"/>
          </w:tcPr>
          <w:p>
            <w:pPr>
              <w:pStyle w:val="9"/>
              <w:rPr>
                <w:rFonts w:ascii="Times New Roman"/>
                <w:sz w:val="20"/>
              </w:rPr>
            </w:pPr>
          </w:p>
        </w:tc>
        <w:tc>
          <w:tcPr>
            <w:tcW w:w="2158" w:type="dxa"/>
          </w:tcPr>
          <w:p>
            <w:pPr>
              <w:pStyle w:val="9"/>
              <w:rPr>
                <w:rFonts w:ascii="Times New Roman"/>
                <w:sz w:val="20"/>
              </w:rPr>
            </w:pPr>
          </w:p>
        </w:tc>
        <w:tc>
          <w:tcPr>
            <w:tcW w:w="6026" w:type="dxa"/>
          </w:tcPr>
          <w:p>
            <w:pPr>
              <w:pStyle w:val="9"/>
              <w:numPr>
                <w:ilvl w:val="0"/>
                <w:numId w:val="25"/>
              </w:numPr>
              <w:tabs>
                <w:tab w:val="left" w:pos="631"/>
              </w:tabs>
              <w:spacing w:before="3" w:after="0" w:line="240" w:lineRule="auto"/>
              <w:ind w:left="630" w:right="0" w:hanging="530"/>
              <w:jc w:val="left"/>
              <w:rPr>
                <w:sz w:val="21"/>
              </w:rPr>
            </w:pPr>
            <w:r>
              <w:rPr>
                <w:spacing w:val="-4"/>
                <w:sz w:val="21"/>
              </w:rPr>
              <w:t>保险合同；</w:t>
            </w:r>
          </w:p>
          <w:p>
            <w:pPr>
              <w:pStyle w:val="9"/>
              <w:numPr>
                <w:ilvl w:val="0"/>
                <w:numId w:val="25"/>
              </w:numPr>
              <w:tabs>
                <w:tab w:val="left" w:pos="631"/>
              </w:tabs>
              <w:spacing w:before="5" w:after="0" w:line="240" w:lineRule="auto"/>
              <w:ind w:left="630" w:right="0" w:hanging="530"/>
              <w:jc w:val="left"/>
              <w:rPr>
                <w:sz w:val="21"/>
              </w:rPr>
            </w:pPr>
            <w:r>
              <w:rPr>
                <w:spacing w:val="-3"/>
                <w:sz w:val="21"/>
              </w:rPr>
              <w:t>保险金申请人的有效身份证件；</w:t>
            </w:r>
          </w:p>
          <w:p>
            <w:pPr>
              <w:pStyle w:val="9"/>
              <w:numPr>
                <w:ilvl w:val="0"/>
                <w:numId w:val="25"/>
              </w:numPr>
              <w:tabs>
                <w:tab w:val="left" w:pos="631"/>
              </w:tabs>
              <w:spacing w:before="4" w:after="0" w:line="236" w:lineRule="exact"/>
              <w:ind w:left="630" w:right="0" w:hanging="530"/>
              <w:jc w:val="left"/>
              <w:rPr>
                <w:sz w:val="21"/>
              </w:rPr>
            </w:pPr>
            <w:r>
              <w:rPr>
                <w:spacing w:val="-3"/>
                <w:sz w:val="21"/>
              </w:rPr>
              <w:t>医院出具的门、急诊医疗手册或病历，诊断书，医疗费用</w:t>
            </w:r>
          </w:p>
        </w:tc>
      </w:tr>
    </w:tbl>
    <w:p>
      <w:pPr>
        <w:pStyle w:val="3"/>
        <w:spacing w:before="19" w:line="242" w:lineRule="auto"/>
        <w:ind w:left="3830" w:right="718"/>
        <w:jc w:val="both"/>
      </w:pPr>
      <w:r>
        <w:rPr>
          <w:spacing w:val="-2"/>
        </w:rPr>
        <w:t>原始收据或发票，医疗费用清单，可证明被保险人所患重大疾病的诊断证明和诊断所患重大疾病必需的检查报告，住院还应提供住院病历、出院小结；</w:t>
      </w:r>
    </w:p>
    <w:p>
      <w:pPr>
        <w:spacing w:after="0" w:line="242" w:lineRule="auto"/>
        <w:jc w:val="both"/>
      </w:pPr>
    </w:p>
    <w:p>
      <w:pPr>
        <w:pStyle w:val="8"/>
        <w:numPr>
          <w:ilvl w:val="0"/>
          <w:numId w:val="26"/>
        </w:numPr>
        <w:tabs>
          <w:tab w:val="left" w:pos="3837"/>
        </w:tabs>
        <w:spacing w:before="51" w:after="0" w:line="244" w:lineRule="auto"/>
        <w:ind w:left="3830" w:right="715" w:hanging="524"/>
        <w:jc w:val="left"/>
        <w:rPr>
          <w:sz w:val="21"/>
        </w:rPr>
      </w:pPr>
      <w:r>
        <w:rPr>
          <w:spacing w:val="-2"/>
          <w:sz w:val="21"/>
        </w:rPr>
        <w:t>若已从其他途径获得了医疗费用补偿，须提供从其他途径报销的凭证；</w:t>
      </w:r>
    </w:p>
    <w:p>
      <w:pPr>
        <w:pStyle w:val="8"/>
        <w:numPr>
          <w:ilvl w:val="0"/>
          <w:numId w:val="26"/>
        </w:numPr>
        <w:tabs>
          <w:tab w:val="left" w:pos="3837"/>
        </w:tabs>
        <w:spacing w:before="0" w:after="0" w:line="240" w:lineRule="auto"/>
        <w:ind w:left="3830" w:right="715" w:hanging="524"/>
        <w:jc w:val="left"/>
        <w:rPr>
          <w:sz w:val="21"/>
        </w:rPr>
      </w:pPr>
      <w:r>
        <w:rPr>
          <w:spacing w:val="-2"/>
          <w:sz w:val="21"/>
        </w:rPr>
        <w:t>所能提供的与确认保险事故的性质、原因等有关的其他证明和资料。</w:t>
      </w:r>
    </w:p>
    <w:p>
      <w:pPr>
        <w:pStyle w:val="3"/>
        <w:spacing w:before="9"/>
        <w:rPr>
          <w:sz w:val="11"/>
        </w:rPr>
      </w:pPr>
    </w:p>
    <w:p>
      <w:pPr>
        <w:spacing w:after="0"/>
        <w:rPr>
          <w:sz w:val="11"/>
        </w:rPr>
        <w:sectPr>
          <w:pgSz w:w="11910" w:h="16840"/>
          <w:pgMar w:top="1060" w:right="620" w:bottom="1040" w:left="1480" w:header="0" w:footer="851" w:gutter="0"/>
          <w:cols w:space="720" w:num="1"/>
        </w:sectPr>
      </w:pPr>
    </w:p>
    <w:p>
      <w:pPr>
        <w:tabs>
          <w:tab w:val="left" w:pos="1338"/>
        </w:tabs>
        <w:spacing w:before="92"/>
        <w:ind w:left="1338" w:right="0" w:hanging="1004"/>
        <w:jc w:val="left"/>
        <w:rPr>
          <w:b/>
          <w:sz w:val="21"/>
        </w:rPr>
      </w:pPr>
      <w:r>
        <w:rPr>
          <w:rFonts w:ascii="Times New Roman" w:eastAsia="Times New Roman"/>
          <w:spacing w:val="-2"/>
          <w:position w:val="2"/>
          <w:sz w:val="21"/>
        </w:rPr>
        <w:t>3.3.4</w:t>
      </w:r>
      <w:r>
        <w:rPr>
          <w:rFonts w:ascii="Times New Roman" w:eastAsia="Times New Roman"/>
          <w:position w:val="2"/>
          <w:sz w:val="21"/>
        </w:rPr>
        <w:tab/>
      </w:r>
      <w:r>
        <w:rPr>
          <w:b/>
          <w:spacing w:val="-2"/>
          <w:sz w:val="21"/>
        </w:rPr>
        <w:t>特定药品费用保险</w:t>
      </w:r>
      <w:r>
        <w:rPr>
          <w:b/>
          <w:spacing w:val="-4"/>
          <w:sz w:val="21"/>
        </w:rPr>
        <w:t>金申请</w:t>
      </w:r>
    </w:p>
    <w:p>
      <w:pPr>
        <w:pStyle w:val="3"/>
        <w:spacing w:before="98"/>
        <w:ind w:left="162" w:right="619"/>
      </w:pPr>
      <w:r>
        <w:br w:type="column"/>
      </w:r>
      <w:r>
        <w:rPr>
          <w:spacing w:val="-2"/>
        </w:rPr>
        <w:t>保险金申请人须填写保险金给付申请书，并须提供下列证明和资</w:t>
      </w:r>
      <w:r>
        <w:rPr>
          <w:spacing w:val="-6"/>
        </w:rPr>
        <w:t>料：</w:t>
      </w:r>
    </w:p>
    <w:p>
      <w:pPr>
        <w:pStyle w:val="8"/>
        <w:numPr>
          <w:ilvl w:val="0"/>
          <w:numId w:val="27"/>
        </w:numPr>
        <w:tabs>
          <w:tab w:val="left" w:pos="692"/>
        </w:tabs>
        <w:spacing w:before="4" w:after="0" w:line="240" w:lineRule="auto"/>
        <w:ind w:left="691" w:right="0" w:hanging="530"/>
        <w:jc w:val="left"/>
        <w:rPr>
          <w:sz w:val="21"/>
        </w:rPr>
      </w:pPr>
      <w:r>
        <w:rPr>
          <w:spacing w:val="-4"/>
          <w:sz w:val="21"/>
        </w:rPr>
        <w:t>保险合同；</w:t>
      </w:r>
    </w:p>
    <w:p>
      <w:pPr>
        <w:pStyle w:val="8"/>
        <w:numPr>
          <w:ilvl w:val="0"/>
          <w:numId w:val="27"/>
        </w:numPr>
        <w:tabs>
          <w:tab w:val="left" w:pos="692"/>
        </w:tabs>
        <w:spacing w:before="5" w:after="0" w:line="269" w:lineRule="exact"/>
        <w:ind w:left="691" w:right="0" w:hanging="530"/>
        <w:jc w:val="left"/>
        <w:rPr>
          <w:sz w:val="21"/>
        </w:rPr>
      </w:pPr>
      <w:r>
        <w:rPr>
          <w:spacing w:val="-3"/>
          <w:sz w:val="21"/>
        </w:rPr>
        <w:t>保险金申请人的有效身份证件；</w:t>
      </w:r>
    </w:p>
    <w:p>
      <w:pPr>
        <w:pStyle w:val="8"/>
        <w:numPr>
          <w:ilvl w:val="0"/>
          <w:numId w:val="27"/>
        </w:numPr>
        <w:tabs>
          <w:tab w:val="left" w:pos="692"/>
        </w:tabs>
        <w:spacing w:before="0" w:after="0" w:line="244" w:lineRule="auto"/>
        <w:ind w:left="685" w:right="715" w:hanging="524"/>
        <w:jc w:val="both"/>
        <w:rPr>
          <w:sz w:val="21"/>
        </w:rPr>
      </w:pPr>
      <w:r>
        <w:rPr>
          <w:spacing w:val="-2"/>
          <w:sz w:val="21"/>
        </w:rPr>
        <w:t>医院出具的门、急诊医疗手册或病历，诊断书，可证明被保险人所患恶性肿瘤的诊断证明和诊断所患恶性肿瘤必需的检查报告；</w:t>
      </w:r>
    </w:p>
    <w:p>
      <w:pPr>
        <w:pStyle w:val="8"/>
        <w:numPr>
          <w:ilvl w:val="0"/>
          <w:numId w:val="27"/>
        </w:numPr>
        <w:tabs>
          <w:tab w:val="left" w:pos="692"/>
        </w:tabs>
        <w:spacing w:before="0" w:after="0" w:line="267" w:lineRule="exact"/>
        <w:ind w:left="691" w:right="0" w:hanging="530"/>
        <w:jc w:val="left"/>
        <w:rPr>
          <w:sz w:val="21"/>
        </w:rPr>
      </w:pPr>
      <w:r>
        <w:rPr>
          <w:spacing w:val="-3"/>
          <w:sz w:val="21"/>
        </w:rPr>
        <w:t>医院出具的特定药品费用结算清单、原始收据或发票；</w:t>
      </w:r>
    </w:p>
    <w:p>
      <w:pPr>
        <w:pStyle w:val="8"/>
        <w:numPr>
          <w:ilvl w:val="0"/>
          <w:numId w:val="27"/>
        </w:numPr>
        <w:tabs>
          <w:tab w:val="left" w:pos="692"/>
        </w:tabs>
        <w:spacing w:before="0" w:after="0" w:line="244" w:lineRule="auto"/>
        <w:ind w:left="685" w:right="715" w:hanging="524"/>
        <w:jc w:val="left"/>
        <w:rPr>
          <w:sz w:val="21"/>
        </w:rPr>
      </w:pPr>
      <w:r>
        <w:rPr>
          <w:spacing w:val="-2"/>
          <w:sz w:val="21"/>
        </w:rPr>
        <w:t>若已从其他途径获得了医疗费用补偿，须提供从其他途径报销的凭证；</w:t>
      </w:r>
    </w:p>
    <w:p>
      <w:pPr>
        <w:pStyle w:val="8"/>
        <w:numPr>
          <w:ilvl w:val="0"/>
          <w:numId w:val="27"/>
        </w:numPr>
        <w:tabs>
          <w:tab w:val="left" w:pos="692"/>
        </w:tabs>
        <w:spacing w:before="0" w:after="0" w:line="244" w:lineRule="auto"/>
        <w:ind w:left="685" w:right="715" w:hanging="524"/>
        <w:jc w:val="left"/>
        <w:rPr>
          <w:sz w:val="21"/>
        </w:rPr>
      </w:pPr>
      <w:r>
        <w:rPr>
          <w:spacing w:val="-2"/>
          <w:sz w:val="21"/>
        </w:rPr>
        <w:t>所能提供的与确认保险事故的性质、原因等有关的其他证明和资料。</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9"/>
        <w:rPr>
          <w:sz w:val="18"/>
        </w:r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3"/>
        <w:gridCol w:w="2155"/>
        <w:gridCol w:w="6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63" w:type="dxa"/>
          </w:tcPr>
          <w:p>
            <w:pPr>
              <w:pStyle w:val="9"/>
              <w:spacing w:line="234" w:lineRule="exact"/>
              <w:ind w:left="50"/>
              <w:rPr>
                <w:rFonts w:ascii="Times New Roman"/>
                <w:sz w:val="21"/>
              </w:rPr>
            </w:pPr>
            <w:r>
              <w:rPr>
                <w:rFonts w:ascii="Times New Roman"/>
                <w:spacing w:val="-2"/>
                <w:sz w:val="21"/>
              </w:rPr>
              <w:t>3.3.5</w:t>
            </w:r>
          </w:p>
        </w:tc>
        <w:tc>
          <w:tcPr>
            <w:tcW w:w="2155" w:type="dxa"/>
          </w:tcPr>
          <w:p>
            <w:pPr>
              <w:pStyle w:val="9"/>
              <w:spacing w:line="246" w:lineRule="exact"/>
              <w:ind w:left="290"/>
              <w:rPr>
                <w:b/>
                <w:sz w:val="21"/>
              </w:rPr>
            </w:pPr>
            <w:r>
              <w:rPr>
                <w:b/>
                <w:spacing w:val="-2"/>
                <w:sz w:val="21"/>
              </w:rPr>
              <w:t>质子重离子医疗保</w:t>
            </w:r>
          </w:p>
        </w:tc>
        <w:tc>
          <w:tcPr>
            <w:tcW w:w="6028" w:type="dxa"/>
          </w:tcPr>
          <w:p>
            <w:pPr>
              <w:pStyle w:val="9"/>
              <w:spacing w:line="246" w:lineRule="exact"/>
              <w:ind w:left="99"/>
              <w:rPr>
                <w:sz w:val="21"/>
              </w:rPr>
            </w:pPr>
            <w:r>
              <w:rPr>
                <w:spacing w:val="-3"/>
                <w:sz w:val="21"/>
              </w:rPr>
              <w:t>保险金申请人须填写保险金给付申请书，并须提供下列证明和资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63" w:type="dxa"/>
          </w:tcPr>
          <w:p>
            <w:pPr>
              <w:pStyle w:val="9"/>
              <w:rPr>
                <w:rFonts w:ascii="Times New Roman"/>
                <w:sz w:val="18"/>
              </w:rPr>
            </w:pPr>
          </w:p>
        </w:tc>
        <w:tc>
          <w:tcPr>
            <w:tcW w:w="2155" w:type="dxa"/>
          </w:tcPr>
          <w:p>
            <w:pPr>
              <w:pStyle w:val="9"/>
              <w:spacing w:line="248" w:lineRule="exact"/>
              <w:ind w:left="290"/>
              <w:rPr>
                <w:b/>
                <w:sz w:val="21"/>
              </w:rPr>
            </w:pPr>
            <w:r>
              <w:rPr>
                <w:b/>
                <w:spacing w:val="-3"/>
                <w:sz w:val="21"/>
              </w:rPr>
              <w:t>险金申请</w:t>
            </w:r>
          </w:p>
        </w:tc>
        <w:tc>
          <w:tcPr>
            <w:tcW w:w="6028" w:type="dxa"/>
          </w:tcPr>
          <w:p>
            <w:pPr>
              <w:pStyle w:val="9"/>
              <w:spacing w:line="248" w:lineRule="exact"/>
              <w:ind w:left="99"/>
              <w:rPr>
                <w:sz w:val="21"/>
              </w:rPr>
            </w:pPr>
            <w:r>
              <w:rPr>
                <w:spacing w:val="-5"/>
                <w:sz w:val="21"/>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9" w:hRule="atLeast"/>
        </w:trPr>
        <w:tc>
          <w:tcPr>
            <w:tcW w:w="763" w:type="dxa"/>
          </w:tcPr>
          <w:p>
            <w:pPr>
              <w:pStyle w:val="9"/>
              <w:rPr>
                <w:rFonts w:ascii="Times New Roman"/>
                <w:sz w:val="20"/>
              </w:rPr>
            </w:pPr>
          </w:p>
        </w:tc>
        <w:tc>
          <w:tcPr>
            <w:tcW w:w="2155" w:type="dxa"/>
          </w:tcPr>
          <w:p>
            <w:pPr>
              <w:pStyle w:val="9"/>
              <w:rPr>
                <w:rFonts w:ascii="Times New Roman"/>
                <w:sz w:val="20"/>
              </w:rPr>
            </w:pPr>
          </w:p>
        </w:tc>
        <w:tc>
          <w:tcPr>
            <w:tcW w:w="6028" w:type="dxa"/>
          </w:tcPr>
          <w:p>
            <w:pPr>
              <w:pStyle w:val="9"/>
              <w:numPr>
                <w:ilvl w:val="0"/>
                <w:numId w:val="28"/>
              </w:numPr>
              <w:tabs>
                <w:tab w:val="left" w:pos="634"/>
              </w:tabs>
              <w:spacing w:before="6" w:after="0" w:line="240" w:lineRule="auto"/>
              <w:ind w:left="633" w:right="0" w:hanging="530"/>
              <w:jc w:val="left"/>
              <w:rPr>
                <w:sz w:val="21"/>
              </w:rPr>
            </w:pPr>
            <w:r>
              <w:rPr>
                <w:spacing w:val="-4"/>
                <w:sz w:val="21"/>
              </w:rPr>
              <w:t>保险合同；</w:t>
            </w:r>
          </w:p>
          <w:p>
            <w:pPr>
              <w:pStyle w:val="9"/>
              <w:numPr>
                <w:ilvl w:val="0"/>
                <w:numId w:val="28"/>
              </w:numPr>
              <w:tabs>
                <w:tab w:val="left" w:pos="634"/>
              </w:tabs>
              <w:spacing w:before="4" w:after="0" w:line="240" w:lineRule="auto"/>
              <w:ind w:left="633" w:right="0" w:hanging="530"/>
              <w:jc w:val="left"/>
              <w:rPr>
                <w:sz w:val="21"/>
              </w:rPr>
            </w:pPr>
            <w:r>
              <w:rPr>
                <w:spacing w:val="-3"/>
                <w:sz w:val="21"/>
              </w:rPr>
              <w:t>保险金申请人的有效身份证件；</w:t>
            </w:r>
          </w:p>
          <w:p>
            <w:pPr>
              <w:pStyle w:val="9"/>
              <w:numPr>
                <w:ilvl w:val="0"/>
                <w:numId w:val="28"/>
              </w:numPr>
              <w:tabs>
                <w:tab w:val="left" w:pos="644"/>
              </w:tabs>
              <w:spacing w:before="5" w:after="0" w:line="236" w:lineRule="exact"/>
              <w:ind w:left="643" w:right="0" w:hanging="540"/>
              <w:jc w:val="left"/>
              <w:rPr>
                <w:sz w:val="21"/>
              </w:rPr>
            </w:pPr>
            <w:r>
              <w:rPr>
                <w:spacing w:val="-1"/>
                <w:sz w:val="21"/>
              </w:rPr>
              <w:t>医院出具的门、急诊医疗手册或病历，诊断书，可证明被</w:t>
            </w:r>
          </w:p>
        </w:tc>
      </w:tr>
    </w:tbl>
    <w:p>
      <w:pPr>
        <w:pStyle w:val="3"/>
        <w:spacing w:before="15" w:line="244" w:lineRule="auto"/>
        <w:ind w:left="3830" w:right="621"/>
      </w:pPr>
      <w:r>
        <w:rPr>
          <w:spacing w:val="-2"/>
        </w:rPr>
        <w:t>保险人所患恶性肿瘤的诊断证明和诊断所患恶性肿瘤必需的检查报告；</w:t>
      </w:r>
    </w:p>
    <w:p>
      <w:pPr>
        <w:pStyle w:val="8"/>
        <w:numPr>
          <w:ilvl w:val="1"/>
          <w:numId w:val="27"/>
        </w:numPr>
        <w:tabs>
          <w:tab w:val="left" w:pos="3847"/>
        </w:tabs>
        <w:spacing w:before="0" w:after="0" w:line="244" w:lineRule="auto"/>
        <w:ind w:left="3830" w:right="621" w:hanging="524"/>
        <w:jc w:val="left"/>
        <w:rPr>
          <w:sz w:val="21"/>
        </w:rPr>
      </w:pPr>
      <w:r>
        <w:rPr>
          <w:spacing w:val="-2"/>
          <w:sz w:val="21"/>
        </w:rPr>
        <w:t>若已从其他途径获得了医疗费用补偿，须提供从其他途径报销的凭证；</w:t>
      </w:r>
    </w:p>
    <w:p>
      <w:pPr>
        <w:pStyle w:val="8"/>
        <w:numPr>
          <w:ilvl w:val="1"/>
          <w:numId w:val="27"/>
        </w:numPr>
        <w:tabs>
          <w:tab w:val="left" w:pos="3837"/>
        </w:tabs>
        <w:spacing w:before="0" w:after="0" w:line="244" w:lineRule="auto"/>
        <w:ind w:left="3830" w:right="715" w:hanging="524"/>
        <w:jc w:val="left"/>
        <w:rPr>
          <w:sz w:val="21"/>
        </w:rPr>
      </w:pPr>
      <w:r>
        <w:rPr>
          <w:spacing w:val="-2"/>
          <w:sz w:val="21"/>
        </w:rPr>
        <w:t>所能提供的与确认保险事故的性质、原因等有关的其他证明和资料。</w:t>
      </w:r>
    </w:p>
    <w:p>
      <w:pPr>
        <w:pStyle w:val="3"/>
        <w:rPr>
          <w:sz w:val="18"/>
        </w:rPr>
      </w:pPr>
    </w:p>
    <w:p>
      <w:pPr>
        <w:pStyle w:val="3"/>
        <w:spacing w:line="244" w:lineRule="auto"/>
        <w:ind w:left="3307" w:right="617"/>
      </w:pPr>
      <w:r>
        <w:rPr>
          <w:spacing w:val="-2"/>
        </w:rPr>
        <w:t>若以上申请资料和证明不完整的，我们将及时一次性通知保险金申请人补充提供有关资料和证明。</w:t>
      </w:r>
    </w:p>
    <w:p>
      <w:pPr>
        <w:pStyle w:val="3"/>
        <w:spacing w:before="1"/>
        <w:rPr>
          <w:sz w:val="18"/>
        </w:rPr>
      </w:pPr>
    </w:p>
    <w:p>
      <w:pPr>
        <w:pStyle w:val="8"/>
        <w:numPr>
          <w:ilvl w:val="1"/>
          <w:numId w:val="14"/>
        </w:numPr>
        <w:tabs>
          <w:tab w:val="left" w:pos="1338"/>
          <w:tab w:val="left" w:pos="1339"/>
        </w:tabs>
        <w:spacing w:before="0" w:after="0" w:line="240" w:lineRule="auto"/>
        <w:ind w:left="1338" w:right="0" w:hanging="1005"/>
        <w:jc w:val="both"/>
        <w:rPr>
          <w:sz w:val="21"/>
        </w:rPr>
      </w:pPr>
      <w:r>
        <w:rPr>
          <w:b/>
          <w:spacing w:val="79"/>
          <w:sz w:val="21"/>
        </w:rPr>
        <w:t xml:space="preserve">保险金的给付 </w:t>
      </w:r>
      <w:r>
        <w:rPr>
          <w:spacing w:val="-1"/>
          <w:sz w:val="21"/>
        </w:rPr>
        <w:t>我们在收到保险金给付申请书及合同约定的证明和资料后，将在</w:t>
      </w:r>
    </w:p>
    <w:p>
      <w:pPr>
        <w:pStyle w:val="3"/>
        <w:spacing w:before="5" w:line="242" w:lineRule="auto"/>
        <w:ind w:left="3307" w:right="612"/>
        <w:jc w:val="both"/>
      </w:pPr>
      <w:r>
        <w:rPr>
          <w:rFonts w:ascii="Times New Roman" w:eastAsia="Times New Roman"/>
          <w:spacing w:val="4"/>
          <w:w w:val="100"/>
        </w:rPr>
        <w:t>5</w:t>
      </w:r>
      <w:r>
        <w:rPr>
          <w:w w:val="100"/>
        </w:rPr>
        <w:t>个工作日内作出核定；情形复杂的，在</w:t>
      </w:r>
      <w:r>
        <w:rPr>
          <w:rFonts w:ascii="Times New Roman" w:eastAsia="Times New Roman"/>
          <w:spacing w:val="-5"/>
          <w:w w:val="100"/>
        </w:rPr>
        <w:t>3</w:t>
      </w:r>
      <w:r>
        <w:rPr>
          <w:rFonts w:ascii="Times New Roman" w:eastAsia="Times New Roman"/>
          <w:spacing w:val="4"/>
          <w:w w:val="100"/>
        </w:rPr>
        <w:t>0</w:t>
      </w:r>
      <w:r>
        <w:rPr>
          <w:w w:val="100"/>
        </w:rPr>
        <w:t>日内作出核定。对属</w:t>
      </w:r>
      <w:r>
        <w:rPr>
          <w:spacing w:val="-5"/>
          <w:w w:val="100"/>
        </w:rPr>
        <w:t xml:space="preserve">于保险责任的，我们在与保险金申请人达成给付保险金的协议后 </w:t>
      </w:r>
      <w:r>
        <w:rPr>
          <w:rFonts w:ascii="Times New Roman" w:eastAsia="Times New Roman"/>
          <w:spacing w:val="-5"/>
          <w:w w:val="100"/>
        </w:rPr>
        <w:t>10</w:t>
      </w:r>
      <w:r>
        <w:rPr>
          <w:spacing w:val="-6"/>
          <w:w w:val="100"/>
        </w:rPr>
        <w:t>日内，履行给付保险金义务；若我们在收到保险金给付申请书</w:t>
      </w:r>
      <w:r>
        <w:rPr>
          <w:spacing w:val="4"/>
          <w:w w:val="100"/>
        </w:rPr>
        <w:t>及上述有关证明和资料后第</w:t>
      </w:r>
      <w:r>
        <w:rPr>
          <w:rFonts w:ascii="Times New Roman" w:eastAsia="Times New Roman"/>
          <w:w w:val="100"/>
        </w:rPr>
        <w:t>3</w:t>
      </w:r>
      <w:r>
        <w:rPr>
          <w:rFonts w:ascii="Times New Roman" w:eastAsia="Times New Roman"/>
          <w:spacing w:val="4"/>
          <w:w w:val="100"/>
        </w:rPr>
        <w:t>0</w:t>
      </w:r>
      <w:r>
        <w:rPr>
          <w:spacing w:val="3"/>
          <w:w w:val="100"/>
        </w:rPr>
        <w:t>日仍未作出核定，除支付保险金</w:t>
      </w:r>
      <w:r>
        <w:rPr>
          <w:spacing w:val="-4"/>
          <w:w w:val="100"/>
        </w:rPr>
        <w:t>外，我们将从第</w:t>
      </w:r>
      <w:r>
        <w:rPr>
          <w:rFonts w:ascii="Times New Roman" w:eastAsia="Times New Roman"/>
          <w:w w:val="100"/>
        </w:rPr>
        <w:t>31</w:t>
      </w:r>
      <w:r>
        <w:rPr>
          <w:spacing w:val="-5"/>
          <w:w w:val="100"/>
        </w:rPr>
        <w:t>日起按超过天数赔偿保险金申请人因此受到的利息损失。利息按照中国人民银行公布的同期金融机构人民币一</w:t>
      </w:r>
      <w:r>
        <w:rPr>
          <w:spacing w:val="-6"/>
          <w:w w:val="100"/>
        </w:rPr>
        <w:t>年期定期存款利率单利计算。若我们要求保险金申请人补充提供有关证明和资料的，则上述的</w:t>
      </w:r>
      <w:r>
        <w:rPr>
          <w:rFonts w:ascii="Times New Roman" w:eastAsia="Times New Roman"/>
          <w:w w:val="100"/>
        </w:rPr>
        <w:t>3</w:t>
      </w:r>
      <w:r>
        <w:rPr>
          <w:rFonts w:ascii="Times New Roman" w:eastAsia="Times New Roman"/>
          <w:spacing w:val="-5"/>
          <w:w w:val="100"/>
        </w:rPr>
        <w:t>0</w:t>
      </w:r>
      <w:r>
        <w:rPr>
          <w:spacing w:val="-4"/>
          <w:w w:val="100"/>
        </w:rPr>
        <w:t>日不包括补充提供有关证明和资料的期间。</w:t>
      </w:r>
    </w:p>
    <w:p>
      <w:pPr>
        <w:pStyle w:val="3"/>
        <w:spacing w:before="8"/>
      </w:pPr>
    </w:p>
    <w:p>
      <w:pPr>
        <w:pStyle w:val="3"/>
        <w:spacing w:line="244" w:lineRule="auto"/>
        <w:ind w:left="3307" w:right="618"/>
      </w:pPr>
      <w:r>
        <w:rPr>
          <w:spacing w:val="-2"/>
        </w:rPr>
        <w:t>对不属于保险责任的，我们自作出核定之日起</w:t>
      </w:r>
      <w:r>
        <w:rPr>
          <w:rFonts w:ascii="Times New Roman" w:eastAsia="Times New Roman"/>
          <w:spacing w:val="-2"/>
        </w:rPr>
        <w:t>3</w:t>
      </w:r>
      <w:r>
        <w:rPr>
          <w:spacing w:val="-2"/>
        </w:rPr>
        <w:t>日内向保险金申请人发出拒绝给付保险金通知书并说明理由。</w:t>
      </w:r>
    </w:p>
    <w:p>
      <w:pPr>
        <w:pStyle w:val="3"/>
        <w:spacing w:before="11"/>
        <w:rPr>
          <w:sz w:val="20"/>
        </w:rPr>
      </w:pPr>
    </w:p>
    <w:p>
      <w:pPr>
        <w:pStyle w:val="3"/>
        <w:spacing w:line="242" w:lineRule="auto"/>
        <w:ind w:left="3307" w:right="607"/>
        <w:jc w:val="both"/>
      </w:pPr>
      <w:r>
        <w:rPr>
          <w:spacing w:val="-2"/>
        </w:rPr>
        <w:t>我们在收到保险金给付申请书及有关证明和资料之日起</w:t>
      </w:r>
      <w:r>
        <w:rPr>
          <w:rFonts w:ascii="Times New Roman" w:eastAsia="Times New Roman"/>
          <w:spacing w:val="-2"/>
        </w:rPr>
        <w:t>60</w:t>
      </w:r>
      <w:r>
        <w:rPr>
          <w:spacing w:val="-2"/>
        </w:rPr>
        <w:t>日内，对给付保险金的数额不能确定的，根据已有证明和资料可以确定的数额先予支付；我们最终确定给付保险金的数额后，将支付相应的差额。</w:t>
      </w:r>
    </w:p>
    <w:p>
      <w:pPr>
        <w:pStyle w:val="3"/>
        <w:spacing w:before="6"/>
        <w:rPr>
          <w:sz w:val="18"/>
        </w:rPr>
      </w:pPr>
    </w:p>
    <w:p>
      <w:pPr>
        <w:pStyle w:val="8"/>
        <w:numPr>
          <w:ilvl w:val="1"/>
          <w:numId w:val="14"/>
        </w:numPr>
        <w:tabs>
          <w:tab w:val="left" w:pos="1338"/>
          <w:tab w:val="left" w:pos="1339"/>
          <w:tab w:val="left" w:pos="3307"/>
        </w:tabs>
        <w:spacing w:before="1" w:after="0" w:line="240" w:lineRule="auto"/>
        <w:ind w:left="1338" w:right="0" w:hanging="1005"/>
        <w:jc w:val="left"/>
        <w:rPr>
          <w:sz w:val="21"/>
        </w:rPr>
      </w:pPr>
      <w:r>
        <w:rPr>
          <w:b/>
          <w:sz w:val="21"/>
        </w:rPr>
        <w:t>诉讼时</w:t>
      </w:r>
      <w:r>
        <w:rPr>
          <w:b/>
          <w:spacing w:val="-10"/>
          <w:sz w:val="21"/>
        </w:rPr>
        <w:t>效</w:t>
      </w:r>
      <w:r>
        <w:rPr>
          <w:b/>
          <w:sz w:val="21"/>
        </w:rPr>
        <w:tab/>
      </w:r>
      <w:r>
        <w:rPr>
          <w:spacing w:val="-2"/>
          <w:sz w:val="21"/>
        </w:rPr>
        <w:t>保险金申请人向我们请求给付保险金的诉讼时效期间为</w:t>
      </w:r>
      <w:r>
        <w:rPr>
          <w:spacing w:val="-46"/>
          <w:sz w:val="21"/>
        </w:rPr>
        <w:t xml:space="preserve"> </w:t>
      </w:r>
      <w:r>
        <w:rPr>
          <w:rFonts w:ascii="Times New Roman" w:eastAsia="Times New Roman"/>
          <w:spacing w:val="-2"/>
          <w:sz w:val="21"/>
        </w:rPr>
        <w:t>2</w:t>
      </w:r>
      <w:r>
        <w:rPr>
          <w:rFonts w:ascii="Times New Roman" w:eastAsia="Times New Roman"/>
          <w:spacing w:val="7"/>
          <w:sz w:val="21"/>
        </w:rPr>
        <w:t xml:space="preserve"> </w:t>
      </w:r>
      <w:r>
        <w:rPr>
          <w:spacing w:val="-2"/>
          <w:sz w:val="21"/>
        </w:rPr>
        <w:t>年，</w:t>
      </w:r>
      <w:r>
        <w:rPr>
          <w:spacing w:val="-10"/>
          <w:sz w:val="21"/>
        </w:rPr>
        <w:t>自</w:t>
      </w:r>
    </w:p>
    <w:p>
      <w:pPr>
        <w:pStyle w:val="3"/>
        <w:spacing w:before="4"/>
        <w:ind w:left="3307"/>
      </w:pPr>
      <w:r>
        <w:rPr>
          <w:spacing w:val="-3"/>
        </w:rPr>
        <w:t>其知道或者应当知道保险事故发生之日起计算。</w:t>
      </w:r>
    </w:p>
    <w:p>
      <w:pPr>
        <w:spacing w:after="0"/>
        <w:sectPr>
          <w:type w:val="continuous"/>
          <w:pgSz w:w="11910" w:h="16840"/>
          <w:pgMar w:top="320" w:right="620" w:bottom="280" w:left="1480" w:header="0" w:footer="851" w:gutter="0"/>
          <w:cols w:space="720" w:num="1"/>
        </w:sectPr>
      </w:pPr>
    </w:p>
    <w:tbl>
      <w:tblPr>
        <w:tblStyle w:val="5"/>
        <w:tblW w:w="0" w:type="auto"/>
        <w:tblInd w:w="2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1"/>
        <w:gridCol w:w="2237"/>
        <w:gridCol w:w="60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751" w:type="dxa"/>
            <w:tcBorders>
              <w:bottom w:val="single" w:color="000000" w:sz="4" w:space="0"/>
            </w:tcBorders>
          </w:tcPr>
          <w:p>
            <w:pPr>
              <w:pStyle w:val="9"/>
              <w:spacing w:line="264" w:lineRule="exact"/>
              <w:ind w:left="117"/>
              <w:rPr>
                <w:rFonts w:ascii="Times New Roman"/>
                <w:b/>
                <w:sz w:val="24"/>
              </w:rPr>
            </w:pPr>
            <w:r>
              <w:rPr>
                <w:rFonts w:ascii="Times New Roman"/>
                <w:b/>
                <w:sz w:val="24"/>
              </w:rPr>
              <w:t>4</w:t>
            </w:r>
          </w:p>
        </w:tc>
        <w:tc>
          <w:tcPr>
            <w:tcW w:w="2237" w:type="dxa"/>
            <w:tcBorders>
              <w:bottom w:val="single" w:color="000000" w:sz="4" w:space="0"/>
            </w:tcBorders>
          </w:tcPr>
          <w:p>
            <w:pPr>
              <w:pStyle w:val="9"/>
              <w:spacing w:line="274" w:lineRule="exact"/>
              <w:ind w:left="370"/>
              <w:rPr>
                <w:b/>
                <w:sz w:val="24"/>
              </w:rPr>
            </w:pPr>
            <w:r>
              <w:rPr>
                <w:b/>
                <w:w w:val="95"/>
                <w:sz w:val="24"/>
              </w:rPr>
              <w:t>保险费的支</w:t>
            </w:r>
            <w:r>
              <w:rPr>
                <w:b/>
                <w:spacing w:val="-10"/>
                <w:w w:val="95"/>
                <w:sz w:val="24"/>
              </w:rPr>
              <w:t>付</w:t>
            </w:r>
          </w:p>
        </w:tc>
        <w:tc>
          <w:tcPr>
            <w:tcW w:w="6084" w:type="dxa"/>
            <w:tcBorders>
              <w:bottom w:val="single" w:color="000000" w:sz="4"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4" w:hRule="atLeast"/>
        </w:trPr>
        <w:tc>
          <w:tcPr>
            <w:tcW w:w="751" w:type="dxa"/>
            <w:tcBorders>
              <w:top w:val="single" w:color="000000" w:sz="4" w:space="0"/>
            </w:tcBorders>
          </w:tcPr>
          <w:p>
            <w:pPr>
              <w:pStyle w:val="9"/>
              <w:spacing w:line="230" w:lineRule="exact"/>
              <w:ind w:left="117"/>
              <w:rPr>
                <w:rFonts w:ascii="Times New Roman"/>
                <w:sz w:val="21"/>
              </w:rPr>
            </w:pPr>
            <w:r>
              <w:rPr>
                <w:rFonts w:ascii="Times New Roman"/>
                <w:spacing w:val="-5"/>
                <w:sz w:val="21"/>
              </w:rPr>
              <w:t>4.1</w:t>
            </w:r>
          </w:p>
        </w:tc>
        <w:tc>
          <w:tcPr>
            <w:tcW w:w="2237" w:type="dxa"/>
            <w:tcBorders>
              <w:top w:val="single" w:color="000000" w:sz="4" w:space="0"/>
            </w:tcBorders>
          </w:tcPr>
          <w:p>
            <w:pPr>
              <w:pStyle w:val="9"/>
              <w:spacing w:line="263" w:lineRule="exact"/>
              <w:ind w:left="370"/>
              <w:rPr>
                <w:b/>
                <w:sz w:val="21"/>
              </w:rPr>
            </w:pPr>
            <w:r>
              <w:rPr>
                <w:b/>
                <w:spacing w:val="-2"/>
                <w:sz w:val="21"/>
              </w:rPr>
              <w:t>保险费的支付</w:t>
            </w:r>
          </w:p>
        </w:tc>
        <w:tc>
          <w:tcPr>
            <w:tcW w:w="6084" w:type="dxa"/>
            <w:tcBorders>
              <w:top w:val="single" w:color="000000" w:sz="4" w:space="0"/>
            </w:tcBorders>
          </w:tcPr>
          <w:p>
            <w:pPr>
              <w:pStyle w:val="9"/>
              <w:spacing w:line="263" w:lineRule="exact"/>
              <w:ind w:left="102"/>
              <w:rPr>
                <w:sz w:val="21"/>
              </w:rPr>
            </w:pPr>
            <w:r>
              <w:rPr>
                <w:spacing w:val="-3"/>
                <w:sz w:val="21"/>
              </w:rPr>
              <w:t>本合同保险费的支付方式为一次性付清。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51" w:type="dxa"/>
          </w:tcPr>
          <w:p>
            <w:pPr>
              <w:pStyle w:val="9"/>
              <w:spacing w:before="128"/>
              <w:ind w:left="117"/>
              <w:rPr>
                <w:rFonts w:ascii="Times New Roman"/>
                <w:sz w:val="21"/>
              </w:rPr>
            </w:pPr>
            <w:r>
              <w:rPr>
                <w:rFonts w:ascii="Times New Roman"/>
                <w:spacing w:val="-5"/>
                <w:sz w:val="21"/>
              </w:rPr>
              <w:t>4.2</w:t>
            </w:r>
          </w:p>
        </w:tc>
        <w:tc>
          <w:tcPr>
            <w:tcW w:w="2237" w:type="dxa"/>
          </w:tcPr>
          <w:p>
            <w:pPr>
              <w:pStyle w:val="9"/>
              <w:spacing w:before="133" w:line="250" w:lineRule="exact"/>
              <w:ind w:left="370"/>
              <w:rPr>
                <w:b/>
                <w:sz w:val="21"/>
              </w:rPr>
            </w:pPr>
            <w:r>
              <w:rPr>
                <w:b/>
                <w:spacing w:val="-4"/>
                <w:sz w:val="21"/>
              </w:rPr>
              <w:t>宽限期</w:t>
            </w:r>
          </w:p>
        </w:tc>
        <w:tc>
          <w:tcPr>
            <w:tcW w:w="6084" w:type="dxa"/>
          </w:tcPr>
          <w:p>
            <w:pPr>
              <w:pStyle w:val="9"/>
              <w:spacing w:before="133" w:line="250" w:lineRule="exact"/>
              <w:ind w:left="102"/>
              <w:rPr>
                <w:sz w:val="21"/>
              </w:rPr>
            </w:pPr>
            <w:r>
              <w:rPr>
                <w:spacing w:val="-3"/>
                <w:sz w:val="21"/>
              </w:rPr>
              <w:t>若您选择了自动申请续保，且符合我们的续保条件的，则自保险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before="3" w:line="261" w:lineRule="exact"/>
              <w:ind w:left="102"/>
              <w:rPr>
                <w:sz w:val="21"/>
              </w:rPr>
            </w:pPr>
            <w:r>
              <w:rPr>
                <w:spacing w:val="-2"/>
                <w:sz w:val="21"/>
              </w:rPr>
              <w:t>费约定支付日的次日零时起</w:t>
            </w:r>
            <w:r>
              <w:rPr>
                <w:rFonts w:ascii="Times New Roman" w:eastAsia="Times New Roman"/>
                <w:spacing w:val="-2"/>
                <w:sz w:val="21"/>
              </w:rPr>
              <w:t>60</w:t>
            </w:r>
            <w:r>
              <w:rPr>
                <w:spacing w:val="-3"/>
                <w:sz w:val="21"/>
              </w:rPr>
              <w:t>日为新续保合同的宽限期。宽限期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51" w:type="dxa"/>
          </w:tcPr>
          <w:p>
            <w:pPr>
              <w:pStyle w:val="9"/>
              <w:rPr>
                <w:rFonts w:ascii="Times New Roman"/>
                <w:sz w:val="18"/>
              </w:rPr>
            </w:pPr>
          </w:p>
        </w:tc>
        <w:tc>
          <w:tcPr>
            <w:tcW w:w="2237" w:type="dxa"/>
          </w:tcPr>
          <w:p>
            <w:pPr>
              <w:pStyle w:val="9"/>
              <w:rPr>
                <w:rFonts w:ascii="Times New Roman"/>
                <w:sz w:val="18"/>
              </w:rPr>
            </w:pPr>
          </w:p>
        </w:tc>
        <w:tc>
          <w:tcPr>
            <w:tcW w:w="6084" w:type="dxa"/>
          </w:tcPr>
          <w:p>
            <w:pPr>
              <w:pStyle w:val="9"/>
              <w:spacing w:line="246" w:lineRule="exact"/>
              <w:ind w:left="102"/>
              <w:rPr>
                <w:sz w:val="21"/>
              </w:rPr>
            </w:pPr>
            <w:r>
              <w:rPr>
                <w:spacing w:val="-3"/>
                <w:sz w:val="21"/>
              </w:rPr>
              <w:t>内发生保险事故的，我们承担保险责任，但在给付保险金时会扣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1" w:lineRule="exact"/>
              <w:ind w:left="102"/>
              <w:rPr>
                <w:sz w:val="21"/>
              </w:rPr>
            </w:pPr>
            <w:r>
              <w:rPr>
                <w:spacing w:val="-3"/>
                <w:sz w:val="21"/>
              </w:rPr>
              <w:t>除您欠交的保险费。如果宽限期结束之后您仍未支付新续保合同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67" w:lineRule="exact"/>
              <w:ind w:left="102"/>
              <w:rPr>
                <w:sz w:val="21"/>
              </w:rPr>
            </w:pPr>
            <w:r>
              <w:rPr>
                <w:spacing w:val="-3"/>
                <w:sz w:val="21"/>
              </w:rPr>
              <w:t>的保险费，则本合同自宽限期满的次日零时起效力终止。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6" w:hRule="atLeast"/>
        </w:trPr>
        <w:tc>
          <w:tcPr>
            <w:tcW w:w="751" w:type="dxa"/>
          </w:tcPr>
          <w:p>
            <w:pPr>
              <w:pStyle w:val="9"/>
              <w:spacing w:before="128"/>
              <w:ind w:left="117"/>
              <w:rPr>
                <w:rFonts w:ascii="Times New Roman"/>
                <w:sz w:val="21"/>
              </w:rPr>
            </w:pPr>
            <w:r>
              <w:rPr>
                <w:rFonts w:ascii="Times New Roman"/>
                <w:spacing w:val="-5"/>
                <w:sz w:val="21"/>
              </w:rPr>
              <w:t>4.3</w:t>
            </w:r>
          </w:p>
        </w:tc>
        <w:tc>
          <w:tcPr>
            <w:tcW w:w="2237" w:type="dxa"/>
          </w:tcPr>
          <w:p>
            <w:pPr>
              <w:pStyle w:val="9"/>
              <w:spacing w:before="133"/>
              <w:ind w:left="370"/>
              <w:rPr>
                <w:b/>
                <w:sz w:val="21"/>
              </w:rPr>
            </w:pPr>
            <w:r>
              <w:rPr>
                <w:b/>
                <w:spacing w:val="-2"/>
                <w:sz w:val="21"/>
              </w:rPr>
              <w:t>保险费率调整</w:t>
            </w:r>
          </w:p>
        </w:tc>
        <w:tc>
          <w:tcPr>
            <w:tcW w:w="6084" w:type="dxa"/>
          </w:tcPr>
          <w:p>
            <w:pPr>
              <w:pStyle w:val="9"/>
              <w:spacing w:before="133"/>
              <w:ind w:left="102"/>
              <w:rPr>
                <w:sz w:val="21"/>
              </w:rPr>
            </w:pPr>
            <w:r>
              <w:rPr>
                <w:spacing w:val="-3"/>
                <w:sz w:val="21"/>
              </w:rPr>
              <w:t>我们保留调整保险费率的权利。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before="120" w:line="253" w:lineRule="exact"/>
              <w:ind w:left="102"/>
              <w:rPr>
                <w:sz w:val="21"/>
              </w:rPr>
            </w:pPr>
            <w:r>
              <w:rPr>
                <w:spacing w:val="-1"/>
                <w:sz w:val="21"/>
              </w:rPr>
              <w:t>我们将根据本合同计算费率所用的计算基础与实际情况的偏差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3" w:lineRule="exact"/>
              <w:ind w:left="102"/>
              <w:rPr>
                <w:sz w:val="21"/>
              </w:rPr>
            </w:pPr>
            <w:r>
              <w:rPr>
                <w:spacing w:val="-3"/>
                <w:sz w:val="21"/>
              </w:rPr>
              <w:t>程度，决定保险费率是否调整。保险费率的调整将针对所有被保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ind w:left="102"/>
              <w:rPr>
                <w:sz w:val="21"/>
              </w:rPr>
            </w:pPr>
            <w:r>
              <w:rPr>
                <w:spacing w:val="-3"/>
                <w:sz w:val="21"/>
              </w:rPr>
              <w:t>险人，或同一投保年龄、同一投保区域等某一类被保险人。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before="120" w:line="253" w:lineRule="exact"/>
              <w:ind w:left="102"/>
              <w:rPr>
                <w:sz w:val="21"/>
              </w:rPr>
            </w:pPr>
            <w:r>
              <w:rPr>
                <w:spacing w:val="-3"/>
                <w:sz w:val="21"/>
              </w:rPr>
              <w:t>若我们调整保险费率，将及时通知您。调整后的保险费率自下一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1" w:lineRule="exact"/>
              <w:ind w:left="102"/>
              <w:rPr>
                <w:sz w:val="21"/>
              </w:rPr>
            </w:pPr>
            <w:r>
              <w:rPr>
                <w:spacing w:val="-3"/>
                <w:sz w:val="21"/>
              </w:rPr>
              <w:t>个保证续保期间起适用，您续保时须按调整后的保险费率支付保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1" w:lineRule="exact"/>
              <w:ind w:left="102"/>
              <w:rPr>
                <w:b/>
                <w:sz w:val="21"/>
              </w:rPr>
            </w:pPr>
            <w:r>
              <w:rPr>
                <w:spacing w:val="-2"/>
                <w:sz w:val="21"/>
              </w:rPr>
              <w:t>险费，保险费率调整前您已经支付的保险费不受影响。</w:t>
            </w:r>
            <w:r>
              <w:rPr>
                <w:b/>
                <w:spacing w:val="-4"/>
                <w:sz w:val="21"/>
              </w:rPr>
              <w:t>若您不接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3" w:lineRule="exact"/>
              <w:ind w:left="102"/>
              <w:rPr>
                <w:b/>
                <w:sz w:val="21"/>
              </w:rPr>
            </w:pPr>
            <w:r>
              <w:rPr>
                <w:b/>
                <w:spacing w:val="-3"/>
                <w:sz w:val="21"/>
              </w:rPr>
              <w:t>受调整后的费率，请您以书面形式或其他双方认可的形式通知我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ind w:left="102"/>
              <w:rPr>
                <w:b/>
                <w:sz w:val="21"/>
              </w:rPr>
            </w:pPr>
            <w:r>
              <w:rPr>
                <w:b/>
                <w:spacing w:val="-1"/>
                <w:sz w:val="21"/>
              </w:rPr>
              <w:t>们，我们将不再为您续保本合同。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51" w:type="dxa"/>
          </w:tcPr>
          <w:p>
            <w:pPr>
              <w:pStyle w:val="9"/>
              <w:spacing w:before="128"/>
              <w:ind w:left="117"/>
              <w:rPr>
                <w:rFonts w:ascii="Times New Roman"/>
                <w:sz w:val="21"/>
              </w:rPr>
            </w:pPr>
            <w:r>
              <w:rPr>
                <w:rFonts w:ascii="Times New Roman"/>
                <w:spacing w:val="-5"/>
                <w:sz w:val="21"/>
              </w:rPr>
              <w:t>4.4</w:t>
            </w:r>
          </w:p>
        </w:tc>
        <w:tc>
          <w:tcPr>
            <w:tcW w:w="2237" w:type="dxa"/>
          </w:tcPr>
          <w:p>
            <w:pPr>
              <w:pStyle w:val="9"/>
              <w:spacing w:before="133" w:line="253" w:lineRule="exact"/>
              <w:ind w:left="370"/>
              <w:rPr>
                <w:b/>
                <w:sz w:val="21"/>
              </w:rPr>
            </w:pPr>
            <w:r>
              <w:rPr>
                <w:b/>
                <w:spacing w:val="-2"/>
                <w:sz w:val="21"/>
              </w:rPr>
              <w:t>社会基本医疗保险</w:t>
            </w:r>
          </w:p>
        </w:tc>
        <w:tc>
          <w:tcPr>
            <w:tcW w:w="6084" w:type="dxa"/>
          </w:tcPr>
          <w:p>
            <w:pPr>
              <w:pStyle w:val="9"/>
              <w:spacing w:before="133" w:line="253" w:lineRule="exact"/>
              <w:ind w:left="102"/>
              <w:rPr>
                <w:sz w:val="21"/>
              </w:rPr>
            </w:pPr>
            <w:r>
              <w:rPr>
                <w:spacing w:val="-1"/>
                <w:sz w:val="21"/>
              </w:rPr>
              <w:t>若被保险人是否参加社会基本医疗保险或公费医疗的身份发生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51" w:type="dxa"/>
          </w:tcPr>
          <w:p>
            <w:pPr>
              <w:pStyle w:val="9"/>
              <w:rPr>
                <w:rFonts w:ascii="Times New Roman"/>
                <w:sz w:val="18"/>
              </w:rPr>
            </w:pPr>
          </w:p>
        </w:tc>
        <w:tc>
          <w:tcPr>
            <w:tcW w:w="2237" w:type="dxa"/>
          </w:tcPr>
          <w:p>
            <w:pPr>
              <w:pStyle w:val="9"/>
              <w:spacing w:line="247" w:lineRule="exact"/>
              <w:ind w:left="370"/>
              <w:rPr>
                <w:b/>
                <w:sz w:val="21"/>
              </w:rPr>
            </w:pPr>
            <w:r>
              <w:rPr>
                <w:b/>
                <w:spacing w:val="-2"/>
                <w:sz w:val="21"/>
              </w:rPr>
              <w:t>或公费医疗身份变</w:t>
            </w:r>
          </w:p>
        </w:tc>
        <w:tc>
          <w:tcPr>
            <w:tcW w:w="6084" w:type="dxa"/>
          </w:tcPr>
          <w:p>
            <w:pPr>
              <w:pStyle w:val="9"/>
              <w:spacing w:line="247" w:lineRule="exact"/>
              <w:ind w:left="102"/>
              <w:rPr>
                <w:sz w:val="21"/>
              </w:rPr>
            </w:pPr>
            <w:r>
              <w:rPr>
                <w:spacing w:val="-3"/>
                <w:sz w:val="21"/>
              </w:rPr>
              <w:t>了变更，您须在续保时变更被保险人的社会基本医疗保险或公费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51" w:type="dxa"/>
          </w:tcPr>
          <w:p>
            <w:pPr>
              <w:pStyle w:val="9"/>
              <w:rPr>
                <w:rFonts w:ascii="Times New Roman"/>
                <w:sz w:val="20"/>
              </w:rPr>
            </w:pPr>
          </w:p>
        </w:tc>
        <w:tc>
          <w:tcPr>
            <w:tcW w:w="2237" w:type="dxa"/>
          </w:tcPr>
          <w:p>
            <w:pPr>
              <w:pStyle w:val="9"/>
              <w:spacing w:before="1" w:line="261" w:lineRule="exact"/>
              <w:ind w:left="370"/>
              <w:rPr>
                <w:b/>
                <w:sz w:val="21"/>
              </w:rPr>
            </w:pPr>
            <w:r>
              <w:rPr>
                <w:b/>
                <w:w w:val="100"/>
                <w:sz w:val="21"/>
              </w:rPr>
              <w:t>更</w:t>
            </w:r>
          </w:p>
        </w:tc>
        <w:tc>
          <w:tcPr>
            <w:tcW w:w="6084" w:type="dxa"/>
          </w:tcPr>
          <w:p>
            <w:pPr>
              <w:pStyle w:val="9"/>
              <w:spacing w:before="1" w:line="261" w:lineRule="exact"/>
              <w:ind w:left="102"/>
              <w:rPr>
                <w:b/>
                <w:sz w:val="21"/>
              </w:rPr>
            </w:pPr>
            <w:r>
              <w:rPr>
                <w:spacing w:val="-2"/>
                <w:sz w:val="21"/>
              </w:rPr>
              <w:t>医疗身份，</w:t>
            </w:r>
            <w:r>
              <w:rPr>
                <w:b/>
                <w:spacing w:val="-2"/>
                <w:sz w:val="21"/>
              </w:rPr>
              <w:t>且应于续保前有效的保险合同的保险期间届满前</w:t>
            </w:r>
            <w:r>
              <w:rPr>
                <w:rFonts w:ascii="Times New Roman" w:eastAsia="Times New Roman"/>
                <w:b/>
                <w:spacing w:val="-2"/>
                <w:sz w:val="21"/>
              </w:rPr>
              <w:t>30</w:t>
            </w:r>
            <w:r>
              <w:rPr>
                <w:b/>
                <w:spacing w:val="-10"/>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51" w:type="dxa"/>
          </w:tcPr>
          <w:p>
            <w:pPr>
              <w:pStyle w:val="9"/>
              <w:rPr>
                <w:rFonts w:ascii="Times New Roman"/>
                <w:sz w:val="18"/>
              </w:rPr>
            </w:pPr>
          </w:p>
        </w:tc>
        <w:tc>
          <w:tcPr>
            <w:tcW w:w="2237" w:type="dxa"/>
          </w:tcPr>
          <w:p>
            <w:pPr>
              <w:pStyle w:val="9"/>
              <w:rPr>
                <w:rFonts w:ascii="Times New Roman"/>
                <w:sz w:val="18"/>
              </w:rPr>
            </w:pPr>
          </w:p>
        </w:tc>
        <w:tc>
          <w:tcPr>
            <w:tcW w:w="6084" w:type="dxa"/>
          </w:tcPr>
          <w:p>
            <w:pPr>
              <w:pStyle w:val="9"/>
              <w:spacing w:line="246" w:lineRule="exact"/>
              <w:ind w:left="102"/>
              <w:rPr>
                <w:sz w:val="21"/>
              </w:rPr>
            </w:pPr>
            <w:r>
              <w:rPr>
                <w:b/>
                <w:spacing w:val="-2"/>
                <w:sz w:val="21"/>
              </w:rPr>
              <w:t>内通知我们</w:t>
            </w:r>
            <w:r>
              <w:rPr>
                <w:spacing w:val="-3"/>
                <w:sz w:val="21"/>
              </w:rPr>
              <w:t>。我们将以书面形式或双方认可的其他形式确认您变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3" w:lineRule="exact"/>
              <w:ind w:left="102"/>
              <w:rPr>
                <w:sz w:val="21"/>
              </w:rPr>
            </w:pPr>
            <w:r>
              <w:rPr>
                <w:spacing w:val="-3"/>
                <w:sz w:val="21"/>
              </w:rPr>
              <w:t>更社会基本医疗保险或公费医疗身份的申请。您须自社会基本医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1" w:lineRule="exact"/>
              <w:ind w:left="102"/>
              <w:rPr>
                <w:sz w:val="21"/>
              </w:rPr>
            </w:pPr>
            <w:r>
              <w:rPr>
                <w:spacing w:val="-1"/>
                <w:sz w:val="21"/>
              </w:rPr>
              <w:t>疗保险或公费医疗身份变更后的首个续保合同生效日起按照新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1" w:lineRule="exact"/>
              <w:ind w:left="102"/>
              <w:rPr>
                <w:sz w:val="21"/>
              </w:rPr>
            </w:pPr>
            <w:r>
              <w:rPr>
                <w:spacing w:val="-3"/>
                <w:sz w:val="21"/>
              </w:rPr>
              <w:t>的保险费率支付保险费，社会基本医疗保险或公费医疗身份变更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ind w:left="102"/>
              <w:rPr>
                <w:sz w:val="21"/>
              </w:rPr>
            </w:pPr>
            <w:r>
              <w:rPr>
                <w:spacing w:val="-3"/>
                <w:sz w:val="21"/>
              </w:rPr>
              <w:t>前您已经交纳的保险费不受影响。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751" w:type="dxa"/>
            <w:tcBorders>
              <w:bottom w:val="single" w:color="000000" w:sz="4" w:space="0"/>
            </w:tcBorders>
          </w:tcPr>
          <w:p>
            <w:pPr>
              <w:pStyle w:val="9"/>
              <w:spacing w:before="175"/>
              <w:ind w:left="117"/>
              <w:rPr>
                <w:rFonts w:ascii="Times New Roman"/>
                <w:b/>
                <w:sz w:val="24"/>
              </w:rPr>
            </w:pPr>
            <w:r>
              <w:rPr>
                <w:rFonts w:ascii="Times New Roman"/>
                <w:b/>
                <w:sz w:val="24"/>
              </w:rPr>
              <w:t>5</w:t>
            </w:r>
          </w:p>
        </w:tc>
        <w:tc>
          <w:tcPr>
            <w:tcW w:w="2237" w:type="dxa"/>
            <w:tcBorders>
              <w:bottom w:val="single" w:color="000000" w:sz="4" w:space="0"/>
            </w:tcBorders>
          </w:tcPr>
          <w:p>
            <w:pPr>
              <w:pStyle w:val="9"/>
              <w:spacing w:before="154"/>
              <w:ind w:left="370"/>
              <w:rPr>
                <w:b/>
                <w:sz w:val="24"/>
              </w:rPr>
            </w:pPr>
            <w:r>
              <w:rPr>
                <w:b/>
                <w:w w:val="95"/>
                <w:sz w:val="24"/>
              </w:rPr>
              <w:t>合同解</w:t>
            </w:r>
            <w:r>
              <w:rPr>
                <w:b/>
                <w:spacing w:val="-10"/>
                <w:w w:val="95"/>
                <w:sz w:val="24"/>
              </w:rPr>
              <w:t>除</w:t>
            </w:r>
          </w:p>
        </w:tc>
        <w:tc>
          <w:tcPr>
            <w:tcW w:w="6084" w:type="dxa"/>
            <w:tcBorders>
              <w:bottom w:val="single" w:color="000000" w:sz="4"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51" w:type="dxa"/>
            <w:tcBorders>
              <w:top w:val="single" w:color="000000" w:sz="4" w:space="0"/>
            </w:tcBorders>
          </w:tcPr>
          <w:p>
            <w:pPr>
              <w:pStyle w:val="9"/>
              <w:spacing w:line="230" w:lineRule="exact"/>
              <w:ind w:left="117"/>
              <w:rPr>
                <w:rFonts w:ascii="Times New Roman"/>
                <w:sz w:val="21"/>
              </w:rPr>
            </w:pPr>
            <w:r>
              <w:rPr>
                <w:rFonts w:ascii="Times New Roman"/>
                <w:spacing w:val="-5"/>
                <w:sz w:val="21"/>
              </w:rPr>
              <w:t>5.1</w:t>
            </w:r>
          </w:p>
        </w:tc>
        <w:tc>
          <w:tcPr>
            <w:tcW w:w="2237" w:type="dxa"/>
            <w:tcBorders>
              <w:top w:val="single" w:color="000000" w:sz="4" w:space="0"/>
            </w:tcBorders>
          </w:tcPr>
          <w:p>
            <w:pPr>
              <w:pStyle w:val="9"/>
              <w:spacing w:line="247" w:lineRule="exact"/>
              <w:ind w:left="370"/>
              <w:rPr>
                <w:b/>
                <w:sz w:val="21"/>
              </w:rPr>
            </w:pPr>
            <w:r>
              <w:rPr>
                <w:b/>
                <w:spacing w:val="-2"/>
                <w:sz w:val="21"/>
              </w:rPr>
              <w:t>解除合同的手续及</w:t>
            </w:r>
          </w:p>
        </w:tc>
        <w:tc>
          <w:tcPr>
            <w:tcW w:w="6084" w:type="dxa"/>
            <w:tcBorders>
              <w:top w:val="single" w:color="000000" w:sz="4" w:space="0"/>
            </w:tcBorders>
          </w:tcPr>
          <w:p>
            <w:pPr>
              <w:pStyle w:val="9"/>
              <w:spacing w:line="247" w:lineRule="exact"/>
              <w:ind w:left="102"/>
              <w:rPr>
                <w:sz w:val="21"/>
              </w:rPr>
            </w:pPr>
            <w:r>
              <w:rPr>
                <w:spacing w:val="-3"/>
                <w:sz w:val="21"/>
              </w:rPr>
              <w:t>如您在犹豫期后申请解除本合同，请填写解除合同申请书并向我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51" w:type="dxa"/>
          </w:tcPr>
          <w:p>
            <w:pPr>
              <w:pStyle w:val="9"/>
              <w:rPr>
                <w:rFonts w:ascii="Times New Roman"/>
                <w:sz w:val="18"/>
              </w:rPr>
            </w:pPr>
          </w:p>
        </w:tc>
        <w:tc>
          <w:tcPr>
            <w:tcW w:w="2237" w:type="dxa"/>
          </w:tcPr>
          <w:p>
            <w:pPr>
              <w:pStyle w:val="9"/>
              <w:spacing w:line="247" w:lineRule="exact"/>
              <w:ind w:left="370"/>
              <w:rPr>
                <w:b/>
                <w:sz w:val="21"/>
              </w:rPr>
            </w:pPr>
            <w:r>
              <w:rPr>
                <w:b/>
                <w:spacing w:val="-5"/>
                <w:sz w:val="21"/>
              </w:rPr>
              <w:t>风险</w:t>
            </w:r>
          </w:p>
        </w:tc>
        <w:tc>
          <w:tcPr>
            <w:tcW w:w="6084" w:type="dxa"/>
          </w:tcPr>
          <w:p>
            <w:pPr>
              <w:pStyle w:val="9"/>
              <w:spacing w:line="247" w:lineRule="exact"/>
              <w:ind w:left="102"/>
              <w:rPr>
                <w:sz w:val="21"/>
              </w:rPr>
            </w:pPr>
            <w:r>
              <w:rPr>
                <w:spacing w:val="-4"/>
                <w:sz w:val="21"/>
              </w:rPr>
              <w:t>们提供下列资料：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6"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numPr>
                <w:ilvl w:val="0"/>
                <w:numId w:val="29"/>
              </w:numPr>
              <w:tabs>
                <w:tab w:val="left" w:pos="632"/>
              </w:tabs>
              <w:spacing w:before="1" w:after="0" w:line="240" w:lineRule="auto"/>
              <w:ind w:left="631" w:right="0" w:hanging="530"/>
              <w:jc w:val="left"/>
              <w:rPr>
                <w:sz w:val="21"/>
              </w:rPr>
            </w:pPr>
            <w:r>
              <w:rPr>
                <w:spacing w:val="-4"/>
                <w:sz w:val="21"/>
              </w:rPr>
              <w:t>保险合同；</w:t>
            </w:r>
          </w:p>
          <w:p>
            <w:pPr>
              <w:pStyle w:val="9"/>
              <w:numPr>
                <w:ilvl w:val="0"/>
                <w:numId w:val="29"/>
              </w:numPr>
              <w:tabs>
                <w:tab w:val="left" w:pos="632"/>
              </w:tabs>
              <w:spacing w:before="5" w:after="0" w:line="240" w:lineRule="auto"/>
              <w:ind w:left="631" w:right="0" w:hanging="530"/>
              <w:jc w:val="left"/>
              <w:rPr>
                <w:sz w:val="21"/>
              </w:rPr>
            </w:pP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before="112" w:line="253" w:lineRule="exact"/>
              <w:ind w:left="102"/>
              <w:rPr>
                <w:sz w:val="21"/>
              </w:rPr>
            </w:pPr>
            <w:r>
              <w:rPr>
                <w:spacing w:val="-3"/>
                <w:sz w:val="21"/>
              </w:rPr>
              <w:t>自我们收到解除合同申请书时起，本合同效力终止。当您申请解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line="250" w:lineRule="exact"/>
              <w:ind w:left="102"/>
              <w:rPr>
                <w:sz w:val="21"/>
              </w:rPr>
            </w:pPr>
            <w:r>
              <w:rPr>
                <w:spacing w:val="-3"/>
                <w:sz w:val="21"/>
              </w:rPr>
              <w:t>除本合同时，若本合同尚未发生保险金给付，我们自收到解除合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spacing w:before="4" w:line="269" w:lineRule="exact"/>
              <w:ind w:left="102"/>
              <w:rPr>
                <w:sz w:val="21"/>
              </w:rPr>
            </w:pPr>
            <w:r>
              <w:rPr>
                <w:spacing w:val="-7"/>
                <w:sz w:val="21"/>
              </w:rPr>
              <w:t xml:space="preserve">同申请书之日起 </w:t>
            </w:r>
            <w:r>
              <w:rPr>
                <w:rFonts w:ascii="Times New Roman" w:eastAsia="Times New Roman"/>
                <w:spacing w:val="-4"/>
                <w:sz w:val="21"/>
              </w:rPr>
              <w:t>30</w:t>
            </w:r>
            <w:r>
              <w:rPr>
                <w:rFonts w:ascii="Times New Roman" w:eastAsia="Times New Roman"/>
                <w:spacing w:val="22"/>
                <w:sz w:val="21"/>
              </w:rPr>
              <w:t xml:space="preserve"> </w:t>
            </w:r>
            <w:r>
              <w:rPr>
                <w:spacing w:val="-4"/>
                <w:sz w:val="21"/>
              </w:rPr>
              <w:t>日内向您退还</w:t>
            </w:r>
            <w:r>
              <w:rPr>
                <w:b/>
                <w:spacing w:val="-4"/>
                <w:sz w:val="21"/>
              </w:rPr>
              <w:t>未满期净保险费</w:t>
            </w:r>
            <w:r>
              <w:rPr>
                <w:spacing w:val="-4"/>
                <w:sz w:val="21"/>
              </w:rPr>
              <w:t>（</w:t>
            </w:r>
            <w:r>
              <w:rPr>
                <w:spacing w:val="-13"/>
                <w:sz w:val="21"/>
              </w:rPr>
              <w:t xml:space="preserve">见 </w:t>
            </w:r>
            <w:r>
              <w:rPr>
                <w:rFonts w:ascii="Times New Roman" w:eastAsia="Times New Roman"/>
                <w:spacing w:val="5"/>
                <w:sz w:val="21"/>
              </w:rPr>
              <w:t>1</w:t>
            </w:r>
            <w:r>
              <w:rPr>
                <w:rFonts w:ascii="Times New Roman" w:eastAsia="Times New Roman"/>
                <w:spacing w:val="15"/>
                <w:sz w:val="21"/>
              </w:rPr>
              <w:t>1.46</w:t>
            </w:r>
            <w:r>
              <w:rPr>
                <w:spacing w:val="-91"/>
                <w:sz w:val="21"/>
              </w:rPr>
              <w:t>）</w:t>
            </w:r>
            <w:r>
              <w:rPr>
                <w:spacing w:val="-116"/>
                <w:sz w:val="21"/>
              </w:rPr>
              <w:t>。</w:t>
            </w:r>
          </w:p>
          <w:p>
            <w:pPr>
              <w:pStyle w:val="9"/>
              <w:spacing w:line="253" w:lineRule="exact"/>
              <w:ind w:left="102"/>
              <w:rPr>
                <w:sz w:val="21"/>
              </w:rPr>
            </w:pPr>
            <w:r>
              <w:rPr>
                <w:spacing w:val="-3"/>
                <w:sz w:val="21"/>
              </w:rPr>
              <w:t>若本合同已发生保险金给付，我们不退还未满期净保险费。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ind w:left="102"/>
              <w:rPr>
                <w:b/>
                <w:sz w:val="21"/>
              </w:rPr>
            </w:pPr>
            <w:r>
              <w:rPr>
                <w:b/>
                <w:spacing w:val="-1"/>
                <w:sz w:val="21"/>
              </w:rPr>
              <w:t>您犹豫期后解除合同会遭受一定损失。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751" w:type="dxa"/>
            <w:tcBorders>
              <w:bottom w:val="single" w:color="000000" w:sz="4" w:space="0"/>
            </w:tcBorders>
          </w:tcPr>
          <w:p>
            <w:pPr>
              <w:pStyle w:val="9"/>
              <w:spacing w:before="175"/>
              <w:ind w:left="117"/>
              <w:rPr>
                <w:rFonts w:ascii="Times New Roman"/>
                <w:b/>
                <w:sz w:val="24"/>
              </w:rPr>
            </w:pPr>
            <w:r>
              <w:rPr>
                <w:rFonts w:ascii="Times New Roman"/>
                <w:b/>
                <w:sz w:val="24"/>
              </w:rPr>
              <w:t>6</w:t>
            </w:r>
          </w:p>
        </w:tc>
        <w:tc>
          <w:tcPr>
            <w:tcW w:w="2237" w:type="dxa"/>
            <w:tcBorders>
              <w:bottom w:val="single" w:color="000000" w:sz="4" w:space="0"/>
            </w:tcBorders>
          </w:tcPr>
          <w:p>
            <w:pPr>
              <w:pStyle w:val="9"/>
              <w:spacing w:before="154"/>
              <w:ind w:left="370"/>
              <w:rPr>
                <w:b/>
                <w:sz w:val="24"/>
              </w:rPr>
            </w:pPr>
            <w:r>
              <w:rPr>
                <w:b/>
                <w:w w:val="95"/>
                <w:sz w:val="24"/>
              </w:rPr>
              <w:t>合同效力的终</w:t>
            </w:r>
            <w:r>
              <w:rPr>
                <w:b/>
                <w:spacing w:val="-10"/>
                <w:w w:val="95"/>
                <w:sz w:val="24"/>
              </w:rPr>
              <w:t>止</w:t>
            </w:r>
          </w:p>
        </w:tc>
        <w:tc>
          <w:tcPr>
            <w:tcW w:w="6084" w:type="dxa"/>
            <w:tcBorders>
              <w:bottom w:val="single" w:color="000000" w:sz="4"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51" w:type="dxa"/>
            <w:tcBorders>
              <w:top w:val="single" w:color="000000" w:sz="4" w:space="0"/>
            </w:tcBorders>
          </w:tcPr>
          <w:p>
            <w:pPr>
              <w:pStyle w:val="9"/>
              <w:spacing w:line="230" w:lineRule="exact"/>
              <w:ind w:left="117"/>
              <w:rPr>
                <w:rFonts w:ascii="Times New Roman"/>
                <w:sz w:val="21"/>
              </w:rPr>
            </w:pPr>
            <w:r>
              <w:rPr>
                <w:rFonts w:ascii="Times New Roman"/>
                <w:spacing w:val="-5"/>
                <w:sz w:val="21"/>
              </w:rPr>
              <w:t>6.1</w:t>
            </w:r>
          </w:p>
        </w:tc>
        <w:tc>
          <w:tcPr>
            <w:tcW w:w="2237" w:type="dxa"/>
            <w:tcBorders>
              <w:top w:val="single" w:color="000000" w:sz="4" w:space="0"/>
            </w:tcBorders>
          </w:tcPr>
          <w:p>
            <w:pPr>
              <w:pStyle w:val="9"/>
              <w:spacing w:line="242" w:lineRule="exact"/>
              <w:ind w:left="370"/>
              <w:rPr>
                <w:b/>
                <w:sz w:val="21"/>
              </w:rPr>
            </w:pPr>
            <w:r>
              <w:rPr>
                <w:b/>
                <w:spacing w:val="-2"/>
                <w:sz w:val="21"/>
              </w:rPr>
              <w:t>合同效力的终止</w:t>
            </w:r>
          </w:p>
        </w:tc>
        <w:tc>
          <w:tcPr>
            <w:tcW w:w="6084" w:type="dxa"/>
            <w:tcBorders>
              <w:top w:val="single" w:color="000000" w:sz="4" w:space="0"/>
            </w:tcBorders>
          </w:tcPr>
          <w:p>
            <w:pPr>
              <w:pStyle w:val="9"/>
              <w:spacing w:line="242" w:lineRule="exact"/>
              <w:ind w:left="102"/>
              <w:rPr>
                <w:sz w:val="21"/>
              </w:rPr>
            </w:pPr>
            <w:r>
              <w:rPr>
                <w:spacing w:val="-3"/>
                <w:sz w:val="21"/>
              </w:rPr>
              <w:t>发生下列情况之一时，本合同效力终止：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58" w:hRule="atLeast"/>
        </w:trPr>
        <w:tc>
          <w:tcPr>
            <w:tcW w:w="751" w:type="dxa"/>
          </w:tcPr>
          <w:p>
            <w:pPr>
              <w:pStyle w:val="9"/>
              <w:rPr>
                <w:rFonts w:ascii="Times New Roman"/>
                <w:sz w:val="20"/>
              </w:rPr>
            </w:pPr>
          </w:p>
        </w:tc>
        <w:tc>
          <w:tcPr>
            <w:tcW w:w="2237" w:type="dxa"/>
          </w:tcPr>
          <w:p>
            <w:pPr>
              <w:pStyle w:val="9"/>
              <w:rPr>
                <w:rFonts w:ascii="Times New Roman"/>
                <w:sz w:val="20"/>
              </w:rPr>
            </w:pPr>
          </w:p>
        </w:tc>
        <w:tc>
          <w:tcPr>
            <w:tcW w:w="6084" w:type="dxa"/>
          </w:tcPr>
          <w:p>
            <w:pPr>
              <w:pStyle w:val="9"/>
              <w:numPr>
                <w:ilvl w:val="0"/>
                <w:numId w:val="30"/>
              </w:numPr>
              <w:tabs>
                <w:tab w:val="left" w:pos="632"/>
              </w:tabs>
              <w:spacing w:before="1" w:after="0" w:line="240" w:lineRule="auto"/>
              <w:ind w:left="631" w:right="0" w:hanging="530"/>
              <w:jc w:val="left"/>
              <w:rPr>
                <w:sz w:val="21"/>
              </w:rPr>
            </w:pPr>
            <w:r>
              <w:rPr>
                <w:spacing w:val="-3"/>
                <w:sz w:val="21"/>
              </w:rPr>
              <w:t>我们收到解除合同申请书；</w:t>
            </w:r>
          </w:p>
          <w:p>
            <w:pPr>
              <w:pStyle w:val="9"/>
              <w:numPr>
                <w:ilvl w:val="0"/>
                <w:numId w:val="30"/>
              </w:numPr>
              <w:tabs>
                <w:tab w:val="left" w:pos="632"/>
              </w:tabs>
              <w:spacing w:before="5" w:after="0" w:line="240" w:lineRule="auto"/>
              <w:ind w:left="631" w:right="0" w:hanging="530"/>
              <w:jc w:val="left"/>
              <w:rPr>
                <w:sz w:val="21"/>
              </w:rPr>
            </w:pPr>
            <w:r>
              <w:rPr>
                <w:spacing w:val="-4"/>
                <w:sz w:val="21"/>
              </w:rPr>
              <w:t>被保险人身故；</w:t>
            </w:r>
          </w:p>
          <w:p>
            <w:pPr>
              <w:pStyle w:val="9"/>
              <w:numPr>
                <w:ilvl w:val="0"/>
                <w:numId w:val="30"/>
              </w:numPr>
              <w:tabs>
                <w:tab w:val="left" w:pos="632"/>
              </w:tabs>
              <w:spacing w:before="4" w:after="0" w:line="240" w:lineRule="auto"/>
              <w:ind w:left="631" w:right="0" w:hanging="530"/>
              <w:jc w:val="left"/>
              <w:rPr>
                <w:sz w:val="21"/>
              </w:rPr>
            </w:pPr>
            <w:r>
              <w:rPr>
                <w:spacing w:val="-4"/>
                <w:sz w:val="21"/>
              </w:rPr>
              <w:t>保险期间届满；</w:t>
            </w:r>
          </w:p>
          <w:p>
            <w:pPr>
              <w:pStyle w:val="9"/>
              <w:numPr>
                <w:ilvl w:val="0"/>
                <w:numId w:val="30"/>
              </w:numPr>
              <w:tabs>
                <w:tab w:val="left" w:pos="632"/>
              </w:tabs>
              <w:spacing w:before="5" w:after="0" w:line="240" w:lineRule="auto"/>
              <w:ind w:left="631" w:right="0" w:hanging="530"/>
              <w:jc w:val="left"/>
              <w:rPr>
                <w:sz w:val="21"/>
              </w:rPr>
            </w:pPr>
            <w:r>
              <w:rPr>
                <w:spacing w:val="-3"/>
                <w:sz w:val="21"/>
              </w:rPr>
              <w:t>因本合同其他条款所列情况而终止。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5" w:hRule="atLeast"/>
        </w:trPr>
        <w:tc>
          <w:tcPr>
            <w:tcW w:w="751" w:type="dxa"/>
            <w:tcBorders>
              <w:bottom w:val="single" w:color="000000" w:sz="4" w:space="0"/>
            </w:tcBorders>
          </w:tcPr>
          <w:p>
            <w:pPr>
              <w:pStyle w:val="9"/>
              <w:spacing w:before="165"/>
              <w:ind w:left="117"/>
              <w:rPr>
                <w:rFonts w:ascii="Times New Roman"/>
                <w:b/>
                <w:sz w:val="24"/>
              </w:rPr>
            </w:pPr>
            <w:r>
              <w:rPr>
                <w:rFonts w:ascii="Times New Roman"/>
                <w:b/>
                <w:sz w:val="24"/>
              </w:rPr>
              <w:t>7</w:t>
            </w:r>
          </w:p>
        </w:tc>
        <w:tc>
          <w:tcPr>
            <w:tcW w:w="2237" w:type="dxa"/>
            <w:tcBorders>
              <w:bottom w:val="single" w:color="000000" w:sz="4" w:space="0"/>
            </w:tcBorders>
          </w:tcPr>
          <w:p>
            <w:pPr>
              <w:pStyle w:val="9"/>
              <w:spacing w:before="149"/>
              <w:ind w:left="370"/>
              <w:rPr>
                <w:b/>
                <w:sz w:val="24"/>
              </w:rPr>
            </w:pPr>
            <w:r>
              <w:rPr>
                <w:b/>
                <w:w w:val="95"/>
                <w:sz w:val="24"/>
              </w:rPr>
              <w:t>如实告</w:t>
            </w:r>
            <w:r>
              <w:rPr>
                <w:b/>
                <w:spacing w:val="-10"/>
                <w:w w:val="95"/>
                <w:sz w:val="24"/>
              </w:rPr>
              <w:t>知</w:t>
            </w:r>
          </w:p>
        </w:tc>
        <w:tc>
          <w:tcPr>
            <w:tcW w:w="6084" w:type="dxa"/>
            <w:tcBorders>
              <w:bottom w:val="single" w:color="000000" w:sz="4" w:space="0"/>
            </w:tcBorders>
          </w:tcPr>
          <w:p>
            <w:pPr>
              <w:pStyle w:val="9"/>
              <w:rPr>
                <w:rFonts w:ascii="Times New Roman"/>
                <w:sz w:val="20"/>
              </w:rPr>
            </w:pPr>
          </w:p>
        </w:tc>
      </w:tr>
    </w:tbl>
    <w:p>
      <w:pPr>
        <w:spacing w:after="0"/>
        <w:rPr>
          <w:rFonts w:ascii="Times New Roman"/>
          <w:sz w:val="20"/>
        </w:rPr>
        <w:sectPr>
          <w:pgSz w:w="11910" w:h="16840"/>
          <w:pgMar w:top="1460" w:right="620" w:bottom="1040" w:left="1480" w:header="0" w:footer="851" w:gutter="0"/>
          <w:cols w:space="720" w:num="1"/>
        </w:sectPr>
      </w:pPr>
    </w:p>
    <w:p>
      <w:pPr>
        <w:pStyle w:val="8"/>
        <w:numPr>
          <w:ilvl w:val="1"/>
          <w:numId w:val="31"/>
        </w:numPr>
        <w:tabs>
          <w:tab w:val="left" w:pos="1338"/>
          <w:tab w:val="left" w:pos="1339"/>
        </w:tabs>
        <w:spacing w:before="74" w:after="0" w:line="244" w:lineRule="auto"/>
        <w:ind w:left="1338" w:right="0" w:hanging="1004"/>
        <w:jc w:val="left"/>
        <w:rPr>
          <w:b/>
          <w:sz w:val="21"/>
        </w:rPr>
      </w:pPr>
      <w:r>
        <w:drawing>
          <wp:anchor distT="0" distB="0" distL="0" distR="0" simplePos="0" relativeHeight="251662336" behindDoc="0" locked="0" layoutInCell="1" allowOverlap="1">
            <wp:simplePos x="0" y="0"/>
            <wp:positionH relativeFrom="page">
              <wp:posOffset>1082040</wp:posOffset>
            </wp:positionH>
            <wp:positionV relativeFrom="paragraph">
              <wp:posOffset>46990</wp:posOffset>
            </wp:positionV>
            <wp:extent cx="5756910" cy="6350"/>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10" cstate="print"/>
                    <a:stretch>
                      <a:fillRect/>
                    </a:stretch>
                  </pic:blipFill>
                  <pic:spPr>
                    <a:xfrm>
                      <a:off x="0" y="0"/>
                      <a:ext cx="5757113" cy="6096"/>
                    </a:xfrm>
                    <a:prstGeom prst="rect">
                      <a:avLst/>
                    </a:prstGeom>
                  </pic:spPr>
                </pic:pic>
              </a:graphicData>
            </a:graphic>
          </wp:anchor>
        </w:drawing>
      </w:r>
      <w:r>
        <w:rPr>
          <w:b/>
          <w:spacing w:val="-2"/>
          <w:sz w:val="21"/>
        </w:rPr>
        <w:t>明确说明与如实告</w:t>
      </w:r>
      <w:r>
        <w:rPr>
          <w:b/>
          <w:spacing w:val="-10"/>
          <w:sz w:val="21"/>
        </w:rPr>
        <w:t>知</w:t>
      </w:r>
    </w:p>
    <w:p>
      <w:pPr>
        <w:pStyle w:val="3"/>
        <w:spacing w:before="80"/>
        <w:ind w:left="162"/>
      </w:pPr>
      <w:r>
        <w:br w:type="column"/>
      </w:r>
      <w:r>
        <w:rPr>
          <w:spacing w:val="-3"/>
        </w:rPr>
        <w:t>订立本合同时，我们应向您说明本合同的内容。</w:t>
      </w:r>
    </w:p>
    <w:p>
      <w:pPr>
        <w:pStyle w:val="3"/>
        <w:spacing w:before="1"/>
        <w:rPr>
          <w:sz w:val="19"/>
        </w:rPr>
      </w:pPr>
    </w:p>
    <w:p>
      <w:pPr>
        <w:pStyle w:val="3"/>
        <w:spacing w:before="1" w:line="244" w:lineRule="auto"/>
        <w:ind w:left="162" w:right="609"/>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3"/>
        <w:spacing w:before="6"/>
        <w:rPr>
          <w:sz w:val="18"/>
        </w:rPr>
      </w:pPr>
    </w:p>
    <w:p>
      <w:pPr>
        <w:pStyle w:val="3"/>
        <w:ind w:left="162"/>
      </w:pPr>
      <w:r>
        <w:rPr>
          <w:spacing w:val="-3"/>
        </w:rPr>
        <w:t>我们就您和被保险人的有关情况提出询问，您应当如实告知。</w:t>
      </w:r>
    </w:p>
    <w:p>
      <w:pPr>
        <w:pStyle w:val="3"/>
        <w:spacing w:before="1"/>
        <w:rPr>
          <w:sz w:val="19"/>
        </w:rPr>
      </w:pPr>
    </w:p>
    <w:p>
      <w:pPr>
        <w:spacing w:before="0" w:line="242" w:lineRule="auto"/>
        <w:ind w:left="162" w:right="619" w:firstLine="0"/>
        <w:jc w:val="both"/>
        <w:rPr>
          <w:b/>
          <w:sz w:val="21"/>
        </w:rPr>
      </w:pPr>
      <w:r>
        <w:rPr>
          <w:b/>
          <w:spacing w:val="-2"/>
          <w:sz w:val="21"/>
        </w:rPr>
        <w:t>如果您故意或者因重大过失未履行前款规定的如实告知义务，足以影响我们决定是否同意承保或者提高保险费率的，我们有权解除本合同。</w:t>
      </w:r>
    </w:p>
    <w:p>
      <w:pPr>
        <w:pStyle w:val="3"/>
        <w:spacing w:before="11"/>
        <w:rPr>
          <w:b/>
          <w:sz w:val="18"/>
        </w:rPr>
      </w:pPr>
    </w:p>
    <w:p>
      <w:pPr>
        <w:spacing w:before="0" w:line="242" w:lineRule="auto"/>
        <w:ind w:left="162" w:right="618" w:firstLine="0"/>
        <w:jc w:val="both"/>
        <w:rPr>
          <w:b/>
          <w:sz w:val="21"/>
        </w:rPr>
      </w:pPr>
      <w:r>
        <w:rPr>
          <w:b/>
          <w:spacing w:val="-2"/>
          <w:sz w:val="21"/>
        </w:rPr>
        <w:t>如果您故意不履行如实告知义务，对于本合同解除前发生的保险事故，我们不承担给付保险金的责任，并不退还保险费。如果您因重大过失未履行如实告知义务，对保险事故的发生有严重影响的，对于本合同解除前发生的保险事故，我们不承担给付保险金的责任，但应当退还保险费。</w:t>
      </w:r>
    </w:p>
    <w:p>
      <w:pPr>
        <w:pStyle w:val="3"/>
        <w:spacing w:before="1"/>
        <w:rPr>
          <w:b/>
          <w:sz w:val="19"/>
        </w:rPr>
      </w:pPr>
    </w:p>
    <w:p>
      <w:pPr>
        <w:pStyle w:val="3"/>
        <w:spacing w:line="244" w:lineRule="auto"/>
        <w:ind w:left="162" w:right="619"/>
      </w:pPr>
      <w:r>
        <w:rPr>
          <w:spacing w:val="-2"/>
        </w:rPr>
        <w:t>我们在合同订立时已经知道您未如实告知的情况的，我们不得解除合同；发生保险事故的，我们承担给付保险金的责任。</w:t>
      </w:r>
    </w:p>
    <w:p>
      <w:pPr>
        <w:spacing w:after="0" w:line="244" w:lineRule="auto"/>
        <w:sectPr>
          <w:pgSz w:w="11910" w:h="16840"/>
          <w:pgMar w:top="1040" w:right="620" w:bottom="1040" w:left="1480" w:header="0" w:footer="851" w:gutter="0"/>
          <w:cols w:equalWidth="0" w:num="2">
            <w:col w:w="3106" w:space="40"/>
            <w:col w:w="6664"/>
          </w:cols>
        </w:sectPr>
      </w:pPr>
    </w:p>
    <w:p>
      <w:pPr>
        <w:pStyle w:val="3"/>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31"/>
        </w:numPr>
        <w:tabs>
          <w:tab w:val="left" w:pos="1338"/>
          <w:tab w:val="left" w:pos="1339"/>
        </w:tabs>
        <w:spacing w:before="92" w:after="0" w:line="244" w:lineRule="auto"/>
        <w:ind w:left="1338" w:right="0" w:hanging="1004"/>
        <w:jc w:val="left"/>
        <w:rPr>
          <w:b/>
          <w:sz w:val="21"/>
        </w:rPr>
      </w:pPr>
      <w:r>
        <w:rPr>
          <w:b/>
          <w:spacing w:val="-2"/>
          <w:sz w:val="21"/>
        </w:rPr>
        <w:t>本公司合同解除权</w:t>
      </w:r>
      <w:r>
        <w:rPr>
          <w:b/>
          <w:spacing w:val="-4"/>
          <w:sz w:val="21"/>
        </w:rPr>
        <w:t>的限制</w:t>
      </w:r>
    </w:p>
    <w:p>
      <w:pPr>
        <w:pStyle w:val="3"/>
        <w:spacing w:before="98" w:line="244" w:lineRule="auto"/>
        <w:ind w:left="162" w:right="616"/>
      </w:pPr>
      <w:r>
        <w:br w:type="column"/>
      </w:r>
      <w:r>
        <w:rPr>
          <w:spacing w:val="-2"/>
        </w:rPr>
        <w:t>前条规定的合同解除权，自我们知道有解除事由之日起，超过</w:t>
      </w:r>
      <w:r>
        <w:rPr>
          <w:rFonts w:ascii="Times New Roman" w:eastAsia="Times New Roman"/>
          <w:spacing w:val="-2"/>
        </w:rPr>
        <w:t>30</w:t>
      </w:r>
      <w:r>
        <w:rPr>
          <w:spacing w:val="-2"/>
        </w:rPr>
        <w:t>日不行使而消灭。</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spacing w:before="9"/>
        <w:rPr>
          <w:sz w:val="18"/>
        </w:rPr>
      </w:pPr>
    </w:p>
    <w:p>
      <w:pPr>
        <w:pStyle w:val="2"/>
        <w:numPr>
          <w:ilvl w:val="0"/>
          <w:numId w:val="32"/>
        </w:numPr>
        <w:tabs>
          <w:tab w:val="left" w:pos="1338"/>
          <w:tab w:val="left" w:pos="1339"/>
        </w:tabs>
        <w:spacing w:before="74" w:after="0" w:line="240" w:lineRule="auto"/>
        <w:ind w:left="1338" w:right="0" w:hanging="1005"/>
        <w:jc w:val="left"/>
      </w:pPr>
      <w:r>
        <w:rPr>
          <w:w w:val="95"/>
        </w:rPr>
        <w:t>其他需要关注的</w:t>
      </w:r>
      <w:r>
        <w:rPr>
          <w:spacing w:val="-5"/>
          <w:w w:val="95"/>
        </w:rPr>
        <w:t>事项</w:t>
      </w:r>
    </w:p>
    <w:p>
      <w:pPr>
        <w:spacing w:after="0" w:line="240" w:lineRule="auto"/>
        <w:jc w:val="left"/>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77" w:after="0" w:line="244" w:lineRule="auto"/>
        <w:ind w:left="1338" w:right="0" w:hanging="1004"/>
        <w:jc w:val="left"/>
        <w:rPr>
          <w:b/>
          <w:sz w:val="21"/>
        </w:rPr>
      </w:pPr>
      <w:r>
        <w:drawing>
          <wp:anchor distT="0" distB="0" distL="0" distR="0" simplePos="0" relativeHeight="251662336" behindDoc="0" locked="0" layoutInCell="1" allowOverlap="1">
            <wp:simplePos x="0" y="0"/>
            <wp:positionH relativeFrom="page">
              <wp:posOffset>1082040</wp:posOffset>
            </wp:positionH>
            <wp:positionV relativeFrom="paragraph">
              <wp:posOffset>48895</wp:posOffset>
            </wp:positionV>
            <wp:extent cx="5756910" cy="635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10" cstate="print"/>
                    <a:stretch>
                      <a:fillRect/>
                    </a:stretch>
                  </pic:blipFill>
                  <pic:spPr>
                    <a:xfrm>
                      <a:off x="0" y="0"/>
                      <a:ext cx="5757113" cy="6095"/>
                    </a:xfrm>
                    <a:prstGeom prst="rect">
                      <a:avLst/>
                    </a:prstGeom>
                  </pic:spPr>
                </pic:pic>
              </a:graphicData>
            </a:graphic>
          </wp:anchor>
        </w:drawing>
      </w:r>
      <w:r>
        <w:rPr>
          <w:b/>
          <w:spacing w:val="-2"/>
          <w:sz w:val="21"/>
        </w:rPr>
        <w:t>风险程度变化的告</w:t>
      </w:r>
      <w:r>
        <w:rPr>
          <w:b/>
          <w:spacing w:val="-4"/>
          <w:sz w:val="21"/>
        </w:rPr>
        <w:t>知及处理</w:t>
      </w:r>
    </w:p>
    <w:p>
      <w:pPr>
        <w:pStyle w:val="3"/>
        <w:spacing w:before="83" w:line="244" w:lineRule="auto"/>
        <w:ind w:left="162" w:right="619"/>
      </w:pPr>
      <w:r>
        <w:br w:type="column"/>
      </w:r>
      <w:r>
        <w:rPr>
          <w:spacing w:val="-2"/>
        </w:rPr>
        <w:t>我们将按照事先公布的职业分类表确定被保险人的职业分类，您可以通过我们的网站、服务热线或服务场所工作人员查询到此</w:t>
      </w:r>
      <w:r>
        <w:t xml:space="preserve"> </w:t>
      </w:r>
      <w:r>
        <w:rPr>
          <w:spacing w:val="-6"/>
        </w:rPr>
        <w:t>表。</w:t>
      </w:r>
    </w:p>
    <w:p>
      <w:pPr>
        <w:pStyle w:val="3"/>
        <w:spacing w:line="242" w:lineRule="auto"/>
        <w:ind w:left="162" w:right="510"/>
      </w:pPr>
      <w:r>
        <w:rPr>
          <w:spacing w:val="-2"/>
        </w:rPr>
        <w:t>被保险人变更其职业或工种时，您或被保险人应于</w:t>
      </w:r>
      <w:r>
        <w:rPr>
          <w:rFonts w:ascii="Times New Roman" w:eastAsia="Times New Roman"/>
          <w:spacing w:val="-2"/>
        </w:rPr>
        <w:t>10</w:t>
      </w:r>
      <w:r>
        <w:rPr>
          <w:spacing w:val="-2"/>
        </w:rPr>
        <w:t>日内以书面形式通知我们。被保险人所变更的职业或者工种依照我们职业分</w:t>
      </w:r>
      <w:r>
        <w:rPr>
          <w:spacing w:val="-10"/>
        </w:rPr>
        <w:t>类在本合同拒保范围内的，自我们接到通知之日起，本合同终止，</w:t>
      </w:r>
      <w:r>
        <w:rPr>
          <w:spacing w:val="-2"/>
        </w:rPr>
        <w:t>我们将无息退还未满期净保险费。</w:t>
      </w:r>
    </w:p>
    <w:p>
      <w:pPr>
        <w:pStyle w:val="3"/>
        <w:spacing w:before="10"/>
        <w:rPr>
          <w:sz w:val="18"/>
        </w:rPr>
      </w:pPr>
    </w:p>
    <w:p>
      <w:pPr>
        <w:spacing w:before="0" w:line="244" w:lineRule="auto"/>
        <w:ind w:left="162" w:right="617" w:firstLine="0"/>
        <w:jc w:val="left"/>
        <w:rPr>
          <w:b/>
          <w:sz w:val="21"/>
        </w:rPr>
      </w:pPr>
      <w:r>
        <w:rPr>
          <w:b/>
          <w:spacing w:val="-2"/>
          <w:sz w:val="21"/>
        </w:rPr>
        <w:t>被保险人的职业或工种变更之后，依照职业分类表在本合同拒保范围内的，我们不承担给付保险金责任。</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b/>
          <w:sz w:val="11"/>
        </w:rPr>
      </w:pPr>
    </w:p>
    <w:p>
      <w:pPr>
        <w:pStyle w:val="8"/>
        <w:numPr>
          <w:ilvl w:val="1"/>
          <w:numId w:val="32"/>
        </w:numPr>
        <w:tabs>
          <w:tab w:val="left" w:pos="1338"/>
          <w:tab w:val="left" w:pos="1339"/>
          <w:tab w:val="left" w:pos="3307"/>
        </w:tabs>
        <w:spacing w:before="92" w:after="0" w:line="275" w:lineRule="exact"/>
        <w:ind w:left="1338" w:right="0" w:hanging="1005"/>
        <w:jc w:val="left"/>
        <w:rPr>
          <w:sz w:val="21"/>
        </w:rPr>
      </w:pPr>
      <w:r>
        <w:rPr>
          <w:b/>
          <w:sz w:val="21"/>
        </w:rPr>
        <w:t>年龄错</w:t>
      </w:r>
      <w:r>
        <w:rPr>
          <w:b/>
          <w:spacing w:val="-10"/>
          <w:sz w:val="21"/>
        </w:rPr>
        <w:t>误</w:t>
      </w:r>
      <w:r>
        <w:rPr>
          <w:b/>
          <w:sz w:val="21"/>
        </w:rPr>
        <w:tab/>
      </w:r>
      <w:r>
        <w:rPr>
          <w:sz w:val="21"/>
        </w:rPr>
        <w:t>本合同中被保险人的投保年龄以有效身份证件登记的周岁年</w:t>
      </w:r>
      <w:r>
        <w:rPr>
          <w:spacing w:val="-10"/>
          <w:sz w:val="21"/>
        </w:rPr>
        <w:t>龄</w:t>
      </w:r>
    </w:p>
    <w:p>
      <w:pPr>
        <w:pStyle w:val="3"/>
        <w:ind w:left="3307"/>
      </w:pPr>
      <w:r>
        <w:rPr>
          <w:spacing w:val="-3"/>
        </w:rPr>
        <w:t>为准，如果发生错误按照下列方式办理：</w:t>
      </w:r>
    </w:p>
    <w:p>
      <w:pPr>
        <w:pStyle w:val="3"/>
        <w:spacing w:before="6"/>
        <w:rPr>
          <w:sz w:val="19"/>
        </w:rPr>
      </w:pPr>
    </w:p>
    <w:p>
      <w:pPr>
        <w:pStyle w:val="8"/>
        <w:numPr>
          <w:ilvl w:val="2"/>
          <w:numId w:val="32"/>
        </w:numPr>
        <w:tabs>
          <w:tab w:val="left" w:pos="3842"/>
        </w:tabs>
        <w:spacing w:before="0" w:after="0" w:line="242" w:lineRule="auto"/>
        <w:ind w:left="3830" w:right="617" w:hanging="524"/>
        <w:jc w:val="both"/>
        <w:rPr>
          <w:sz w:val="19"/>
        </w:rPr>
      </w:pPr>
      <w:r>
        <w:rPr>
          <w:b/>
          <w:spacing w:val="-2"/>
          <w:sz w:val="21"/>
        </w:rPr>
        <w:t>您申报的被保险人年龄不真实，并且其真实年龄不符合本合同约定投保年龄限制的，我们有权解除合同，并向您退还本合同的未满期净保费。</w:t>
      </w:r>
      <w:r>
        <w:rPr>
          <w:spacing w:val="-2"/>
          <w:sz w:val="21"/>
        </w:rPr>
        <w:t>我们行使合同解除权适用</w:t>
      </w:r>
      <w:r>
        <w:rPr>
          <w:rFonts w:ascii="Times New Roman" w:hAnsi="Times New Roman" w:eastAsia="Times New Roman"/>
          <w:spacing w:val="-2"/>
          <w:sz w:val="21"/>
        </w:rPr>
        <w:t>“</w:t>
      </w:r>
      <w:r>
        <w:rPr>
          <w:spacing w:val="-2"/>
          <w:sz w:val="21"/>
        </w:rPr>
        <w:t>本公司合同解除权的限制</w:t>
      </w:r>
      <w:r>
        <w:rPr>
          <w:rFonts w:ascii="Times New Roman" w:hAnsi="Times New Roman" w:eastAsia="Times New Roman"/>
          <w:spacing w:val="-2"/>
          <w:sz w:val="21"/>
        </w:rPr>
        <w:t>”</w:t>
      </w:r>
      <w:r>
        <w:rPr>
          <w:spacing w:val="-2"/>
          <w:sz w:val="21"/>
        </w:rPr>
        <w:t>的规定；</w:t>
      </w:r>
    </w:p>
    <w:p>
      <w:pPr>
        <w:pStyle w:val="3"/>
        <w:spacing w:before="12"/>
        <w:rPr>
          <w:sz w:val="18"/>
        </w:rPr>
      </w:pPr>
    </w:p>
    <w:p>
      <w:pPr>
        <w:pStyle w:val="8"/>
        <w:numPr>
          <w:ilvl w:val="2"/>
          <w:numId w:val="32"/>
        </w:numPr>
        <w:tabs>
          <w:tab w:val="left" w:pos="3847"/>
        </w:tabs>
        <w:spacing w:before="0" w:after="0" w:line="242" w:lineRule="auto"/>
        <w:ind w:left="3830" w:right="617" w:hanging="524"/>
        <w:jc w:val="both"/>
        <w:rPr>
          <w:sz w:val="19"/>
        </w:rPr>
      </w:pPr>
      <w:r>
        <w:rPr>
          <w:spacing w:val="-2"/>
          <w:sz w:val="21"/>
        </w:rPr>
        <w:t>您申报的被保险人年龄不真实，致使您实付保险费少于应付保险费的，我们有权更正并要求您补交保险费。</w:t>
      </w:r>
      <w:r>
        <w:rPr>
          <w:b/>
          <w:spacing w:val="-2"/>
          <w:sz w:val="21"/>
        </w:rPr>
        <w:t>若已经发生保险事故，在给付保险金时按实付保险费和应付保险费的比例给付；</w:t>
      </w:r>
    </w:p>
    <w:p>
      <w:pPr>
        <w:pStyle w:val="3"/>
        <w:spacing w:before="12"/>
        <w:rPr>
          <w:b/>
          <w:sz w:val="18"/>
        </w:rPr>
      </w:pPr>
    </w:p>
    <w:p>
      <w:pPr>
        <w:pStyle w:val="8"/>
        <w:numPr>
          <w:ilvl w:val="2"/>
          <w:numId w:val="32"/>
        </w:numPr>
        <w:tabs>
          <w:tab w:val="left" w:pos="3847"/>
        </w:tabs>
        <w:spacing w:before="0" w:after="0" w:line="244" w:lineRule="auto"/>
        <w:ind w:left="3830" w:right="621" w:hanging="524"/>
        <w:jc w:val="left"/>
        <w:rPr>
          <w:sz w:val="19"/>
        </w:rPr>
      </w:pPr>
      <w:r>
        <w:rPr>
          <w:spacing w:val="-2"/>
          <w:sz w:val="21"/>
        </w:rPr>
        <w:t>您申报的被保险人年龄不真实，致使您实付保险费多于应付保险费的，我们会将多收的保险费退还给您。</w:t>
      </w:r>
    </w:p>
    <w:p>
      <w:pPr>
        <w:pStyle w:val="3"/>
        <w:spacing w:before="2"/>
        <w:rPr>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合同内容变</w:t>
      </w:r>
      <w:r>
        <w:rPr>
          <w:b/>
          <w:spacing w:val="-10"/>
          <w:sz w:val="21"/>
        </w:rPr>
        <w:t>更</w:t>
      </w:r>
      <w:r>
        <w:rPr>
          <w:b/>
          <w:sz w:val="21"/>
        </w:rPr>
        <w:tab/>
      </w:r>
      <w:r>
        <w:rPr>
          <w:spacing w:val="-2"/>
          <w:sz w:val="21"/>
        </w:rPr>
        <w:t>在本合同有效期内，经您与我们协商一致，可以变更本合同的</w:t>
      </w:r>
      <w:r>
        <w:rPr>
          <w:spacing w:val="-10"/>
          <w:sz w:val="21"/>
        </w:rPr>
        <w:t>有</w:t>
      </w:r>
    </w:p>
    <w:p>
      <w:pPr>
        <w:spacing w:after="0" w:line="240" w:lineRule="auto"/>
        <w:jc w:val="left"/>
        <w:rPr>
          <w:sz w:val="21"/>
        </w:rPr>
        <w:sectPr>
          <w:type w:val="continuous"/>
          <w:pgSz w:w="11910" w:h="16840"/>
          <w:pgMar w:top="320" w:right="620" w:bottom="280" w:left="1480" w:header="0" w:footer="851" w:gutter="0"/>
          <w:cols w:space="720" w:num="1"/>
        </w:sectPr>
      </w:pPr>
    </w:p>
    <w:p>
      <w:pPr>
        <w:pStyle w:val="3"/>
        <w:spacing w:before="51" w:line="244" w:lineRule="auto"/>
        <w:ind w:left="3307" w:right="619"/>
      </w:pPr>
      <w:r>
        <w:rPr>
          <w:spacing w:val="-2"/>
        </w:rPr>
        <w:t>关内容。变更本合同的，应当由我们在保险单或者其他保险凭证上批注或者附贴批单，或者由您与我们订立书面的变更协议。</w:t>
      </w:r>
    </w:p>
    <w:p>
      <w:pPr>
        <w:pStyle w:val="3"/>
        <w:spacing w:before="1"/>
        <w:rPr>
          <w:sz w:val="18"/>
        </w:rPr>
      </w:pPr>
    </w:p>
    <w:p>
      <w:pPr>
        <w:pStyle w:val="8"/>
        <w:numPr>
          <w:ilvl w:val="1"/>
          <w:numId w:val="32"/>
        </w:numPr>
        <w:tabs>
          <w:tab w:val="left" w:pos="1338"/>
          <w:tab w:val="left" w:pos="1339"/>
        </w:tabs>
        <w:spacing w:before="1" w:after="0" w:line="240" w:lineRule="auto"/>
        <w:ind w:left="1338" w:right="0" w:hanging="1005"/>
        <w:jc w:val="both"/>
        <w:rPr>
          <w:sz w:val="21"/>
        </w:rPr>
      </w:pPr>
      <w:r>
        <w:rPr>
          <w:b/>
          <w:spacing w:val="79"/>
          <w:sz w:val="21"/>
        </w:rPr>
        <w:t xml:space="preserve">联系方式变更 </w:t>
      </w:r>
      <w:r>
        <w:rPr>
          <w:spacing w:val="-1"/>
          <w:sz w:val="21"/>
        </w:rPr>
        <w:t>为了保障您的合法权益，您的住所、通讯地址、电子邮件或电话</w:t>
      </w:r>
    </w:p>
    <w:p>
      <w:pPr>
        <w:spacing w:before="4" w:line="242" w:lineRule="auto"/>
        <w:ind w:left="3307" w:right="617" w:firstLine="0"/>
        <w:jc w:val="both"/>
        <w:rPr>
          <w:b/>
          <w:sz w:val="21"/>
        </w:rPr>
      </w:pPr>
      <w:r>
        <w:rPr>
          <w:spacing w:val="-2"/>
          <w:sz w:val="21"/>
        </w:rPr>
        <w:t>变更时，请及时以书面形式或双方认可的其他形式通知我们。</w:t>
      </w:r>
      <w:r>
        <w:rPr>
          <w:b/>
          <w:spacing w:val="-2"/>
          <w:sz w:val="21"/>
        </w:rPr>
        <w:t>否则我们按本合同载明的最后住所、通讯地址、电子邮件或电话发送的有关通知，均视为已送达给您。</w:t>
      </w:r>
    </w:p>
    <w:p>
      <w:pPr>
        <w:pStyle w:val="3"/>
        <w:spacing w:before="5"/>
        <w:rPr>
          <w:b/>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争议处</w:t>
      </w:r>
      <w:r>
        <w:rPr>
          <w:b/>
          <w:spacing w:val="-10"/>
          <w:sz w:val="21"/>
        </w:rPr>
        <w:t>理</w:t>
      </w:r>
      <w:r>
        <w:rPr>
          <w:b/>
          <w:sz w:val="21"/>
        </w:rPr>
        <w:tab/>
      </w:r>
      <w:r>
        <w:rPr>
          <w:spacing w:val="-2"/>
          <w:sz w:val="21"/>
        </w:rPr>
        <w:t>本合同争议解决方式由当事人约定从下列二种方式中选择一种</w:t>
      </w:r>
      <w:r>
        <w:rPr>
          <w:spacing w:val="-10"/>
          <w:sz w:val="21"/>
        </w:rPr>
        <w:t>：</w:t>
      </w:r>
    </w:p>
    <w:p>
      <w:pPr>
        <w:pStyle w:val="8"/>
        <w:numPr>
          <w:ilvl w:val="0"/>
          <w:numId w:val="33"/>
        </w:numPr>
        <w:tabs>
          <w:tab w:val="left" w:pos="3847"/>
        </w:tabs>
        <w:spacing w:before="4" w:after="0" w:line="244" w:lineRule="auto"/>
        <w:ind w:left="3830" w:right="618" w:hanging="524"/>
        <w:jc w:val="left"/>
        <w:rPr>
          <w:sz w:val="21"/>
        </w:rPr>
      </w:pPr>
      <w:r>
        <w:rPr>
          <w:spacing w:val="-2"/>
          <w:sz w:val="21"/>
        </w:rPr>
        <w:t>因履行本合同发生的争议，由当事人协商解决，协商不成的，提交双方共同选择的仲裁委员会仲裁；</w:t>
      </w:r>
    </w:p>
    <w:p>
      <w:pPr>
        <w:pStyle w:val="8"/>
        <w:numPr>
          <w:ilvl w:val="0"/>
          <w:numId w:val="33"/>
        </w:numPr>
        <w:tabs>
          <w:tab w:val="left" w:pos="3837"/>
        </w:tabs>
        <w:spacing w:before="0" w:after="0" w:line="240" w:lineRule="auto"/>
        <w:ind w:left="3782" w:right="713" w:hanging="476"/>
        <w:jc w:val="left"/>
        <w:rPr>
          <w:sz w:val="21"/>
        </w:rPr>
      </w:pPr>
      <w:r>
        <w:rPr>
          <w:spacing w:val="-2"/>
          <w:sz w:val="21"/>
        </w:rPr>
        <w:t>因履行本合同发生的争议，由当事人协商解决，协商不成的，依法向人民法院起诉。</w:t>
      </w:r>
    </w:p>
    <w:p>
      <w:pPr>
        <w:pStyle w:val="3"/>
        <w:spacing w:before="3"/>
        <w:rPr>
          <w:sz w:val="19"/>
        </w:rPr>
      </w:pPr>
    </w:p>
    <w:p>
      <w:pPr>
        <w:pStyle w:val="2"/>
        <w:numPr>
          <w:ilvl w:val="0"/>
          <w:numId w:val="32"/>
        </w:numPr>
        <w:tabs>
          <w:tab w:val="left" w:pos="1338"/>
          <w:tab w:val="left" w:pos="1339"/>
        </w:tabs>
        <w:spacing w:before="0" w:after="4" w:line="240" w:lineRule="auto"/>
        <w:ind w:left="1338" w:right="0" w:hanging="1005"/>
        <w:jc w:val="left"/>
      </w:pPr>
      <w:r>
        <w:rPr>
          <w:w w:val="95"/>
        </w:rPr>
        <w:t>轻症疾病的定义及范</w:t>
      </w:r>
      <w:r>
        <w:rPr>
          <w:spacing w:val="-10"/>
          <w:w w:val="95"/>
        </w:rPr>
        <w:t>围</w:t>
      </w:r>
    </w:p>
    <w:p>
      <w:pPr>
        <w:pStyle w:val="3"/>
        <w:spacing w:line="20" w:lineRule="exact"/>
        <w:ind w:left="224"/>
        <w:rPr>
          <w:sz w:val="2"/>
        </w:rPr>
      </w:pPr>
      <w:r>
        <w:rPr>
          <w:sz w:val="2"/>
        </w:rPr>
        <w:drawing>
          <wp:inline distT="0" distB="0" distL="0" distR="0">
            <wp:extent cx="5756910" cy="5715"/>
            <wp:effectExtent l="0" t="0" r="0" b="0"/>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a:picLocks noChangeAspect="1"/>
                    </pic:cNvPicPr>
                  </pic:nvPicPr>
                  <pic:blipFill>
                    <a:blip r:embed="rId12" cstate="print"/>
                    <a:stretch>
                      <a:fillRect/>
                    </a:stretch>
                  </pic:blipFill>
                  <pic:spPr>
                    <a:xfrm>
                      <a:off x="0" y="0"/>
                      <a:ext cx="5757353" cy="6096"/>
                    </a:xfrm>
                    <a:prstGeom prst="rect">
                      <a:avLst/>
                    </a:prstGeom>
                  </pic:spPr>
                </pic:pic>
              </a:graphicData>
            </a:graphic>
          </wp:inline>
        </w:drawing>
      </w:r>
    </w:p>
    <w:p>
      <w:pPr>
        <w:pStyle w:val="3"/>
        <w:spacing w:line="244" w:lineRule="auto"/>
        <w:ind w:left="334" w:right="618"/>
      </w:pPr>
      <w:r>
        <w:rPr>
          <w:spacing w:val="-2"/>
        </w:rPr>
        <w:t>本合同所指轻症疾病，是被保险人发生符合以下定义所述条件的疾病、疾病状态或手术，应当由专科医生明确诊断。</w:t>
      </w:r>
    </w:p>
    <w:p>
      <w:pPr>
        <w:pStyle w:val="3"/>
        <w:spacing w:before="12"/>
        <w:rPr>
          <w:sz w:val="9"/>
        </w:rPr>
      </w:pPr>
    </w:p>
    <w:p>
      <w:pPr>
        <w:spacing w:after="0"/>
        <w:rPr>
          <w:sz w:val="9"/>
        </w:rPr>
        <w:sectPr>
          <w:pgSz w:w="11910" w:h="16840"/>
          <w:pgMar w:top="1060" w:right="620" w:bottom="1040" w:left="1480" w:header="0" w:footer="851" w:gutter="0"/>
          <w:cols w:space="720" w:num="1"/>
        </w:sectPr>
      </w:pPr>
    </w:p>
    <w:p>
      <w:pPr>
        <w:pStyle w:val="8"/>
        <w:numPr>
          <w:ilvl w:val="1"/>
          <w:numId w:val="32"/>
        </w:numPr>
        <w:tabs>
          <w:tab w:val="left" w:pos="1338"/>
          <w:tab w:val="left" w:pos="1339"/>
        </w:tabs>
        <w:spacing w:before="91" w:after="0" w:line="244" w:lineRule="auto"/>
        <w:ind w:left="1338" w:right="0" w:hanging="1004"/>
        <w:jc w:val="left"/>
        <w:rPr>
          <w:b/>
          <w:sz w:val="21"/>
        </w:rPr>
      </w:pPr>
      <w:r>
        <w:rPr>
          <w:b/>
          <w:spacing w:val="-2"/>
          <w:sz w:val="21"/>
        </w:rPr>
        <w:t>极早期恶性肿瘤或</w:t>
      </w:r>
      <w:r>
        <w:rPr>
          <w:b/>
          <w:spacing w:val="-4"/>
          <w:sz w:val="21"/>
        </w:rPr>
        <w:t>恶性病变</w:t>
      </w:r>
    </w:p>
    <w:p>
      <w:pPr>
        <w:pStyle w:val="3"/>
        <w:spacing w:before="97" w:line="244" w:lineRule="auto"/>
        <w:ind w:left="162" w:right="619"/>
        <w:rPr>
          <w:rFonts w:ascii="Times New Roman" w:eastAsia="Times New Roman"/>
        </w:rPr>
      </w:pPr>
      <w:r>
        <w:br w:type="column"/>
      </w:r>
      <w:r>
        <w:rPr>
          <w:spacing w:val="-2"/>
        </w:rPr>
        <w:t>指经组织病理学检查以及专科医生确认，被明确诊断为下列恶性病变，并且接受了相应的治疗</w:t>
      </w:r>
      <w:r>
        <w:rPr>
          <w:rFonts w:ascii="Times New Roman" w:eastAsia="Times New Roman"/>
          <w:spacing w:val="-2"/>
        </w:rPr>
        <w:t>:</w:t>
      </w:r>
    </w:p>
    <w:p>
      <w:pPr>
        <w:pStyle w:val="8"/>
        <w:numPr>
          <w:ilvl w:val="0"/>
          <w:numId w:val="34"/>
        </w:numPr>
        <w:tabs>
          <w:tab w:val="left" w:pos="692"/>
        </w:tabs>
        <w:spacing w:before="0" w:after="0" w:line="263" w:lineRule="exact"/>
        <w:ind w:left="691" w:right="0" w:hanging="530"/>
        <w:jc w:val="left"/>
        <w:rPr>
          <w:sz w:val="21"/>
        </w:rPr>
      </w:pPr>
      <w:r>
        <w:rPr>
          <w:spacing w:val="-4"/>
          <w:sz w:val="21"/>
        </w:rPr>
        <w:t>原位癌；</w:t>
      </w:r>
    </w:p>
    <w:p>
      <w:pPr>
        <w:pStyle w:val="8"/>
        <w:numPr>
          <w:ilvl w:val="0"/>
          <w:numId w:val="34"/>
        </w:numPr>
        <w:tabs>
          <w:tab w:val="left" w:pos="692"/>
        </w:tabs>
        <w:spacing w:before="5" w:after="0" w:line="240" w:lineRule="auto"/>
        <w:ind w:left="691" w:right="0" w:hanging="530"/>
        <w:jc w:val="left"/>
        <w:rPr>
          <w:sz w:val="21"/>
        </w:rPr>
      </w:pPr>
      <w:r>
        <w:rPr>
          <w:spacing w:val="-13"/>
          <w:sz w:val="21"/>
        </w:rPr>
        <w:t xml:space="preserve">相当于 </w:t>
      </w:r>
      <w:r>
        <w:rPr>
          <w:rFonts w:ascii="Times New Roman" w:eastAsia="Times New Roman"/>
          <w:sz w:val="21"/>
        </w:rPr>
        <w:t>Binet</w:t>
      </w:r>
      <w:r>
        <w:rPr>
          <w:rFonts w:ascii="Times New Roman" w:eastAsia="Times New Roman"/>
          <w:spacing w:val="-14"/>
          <w:sz w:val="21"/>
        </w:rPr>
        <w:t xml:space="preserve"> </w:t>
      </w:r>
      <w:r>
        <w:rPr>
          <w:spacing w:val="-11"/>
          <w:sz w:val="21"/>
        </w:rPr>
        <w:t xml:space="preserve">分期方案 </w:t>
      </w:r>
      <w:r>
        <w:rPr>
          <w:rFonts w:ascii="Times New Roman" w:eastAsia="Times New Roman"/>
          <w:sz w:val="21"/>
        </w:rPr>
        <w:t>A</w:t>
      </w:r>
      <w:r>
        <w:rPr>
          <w:rFonts w:ascii="Times New Roman" w:eastAsia="Times New Roman"/>
          <w:spacing w:val="25"/>
          <w:sz w:val="21"/>
        </w:rPr>
        <w:t xml:space="preserve"> </w:t>
      </w:r>
      <w:r>
        <w:rPr>
          <w:spacing w:val="-1"/>
          <w:sz w:val="21"/>
        </w:rPr>
        <w:t>期程度的慢性淋巴细胞白血病；</w:t>
      </w:r>
    </w:p>
    <w:p>
      <w:pPr>
        <w:pStyle w:val="8"/>
        <w:numPr>
          <w:ilvl w:val="0"/>
          <w:numId w:val="34"/>
        </w:numPr>
        <w:tabs>
          <w:tab w:val="left" w:pos="692"/>
        </w:tabs>
        <w:spacing w:before="5" w:after="0" w:line="240" w:lineRule="auto"/>
        <w:ind w:left="691" w:right="0" w:hanging="530"/>
        <w:jc w:val="left"/>
        <w:rPr>
          <w:sz w:val="21"/>
        </w:rPr>
      </w:pPr>
      <w:r>
        <w:rPr>
          <w:spacing w:val="-14"/>
          <w:sz w:val="21"/>
        </w:rPr>
        <w:t xml:space="preserve">相当于 </w:t>
      </w:r>
      <w:r>
        <w:rPr>
          <w:rFonts w:ascii="Times New Roman" w:eastAsia="Times New Roman"/>
          <w:spacing w:val="-2"/>
          <w:sz w:val="21"/>
        </w:rPr>
        <w:t>Ann</w:t>
      </w:r>
      <w:r>
        <w:rPr>
          <w:rFonts w:ascii="Times New Roman" w:eastAsia="Times New Roman"/>
          <w:spacing w:val="-11"/>
          <w:sz w:val="21"/>
        </w:rPr>
        <w:t xml:space="preserve"> </w:t>
      </w:r>
      <w:r>
        <w:rPr>
          <w:rFonts w:ascii="Times New Roman" w:eastAsia="Times New Roman"/>
          <w:spacing w:val="-2"/>
          <w:sz w:val="21"/>
        </w:rPr>
        <w:t>Arbor</w:t>
      </w:r>
      <w:r>
        <w:rPr>
          <w:rFonts w:ascii="Times New Roman" w:eastAsia="Times New Roman"/>
          <w:spacing w:val="7"/>
          <w:sz w:val="21"/>
        </w:rPr>
        <w:t xml:space="preserve"> </w:t>
      </w:r>
      <w:r>
        <w:rPr>
          <w:spacing w:val="-12"/>
          <w:sz w:val="21"/>
        </w:rPr>
        <w:t xml:space="preserve">分期方案 </w:t>
      </w:r>
      <w:r>
        <w:rPr>
          <w:rFonts w:ascii="Times New Roman" w:eastAsia="Times New Roman"/>
          <w:spacing w:val="-2"/>
          <w:sz w:val="21"/>
        </w:rPr>
        <w:t>I</w:t>
      </w:r>
      <w:r>
        <w:rPr>
          <w:rFonts w:ascii="Times New Roman" w:eastAsia="Times New Roman"/>
          <w:spacing w:val="2"/>
          <w:sz w:val="21"/>
        </w:rPr>
        <w:t xml:space="preserve"> </w:t>
      </w:r>
      <w:r>
        <w:rPr>
          <w:spacing w:val="-3"/>
          <w:sz w:val="21"/>
        </w:rPr>
        <w:t>期程度的何杰金氏病；</w:t>
      </w:r>
    </w:p>
    <w:p>
      <w:pPr>
        <w:pStyle w:val="8"/>
        <w:numPr>
          <w:ilvl w:val="0"/>
          <w:numId w:val="34"/>
        </w:numPr>
        <w:tabs>
          <w:tab w:val="left" w:pos="692"/>
        </w:tabs>
        <w:spacing w:before="4" w:after="0" w:line="269" w:lineRule="exact"/>
        <w:ind w:left="691" w:right="0" w:hanging="530"/>
        <w:jc w:val="left"/>
        <w:rPr>
          <w:sz w:val="21"/>
        </w:rPr>
      </w:pPr>
      <w:r>
        <w:rPr>
          <w:spacing w:val="-2"/>
          <w:sz w:val="21"/>
        </w:rPr>
        <w:t>皮肤癌（不包括恶性黑色素瘤及已发生转移的皮肤癌</w:t>
      </w:r>
      <w:r>
        <w:rPr>
          <w:spacing w:val="-111"/>
          <w:sz w:val="21"/>
        </w:rPr>
        <w:t>）</w:t>
      </w:r>
      <w:r>
        <w:rPr>
          <w:spacing w:val="-5"/>
          <w:sz w:val="21"/>
        </w:rPr>
        <w:t>；</w:t>
      </w:r>
    </w:p>
    <w:p>
      <w:pPr>
        <w:pStyle w:val="8"/>
        <w:numPr>
          <w:ilvl w:val="0"/>
          <w:numId w:val="34"/>
        </w:numPr>
        <w:tabs>
          <w:tab w:val="left" w:pos="692"/>
        </w:tabs>
        <w:spacing w:before="0" w:after="0" w:line="240" w:lineRule="auto"/>
        <w:ind w:left="691" w:right="0" w:hanging="530"/>
        <w:jc w:val="both"/>
        <w:rPr>
          <w:sz w:val="21"/>
        </w:rPr>
      </w:pPr>
      <w:r>
        <w:rPr>
          <w:rFonts w:ascii="Times New Roman" w:eastAsia="Times New Roman"/>
          <w:spacing w:val="-2"/>
          <w:sz w:val="21"/>
        </w:rPr>
        <w:t>TNM</w:t>
      </w:r>
      <w:r>
        <w:rPr>
          <w:rFonts w:ascii="Times New Roman" w:eastAsia="Times New Roman"/>
          <w:spacing w:val="6"/>
          <w:sz w:val="21"/>
        </w:rPr>
        <w:t xml:space="preserve"> </w:t>
      </w:r>
      <w:r>
        <w:rPr>
          <w:spacing w:val="-13"/>
          <w:sz w:val="21"/>
        </w:rPr>
        <w:t xml:space="preserve">分期为 </w:t>
      </w:r>
      <w:r>
        <w:rPr>
          <w:rFonts w:ascii="Times New Roman" w:eastAsia="Times New Roman"/>
          <w:spacing w:val="-2"/>
          <w:sz w:val="21"/>
        </w:rPr>
        <w:t>T</w:t>
      </w:r>
      <w:r>
        <w:rPr>
          <w:rFonts w:ascii="Times New Roman" w:eastAsia="Times New Roman"/>
          <w:spacing w:val="-2"/>
          <w:sz w:val="21"/>
          <w:vertAlign w:val="subscript"/>
        </w:rPr>
        <w:t>1</w:t>
      </w:r>
      <w:r>
        <w:rPr>
          <w:rFonts w:ascii="Times New Roman" w:eastAsia="Times New Roman"/>
          <w:spacing w:val="-2"/>
          <w:sz w:val="21"/>
          <w:vertAlign w:val="baseline"/>
        </w:rPr>
        <w:t>N</w:t>
      </w:r>
      <w:r>
        <w:rPr>
          <w:rFonts w:ascii="Times New Roman" w:eastAsia="Times New Roman"/>
          <w:spacing w:val="-2"/>
          <w:sz w:val="21"/>
          <w:vertAlign w:val="subscript"/>
        </w:rPr>
        <w:t>0</w:t>
      </w:r>
      <w:r>
        <w:rPr>
          <w:rFonts w:ascii="Times New Roman" w:eastAsia="Times New Roman"/>
          <w:spacing w:val="-2"/>
          <w:sz w:val="21"/>
          <w:vertAlign w:val="baseline"/>
        </w:rPr>
        <w:t>M</w:t>
      </w:r>
      <w:r>
        <w:rPr>
          <w:rFonts w:ascii="Times New Roman" w:eastAsia="Times New Roman"/>
          <w:spacing w:val="-2"/>
          <w:sz w:val="21"/>
          <w:vertAlign w:val="subscript"/>
        </w:rPr>
        <w:t>0</w:t>
      </w:r>
      <w:r>
        <w:rPr>
          <w:rFonts w:ascii="Times New Roman" w:eastAsia="Times New Roman"/>
          <w:spacing w:val="-18"/>
          <w:sz w:val="21"/>
          <w:vertAlign w:val="baseline"/>
        </w:rPr>
        <w:t xml:space="preserve"> </w:t>
      </w:r>
      <w:r>
        <w:rPr>
          <w:spacing w:val="-3"/>
          <w:sz w:val="21"/>
          <w:vertAlign w:val="baseline"/>
        </w:rPr>
        <w:t>期或者更轻分期的前列腺癌。</w:t>
      </w:r>
    </w:p>
    <w:p>
      <w:pPr>
        <w:spacing w:before="5" w:line="242" w:lineRule="auto"/>
        <w:ind w:left="162" w:right="617" w:firstLine="0"/>
        <w:jc w:val="both"/>
        <w:rPr>
          <w:b/>
          <w:sz w:val="21"/>
        </w:rPr>
      </w:pPr>
      <w:r>
        <w:rPr>
          <w:b/>
          <w:spacing w:val="3"/>
          <w:w w:val="100"/>
          <w:sz w:val="21"/>
        </w:rPr>
        <w:t>原位癌指恶性细胞局限于上皮内但尚未穿破基底膜浸润周围正</w:t>
      </w:r>
      <w:r>
        <w:rPr>
          <w:b/>
          <w:spacing w:val="-4"/>
          <w:w w:val="100"/>
          <w:sz w:val="21"/>
        </w:rPr>
        <w:t>常组织的癌细胞新生物，必须在生前诊断。对被保险人所患癌症在被诊时已经超越原位癌阶段者，不在本保障范围之内。</w:t>
      </w:r>
      <w:r>
        <w:rPr>
          <w:spacing w:val="-8"/>
          <w:w w:val="100"/>
          <w:sz w:val="21"/>
        </w:rPr>
        <w:t>索赔时</w:t>
      </w:r>
      <w:r>
        <w:rPr>
          <w:spacing w:val="3"/>
          <w:w w:val="100"/>
          <w:sz w:val="21"/>
        </w:rPr>
        <w:t>须提交由病理科专科医生签署的固定活组织病理学检查报告和</w:t>
      </w:r>
      <w:r>
        <w:rPr>
          <w:spacing w:val="-6"/>
          <w:w w:val="100"/>
          <w:sz w:val="21"/>
        </w:rPr>
        <w:t>由专科医生签署的临床诊断及治疗报告，仅凭细胞学检查结果的</w:t>
      </w:r>
      <w:r>
        <w:rPr>
          <w:spacing w:val="14"/>
          <w:w w:val="100"/>
          <w:sz w:val="21"/>
        </w:rPr>
        <w:t>临床诊断将不被接受。</w:t>
      </w:r>
      <w:r>
        <w:rPr>
          <w:b/>
          <w:spacing w:val="16"/>
          <w:w w:val="100"/>
          <w:sz w:val="21"/>
        </w:rPr>
        <w:t>癌前病变</w:t>
      </w:r>
      <w:r>
        <w:rPr>
          <w:b/>
          <w:spacing w:val="14"/>
          <w:w w:val="100"/>
          <w:sz w:val="21"/>
        </w:rPr>
        <w:t>（</w:t>
      </w:r>
      <w:r>
        <w:rPr>
          <w:b/>
          <w:spacing w:val="12"/>
          <w:w w:val="100"/>
          <w:sz w:val="21"/>
        </w:rPr>
        <w:t xml:space="preserve">包括宫颈上皮内瘤样病变 </w:t>
      </w:r>
      <w:r>
        <w:rPr>
          <w:rFonts w:ascii="Times New Roman" w:eastAsia="Times New Roman"/>
          <w:b/>
          <w:spacing w:val="12"/>
          <w:w w:val="100"/>
          <w:sz w:val="21"/>
        </w:rPr>
        <w:t>CIN</w:t>
      </w:r>
      <w:r>
        <w:rPr>
          <w:rFonts w:ascii="Times New Roman" w:eastAsia="Times New Roman"/>
          <w:b/>
          <w:spacing w:val="1"/>
          <w:w w:val="100"/>
          <w:sz w:val="21"/>
        </w:rPr>
        <w:t>-</w:t>
      </w:r>
      <w:r>
        <w:rPr>
          <w:rFonts w:ascii="Times New Roman" w:eastAsia="Times New Roman"/>
          <w:b/>
          <w:spacing w:val="-5"/>
          <w:w w:val="100"/>
          <w:sz w:val="21"/>
        </w:rPr>
        <w:t>1</w:t>
      </w:r>
      <w:r>
        <w:rPr>
          <w:b/>
          <w:w w:val="100"/>
          <w:sz w:val="21"/>
        </w:rPr>
        <w:t>，</w:t>
      </w:r>
      <w:r>
        <w:rPr>
          <w:rFonts w:ascii="Times New Roman" w:eastAsia="Times New Roman"/>
          <w:b/>
          <w:w w:val="100"/>
          <w:sz w:val="21"/>
        </w:rPr>
        <w:t>CI</w:t>
      </w:r>
      <w:r>
        <w:rPr>
          <w:rFonts w:ascii="Times New Roman" w:eastAsia="Times New Roman"/>
          <w:b/>
          <w:spacing w:val="-4"/>
          <w:w w:val="100"/>
          <w:sz w:val="21"/>
        </w:rPr>
        <w:t>N</w:t>
      </w:r>
      <w:r>
        <w:rPr>
          <w:rFonts w:ascii="Times New Roman" w:eastAsia="Times New Roman"/>
          <w:b/>
          <w:spacing w:val="1"/>
          <w:w w:val="100"/>
          <w:sz w:val="21"/>
        </w:rPr>
        <w:t>-</w:t>
      </w:r>
      <w:r>
        <w:rPr>
          <w:rFonts w:ascii="Times New Roman" w:eastAsia="Times New Roman"/>
          <w:b/>
          <w:spacing w:val="-5"/>
          <w:w w:val="100"/>
          <w:sz w:val="21"/>
        </w:rPr>
        <w:t>2</w:t>
      </w:r>
      <w:r>
        <w:rPr>
          <w:b/>
          <w:w w:val="100"/>
          <w:sz w:val="21"/>
        </w:rPr>
        <w:t>，重度不典型增生但非原位癌</w:t>
      </w:r>
      <w:r>
        <w:rPr>
          <w:b/>
          <w:spacing w:val="-106"/>
          <w:w w:val="100"/>
          <w:sz w:val="21"/>
        </w:rPr>
        <w:t>）</w:t>
      </w:r>
      <w:r>
        <w:rPr>
          <w:b/>
          <w:w w:val="100"/>
          <w:sz w:val="21"/>
        </w:rPr>
        <w:t>、感染艾滋病毒或</w:t>
      </w:r>
      <w:r>
        <w:rPr>
          <w:b/>
          <w:spacing w:val="3"/>
          <w:w w:val="100"/>
          <w:sz w:val="21"/>
        </w:rPr>
        <w:t>患艾滋病期间所患极早期恶性肿瘤或恶性病变不在本保障范围之内。</w:t>
      </w:r>
    </w:p>
    <w:p>
      <w:pPr>
        <w:spacing w:after="0" w:line="242" w:lineRule="auto"/>
        <w:jc w:val="both"/>
        <w:rPr>
          <w:sz w:val="21"/>
        </w:rPr>
        <w:sectPr>
          <w:type w:val="continuous"/>
          <w:pgSz w:w="11910" w:h="16840"/>
          <w:pgMar w:top="320" w:right="620" w:bottom="280" w:left="1480" w:header="0" w:footer="851" w:gutter="0"/>
          <w:cols w:equalWidth="0" w:num="2">
            <w:col w:w="3106" w:space="40"/>
            <w:col w:w="6664"/>
          </w:cols>
        </w:sectPr>
      </w:pPr>
    </w:p>
    <w:p>
      <w:pPr>
        <w:pStyle w:val="3"/>
        <w:rPr>
          <w:b/>
          <w:sz w:val="20"/>
        </w:rPr>
      </w:pPr>
    </w:p>
    <w:p>
      <w:pPr>
        <w:spacing w:after="0"/>
        <w:rPr>
          <w:sz w:val="20"/>
        </w:rPr>
        <w:sectPr>
          <w:type w:val="continuous"/>
          <w:pgSz w:w="11910" w:h="16840"/>
          <w:pgMar w:top="320" w:right="620" w:bottom="280" w:left="1480" w:header="0" w:footer="851" w:gutter="0"/>
          <w:cols w:space="720" w:num="1"/>
        </w:sectPr>
      </w:pPr>
    </w:p>
    <w:p>
      <w:pPr>
        <w:pStyle w:val="3"/>
        <w:spacing w:before="7"/>
        <w:rPr>
          <w:b/>
          <w:sz w:val="17"/>
        </w:rPr>
      </w:pPr>
    </w:p>
    <w:p>
      <w:pPr>
        <w:pStyle w:val="8"/>
        <w:numPr>
          <w:ilvl w:val="1"/>
          <w:numId w:val="32"/>
        </w:numPr>
        <w:tabs>
          <w:tab w:val="left" w:pos="1338"/>
          <w:tab w:val="left" w:pos="1339"/>
        </w:tabs>
        <w:spacing w:before="1" w:after="0" w:line="244" w:lineRule="auto"/>
        <w:ind w:left="1338" w:right="0" w:hanging="1004"/>
        <w:jc w:val="left"/>
        <w:rPr>
          <w:b/>
          <w:sz w:val="21"/>
        </w:rPr>
      </w:pPr>
      <w:r>
        <w:rPr>
          <w:b/>
          <w:spacing w:val="-2"/>
          <w:sz w:val="21"/>
        </w:rPr>
        <w:t>不典型的急性心肌</w:t>
      </w:r>
      <w:r>
        <w:rPr>
          <w:b/>
          <w:spacing w:val="-6"/>
          <w:sz w:val="21"/>
        </w:rPr>
        <w:t>梗塞</w:t>
      </w:r>
    </w:p>
    <w:p>
      <w:pPr>
        <w:spacing w:before="1" w:line="240" w:lineRule="auto"/>
        <w:rPr>
          <w:b/>
          <w:sz w:val="18"/>
        </w:rPr>
      </w:pPr>
      <w:r>
        <w:br w:type="column"/>
      </w:r>
    </w:p>
    <w:p>
      <w:pPr>
        <w:pStyle w:val="3"/>
        <w:spacing w:line="244" w:lineRule="auto"/>
        <w:ind w:left="162" w:right="508"/>
      </w:pPr>
      <w:r>
        <w:rPr>
          <w:spacing w:val="-2"/>
        </w:rPr>
        <w:t>指被临床诊断为急性心肌梗塞并接受了急性心肌梗塞治疗，且满</w:t>
      </w:r>
      <w:r>
        <w:rPr>
          <w:spacing w:val="-12"/>
        </w:rPr>
        <w:t>足下列全部条件，但未达到本合同所指重大疾病“急性心肌梗塞”</w:t>
      </w:r>
      <w:r>
        <w:rPr>
          <w:spacing w:val="-4"/>
        </w:rPr>
        <w:t>的标准：</w:t>
      </w:r>
    </w:p>
    <w:p>
      <w:pPr>
        <w:pStyle w:val="8"/>
        <w:numPr>
          <w:ilvl w:val="0"/>
          <w:numId w:val="35"/>
        </w:numPr>
        <w:tabs>
          <w:tab w:val="left" w:pos="692"/>
        </w:tabs>
        <w:spacing w:before="0" w:after="0" w:line="267" w:lineRule="exact"/>
        <w:ind w:left="691" w:right="0" w:hanging="530"/>
        <w:jc w:val="left"/>
        <w:rPr>
          <w:sz w:val="21"/>
        </w:rPr>
      </w:pPr>
      <w:r>
        <w:rPr>
          <w:spacing w:val="-3"/>
          <w:sz w:val="21"/>
        </w:rPr>
        <w:t>心肌酶或肌钙蛋白有诊断意义的升高；</w:t>
      </w:r>
    </w:p>
    <w:p>
      <w:pPr>
        <w:pStyle w:val="8"/>
        <w:numPr>
          <w:ilvl w:val="0"/>
          <w:numId w:val="35"/>
        </w:numPr>
        <w:tabs>
          <w:tab w:val="left" w:pos="692"/>
        </w:tabs>
        <w:spacing w:before="0" w:after="0" w:line="240" w:lineRule="auto"/>
        <w:ind w:left="691" w:right="0" w:hanging="530"/>
        <w:jc w:val="left"/>
        <w:rPr>
          <w:sz w:val="21"/>
        </w:rPr>
      </w:pPr>
      <w:r>
        <w:rPr>
          <w:spacing w:val="-7"/>
          <w:sz w:val="21"/>
        </w:rPr>
        <w:t xml:space="preserve">心电图有损伤性的 </w:t>
      </w:r>
      <w:r>
        <w:rPr>
          <w:rFonts w:ascii="Times New Roman" w:eastAsia="Times New Roman"/>
          <w:spacing w:val="-2"/>
          <w:sz w:val="21"/>
        </w:rPr>
        <w:t>ST</w:t>
      </w:r>
      <w:r>
        <w:rPr>
          <w:rFonts w:ascii="Times New Roman" w:eastAsia="Times New Roman"/>
          <w:spacing w:val="3"/>
          <w:sz w:val="21"/>
        </w:rPr>
        <w:t xml:space="preserve"> </w:t>
      </w:r>
      <w:r>
        <w:rPr>
          <w:spacing w:val="-4"/>
          <w:sz w:val="21"/>
        </w:rPr>
        <w:t>段改变。</w:t>
      </w:r>
    </w:p>
    <w:p>
      <w:pPr>
        <w:spacing w:before="5" w:line="242" w:lineRule="auto"/>
        <w:ind w:left="162" w:right="513" w:firstLine="0"/>
        <w:jc w:val="left"/>
        <w:rPr>
          <w:b/>
          <w:sz w:val="21"/>
        </w:rPr>
      </w:pPr>
      <w:r>
        <w:rPr>
          <w:b/>
          <w:spacing w:val="-15"/>
          <w:sz w:val="21"/>
        </w:rPr>
        <w:t>本公司仅对“不典型的急性心肌梗塞”、“冠状动脉介入手术</w:t>
      </w:r>
      <w:r>
        <w:rPr>
          <w:b/>
          <w:spacing w:val="-2"/>
          <w:sz w:val="21"/>
        </w:rPr>
        <w:t>（非开胸手术</w:t>
      </w:r>
      <w:r>
        <w:rPr>
          <w:b/>
          <w:spacing w:val="-106"/>
          <w:sz w:val="21"/>
        </w:rPr>
        <w:t>）”</w:t>
      </w:r>
      <w:r>
        <w:rPr>
          <w:b/>
          <w:spacing w:val="-14"/>
          <w:sz w:val="21"/>
        </w:rPr>
        <w:t>、“微创冠状动脉搭桥术”和“激光心肌血运重建术”</w:t>
      </w:r>
      <w:r>
        <w:rPr>
          <w:b/>
          <w:spacing w:val="-2"/>
          <w:sz w:val="21"/>
        </w:rPr>
        <w:t>四项中的其中一项承担保险责任，给付其中一项保险金后，对其他三项轻症疾病保险责任同时终止。</w:t>
      </w:r>
    </w:p>
    <w:p>
      <w:pPr>
        <w:spacing w:after="0" w:line="242"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b/>
          <w:sz w:val="20"/>
        </w:rPr>
      </w:pPr>
    </w:p>
    <w:p>
      <w:pPr>
        <w:spacing w:after="0"/>
        <w:rPr>
          <w:sz w:val="20"/>
        </w:rPr>
        <w:sectPr>
          <w:type w:val="continuous"/>
          <w:pgSz w:w="11910" w:h="16840"/>
          <w:pgMar w:top="320" w:right="620" w:bottom="280" w:left="1480" w:header="0" w:footer="851" w:gutter="0"/>
          <w:cols w:space="720" w:num="1"/>
        </w:sectPr>
      </w:pPr>
    </w:p>
    <w:p>
      <w:pPr>
        <w:pStyle w:val="3"/>
        <w:spacing w:before="7"/>
        <w:rPr>
          <w:b/>
          <w:sz w:val="17"/>
        </w:rPr>
      </w:pPr>
    </w:p>
    <w:p>
      <w:pPr>
        <w:pStyle w:val="8"/>
        <w:numPr>
          <w:ilvl w:val="1"/>
          <w:numId w:val="32"/>
        </w:numPr>
        <w:tabs>
          <w:tab w:val="left" w:pos="1338"/>
          <w:tab w:val="left" w:pos="1339"/>
        </w:tabs>
        <w:spacing w:before="0" w:after="0" w:line="275" w:lineRule="exact"/>
        <w:ind w:left="1338" w:right="0" w:hanging="1005"/>
        <w:jc w:val="left"/>
        <w:rPr>
          <w:b/>
          <w:sz w:val="21"/>
        </w:rPr>
      </w:pPr>
      <w:r>
        <w:rPr>
          <w:b/>
          <w:spacing w:val="-2"/>
          <w:sz w:val="21"/>
        </w:rPr>
        <w:t>冠状动脉介入手术</w:t>
      </w:r>
    </w:p>
    <w:p>
      <w:pPr>
        <w:spacing w:before="0"/>
        <w:ind w:left="1338" w:right="0" w:firstLine="0"/>
        <w:jc w:val="left"/>
        <w:rPr>
          <w:b/>
          <w:sz w:val="21"/>
        </w:rPr>
      </w:pPr>
      <w:r>
        <w:rPr>
          <w:b/>
          <w:sz w:val="21"/>
        </w:rPr>
        <w:t>（非开胸手术</w:t>
      </w:r>
      <w:r>
        <w:rPr>
          <w:b/>
          <w:spacing w:val="-10"/>
          <w:sz w:val="21"/>
        </w:rPr>
        <w:t>）</w:t>
      </w:r>
    </w:p>
    <w:p>
      <w:pPr>
        <w:spacing w:before="0" w:line="240" w:lineRule="auto"/>
        <w:rPr>
          <w:b/>
          <w:sz w:val="18"/>
        </w:rPr>
      </w:pPr>
      <w:r>
        <w:br w:type="column"/>
      </w:r>
    </w:p>
    <w:p>
      <w:pPr>
        <w:pStyle w:val="3"/>
        <w:spacing w:before="1" w:line="242" w:lineRule="auto"/>
        <w:ind w:left="162" w:right="619"/>
        <w:jc w:val="both"/>
      </w:pPr>
      <w:r>
        <w:rPr>
          <w:spacing w:val="-2"/>
        </w:rPr>
        <w:t>指为纠正冠状动脉的狭窄或堵塞，而实际实施的冠状动脉球囊扩张成形术、冠状动脉支架植入术、冠状动脉粥肿斑块切除术、激光冠状动脉成形术。</w:t>
      </w:r>
    </w:p>
    <w:p>
      <w:pPr>
        <w:spacing w:before="0" w:line="242" w:lineRule="auto"/>
        <w:ind w:left="162" w:right="513" w:firstLine="0"/>
        <w:jc w:val="left"/>
        <w:rPr>
          <w:b/>
          <w:sz w:val="21"/>
        </w:rPr>
      </w:pPr>
      <w:r>
        <w:rPr>
          <w:b/>
          <w:spacing w:val="-15"/>
          <w:sz w:val="21"/>
        </w:rPr>
        <w:t>本公司仅对“不典型的急性心肌梗塞”、“冠状动脉介入手术</w:t>
      </w:r>
      <w:r>
        <w:rPr>
          <w:b/>
          <w:spacing w:val="-2"/>
          <w:sz w:val="21"/>
        </w:rPr>
        <w:t>（非开胸手术</w:t>
      </w:r>
      <w:r>
        <w:rPr>
          <w:b/>
          <w:spacing w:val="-106"/>
          <w:sz w:val="21"/>
        </w:rPr>
        <w:t>）”</w:t>
      </w:r>
      <w:r>
        <w:rPr>
          <w:b/>
          <w:spacing w:val="-14"/>
          <w:sz w:val="21"/>
        </w:rPr>
        <w:t>、“微创冠状动脉搭桥术”和“激光心肌血运重建术”</w:t>
      </w:r>
      <w:r>
        <w:rPr>
          <w:b/>
          <w:spacing w:val="-2"/>
          <w:sz w:val="21"/>
        </w:rPr>
        <w:t>四项中的其中一项承担保险责任，给付其中一项保险金后，对其他三项轻症疾病保险责任同时终止。</w:t>
      </w:r>
    </w:p>
    <w:p>
      <w:pPr>
        <w:spacing w:after="0" w:line="242" w:lineRule="auto"/>
        <w:jc w:val="left"/>
        <w:rPr>
          <w:sz w:val="21"/>
        </w:rPr>
        <w:sectPr>
          <w:type w:val="continuous"/>
          <w:pgSz w:w="11910" w:h="16840"/>
          <w:pgMar w:top="320" w:right="620" w:bottom="280" w:left="1480" w:header="0" w:footer="851" w:gutter="0"/>
          <w:cols w:equalWidth="0" w:num="2">
            <w:col w:w="3106" w:space="40"/>
            <w:col w:w="6664"/>
          </w:cols>
        </w:sectPr>
      </w:pPr>
    </w:p>
    <w:p>
      <w:pPr>
        <w:pStyle w:val="8"/>
        <w:numPr>
          <w:ilvl w:val="1"/>
          <w:numId w:val="32"/>
        </w:numPr>
        <w:tabs>
          <w:tab w:val="left" w:pos="1338"/>
          <w:tab w:val="left" w:pos="1339"/>
        </w:tabs>
        <w:spacing w:before="70" w:after="0" w:line="240" w:lineRule="auto"/>
        <w:ind w:left="1338" w:right="0" w:hanging="1005"/>
        <w:jc w:val="both"/>
        <w:rPr>
          <w:sz w:val="21"/>
        </w:rPr>
      </w:pPr>
      <w:r>
        <w:rPr>
          <w:b/>
          <w:sz w:val="21"/>
        </w:rPr>
        <w:t>轻微脑中风后遗症</w:t>
      </w:r>
      <w:r>
        <w:rPr>
          <w:b/>
          <w:spacing w:val="57"/>
          <w:w w:val="150"/>
          <w:sz w:val="21"/>
        </w:rPr>
        <w:t xml:space="preserve">  </w:t>
      </w:r>
      <w:r>
        <w:rPr>
          <w:spacing w:val="-1"/>
          <w:sz w:val="21"/>
        </w:rPr>
        <w:t>指被保险人实际实施发生了脑血管的突发病变并出现神经系统</w:t>
      </w:r>
    </w:p>
    <w:p>
      <w:pPr>
        <w:pStyle w:val="3"/>
        <w:spacing w:before="4" w:line="242" w:lineRule="auto"/>
        <w:ind w:left="3307" w:right="618"/>
        <w:jc w:val="both"/>
      </w:pPr>
      <w:r>
        <w:rPr>
          <w:spacing w:val="-2"/>
        </w:rPr>
        <w:t>功能障碍表现，头颅断层扫描（</w:t>
      </w:r>
      <w:r>
        <w:rPr>
          <w:rFonts w:ascii="Times New Roman" w:hAnsi="Times New Roman" w:eastAsia="Times New Roman"/>
          <w:spacing w:val="-2"/>
        </w:rPr>
        <w:t>CT)</w:t>
      </w:r>
      <w:r>
        <w:rPr>
          <w:spacing w:val="-2"/>
        </w:rPr>
        <w:t>、核磁共振（</w:t>
      </w:r>
      <w:r>
        <w:rPr>
          <w:rFonts w:ascii="Times New Roman" w:hAnsi="Times New Roman" w:eastAsia="Times New Roman"/>
          <w:spacing w:val="-2"/>
        </w:rPr>
        <w:t>MRI)</w:t>
      </w:r>
      <w:r>
        <w:rPr>
          <w:spacing w:val="-2"/>
        </w:rPr>
        <w:t>等影像学检查证实存在对应病灶，诊断为脑出血、脑栓塞或者脑梗塞，在</w:t>
      </w:r>
      <w:r>
        <w:rPr>
          <w:spacing w:val="-10"/>
        </w:rPr>
        <w:t xml:space="preserve">确诊 </w:t>
      </w:r>
      <w:r>
        <w:rPr>
          <w:rFonts w:ascii="Times New Roman" w:hAnsi="Times New Roman" w:eastAsia="Times New Roman"/>
          <w:spacing w:val="-2"/>
        </w:rPr>
        <w:t>180</w:t>
      </w:r>
      <w:r>
        <w:rPr>
          <w:rFonts w:ascii="Times New Roman" w:hAnsi="Times New Roman" w:eastAsia="Times New Roman"/>
          <w:spacing w:val="-5"/>
        </w:rPr>
        <w:t xml:space="preserve"> </w:t>
      </w:r>
      <w:r>
        <w:rPr>
          <w:spacing w:val="-2"/>
        </w:rPr>
        <w:t>天后遗留神经系统功能障碍。后遗的神经系统功能障碍程度虽未达到重大疾病“脑中风后遗症”的给付标准，但遗留的神经系统功能障碍达下列一种或者一种以上障碍：</w:t>
      </w:r>
    </w:p>
    <w:p>
      <w:pPr>
        <w:pStyle w:val="8"/>
        <w:numPr>
          <w:ilvl w:val="0"/>
          <w:numId w:val="36"/>
        </w:numPr>
        <w:tabs>
          <w:tab w:val="left" w:pos="3837"/>
        </w:tabs>
        <w:spacing w:before="0" w:after="0" w:line="244" w:lineRule="auto"/>
        <w:ind w:left="3830" w:right="521" w:hanging="524"/>
        <w:jc w:val="both"/>
        <w:rPr>
          <w:sz w:val="21"/>
        </w:rPr>
      </w:pPr>
      <w:r>
        <w:rPr>
          <w:spacing w:val="-10"/>
          <w:sz w:val="21"/>
        </w:rPr>
        <w:t xml:space="preserve">一肢或者一肢以上肢体机能部分丧失，其肢体肌力为 </w:t>
      </w:r>
      <w:r>
        <w:rPr>
          <w:rFonts w:ascii="Times New Roman" w:eastAsia="Times New Roman"/>
          <w:spacing w:val="-2"/>
          <w:sz w:val="21"/>
        </w:rPr>
        <w:t>III</w:t>
      </w:r>
      <w:r>
        <w:rPr>
          <w:rFonts w:ascii="Times New Roman" w:eastAsia="Times New Roman"/>
          <w:spacing w:val="-11"/>
          <w:sz w:val="21"/>
        </w:rPr>
        <w:t xml:space="preserve"> </w:t>
      </w:r>
      <w:r>
        <w:rPr>
          <w:spacing w:val="-2"/>
          <w:sz w:val="21"/>
        </w:rPr>
        <w:t>级，</w:t>
      </w:r>
      <w:r>
        <w:rPr>
          <w:spacing w:val="-4"/>
          <w:sz w:val="21"/>
        </w:rPr>
        <w:t xml:space="preserve">或者小于 </w:t>
      </w:r>
      <w:r>
        <w:rPr>
          <w:rFonts w:ascii="Times New Roman" w:eastAsia="Times New Roman"/>
          <w:sz w:val="21"/>
        </w:rPr>
        <w:t xml:space="preserve">III </w:t>
      </w:r>
      <w:r>
        <w:rPr>
          <w:sz w:val="21"/>
        </w:rPr>
        <w:t>级；</w:t>
      </w:r>
    </w:p>
    <w:p>
      <w:pPr>
        <w:pStyle w:val="8"/>
        <w:numPr>
          <w:ilvl w:val="0"/>
          <w:numId w:val="36"/>
        </w:numPr>
        <w:tabs>
          <w:tab w:val="left" w:pos="3837"/>
        </w:tabs>
        <w:spacing w:before="0" w:after="0" w:line="244" w:lineRule="auto"/>
        <w:ind w:left="3830" w:right="623" w:hanging="524"/>
        <w:jc w:val="left"/>
        <w:rPr>
          <w:sz w:val="21"/>
        </w:rPr>
      </w:pPr>
      <w:r>
        <w:rPr>
          <w:spacing w:val="-2"/>
          <w:sz w:val="21"/>
        </w:rPr>
        <w:t>自主生活能力部分丧失，无法独立完成</w:t>
      </w:r>
      <w:r>
        <w:rPr>
          <w:b/>
          <w:spacing w:val="-2"/>
          <w:sz w:val="21"/>
        </w:rPr>
        <w:t>六项基本日常生活</w:t>
      </w:r>
      <w:r>
        <w:rPr>
          <w:b/>
          <w:sz w:val="21"/>
        </w:rPr>
        <w:t>活动</w:t>
      </w:r>
      <w:r>
        <w:rPr>
          <w:sz w:val="21"/>
        </w:rPr>
        <w:t>（</w:t>
      </w:r>
      <w:r>
        <w:rPr>
          <w:spacing w:val="-21"/>
          <w:sz w:val="21"/>
        </w:rPr>
        <w:t xml:space="preserve">见 </w:t>
      </w:r>
      <w:r>
        <w:rPr>
          <w:rFonts w:ascii="Times New Roman" w:eastAsia="Times New Roman"/>
          <w:sz w:val="21"/>
        </w:rPr>
        <w:t>11.47</w:t>
      </w:r>
      <w:r>
        <w:rPr>
          <w:sz w:val="21"/>
        </w:rPr>
        <w:t>）中的两项或者两项以上。</w:t>
      </w:r>
    </w:p>
    <w:p>
      <w:pPr>
        <w:spacing w:before="0" w:line="244" w:lineRule="auto"/>
        <w:ind w:left="3307" w:right="619" w:firstLine="0"/>
        <w:jc w:val="left"/>
        <w:rPr>
          <w:b/>
          <w:sz w:val="21"/>
        </w:rPr>
      </w:pPr>
      <w:r>
        <w:rPr>
          <w:b/>
          <w:spacing w:val="-2"/>
          <w:sz w:val="21"/>
        </w:rPr>
        <w:t>因“脑动脉瘤、脑血管瘤”所致轻微脑中风后遗症不在本保障范</w:t>
      </w:r>
      <w:r>
        <w:rPr>
          <w:b/>
          <w:spacing w:val="-4"/>
          <w:sz w:val="21"/>
        </w:rPr>
        <w:t>围内。</w:t>
      </w:r>
    </w:p>
    <w:p>
      <w:pPr>
        <w:pStyle w:val="3"/>
        <w:spacing w:before="2"/>
        <w:rPr>
          <w:b/>
          <w:sz w:val="29"/>
        </w:rPr>
      </w:pPr>
    </w:p>
    <w:p>
      <w:pPr>
        <w:spacing w:after="0"/>
        <w:rPr>
          <w:sz w:val="29"/>
        </w:rPr>
        <w:sectPr>
          <w:pgSz w:w="11910" w:h="16840"/>
          <w:pgMar w:top="1520" w:right="620" w:bottom="1040" w:left="1480" w:header="0" w:footer="851" w:gutter="0"/>
          <w:cols w:space="720" w:num="1"/>
        </w:sectPr>
      </w:pPr>
    </w:p>
    <w:p>
      <w:pPr>
        <w:pStyle w:val="8"/>
        <w:numPr>
          <w:ilvl w:val="1"/>
          <w:numId w:val="32"/>
        </w:numPr>
        <w:tabs>
          <w:tab w:val="left" w:pos="1338"/>
          <w:tab w:val="left" w:pos="1339"/>
        </w:tabs>
        <w:spacing w:before="91" w:after="0" w:line="244" w:lineRule="auto"/>
        <w:ind w:left="1338" w:right="0" w:hanging="1004"/>
        <w:jc w:val="left"/>
        <w:rPr>
          <w:b/>
          <w:sz w:val="21"/>
        </w:rPr>
      </w:pPr>
      <w:r>
        <w:rPr>
          <w:b/>
          <w:spacing w:val="-2"/>
          <w:sz w:val="21"/>
        </w:rPr>
        <w:t>微创心脏瓣膜介入</w:t>
      </w:r>
      <w:r>
        <w:rPr>
          <w:b/>
          <w:spacing w:val="-6"/>
          <w:sz w:val="21"/>
        </w:rPr>
        <w:t>手术（非开胸手术）</w:t>
      </w:r>
    </w:p>
    <w:p>
      <w:pPr>
        <w:pStyle w:val="3"/>
        <w:spacing w:before="97" w:line="244" w:lineRule="auto"/>
        <w:ind w:left="71" w:right="619"/>
      </w:pPr>
      <w:r>
        <w:br w:type="column"/>
      </w:r>
      <w:r>
        <w:rPr>
          <w:spacing w:val="-2"/>
        </w:rPr>
        <w:t>为了治疗心脏瓣膜疾病，实际实施的非开胸的经胸壁打孔内镜手术或经皮导管介入手术进行的心脏瓣膜置换或修复手术。</w:t>
      </w:r>
    </w:p>
    <w:p>
      <w:pPr>
        <w:spacing w:after="0" w:line="244" w:lineRule="auto"/>
        <w:sectPr>
          <w:type w:val="continuous"/>
          <w:pgSz w:w="11910" w:h="16840"/>
          <w:pgMar w:top="320" w:right="620" w:bottom="280" w:left="1480" w:header="0" w:footer="851" w:gutter="0"/>
          <w:cols w:equalWidth="0" w:num="2">
            <w:col w:w="3197" w:space="40"/>
            <w:col w:w="6573"/>
          </w:cols>
        </w:sectPr>
      </w:pPr>
    </w:p>
    <w:p>
      <w:pPr>
        <w:pStyle w:val="3"/>
        <w:spacing w:before="10"/>
        <w:rPr>
          <w:sz w:val="29"/>
        </w:rPr>
      </w:pPr>
    </w:p>
    <w:p>
      <w:pPr>
        <w:spacing w:after="0"/>
        <w:rPr>
          <w:sz w:val="29"/>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2" w:after="0" w:line="244" w:lineRule="auto"/>
        <w:ind w:left="1338" w:right="0" w:hanging="1004"/>
        <w:jc w:val="left"/>
        <w:rPr>
          <w:b/>
          <w:sz w:val="21"/>
        </w:rPr>
      </w:pPr>
      <w:r>
        <w:rPr>
          <w:b/>
          <w:spacing w:val="-2"/>
          <w:sz w:val="21"/>
        </w:rPr>
        <w:t>视力严重受损（三岁始理赔）</w:t>
      </w:r>
    </w:p>
    <w:p>
      <w:pPr>
        <w:pStyle w:val="3"/>
        <w:spacing w:before="98" w:line="244" w:lineRule="auto"/>
        <w:ind w:left="162" w:right="619"/>
        <w:jc w:val="both"/>
      </w:pPr>
      <w:r>
        <w:br w:type="column"/>
      </w:r>
      <w:r>
        <w:t>指因疾病或意外伤害导致双目视力</w:t>
      </w:r>
      <w:r>
        <w:rPr>
          <w:b/>
        </w:rPr>
        <w:t>永久不可逆</w:t>
      </w:r>
      <w:r>
        <w:t xml:space="preserve">（见 </w:t>
      </w:r>
      <w:r>
        <w:rPr>
          <w:rFonts w:ascii="Times New Roman" w:hAnsi="Times New Roman" w:eastAsia="Times New Roman"/>
        </w:rPr>
        <w:t>11.48</w:t>
      </w:r>
      <w:r>
        <w:t>）性丧</w:t>
      </w:r>
      <w:r>
        <w:rPr>
          <w:spacing w:val="-2"/>
        </w:rPr>
        <w:t>失，虽未达到本合同重大疾病“双目失明”的给付标准，但满足下列条件之一：</w:t>
      </w:r>
    </w:p>
    <w:p>
      <w:pPr>
        <w:pStyle w:val="8"/>
        <w:numPr>
          <w:ilvl w:val="0"/>
          <w:numId w:val="37"/>
        </w:numPr>
        <w:tabs>
          <w:tab w:val="left" w:pos="692"/>
        </w:tabs>
        <w:spacing w:before="0" w:after="0" w:line="240" w:lineRule="auto"/>
        <w:ind w:left="685" w:right="622" w:hanging="524"/>
        <w:jc w:val="both"/>
        <w:rPr>
          <w:sz w:val="21"/>
        </w:rPr>
      </w:pPr>
      <w:r>
        <w:rPr>
          <w:spacing w:val="-4"/>
          <w:sz w:val="21"/>
        </w:rPr>
        <w:t xml:space="preserve">双眼中较好眼矫正视力低于 </w:t>
      </w:r>
      <w:r>
        <w:rPr>
          <w:rFonts w:ascii="Times New Roman" w:eastAsia="Times New Roman"/>
          <w:spacing w:val="-2"/>
          <w:sz w:val="21"/>
        </w:rPr>
        <w:t>0.1</w:t>
      </w:r>
      <w:r>
        <w:rPr>
          <w:spacing w:val="-2"/>
          <w:sz w:val="21"/>
        </w:rPr>
        <w:t>（采用国际标准视力表，如果使用其他视力表应进行换算</w:t>
      </w:r>
      <w:r>
        <w:rPr>
          <w:spacing w:val="-111"/>
          <w:sz w:val="21"/>
        </w:rPr>
        <w:t>）</w:t>
      </w:r>
      <w:r>
        <w:rPr>
          <w:sz w:val="21"/>
        </w:rPr>
        <w:t>；</w:t>
      </w:r>
    </w:p>
    <w:p>
      <w:pPr>
        <w:pStyle w:val="8"/>
        <w:numPr>
          <w:ilvl w:val="0"/>
          <w:numId w:val="37"/>
        </w:numPr>
        <w:tabs>
          <w:tab w:val="left" w:pos="692"/>
        </w:tabs>
        <w:spacing w:before="2" w:after="0" w:line="244" w:lineRule="auto"/>
        <w:ind w:left="685" w:right="617" w:hanging="524"/>
        <w:jc w:val="both"/>
        <w:rPr>
          <w:sz w:val="21"/>
        </w:rPr>
      </w:pPr>
      <w:r>
        <w:rPr>
          <w:spacing w:val="-4"/>
          <w:sz w:val="21"/>
        </w:rPr>
        <w:t xml:space="preserve">双眼中较好眼视野半径小于 </w:t>
      </w:r>
      <w:r>
        <w:rPr>
          <w:rFonts w:ascii="Times New Roman" w:eastAsia="Times New Roman"/>
          <w:spacing w:val="-2"/>
          <w:sz w:val="21"/>
        </w:rPr>
        <w:t>20</w:t>
      </w:r>
      <w:r>
        <w:rPr>
          <w:rFonts w:ascii="Times New Roman" w:eastAsia="Times New Roman"/>
          <w:spacing w:val="-9"/>
          <w:sz w:val="21"/>
        </w:rPr>
        <w:t xml:space="preserve"> </w:t>
      </w:r>
      <w:r>
        <w:rPr>
          <w:spacing w:val="-2"/>
          <w:sz w:val="21"/>
        </w:rPr>
        <w:t>度。被保险人申请理赔时年龄必须在三周岁以上，并且提供理赔当时的视力丧失诊断及检查证据。</w:t>
      </w:r>
    </w:p>
    <w:p>
      <w:pPr>
        <w:spacing w:after="0" w:line="244" w:lineRule="auto"/>
        <w:jc w:val="both"/>
        <w:rPr>
          <w:sz w:val="21"/>
        </w:rPr>
        <w:sectPr>
          <w:type w:val="continuous"/>
          <w:pgSz w:w="11910" w:h="16840"/>
          <w:pgMar w:top="320" w:right="620" w:bottom="280" w:left="1480" w:header="0" w:footer="851" w:gutter="0"/>
          <w:cols w:equalWidth="0" w:num="2">
            <w:col w:w="3106" w:space="40"/>
            <w:col w:w="6664"/>
          </w:cols>
        </w:sect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4"/>
        <w:gridCol w:w="2283"/>
        <w:gridCol w:w="5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7" w:hRule="atLeast"/>
        </w:trPr>
        <w:tc>
          <w:tcPr>
            <w:tcW w:w="2967" w:type="dxa"/>
            <w:gridSpan w:val="2"/>
          </w:tcPr>
          <w:p>
            <w:pPr>
              <w:pStyle w:val="9"/>
              <w:rPr>
                <w:rFonts w:ascii="Times New Roman"/>
                <w:sz w:val="20"/>
              </w:rPr>
            </w:pPr>
          </w:p>
        </w:tc>
        <w:tc>
          <w:tcPr>
            <w:tcW w:w="5992" w:type="dxa"/>
          </w:tcPr>
          <w:p>
            <w:pPr>
              <w:pStyle w:val="9"/>
              <w:spacing w:line="241" w:lineRule="exact"/>
              <w:ind w:left="55"/>
              <w:rPr>
                <w:b/>
                <w:sz w:val="21"/>
              </w:rPr>
            </w:pPr>
            <w:r>
              <w:rPr>
                <w:b/>
                <w:spacing w:val="-17"/>
                <w:sz w:val="21"/>
              </w:rPr>
              <w:t>本公司对“视力严重受损”、“单目失明”和“角膜移植手术”三</w:t>
            </w:r>
          </w:p>
          <w:p>
            <w:pPr>
              <w:pStyle w:val="9"/>
              <w:spacing w:before="5" w:line="244" w:lineRule="auto"/>
              <w:ind w:left="55" w:right="59"/>
              <w:rPr>
                <w:b/>
                <w:sz w:val="21"/>
              </w:rPr>
            </w:pPr>
            <w:r>
              <w:rPr>
                <w:b/>
                <w:spacing w:val="-2"/>
                <w:sz w:val="21"/>
              </w:rPr>
              <w:t>项中的其中一项承担保险责任，给付其中一项保险金后，对其它两项轻症疾病保险责任同时终止。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6" w:hRule="atLeast"/>
        </w:trPr>
        <w:tc>
          <w:tcPr>
            <w:tcW w:w="684" w:type="dxa"/>
          </w:tcPr>
          <w:p>
            <w:pPr>
              <w:pStyle w:val="9"/>
              <w:spacing w:before="6"/>
              <w:rPr>
                <w:sz w:val="19"/>
              </w:rPr>
            </w:pPr>
          </w:p>
          <w:p>
            <w:pPr>
              <w:pStyle w:val="9"/>
              <w:spacing w:before="1"/>
              <w:ind w:left="50"/>
              <w:rPr>
                <w:rFonts w:ascii="Times New Roman"/>
                <w:sz w:val="21"/>
              </w:rPr>
            </w:pPr>
            <w:r>
              <w:rPr>
                <w:rFonts w:ascii="Times New Roman"/>
                <w:spacing w:val="-5"/>
                <w:sz w:val="21"/>
              </w:rPr>
              <w:t>9.7</w:t>
            </w:r>
          </w:p>
        </w:tc>
        <w:tc>
          <w:tcPr>
            <w:tcW w:w="2283" w:type="dxa"/>
          </w:tcPr>
          <w:p>
            <w:pPr>
              <w:pStyle w:val="9"/>
              <w:spacing w:before="12"/>
              <w:rPr>
                <w:sz w:val="19"/>
              </w:rPr>
            </w:pPr>
          </w:p>
          <w:p>
            <w:pPr>
              <w:pStyle w:val="9"/>
              <w:spacing w:line="251" w:lineRule="exact"/>
              <w:ind w:left="369"/>
              <w:rPr>
                <w:b/>
                <w:sz w:val="21"/>
              </w:rPr>
            </w:pPr>
            <w:r>
              <w:rPr>
                <w:b/>
                <w:spacing w:val="-2"/>
                <w:sz w:val="21"/>
              </w:rPr>
              <w:t>主动脉内介入手术</w:t>
            </w:r>
          </w:p>
        </w:tc>
        <w:tc>
          <w:tcPr>
            <w:tcW w:w="5992" w:type="dxa"/>
          </w:tcPr>
          <w:p>
            <w:pPr>
              <w:pStyle w:val="9"/>
              <w:spacing w:before="12"/>
              <w:rPr>
                <w:sz w:val="19"/>
              </w:rPr>
            </w:pPr>
          </w:p>
          <w:p>
            <w:pPr>
              <w:pStyle w:val="9"/>
              <w:spacing w:line="251" w:lineRule="exact"/>
              <w:ind w:left="55"/>
              <w:rPr>
                <w:sz w:val="21"/>
              </w:rPr>
            </w:pPr>
            <w:r>
              <w:rPr>
                <w:spacing w:val="-3"/>
                <w:sz w:val="21"/>
              </w:rPr>
              <w:t>为了治疗主动脉疾病实际实施了经皮经导管进行的动脉内手术。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84" w:type="dxa"/>
          </w:tcPr>
          <w:p>
            <w:pPr>
              <w:pStyle w:val="9"/>
              <w:rPr>
                <w:rFonts w:ascii="Times New Roman"/>
                <w:sz w:val="20"/>
              </w:rPr>
            </w:pPr>
          </w:p>
        </w:tc>
        <w:tc>
          <w:tcPr>
            <w:tcW w:w="2283" w:type="dxa"/>
          </w:tcPr>
          <w:p>
            <w:pPr>
              <w:pStyle w:val="9"/>
              <w:spacing w:before="2" w:line="251" w:lineRule="exact"/>
              <w:ind w:left="369"/>
              <w:rPr>
                <w:b/>
                <w:sz w:val="21"/>
              </w:rPr>
            </w:pPr>
            <w:r>
              <w:rPr>
                <w:b/>
                <w:sz w:val="21"/>
              </w:rPr>
              <w:t>（非开胸手术</w:t>
            </w:r>
            <w:r>
              <w:rPr>
                <w:b/>
                <w:spacing w:val="-10"/>
                <w:sz w:val="21"/>
              </w:rPr>
              <w:t>）</w:t>
            </w:r>
          </w:p>
        </w:tc>
        <w:tc>
          <w:tcPr>
            <w:tcW w:w="5992" w:type="dxa"/>
          </w:tcPr>
          <w:p>
            <w:pPr>
              <w:pStyle w:val="9"/>
              <w:spacing w:before="2" w:line="251" w:lineRule="exact"/>
              <w:ind w:left="55"/>
              <w:rPr>
                <w:sz w:val="21"/>
              </w:rPr>
            </w:pPr>
            <w:r>
              <w:rPr>
                <w:spacing w:val="-3"/>
                <w:sz w:val="21"/>
              </w:rPr>
              <w:t>主动脉指胸主动脉和腹主动脉，不包括胸主动脉和腹主动脉的分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spacing w:before="3" w:line="249" w:lineRule="exact"/>
              <w:ind w:left="55"/>
              <w:rPr>
                <w:sz w:val="21"/>
              </w:rPr>
            </w:pPr>
            <w:r>
              <w:rPr>
                <w:spacing w:val="-3"/>
                <w:sz w:val="21"/>
              </w:rPr>
              <w:t>支血管。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spacing w:line="251" w:lineRule="exact"/>
              <w:ind w:left="55"/>
              <w:rPr>
                <w:b/>
                <w:sz w:val="21"/>
              </w:rPr>
            </w:pPr>
            <w:r>
              <w:rPr>
                <w:b/>
                <w:spacing w:val="-1"/>
                <w:sz w:val="21"/>
              </w:rPr>
              <w:t>实施开胸或开腹主动脉手术的，本公司不承担本项手术保险责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spacing w:before="2"/>
              <w:ind w:left="55"/>
              <w:rPr>
                <w:b/>
                <w:sz w:val="21"/>
              </w:rPr>
            </w:pPr>
            <w:r>
              <w:rPr>
                <w:b/>
                <w:spacing w:val="-5"/>
                <w:sz w:val="21"/>
              </w:rPr>
              <w:t>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4" w:hRule="atLeast"/>
        </w:trPr>
        <w:tc>
          <w:tcPr>
            <w:tcW w:w="684" w:type="dxa"/>
          </w:tcPr>
          <w:p>
            <w:pPr>
              <w:pStyle w:val="9"/>
              <w:spacing w:before="6"/>
              <w:rPr>
                <w:sz w:val="19"/>
              </w:rPr>
            </w:pPr>
          </w:p>
          <w:p>
            <w:pPr>
              <w:pStyle w:val="9"/>
              <w:spacing w:before="1"/>
              <w:ind w:left="50"/>
              <w:rPr>
                <w:rFonts w:ascii="Times New Roman"/>
                <w:sz w:val="21"/>
              </w:rPr>
            </w:pPr>
            <w:r>
              <w:rPr>
                <w:rFonts w:ascii="Times New Roman"/>
                <w:spacing w:val="-5"/>
                <w:sz w:val="21"/>
              </w:rPr>
              <w:t>9.8</w:t>
            </w:r>
          </w:p>
        </w:tc>
        <w:tc>
          <w:tcPr>
            <w:tcW w:w="2283" w:type="dxa"/>
          </w:tcPr>
          <w:p>
            <w:pPr>
              <w:pStyle w:val="9"/>
              <w:spacing w:before="12"/>
              <w:rPr>
                <w:sz w:val="19"/>
              </w:rPr>
            </w:pPr>
          </w:p>
          <w:p>
            <w:pPr>
              <w:pStyle w:val="9"/>
              <w:spacing w:line="259" w:lineRule="exact"/>
              <w:ind w:left="369"/>
              <w:rPr>
                <w:b/>
                <w:sz w:val="21"/>
              </w:rPr>
            </w:pPr>
            <w:r>
              <w:rPr>
                <w:b/>
                <w:spacing w:val="-7"/>
                <w:sz w:val="21"/>
              </w:rPr>
              <w:t>脑垂体瘤、脑囊肿、</w:t>
            </w:r>
          </w:p>
        </w:tc>
        <w:tc>
          <w:tcPr>
            <w:tcW w:w="5992" w:type="dxa"/>
          </w:tcPr>
          <w:p>
            <w:pPr>
              <w:pStyle w:val="9"/>
              <w:spacing w:before="12"/>
              <w:rPr>
                <w:sz w:val="19"/>
              </w:rPr>
            </w:pPr>
          </w:p>
          <w:p>
            <w:pPr>
              <w:pStyle w:val="9"/>
              <w:spacing w:line="259" w:lineRule="exact"/>
              <w:ind w:left="55"/>
              <w:rPr>
                <w:sz w:val="21"/>
              </w:rPr>
            </w:pPr>
            <w:r>
              <w:rPr>
                <w:spacing w:val="-4"/>
                <w:sz w:val="21"/>
              </w:rPr>
              <w:t>指被保险人经头颅断层扫描</w:t>
            </w:r>
            <w:r>
              <w:rPr>
                <w:spacing w:val="22"/>
                <w:sz w:val="21"/>
              </w:rPr>
              <w:t>（</w:t>
            </w:r>
            <w:r>
              <w:rPr>
                <w:rFonts w:ascii="Times New Roman" w:eastAsia="Times New Roman"/>
                <w:spacing w:val="24"/>
                <w:sz w:val="21"/>
              </w:rPr>
              <w:t>C</w:t>
            </w:r>
            <w:r>
              <w:rPr>
                <w:rFonts w:ascii="Times New Roman" w:eastAsia="Times New Roman"/>
                <w:spacing w:val="16"/>
                <w:sz w:val="21"/>
              </w:rPr>
              <w:t>T</w:t>
            </w:r>
            <w:r>
              <w:rPr>
                <w:spacing w:val="-80"/>
                <w:sz w:val="21"/>
              </w:rPr>
              <w:t>）</w:t>
            </w:r>
            <w:r>
              <w:rPr>
                <w:spacing w:val="-4"/>
                <w:sz w:val="21"/>
              </w:rPr>
              <w:t>、核磁共振（</w:t>
            </w:r>
            <w:r>
              <w:rPr>
                <w:rFonts w:ascii="Times New Roman" w:eastAsia="Times New Roman"/>
                <w:spacing w:val="-4"/>
                <w:sz w:val="21"/>
              </w:rPr>
              <w:t>MRI</w:t>
            </w:r>
            <w:r>
              <w:rPr>
                <w:spacing w:val="-4"/>
                <w:sz w:val="21"/>
              </w:rPr>
              <w:t>）</w:t>
            </w:r>
            <w:r>
              <w:rPr>
                <w:spacing w:val="-6"/>
                <w:sz w:val="21"/>
              </w:rPr>
              <w:t>或其他影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684" w:type="dxa"/>
          </w:tcPr>
          <w:p>
            <w:pPr>
              <w:pStyle w:val="9"/>
              <w:rPr>
                <w:rFonts w:ascii="Times New Roman"/>
                <w:sz w:val="18"/>
              </w:rPr>
            </w:pPr>
          </w:p>
        </w:tc>
        <w:tc>
          <w:tcPr>
            <w:tcW w:w="2283" w:type="dxa"/>
          </w:tcPr>
          <w:p>
            <w:pPr>
              <w:pStyle w:val="9"/>
              <w:spacing w:line="242" w:lineRule="exact"/>
              <w:ind w:left="369"/>
              <w:rPr>
                <w:b/>
                <w:sz w:val="21"/>
              </w:rPr>
            </w:pPr>
            <w:r>
              <w:rPr>
                <w:b/>
                <w:spacing w:val="-2"/>
                <w:sz w:val="21"/>
              </w:rPr>
              <w:t>脑动脉瘤及脑血管</w:t>
            </w:r>
          </w:p>
        </w:tc>
        <w:tc>
          <w:tcPr>
            <w:tcW w:w="5992" w:type="dxa"/>
          </w:tcPr>
          <w:p>
            <w:pPr>
              <w:pStyle w:val="9"/>
              <w:spacing w:line="242" w:lineRule="exact"/>
              <w:ind w:left="55"/>
              <w:rPr>
                <w:sz w:val="21"/>
              </w:rPr>
            </w:pPr>
            <w:r>
              <w:rPr>
                <w:spacing w:val="-3"/>
                <w:sz w:val="21"/>
              </w:rPr>
              <w:t>像学检查被确诊为下列病变，并实际接受了手术或放射治疗。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684" w:type="dxa"/>
          </w:tcPr>
          <w:p>
            <w:pPr>
              <w:pStyle w:val="9"/>
              <w:rPr>
                <w:rFonts w:ascii="Times New Roman"/>
                <w:sz w:val="20"/>
              </w:rPr>
            </w:pPr>
          </w:p>
        </w:tc>
        <w:tc>
          <w:tcPr>
            <w:tcW w:w="2283" w:type="dxa"/>
          </w:tcPr>
          <w:p>
            <w:pPr>
              <w:pStyle w:val="9"/>
              <w:spacing w:before="6" w:line="256" w:lineRule="exact"/>
              <w:ind w:left="369"/>
              <w:rPr>
                <w:b/>
                <w:sz w:val="21"/>
              </w:rPr>
            </w:pPr>
            <w:r>
              <w:rPr>
                <w:b/>
                <w:w w:val="100"/>
                <w:sz w:val="21"/>
              </w:rPr>
              <w:t>瘤</w:t>
            </w:r>
          </w:p>
        </w:tc>
        <w:tc>
          <w:tcPr>
            <w:tcW w:w="5992" w:type="dxa"/>
          </w:tcPr>
          <w:p>
            <w:pPr>
              <w:pStyle w:val="9"/>
              <w:spacing w:before="6" w:line="256" w:lineRule="exact"/>
              <w:ind w:left="55"/>
              <w:rPr>
                <w:sz w:val="21"/>
              </w:rPr>
            </w:pPr>
            <w:r>
              <w:rPr>
                <w:spacing w:val="-2"/>
                <w:sz w:val="21"/>
              </w:rPr>
              <w:t>（</w:t>
            </w:r>
            <w:r>
              <w:rPr>
                <w:rFonts w:ascii="Times New Roman" w:eastAsia="Times New Roman"/>
                <w:spacing w:val="-2"/>
                <w:sz w:val="21"/>
              </w:rPr>
              <w:t>1</w:t>
            </w:r>
            <w:r>
              <w:rPr>
                <w:spacing w:val="-2"/>
                <w:sz w:val="21"/>
              </w:rPr>
              <w:t>）</w:t>
            </w:r>
            <w:r>
              <w:rPr>
                <w:spacing w:val="-4"/>
                <w:sz w:val="21"/>
              </w:rPr>
              <w:t>脑垂体瘤；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numPr>
                <w:ilvl w:val="0"/>
                <w:numId w:val="38"/>
              </w:numPr>
              <w:tabs>
                <w:tab w:val="left" w:pos="585"/>
              </w:tabs>
              <w:spacing w:before="0" w:after="0" w:line="267" w:lineRule="exact"/>
              <w:ind w:left="584" w:right="0" w:hanging="530"/>
              <w:jc w:val="left"/>
              <w:rPr>
                <w:sz w:val="21"/>
              </w:rPr>
            </w:pPr>
            <w:r>
              <w:rPr>
                <w:spacing w:val="-4"/>
                <w:sz w:val="21"/>
              </w:rPr>
              <w:t>脑囊肿；</w:t>
            </w:r>
          </w:p>
          <w:p>
            <w:pPr>
              <w:pStyle w:val="9"/>
              <w:numPr>
                <w:ilvl w:val="0"/>
                <w:numId w:val="38"/>
              </w:numPr>
              <w:tabs>
                <w:tab w:val="left" w:pos="585"/>
              </w:tabs>
              <w:spacing w:before="0" w:after="0" w:line="259" w:lineRule="exact"/>
              <w:ind w:left="584" w:right="0" w:hanging="530"/>
              <w:jc w:val="left"/>
              <w:rPr>
                <w:sz w:val="21"/>
              </w:rPr>
            </w:pPr>
            <w:r>
              <w:rPr>
                <w:spacing w:val="-3"/>
                <w:sz w:val="21"/>
              </w:rPr>
              <w:t>脑动脉瘤、脑血管瘤。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684" w:type="dxa"/>
          </w:tcPr>
          <w:p>
            <w:pPr>
              <w:pStyle w:val="9"/>
              <w:rPr>
                <w:rFonts w:ascii="Times New Roman"/>
                <w:sz w:val="18"/>
              </w:rPr>
            </w:pPr>
          </w:p>
        </w:tc>
        <w:tc>
          <w:tcPr>
            <w:tcW w:w="2283" w:type="dxa"/>
          </w:tcPr>
          <w:p>
            <w:pPr>
              <w:pStyle w:val="9"/>
              <w:rPr>
                <w:rFonts w:ascii="Times New Roman"/>
                <w:sz w:val="18"/>
              </w:rPr>
            </w:pPr>
          </w:p>
        </w:tc>
        <w:tc>
          <w:tcPr>
            <w:tcW w:w="5992" w:type="dxa"/>
          </w:tcPr>
          <w:p>
            <w:pPr>
              <w:pStyle w:val="9"/>
              <w:spacing w:line="246" w:lineRule="exact"/>
              <w:ind w:left="55"/>
              <w:rPr>
                <w:b/>
                <w:sz w:val="21"/>
              </w:rPr>
            </w:pPr>
            <w:r>
              <w:rPr>
                <w:b/>
                <w:spacing w:val="-3"/>
                <w:sz w:val="21"/>
              </w:rPr>
              <w:t>本公司对“微创颅脑手术”和“脑垂体瘤、脑囊肿、脑动脉瘤及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spacing w:before="2" w:line="251" w:lineRule="exact"/>
              <w:ind w:left="55"/>
              <w:rPr>
                <w:b/>
                <w:sz w:val="21"/>
              </w:rPr>
            </w:pPr>
            <w:r>
              <w:rPr>
                <w:b/>
                <w:spacing w:val="-18"/>
                <w:sz w:val="21"/>
              </w:rPr>
              <w:t>脑血管瘤”、“植入大脑内分流器”三项中的其中一项承担保险责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spacing w:before="3" w:line="249" w:lineRule="exact"/>
              <w:ind w:left="55"/>
              <w:rPr>
                <w:b/>
                <w:sz w:val="21"/>
              </w:rPr>
            </w:pPr>
            <w:r>
              <w:rPr>
                <w:b/>
                <w:spacing w:val="-3"/>
                <w:sz w:val="21"/>
              </w:rPr>
              <w:t>任，给付其中一项保险金后，对其他两项轻症疾病保险责任同时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684" w:type="dxa"/>
          </w:tcPr>
          <w:p>
            <w:pPr>
              <w:pStyle w:val="9"/>
              <w:rPr>
                <w:rFonts w:ascii="Times New Roman"/>
                <w:sz w:val="20"/>
              </w:rPr>
            </w:pPr>
          </w:p>
        </w:tc>
        <w:tc>
          <w:tcPr>
            <w:tcW w:w="2283" w:type="dxa"/>
          </w:tcPr>
          <w:p>
            <w:pPr>
              <w:pStyle w:val="9"/>
              <w:rPr>
                <w:rFonts w:ascii="Times New Roman"/>
                <w:sz w:val="20"/>
              </w:rPr>
            </w:pPr>
          </w:p>
        </w:tc>
        <w:tc>
          <w:tcPr>
            <w:tcW w:w="5992" w:type="dxa"/>
          </w:tcPr>
          <w:p>
            <w:pPr>
              <w:pStyle w:val="9"/>
              <w:ind w:left="55"/>
              <w:rPr>
                <w:b/>
                <w:sz w:val="21"/>
              </w:rPr>
            </w:pPr>
            <w:r>
              <w:rPr>
                <w:b/>
                <w:spacing w:val="-4"/>
                <w:sz w:val="21"/>
              </w:rPr>
              <w:t>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5" w:hRule="atLeast"/>
        </w:trPr>
        <w:tc>
          <w:tcPr>
            <w:tcW w:w="684" w:type="dxa"/>
          </w:tcPr>
          <w:p>
            <w:pPr>
              <w:pStyle w:val="9"/>
              <w:spacing w:before="9"/>
              <w:rPr>
                <w:sz w:val="19"/>
              </w:rPr>
            </w:pPr>
          </w:p>
          <w:p>
            <w:pPr>
              <w:pStyle w:val="9"/>
              <w:ind w:left="50"/>
              <w:rPr>
                <w:rFonts w:ascii="Times New Roman"/>
                <w:sz w:val="21"/>
              </w:rPr>
            </w:pPr>
            <w:r>
              <w:rPr>
                <w:rFonts w:ascii="Times New Roman"/>
                <w:spacing w:val="-5"/>
                <w:sz w:val="21"/>
              </w:rPr>
              <w:t>9.9</w:t>
            </w:r>
          </w:p>
        </w:tc>
        <w:tc>
          <w:tcPr>
            <w:tcW w:w="2283" w:type="dxa"/>
          </w:tcPr>
          <w:p>
            <w:pPr>
              <w:pStyle w:val="9"/>
              <w:spacing w:before="6"/>
              <w:rPr>
                <w:sz w:val="19"/>
              </w:rPr>
            </w:pPr>
          </w:p>
          <w:p>
            <w:pPr>
              <w:pStyle w:val="9"/>
              <w:spacing w:line="268" w:lineRule="exact"/>
              <w:ind w:left="369" w:right="154"/>
              <w:rPr>
                <w:b/>
                <w:sz w:val="21"/>
              </w:rPr>
            </w:pPr>
            <w:r>
              <w:rPr>
                <w:b/>
                <w:sz w:val="21"/>
              </w:rPr>
              <w:t xml:space="preserve">较小面积 </w:t>
            </w:r>
            <w:r>
              <w:rPr>
                <w:rFonts w:ascii="Times New Roman" w:eastAsia="Times New Roman"/>
                <w:b/>
                <w:sz w:val="21"/>
              </w:rPr>
              <w:t>III</w:t>
            </w:r>
            <w:r>
              <w:rPr>
                <w:rFonts w:ascii="Times New Roman" w:eastAsia="Times New Roman"/>
                <w:b/>
                <w:spacing w:val="40"/>
                <w:sz w:val="21"/>
              </w:rPr>
              <w:t xml:space="preserve"> </w:t>
            </w:r>
            <w:r>
              <w:rPr>
                <w:b/>
                <w:sz w:val="21"/>
              </w:rPr>
              <w:t>度烧</w:t>
            </w:r>
            <w:r>
              <w:rPr>
                <w:b/>
                <w:spacing w:val="-10"/>
                <w:sz w:val="21"/>
              </w:rPr>
              <w:t>伤</w:t>
            </w:r>
          </w:p>
        </w:tc>
        <w:tc>
          <w:tcPr>
            <w:tcW w:w="5992" w:type="dxa"/>
          </w:tcPr>
          <w:p>
            <w:pPr>
              <w:pStyle w:val="9"/>
              <w:spacing w:before="1"/>
              <w:rPr>
                <w:sz w:val="20"/>
              </w:rPr>
            </w:pPr>
          </w:p>
          <w:p>
            <w:pPr>
              <w:pStyle w:val="9"/>
              <w:spacing w:line="269" w:lineRule="exact"/>
              <w:ind w:left="55"/>
              <w:rPr>
                <w:rFonts w:ascii="Times New Roman" w:hAnsi="Times New Roman" w:eastAsia="Times New Roman"/>
                <w:sz w:val="21"/>
              </w:rPr>
            </w:pPr>
            <w:r>
              <w:rPr>
                <w:spacing w:val="-4"/>
                <w:sz w:val="21"/>
              </w:rPr>
              <w:t xml:space="preserve">指烧伤程度为Ⅲ度，且Ⅲ度烧伤的面积达到全身体表面积的 </w:t>
            </w:r>
            <w:r>
              <w:rPr>
                <w:rFonts w:ascii="Times New Roman" w:hAnsi="Times New Roman" w:eastAsia="Times New Roman"/>
                <w:spacing w:val="-5"/>
                <w:sz w:val="21"/>
              </w:rPr>
              <w:t>10%</w:t>
            </w:r>
          </w:p>
          <w:p>
            <w:pPr>
              <w:pStyle w:val="9"/>
              <w:spacing w:line="259" w:lineRule="exact"/>
              <w:ind w:left="55"/>
              <w:rPr>
                <w:sz w:val="21"/>
              </w:rPr>
            </w:pPr>
            <w:r>
              <w:rPr>
                <w:spacing w:val="-4"/>
                <w:sz w:val="21"/>
              </w:rPr>
              <w:t xml:space="preserve">及以上，但小于 </w:t>
            </w:r>
            <w:r>
              <w:rPr>
                <w:rFonts w:ascii="Times New Roman" w:eastAsia="Times New Roman"/>
                <w:spacing w:val="-4"/>
                <w:sz w:val="21"/>
              </w:rPr>
              <w:t>20%</w:t>
            </w:r>
            <w:r>
              <w:rPr>
                <w:spacing w:val="-5"/>
                <w:sz w:val="21"/>
              </w:rPr>
              <w:t>。体表面积须由本公司认可医院的专科医生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4" w:hRule="atLeast"/>
        </w:trPr>
        <w:tc>
          <w:tcPr>
            <w:tcW w:w="684" w:type="dxa"/>
          </w:tcPr>
          <w:p>
            <w:pPr>
              <w:pStyle w:val="9"/>
              <w:rPr>
                <w:rFonts w:ascii="Times New Roman"/>
                <w:sz w:val="16"/>
              </w:rPr>
            </w:pPr>
          </w:p>
        </w:tc>
        <w:tc>
          <w:tcPr>
            <w:tcW w:w="2283" w:type="dxa"/>
          </w:tcPr>
          <w:p>
            <w:pPr>
              <w:pStyle w:val="9"/>
              <w:rPr>
                <w:rFonts w:ascii="Times New Roman"/>
                <w:sz w:val="16"/>
              </w:rPr>
            </w:pPr>
          </w:p>
        </w:tc>
        <w:tc>
          <w:tcPr>
            <w:tcW w:w="5992" w:type="dxa"/>
          </w:tcPr>
          <w:p>
            <w:pPr>
              <w:pStyle w:val="9"/>
              <w:spacing w:line="215" w:lineRule="exact"/>
              <w:ind w:left="55"/>
              <w:rPr>
                <w:sz w:val="21"/>
              </w:rPr>
            </w:pPr>
            <w:r>
              <w:rPr>
                <w:spacing w:val="-3"/>
                <w:sz w:val="21"/>
              </w:rPr>
              <w:t>根据《中国新九分法》计算。</w:t>
            </w:r>
          </w:p>
        </w:tc>
      </w:tr>
    </w:tbl>
    <w:p>
      <w:pPr>
        <w:spacing w:after="0" w:line="215" w:lineRule="exact"/>
        <w:rPr>
          <w:sz w:val="21"/>
        </w:rPr>
        <w:sectPr>
          <w:type w:val="continuous"/>
          <w:pgSz w:w="11910" w:h="16840"/>
          <w:pgMar w:top="320" w:right="620" w:bottom="280" w:left="1480" w:header="0" w:footer="851" w:gutter="0"/>
          <w:cols w:space="720" w:num="1"/>
        </w:sectPr>
      </w:pPr>
    </w:p>
    <w:p>
      <w:pPr>
        <w:pStyle w:val="8"/>
        <w:numPr>
          <w:ilvl w:val="1"/>
          <w:numId w:val="39"/>
        </w:numPr>
        <w:tabs>
          <w:tab w:val="left" w:pos="1338"/>
          <w:tab w:val="left" w:pos="1339"/>
          <w:tab w:val="left" w:pos="3307"/>
        </w:tabs>
        <w:spacing w:before="70" w:after="0" w:line="240" w:lineRule="auto"/>
        <w:ind w:left="1338" w:right="0" w:hanging="1005"/>
        <w:jc w:val="left"/>
        <w:rPr>
          <w:sz w:val="21"/>
        </w:rPr>
      </w:pPr>
      <w:r>
        <w:rPr>
          <w:b/>
          <w:sz w:val="21"/>
        </w:rPr>
        <w:t>次级严重脑部外</w:t>
      </w:r>
      <w:r>
        <w:rPr>
          <w:b/>
          <w:spacing w:val="-10"/>
          <w:sz w:val="21"/>
        </w:rPr>
        <w:t>伤</w:t>
      </w:r>
      <w:r>
        <w:rPr>
          <w:b/>
          <w:sz w:val="21"/>
        </w:rPr>
        <w:tab/>
      </w:r>
      <w:r>
        <w:rPr>
          <w:spacing w:val="-2"/>
          <w:sz w:val="21"/>
        </w:rPr>
        <w:t>指因头部遭受机械性外力伤害，引起脑重要部位损伤，并且由</w:t>
      </w:r>
      <w:r>
        <w:rPr>
          <w:spacing w:val="-10"/>
          <w:sz w:val="21"/>
        </w:rPr>
        <w:t>头</w:t>
      </w:r>
    </w:p>
    <w:p>
      <w:pPr>
        <w:pStyle w:val="3"/>
        <w:spacing w:before="4" w:line="242" w:lineRule="auto"/>
        <w:ind w:left="3307" w:right="507"/>
      </w:pPr>
      <w:r>
        <w:rPr>
          <w:spacing w:val="-2"/>
        </w:rPr>
        <w:t>颅断层扫描</w:t>
      </w:r>
      <w:r>
        <w:rPr>
          <w:spacing w:val="26"/>
        </w:rPr>
        <w:t>（</w:t>
      </w:r>
      <w:r>
        <w:rPr>
          <w:rFonts w:ascii="Times New Roman" w:hAnsi="Times New Roman" w:eastAsia="Times New Roman"/>
          <w:spacing w:val="24"/>
        </w:rPr>
        <w:t>C</w:t>
      </w:r>
      <w:r>
        <w:rPr>
          <w:rFonts w:ascii="Times New Roman" w:hAnsi="Times New Roman" w:eastAsia="Times New Roman"/>
          <w:spacing w:val="21"/>
        </w:rPr>
        <w:t>T</w:t>
      </w:r>
      <w:r>
        <w:rPr>
          <w:spacing w:val="-80"/>
        </w:rPr>
        <w:t>）</w:t>
      </w:r>
      <w:r>
        <w:rPr>
          <w:spacing w:val="-2"/>
        </w:rPr>
        <w:t>、核磁共振检查（</w:t>
      </w:r>
      <w:r>
        <w:rPr>
          <w:rFonts w:ascii="Times New Roman" w:hAnsi="Times New Roman" w:eastAsia="Times New Roman"/>
          <w:spacing w:val="-2"/>
        </w:rPr>
        <w:t>MRI</w:t>
      </w:r>
      <w:r>
        <w:rPr>
          <w:spacing w:val="-2"/>
        </w:rPr>
        <w:t>）或正电子发射断层扫描（</w:t>
      </w:r>
      <w:r>
        <w:rPr>
          <w:rFonts w:ascii="Times New Roman" w:hAnsi="Times New Roman" w:eastAsia="Times New Roman"/>
          <w:spacing w:val="-2"/>
        </w:rPr>
        <w:t>PET</w:t>
      </w:r>
      <w:r>
        <w:rPr>
          <w:spacing w:val="-2"/>
        </w:rPr>
        <w:t>）等影像学检查证实。头部外伤导致神经系统功能障碍，未达到“严重脑损伤”的给付标准，但须符合以下条件之一：</w:t>
      </w:r>
    </w:p>
    <w:p>
      <w:pPr>
        <w:pStyle w:val="8"/>
        <w:numPr>
          <w:ilvl w:val="0"/>
          <w:numId w:val="40"/>
        </w:numPr>
        <w:tabs>
          <w:tab w:val="left" w:pos="3837"/>
        </w:tabs>
        <w:spacing w:before="2" w:after="0" w:line="244" w:lineRule="auto"/>
        <w:ind w:left="3830" w:right="720" w:hanging="524"/>
        <w:jc w:val="left"/>
        <w:rPr>
          <w:sz w:val="21"/>
        </w:rPr>
      </w:pPr>
      <w:r>
        <w:rPr>
          <w:spacing w:val="-2"/>
          <w:sz w:val="21"/>
        </w:rPr>
        <w:t>被保险人接受了全麻下颅骨切开颅内血肿清除术（颅骨钻</w:t>
      </w:r>
      <w:r>
        <w:rPr>
          <w:spacing w:val="-4"/>
          <w:sz w:val="21"/>
        </w:rPr>
        <w:t>孔术除外</w:t>
      </w:r>
      <w:r>
        <w:rPr>
          <w:spacing w:val="-106"/>
          <w:sz w:val="21"/>
        </w:rPr>
        <w:t>）</w:t>
      </w:r>
      <w:r>
        <w:rPr>
          <w:sz w:val="21"/>
        </w:rPr>
        <w:t>；</w:t>
      </w:r>
    </w:p>
    <w:p>
      <w:pPr>
        <w:pStyle w:val="8"/>
        <w:numPr>
          <w:ilvl w:val="0"/>
          <w:numId w:val="40"/>
        </w:numPr>
        <w:tabs>
          <w:tab w:val="left" w:pos="3837"/>
        </w:tabs>
        <w:spacing w:before="0" w:after="0" w:line="263" w:lineRule="exact"/>
        <w:ind w:left="3836" w:right="0" w:hanging="530"/>
        <w:jc w:val="left"/>
        <w:rPr>
          <w:sz w:val="21"/>
        </w:rPr>
      </w:pPr>
      <w:r>
        <w:rPr>
          <w:spacing w:val="-14"/>
          <w:sz w:val="21"/>
        </w:rPr>
        <w:t xml:space="preserve">在外伤 </w:t>
      </w:r>
      <w:r>
        <w:rPr>
          <w:rFonts w:ascii="Times New Roman" w:eastAsia="Times New Roman"/>
          <w:spacing w:val="-2"/>
          <w:sz w:val="21"/>
        </w:rPr>
        <w:t>180</w:t>
      </w:r>
      <w:r>
        <w:rPr>
          <w:rFonts w:ascii="Times New Roman" w:eastAsia="Times New Roman"/>
          <w:spacing w:val="4"/>
          <w:sz w:val="21"/>
        </w:rPr>
        <w:t xml:space="preserve"> </w:t>
      </w:r>
      <w:r>
        <w:rPr>
          <w:spacing w:val="-5"/>
          <w:sz w:val="21"/>
        </w:rPr>
        <w:t xml:space="preserve">天后仍然遗留一肢或一肢以上肢体肌力 </w:t>
      </w:r>
      <w:r>
        <w:rPr>
          <w:rFonts w:ascii="Times New Roman" w:eastAsia="Times New Roman"/>
          <w:spacing w:val="-2"/>
          <w:sz w:val="21"/>
        </w:rPr>
        <w:t>III</w:t>
      </w:r>
      <w:r>
        <w:rPr>
          <w:rFonts w:ascii="Times New Roman" w:eastAsia="Times New Roman"/>
          <w:spacing w:val="1"/>
          <w:sz w:val="21"/>
        </w:rPr>
        <w:t xml:space="preserve"> </w:t>
      </w:r>
      <w:r>
        <w:rPr>
          <w:spacing w:val="-6"/>
          <w:sz w:val="21"/>
        </w:rPr>
        <w:t>级或</w:t>
      </w:r>
    </w:p>
    <w:p>
      <w:pPr>
        <w:pStyle w:val="3"/>
        <w:spacing w:before="4"/>
        <w:ind w:left="3830"/>
      </w:pPr>
      <w:r>
        <w:rPr>
          <w:rFonts w:ascii="Times New Roman" w:eastAsia="Times New Roman"/>
        </w:rPr>
        <w:t>III</w:t>
      </w:r>
      <w:r>
        <w:rPr>
          <w:rFonts w:ascii="Times New Roman" w:eastAsia="Times New Roman"/>
          <w:spacing w:val="-11"/>
        </w:rPr>
        <w:t xml:space="preserve"> </w:t>
      </w:r>
      <w:r>
        <w:rPr>
          <w:spacing w:val="-2"/>
        </w:rPr>
        <w:t>级以下的运动功能障碍。</w:t>
      </w:r>
    </w:p>
    <w:p>
      <w:pPr>
        <w:pStyle w:val="3"/>
        <w:rPr>
          <w:sz w:val="20"/>
        </w:rPr>
      </w:pPr>
    </w:p>
    <w:p>
      <w:pPr>
        <w:spacing w:after="0"/>
        <w:rPr>
          <w:sz w:val="20"/>
        </w:rPr>
        <w:sectPr>
          <w:pgSz w:w="11910" w:h="16840"/>
          <w:pgMar w:top="1520" w:right="620" w:bottom="1040" w:left="1480" w:header="0" w:footer="851" w:gutter="0"/>
          <w:cols w:space="720" w:num="1"/>
        </w:sectPr>
      </w:pPr>
    </w:p>
    <w:p>
      <w:pPr>
        <w:pStyle w:val="3"/>
        <w:spacing w:before="5"/>
        <w:rPr>
          <w:sz w:val="17"/>
        </w:rPr>
      </w:pPr>
    </w:p>
    <w:p>
      <w:pPr>
        <w:pStyle w:val="8"/>
        <w:numPr>
          <w:ilvl w:val="1"/>
          <w:numId w:val="39"/>
        </w:numPr>
        <w:tabs>
          <w:tab w:val="left" w:pos="1338"/>
          <w:tab w:val="left" w:pos="1339"/>
        </w:tabs>
        <w:spacing w:before="0" w:after="0" w:line="244" w:lineRule="auto"/>
        <w:ind w:left="1338" w:right="0" w:hanging="1004"/>
        <w:jc w:val="left"/>
        <w:rPr>
          <w:b/>
          <w:sz w:val="21"/>
        </w:rPr>
      </w:pPr>
      <w:r>
        <w:rPr>
          <w:b/>
          <w:spacing w:val="-2"/>
          <w:sz w:val="21"/>
        </w:rPr>
        <w:t>因肾上腺皮质腺瘤切除肾上腺</w:t>
      </w:r>
    </w:p>
    <w:p>
      <w:pPr>
        <w:spacing w:before="11" w:line="240" w:lineRule="auto"/>
        <w:rPr>
          <w:b/>
          <w:sz w:val="17"/>
        </w:rPr>
      </w:pPr>
      <w:r>
        <w:br w:type="column"/>
      </w:r>
    </w:p>
    <w:p>
      <w:pPr>
        <w:pStyle w:val="3"/>
        <w:spacing w:line="244" w:lineRule="auto"/>
        <w:ind w:left="162" w:right="624"/>
      </w:pPr>
      <w:r>
        <w:rPr>
          <w:spacing w:val="3"/>
          <w:w w:val="100"/>
        </w:rPr>
        <w:t>因肾上腺皮质腺瘤所导致的醛固酮分泌过多而产生的继发性恶</w:t>
      </w:r>
      <w:r>
        <w:rPr>
          <w:spacing w:val="-3"/>
          <w:w w:val="100"/>
        </w:rPr>
        <w:t>性高血压而实际接受了肾上腺切除术治疗。</w:t>
      </w:r>
    </w:p>
    <w:p>
      <w:pPr>
        <w:pStyle w:val="3"/>
        <w:spacing w:line="244" w:lineRule="auto"/>
        <w:ind w:left="162" w:right="624"/>
      </w:pPr>
      <w:r>
        <w:rPr>
          <w:spacing w:val="3"/>
          <w:w w:val="100"/>
        </w:rPr>
        <w:t>此诊断及治疗均须在本公司认可医院内有专科医生认为是医疗</w:t>
      </w:r>
      <w:r>
        <w:rPr>
          <w:w w:val="100"/>
        </w:rPr>
        <w:t>必需的情况下进行。</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spacing w:before="8"/>
        <w:rPr>
          <w:sz w:val="29"/>
        </w:rPr>
      </w:pPr>
    </w:p>
    <w:p>
      <w:pPr>
        <w:pStyle w:val="8"/>
        <w:numPr>
          <w:ilvl w:val="1"/>
          <w:numId w:val="39"/>
        </w:numPr>
        <w:tabs>
          <w:tab w:val="left" w:pos="1003"/>
          <w:tab w:val="left" w:pos="1339"/>
          <w:tab w:val="left" w:pos="2972"/>
        </w:tabs>
        <w:spacing w:before="92" w:after="0" w:line="240" w:lineRule="auto"/>
        <w:ind w:left="1338" w:right="617" w:hanging="1339"/>
        <w:jc w:val="right"/>
        <w:rPr>
          <w:sz w:val="21"/>
        </w:rPr>
      </w:pPr>
      <w:r>
        <w:rPr>
          <w:b/>
          <w:sz w:val="21"/>
        </w:rPr>
        <w:t>多发性硬化</w:t>
      </w:r>
      <w:r>
        <w:rPr>
          <w:b/>
          <w:spacing w:val="-10"/>
          <w:sz w:val="21"/>
        </w:rPr>
        <w:t>症</w:t>
      </w:r>
      <w:r>
        <w:rPr>
          <w:b/>
          <w:sz w:val="21"/>
        </w:rPr>
        <w:tab/>
      </w:r>
      <w:r>
        <w:rPr>
          <w:spacing w:val="-2"/>
          <w:sz w:val="21"/>
        </w:rPr>
        <w:t>多发性硬化为中枢神经系统白质多灶性脱髓鞘病变，病变有时</w:t>
      </w:r>
      <w:r>
        <w:rPr>
          <w:spacing w:val="-10"/>
          <w:sz w:val="21"/>
        </w:rPr>
        <w:t>累</w:t>
      </w:r>
    </w:p>
    <w:p>
      <w:pPr>
        <w:pStyle w:val="3"/>
        <w:spacing w:before="4" w:line="269" w:lineRule="exact"/>
        <w:ind w:right="609"/>
        <w:jc w:val="right"/>
      </w:pPr>
      <w:r>
        <w:rPr>
          <w:spacing w:val="-3"/>
        </w:rPr>
        <w:t>及灰质。多发性硬化症必须明确诊断，并且满足下列全部条件：</w:t>
      </w:r>
    </w:p>
    <w:p>
      <w:pPr>
        <w:pStyle w:val="8"/>
        <w:numPr>
          <w:ilvl w:val="2"/>
          <w:numId w:val="39"/>
        </w:numPr>
        <w:tabs>
          <w:tab w:val="left" w:pos="3837"/>
        </w:tabs>
        <w:spacing w:before="0" w:after="0" w:line="244" w:lineRule="auto"/>
        <w:ind w:left="3830" w:right="617" w:hanging="524"/>
        <w:jc w:val="both"/>
        <w:rPr>
          <w:sz w:val="19"/>
        </w:rPr>
      </w:pPr>
      <w:r>
        <w:rPr>
          <w:spacing w:val="-6"/>
          <w:sz w:val="21"/>
        </w:rPr>
        <w:t>计算机断层扫描</w:t>
      </w:r>
      <w:r>
        <w:rPr>
          <w:spacing w:val="22"/>
          <w:sz w:val="21"/>
        </w:rPr>
        <w:t>（</w:t>
      </w:r>
      <w:r>
        <w:rPr>
          <w:rFonts w:ascii="Times New Roman" w:eastAsia="Times New Roman"/>
          <w:spacing w:val="20"/>
          <w:sz w:val="21"/>
        </w:rPr>
        <w:t>C</w:t>
      </w:r>
      <w:r>
        <w:rPr>
          <w:rFonts w:ascii="Times New Roman" w:eastAsia="Times New Roman"/>
          <w:spacing w:val="17"/>
          <w:sz w:val="21"/>
        </w:rPr>
        <w:t>T</w:t>
      </w:r>
      <w:r>
        <w:rPr>
          <w:spacing w:val="-84"/>
          <w:sz w:val="21"/>
        </w:rPr>
        <w:t>）</w:t>
      </w:r>
      <w:r>
        <w:rPr>
          <w:spacing w:val="-6"/>
          <w:sz w:val="21"/>
        </w:rPr>
        <w:t>、核磁共振检查（</w:t>
      </w:r>
      <w:r>
        <w:rPr>
          <w:rFonts w:ascii="Times New Roman" w:eastAsia="Times New Roman"/>
          <w:spacing w:val="-6"/>
          <w:sz w:val="21"/>
        </w:rPr>
        <w:t>MRI</w:t>
      </w:r>
      <w:r>
        <w:rPr>
          <w:spacing w:val="-6"/>
          <w:sz w:val="21"/>
        </w:rPr>
        <w:t>）或正电子发</w:t>
      </w:r>
      <w:r>
        <w:rPr>
          <w:spacing w:val="-4"/>
          <w:sz w:val="21"/>
        </w:rPr>
        <w:t>射断层扫描（</w:t>
      </w:r>
      <w:r>
        <w:rPr>
          <w:rFonts w:ascii="Times New Roman" w:eastAsia="Times New Roman"/>
          <w:spacing w:val="-4"/>
          <w:sz w:val="21"/>
        </w:rPr>
        <w:t>PET</w:t>
      </w:r>
      <w:r>
        <w:rPr>
          <w:spacing w:val="-4"/>
          <w:sz w:val="21"/>
        </w:rPr>
        <w:t>）等影像学检查证实存在中枢神经系统白</w:t>
      </w:r>
      <w:r>
        <w:rPr>
          <w:spacing w:val="-2"/>
          <w:sz w:val="21"/>
        </w:rPr>
        <w:t>质内多发病灶；</w:t>
      </w:r>
    </w:p>
    <w:p>
      <w:pPr>
        <w:pStyle w:val="8"/>
        <w:numPr>
          <w:ilvl w:val="2"/>
          <w:numId w:val="39"/>
        </w:numPr>
        <w:tabs>
          <w:tab w:val="left" w:pos="3847"/>
        </w:tabs>
        <w:spacing w:before="0" w:after="0" w:line="240" w:lineRule="auto"/>
        <w:ind w:left="3830" w:right="621" w:hanging="524"/>
        <w:jc w:val="left"/>
        <w:rPr>
          <w:sz w:val="19"/>
        </w:rPr>
      </w:pPr>
      <w:r>
        <w:rPr>
          <w:spacing w:val="-2"/>
          <w:sz w:val="21"/>
        </w:rPr>
        <w:t>完整的医疗记录证实被保险人的疾病呈缓解复发和进展加</w:t>
      </w:r>
      <w:r>
        <w:rPr>
          <w:spacing w:val="-4"/>
          <w:sz w:val="21"/>
        </w:rPr>
        <w:t>重病程；</w:t>
      </w:r>
    </w:p>
    <w:p>
      <w:pPr>
        <w:pStyle w:val="8"/>
        <w:numPr>
          <w:ilvl w:val="2"/>
          <w:numId w:val="39"/>
        </w:numPr>
        <w:tabs>
          <w:tab w:val="left" w:pos="3837"/>
        </w:tabs>
        <w:spacing w:before="2" w:after="0" w:line="240" w:lineRule="auto"/>
        <w:ind w:left="3836" w:right="0" w:hanging="530"/>
        <w:jc w:val="left"/>
        <w:rPr>
          <w:sz w:val="19"/>
        </w:rPr>
      </w:pPr>
      <w:r>
        <w:rPr>
          <w:spacing w:val="-11"/>
          <w:sz w:val="21"/>
        </w:rPr>
        <w:t xml:space="preserve">存在持续 </w:t>
      </w:r>
      <w:r>
        <w:rPr>
          <w:rFonts w:ascii="Times New Roman" w:eastAsia="Times New Roman"/>
          <w:spacing w:val="-2"/>
          <w:sz w:val="21"/>
        </w:rPr>
        <w:t>180</w:t>
      </w:r>
      <w:r>
        <w:rPr>
          <w:rFonts w:ascii="Times New Roman" w:eastAsia="Times New Roman"/>
          <w:spacing w:val="10"/>
          <w:sz w:val="21"/>
        </w:rPr>
        <w:t xml:space="preserve"> </w:t>
      </w:r>
      <w:r>
        <w:rPr>
          <w:spacing w:val="-3"/>
          <w:sz w:val="21"/>
        </w:rPr>
        <w:t>天以上的永久不可逆的神经系统功能损害。</w:t>
      </w:r>
    </w:p>
    <w:p>
      <w:pPr>
        <w:pStyle w:val="3"/>
        <w:rPr>
          <w:sz w:val="20"/>
        </w:rPr>
      </w:pPr>
    </w:p>
    <w:p>
      <w:pPr>
        <w:spacing w:after="0"/>
        <w:rPr>
          <w:sz w:val="20"/>
        </w:rPr>
        <w:sectPr>
          <w:type w:val="continuous"/>
          <w:pgSz w:w="11910" w:h="16840"/>
          <w:pgMar w:top="320" w:right="620" w:bottom="280" w:left="1480" w:header="0" w:footer="851" w:gutter="0"/>
          <w:cols w:space="720" w:num="1"/>
        </w:sectPr>
      </w:pPr>
    </w:p>
    <w:p>
      <w:pPr>
        <w:pStyle w:val="3"/>
        <w:spacing w:before="4"/>
        <w:rPr>
          <w:sz w:val="17"/>
        </w:rPr>
      </w:pPr>
    </w:p>
    <w:p>
      <w:pPr>
        <w:pStyle w:val="8"/>
        <w:numPr>
          <w:ilvl w:val="1"/>
          <w:numId w:val="39"/>
        </w:numPr>
        <w:tabs>
          <w:tab w:val="left" w:pos="1338"/>
          <w:tab w:val="left" w:pos="1339"/>
        </w:tabs>
        <w:spacing w:before="1" w:after="0" w:line="244" w:lineRule="auto"/>
        <w:ind w:left="1338" w:right="0" w:hanging="1004"/>
        <w:jc w:val="left"/>
        <w:rPr>
          <w:b/>
          <w:sz w:val="21"/>
        </w:rPr>
      </w:pPr>
      <w:r>
        <w:rPr>
          <w:b/>
          <w:spacing w:val="-2"/>
          <w:sz w:val="21"/>
        </w:rPr>
        <w:t>急性坏死性胰腺炎腹腔镜手术</w:t>
      </w:r>
    </w:p>
    <w:p>
      <w:pPr>
        <w:spacing w:before="10" w:line="240" w:lineRule="auto"/>
        <w:rPr>
          <w:b/>
          <w:sz w:val="17"/>
        </w:rPr>
      </w:pPr>
      <w:r>
        <w:br w:type="column"/>
      </w:r>
    </w:p>
    <w:p>
      <w:pPr>
        <w:pStyle w:val="3"/>
        <w:spacing w:before="1" w:line="244" w:lineRule="auto"/>
        <w:ind w:left="162" w:right="619"/>
      </w:pPr>
      <w:r>
        <w:rPr>
          <w:spacing w:val="-2"/>
        </w:rPr>
        <w:t>指被保险人被确诊为急性坏死性胰腺炎，并实际接受了腹腔镜手术治疗，以进行坏死组织清除、坏死病灶切除或胰腺切除。</w:t>
      </w:r>
    </w:p>
    <w:p>
      <w:pPr>
        <w:spacing w:before="0" w:line="244" w:lineRule="auto"/>
        <w:ind w:left="162" w:right="625" w:firstLine="0"/>
        <w:jc w:val="left"/>
        <w:rPr>
          <w:b/>
          <w:sz w:val="21"/>
        </w:rPr>
      </w:pPr>
      <w:r>
        <w:rPr>
          <w:b/>
          <w:spacing w:val="3"/>
          <w:w w:val="100"/>
          <w:sz w:val="21"/>
        </w:rPr>
        <w:t>因酗酒或饮酒过量所致的急性坏死性胰腺炎不在本保单保障范围内。</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7"/>
        <w:rPr>
          <w:b/>
          <w:sz w:val="29"/>
        </w:rPr>
      </w:pPr>
    </w:p>
    <w:p>
      <w:pPr>
        <w:pStyle w:val="8"/>
        <w:numPr>
          <w:ilvl w:val="1"/>
          <w:numId w:val="39"/>
        </w:numPr>
        <w:tabs>
          <w:tab w:val="left" w:pos="1338"/>
          <w:tab w:val="left" w:pos="1339"/>
          <w:tab w:val="left" w:pos="3307"/>
        </w:tabs>
        <w:spacing w:before="92" w:after="0" w:line="240" w:lineRule="auto"/>
        <w:ind w:left="1338" w:right="0" w:hanging="1005"/>
        <w:jc w:val="left"/>
        <w:rPr>
          <w:sz w:val="21"/>
        </w:rPr>
      </w:pPr>
      <w:r>
        <w:rPr>
          <w:b/>
          <w:sz w:val="21"/>
        </w:rPr>
        <w:t>单个肢体缺</w:t>
      </w:r>
      <w:r>
        <w:rPr>
          <w:b/>
          <w:spacing w:val="-10"/>
          <w:sz w:val="21"/>
        </w:rPr>
        <w:t>失</w:t>
      </w:r>
      <w:r>
        <w:rPr>
          <w:b/>
          <w:sz w:val="21"/>
        </w:rPr>
        <w:tab/>
      </w:r>
      <w:r>
        <w:rPr>
          <w:spacing w:val="-2"/>
          <w:sz w:val="21"/>
        </w:rPr>
        <w:t>指一个肢体自腕关节或踝关节近端（靠近躯干端）以上完全性</w:t>
      </w:r>
      <w:r>
        <w:rPr>
          <w:spacing w:val="-10"/>
          <w:sz w:val="21"/>
        </w:rPr>
        <w:t>断</w:t>
      </w:r>
    </w:p>
    <w:p>
      <w:pPr>
        <w:spacing w:before="5" w:line="242" w:lineRule="auto"/>
        <w:ind w:left="3307" w:right="619" w:firstLine="0"/>
        <w:jc w:val="left"/>
        <w:rPr>
          <w:b/>
          <w:sz w:val="21"/>
        </w:rPr>
      </w:pPr>
      <w:r>
        <w:rPr>
          <w:spacing w:val="-2"/>
          <w:sz w:val="21"/>
        </w:rPr>
        <w:t xml:space="preserve">离，但未达到本合同所指重大疾病“多个肢体缺失”的标准。 </w:t>
      </w:r>
      <w:r>
        <w:rPr>
          <w:b/>
          <w:spacing w:val="-2"/>
          <w:sz w:val="21"/>
        </w:rPr>
        <w:t>因“糖尿病导致单足切除”导致的单个肢体缺失不在本项保障范</w:t>
      </w:r>
      <w:r>
        <w:rPr>
          <w:b/>
          <w:spacing w:val="-4"/>
          <w:sz w:val="21"/>
        </w:rPr>
        <w:t>围内。</w:t>
      </w:r>
    </w:p>
    <w:p>
      <w:pPr>
        <w:pStyle w:val="3"/>
        <w:rPr>
          <w:b/>
          <w:sz w:val="20"/>
        </w:rPr>
      </w:pPr>
    </w:p>
    <w:p>
      <w:pPr>
        <w:spacing w:after="0"/>
        <w:rPr>
          <w:sz w:val="20"/>
        </w:rPr>
        <w:sectPr>
          <w:type w:val="continuous"/>
          <w:pgSz w:w="11910" w:h="16840"/>
          <w:pgMar w:top="320" w:right="620" w:bottom="280" w:left="1480" w:header="0" w:footer="851" w:gutter="0"/>
          <w:cols w:space="720" w:num="1"/>
        </w:sectPr>
      </w:pPr>
    </w:p>
    <w:p>
      <w:pPr>
        <w:pStyle w:val="3"/>
        <w:spacing w:before="5"/>
        <w:rPr>
          <w:b/>
          <w:sz w:val="17"/>
        </w:rPr>
      </w:pPr>
    </w:p>
    <w:p>
      <w:pPr>
        <w:pStyle w:val="8"/>
        <w:numPr>
          <w:ilvl w:val="1"/>
          <w:numId w:val="39"/>
        </w:numPr>
        <w:tabs>
          <w:tab w:val="left" w:pos="1338"/>
          <w:tab w:val="left" w:pos="1339"/>
        </w:tabs>
        <w:spacing w:before="1" w:after="0" w:line="240" w:lineRule="auto"/>
        <w:ind w:left="1338" w:right="0" w:hanging="1004"/>
        <w:jc w:val="left"/>
        <w:rPr>
          <w:b/>
          <w:sz w:val="21"/>
        </w:rPr>
      </w:pPr>
      <w:r>
        <w:rPr>
          <w:b/>
          <w:spacing w:val="-2"/>
          <w:sz w:val="21"/>
        </w:rPr>
        <w:t>脊髓灰质炎轻度后</w:t>
      </w:r>
      <w:r>
        <w:rPr>
          <w:b/>
          <w:spacing w:val="-6"/>
          <w:sz w:val="21"/>
        </w:rPr>
        <w:t>遗症</w:t>
      </w:r>
    </w:p>
    <w:p>
      <w:pPr>
        <w:spacing w:before="11" w:line="240" w:lineRule="auto"/>
        <w:rPr>
          <w:b/>
          <w:sz w:val="17"/>
        </w:rPr>
      </w:pPr>
      <w:r>
        <w:br w:type="column"/>
      </w:r>
    </w:p>
    <w:p>
      <w:pPr>
        <w:pStyle w:val="3"/>
        <w:spacing w:before="1" w:line="242" w:lineRule="auto"/>
        <w:ind w:left="162" w:right="617"/>
        <w:jc w:val="both"/>
      </w:pPr>
      <w:r>
        <w:rPr>
          <w:spacing w:val="-7"/>
          <w:w w:val="100"/>
        </w:rPr>
        <w:t>脊髓灰质炎是由于脊髓灰质炎病毒感染所致的瘫痪性疾病，临床</w:t>
      </w:r>
      <w:r>
        <w:rPr>
          <w:spacing w:val="-6"/>
          <w:w w:val="100"/>
        </w:rPr>
        <w:t>表现为运动功能损害或呼吸无力。脊髓灰质炎必须明确诊断。本</w:t>
      </w:r>
      <w:r>
        <w:rPr>
          <w:spacing w:val="3"/>
          <w:w w:val="100"/>
        </w:rPr>
        <w:t>保单仅对脊髓灰质炎造成的神经系统功能损害导致被保险人永</w:t>
      </w:r>
      <w:r>
        <w:rPr>
          <w:spacing w:val="-5"/>
          <w:w w:val="100"/>
        </w:rPr>
        <w:t>久性神经系统功能中度障碍，即：疾病首次确诊</w:t>
      </w:r>
      <w:r>
        <w:rPr>
          <w:spacing w:val="-51"/>
        </w:rPr>
        <w:t xml:space="preserve"> </w:t>
      </w:r>
      <w:r>
        <w:rPr>
          <w:rFonts w:ascii="Times New Roman" w:eastAsia="Times New Roman"/>
          <w:w w:val="100"/>
        </w:rPr>
        <w:t>180</w:t>
      </w:r>
      <w:r>
        <w:rPr>
          <w:rFonts w:ascii="Times New Roman" w:eastAsia="Times New Roman"/>
          <w:spacing w:val="-5"/>
        </w:rPr>
        <w:t xml:space="preserve"> </w:t>
      </w:r>
      <w:r>
        <w:rPr>
          <w:spacing w:val="-5"/>
          <w:w w:val="100"/>
        </w:rPr>
        <w:t>天后，仍遗</w:t>
      </w:r>
      <w:r>
        <w:rPr>
          <w:spacing w:val="-2"/>
          <w:w w:val="100"/>
        </w:rPr>
        <w:t>留下列一种或一种以上障碍：</w:t>
      </w:r>
    </w:p>
    <w:p>
      <w:pPr>
        <w:pStyle w:val="8"/>
        <w:numPr>
          <w:ilvl w:val="0"/>
          <w:numId w:val="41"/>
        </w:numPr>
        <w:tabs>
          <w:tab w:val="left" w:pos="692"/>
        </w:tabs>
        <w:spacing w:before="0" w:after="0" w:line="240" w:lineRule="auto"/>
        <w:ind w:left="691" w:right="0" w:hanging="530"/>
        <w:jc w:val="left"/>
        <w:rPr>
          <w:sz w:val="21"/>
        </w:rPr>
      </w:pPr>
      <w:r>
        <w:rPr>
          <w:spacing w:val="-3"/>
          <w:sz w:val="21"/>
        </w:rPr>
        <w:t>一肢或一肢以上肢体肌力Ⅲ级或Ⅲ级以下的运动功能障碍；</w:t>
      </w:r>
    </w:p>
    <w:p>
      <w:pPr>
        <w:pStyle w:val="8"/>
        <w:numPr>
          <w:ilvl w:val="0"/>
          <w:numId w:val="41"/>
        </w:numPr>
        <w:tabs>
          <w:tab w:val="left" w:pos="702"/>
        </w:tabs>
        <w:spacing w:before="4" w:after="0" w:line="244" w:lineRule="auto"/>
        <w:ind w:left="685" w:right="621" w:hanging="524"/>
        <w:jc w:val="left"/>
        <w:rPr>
          <w:sz w:val="21"/>
        </w:rPr>
      </w:pPr>
      <w:r>
        <w:rPr>
          <w:spacing w:val="-2"/>
          <w:sz w:val="21"/>
        </w:rPr>
        <w:t>自主生活能力部分丧失，无法独立完成六项基本日常生活活动中的二项或二项以上。</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10"/>
        <w:rPr>
          <w:sz w:val="29"/>
        </w:rPr>
      </w:pPr>
    </w:p>
    <w:p>
      <w:pPr>
        <w:pStyle w:val="8"/>
        <w:numPr>
          <w:ilvl w:val="1"/>
          <w:numId w:val="39"/>
        </w:numPr>
        <w:tabs>
          <w:tab w:val="left" w:pos="1338"/>
          <w:tab w:val="left" w:pos="1339"/>
          <w:tab w:val="left" w:pos="3307"/>
        </w:tabs>
        <w:spacing w:before="91" w:after="0" w:line="240" w:lineRule="auto"/>
        <w:ind w:left="1338" w:right="0" w:hanging="1005"/>
        <w:jc w:val="left"/>
        <w:rPr>
          <w:sz w:val="21"/>
        </w:rPr>
      </w:pPr>
      <w:r>
        <w:rPr>
          <w:b/>
          <w:sz w:val="21"/>
        </w:rPr>
        <w:t>中度昏</w:t>
      </w:r>
      <w:r>
        <w:rPr>
          <w:b/>
          <w:spacing w:val="-10"/>
          <w:sz w:val="21"/>
        </w:rPr>
        <w:t>迷</w:t>
      </w:r>
      <w:r>
        <w:rPr>
          <w:b/>
          <w:sz w:val="21"/>
        </w:rPr>
        <w:tab/>
      </w:r>
      <w:r>
        <w:rPr>
          <w:spacing w:val="-2"/>
          <w:sz w:val="21"/>
        </w:rPr>
        <w:t>指因疾病或意外伤害导致意识丧失，对外界刺激和体内需求均</w:t>
      </w:r>
      <w:r>
        <w:rPr>
          <w:spacing w:val="-10"/>
          <w:sz w:val="21"/>
        </w:rPr>
        <w:t>无</w:t>
      </w:r>
    </w:p>
    <w:p>
      <w:pPr>
        <w:pStyle w:val="3"/>
        <w:spacing w:before="5" w:line="244" w:lineRule="auto"/>
        <w:ind w:left="3307" w:right="620"/>
      </w:pPr>
      <w:r>
        <w:rPr>
          <w:spacing w:val="-2"/>
        </w:rPr>
        <w:t>反应，昏迷程度按照格拉斯哥昏迷分级（</w:t>
      </w:r>
      <w:r>
        <w:rPr>
          <w:rFonts w:ascii="Times New Roman" w:eastAsia="Times New Roman"/>
          <w:spacing w:val="-2"/>
        </w:rPr>
        <w:t>Glasgow</w:t>
      </w:r>
      <w:r>
        <w:rPr>
          <w:rFonts w:ascii="Times New Roman" w:eastAsia="Times New Roman"/>
          <w:spacing w:val="-7"/>
        </w:rPr>
        <w:t xml:space="preserve"> </w:t>
      </w:r>
      <w:r>
        <w:rPr>
          <w:rFonts w:ascii="Times New Roman" w:eastAsia="Times New Roman"/>
          <w:spacing w:val="-2"/>
        </w:rPr>
        <w:t>coma</w:t>
      </w:r>
      <w:r>
        <w:rPr>
          <w:rFonts w:ascii="Times New Roman" w:eastAsia="Times New Roman"/>
          <w:spacing w:val="-6"/>
        </w:rPr>
        <w:t xml:space="preserve"> </w:t>
      </w:r>
      <w:r>
        <w:rPr>
          <w:rFonts w:ascii="Times New Roman" w:eastAsia="Times New Roman"/>
          <w:spacing w:val="-2"/>
        </w:rPr>
        <w:t>scale</w:t>
      </w:r>
      <w:r>
        <w:rPr>
          <w:spacing w:val="-2"/>
        </w:rPr>
        <w:t>）结</w:t>
      </w:r>
      <w:r>
        <w:rPr>
          <w:spacing w:val="-19"/>
        </w:rPr>
        <w:t xml:space="preserve">果为 </w:t>
      </w:r>
      <w:r>
        <w:rPr>
          <w:rFonts w:ascii="Times New Roman" w:eastAsia="Times New Roman"/>
          <w:spacing w:val="-2"/>
        </w:rPr>
        <w:t>5</w:t>
      </w:r>
      <w:r>
        <w:rPr>
          <w:rFonts w:ascii="Times New Roman" w:eastAsia="Times New Roman"/>
          <w:spacing w:val="5"/>
        </w:rPr>
        <w:t xml:space="preserve"> </w:t>
      </w:r>
      <w:r>
        <w:rPr>
          <w:spacing w:val="-19"/>
        </w:rPr>
        <w:t xml:space="preserve">分或 </w:t>
      </w:r>
      <w:r>
        <w:rPr>
          <w:rFonts w:ascii="Times New Roman" w:eastAsia="Times New Roman"/>
          <w:spacing w:val="-2"/>
        </w:rPr>
        <w:t>5</w:t>
      </w:r>
      <w:r>
        <w:rPr>
          <w:rFonts w:ascii="Times New Roman" w:eastAsia="Times New Roman"/>
          <w:spacing w:val="5"/>
        </w:rPr>
        <w:t xml:space="preserve"> </w:t>
      </w:r>
      <w:r>
        <w:rPr>
          <w:spacing w:val="-3"/>
        </w:rPr>
        <w:t>分以下，且已经持续使用呼吸机及其它生命维持系</w:t>
      </w:r>
    </w:p>
    <w:p>
      <w:pPr>
        <w:pStyle w:val="3"/>
        <w:spacing w:line="244" w:lineRule="auto"/>
        <w:ind w:left="3307" w:right="619"/>
      </w:pPr>
      <w:r>
        <w:rPr>
          <w:spacing w:val="-9"/>
        </w:rPr>
        <w:t xml:space="preserve">统 </w:t>
      </w:r>
      <w:r>
        <w:rPr>
          <w:rFonts w:ascii="Times New Roman" w:hAnsi="Times New Roman" w:eastAsia="Times New Roman"/>
        </w:rPr>
        <w:t>48</w:t>
      </w:r>
      <w:r>
        <w:rPr>
          <w:rFonts w:ascii="Times New Roman" w:hAnsi="Times New Roman" w:eastAsia="Times New Roman"/>
          <w:spacing w:val="34"/>
        </w:rPr>
        <w:t xml:space="preserve"> </w:t>
      </w:r>
      <w:r>
        <w:t>小时以上，但未达到本合同重大疾病“深度昏迷”给付标</w:t>
      </w:r>
      <w:r>
        <w:rPr>
          <w:spacing w:val="-6"/>
        </w:rPr>
        <w:t>准。</w:t>
      </w:r>
    </w:p>
    <w:p>
      <w:pPr>
        <w:spacing w:after="0" w:line="244" w:lineRule="auto"/>
        <w:sectPr>
          <w:type w:val="continuous"/>
          <w:pgSz w:w="11910" w:h="16840"/>
          <w:pgMar w:top="320" w:right="620" w:bottom="280" w:left="1480" w:header="0" w:footer="851" w:gutter="0"/>
          <w:cols w:space="720" w:num="1"/>
        </w:sectPr>
      </w:pPr>
    </w:p>
    <w:p>
      <w:pPr>
        <w:spacing w:before="51"/>
        <w:ind w:left="3307" w:right="0" w:firstLine="0"/>
        <w:jc w:val="left"/>
        <w:rPr>
          <w:b/>
          <w:sz w:val="21"/>
        </w:rPr>
      </w:pPr>
      <w:r>
        <w:rPr>
          <w:b/>
          <w:spacing w:val="-3"/>
          <w:sz w:val="21"/>
        </w:rPr>
        <w:t>因酗酒或药物滥用导致的昏迷不在保障范围内。</w:t>
      </w:r>
    </w:p>
    <w:p>
      <w:pPr>
        <w:pStyle w:val="3"/>
        <w:rPr>
          <w:b/>
          <w:sz w:val="20"/>
        </w:rPr>
      </w:pPr>
    </w:p>
    <w:p>
      <w:pPr>
        <w:pStyle w:val="3"/>
        <w:spacing w:before="9"/>
        <w:rPr>
          <w:b/>
          <w:sz w:val="17"/>
        </w:rPr>
      </w:pPr>
    </w:p>
    <w:p>
      <w:pPr>
        <w:pStyle w:val="8"/>
        <w:numPr>
          <w:ilvl w:val="1"/>
          <w:numId w:val="39"/>
        </w:numPr>
        <w:tabs>
          <w:tab w:val="left" w:pos="1338"/>
          <w:tab w:val="left" w:pos="1339"/>
          <w:tab w:val="left" w:pos="3307"/>
        </w:tabs>
        <w:spacing w:before="0" w:after="0" w:line="240" w:lineRule="auto"/>
        <w:ind w:left="3307" w:right="609" w:hanging="2973"/>
        <w:jc w:val="left"/>
        <w:rPr>
          <w:sz w:val="21"/>
        </w:rPr>
      </w:pPr>
      <w:r>
        <w:rPr>
          <w:b/>
          <w:spacing w:val="-2"/>
          <w:sz w:val="21"/>
        </w:rPr>
        <w:t>慢性肾功能损害</w:t>
      </w:r>
      <w:r>
        <w:rPr>
          <w:b/>
          <w:sz w:val="21"/>
        </w:rPr>
        <w:tab/>
      </w:r>
      <w:r>
        <w:rPr>
          <w:spacing w:val="-2"/>
          <w:sz w:val="21"/>
        </w:rPr>
        <w:t>指被保险人因双肾功能慢性不可逆性损害，达到肾功能衰竭期，诊断必须满足所有以下标准。</w:t>
      </w:r>
    </w:p>
    <w:p>
      <w:pPr>
        <w:pStyle w:val="8"/>
        <w:numPr>
          <w:ilvl w:val="0"/>
          <w:numId w:val="42"/>
        </w:numPr>
        <w:tabs>
          <w:tab w:val="left" w:pos="3837"/>
        </w:tabs>
        <w:spacing w:before="5" w:after="0" w:line="244" w:lineRule="auto"/>
        <w:ind w:left="3830" w:right="617" w:hanging="524"/>
        <w:jc w:val="left"/>
        <w:rPr>
          <w:sz w:val="21"/>
        </w:rPr>
      </w:pPr>
      <w:r>
        <w:rPr>
          <w:sz w:val="21"/>
        </w:rPr>
        <w:t>肾小球滤过率（</w:t>
      </w:r>
      <w:r>
        <w:rPr>
          <w:rFonts w:ascii="Times New Roman" w:eastAsia="Times New Roman"/>
          <w:sz w:val="21"/>
        </w:rPr>
        <w:t>GFR</w:t>
      </w:r>
      <w:r>
        <w:rPr>
          <w:sz w:val="21"/>
        </w:rPr>
        <w:t>）</w:t>
      </w:r>
      <w:r>
        <w:rPr>
          <w:rFonts w:ascii="Times New Roman" w:eastAsia="Times New Roman"/>
          <w:spacing w:val="20"/>
          <w:sz w:val="21"/>
        </w:rPr>
        <w:t xml:space="preserve">&lt; </w:t>
      </w:r>
      <w:r>
        <w:rPr>
          <w:rFonts w:ascii="Times New Roman" w:eastAsia="Times New Roman"/>
          <w:sz w:val="21"/>
        </w:rPr>
        <w:t>25ml/min</w:t>
      </w:r>
      <w:r>
        <w:rPr>
          <w:rFonts w:ascii="Times New Roman" w:eastAsia="Times New Roman"/>
          <w:spacing w:val="44"/>
          <w:sz w:val="21"/>
        </w:rPr>
        <w:t xml:space="preserve"> </w:t>
      </w:r>
      <w:r>
        <w:rPr>
          <w:sz w:val="21"/>
        </w:rPr>
        <w:t>或肌酐清除率（</w:t>
      </w:r>
      <w:r>
        <w:rPr>
          <w:rFonts w:ascii="Times New Roman" w:eastAsia="Times New Roman"/>
          <w:sz w:val="21"/>
        </w:rPr>
        <w:t>Ccr</w:t>
      </w:r>
      <w:r>
        <w:rPr>
          <w:sz w:val="21"/>
        </w:rPr>
        <w:t>）</w:t>
      </w:r>
      <w:r>
        <w:rPr>
          <w:rFonts w:ascii="Times New Roman" w:eastAsia="Times New Roman"/>
          <w:sz w:val="21"/>
        </w:rPr>
        <w:t xml:space="preserve">&lt; </w:t>
      </w:r>
      <w:r>
        <w:rPr>
          <w:rFonts w:ascii="Times New Roman" w:eastAsia="Times New Roman"/>
          <w:spacing w:val="-2"/>
          <w:sz w:val="21"/>
        </w:rPr>
        <w:t>25ml/min</w:t>
      </w:r>
      <w:r>
        <w:rPr>
          <w:spacing w:val="-2"/>
          <w:sz w:val="21"/>
        </w:rPr>
        <w:t>；</w:t>
      </w:r>
    </w:p>
    <w:p>
      <w:pPr>
        <w:pStyle w:val="8"/>
        <w:numPr>
          <w:ilvl w:val="0"/>
          <w:numId w:val="42"/>
        </w:numPr>
        <w:tabs>
          <w:tab w:val="left" w:pos="3837"/>
        </w:tabs>
        <w:spacing w:before="0" w:after="0" w:line="267" w:lineRule="exact"/>
        <w:ind w:left="3836" w:right="0" w:hanging="530"/>
        <w:jc w:val="left"/>
        <w:rPr>
          <w:sz w:val="21"/>
        </w:rPr>
      </w:pPr>
      <w:r>
        <w:rPr>
          <w:sz w:val="21"/>
        </w:rPr>
        <w:t>血肌酐（</w:t>
      </w:r>
      <w:r>
        <w:rPr>
          <w:rFonts w:ascii="Times New Roman" w:hAnsi="Times New Roman" w:eastAsia="Times New Roman"/>
          <w:sz w:val="21"/>
        </w:rPr>
        <w:t>Scr</w:t>
      </w:r>
      <w:r>
        <w:rPr>
          <w:sz w:val="21"/>
        </w:rPr>
        <w:t>）</w:t>
      </w:r>
      <w:r>
        <w:rPr>
          <w:rFonts w:ascii="Times New Roman" w:hAnsi="Times New Roman" w:eastAsia="Times New Roman"/>
          <w:spacing w:val="-6"/>
          <w:sz w:val="21"/>
        </w:rPr>
        <w:t xml:space="preserve">&gt; </w:t>
      </w:r>
      <w:r>
        <w:rPr>
          <w:rFonts w:ascii="Times New Roman" w:hAnsi="Times New Roman" w:eastAsia="Times New Roman"/>
          <w:sz w:val="21"/>
        </w:rPr>
        <w:t>5mg/dl</w:t>
      </w:r>
      <w:r>
        <w:rPr>
          <w:rFonts w:ascii="Times New Roman" w:hAnsi="Times New Roman" w:eastAsia="Times New Roman"/>
          <w:spacing w:val="-11"/>
          <w:sz w:val="21"/>
        </w:rPr>
        <w:t xml:space="preserve"> </w:t>
      </w:r>
      <w:r>
        <w:rPr>
          <w:sz w:val="21"/>
        </w:rPr>
        <w:t>或</w:t>
      </w:r>
      <w:r>
        <w:rPr>
          <w:rFonts w:ascii="Times New Roman" w:hAnsi="Times New Roman" w:eastAsia="Times New Roman"/>
          <w:spacing w:val="-2"/>
          <w:sz w:val="21"/>
        </w:rPr>
        <w:t>&gt;442µmol/L</w:t>
      </w:r>
      <w:r>
        <w:rPr>
          <w:spacing w:val="-2"/>
          <w:sz w:val="21"/>
        </w:rPr>
        <w:t>；</w:t>
      </w:r>
    </w:p>
    <w:p>
      <w:pPr>
        <w:pStyle w:val="8"/>
        <w:numPr>
          <w:ilvl w:val="0"/>
          <w:numId w:val="42"/>
        </w:numPr>
        <w:tabs>
          <w:tab w:val="left" w:pos="3837"/>
        </w:tabs>
        <w:spacing w:before="0" w:after="0" w:line="240" w:lineRule="auto"/>
        <w:ind w:left="3836" w:right="0" w:hanging="530"/>
        <w:jc w:val="left"/>
        <w:rPr>
          <w:sz w:val="21"/>
        </w:rPr>
      </w:pPr>
      <w:r>
        <w:rPr>
          <w:spacing w:val="-18"/>
          <w:sz w:val="21"/>
        </w:rPr>
        <w:t xml:space="preserve">持续 </w:t>
      </w:r>
      <w:r>
        <w:rPr>
          <w:rFonts w:ascii="Times New Roman" w:eastAsia="Times New Roman"/>
          <w:sz w:val="21"/>
        </w:rPr>
        <w:t>180</w:t>
      </w:r>
      <w:r>
        <w:rPr>
          <w:rFonts w:ascii="Times New Roman" w:eastAsia="Times New Roman"/>
          <w:spacing w:val="-5"/>
          <w:sz w:val="21"/>
        </w:rPr>
        <w:t xml:space="preserve"> </w:t>
      </w:r>
      <w:r>
        <w:rPr>
          <w:spacing w:val="-5"/>
          <w:sz w:val="21"/>
        </w:rPr>
        <w:t>天。</w:t>
      </w:r>
    </w:p>
    <w:p>
      <w:pPr>
        <w:pStyle w:val="3"/>
        <w:rPr>
          <w:sz w:val="20"/>
        </w:rPr>
      </w:pPr>
    </w:p>
    <w:p>
      <w:pPr>
        <w:spacing w:after="0"/>
        <w:rPr>
          <w:sz w:val="20"/>
        </w:rPr>
        <w:sectPr>
          <w:pgSz w:w="11910" w:h="16840"/>
          <w:pgMar w:top="1060" w:right="620" w:bottom="1040" w:left="1480" w:header="0" w:footer="851" w:gutter="0"/>
          <w:cols w:space="720" w:num="1"/>
        </w:sectPr>
      </w:pPr>
    </w:p>
    <w:p>
      <w:pPr>
        <w:pStyle w:val="3"/>
        <w:spacing w:before="9"/>
        <w:rPr>
          <w:sz w:val="17"/>
        </w:rPr>
      </w:pPr>
    </w:p>
    <w:p>
      <w:pPr>
        <w:pStyle w:val="8"/>
        <w:numPr>
          <w:ilvl w:val="1"/>
          <w:numId w:val="39"/>
        </w:numPr>
        <w:tabs>
          <w:tab w:val="left" w:pos="1338"/>
          <w:tab w:val="left" w:pos="1339"/>
        </w:tabs>
        <w:spacing w:before="0" w:after="0" w:line="240" w:lineRule="auto"/>
        <w:ind w:left="1338" w:right="0" w:hanging="1004"/>
        <w:jc w:val="left"/>
        <w:rPr>
          <w:b/>
          <w:sz w:val="21"/>
        </w:rPr>
      </w:pPr>
      <w:r>
        <w:rPr>
          <w:b/>
          <w:spacing w:val="-2"/>
          <w:sz w:val="21"/>
        </w:rPr>
        <w:t>丝虫感染所致早期</w:t>
      </w:r>
      <w:r>
        <w:rPr>
          <w:b/>
          <w:spacing w:val="-4"/>
          <w:sz w:val="21"/>
        </w:rPr>
        <w:t>象皮病</w:t>
      </w:r>
    </w:p>
    <w:p>
      <w:pPr>
        <w:spacing w:before="3" w:line="240" w:lineRule="auto"/>
        <w:rPr>
          <w:b/>
          <w:sz w:val="18"/>
        </w:rPr>
      </w:pPr>
      <w:r>
        <w:br w:type="column"/>
      </w:r>
    </w:p>
    <w:p>
      <w:pPr>
        <w:pStyle w:val="3"/>
        <w:spacing w:line="242" w:lineRule="auto"/>
        <w:ind w:left="162" w:right="619"/>
        <w:jc w:val="both"/>
      </w:pPr>
      <w:r>
        <w:rPr>
          <w:spacing w:val="-2"/>
        </w:rPr>
        <w:t>指因丝虫感染导致淋巴阻塞性出现严重淋巴水肿，达到国际淋巴</w:t>
      </w:r>
      <w:r>
        <w:rPr>
          <w:spacing w:val="-7"/>
        </w:rPr>
        <w:t xml:space="preserve">学会淋巴肿分期第 </w:t>
      </w:r>
      <w:r>
        <w:rPr>
          <w:rFonts w:ascii="Times New Roman" w:eastAsia="Times New Roman"/>
          <w:spacing w:val="-4"/>
        </w:rPr>
        <w:t>II</w:t>
      </w:r>
      <w:r>
        <w:rPr>
          <w:rFonts w:ascii="Times New Roman" w:eastAsia="Times New Roman"/>
          <w:spacing w:val="14"/>
        </w:rPr>
        <w:t xml:space="preserve"> </w:t>
      </w:r>
      <w:r>
        <w:rPr>
          <w:spacing w:val="-4"/>
        </w:rPr>
        <w:t xml:space="preserve">期，临床表现为肢体象皮肿，夜间卧床休息后不能消退，患肢较健肢增粗 </w:t>
      </w:r>
      <w:r>
        <w:rPr>
          <w:rFonts w:ascii="Times New Roman" w:eastAsia="Times New Roman"/>
        </w:rPr>
        <w:t>20%</w:t>
      </w:r>
      <w:r>
        <w:t>以上。</w:t>
      </w:r>
    </w:p>
    <w:p>
      <w:pPr>
        <w:spacing w:before="0" w:line="242" w:lineRule="auto"/>
        <w:ind w:left="162" w:right="618" w:firstLine="0"/>
        <w:jc w:val="both"/>
        <w:rPr>
          <w:b/>
          <w:sz w:val="21"/>
        </w:rPr>
      </w:pPr>
      <w:r>
        <w:rPr>
          <w:spacing w:val="3"/>
          <w:w w:val="100"/>
          <w:sz w:val="21"/>
        </w:rPr>
        <w:t>此病症须经本公司认可医院的专科医生根据临床表现和微丝蚴</w:t>
      </w:r>
      <w:r>
        <w:rPr>
          <w:spacing w:val="-4"/>
          <w:w w:val="100"/>
          <w:sz w:val="21"/>
        </w:rPr>
        <w:t>的化验结果确诊。</w:t>
      </w:r>
      <w:r>
        <w:rPr>
          <w:b/>
          <w:spacing w:val="-2"/>
          <w:w w:val="100"/>
          <w:sz w:val="21"/>
        </w:rPr>
        <w:t>急性淋巴管炎或其它原因引起的淋巴水肿并不</w:t>
      </w:r>
      <w:r>
        <w:rPr>
          <w:b/>
          <w:w w:val="100"/>
          <w:sz w:val="21"/>
        </w:rPr>
        <w:t>在保障范围內。</w:t>
      </w:r>
    </w:p>
    <w:p>
      <w:pPr>
        <w:spacing w:after="0" w:line="242" w:lineRule="auto"/>
        <w:jc w:val="both"/>
        <w:rPr>
          <w:sz w:val="21"/>
        </w:rPr>
        <w:sectPr>
          <w:type w:val="continuous"/>
          <w:pgSz w:w="11910" w:h="16840"/>
          <w:pgMar w:top="320" w:right="620" w:bottom="280" w:left="1480" w:header="0" w:footer="851" w:gutter="0"/>
          <w:cols w:equalWidth="0" w:num="2">
            <w:col w:w="3106" w:space="40"/>
            <w:col w:w="6664"/>
          </w:cols>
        </w:sectPr>
      </w:pPr>
    </w:p>
    <w:p>
      <w:pPr>
        <w:pStyle w:val="3"/>
        <w:rPr>
          <w:b/>
          <w:sz w:val="20"/>
        </w:rPr>
      </w:pPr>
    </w:p>
    <w:p>
      <w:pPr>
        <w:pStyle w:val="3"/>
        <w:spacing w:before="6"/>
        <w:rPr>
          <w:b/>
          <w:sz w:val="17"/>
        </w:rPr>
      </w:pPr>
    </w:p>
    <w:p>
      <w:pPr>
        <w:pStyle w:val="8"/>
        <w:numPr>
          <w:ilvl w:val="1"/>
          <w:numId w:val="39"/>
        </w:numPr>
        <w:tabs>
          <w:tab w:val="left" w:pos="1338"/>
          <w:tab w:val="left" w:pos="1339"/>
        </w:tabs>
        <w:spacing w:before="0" w:after="0" w:line="275" w:lineRule="exact"/>
        <w:ind w:left="1338" w:right="0" w:hanging="1005"/>
        <w:jc w:val="both"/>
        <w:rPr>
          <w:sz w:val="21"/>
        </w:rPr>
      </w:pPr>
      <w:r>
        <w:rPr>
          <w:b/>
          <w:spacing w:val="43"/>
          <w:sz w:val="21"/>
        </w:rPr>
        <w:t xml:space="preserve">再生障碍性贫血 </w:t>
      </w:r>
      <w:r>
        <w:rPr>
          <w:spacing w:val="-1"/>
          <w:sz w:val="21"/>
        </w:rPr>
        <w:t>指因急性可逆性的骨髓造血功能衰竭而导致贫血、中性粒细胞减</w:t>
      </w:r>
    </w:p>
    <w:p>
      <w:pPr>
        <w:pStyle w:val="3"/>
        <w:spacing w:line="244" w:lineRule="auto"/>
        <w:ind w:left="3307" w:right="619"/>
        <w:jc w:val="both"/>
      </w:pPr>
      <w:r>
        <w:rPr>
          <w:spacing w:val="-2"/>
        </w:rPr>
        <w:t>少和血小板减少，必须由血液科医生的诊断，虽然未达到本合同所指重大疾病“重型再生障碍性贫血”的给付标准，但须满足以下条件之一：</w:t>
      </w:r>
    </w:p>
    <w:p>
      <w:pPr>
        <w:pStyle w:val="8"/>
        <w:numPr>
          <w:ilvl w:val="0"/>
          <w:numId w:val="43"/>
        </w:numPr>
        <w:tabs>
          <w:tab w:val="left" w:pos="3837"/>
        </w:tabs>
        <w:spacing w:before="0" w:after="0" w:line="267" w:lineRule="exact"/>
        <w:ind w:left="3836" w:right="0" w:hanging="530"/>
        <w:jc w:val="both"/>
        <w:rPr>
          <w:sz w:val="21"/>
        </w:rPr>
      </w:pPr>
      <w:r>
        <w:rPr>
          <w:spacing w:val="-6"/>
          <w:sz w:val="21"/>
        </w:rPr>
        <w:t xml:space="preserve">接受了骨髓刺激疗法至少 </w:t>
      </w:r>
      <w:r>
        <w:rPr>
          <w:rFonts w:ascii="Times New Roman" w:eastAsia="Times New Roman"/>
          <w:spacing w:val="-2"/>
          <w:sz w:val="21"/>
        </w:rPr>
        <w:t>1</w:t>
      </w:r>
      <w:r>
        <w:rPr>
          <w:rFonts w:ascii="Times New Roman" w:eastAsia="Times New Roman"/>
          <w:spacing w:val="7"/>
          <w:sz w:val="21"/>
        </w:rPr>
        <w:t xml:space="preserve"> </w:t>
      </w:r>
      <w:r>
        <w:rPr>
          <w:spacing w:val="-5"/>
          <w:sz w:val="21"/>
        </w:rPr>
        <w:t>个月；</w:t>
      </w:r>
    </w:p>
    <w:p>
      <w:pPr>
        <w:pStyle w:val="8"/>
        <w:numPr>
          <w:ilvl w:val="0"/>
          <w:numId w:val="43"/>
        </w:numPr>
        <w:tabs>
          <w:tab w:val="left" w:pos="3837"/>
        </w:tabs>
        <w:spacing w:before="0" w:after="0" w:line="240" w:lineRule="auto"/>
        <w:ind w:left="3836" w:right="0" w:hanging="530"/>
        <w:jc w:val="left"/>
        <w:rPr>
          <w:sz w:val="21"/>
        </w:rPr>
      </w:pPr>
      <w:r>
        <w:rPr>
          <w:spacing w:val="-6"/>
          <w:sz w:val="21"/>
        </w:rPr>
        <w:t xml:space="preserve">接受了免疫抑制剂治疗至少 </w:t>
      </w:r>
      <w:r>
        <w:rPr>
          <w:rFonts w:ascii="Times New Roman" w:eastAsia="Times New Roman"/>
          <w:spacing w:val="-2"/>
          <w:sz w:val="21"/>
        </w:rPr>
        <w:t>1</w:t>
      </w:r>
      <w:r>
        <w:rPr>
          <w:rFonts w:ascii="Times New Roman" w:eastAsia="Times New Roman"/>
          <w:spacing w:val="5"/>
          <w:sz w:val="21"/>
        </w:rPr>
        <w:t xml:space="preserve"> </w:t>
      </w:r>
      <w:r>
        <w:rPr>
          <w:spacing w:val="-5"/>
          <w:sz w:val="21"/>
        </w:rPr>
        <w:t>个月；</w:t>
      </w:r>
    </w:p>
    <w:p>
      <w:pPr>
        <w:pStyle w:val="8"/>
        <w:numPr>
          <w:ilvl w:val="0"/>
          <w:numId w:val="43"/>
        </w:numPr>
        <w:tabs>
          <w:tab w:val="left" w:pos="3837"/>
        </w:tabs>
        <w:spacing w:before="5" w:after="0" w:line="240" w:lineRule="auto"/>
        <w:ind w:left="3836" w:right="0" w:hanging="530"/>
        <w:jc w:val="left"/>
        <w:rPr>
          <w:sz w:val="21"/>
        </w:rPr>
      </w:pPr>
      <w:r>
        <w:rPr>
          <w:spacing w:val="-4"/>
          <w:sz w:val="21"/>
        </w:rPr>
        <w:t>接受了骨髓移植。</w:t>
      </w:r>
    </w:p>
    <w:p>
      <w:pPr>
        <w:pStyle w:val="3"/>
        <w:rPr>
          <w:sz w:val="20"/>
        </w:rPr>
      </w:pPr>
    </w:p>
    <w:p>
      <w:pPr>
        <w:spacing w:after="0"/>
        <w:rPr>
          <w:sz w:val="20"/>
        </w:rPr>
        <w:sectPr>
          <w:type w:val="continuous"/>
          <w:pgSz w:w="11910" w:h="16840"/>
          <w:pgMar w:top="320" w:right="620" w:bottom="280" w:left="1480" w:header="0" w:footer="851" w:gutter="0"/>
          <w:cols w:space="720" w:num="1"/>
        </w:sectPr>
      </w:pPr>
    </w:p>
    <w:p>
      <w:pPr>
        <w:pStyle w:val="3"/>
        <w:spacing w:before="4"/>
        <w:rPr>
          <w:sz w:val="17"/>
        </w:rPr>
      </w:pPr>
    </w:p>
    <w:p>
      <w:pPr>
        <w:pStyle w:val="8"/>
        <w:numPr>
          <w:ilvl w:val="1"/>
          <w:numId w:val="39"/>
        </w:numPr>
        <w:tabs>
          <w:tab w:val="left" w:pos="1338"/>
          <w:tab w:val="left" w:pos="1339"/>
        </w:tabs>
        <w:spacing w:before="0" w:after="0" w:line="244" w:lineRule="auto"/>
        <w:ind w:left="1338" w:right="0" w:hanging="1004"/>
        <w:jc w:val="left"/>
        <w:rPr>
          <w:b/>
          <w:sz w:val="21"/>
        </w:rPr>
      </w:pPr>
      <w:r>
        <w:rPr>
          <w:b/>
          <w:spacing w:val="-2"/>
          <w:sz w:val="21"/>
        </w:rPr>
        <w:t>坏死性筋膜炎组织</w:t>
      </w:r>
      <w:r>
        <w:rPr>
          <w:b/>
          <w:spacing w:val="-4"/>
          <w:sz w:val="21"/>
        </w:rPr>
        <w:t>肌肉切除</w:t>
      </w:r>
    </w:p>
    <w:p>
      <w:pPr>
        <w:spacing w:before="10" w:line="240" w:lineRule="auto"/>
        <w:rPr>
          <w:b/>
          <w:sz w:val="17"/>
        </w:rPr>
      </w:pPr>
      <w:r>
        <w:br w:type="column"/>
      </w:r>
    </w:p>
    <w:p>
      <w:pPr>
        <w:pStyle w:val="3"/>
        <w:spacing w:line="244" w:lineRule="auto"/>
        <w:ind w:left="162" w:right="619"/>
        <w:jc w:val="both"/>
      </w:pPr>
      <w:r>
        <w:rPr>
          <w:spacing w:val="3"/>
          <w:w w:val="100"/>
        </w:rPr>
        <w:t>是一种由细菌侵入皮下组织和筋膜引起的急性坏死性软组织感</w:t>
      </w:r>
      <w:r>
        <w:rPr>
          <w:spacing w:val="-6"/>
          <w:w w:val="100"/>
        </w:rPr>
        <w:t>染，可伴有毒血症、败血症、中毒性休克、弥漫性血管内凝血及</w:t>
      </w:r>
      <w:r>
        <w:rPr>
          <w:spacing w:val="-7"/>
          <w:w w:val="100"/>
        </w:rPr>
        <w:t>多器官衰竭。必须满足下列所有条件，且未达到重疾“重症急性</w:t>
      </w:r>
      <w:r>
        <w:rPr>
          <w:spacing w:val="-2"/>
          <w:w w:val="100"/>
        </w:rPr>
        <w:t>坏死性筋膜炎”的给付标准：</w:t>
      </w:r>
    </w:p>
    <w:p>
      <w:pPr>
        <w:pStyle w:val="8"/>
        <w:numPr>
          <w:ilvl w:val="0"/>
          <w:numId w:val="44"/>
        </w:numPr>
        <w:tabs>
          <w:tab w:val="left" w:pos="692"/>
        </w:tabs>
        <w:spacing w:before="0" w:after="0" w:line="261" w:lineRule="exact"/>
        <w:ind w:left="691" w:right="0" w:hanging="530"/>
        <w:jc w:val="left"/>
        <w:rPr>
          <w:sz w:val="21"/>
        </w:rPr>
      </w:pPr>
      <w:r>
        <w:rPr>
          <w:spacing w:val="-3"/>
          <w:sz w:val="21"/>
        </w:rPr>
        <w:t>细菌培养和临床表现符合坏死性筋膜炎诊断标准；</w:t>
      </w:r>
    </w:p>
    <w:p>
      <w:pPr>
        <w:pStyle w:val="8"/>
        <w:numPr>
          <w:ilvl w:val="0"/>
          <w:numId w:val="44"/>
        </w:numPr>
        <w:tabs>
          <w:tab w:val="left" w:pos="692"/>
        </w:tabs>
        <w:spacing w:before="5" w:after="0" w:line="240" w:lineRule="auto"/>
        <w:ind w:left="691" w:right="0" w:hanging="530"/>
        <w:jc w:val="left"/>
        <w:rPr>
          <w:sz w:val="21"/>
        </w:rPr>
      </w:pPr>
      <w:r>
        <w:rPr>
          <w:spacing w:val="-3"/>
          <w:sz w:val="21"/>
        </w:rPr>
        <w:t>病情迅速恶化，有脓毒血症表现；</w:t>
      </w:r>
    </w:p>
    <w:p>
      <w:pPr>
        <w:pStyle w:val="8"/>
        <w:numPr>
          <w:ilvl w:val="0"/>
          <w:numId w:val="44"/>
        </w:numPr>
        <w:tabs>
          <w:tab w:val="left" w:pos="702"/>
        </w:tabs>
        <w:spacing w:before="4" w:after="0" w:line="244" w:lineRule="auto"/>
        <w:ind w:left="685" w:right="621" w:hanging="524"/>
        <w:jc w:val="left"/>
        <w:rPr>
          <w:sz w:val="21"/>
        </w:rPr>
      </w:pPr>
      <w:r>
        <w:rPr>
          <w:spacing w:val="-2"/>
          <w:sz w:val="21"/>
        </w:rPr>
        <w:t>出现广泛肌肉及软组织坏死，实际接受了坏死组织、筋膜及肌肉的广泛切除手术。</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10"/>
        <w:rPr>
          <w:sz w:val="29"/>
        </w:rPr>
      </w:pPr>
    </w:p>
    <w:p>
      <w:pPr>
        <w:spacing w:after="0"/>
        <w:rPr>
          <w:sz w:val="29"/>
        </w:rPr>
        <w:sectPr>
          <w:type w:val="continuous"/>
          <w:pgSz w:w="11910" w:h="16840"/>
          <w:pgMar w:top="320" w:right="620" w:bottom="280" w:left="1480" w:header="0" w:footer="851" w:gutter="0"/>
          <w:cols w:space="720" w:num="1"/>
        </w:sectPr>
      </w:pPr>
    </w:p>
    <w:p>
      <w:pPr>
        <w:pStyle w:val="8"/>
        <w:numPr>
          <w:ilvl w:val="1"/>
          <w:numId w:val="39"/>
        </w:numPr>
        <w:tabs>
          <w:tab w:val="left" w:pos="1338"/>
          <w:tab w:val="left" w:pos="1339"/>
        </w:tabs>
        <w:spacing w:before="92" w:after="0" w:line="244" w:lineRule="auto"/>
        <w:ind w:left="1338" w:right="0" w:hanging="1004"/>
        <w:jc w:val="left"/>
        <w:rPr>
          <w:b/>
          <w:sz w:val="21"/>
        </w:rPr>
      </w:pPr>
      <w:r>
        <w:rPr>
          <w:b/>
          <w:spacing w:val="-2"/>
          <w:sz w:val="21"/>
        </w:rPr>
        <w:t>激光心肌血运重建</w:t>
      </w:r>
      <w:r>
        <w:rPr>
          <w:b/>
          <w:spacing w:val="-10"/>
          <w:sz w:val="21"/>
        </w:rPr>
        <w:t>术</w:t>
      </w:r>
    </w:p>
    <w:p>
      <w:pPr>
        <w:pStyle w:val="3"/>
        <w:spacing w:before="98" w:line="242" w:lineRule="auto"/>
        <w:ind w:left="162" w:right="619"/>
        <w:jc w:val="both"/>
      </w:pPr>
      <w:r>
        <w:br w:type="column"/>
      </w:r>
      <w:r>
        <w:rPr>
          <w:spacing w:val="-6"/>
          <w:w w:val="100"/>
        </w:rPr>
        <w:t>指患有顽固性心绞痛，经持续药物治疗后无改善，冠状动脉搭桥</w:t>
      </w:r>
      <w:r>
        <w:rPr>
          <w:spacing w:val="-7"/>
          <w:w w:val="100"/>
        </w:rPr>
        <w:t>手术及经皮血管成形手术已失败或者被认为不适合。在本公司认</w:t>
      </w:r>
      <w:r>
        <w:rPr>
          <w:spacing w:val="3"/>
          <w:w w:val="100"/>
        </w:rPr>
        <w:t>可医院内实际进行了开胸手术下或者胸腔镜下的激光心肌血运重建术。</w:t>
      </w:r>
    </w:p>
    <w:p>
      <w:pPr>
        <w:spacing w:before="3" w:line="244" w:lineRule="auto"/>
        <w:ind w:left="162" w:right="619" w:firstLine="0"/>
        <w:jc w:val="left"/>
        <w:rPr>
          <w:b/>
          <w:sz w:val="21"/>
        </w:rPr>
      </w:pPr>
      <w:r>
        <w:rPr>
          <w:b/>
          <w:spacing w:val="-2"/>
          <w:sz w:val="21"/>
        </w:rPr>
        <w:t>被保险人已达到本合同所指重大疾病“急性心肌梗塞”或“严重冠心病”标准的，本公司不承担本项手术保险责任。</w:t>
      </w:r>
    </w:p>
    <w:p>
      <w:pPr>
        <w:spacing w:before="0" w:line="244" w:lineRule="auto"/>
        <w:ind w:left="162" w:right="513" w:firstLine="0"/>
        <w:jc w:val="left"/>
        <w:rPr>
          <w:b/>
          <w:sz w:val="21"/>
        </w:rPr>
      </w:pPr>
      <w:r>
        <w:rPr>
          <w:b/>
          <w:spacing w:val="-15"/>
          <w:sz w:val="21"/>
        </w:rPr>
        <w:t>本公司仅对“不典型的急性心肌梗塞”、“冠状动脉介入手术</w:t>
      </w:r>
      <w:r>
        <w:rPr>
          <w:b/>
          <w:spacing w:val="-2"/>
          <w:sz w:val="21"/>
        </w:rPr>
        <w:t>（非开胸手术</w:t>
      </w:r>
      <w:r>
        <w:rPr>
          <w:b/>
          <w:spacing w:val="-106"/>
          <w:sz w:val="21"/>
        </w:rPr>
        <w:t>）”</w:t>
      </w:r>
      <w:r>
        <w:rPr>
          <w:b/>
          <w:spacing w:val="-14"/>
          <w:sz w:val="21"/>
        </w:rPr>
        <w:t>、“微创冠状动脉搭桥术”和“激光心肌血运重建术”</w:t>
      </w:r>
      <w:r>
        <w:rPr>
          <w:b/>
          <w:spacing w:val="-2"/>
          <w:sz w:val="21"/>
        </w:rPr>
        <w:t>四项中的其中一项承担保险责任，给付其中一项保险金后，对其他三项轻症疾病保险责任同时终止。</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1"/>
        <w:rPr>
          <w:b/>
          <w:sz w:val="29"/>
        </w:rPr>
      </w:pPr>
    </w:p>
    <w:p>
      <w:pPr>
        <w:spacing w:after="0"/>
        <w:rPr>
          <w:sz w:val="29"/>
        </w:rPr>
        <w:sectPr>
          <w:type w:val="continuous"/>
          <w:pgSz w:w="11910" w:h="16840"/>
          <w:pgMar w:top="320" w:right="620" w:bottom="280" w:left="1480" w:header="0" w:footer="851" w:gutter="0"/>
          <w:cols w:space="720" w:num="1"/>
        </w:sectPr>
      </w:pPr>
    </w:p>
    <w:p>
      <w:pPr>
        <w:pStyle w:val="8"/>
        <w:numPr>
          <w:ilvl w:val="1"/>
          <w:numId w:val="39"/>
        </w:numPr>
        <w:tabs>
          <w:tab w:val="left" w:pos="1338"/>
          <w:tab w:val="left" w:pos="1339"/>
        </w:tabs>
        <w:spacing w:before="92" w:after="0" w:line="244" w:lineRule="auto"/>
        <w:ind w:left="1338" w:right="0" w:hanging="1004"/>
        <w:jc w:val="left"/>
        <w:rPr>
          <w:b/>
          <w:sz w:val="21"/>
        </w:rPr>
      </w:pPr>
      <w:r>
        <w:rPr>
          <w:b/>
          <w:spacing w:val="-2"/>
          <w:sz w:val="21"/>
        </w:rPr>
        <w:t>微创冠状动脉搭桥</w:t>
      </w:r>
      <w:r>
        <w:rPr>
          <w:b/>
          <w:spacing w:val="-10"/>
          <w:sz w:val="21"/>
        </w:rPr>
        <w:t>术</w:t>
      </w:r>
    </w:p>
    <w:p>
      <w:pPr>
        <w:pStyle w:val="3"/>
        <w:spacing w:before="98" w:line="242" w:lineRule="auto"/>
        <w:ind w:left="162" w:right="619"/>
        <w:jc w:val="both"/>
      </w:pPr>
      <w:r>
        <w:br w:type="column"/>
      </w:r>
      <w:r>
        <w:rPr>
          <w:spacing w:val="-2"/>
        </w:rPr>
        <w:t>指确实透过微型的胸壁锁孔（于肋骨之间开一个细小的切口</w:t>
      </w:r>
      <w:r>
        <w:rPr>
          <w:spacing w:val="-101"/>
        </w:rPr>
        <w:t>）</w:t>
      </w:r>
      <w:r>
        <w:t>，</w:t>
      </w:r>
      <w:r>
        <w:rPr>
          <w:spacing w:val="-2"/>
        </w:rPr>
        <w:t>进行非体外循环下的冠状动脉搭桥手术，以矫正一条或以上冠状动脉狭窄或闭塞。微创进行直接的冠状动脉搭桥手术亦可称“锁</w:t>
      </w:r>
      <w:r>
        <w:rPr>
          <w:spacing w:val="-3"/>
        </w:rPr>
        <w:t>孔”式冠状动脉手术。有关程序为医疗所需及由本公司认可医院</w:t>
      </w:r>
    </w:p>
    <w:p>
      <w:pPr>
        <w:spacing w:after="0" w:line="242" w:lineRule="auto"/>
        <w:jc w:val="both"/>
        <w:sectPr>
          <w:type w:val="continuous"/>
          <w:pgSz w:w="11910" w:h="16840"/>
          <w:pgMar w:top="320" w:right="620" w:bottom="280" w:left="1480" w:header="0" w:footer="851" w:gutter="0"/>
          <w:cols w:equalWidth="0" w:num="2">
            <w:col w:w="3106" w:space="40"/>
            <w:col w:w="6664"/>
          </w:cols>
        </w:sectPr>
      </w:pPr>
    </w:p>
    <w:p>
      <w:pPr>
        <w:pStyle w:val="3"/>
        <w:spacing w:before="51"/>
        <w:ind w:left="3307"/>
      </w:pPr>
      <w:r>
        <w:rPr>
          <w:spacing w:val="-3"/>
        </w:rPr>
        <w:t>的心脏专科医生进行。</w:t>
      </w:r>
    </w:p>
    <w:p>
      <w:pPr>
        <w:spacing w:before="4" w:line="244" w:lineRule="auto"/>
        <w:ind w:left="3307" w:right="619" w:firstLine="0"/>
        <w:jc w:val="left"/>
        <w:rPr>
          <w:b/>
          <w:sz w:val="21"/>
        </w:rPr>
      </w:pPr>
      <w:r>
        <w:rPr>
          <w:b/>
          <w:spacing w:val="-2"/>
          <w:sz w:val="21"/>
        </w:rPr>
        <w:t>被保险人已达到本合同所指重大疾病“急性心肌梗塞”或“严重冠心病”标准的，本公司不承担本项手术保险责任。</w:t>
      </w:r>
    </w:p>
    <w:p>
      <w:pPr>
        <w:pStyle w:val="3"/>
        <w:spacing w:before="8"/>
        <w:rPr>
          <w:b/>
          <w:sz w:val="18"/>
        </w:rPr>
      </w:pPr>
    </w:p>
    <w:p>
      <w:pPr>
        <w:spacing w:before="0" w:line="242" w:lineRule="auto"/>
        <w:ind w:left="3307" w:right="513" w:firstLine="0"/>
        <w:jc w:val="left"/>
        <w:rPr>
          <w:b/>
          <w:sz w:val="21"/>
        </w:rPr>
      </w:pPr>
      <w:r>
        <w:rPr>
          <w:b/>
          <w:spacing w:val="-15"/>
          <w:sz w:val="21"/>
        </w:rPr>
        <w:t>本公司仅对“不典型的急性心肌梗塞”、“冠状动脉介入手术</w:t>
      </w:r>
      <w:r>
        <w:rPr>
          <w:b/>
          <w:spacing w:val="-2"/>
          <w:sz w:val="21"/>
        </w:rPr>
        <w:t>（非开胸手术</w:t>
      </w:r>
      <w:r>
        <w:rPr>
          <w:b/>
          <w:spacing w:val="-106"/>
          <w:sz w:val="21"/>
        </w:rPr>
        <w:t>）”</w:t>
      </w:r>
      <w:r>
        <w:rPr>
          <w:b/>
          <w:spacing w:val="-14"/>
          <w:sz w:val="21"/>
        </w:rPr>
        <w:t>、“微创冠状动脉搭桥术”和“激光心肌血运重建术”</w:t>
      </w:r>
      <w:r>
        <w:rPr>
          <w:b/>
          <w:spacing w:val="-2"/>
          <w:sz w:val="21"/>
        </w:rPr>
        <w:t>四项中的其中一项承担保险责任，给付其中一项保险金后，对其他三项轻症疾病保险责任同时终止。</w:t>
      </w:r>
    </w:p>
    <w:p>
      <w:pPr>
        <w:pStyle w:val="3"/>
        <w:rPr>
          <w:b/>
          <w:sz w:val="20"/>
        </w:rPr>
      </w:pPr>
    </w:p>
    <w:p>
      <w:pPr>
        <w:pStyle w:val="3"/>
        <w:spacing w:before="3"/>
        <w:rPr>
          <w:b/>
          <w:sz w:val="17"/>
        </w:rPr>
      </w:pPr>
    </w:p>
    <w:p>
      <w:pPr>
        <w:pStyle w:val="8"/>
        <w:numPr>
          <w:ilvl w:val="1"/>
          <w:numId w:val="39"/>
        </w:numPr>
        <w:tabs>
          <w:tab w:val="left" w:pos="1338"/>
          <w:tab w:val="left" w:pos="1339"/>
          <w:tab w:val="left" w:pos="3307"/>
        </w:tabs>
        <w:spacing w:before="0" w:after="0" w:line="240" w:lineRule="auto"/>
        <w:ind w:left="1338" w:right="0" w:hanging="1005"/>
        <w:jc w:val="left"/>
        <w:rPr>
          <w:sz w:val="21"/>
        </w:rPr>
      </w:pPr>
      <w:r>
        <w:rPr>
          <w:b/>
          <w:sz w:val="21"/>
        </w:rPr>
        <w:t>单侧肾切</w:t>
      </w:r>
      <w:r>
        <w:rPr>
          <w:b/>
          <w:spacing w:val="-10"/>
          <w:sz w:val="21"/>
        </w:rPr>
        <w:t>除</w:t>
      </w:r>
      <w:r>
        <w:rPr>
          <w:b/>
          <w:sz w:val="21"/>
        </w:rPr>
        <w:tab/>
      </w:r>
      <w:r>
        <w:rPr>
          <w:spacing w:val="-2"/>
          <w:sz w:val="21"/>
        </w:rPr>
        <w:t>指因疾病或意外伤害导致肾脏严重损害，已经实际接受了左侧</w:t>
      </w:r>
      <w:r>
        <w:rPr>
          <w:spacing w:val="-10"/>
          <w:sz w:val="21"/>
        </w:rPr>
        <w:t>全</w:t>
      </w:r>
    </w:p>
    <w:p>
      <w:pPr>
        <w:spacing w:before="5" w:line="244" w:lineRule="auto"/>
        <w:ind w:left="3307" w:right="3340" w:firstLine="0"/>
        <w:jc w:val="left"/>
        <w:rPr>
          <w:b/>
          <w:sz w:val="21"/>
        </w:rPr>
      </w:pPr>
      <w:r>
        <w:rPr>
          <w:spacing w:val="-2"/>
          <w:sz w:val="21"/>
        </w:rPr>
        <w:t>肾切除手术或右侧全肾切除手术。</w:t>
      </w:r>
      <w:r>
        <w:rPr>
          <w:b/>
          <w:spacing w:val="-2"/>
          <w:sz w:val="21"/>
        </w:rPr>
        <w:t>下列情况不在本保障范围内：</w:t>
      </w:r>
    </w:p>
    <w:p>
      <w:pPr>
        <w:pStyle w:val="8"/>
        <w:numPr>
          <w:ilvl w:val="0"/>
          <w:numId w:val="45"/>
        </w:numPr>
        <w:tabs>
          <w:tab w:val="left" w:pos="3837"/>
        </w:tabs>
        <w:spacing w:before="0" w:after="0" w:line="267" w:lineRule="exact"/>
        <w:ind w:left="3836" w:right="0" w:hanging="530"/>
        <w:jc w:val="left"/>
        <w:rPr>
          <w:b/>
          <w:sz w:val="21"/>
        </w:rPr>
      </w:pPr>
      <w:r>
        <w:rPr>
          <w:b/>
          <w:spacing w:val="-2"/>
          <w:sz w:val="21"/>
        </w:rPr>
        <w:t>部分肾切除手术；</w:t>
      </w:r>
    </w:p>
    <w:p>
      <w:pPr>
        <w:pStyle w:val="8"/>
        <w:numPr>
          <w:ilvl w:val="0"/>
          <w:numId w:val="45"/>
        </w:numPr>
        <w:tabs>
          <w:tab w:val="left" w:pos="3837"/>
        </w:tabs>
        <w:spacing w:before="0" w:after="0" w:line="240" w:lineRule="auto"/>
        <w:ind w:left="3836" w:right="0" w:hanging="530"/>
        <w:jc w:val="left"/>
        <w:rPr>
          <w:b/>
          <w:sz w:val="21"/>
        </w:rPr>
      </w:pPr>
      <w:r>
        <w:rPr>
          <w:b/>
          <w:spacing w:val="-3"/>
          <w:sz w:val="21"/>
        </w:rPr>
        <w:t>因恶性肿瘤进行的肾切除手术；</w:t>
      </w:r>
    </w:p>
    <w:p>
      <w:pPr>
        <w:pStyle w:val="8"/>
        <w:numPr>
          <w:ilvl w:val="0"/>
          <w:numId w:val="45"/>
        </w:numPr>
        <w:tabs>
          <w:tab w:val="left" w:pos="3837"/>
        </w:tabs>
        <w:spacing w:before="5" w:after="0" w:line="240" w:lineRule="auto"/>
        <w:ind w:left="3836" w:right="0" w:hanging="530"/>
        <w:jc w:val="left"/>
        <w:rPr>
          <w:b/>
          <w:sz w:val="21"/>
        </w:rPr>
      </w:pPr>
      <w:r>
        <w:rPr>
          <w:b/>
          <w:spacing w:val="-1"/>
          <w:sz w:val="21"/>
        </w:rPr>
        <w:t>肾移植接受者肾切除；</w:t>
      </w:r>
    </w:p>
    <w:p>
      <w:pPr>
        <w:pStyle w:val="8"/>
        <w:numPr>
          <w:ilvl w:val="0"/>
          <w:numId w:val="45"/>
        </w:numPr>
        <w:tabs>
          <w:tab w:val="left" w:pos="3837"/>
        </w:tabs>
        <w:spacing w:before="4" w:after="0" w:line="240" w:lineRule="auto"/>
        <w:ind w:left="3836" w:right="0" w:hanging="530"/>
        <w:jc w:val="left"/>
        <w:rPr>
          <w:b/>
          <w:sz w:val="21"/>
        </w:rPr>
      </w:pPr>
      <w:r>
        <w:rPr>
          <w:b/>
          <w:spacing w:val="-3"/>
          <w:sz w:val="21"/>
        </w:rPr>
        <w:t>作为器官捐献者而实施的肾切除手术。</w:t>
      </w:r>
    </w:p>
    <w:p>
      <w:pPr>
        <w:pStyle w:val="3"/>
        <w:rPr>
          <w:b/>
          <w:sz w:val="20"/>
        </w:rPr>
      </w:pPr>
    </w:p>
    <w:p>
      <w:pPr>
        <w:spacing w:after="0"/>
        <w:rPr>
          <w:sz w:val="20"/>
        </w:rPr>
        <w:sectPr>
          <w:pgSz w:w="11910" w:h="16840"/>
          <w:pgMar w:top="1060" w:right="620" w:bottom="1040" w:left="1480" w:header="0" w:footer="851" w:gutter="0"/>
          <w:cols w:space="720" w:num="1"/>
        </w:sectPr>
      </w:pPr>
    </w:p>
    <w:p>
      <w:pPr>
        <w:pStyle w:val="3"/>
        <w:spacing w:before="5"/>
        <w:rPr>
          <w:b/>
          <w:sz w:val="17"/>
        </w:rPr>
      </w:pPr>
    </w:p>
    <w:p>
      <w:pPr>
        <w:pStyle w:val="8"/>
        <w:numPr>
          <w:ilvl w:val="1"/>
          <w:numId w:val="39"/>
        </w:numPr>
        <w:tabs>
          <w:tab w:val="left" w:pos="1338"/>
          <w:tab w:val="left" w:pos="1339"/>
        </w:tabs>
        <w:spacing w:before="0" w:after="0" w:line="244" w:lineRule="auto"/>
        <w:ind w:left="1338" w:right="0" w:hanging="1004"/>
        <w:jc w:val="left"/>
        <w:rPr>
          <w:b/>
          <w:sz w:val="21"/>
        </w:rPr>
      </w:pPr>
      <w:r>
        <w:rPr>
          <w:b/>
          <w:spacing w:val="-2"/>
          <w:sz w:val="21"/>
        </w:rPr>
        <w:t>中度系统性红斑狼</w:t>
      </w:r>
      <w:r>
        <w:rPr>
          <w:b/>
          <w:spacing w:val="-10"/>
          <w:sz w:val="21"/>
        </w:rPr>
        <w:t>疮</w:t>
      </w:r>
    </w:p>
    <w:p>
      <w:pPr>
        <w:spacing w:before="11" w:line="240" w:lineRule="auto"/>
        <w:rPr>
          <w:b/>
          <w:sz w:val="17"/>
        </w:rPr>
      </w:pPr>
      <w:r>
        <w:br w:type="column"/>
      </w:r>
    </w:p>
    <w:p>
      <w:pPr>
        <w:pStyle w:val="3"/>
        <w:ind w:left="162"/>
      </w:pPr>
      <w:r>
        <w:rPr>
          <w:spacing w:val="-3"/>
        </w:rPr>
        <w:t>本保障所指的系统性红斑狼疮必须符合下列所有理赔条件：</w:t>
      </w:r>
    </w:p>
    <w:p>
      <w:pPr>
        <w:pStyle w:val="8"/>
        <w:numPr>
          <w:ilvl w:val="0"/>
          <w:numId w:val="46"/>
        </w:numPr>
        <w:tabs>
          <w:tab w:val="left" w:pos="692"/>
        </w:tabs>
        <w:spacing w:before="5" w:after="0" w:line="240" w:lineRule="auto"/>
        <w:ind w:left="691" w:right="0" w:hanging="530"/>
        <w:jc w:val="left"/>
        <w:rPr>
          <w:sz w:val="21"/>
        </w:rPr>
      </w:pPr>
      <w:r>
        <w:rPr>
          <w:spacing w:val="-15"/>
          <w:sz w:val="21"/>
        </w:rPr>
        <w:t xml:space="preserve">在下列 </w:t>
      </w:r>
      <w:r>
        <w:rPr>
          <w:rFonts w:ascii="Times New Roman" w:eastAsia="Times New Roman"/>
          <w:sz w:val="21"/>
        </w:rPr>
        <w:t>5</w:t>
      </w:r>
      <w:r>
        <w:rPr>
          <w:rFonts w:ascii="Times New Roman" w:eastAsia="Times New Roman"/>
          <w:spacing w:val="-8"/>
          <w:sz w:val="21"/>
        </w:rPr>
        <w:t xml:space="preserve"> </w:t>
      </w:r>
      <w:r>
        <w:rPr>
          <w:spacing w:val="-6"/>
          <w:sz w:val="21"/>
        </w:rPr>
        <w:t xml:space="preserve">项情况中出现最少 </w:t>
      </w:r>
      <w:r>
        <w:rPr>
          <w:rFonts w:ascii="Times New Roman" w:eastAsia="Times New Roman"/>
          <w:sz w:val="21"/>
        </w:rPr>
        <w:t>3</w:t>
      </w:r>
      <w:r>
        <w:rPr>
          <w:rFonts w:ascii="Times New Roman" w:eastAsia="Times New Roman"/>
          <w:spacing w:val="-2"/>
          <w:sz w:val="21"/>
        </w:rPr>
        <w:t xml:space="preserve"> </w:t>
      </w:r>
      <w:r>
        <w:rPr>
          <w:spacing w:val="-5"/>
          <w:sz w:val="21"/>
        </w:rPr>
        <w:t>项：</w:t>
      </w:r>
    </w:p>
    <w:p>
      <w:pPr>
        <w:pStyle w:val="3"/>
        <w:spacing w:before="4" w:line="269" w:lineRule="exact"/>
        <w:ind w:left="584"/>
      </w:pPr>
      <w:r>
        <w:rPr>
          <w:spacing w:val="-3"/>
        </w:rPr>
        <w:t>①关节炎：非磨损性关节炎，需涉及两个或以上关节；</w:t>
      </w:r>
    </w:p>
    <w:p>
      <w:pPr>
        <w:pStyle w:val="3"/>
        <w:ind w:left="584"/>
      </w:pPr>
      <w:r>
        <w:rPr>
          <w:spacing w:val="-3"/>
        </w:rPr>
        <w:t>②浆膜炎：胸膜炎或心包炎；</w:t>
      </w:r>
    </w:p>
    <w:p>
      <w:pPr>
        <w:pStyle w:val="3"/>
        <w:spacing w:before="5" w:line="244" w:lineRule="auto"/>
        <w:ind w:left="584" w:right="617"/>
      </w:pPr>
      <w:r>
        <w:t>③肾病：</w:t>
      </w:r>
      <w:r>
        <w:rPr>
          <w:rFonts w:ascii="Times New Roman" w:hAnsi="Times New Roman" w:eastAsia="Times New Roman"/>
        </w:rPr>
        <w:t>24</w:t>
      </w:r>
      <w:r>
        <w:rPr>
          <w:rFonts w:ascii="Times New Roman" w:hAnsi="Times New Roman" w:eastAsia="Times New Roman"/>
          <w:spacing w:val="-14"/>
        </w:rPr>
        <w:t xml:space="preserve"> </w:t>
      </w:r>
      <w:r>
        <w:rPr>
          <w:spacing w:val="-6"/>
        </w:rPr>
        <w:t xml:space="preserve">小时尿蛋白定量达到 </w:t>
      </w:r>
      <w:r>
        <w:rPr>
          <w:rFonts w:ascii="Times New Roman" w:hAnsi="Times New Roman" w:eastAsia="Times New Roman"/>
        </w:rPr>
        <w:t>0.5</w:t>
      </w:r>
      <w:r>
        <w:rPr>
          <w:rFonts w:ascii="Times New Roman" w:hAnsi="Times New Roman" w:eastAsia="Times New Roman"/>
          <w:spacing w:val="-13"/>
        </w:rPr>
        <w:t xml:space="preserve"> </w:t>
      </w:r>
      <w:r>
        <w:t>克，或尿液检查出现细</w:t>
      </w:r>
      <w:r>
        <w:rPr>
          <w:spacing w:val="-4"/>
        </w:rPr>
        <w:t>胞管型；</w:t>
      </w:r>
    </w:p>
    <w:p>
      <w:pPr>
        <w:pStyle w:val="3"/>
        <w:spacing w:line="267" w:lineRule="exact"/>
        <w:ind w:left="584"/>
      </w:pPr>
      <w:r>
        <w:rPr>
          <w:spacing w:val="-3"/>
        </w:rPr>
        <w:t>④血液学异常：溶血性贫血、白细胞减少、或血小板减少；</w:t>
      </w:r>
    </w:p>
    <w:p>
      <w:pPr>
        <w:pStyle w:val="3"/>
        <w:ind w:left="584"/>
      </w:pPr>
      <w:r>
        <w:rPr>
          <w:spacing w:val="-6"/>
        </w:rPr>
        <w:t xml:space="preserve">⑤抗核抗体阳性、或抗 </w:t>
      </w:r>
      <w:r>
        <w:rPr>
          <w:rFonts w:ascii="Times New Roman" w:hAnsi="Times New Roman" w:eastAsia="Times New Roman"/>
          <w:spacing w:val="-2"/>
        </w:rPr>
        <w:t>dsDNA</w:t>
      </w:r>
      <w:r>
        <w:rPr>
          <w:rFonts w:ascii="Times New Roman" w:hAnsi="Times New Roman" w:eastAsia="Times New Roman"/>
          <w:spacing w:val="5"/>
        </w:rPr>
        <w:t xml:space="preserve"> </w:t>
      </w:r>
      <w:r>
        <w:rPr>
          <w:spacing w:val="-10"/>
        </w:rPr>
        <w:t xml:space="preserve">阳性，或抗 </w:t>
      </w:r>
      <w:r>
        <w:rPr>
          <w:rFonts w:ascii="Times New Roman" w:hAnsi="Times New Roman" w:eastAsia="Times New Roman"/>
          <w:spacing w:val="-2"/>
        </w:rPr>
        <w:t>Smith</w:t>
      </w:r>
      <w:r>
        <w:rPr>
          <w:rFonts w:ascii="Times New Roman" w:hAnsi="Times New Roman" w:eastAsia="Times New Roman"/>
          <w:spacing w:val="4"/>
        </w:rPr>
        <w:t xml:space="preserve"> </w:t>
      </w:r>
      <w:r>
        <w:rPr>
          <w:spacing w:val="-4"/>
        </w:rPr>
        <w:t>抗体阳性。</w:t>
      </w:r>
    </w:p>
    <w:p>
      <w:pPr>
        <w:pStyle w:val="8"/>
        <w:numPr>
          <w:ilvl w:val="0"/>
          <w:numId w:val="46"/>
        </w:numPr>
        <w:tabs>
          <w:tab w:val="left" w:pos="702"/>
        </w:tabs>
        <w:spacing w:before="4" w:after="0" w:line="244" w:lineRule="auto"/>
        <w:ind w:left="685" w:right="621" w:hanging="524"/>
        <w:jc w:val="left"/>
        <w:rPr>
          <w:sz w:val="21"/>
        </w:rPr>
      </w:pPr>
      <w:r>
        <w:rPr>
          <w:spacing w:val="-2"/>
          <w:sz w:val="21"/>
        </w:rPr>
        <w:t>系统性红斑狼疮的诊断必须由本公司认可医院的风湿科或免疫系统专科医生确定。</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10"/>
        <w:rPr>
          <w:sz w:val="29"/>
        </w:rPr>
      </w:pPr>
    </w:p>
    <w:p>
      <w:pPr>
        <w:pStyle w:val="8"/>
        <w:numPr>
          <w:ilvl w:val="1"/>
          <w:numId w:val="39"/>
        </w:numPr>
        <w:tabs>
          <w:tab w:val="left" w:pos="1338"/>
          <w:tab w:val="left" w:pos="1339"/>
          <w:tab w:val="left" w:pos="3307"/>
        </w:tabs>
        <w:spacing w:before="92" w:after="0" w:line="240" w:lineRule="auto"/>
        <w:ind w:left="1338" w:right="0" w:hanging="1005"/>
        <w:jc w:val="left"/>
        <w:rPr>
          <w:sz w:val="21"/>
        </w:rPr>
      </w:pPr>
      <w:r>
        <w:rPr>
          <w:b/>
          <w:sz w:val="21"/>
        </w:rPr>
        <w:t>人工耳蜗植入</w:t>
      </w:r>
      <w:r>
        <w:rPr>
          <w:b/>
          <w:spacing w:val="-10"/>
          <w:sz w:val="21"/>
        </w:rPr>
        <w:t>术</w:t>
      </w:r>
      <w:r>
        <w:rPr>
          <w:b/>
          <w:sz w:val="21"/>
        </w:rPr>
        <w:tab/>
      </w:r>
      <w:r>
        <w:rPr>
          <w:spacing w:val="-2"/>
          <w:sz w:val="21"/>
        </w:rPr>
        <w:t>指由于耳蜗的永久损害而实际实施了人工耳蜗植入手术。需经</w:t>
      </w:r>
      <w:r>
        <w:rPr>
          <w:spacing w:val="-10"/>
          <w:sz w:val="21"/>
        </w:rPr>
        <w:t>专</w:t>
      </w:r>
    </w:p>
    <w:p>
      <w:pPr>
        <w:pStyle w:val="3"/>
        <w:spacing w:before="4" w:line="244" w:lineRule="auto"/>
        <w:ind w:left="3307" w:right="619"/>
      </w:pPr>
      <w:r>
        <w:rPr>
          <w:spacing w:val="-2"/>
        </w:rPr>
        <w:t>科医师确认手术在医学上是必要的，且在植入手术之前已经符合下列全部条件：</w:t>
      </w:r>
    </w:p>
    <w:p>
      <w:pPr>
        <w:pStyle w:val="8"/>
        <w:numPr>
          <w:ilvl w:val="0"/>
          <w:numId w:val="47"/>
        </w:numPr>
        <w:tabs>
          <w:tab w:val="left" w:pos="3837"/>
        </w:tabs>
        <w:spacing w:before="0" w:after="0" w:line="263" w:lineRule="exact"/>
        <w:ind w:left="3836" w:right="0" w:hanging="530"/>
        <w:jc w:val="left"/>
        <w:rPr>
          <w:sz w:val="21"/>
        </w:rPr>
      </w:pPr>
      <w:r>
        <w:rPr>
          <w:spacing w:val="-12"/>
          <w:sz w:val="21"/>
        </w:rPr>
        <w:t xml:space="preserve">双耳持续 </w:t>
      </w:r>
      <w:r>
        <w:rPr>
          <w:rFonts w:ascii="Times New Roman" w:eastAsia="Times New Roman"/>
          <w:spacing w:val="-2"/>
          <w:sz w:val="21"/>
        </w:rPr>
        <w:t>12</w:t>
      </w:r>
      <w:r>
        <w:rPr>
          <w:rFonts w:ascii="Times New Roman" w:eastAsia="Times New Roman"/>
          <w:spacing w:val="7"/>
          <w:sz w:val="21"/>
        </w:rPr>
        <w:t xml:space="preserve"> </w:t>
      </w:r>
      <w:r>
        <w:rPr>
          <w:spacing w:val="-3"/>
          <w:sz w:val="21"/>
        </w:rPr>
        <w:t>个月以上重度感音神经性耳聋；</w:t>
      </w:r>
    </w:p>
    <w:p>
      <w:pPr>
        <w:pStyle w:val="8"/>
        <w:numPr>
          <w:ilvl w:val="0"/>
          <w:numId w:val="47"/>
        </w:numPr>
        <w:tabs>
          <w:tab w:val="left" w:pos="3837"/>
        </w:tabs>
        <w:spacing w:before="5" w:after="0" w:line="240" w:lineRule="auto"/>
        <w:ind w:left="3836" w:right="0" w:hanging="530"/>
        <w:jc w:val="left"/>
        <w:rPr>
          <w:sz w:val="21"/>
        </w:rPr>
      </w:pPr>
      <w:r>
        <w:rPr>
          <w:spacing w:val="-3"/>
          <w:sz w:val="21"/>
        </w:rPr>
        <w:t>使用相应的听力辅助设备效果不佳。</w:t>
      </w:r>
    </w:p>
    <w:p>
      <w:pPr>
        <w:spacing w:before="5" w:line="242" w:lineRule="auto"/>
        <w:ind w:left="3307" w:right="617" w:firstLine="0"/>
        <w:jc w:val="both"/>
        <w:rPr>
          <w:b/>
          <w:sz w:val="21"/>
        </w:rPr>
      </w:pPr>
      <w:r>
        <w:rPr>
          <w:b/>
          <w:spacing w:val="-2"/>
          <w:sz w:val="21"/>
        </w:rPr>
        <w:t>本公司对“单耳失聪”和“人工耳蜗植入术”两项中的其中一项承担保险责任，给付其中一项保险金后，对另一项轻症疾病保险责任同时终止。</w:t>
      </w:r>
    </w:p>
    <w:p>
      <w:pPr>
        <w:pStyle w:val="3"/>
        <w:rPr>
          <w:b/>
          <w:sz w:val="20"/>
        </w:rPr>
      </w:pPr>
    </w:p>
    <w:p>
      <w:pPr>
        <w:pStyle w:val="3"/>
        <w:spacing w:before="5"/>
        <w:rPr>
          <w:b/>
          <w:sz w:val="17"/>
        </w:rPr>
      </w:pPr>
    </w:p>
    <w:p>
      <w:pPr>
        <w:pStyle w:val="8"/>
        <w:numPr>
          <w:ilvl w:val="1"/>
          <w:numId w:val="39"/>
        </w:numPr>
        <w:tabs>
          <w:tab w:val="left" w:pos="1338"/>
          <w:tab w:val="left" w:pos="1339"/>
          <w:tab w:val="left" w:pos="3307"/>
        </w:tabs>
        <w:spacing w:before="1" w:after="0" w:line="275" w:lineRule="exact"/>
        <w:ind w:left="1338" w:right="0" w:hanging="1005"/>
        <w:jc w:val="both"/>
        <w:rPr>
          <w:sz w:val="21"/>
        </w:rPr>
      </w:pPr>
      <w:r>
        <w:rPr>
          <w:b/>
          <w:sz w:val="21"/>
        </w:rPr>
        <w:t>单耳失</w:t>
      </w:r>
      <w:r>
        <w:rPr>
          <w:b/>
          <w:spacing w:val="-10"/>
          <w:sz w:val="21"/>
        </w:rPr>
        <w:t>聪</w:t>
      </w:r>
      <w:r>
        <w:rPr>
          <w:b/>
          <w:sz w:val="21"/>
        </w:rPr>
        <w:tab/>
      </w:r>
      <w:r>
        <w:rPr>
          <w:spacing w:val="-2"/>
          <w:sz w:val="21"/>
        </w:rPr>
        <w:t>指因疾病或者意外伤害导致单耳听力永久不可逆性丧失，未达</w:t>
      </w:r>
      <w:r>
        <w:rPr>
          <w:spacing w:val="-10"/>
          <w:sz w:val="21"/>
        </w:rPr>
        <w:t>到</w:t>
      </w:r>
    </w:p>
    <w:p>
      <w:pPr>
        <w:pStyle w:val="3"/>
        <w:ind w:left="3307"/>
        <w:jc w:val="both"/>
      </w:pPr>
      <w:r>
        <w:rPr>
          <w:spacing w:val="-4"/>
        </w:rPr>
        <w:t xml:space="preserve">重大疾病“双耳失聪”的给付标准，但满足以下条件：在 </w:t>
      </w:r>
      <w:r>
        <w:rPr>
          <w:rFonts w:ascii="Times New Roman" w:hAnsi="Times New Roman" w:eastAsia="Times New Roman"/>
          <w:spacing w:val="-2"/>
        </w:rPr>
        <w:t>500</w:t>
      </w:r>
      <w:r>
        <w:rPr>
          <w:rFonts w:ascii="Times New Roman" w:hAnsi="Times New Roman" w:eastAsia="Times New Roman"/>
          <w:spacing w:val="6"/>
        </w:rPr>
        <w:t xml:space="preserve"> </w:t>
      </w:r>
      <w:r>
        <w:rPr>
          <w:spacing w:val="-10"/>
        </w:rPr>
        <w:t>赫</w:t>
      </w:r>
    </w:p>
    <w:p>
      <w:pPr>
        <w:pStyle w:val="3"/>
        <w:spacing w:before="4" w:line="242" w:lineRule="auto"/>
        <w:ind w:left="3307" w:right="555"/>
        <w:jc w:val="both"/>
      </w:pPr>
      <w:r>
        <w:rPr>
          <w:spacing w:val="-2"/>
        </w:rPr>
        <w:t>兹、</w:t>
      </w:r>
      <w:r>
        <w:rPr>
          <w:rFonts w:ascii="Times New Roman" w:eastAsia="Times New Roman"/>
          <w:spacing w:val="-2"/>
        </w:rPr>
        <w:t>1000</w:t>
      </w:r>
      <w:r>
        <w:rPr>
          <w:rFonts w:ascii="Times New Roman" w:eastAsia="Times New Roman"/>
          <w:spacing w:val="-12"/>
        </w:rPr>
        <w:t xml:space="preserve"> </w:t>
      </w:r>
      <w:r>
        <w:rPr>
          <w:spacing w:val="-8"/>
        </w:rPr>
        <w:t xml:space="preserve">赫兹和 </w:t>
      </w:r>
      <w:r>
        <w:rPr>
          <w:rFonts w:ascii="Times New Roman" w:eastAsia="Times New Roman"/>
          <w:spacing w:val="-2"/>
        </w:rPr>
        <w:t>2000</w:t>
      </w:r>
      <w:r>
        <w:rPr>
          <w:rFonts w:ascii="Times New Roman" w:eastAsia="Times New Roman"/>
          <w:spacing w:val="-11"/>
        </w:rPr>
        <w:t xml:space="preserve"> </w:t>
      </w:r>
      <w:r>
        <w:rPr>
          <w:spacing w:val="-4"/>
        </w:rPr>
        <w:t xml:space="preserve">赫兹语音频率下，平均听阈大于 </w:t>
      </w:r>
      <w:r>
        <w:rPr>
          <w:rFonts w:ascii="Times New Roman" w:eastAsia="Times New Roman"/>
          <w:spacing w:val="-2"/>
        </w:rPr>
        <w:t>90</w:t>
      </w:r>
      <w:r>
        <w:rPr>
          <w:rFonts w:ascii="Times New Roman" w:eastAsia="Times New Roman"/>
          <w:spacing w:val="5"/>
        </w:rPr>
        <w:t xml:space="preserve"> </w:t>
      </w:r>
      <w:r>
        <w:rPr>
          <w:spacing w:val="-2"/>
        </w:rPr>
        <w:t>分贝，且经纯音听力测试、声导抗检测或者听觉诱发电位检测等证实。被保险人申请理赔时年龄必须在三周岁以上，并且提供理赔当时的听力丧失诊断及检查证据。</w:t>
      </w:r>
    </w:p>
    <w:p>
      <w:pPr>
        <w:spacing w:before="3" w:line="244" w:lineRule="auto"/>
        <w:ind w:left="3307" w:right="617" w:firstLine="0"/>
        <w:jc w:val="both"/>
        <w:rPr>
          <w:b/>
          <w:sz w:val="21"/>
        </w:rPr>
      </w:pPr>
      <w:r>
        <w:rPr>
          <w:b/>
          <w:spacing w:val="-2"/>
          <w:sz w:val="21"/>
        </w:rPr>
        <w:t>本公司对“单耳失聪”和“人工耳蜗植入术”两项中的其中一项承担保险责任，给付其中一项保险金后，对另一项轻症疾病保险责任同时终止。</w:t>
      </w:r>
    </w:p>
    <w:p>
      <w:pPr>
        <w:pStyle w:val="3"/>
        <w:rPr>
          <w:b/>
          <w:sz w:val="20"/>
        </w:rPr>
      </w:pPr>
    </w:p>
    <w:p>
      <w:pPr>
        <w:pStyle w:val="3"/>
        <w:spacing w:before="10"/>
        <w:rPr>
          <w:b/>
          <w:sz w:val="16"/>
        </w:rPr>
      </w:pPr>
    </w:p>
    <w:p>
      <w:pPr>
        <w:pStyle w:val="8"/>
        <w:numPr>
          <w:ilvl w:val="1"/>
          <w:numId w:val="39"/>
        </w:numPr>
        <w:tabs>
          <w:tab w:val="left" w:pos="1003"/>
          <w:tab w:val="left" w:pos="1339"/>
          <w:tab w:val="left" w:pos="2972"/>
        </w:tabs>
        <w:spacing w:before="0" w:after="0" w:line="240" w:lineRule="auto"/>
        <w:ind w:left="1338" w:right="618" w:hanging="1339"/>
        <w:jc w:val="right"/>
        <w:rPr>
          <w:sz w:val="21"/>
        </w:rPr>
      </w:pPr>
      <w:r>
        <w:rPr>
          <w:b/>
          <w:sz w:val="21"/>
        </w:rPr>
        <w:t>角膜移植手</w:t>
      </w:r>
      <w:r>
        <w:rPr>
          <w:b/>
          <w:spacing w:val="-10"/>
          <w:sz w:val="21"/>
        </w:rPr>
        <w:t>术</w:t>
      </w:r>
      <w:r>
        <w:rPr>
          <w:b/>
          <w:sz w:val="21"/>
        </w:rPr>
        <w:tab/>
      </w:r>
      <w:r>
        <w:rPr>
          <w:spacing w:val="-2"/>
          <w:sz w:val="21"/>
        </w:rPr>
        <w:t>指因角膜病变或意外伤害导致视力丧失或视力严重损害，被保</w:t>
      </w:r>
      <w:r>
        <w:rPr>
          <w:spacing w:val="-10"/>
          <w:sz w:val="21"/>
        </w:rPr>
        <w:t>险</w:t>
      </w:r>
    </w:p>
    <w:p>
      <w:pPr>
        <w:pStyle w:val="3"/>
        <w:spacing w:before="5"/>
        <w:ind w:right="619"/>
        <w:jc w:val="right"/>
      </w:pPr>
      <w:r>
        <w:rPr>
          <w:spacing w:val="-2"/>
        </w:rPr>
        <w:t>人实际实施了同种（人类）</w:t>
      </w:r>
      <w:r>
        <w:rPr>
          <w:spacing w:val="-3"/>
        </w:rPr>
        <w:t>异体的角膜移植手术以恢复视力。此</w:t>
      </w:r>
    </w:p>
    <w:p>
      <w:pPr>
        <w:spacing w:after="0"/>
        <w:jc w:val="right"/>
        <w:sectPr>
          <w:type w:val="continuous"/>
          <w:pgSz w:w="11910" w:h="16840"/>
          <w:pgMar w:top="320" w:right="620" w:bottom="280" w:left="1480" w:header="0" w:footer="851" w:gutter="0"/>
          <w:cols w:space="720" w:num="1"/>
        </w:sectPr>
      </w:pPr>
    </w:p>
    <w:p>
      <w:pPr>
        <w:pStyle w:val="3"/>
        <w:spacing w:before="51"/>
        <w:ind w:left="3307"/>
      </w:pPr>
      <w:r>
        <w:rPr>
          <w:spacing w:val="-3"/>
        </w:rPr>
        <w:t>手术必须由专科医生认为是医学上必需的情况下进行。</w:t>
      </w:r>
    </w:p>
    <w:p>
      <w:pPr>
        <w:spacing w:before="4" w:line="242" w:lineRule="auto"/>
        <w:ind w:left="3307" w:right="619" w:firstLine="0"/>
        <w:jc w:val="both"/>
        <w:rPr>
          <w:b/>
          <w:sz w:val="21"/>
        </w:rPr>
      </w:pPr>
      <w:r>
        <w:rPr>
          <w:spacing w:val="-2"/>
          <w:sz w:val="21"/>
        </w:rPr>
        <w:t>角膜移植术包括全层角膜移植术、板层角膜移植术和角膜内皮移植术。</w:t>
      </w:r>
      <w:r>
        <w:rPr>
          <w:b/>
          <w:spacing w:val="-2"/>
          <w:sz w:val="21"/>
        </w:rPr>
        <w:t>单纯角膜细胞移植、自体角膜缘细胞移植、非同种来源角膜或人工角膜的移植不在本保障范围内。</w:t>
      </w:r>
    </w:p>
    <w:p>
      <w:pPr>
        <w:spacing w:before="2" w:line="244" w:lineRule="auto"/>
        <w:ind w:left="3307" w:right="619" w:firstLine="0"/>
        <w:jc w:val="both"/>
        <w:rPr>
          <w:b/>
          <w:sz w:val="21"/>
        </w:rPr>
      </w:pPr>
      <w:r>
        <w:rPr>
          <w:b/>
          <w:spacing w:val="-17"/>
          <w:sz w:val="21"/>
        </w:rPr>
        <w:t>本公司对“视力严重受损”、“单目失明”和“角膜移植手术”三</w:t>
      </w:r>
      <w:r>
        <w:rPr>
          <w:b/>
          <w:spacing w:val="-2"/>
          <w:sz w:val="21"/>
        </w:rPr>
        <w:t>项中的其中一项承担保险责任，给付其中一项保险金后，对其它两项轻症疾病保险责任同时终止。</w:t>
      </w:r>
    </w:p>
    <w:p>
      <w:pPr>
        <w:pStyle w:val="3"/>
        <w:rPr>
          <w:b/>
          <w:sz w:val="20"/>
        </w:rPr>
      </w:pPr>
    </w:p>
    <w:p>
      <w:pPr>
        <w:pStyle w:val="3"/>
        <w:spacing w:before="10"/>
        <w:rPr>
          <w:b/>
          <w:sz w:val="16"/>
        </w:rPr>
      </w:pPr>
    </w:p>
    <w:p>
      <w:pPr>
        <w:pStyle w:val="8"/>
        <w:numPr>
          <w:ilvl w:val="1"/>
          <w:numId w:val="39"/>
        </w:numPr>
        <w:tabs>
          <w:tab w:val="left" w:pos="1338"/>
          <w:tab w:val="left" w:pos="1339"/>
          <w:tab w:val="left" w:pos="3307"/>
        </w:tabs>
        <w:spacing w:before="0" w:after="0" w:line="240" w:lineRule="auto"/>
        <w:ind w:left="1338" w:right="0" w:hanging="1005"/>
        <w:jc w:val="left"/>
        <w:rPr>
          <w:sz w:val="21"/>
        </w:rPr>
      </w:pPr>
      <w:r>
        <w:rPr>
          <w:b/>
          <w:sz w:val="21"/>
        </w:rPr>
        <w:t>单目失</w:t>
      </w:r>
      <w:r>
        <w:rPr>
          <w:b/>
          <w:spacing w:val="-10"/>
          <w:sz w:val="21"/>
        </w:rPr>
        <w:t>明</w:t>
      </w:r>
      <w:r>
        <w:rPr>
          <w:b/>
          <w:sz w:val="21"/>
        </w:rPr>
        <w:tab/>
      </w:r>
      <w:r>
        <w:rPr>
          <w:spacing w:val="-2"/>
          <w:sz w:val="21"/>
        </w:rPr>
        <w:t>指因疾病或意外伤害导致单眼视力永久不可逆性丧失，患眼须</w:t>
      </w:r>
      <w:r>
        <w:rPr>
          <w:spacing w:val="-10"/>
          <w:sz w:val="21"/>
        </w:rPr>
        <w:t>满</w:t>
      </w:r>
    </w:p>
    <w:p>
      <w:pPr>
        <w:pStyle w:val="3"/>
        <w:spacing w:before="4"/>
        <w:ind w:left="3307"/>
      </w:pPr>
      <w:r>
        <w:rPr>
          <w:spacing w:val="-3"/>
        </w:rPr>
        <w:t>足下列至少一项条件：</w:t>
      </w:r>
    </w:p>
    <w:p>
      <w:pPr>
        <w:pStyle w:val="8"/>
        <w:numPr>
          <w:ilvl w:val="0"/>
          <w:numId w:val="48"/>
        </w:numPr>
        <w:tabs>
          <w:tab w:val="left" w:pos="3837"/>
        </w:tabs>
        <w:spacing w:before="5" w:after="0" w:line="269" w:lineRule="exact"/>
        <w:ind w:left="3836" w:right="0" w:hanging="530"/>
        <w:jc w:val="left"/>
        <w:rPr>
          <w:sz w:val="21"/>
        </w:rPr>
      </w:pPr>
      <w:r>
        <w:rPr>
          <w:spacing w:val="-4"/>
          <w:sz w:val="21"/>
        </w:rPr>
        <w:t>眼球缺失或摘除；</w:t>
      </w:r>
    </w:p>
    <w:p>
      <w:pPr>
        <w:pStyle w:val="8"/>
        <w:numPr>
          <w:ilvl w:val="0"/>
          <w:numId w:val="48"/>
        </w:numPr>
        <w:tabs>
          <w:tab w:val="left" w:pos="3837"/>
        </w:tabs>
        <w:spacing w:before="0" w:after="0" w:line="244" w:lineRule="auto"/>
        <w:ind w:left="3830" w:right="623" w:hanging="524"/>
        <w:jc w:val="left"/>
        <w:rPr>
          <w:sz w:val="21"/>
        </w:rPr>
      </w:pPr>
      <w:r>
        <w:rPr>
          <w:sz w:val="21"/>
        </w:rPr>
        <w:t xml:space="preserve">矫正视力低于 </w:t>
      </w:r>
      <w:r>
        <w:rPr>
          <w:rFonts w:ascii="Times New Roman" w:eastAsia="Times New Roman"/>
          <w:sz w:val="21"/>
        </w:rPr>
        <w:t>0.02</w:t>
      </w:r>
      <w:r>
        <w:rPr>
          <w:sz w:val="21"/>
        </w:rPr>
        <w:t>（采用国际标准视力表，如果使用其它</w:t>
      </w:r>
      <w:r>
        <w:rPr>
          <w:spacing w:val="-2"/>
          <w:sz w:val="21"/>
        </w:rPr>
        <w:t>视力表应进行换算</w:t>
      </w:r>
      <w:r>
        <w:rPr>
          <w:spacing w:val="-106"/>
          <w:sz w:val="21"/>
        </w:rPr>
        <w:t>）</w:t>
      </w:r>
      <w:r>
        <w:rPr>
          <w:sz w:val="21"/>
        </w:rPr>
        <w:t>；</w:t>
      </w:r>
    </w:p>
    <w:p>
      <w:pPr>
        <w:pStyle w:val="8"/>
        <w:numPr>
          <w:ilvl w:val="0"/>
          <w:numId w:val="48"/>
        </w:numPr>
        <w:tabs>
          <w:tab w:val="left" w:pos="3837"/>
        </w:tabs>
        <w:spacing w:before="0" w:after="0" w:line="267" w:lineRule="exact"/>
        <w:ind w:left="3836" w:right="0" w:hanging="530"/>
        <w:jc w:val="left"/>
        <w:rPr>
          <w:sz w:val="21"/>
        </w:rPr>
      </w:pPr>
      <w:r>
        <w:rPr>
          <w:spacing w:val="-8"/>
          <w:sz w:val="21"/>
        </w:rPr>
        <w:t xml:space="preserve">视野半径小于 </w:t>
      </w:r>
      <w:r>
        <w:rPr>
          <w:rFonts w:ascii="Times New Roman" w:eastAsia="Times New Roman"/>
          <w:sz w:val="21"/>
        </w:rPr>
        <w:t>5</w:t>
      </w:r>
      <w:r>
        <w:rPr>
          <w:rFonts w:ascii="Times New Roman" w:eastAsia="Times New Roman"/>
          <w:spacing w:val="-10"/>
          <w:sz w:val="21"/>
        </w:rPr>
        <w:t xml:space="preserve"> </w:t>
      </w:r>
      <w:r>
        <w:rPr>
          <w:spacing w:val="-5"/>
          <w:sz w:val="21"/>
        </w:rPr>
        <w:t>度。</w:t>
      </w:r>
    </w:p>
    <w:p>
      <w:pPr>
        <w:pStyle w:val="3"/>
        <w:spacing w:line="244" w:lineRule="auto"/>
        <w:ind w:left="3307" w:right="619"/>
      </w:pPr>
      <w:r>
        <w:rPr>
          <w:spacing w:val="-2"/>
        </w:rPr>
        <w:t>诊断须在本公司认可的医院内由眼科专科医生确认，并且提供理赔当时的视力丧失诊断及检查证据。</w:t>
      </w:r>
    </w:p>
    <w:p>
      <w:pPr>
        <w:pStyle w:val="3"/>
        <w:spacing w:line="244" w:lineRule="auto"/>
        <w:ind w:left="3307" w:right="619"/>
      </w:pPr>
      <w:r>
        <w:rPr>
          <w:spacing w:val="-2"/>
        </w:rPr>
        <w:t>被保险人申请理赔时年龄必须在三周岁以上，并且提供理赔当时的视力丧失诊断及检查证据。</w:t>
      </w:r>
    </w:p>
    <w:p>
      <w:pPr>
        <w:spacing w:before="0" w:line="244" w:lineRule="auto"/>
        <w:ind w:left="3307" w:right="617" w:firstLine="0"/>
        <w:jc w:val="both"/>
        <w:rPr>
          <w:b/>
          <w:sz w:val="21"/>
        </w:rPr>
      </w:pPr>
      <w:r>
        <w:rPr>
          <w:b/>
          <w:spacing w:val="-17"/>
          <w:sz w:val="21"/>
        </w:rPr>
        <w:t>本公司对“视力严重受损”、“单目失明”和“角膜移植手术”三</w:t>
      </w:r>
      <w:r>
        <w:rPr>
          <w:b/>
          <w:spacing w:val="-2"/>
          <w:sz w:val="21"/>
        </w:rPr>
        <w:t>项中的其中一项承担保险责任，给付其中一项保险金后，对其它两项轻症疾病保险责任同时终止。</w:t>
      </w:r>
    </w:p>
    <w:p>
      <w:pPr>
        <w:pStyle w:val="3"/>
        <w:rPr>
          <w:b/>
          <w:sz w:val="20"/>
        </w:rPr>
      </w:pPr>
    </w:p>
    <w:p>
      <w:pPr>
        <w:pStyle w:val="3"/>
        <w:spacing w:before="3"/>
        <w:rPr>
          <w:b/>
          <w:sz w:val="16"/>
        </w:rPr>
      </w:pPr>
    </w:p>
    <w:p>
      <w:pPr>
        <w:pStyle w:val="8"/>
        <w:numPr>
          <w:ilvl w:val="1"/>
          <w:numId w:val="39"/>
        </w:numPr>
        <w:tabs>
          <w:tab w:val="left" w:pos="1338"/>
          <w:tab w:val="left" w:pos="1339"/>
        </w:tabs>
        <w:spacing w:before="0" w:after="0" w:line="240" w:lineRule="auto"/>
        <w:ind w:left="1338" w:right="0" w:hanging="1005"/>
        <w:jc w:val="both"/>
        <w:rPr>
          <w:sz w:val="21"/>
        </w:rPr>
      </w:pPr>
      <w:r>
        <w:rPr>
          <w:b/>
          <w:spacing w:val="14"/>
          <w:sz w:val="21"/>
        </w:rPr>
        <w:t xml:space="preserve">原发性肺动脉高压 </w:t>
      </w:r>
      <w:r>
        <w:rPr>
          <w:spacing w:val="-1"/>
          <w:sz w:val="21"/>
        </w:rPr>
        <w:t>指由于原发性肺动脉高压进行性发展而导致右心室肥厚，已经造</w:t>
      </w:r>
    </w:p>
    <w:p>
      <w:pPr>
        <w:spacing w:before="5" w:line="242" w:lineRule="auto"/>
        <w:ind w:left="3307" w:right="520" w:firstLine="0"/>
        <w:jc w:val="both"/>
        <w:rPr>
          <w:sz w:val="21"/>
        </w:rPr>
      </w:pPr>
      <w:r>
        <w:rPr>
          <w:spacing w:val="-2"/>
          <w:sz w:val="21"/>
        </w:rPr>
        <w:t>成永久不可逆性的体力活动能力受限，达到</w:t>
      </w:r>
      <w:r>
        <w:rPr>
          <w:b/>
          <w:spacing w:val="-2"/>
          <w:sz w:val="21"/>
        </w:rPr>
        <w:t>美国纽约心脏病学会</w:t>
      </w:r>
      <w:r>
        <w:rPr>
          <w:b/>
          <w:spacing w:val="-4"/>
          <w:sz w:val="21"/>
        </w:rPr>
        <w:t xml:space="preserve">心功能状态分级 </w:t>
      </w:r>
      <w:r>
        <w:rPr>
          <w:rFonts w:ascii="Times New Roman" w:eastAsia="Times New Roman"/>
          <w:b/>
          <w:sz w:val="21"/>
        </w:rPr>
        <w:t>III</w:t>
      </w:r>
      <w:r>
        <w:rPr>
          <w:rFonts w:ascii="Times New Roman" w:eastAsia="Times New Roman"/>
          <w:b/>
          <w:spacing w:val="16"/>
          <w:sz w:val="21"/>
        </w:rPr>
        <w:t xml:space="preserve"> </w:t>
      </w:r>
      <w:r>
        <w:rPr>
          <w:b/>
          <w:sz w:val="21"/>
        </w:rPr>
        <w:t>级</w:t>
      </w:r>
      <w:r>
        <w:rPr>
          <w:sz w:val="21"/>
        </w:rPr>
        <w:t>（</w:t>
      </w:r>
      <w:r>
        <w:rPr>
          <w:spacing w:val="-14"/>
          <w:sz w:val="21"/>
        </w:rPr>
        <w:t xml:space="preserve">见 </w:t>
      </w:r>
      <w:r>
        <w:rPr>
          <w:rFonts w:ascii="Times New Roman" w:eastAsia="Times New Roman"/>
          <w:sz w:val="21"/>
        </w:rPr>
        <w:t>11.49</w:t>
      </w:r>
      <w:r>
        <w:rPr>
          <w:sz w:val="21"/>
        </w:rPr>
        <w:t>）</w:t>
      </w:r>
      <w:r>
        <w:rPr>
          <w:spacing w:val="-3"/>
          <w:sz w:val="21"/>
        </w:rPr>
        <w:t xml:space="preserve">及以上，但尚未达到 </w:t>
      </w:r>
      <w:r>
        <w:rPr>
          <w:rFonts w:ascii="Times New Roman" w:eastAsia="Times New Roman"/>
          <w:sz w:val="21"/>
        </w:rPr>
        <w:t>IV</w:t>
      </w:r>
      <w:r>
        <w:rPr>
          <w:rFonts w:ascii="Times New Roman" w:eastAsia="Times New Roman"/>
          <w:spacing w:val="20"/>
          <w:sz w:val="21"/>
        </w:rPr>
        <w:t xml:space="preserve"> </w:t>
      </w:r>
      <w:r>
        <w:rPr>
          <w:sz w:val="21"/>
        </w:rPr>
        <w:t>级，</w:t>
      </w:r>
      <w:r>
        <w:rPr>
          <w:spacing w:val="-9"/>
          <w:sz w:val="21"/>
        </w:rPr>
        <w:t xml:space="preserve">且静息状态下肺动脉平均压超过 </w:t>
      </w:r>
      <w:r>
        <w:rPr>
          <w:rFonts w:ascii="Times New Roman" w:eastAsia="Times New Roman"/>
          <w:spacing w:val="10"/>
          <w:sz w:val="21"/>
        </w:rPr>
        <w:t>25</w:t>
      </w:r>
      <w:r>
        <w:rPr>
          <w:rFonts w:ascii="Times New Roman" w:eastAsia="Times New Roman"/>
          <w:spacing w:val="4"/>
          <w:sz w:val="21"/>
        </w:rPr>
        <w:t>mm</w:t>
      </w:r>
      <w:r>
        <w:rPr>
          <w:rFonts w:ascii="Times New Roman" w:eastAsia="Times New Roman"/>
          <w:spacing w:val="15"/>
          <w:sz w:val="21"/>
        </w:rPr>
        <w:t>H</w:t>
      </w:r>
      <w:r>
        <w:rPr>
          <w:rFonts w:ascii="Times New Roman" w:eastAsia="Times New Roman"/>
          <w:spacing w:val="6"/>
          <w:sz w:val="21"/>
        </w:rPr>
        <w:t>g</w:t>
      </w:r>
      <w:r>
        <w:rPr>
          <w:spacing w:val="-25"/>
          <w:sz w:val="21"/>
        </w:rPr>
        <w:t xml:space="preserve">，但尚未超过 </w:t>
      </w:r>
      <w:r>
        <w:rPr>
          <w:rFonts w:ascii="Times New Roman" w:eastAsia="Times New Roman"/>
          <w:spacing w:val="-6"/>
          <w:sz w:val="21"/>
        </w:rPr>
        <w:t>30mmHg</w:t>
      </w:r>
      <w:r>
        <w:rPr>
          <w:spacing w:val="-10"/>
          <w:sz w:val="21"/>
        </w:rPr>
        <w:t>。</w:t>
      </w:r>
    </w:p>
    <w:p>
      <w:pPr>
        <w:pStyle w:val="3"/>
        <w:rPr>
          <w:sz w:val="22"/>
        </w:rPr>
      </w:pPr>
    </w:p>
    <w:p>
      <w:pPr>
        <w:pStyle w:val="8"/>
        <w:numPr>
          <w:ilvl w:val="1"/>
          <w:numId w:val="39"/>
        </w:numPr>
        <w:tabs>
          <w:tab w:val="left" w:pos="1338"/>
          <w:tab w:val="left" w:pos="1339"/>
          <w:tab w:val="left" w:pos="3307"/>
        </w:tabs>
        <w:spacing w:before="198" w:after="0" w:line="240" w:lineRule="auto"/>
        <w:ind w:left="1338" w:right="0" w:hanging="1005"/>
        <w:jc w:val="left"/>
        <w:rPr>
          <w:rFonts w:ascii="Times New Roman" w:eastAsia="Times New Roman"/>
          <w:sz w:val="21"/>
        </w:rPr>
      </w:pPr>
      <w:r>
        <w:rPr>
          <w:b/>
          <w:sz w:val="21"/>
        </w:rPr>
        <w:t>感染性心内膜</w:t>
      </w:r>
      <w:r>
        <w:rPr>
          <w:b/>
          <w:spacing w:val="-10"/>
          <w:sz w:val="21"/>
        </w:rPr>
        <w:t>炎</w:t>
      </w:r>
      <w:r>
        <w:rPr>
          <w:b/>
          <w:sz w:val="21"/>
        </w:rPr>
        <w:tab/>
      </w:r>
      <w:r>
        <w:rPr>
          <w:spacing w:val="-2"/>
          <w:sz w:val="21"/>
        </w:rPr>
        <w:t>因感染性微生物造成心脏内膜炎症，并符合下</w:t>
      </w:r>
      <w:r>
        <w:rPr>
          <w:rFonts w:ascii="Dotum" w:eastAsia="Dotum"/>
          <w:spacing w:val="-2"/>
          <w:sz w:val="21"/>
        </w:rPr>
        <w:t>列</w:t>
      </w:r>
      <w:r>
        <w:rPr>
          <w:spacing w:val="-2"/>
          <w:sz w:val="21"/>
        </w:rPr>
        <w:t>所有条件</w:t>
      </w:r>
      <w:r>
        <w:rPr>
          <w:rFonts w:ascii="Times New Roman" w:eastAsia="Times New Roman"/>
          <w:spacing w:val="-10"/>
          <w:sz w:val="21"/>
        </w:rPr>
        <w:t>:</w:t>
      </w:r>
    </w:p>
    <w:p>
      <w:pPr>
        <w:pStyle w:val="8"/>
        <w:numPr>
          <w:ilvl w:val="0"/>
          <w:numId w:val="49"/>
        </w:numPr>
        <w:tabs>
          <w:tab w:val="left" w:pos="3847"/>
        </w:tabs>
        <w:spacing w:before="4" w:after="0" w:line="240" w:lineRule="auto"/>
        <w:ind w:left="3830" w:right="621" w:hanging="524"/>
        <w:jc w:val="left"/>
        <w:rPr>
          <w:sz w:val="21"/>
        </w:rPr>
      </w:pPr>
      <w:r>
        <w:rPr>
          <w:spacing w:val="-2"/>
          <w:sz w:val="21"/>
        </w:rPr>
        <w:t>以下方法之一血液培养测试结果为阳性，证实存在感染性</w:t>
      </w:r>
      <w:r>
        <w:rPr>
          <w:spacing w:val="-4"/>
          <w:sz w:val="21"/>
        </w:rPr>
        <w:t>微生物：</w:t>
      </w:r>
    </w:p>
    <w:p>
      <w:pPr>
        <w:pStyle w:val="3"/>
        <w:spacing w:before="4" w:line="244" w:lineRule="auto"/>
        <w:ind w:left="4042" w:right="618" w:hanging="212"/>
      </w:pPr>
      <w:r>
        <w:rPr>
          <w:spacing w:val="-2"/>
        </w:rPr>
        <w:t>①微生物：在赘生物或心脏内脓疡经培养或组织检查证实有微生物；</w:t>
      </w:r>
    </w:p>
    <w:p>
      <w:pPr>
        <w:pStyle w:val="3"/>
        <w:spacing w:line="244" w:lineRule="auto"/>
        <w:ind w:left="4042" w:right="620" w:hanging="212"/>
      </w:pPr>
      <w:r>
        <w:rPr>
          <w:spacing w:val="-2"/>
        </w:rPr>
        <w:t>②病</w:t>
      </w:r>
      <w:r>
        <w:rPr>
          <w:rFonts w:ascii="Dotum" w:hAnsi="Dotum" w:eastAsia="Dotum"/>
          <w:spacing w:val="-2"/>
        </w:rPr>
        <w:t>理</w:t>
      </w:r>
      <w:r>
        <w:rPr>
          <w:spacing w:val="-2"/>
        </w:rPr>
        <w:t>性病灶：组织检查证实赘生物或心脏内脓疡有活动性心内膜炎；</w:t>
      </w:r>
    </w:p>
    <w:p>
      <w:pPr>
        <w:pStyle w:val="3"/>
        <w:spacing w:line="262" w:lineRule="exact"/>
        <w:ind w:left="3830"/>
      </w:pPr>
      <w:r>
        <w:rPr>
          <w:spacing w:val="-3"/>
        </w:rPr>
        <w:t>③分别两次血液培养证实有微生物，且与心内膜炎符合；</w:t>
      </w:r>
    </w:p>
    <w:p>
      <w:pPr>
        <w:pStyle w:val="8"/>
        <w:numPr>
          <w:ilvl w:val="0"/>
          <w:numId w:val="49"/>
        </w:numPr>
        <w:tabs>
          <w:tab w:val="left" w:pos="3837"/>
        </w:tabs>
        <w:spacing w:before="4" w:after="0" w:line="244" w:lineRule="auto"/>
        <w:ind w:left="3830" w:right="617" w:hanging="524"/>
        <w:jc w:val="both"/>
        <w:rPr>
          <w:sz w:val="21"/>
        </w:rPr>
      </w:pPr>
      <w:r>
        <w:rPr>
          <w:sz w:val="21"/>
        </w:rPr>
        <w:t>心内膜炎引起轻</w:t>
      </w:r>
      <w:r>
        <w:rPr>
          <w:rFonts w:ascii="Dotum" w:eastAsia="Dotum"/>
          <w:sz w:val="21"/>
        </w:rPr>
        <w:t>度</w:t>
      </w:r>
      <w:r>
        <w:rPr>
          <w:sz w:val="21"/>
        </w:rPr>
        <w:t>心瓣膜闭锁</w:t>
      </w:r>
      <w:r>
        <w:rPr>
          <w:rFonts w:ascii="Dotum" w:eastAsia="Dotum"/>
          <w:sz w:val="21"/>
        </w:rPr>
        <w:t>不</w:t>
      </w:r>
      <w:r>
        <w:rPr>
          <w:sz w:val="21"/>
        </w:rPr>
        <w:t>全（指返</w:t>
      </w:r>
      <w:r>
        <w:rPr>
          <w:rFonts w:ascii="Dotum" w:eastAsia="Dotum"/>
          <w:sz w:val="21"/>
        </w:rPr>
        <w:t>流</w:t>
      </w:r>
      <w:r>
        <w:rPr>
          <w:sz w:val="21"/>
        </w:rPr>
        <w:t xml:space="preserve">分数 </w:t>
      </w:r>
      <w:r>
        <w:rPr>
          <w:rFonts w:ascii="Times New Roman" w:eastAsia="Times New Roman"/>
          <w:sz w:val="21"/>
        </w:rPr>
        <w:t>10%</w:t>
      </w:r>
      <w:r>
        <w:rPr>
          <w:sz w:val="21"/>
        </w:rPr>
        <w:t xml:space="preserve">但是小于 </w:t>
      </w:r>
      <w:r>
        <w:rPr>
          <w:rFonts w:ascii="Times New Roman" w:eastAsia="Times New Roman"/>
          <w:sz w:val="21"/>
        </w:rPr>
        <w:t>20%</w:t>
      </w:r>
      <w:r>
        <w:rPr>
          <w:sz w:val="21"/>
        </w:rPr>
        <w:t>）或轻度心瓣膜狭窄（指心瓣膜开口范围少于或</w:t>
      </w:r>
      <w:r>
        <w:rPr>
          <w:spacing w:val="-13"/>
          <w:sz w:val="21"/>
        </w:rPr>
        <w:t xml:space="preserve">等于正常的 </w:t>
      </w:r>
      <w:r>
        <w:rPr>
          <w:rFonts w:ascii="Times New Roman" w:eastAsia="Times New Roman"/>
          <w:spacing w:val="36"/>
          <w:sz w:val="21"/>
        </w:rPr>
        <w:t>5</w:t>
      </w:r>
      <w:r>
        <w:rPr>
          <w:rFonts w:ascii="Times New Roman" w:eastAsia="Times New Roman"/>
          <w:spacing w:val="41"/>
          <w:sz w:val="21"/>
        </w:rPr>
        <w:t>0</w:t>
      </w:r>
      <w:r>
        <w:rPr>
          <w:rFonts w:ascii="Times New Roman" w:eastAsia="Times New Roman"/>
          <w:spacing w:val="43"/>
          <w:sz w:val="21"/>
        </w:rPr>
        <w:t>%</w:t>
      </w:r>
      <w:r>
        <w:rPr>
          <w:spacing w:val="-70"/>
          <w:sz w:val="21"/>
        </w:rPr>
        <w:t>）；</w:t>
      </w:r>
    </w:p>
    <w:p>
      <w:pPr>
        <w:pStyle w:val="8"/>
        <w:numPr>
          <w:ilvl w:val="0"/>
          <w:numId w:val="49"/>
        </w:numPr>
        <w:tabs>
          <w:tab w:val="left" w:pos="3847"/>
        </w:tabs>
        <w:spacing w:before="0" w:after="0" w:line="244" w:lineRule="auto"/>
        <w:ind w:left="3830" w:right="621" w:hanging="524"/>
        <w:jc w:val="left"/>
        <w:rPr>
          <w:sz w:val="21"/>
        </w:rPr>
      </w:pPr>
      <w:r>
        <w:rPr>
          <w:spacing w:val="-2"/>
          <w:sz w:val="21"/>
        </w:rPr>
        <w:t>传染性心内膜炎的诊断以及心瓣膜损害程度必须由本公司认可的心脏科专科医生确定。</w:t>
      </w:r>
    </w:p>
    <w:p>
      <w:pPr>
        <w:pStyle w:val="3"/>
        <w:rPr>
          <w:sz w:val="20"/>
        </w:rPr>
      </w:pPr>
    </w:p>
    <w:p>
      <w:pPr>
        <w:pStyle w:val="3"/>
        <w:spacing w:before="8"/>
        <w:rPr>
          <w:sz w:val="16"/>
        </w:rPr>
      </w:pPr>
    </w:p>
    <w:p>
      <w:pPr>
        <w:pStyle w:val="8"/>
        <w:numPr>
          <w:ilvl w:val="1"/>
          <w:numId w:val="39"/>
        </w:numPr>
        <w:tabs>
          <w:tab w:val="left" w:pos="1338"/>
          <w:tab w:val="left" w:pos="1339"/>
          <w:tab w:val="left" w:pos="3307"/>
        </w:tabs>
        <w:spacing w:before="0" w:after="0" w:line="275" w:lineRule="exact"/>
        <w:ind w:left="1338" w:right="0" w:hanging="1005"/>
        <w:jc w:val="left"/>
        <w:rPr>
          <w:sz w:val="21"/>
        </w:rPr>
      </w:pPr>
      <w:r>
        <w:rPr>
          <w:b/>
          <w:sz w:val="21"/>
        </w:rPr>
        <w:t>心包膜切除</w:t>
      </w:r>
      <w:r>
        <w:rPr>
          <w:b/>
          <w:spacing w:val="-10"/>
          <w:sz w:val="21"/>
        </w:rPr>
        <w:t>术</w:t>
      </w:r>
      <w:r>
        <w:rPr>
          <w:b/>
          <w:sz w:val="21"/>
        </w:rPr>
        <w:tab/>
      </w:r>
      <w:r>
        <w:rPr>
          <w:spacing w:val="-2"/>
          <w:sz w:val="21"/>
        </w:rPr>
        <w:t>指为治疗心包膜疾病，已经实施了心包膜切除术，但未达到本</w:t>
      </w:r>
      <w:r>
        <w:rPr>
          <w:spacing w:val="-10"/>
          <w:sz w:val="21"/>
        </w:rPr>
        <w:t>合</w:t>
      </w:r>
    </w:p>
    <w:p>
      <w:pPr>
        <w:pStyle w:val="3"/>
        <w:spacing w:line="244" w:lineRule="auto"/>
        <w:ind w:left="3307" w:right="616"/>
      </w:pPr>
      <w:r>
        <w:rPr>
          <w:spacing w:val="-2"/>
        </w:rPr>
        <w:t>同所指重大疾病“严重慢性缩窄性心包炎”的标准。手术必须在心脏科医生认为是医学上必需的情况下进行。</w:t>
      </w:r>
    </w:p>
    <w:p>
      <w:pPr>
        <w:pStyle w:val="3"/>
        <w:rPr>
          <w:sz w:val="20"/>
        </w:rPr>
      </w:pPr>
    </w:p>
    <w:p>
      <w:pPr>
        <w:pStyle w:val="3"/>
        <w:spacing w:before="11"/>
        <w:rPr>
          <w:sz w:val="16"/>
        </w:rPr>
      </w:pPr>
    </w:p>
    <w:p>
      <w:pPr>
        <w:pStyle w:val="8"/>
        <w:numPr>
          <w:ilvl w:val="1"/>
          <w:numId w:val="39"/>
        </w:numPr>
        <w:tabs>
          <w:tab w:val="left" w:pos="1338"/>
          <w:tab w:val="left" w:pos="1339"/>
          <w:tab w:val="left" w:pos="3307"/>
        </w:tabs>
        <w:spacing w:before="0" w:after="0" w:line="240" w:lineRule="auto"/>
        <w:ind w:left="1338" w:right="0" w:hanging="1005"/>
        <w:jc w:val="left"/>
        <w:rPr>
          <w:sz w:val="21"/>
        </w:rPr>
      </w:pPr>
      <w:r>
        <w:rPr>
          <w:b/>
          <w:sz w:val="21"/>
        </w:rPr>
        <w:t>植入心脏起搏</w:t>
      </w:r>
      <w:r>
        <w:rPr>
          <w:b/>
          <w:spacing w:val="-10"/>
          <w:sz w:val="21"/>
        </w:rPr>
        <w:t>器</w:t>
      </w:r>
      <w:r>
        <w:rPr>
          <w:b/>
          <w:sz w:val="21"/>
        </w:rPr>
        <w:tab/>
      </w:r>
      <w:r>
        <w:rPr>
          <w:spacing w:val="-2"/>
          <w:sz w:val="21"/>
        </w:rPr>
        <w:t>因心脏疾病导致慢性的不能通过药物治疗控制的严重心率失常</w:t>
      </w:r>
      <w:r>
        <w:rPr>
          <w:spacing w:val="-10"/>
          <w:sz w:val="21"/>
        </w:rPr>
        <w:t>，</w:t>
      </w:r>
    </w:p>
    <w:p>
      <w:pPr>
        <w:spacing w:before="5" w:line="244" w:lineRule="auto"/>
        <w:ind w:left="3307" w:right="2697" w:firstLine="0"/>
        <w:jc w:val="left"/>
        <w:rPr>
          <w:b/>
          <w:sz w:val="21"/>
        </w:rPr>
      </w:pPr>
      <w:r>
        <w:rPr>
          <w:spacing w:val="-2"/>
          <w:sz w:val="21"/>
        </w:rPr>
        <w:t>被保险人实际植入了永久性心脏起搏器。</w:t>
      </w:r>
      <w:r>
        <w:rPr>
          <w:b/>
          <w:spacing w:val="-3"/>
          <w:sz w:val="21"/>
        </w:rPr>
        <w:t>安装临时心脏起搏器不在本保障范围内。</w:t>
      </w:r>
    </w:p>
    <w:p>
      <w:pPr>
        <w:spacing w:after="0" w:line="244" w:lineRule="auto"/>
        <w:jc w:val="left"/>
        <w:rPr>
          <w:sz w:val="21"/>
        </w:rPr>
        <w:sectPr>
          <w:pgSz w:w="11910" w:h="16840"/>
          <w:pgMar w:top="1060" w:right="620" w:bottom="1040" w:left="1480" w:header="0" w:footer="851" w:gutter="0"/>
          <w:cols w:space="720" w:num="1"/>
        </w:sectPr>
      </w:pPr>
    </w:p>
    <w:p>
      <w:pPr>
        <w:pStyle w:val="8"/>
        <w:numPr>
          <w:ilvl w:val="1"/>
          <w:numId w:val="39"/>
        </w:numPr>
        <w:tabs>
          <w:tab w:val="left" w:pos="1338"/>
          <w:tab w:val="left" w:pos="1339"/>
          <w:tab w:val="left" w:pos="3307"/>
        </w:tabs>
        <w:spacing w:before="70" w:after="0" w:line="275" w:lineRule="exact"/>
        <w:ind w:left="1338" w:right="0" w:hanging="1005"/>
        <w:jc w:val="left"/>
        <w:rPr>
          <w:sz w:val="21"/>
        </w:rPr>
      </w:pPr>
      <w:r>
        <w:rPr>
          <w:b/>
          <w:sz w:val="21"/>
        </w:rPr>
        <w:t>植入大脑内分流</w:t>
      </w:r>
      <w:r>
        <w:rPr>
          <w:b/>
          <w:spacing w:val="-10"/>
          <w:sz w:val="21"/>
        </w:rPr>
        <w:t>器</w:t>
      </w:r>
      <w:r>
        <w:rPr>
          <w:b/>
          <w:sz w:val="21"/>
        </w:rPr>
        <w:tab/>
      </w:r>
      <w:r>
        <w:rPr>
          <w:sz w:val="21"/>
        </w:rPr>
        <w:t>为缓解已升高的脑脊液压力而确实已在脑室进行分流器植入</w:t>
      </w:r>
      <w:r>
        <w:rPr>
          <w:spacing w:val="-10"/>
          <w:sz w:val="21"/>
        </w:rPr>
        <w:t>手</w:t>
      </w:r>
    </w:p>
    <w:p>
      <w:pPr>
        <w:pStyle w:val="3"/>
        <w:spacing w:line="244" w:lineRule="auto"/>
        <w:ind w:left="3307" w:right="619"/>
      </w:pPr>
      <w:r>
        <w:rPr>
          <w:spacing w:val="-2"/>
        </w:rPr>
        <w:t>术。诊断及治疗均须在本公司认可医院内由脑神经科专科医生认为是医疗必须的情况下进行。</w:t>
      </w:r>
    </w:p>
    <w:p>
      <w:pPr>
        <w:spacing w:before="0" w:line="267" w:lineRule="exact"/>
        <w:ind w:left="3307" w:right="0" w:firstLine="0"/>
        <w:jc w:val="left"/>
        <w:rPr>
          <w:b/>
          <w:sz w:val="21"/>
        </w:rPr>
      </w:pPr>
      <w:r>
        <w:rPr>
          <w:b/>
          <w:spacing w:val="-1"/>
          <w:sz w:val="21"/>
        </w:rPr>
        <w:t>先天性脑积水不在保障范围内。</w:t>
      </w:r>
    </w:p>
    <w:p>
      <w:pPr>
        <w:spacing w:before="5" w:line="242" w:lineRule="auto"/>
        <w:ind w:left="3307" w:right="618" w:firstLine="0"/>
        <w:jc w:val="both"/>
        <w:rPr>
          <w:b/>
          <w:sz w:val="21"/>
        </w:rPr>
      </w:pPr>
      <w:r>
        <w:rPr>
          <w:b/>
          <w:spacing w:val="-2"/>
          <w:sz w:val="21"/>
        </w:rPr>
        <w:t>本公司对“微创颅脑手术”和“脑垂体瘤、脑囊肿、脑动脉瘤及</w:t>
      </w:r>
      <w:r>
        <w:rPr>
          <w:b/>
          <w:spacing w:val="-18"/>
          <w:sz w:val="21"/>
        </w:rPr>
        <w:t>脑血管瘤”、“植入大脑内分流器”三项中的其中一项承担保险责</w:t>
      </w:r>
      <w:r>
        <w:rPr>
          <w:b/>
          <w:spacing w:val="-2"/>
          <w:sz w:val="21"/>
        </w:rPr>
        <w:t>任，给付其中一项保险金后，对其他两项轻症疾病保险责任同时</w:t>
      </w:r>
      <w:r>
        <w:rPr>
          <w:b/>
          <w:spacing w:val="-4"/>
          <w:sz w:val="21"/>
        </w:rPr>
        <w:t>终止。</w:t>
      </w:r>
    </w:p>
    <w:p>
      <w:pPr>
        <w:pStyle w:val="3"/>
        <w:rPr>
          <w:b/>
          <w:sz w:val="20"/>
        </w:rPr>
      </w:pPr>
    </w:p>
    <w:p>
      <w:pPr>
        <w:spacing w:after="0"/>
        <w:rPr>
          <w:sz w:val="20"/>
        </w:rPr>
        <w:sectPr>
          <w:pgSz w:w="11910" w:h="16840"/>
          <w:pgMar w:top="1280" w:right="620" w:bottom="1040" w:left="1480" w:header="0" w:footer="851" w:gutter="0"/>
          <w:cols w:space="720" w:num="1"/>
        </w:sectPr>
      </w:pPr>
    </w:p>
    <w:p>
      <w:pPr>
        <w:pStyle w:val="3"/>
        <w:spacing w:before="2"/>
        <w:rPr>
          <w:b/>
          <w:sz w:val="17"/>
        </w:rPr>
      </w:pPr>
    </w:p>
    <w:p>
      <w:pPr>
        <w:pStyle w:val="8"/>
        <w:numPr>
          <w:ilvl w:val="1"/>
          <w:numId w:val="39"/>
        </w:numPr>
        <w:tabs>
          <w:tab w:val="left" w:pos="1338"/>
          <w:tab w:val="left" w:pos="1339"/>
        </w:tabs>
        <w:spacing w:before="1" w:after="0" w:line="244" w:lineRule="auto"/>
        <w:ind w:left="1338" w:right="0" w:hanging="1004"/>
        <w:jc w:val="left"/>
        <w:rPr>
          <w:b/>
          <w:sz w:val="21"/>
        </w:rPr>
      </w:pPr>
      <w:r>
        <w:rPr>
          <w:b/>
          <w:spacing w:val="-2"/>
          <w:sz w:val="21"/>
        </w:rPr>
        <w:t>肺泡蛋白沉积症肺</w:t>
      </w:r>
      <w:r>
        <w:rPr>
          <w:b/>
          <w:spacing w:val="-4"/>
          <w:sz w:val="21"/>
        </w:rPr>
        <w:t>灌流治疗</w:t>
      </w:r>
    </w:p>
    <w:p>
      <w:pPr>
        <w:spacing w:before="8" w:line="240" w:lineRule="auto"/>
        <w:rPr>
          <w:b/>
          <w:sz w:val="17"/>
        </w:rPr>
      </w:pPr>
      <w:r>
        <w:br w:type="column"/>
      </w:r>
    </w:p>
    <w:p>
      <w:pPr>
        <w:pStyle w:val="3"/>
        <w:spacing w:before="1" w:line="244" w:lineRule="auto"/>
        <w:ind w:left="162" w:right="619"/>
        <w:jc w:val="both"/>
      </w:pPr>
      <w:r>
        <w:rPr>
          <w:spacing w:val="-2"/>
        </w:rPr>
        <w:t>肺泡蛋白质沉积症是一种弥漫性肺部疾病，其组织学特征为肺泡腔内及终末细支气管内堆积过量的磷脂蛋白样物质。必须满足下列所有条件：</w:t>
      </w:r>
    </w:p>
    <w:p>
      <w:pPr>
        <w:pStyle w:val="8"/>
        <w:numPr>
          <w:ilvl w:val="0"/>
          <w:numId w:val="50"/>
        </w:numPr>
        <w:tabs>
          <w:tab w:val="left" w:pos="692"/>
        </w:tabs>
        <w:spacing w:before="0" w:after="0" w:line="262" w:lineRule="exact"/>
        <w:ind w:left="691" w:right="0" w:hanging="530"/>
        <w:jc w:val="left"/>
        <w:rPr>
          <w:sz w:val="21"/>
        </w:rPr>
      </w:pPr>
      <w:r>
        <w:rPr>
          <w:spacing w:val="-3"/>
          <w:sz w:val="21"/>
        </w:rPr>
        <w:t>经组织病理学检查明确诊断；</w:t>
      </w:r>
    </w:p>
    <w:p>
      <w:pPr>
        <w:pStyle w:val="8"/>
        <w:numPr>
          <w:ilvl w:val="0"/>
          <w:numId w:val="50"/>
        </w:numPr>
        <w:tabs>
          <w:tab w:val="left" w:pos="692"/>
        </w:tabs>
        <w:spacing w:before="4" w:after="0" w:line="240" w:lineRule="auto"/>
        <w:ind w:left="691" w:right="0" w:hanging="530"/>
        <w:jc w:val="left"/>
        <w:rPr>
          <w:sz w:val="21"/>
        </w:rPr>
      </w:pPr>
      <w:r>
        <w:rPr>
          <w:spacing w:val="-8"/>
          <w:sz w:val="21"/>
        </w:rPr>
        <w:t xml:space="preserve">实际接受了至少 </w:t>
      </w:r>
      <w:r>
        <w:rPr>
          <w:rFonts w:ascii="Times New Roman" w:eastAsia="Times New Roman"/>
          <w:spacing w:val="-2"/>
          <w:sz w:val="21"/>
        </w:rPr>
        <w:t>2</w:t>
      </w:r>
      <w:r>
        <w:rPr>
          <w:rFonts w:ascii="Times New Roman" w:eastAsia="Times New Roman"/>
          <w:spacing w:val="6"/>
          <w:sz w:val="21"/>
        </w:rPr>
        <w:t xml:space="preserve"> </w:t>
      </w:r>
      <w:r>
        <w:rPr>
          <w:spacing w:val="-3"/>
          <w:sz w:val="21"/>
        </w:rPr>
        <w:t>次支气管肺泡灌洗治疗。</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sz w:val="20"/>
        </w:rPr>
      </w:pPr>
    </w:p>
    <w:p>
      <w:pPr>
        <w:pStyle w:val="3"/>
        <w:spacing w:before="5"/>
        <w:rPr>
          <w:sz w:val="17"/>
        </w:rPr>
      </w:pPr>
    </w:p>
    <w:p>
      <w:pPr>
        <w:pStyle w:val="8"/>
        <w:numPr>
          <w:ilvl w:val="1"/>
          <w:numId w:val="39"/>
        </w:numPr>
        <w:tabs>
          <w:tab w:val="left" w:pos="1338"/>
          <w:tab w:val="left" w:pos="1339"/>
          <w:tab w:val="left" w:pos="3307"/>
        </w:tabs>
        <w:spacing w:before="0" w:after="0" w:line="244" w:lineRule="auto"/>
        <w:ind w:left="3307" w:right="619" w:hanging="2973"/>
        <w:jc w:val="left"/>
        <w:rPr>
          <w:sz w:val="21"/>
        </w:rPr>
      </w:pPr>
      <w:r>
        <w:rPr>
          <w:b/>
          <w:spacing w:val="-2"/>
          <w:sz w:val="21"/>
        </w:rPr>
        <w:t>一侧肺切除</w:t>
      </w:r>
      <w:r>
        <w:rPr>
          <w:b/>
          <w:sz w:val="21"/>
        </w:rPr>
        <w:tab/>
      </w:r>
      <w:r>
        <w:rPr>
          <w:spacing w:val="-2"/>
          <w:sz w:val="21"/>
        </w:rPr>
        <w:t>指因疾病或意外伤害导致肺部严重损害，已经实际接受了左侧全肺切除术或右侧全肺切除术。</w:t>
      </w:r>
    </w:p>
    <w:p>
      <w:pPr>
        <w:spacing w:before="0" w:line="267" w:lineRule="exact"/>
        <w:ind w:left="3307" w:right="0" w:firstLine="0"/>
        <w:jc w:val="left"/>
        <w:rPr>
          <w:b/>
          <w:sz w:val="21"/>
        </w:rPr>
      </w:pPr>
      <w:r>
        <w:rPr>
          <w:b/>
          <w:spacing w:val="-1"/>
          <w:sz w:val="21"/>
        </w:rPr>
        <w:t>以下情况不在本保障范围内：</w:t>
      </w:r>
    </w:p>
    <w:p>
      <w:pPr>
        <w:pStyle w:val="8"/>
        <w:numPr>
          <w:ilvl w:val="0"/>
          <w:numId w:val="51"/>
        </w:numPr>
        <w:tabs>
          <w:tab w:val="left" w:pos="3837"/>
        </w:tabs>
        <w:spacing w:before="5" w:after="0" w:line="269" w:lineRule="exact"/>
        <w:ind w:left="3836" w:right="0" w:hanging="530"/>
        <w:jc w:val="left"/>
        <w:rPr>
          <w:b/>
          <w:sz w:val="21"/>
        </w:rPr>
      </w:pPr>
      <w:r>
        <w:rPr>
          <w:b/>
          <w:spacing w:val="-1"/>
          <w:sz w:val="21"/>
        </w:rPr>
        <w:t>肺叶切除、肺段切除手术；</w:t>
      </w:r>
    </w:p>
    <w:p>
      <w:pPr>
        <w:pStyle w:val="8"/>
        <w:numPr>
          <w:ilvl w:val="0"/>
          <w:numId w:val="51"/>
        </w:numPr>
        <w:tabs>
          <w:tab w:val="left" w:pos="3837"/>
        </w:tabs>
        <w:spacing w:before="0" w:after="0" w:line="240" w:lineRule="auto"/>
        <w:ind w:left="3836" w:right="0" w:hanging="530"/>
        <w:jc w:val="left"/>
        <w:rPr>
          <w:b/>
          <w:sz w:val="21"/>
        </w:rPr>
      </w:pPr>
      <w:r>
        <w:rPr>
          <w:b/>
          <w:spacing w:val="-3"/>
          <w:sz w:val="21"/>
        </w:rPr>
        <w:t>因恶性肿瘤进行的肺切除手术；</w:t>
      </w:r>
    </w:p>
    <w:p>
      <w:pPr>
        <w:pStyle w:val="8"/>
        <w:numPr>
          <w:ilvl w:val="0"/>
          <w:numId w:val="51"/>
        </w:numPr>
        <w:tabs>
          <w:tab w:val="left" w:pos="3837"/>
        </w:tabs>
        <w:spacing w:before="4" w:after="0" w:line="240" w:lineRule="auto"/>
        <w:ind w:left="3836" w:right="0" w:hanging="530"/>
        <w:jc w:val="left"/>
        <w:rPr>
          <w:b/>
          <w:sz w:val="21"/>
        </w:rPr>
      </w:pPr>
      <w:r>
        <w:rPr>
          <w:b/>
          <w:spacing w:val="-1"/>
          <w:sz w:val="21"/>
        </w:rPr>
        <w:t>肺移植接受者肺切除；</w:t>
      </w:r>
    </w:p>
    <w:p>
      <w:pPr>
        <w:pStyle w:val="8"/>
        <w:numPr>
          <w:ilvl w:val="0"/>
          <w:numId w:val="51"/>
        </w:numPr>
        <w:tabs>
          <w:tab w:val="left" w:pos="3837"/>
        </w:tabs>
        <w:spacing w:before="5" w:after="0" w:line="240" w:lineRule="auto"/>
        <w:ind w:left="3836" w:right="0" w:hanging="530"/>
        <w:jc w:val="left"/>
        <w:rPr>
          <w:b/>
          <w:sz w:val="21"/>
        </w:rPr>
      </w:pPr>
      <w:r>
        <w:rPr>
          <w:b/>
          <w:spacing w:val="-3"/>
          <w:sz w:val="21"/>
        </w:rPr>
        <w:t>作为器官捐献者而实施的肺切除手术。</w:t>
      </w:r>
    </w:p>
    <w:p>
      <w:pPr>
        <w:pStyle w:val="3"/>
        <w:rPr>
          <w:b/>
          <w:sz w:val="22"/>
        </w:rPr>
      </w:pPr>
    </w:p>
    <w:p>
      <w:pPr>
        <w:pStyle w:val="8"/>
        <w:numPr>
          <w:ilvl w:val="1"/>
          <w:numId w:val="39"/>
        </w:numPr>
        <w:tabs>
          <w:tab w:val="left" w:pos="1338"/>
          <w:tab w:val="left" w:pos="1339"/>
          <w:tab w:val="left" w:pos="3307"/>
        </w:tabs>
        <w:spacing w:before="197" w:after="0" w:line="240" w:lineRule="auto"/>
        <w:ind w:left="1338" w:right="0" w:hanging="1005"/>
        <w:jc w:val="left"/>
        <w:rPr>
          <w:sz w:val="21"/>
        </w:rPr>
      </w:pPr>
      <w:r>
        <w:rPr>
          <w:b/>
          <w:sz w:val="21"/>
        </w:rPr>
        <w:t>轻度面部烧</w:t>
      </w:r>
      <w:r>
        <w:rPr>
          <w:b/>
          <w:spacing w:val="-10"/>
          <w:sz w:val="21"/>
        </w:rPr>
        <w:t>伤</w:t>
      </w:r>
      <w:r>
        <w:rPr>
          <w:b/>
          <w:sz w:val="21"/>
        </w:rPr>
        <w:tab/>
      </w:r>
      <w:r>
        <w:rPr>
          <w:spacing w:val="-2"/>
          <w:sz w:val="21"/>
        </w:rPr>
        <w:t>指面部烧伤达到下列程度之一</w:t>
      </w:r>
      <w:r>
        <w:rPr>
          <w:spacing w:val="-10"/>
          <w:sz w:val="21"/>
        </w:rPr>
        <w:t>：</w:t>
      </w:r>
    </w:p>
    <w:p>
      <w:pPr>
        <w:pStyle w:val="8"/>
        <w:numPr>
          <w:ilvl w:val="0"/>
          <w:numId w:val="52"/>
        </w:numPr>
        <w:tabs>
          <w:tab w:val="left" w:pos="3837"/>
        </w:tabs>
        <w:spacing w:before="4" w:after="0" w:line="244" w:lineRule="auto"/>
        <w:ind w:left="3830" w:right="617" w:hanging="524"/>
        <w:jc w:val="left"/>
        <w:rPr>
          <w:sz w:val="21"/>
        </w:rPr>
      </w:pPr>
      <w:r>
        <w:rPr>
          <w:spacing w:val="-2"/>
          <w:sz w:val="21"/>
        </w:rPr>
        <w:t xml:space="preserve">面部Ⅲ度烧伤且烧伤面积达到面部表面积的 </w:t>
      </w:r>
      <w:r>
        <w:rPr>
          <w:rFonts w:ascii="Times New Roman" w:hAnsi="Times New Roman" w:eastAsia="Times New Roman"/>
          <w:sz w:val="21"/>
        </w:rPr>
        <w:t xml:space="preserve">1/3 </w:t>
      </w:r>
      <w:r>
        <w:rPr>
          <w:sz w:val="21"/>
        </w:rPr>
        <w:t>或全身体</w:t>
      </w:r>
      <w:r>
        <w:rPr>
          <w:spacing w:val="-8"/>
          <w:sz w:val="21"/>
        </w:rPr>
        <w:t xml:space="preserve">表面积的 </w:t>
      </w:r>
      <w:r>
        <w:rPr>
          <w:rFonts w:ascii="Times New Roman" w:hAnsi="Times New Roman" w:eastAsia="Times New Roman"/>
          <w:sz w:val="21"/>
        </w:rPr>
        <w:t>1</w:t>
      </w:r>
      <w:r>
        <w:rPr>
          <w:sz w:val="21"/>
        </w:rPr>
        <w:t>％；或</w:t>
      </w:r>
    </w:p>
    <w:p>
      <w:pPr>
        <w:pStyle w:val="8"/>
        <w:numPr>
          <w:ilvl w:val="0"/>
          <w:numId w:val="52"/>
        </w:numPr>
        <w:tabs>
          <w:tab w:val="left" w:pos="3837"/>
        </w:tabs>
        <w:spacing w:before="0" w:after="0" w:line="263" w:lineRule="exact"/>
        <w:ind w:left="3836" w:right="0" w:hanging="530"/>
        <w:jc w:val="left"/>
        <w:rPr>
          <w:sz w:val="21"/>
        </w:rPr>
      </w:pPr>
      <w:r>
        <w:rPr>
          <w:spacing w:val="-18"/>
          <w:sz w:val="21"/>
        </w:rPr>
        <w:t xml:space="preserve">面部 </w:t>
      </w:r>
      <w:r>
        <w:rPr>
          <w:rFonts w:ascii="Times New Roman" w:eastAsia="Times New Roman"/>
          <w:spacing w:val="-2"/>
          <w:sz w:val="21"/>
        </w:rPr>
        <w:t>II</w:t>
      </w:r>
      <w:r>
        <w:rPr>
          <w:rFonts w:ascii="Times New Roman" w:eastAsia="Times New Roman"/>
          <w:spacing w:val="3"/>
          <w:sz w:val="21"/>
        </w:rPr>
        <w:t xml:space="preserve"> </w:t>
      </w:r>
      <w:r>
        <w:rPr>
          <w:spacing w:val="-6"/>
          <w:sz w:val="21"/>
        </w:rPr>
        <w:t xml:space="preserve">度烧伤且面积达面部表面积的 </w:t>
      </w:r>
      <w:r>
        <w:rPr>
          <w:rFonts w:ascii="Times New Roman" w:eastAsia="Times New Roman"/>
          <w:spacing w:val="-2"/>
          <w:sz w:val="21"/>
        </w:rPr>
        <w:t>2/3</w:t>
      </w:r>
      <w:r>
        <w:rPr>
          <w:rFonts w:ascii="Times New Roman" w:eastAsia="Times New Roman"/>
          <w:spacing w:val="6"/>
          <w:sz w:val="21"/>
        </w:rPr>
        <w:t xml:space="preserve"> </w:t>
      </w:r>
      <w:r>
        <w:rPr>
          <w:spacing w:val="-3"/>
          <w:sz w:val="21"/>
        </w:rPr>
        <w:t>或全身体表面积的</w:t>
      </w:r>
    </w:p>
    <w:p>
      <w:pPr>
        <w:pStyle w:val="3"/>
        <w:spacing w:before="5"/>
        <w:ind w:left="1209" w:right="2854"/>
        <w:jc w:val="center"/>
      </w:pPr>
      <w:r>
        <w:rPr>
          <w:rFonts w:ascii="Times New Roman" w:eastAsia="Times New Roman"/>
        </w:rPr>
        <w:t>2%</w:t>
      </w:r>
      <w:r>
        <w:rPr>
          <w:spacing w:val="-10"/>
        </w:rPr>
        <w:t>。</w:t>
      </w:r>
    </w:p>
    <w:p>
      <w:pPr>
        <w:pStyle w:val="3"/>
        <w:spacing w:before="4" w:line="244" w:lineRule="auto"/>
        <w:ind w:left="3307" w:right="619"/>
      </w:pPr>
      <w:r>
        <w:rPr>
          <w:spacing w:val="-2"/>
        </w:rPr>
        <w:t>体表面积根据《中国新九分法》计算，面部总面积为全身体表面</w:t>
      </w:r>
      <w:r>
        <w:rPr>
          <w:spacing w:val="-15"/>
        </w:rPr>
        <w:t xml:space="preserve">积的 </w:t>
      </w:r>
      <w:r>
        <w:rPr>
          <w:rFonts w:ascii="Times New Roman" w:eastAsia="Times New Roman"/>
        </w:rPr>
        <w:t>3%</w:t>
      </w:r>
      <w:r>
        <w:t>。</w:t>
      </w:r>
    </w:p>
    <w:p>
      <w:pPr>
        <w:pStyle w:val="3"/>
        <w:rPr>
          <w:sz w:val="22"/>
        </w:rPr>
      </w:pPr>
    </w:p>
    <w:p>
      <w:pPr>
        <w:pStyle w:val="8"/>
        <w:numPr>
          <w:ilvl w:val="1"/>
          <w:numId w:val="39"/>
        </w:numPr>
        <w:tabs>
          <w:tab w:val="left" w:pos="1338"/>
          <w:tab w:val="left" w:pos="1339"/>
          <w:tab w:val="left" w:pos="3307"/>
        </w:tabs>
        <w:spacing w:before="191" w:after="0" w:line="240" w:lineRule="auto"/>
        <w:ind w:left="1338" w:right="0" w:hanging="1005"/>
        <w:jc w:val="left"/>
        <w:rPr>
          <w:sz w:val="21"/>
        </w:rPr>
      </w:pPr>
      <w:r>
        <w:rPr>
          <w:b/>
          <w:sz w:val="21"/>
        </w:rPr>
        <w:t>胆道重建</w:t>
      </w:r>
      <w:r>
        <w:rPr>
          <w:b/>
          <w:spacing w:val="-10"/>
          <w:sz w:val="21"/>
        </w:rPr>
        <w:t>术</w:t>
      </w:r>
      <w:r>
        <w:rPr>
          <w:b/>
          <w:sz w:val="21"/>
        </w:rPr>
        <w:tab/>
      </w:r>
      <w:r>
        <w:rPr>
          <w:spacing w:val="-2"/>
          <w:sz w:val="21"/>
        </w:rPr>
        <w:t>指被保险人因疾病或创伤造成胆总管阻塞，实际接受了胆总管</w:t>
      </w:r>
      <w:r>
        <w:rPr>
          <w:spacing w:val="-10"/>
          <w:sz w:val="21"/>
        </w:rPr>
        <w:t>与</w:t>
      </w:r>
    </w:p>
    <w:p>
      <w:pPr>
        <w:pStyle w:val="3"/>
        <w:spacing w:before="5" w:line="269" w:lineRule="exact"/>
        <w:ind w:left="3307"/>
      </w:pPr>
      <w:r>
        <w:rPr>
          <w:spacing w:val="-2"/>
        </w:rPr>
        <w:t>小肠（空肠或十二指肠）</w:t>
      </w:r>
      <w:r>
        <w:rPr>
          <w:spacing w:val="-4"/>
        </w:rPr>
        <w:t>吻合手术。</w:t>
      </w:r>
    </w:p>
    <w:p>
      <w:pPr>
        <w:spacing w:before="0"/>
        <w:ind w:left="3307" w:right="0" w:firstLine="0"/>
        <w:jc w:val="left"/>
        <w:rPr>
          <w:b/>
          <w:sz w:val="21"/>
        </w:rPr>
      </w:pPr>
      <w:r>
        <w:rPr>
          <w:b/>
          <w:spacing w:val="-3"/>
          <w:sz w:val="21"/>
        </w:rPr>
        <w:t>因恶性肿瘤及先天性胆道闭锁所致胆道重建术除外。</w:t>
      </w:r>
    </w:p>
    <w:p>
      <w:pPr>
        <w:pStyle w:val="3"/>
        <w:rPr>
          <w:b/>
          <w:sz w:val="20"/>
        </w:rPr>
      </w:pPr>
    </w:p>
    <w:p>
      <w:pPr>
        <w:spacing w:after="0"/>
        <w:rPr>
          <w:sz w:val="20"/>
        </w:rPr>
        <w:sectPr>
          <w:type w:val="continuous"/>
          <w:pgSz w:w="11910" w:h="16840"/>
          <w:pgMar w:top="320" w:right="620" w:bottom="280" w:left="1480" w:header="0" w:footer="851" w:gutter="0"/>
          <w:cols w:space="720" w:num="1"/>
        </w:sectPr>
      </w:pPr>
    </w:p>
    <w:p>
      <w:pPr>
        <w:pStyle w:val="3"/>
        <w:spacing w:before="9"/>
        <w:rPr>
          <w:b/>
          <w:sz w:val="17"/>
        </w:rPr>
      </w:pPr>
    </w:p>
    <w:p>
      <w:pPr>
        <w:pStyle w:val="8"/>
        <w:numPr>
          <w:ilvl w:val="1"/>
          <w:numId w:val="39"/>
        </w:numPr>
        <w:tabs>
          <w:tab w:val="left" w:pos="1338"/>
          <w:tab w:val="left" w:pos="1339"/>
        </w:tabs>
        <w:spacing w:before="0" w:after="0" w:line="242" w:lineRule="auto"/>
        <w:ind w:left="1338" w:right="0" w:hanging="1004"/>
        <w:jc w:val="both"/>
        <w:rPr>
          <w:b/>
          <w:sz w:val="21"/>
        </w:rPr>
      </w:pPr>
      <w:r>
        <w:rPr>
          <w:b/>
          <w:spacing w:val="-2"/>
          <w:sz w:val="21"/>
        </w:rPr>
        <w:t>于颈动脉进行血管成形术或内膜切除</w:t>
      </w:r>
      <w:r>
        <w:rPr>
          <w:b/>
          <w:spacing w:val="-10"/>
          <w:sz w:val="21"/>
        </w:rPr>
        <w:t>术</w:t>
      </w:r>
    </w:p>
    <w:p>
      <w:pPr>
        <w:spacing w:before="2" w:line="240" w:lineRule="auto"/>
        <w:rPr>
          <w:b/>
          <w:sz w:val="18"/>
        </w:rPr>
      </w:pPr>
      <w:r>
        <w:br w:type="column"/>
      </w:r>
    </w:p>
    <w:p>
      <w:pPr>
        <w:pStyle w:val="3"/>
        <w:spacing w:line="242" w:lineRule="auto"/>
        <w:ind w:left="162" w:right="617"/>
        <w:jc w:val="both"/>
      </w:pPr>
      <w:r>
        <w:rPr>
          <w:spacing w:val="-2"/>
        </w:rPr>
        <w:t>指根据颈动脉造影检查结果，确诊一条或以上颈动脉存在严重狭</w:t>
      </w:r>
      <w:r>
        <w:t xml:space="preserve">窄性病变（至少一支血管管腔直径减少 </w:t>
      </w:r>
      <w:r>
        <w:rPr>
          <w:rFonts w:ascii="Times New Roman" w:eastAsia="Times New Roman"/>
        </w:rPr>
        <w:t>75%</w:t>
      </w:r>
      <w:r>
        <w:t>以上</w:t>
      </w:r>
      <w:r>
        <w:rPr>
          <w:spacing w:val="-106"/>
        </w:rPr>
        <w:t>）</w:t>
      </w:r>
      <w:r>
        <w:t>。本病须经国</w:t>
      </w:r>
      <w:r>
        <w:rPr>
          <w:spacing w:val="-2"/>
        </w:rPr>
        <w:t>家机关认可的有合法资质的专科医生明确诊断，同时必须已经采取以下手术以减轻症状：</w:t>
      </w:r>
    </w:p>
    <w:p>
      <w:pPr>
        <w:pStyle w:val="8"/>
        <w:numPr>
          <w:ilvl w:val="0"/>
          <w:numId w:val="53"/>
        </w:numPr>
        <w:tabs>
          <w:tab w:val="left" w:pos="692"/>
        </w:tabs>
        <w:spacing w:before="3" w:after="0" w:line="269" w:lineRule="exact"/>
        <w:ind w:left="691" w:right="0" w:hanging="530"/>
        <w:jc w:val="left"/>
        <w:rPr>
          <w:sz w:val="21"/>
        </w:rPr>
      </w:pPr>
      <w:r>
        <w:rPr>
          <w:spacing w:val="-3"/>
          <w:sz w:val="21"/>
        </w:rPr>
        <w:t>确实进行动脉内膜切除术；</w:t>
      </w:r>
    </w:p>
    <w:p>
      <w:pPr>
        <w:pStyle w:val="8"/>
        <w:numPr>
          <w:ilvl w:val="0"/>
          <w:numId w:val="53"/>
        </w:numPr>
        <w:tabs>
          <w:tab w:val="left" w:pos="692"/>
        </w:tabs>
        <w:spacing w:before="0" w:after="0" w:line="244" w:lineRule="auto"/>
        <w:ind w:left="685" w:right="622" w:hanging="524"/>
        <w:jc w:val="left"/>
        <w:rPr>
          <w:sz w:val="21"/>
        </w:rPr>
      </w:pPr>
      <w:r>
        <w:rPr>
          <w:spacing w:val="-2"/>
          <w:sz w:val="21"/>
        </w:rPr>
        <w:t>确实进行血管介入治疗，例如血管成形术及</w:t>
      </w:r>
      <w:r>
        <w:rPr>
          <w:rFonts w:ascii="Times New Roman" w:eastAsia="Times New Roman"/>
          <w:spacing w:val="-2"/>
          <w:sz w:val="21"/>
        </w:rPr>
        <w:t>/</w:t>
      </w:r>
      <w:r>
        <w:rPr>
          <w:spacing w:val="-2"/>
          <w:sz w:val="21"/>
        </w:rPr>
        <w:t>或进行植入支</w:t>
      </w:r>
      <w:r>
        <w:rPr>
          <w:spacing w:val="-4"/>
          <w:sz w:val="21"/>
        </w:rPr>
        <w:t>架手术。</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sz w:val="20"/>
        </w:rPr>
      </w:pPr>
    </w:p>
    <w:p>
      <w:pPr>
        <w:spacing w:after="0"/>
        <w:rPr>
          <w:sz w:val="20"/>
        </w:rPr>
        <w:sectPr>
          <w:type w:val="continuous"/>
          <w:pgSz w:w="11910" w:h="16840"/>
          <w:pgMar w:top="320" w:right="620" w:bottom="280" w:left="1480" w:header="0" w:footer="851" w:gutter="0"/>
          <w:cols w:space="720" w:num="1"/>
        </w:sectPr>
      </w:pPr>
    </w:p>
    <w:p>
      <w:pPr>
        <w:pStyle w:val="3"/>
        <w:spacing w:before="3"/>
        <w:rPr>
          <w:sz w:val="17"/>
        </w:rPr>
      </w:pPr>
    </w:p>
    <w:p>
      <w:pPr>
        <w:pStyle w:val="8"/>
        <w:numPr>
          <w:ilvl w:val="1"/>
          <w:numId w:val="39"/>
        </w:numPr>
        <w:tabs>
          <w:tab w:val="left" w:pos="1338"/>
          <w:tab w:val="left" w:pos="1339"/>
        </w:tabs>
        <w:spacing w:before="1" w:after="0" w:line="240" w:lineRule="auto"/>
        <w:ind w:left="1338" w:right="0" w:hanging="1004"/>
        <w:jc w:val="left"/>
        <w:rPr>
          <w:b/>
          <w:sz w:val="21"/>
        </w:rPr>
      </w:pPr>
      <w:r>
        <w:rPr>
          <w:b/>
          <w:spacing w:val="-2"/>
          <w:sz w:val="21"/>
        </w:rPr>
        <w:t>特定的溃疡性结肠</w:t>
      </w:r>
      <w:r>
        <w:rPr>
          <w:b/>
          <w:spacing w:val="-10"/>
          <w:sz w:val="21"/>
        </w:rPr>
        <w:t>炎</w:t>
      </w:r>
    </w:p>
    <w:p>
      <w:pPr>
        <w:spacing w:before="9" w:line="240" w:lineRule="auto"/>
        <w:rPr>
          <w:b/>
          <w:sz w:val="17"/>
        </w:rPr>
      </w:pPr>
      <w:r>
        <w:br w:type="column"/>
      </w:r>
    </w:p>
    <w:p>
      <w:pPr>
        <w:pStyle w:val="3"/>
        <w:spacing w:before="1" w:line="242" w:lineRule="auto"/>
        <w:ind w:left="162" w:right="619"/>
        <w:jc w:val="both"/>
      </w:pPr>
      <w:r>
        <w:rPr>
          <w:spacing w:val="-2"/>
        </w:rPr>
        <w:t>指伴有致命性电解质紊乱及肠道肿胀及有肠破裂风险的大肠（结肠及直肠）粘膜炎症，但未达重大疾病“严重溃疡性结肠炎”的标准，且满足下列全部条件：</w:t>
      </w:r>
    </w:p>
    <w:p>
      <w:pPr>
        <w:pStyle w:val="3"/>
        <w:spacing w:before="1"/>
        <w:ind w:left="162"/>
      </w:pPr>
      <w:r>
        <w:t>（</w:t>
      </w:r>
      <w:r>
        <w:rPr>
          <w:rFonts w:ascii="Times New Roman" w:eastAsia="Times New Roman"/>
        </w:rPr>
        <w:t>1</w:t>
      </w:r>
      <w:r>
        <w:t>）</w:t>
      </w:r>
      <w:r>
        <w:rPr>
          <w:spacing w:val="-1"/>
        </w:rPr>
        <w:t>须经由内窥镜检查证实该疾病侵犯全部结肠及直肠及活检</w:t>
      </w:r>
    </w:p>
    <w:p>
      <w:pPr>
        <w:spacing w:after="0"/>
        <w:sectPr>
          <w:type w:val="continuous"/>
          <w:pgSz w:w="11910" w:h="16840"/>
          <w:pgMar w:top="320" w:right="620" w:bottom="280" w:left="1480" w:header="0" w:footer="851" w:gutter="0"/>
          <w:cols w:equalWidth="0" w:num="2">
            <w:col w:w="3106" w:space="40"/>
            <w:col w:w="6664"/>
          </w:cols>
        </w:sectPr>
      </w:pPr>
    </w:p>
    <w:p>
      <w:pPr>
        <w:pStyle w:val="3"/>
        <w:spacing w:before="51"/>
        <w:ind w:left="3830"/>
      </w:pPr>
      <w:r>
        <w:rPr>
          <w:spacing w:val="-3"/>
        </w:rPr>
        <w:t>病理学组织切片检查证实为溃疡性结肠炎；</w:t>
      </w:r>
    </w:p>
    <w:p>
      <w:pPr>
        <w:pStyle w:val="3"/>
        <w:spacing w:before="4" w:line="244" w:lineRule="auto"/>
        <w:ind w:left="3830" w:right="617" w:hanging="524"/>
      </w:pPr>
      <w:r>
        <w:t>（</w:t>
      </w:r>
      <w:r>
        <w:rPr>
          <w:rFonts w:ascii="Times New Roman" w:eastAsia="Times New Roman"/>
        </w:rPr>
        <w:t>2</w:t>
      </w:r>
      <w:r>
        <w:t>）</w:t>
      </w:r>
      <w:r>
        <w:rPr>
          <w:spacing w:val="-1"/>
        </w:rPr>
        <w:t xml:space="preserve">经专科医生以类固醇或免疫抑制剂连续治疗 </w:t>
      </w:r>
      <w:r>
        <w:rPr>
          <w:rFonts w:ascii="Times New Roman" w:eastAsia="Times New Roman"/>
        </w:rPr>
        <w:t>6</w:t>
      </w:r>
      <w:r>
        <w:rPr>
          <w:rFonts w:ascii="Times New Roman" w:eastAsia="Times New Roman"/>
          <w:spacing w:val="34"/>
        </w:rPr>
        <w:t xml:space="preserve"> </w:t>
      </w:r>
      <w:r>
        <w:t>个月。诊断</w:t>
      </w:r>
      <w:r>
        <w:rPr>
          <w:spacing w:val="-2"/>
        </w:rPr>
        <w:t>及治疗均须由专科医生认为是医学必需的。</w:t>
      </w:r>
    </w:p>
    <w:p>
      <w:pPr>
        <w:pStyle w:val="3"/>
        <w:rPr>
          <w:sz w:val="20"/>
        </w:rPr>
      </w:pPr>
    </w:p>
    <w:p>
      <w:pPr>
        <w:pStyle w:val="3"/>
        <w:spacing w:before="12"/>
        <w:rPr>
          <w:sz w:val="16"/>
        </w:rPr>
      </w:pPr>
    </w:p>
    <w:p>
      <w:pPr>
        <w:pStyle w:val="8"/>
        <w:numPr>
          <w:ilvl w:val="1"/>
          <w:numId w:val="39"/>
        </w:numPr>
        <w:tabs>
          <w:tab w:val="left" w:pos="1338"/>
          <w:tab w:val="left" w:pos="1339"/>
          <w:tab w:val="left" w:pos="3307"/>
        </w:tabs>
        <w:spacing w:before="0" w:after="0" w:line="240" w:lineRule="auto"/>
        <w:ind w:left="1338" w:right="0" w:hanging="1005"/>
        <w:jc w:val="left"/>
        <w:rPr>
          <w:sz w:val="21"/>
        </w:rPr>
      </w:pPr>
      <w:r>
        <w:rPr>
          <w:b/>
          <w:sz w:val="21"/>
        </w:rPr>
        <w:t>双侧卵巢切除</w:t>
      </w:r>
      <w:r>
        <w:rPr>
          <w:b/>
          <w:spacing w:val="-10"/>
          <w:sz w:val="21"/>
        </w:rPr>
        <w:t>术</w:t>
      </w:r>
      <w:r>
        <w:rPr>
          <w:b/>
          <w:sz w:val="21"/>
        </w:rPr>
        <w:tab/>
      </w:r>
      <w:r>
        <w:rPr>
          <w:sz w:val="21"/>
        </w:rPr>
        <w:t>指为治疗疾病实际接受了经腹部切开或腹腔镜进行的双侧卵</w:t>
      </w:r>
      <w:r>
        <w:rPr>
          <w:spacing w:val="-10"/>
          <w:sz w:val="21"/>
        </w:rPr>
        <w:t>巢</w:t>
      </w:r>
    </w:p>
    <w:p>
      <w:pPr>
        <w:pStyle w:val="3"/>
        <w:spacing w:before="5"/>
        <w:ind w:left="3307"/>
      </w:pPr>
      <w:r>
        <w:rPr>
          <w:spacing w:val="-4"/>
        </w:rPr>
        <w:t>完全切除手术。</w:t>
      </w:r>
    </w:p>
    <w:p>
      <w:pPr>
        <w:spacing w:before="4"/>
        <w:ind w:left="3307" w:right="619" w:firstLine="0"/>
        <w:jc w:val="left"/>
        <w:rPr>
          <w:b/>
          <w:sz w:val="21"/>
        </w:rPr>
      </w:pPr>
      <w:r>
        <w:rPr>
          <w:b/>
          <w:spacing w:val="-2"/>
          <w:sz w:val="21"/>
        </w:rPr>
        <w:t>单侧或部分卵巢切除、变性手术、因恶性肿瘤引起的手术不在保障范围内。</w:t>
      </w:r>
    </w:p>
    <w:p>
      <w:pPr>
        <w:pStyle w:val="3"/>
        <w:rPr>
          <w:b/>
          <w:sz w:val="20"/>
        </w:rPr>
      </w:pPr>
    </w:p>
    <w:p>
      <w:pPr>
        <w:pStyle w:val="3"/>
        <w:spacing w:before="9"/>
        <w:rPr>
          <w:b/>
          <w:sz w:val="17"/>
        </w:rPr>
      </w:pPr>
    </w:p>
    <w:p>
      <w:pPr>
        <w:pStyle w:val="8"/>
        <w:numPr>
          <w:ilvl w:val="1"/>
          <w:numId w:val="39"/>
        </w:numPr>
        <w:tabs>
          <w:tab w:val="left" w:pos="1338"/>
          <w:tab w:val="left" w:pos="1339"/>
          <w:tab w:val="left" w:pos="3307"/>
        </w:tabs>
        <w:spacing w:before="0" w:after="0" w:line="275" w:lineRule="exact"/>
        <w:ind w:left="1338" w:right="0" w:hanging="1005"/>
        <w:jc w:val="left"/>
        <w:rPr>
          <w:sz w:val="21"/>
        </w:rPr>
      </w:pPr>
      <w:r>
        <w:rPr>
          <w:b/>
          <w:sz w:val="21"/>
        </w:rPr>
        <w:t>双侧睾丸切除</w:t>
      </w:r>
      <w:r>
        <w:rPr>
          <w:b/>
          <w:spacing w:val="-10"/>
          <w:sz w:val="21"/>
        </w:rPr>
        <w:t>术</w:t>
      </w:r>
      <w:r>
        <w:rPr>
          <w:b/>
          <w:sz w:val="21"/>
        </w:rPr>
        <w:tab/>
      </w:r>
      <w:r>
        <w:rPr>
          <w:sz w:val="21"/>
        </w:rPr>
        <w:t>指为治疗疾病实际接受了经腹部切开或腹腔镜进行的双侧睾</w:t>
      </w:r>
      <w:r>
        <w:rPr>
          <w:spacing w:val="-10"/>
          <w:sz w:val="21"/>
        </w:rPr>
        <w:t>丸</w:t>
      </w:r>
    </w:p>
    <w:p>
      <w:pPr>
        <w:pStyle w:val="3"/>
        <w:ind w:left="3307"/>
      </w:pPr>
      <w:r>
        <w:rPr>
          <w:spacing w:val="-4"/>
        </w:rPr>
        <w:t>完全切除手术。</w:t>
      </w:r>
    </w:p>
    <w:p>
      <w:pPr>
        <w:spacing w:before="5" w:line="244" w:lineRule="auto"/>
        <w:ind w:left="3307" w:right="619" w:firstLine="0"/>
        <w:jc w:val="left"/>
        <w:rPr>
          <w:b/>
          <w:sz w:val="21"/>
        </w:rPr>
      </w:pPr>
      <w:r>
        <w:rPr>
          <w:b/>
          <w:spacing w:val="-2"/>
          <w:sz w:val="21"/>
        </w:rPr>
        <w:t>单侧或部分睾丸切除、变性手术、因恶性肿瘤引起的手术不在保障范围内。</w:t>
      </w:r>
    </w:p>
    <w:p>
      <w:pPr>
        <w:pStyle w:val="3"/>
        <w:rPr>
          <w:b/>
          <w:sz w:val="20"/>
        </w:rPr>
      </w:pPr>
    </w:p>
    <w:p>
      <w:pPr>
        <w:pStyle w:val="3"/>
        <w:spacing w:before="11"/>
        <w:rPr>
          <w:b/>
          <w:sz w:val="16"/>
        </w:rPr>
      </w:pPr>
    </w:p>
    <w:p>
      <w:pPr>
        <w:pStyle w:val="8"/>
        <w:numPr>
          <w:ilvl w:val="1"/>
          <w:numId w:val="39"/>
        </w:numPr>
        <w:tabs>
          <w:tab w:val="left" w:pos="1338"/>
          <w:tab w:val="left" w:pos="1339"/>
          <w:tab w:val="left" w:pos="3307"/>
        </w:tabs>
        <w:spacing w:before="0" w:after="0" w:line="240" w:lineRule="auto"/>
        <w:ind w:left="1338" w:right="0" w:hanging="1005"/>
        <w:jc w:val="left"/>
        <w:rPr>
          <w:sz w:val="21"/>
        </w:rPr>
      </w:pPr>
      <w:r>
        <w:rPr>
          <w:b/>
          <w:sz w:val="21"/>
        </w:rPr>
        <w:t>微创颅脑手</w:t>
      </w:r>
      <w:r>
        <w:rPr>
          <w:b/>
          <w:spacing w:val="-10"/>
          <w:sz w:val="21"/>
        </w:rPr>
        <w:t>术</w:t>
      </w:r>
      <w:r>
        <w:rPr>
          <w:b/>
          <w:sz w:val="21"/>
        </w:rPr>
        <w:tab/>
      </w:r>
      <w:r>
        <w:rPr>
          <w:sz w:val="21"/>
        </w:rPr>
        <w:t>因疾病被保险人确已实施全麻下的颅骨钻孔手术或者经鼻蝶</w:t>
      </w:r>
      <w:r>
        <w:rPr>
          <w:spacing w:val="-10"/>
          <w:sz w:val="21"/>
        </w:rPr>
        <w:t>窦</w:t>
      </w:r>
    </w:p>
    <w:p>
      <w:pPr>
        <w:spacing w:before="5"/>
        <w:ind w:left="3307" w:right="0" w:firstLine="0"/>
        <w:jc w:val="left"/>
        <w:rPr>
          <w:b/>
          <w:sz w:val="21"/>
        </w:rPr>
      </w:pPr>
      <w:r>
        <w:rPr>
          <w:spacing w:val="-2"/>
          <w:sz w:val="21"/>
        </w:rPr>
        <w:t>入颅手术。</w:t>
      </w:r>
      <w:r>
        <w:rPr>
          <w:b/>
          <w:spacing w:val="-3"/>
          <w:sz w:val="21"/>
        </w:rPr>
        <w:t>因外伤而实施的脑外科手术不在保障范围内。</w:t>
      </w:r>
    </w:p>
    <w:p>
      <w:pPr>
        <w:spacing w:before="5" w:line="242" w:lineRule="auto"/>
        <w:ind w:left="3307" w:right="619" w:firstLine="0"/>
        <w:jc w:val="both"/>
        <w:rPr>
          <w:b/>
          <w:sz w:val="21"/>
        </w:rPr>
      </w:pPr>
      <w:r>
        <w:rPr>
          <w:b/>
          <w:spacing w:val="-2"/>
          <w:sz w:val="21"/>
        </w:rPr>
        <w:t>本公司对“微创颅脑手术”和“脑垂体瘤、脑囊肿、脑动脉瘤及</w:t>
      </w:r>
      <w:r>
        <w:rPr>
          <w:b/>
          <w:spacing w:val="-18"/>
          <w:sz w:val="21"/>
        </w:rPr>
        <w:t>脑血管瘤”、“植入大脑内分流器”三项中的其中一项承担保险责</w:t>
      </w:r>
      <w:r>
        <w:rPr>
          <w:b/>
          <w:spacing w:val="-2"/>
          <w:sz w:val="21"/>
        </w:rPr>
        <w:t>任，给付其中一项保险金后，对其他两项轻症疾病保险责任同时</w:t>
      </w:r>
      <w:r>
        <w:rPr>
          <w:b/>
          <w:spacing w:val="-4"/>
          <w:sz w:val="21"/>
        </w:rPr>
        <w:t>终止。</w:t>
      </w:r>
    </w:p>
    <w:p>
      <w:pPr>
        <w:pStyle w:val="3"/>
        <w:rPr>
          <w:b/>
          <w:sz w:val="20"/>
        </w:rPr>
      </w:pPr>
    </w:p>
    <w:p>
      <w:pPr>
        <w:spacing w:after="0"/>
        <w:rPr>
          <w:sz w:val="20"/>
        </w:rPr>
        <w:sectPr>
          <w:pgSz w:w="11910" w:h="16840"/>
          <w:pgMar w:top="1060" w:right="620" w:bottom="1040" w:left="1480" w:header="0" w:footer="851" w:gutter="0"/>
          <w:cols w:space="720" w:num="1"/>
        </w:sectPr>
      </w:pPr>
    </w:p>
    <w:p>
      <w:pPr>
        <w:pStyle w:val="3"/>
        <w:spacing w:before="2"/>
        <w:rPr>
          <w:b/>
          <w:sz w:val="17"/>
        </w:rPr>
      </w:pPr>
    </w:p>
    <w:p>
      <w:pPr>
        <w:pStyle w:val="8"/>
        <w:numPr>
          <w:ilvl w:val="1"/>
          <w:numId w:val="39"/>
        </w:numPr>
        <w:tabs>
          <w:tab w:val="left" w:pos="1338"/>
          <w:tab w:val="left" w:pos="1339"/>
        </w:tabs>
        <w:spacing w:before="0" w:after="0" w:line="244" w:lineRule="auto"/>
        <w:ind w:left="1338" w:right="0" w:hanging="1004"/>
        <w:jc w:val="left"/>
        <w:rPr>
          <w:b/>
          <w:sz w:val="21"/>
        </w:rPr>
      </w:pPr>
      <w:r>
        <w:rPr>
          <w:b/>
          <w:spacing w:val="-2"/>
          <w:sz w:val="21"/>
        </w:rPr>
        <w:t>强直性脊柱炎的特定手术治疗</w:t>
      </w:r>
    </w:p>
    <w:p>
      <w:pPr>
        <w:spacing w:before="8" w:line="240" w:lineRule="auto"/>
        <w:rPr>
          <w:b/>
          <w:sz w:val="17"/>
        </w:rPr>
      </w:pPr>
      <w:r>
        <w:br w:type="column"/>
      </w:r>
    </w:p>
    <w:p>
      <w:pPr>
        <w:pStyle w:val="3"/>
        <w:ind w:left="162"/>
      </w:pPr>
      <w:r>
        <w:rPr>
          <w:spacing w:val="-3"/>
        </w:rPr>
        <w:t>指诊断为强直性脊柱炎，且满足下列全部条件：</w:t>
      </w:r>
    </w:p>
    <w:p>
      <w:pPr>
        <w:pStyle w:val="8"/>
        <w:numPr>
          <w:ilvl w:val="0"/>
          <w:numId w:val="54"/>
        </w:numPr>
        <w:tabs>
          <w:tab w:val="left" w:pos="692"/>
        </w:tabs>
        <w:spacing w:before="5" w:after="0" w:line="240" w:lineRule="auto"/>
        <w:ind w:left="691" w:right="0" w:hanging="530"/>
        <w:jc w:val="left"/>
        <w:rPr>
          <w:sz w:val="21"/>
        </w:rPr>
      </w:pPr>
      <w:r>
        <w:rPr>
          <w:spacing w:val="-3"/>
          <w:sz w:val="21"/>
        </w:rPr>
        <w:t>脊柱、髋、膝关节疼痛活动受限；</w:t>
      </w:r>
    </w:p>
    <w:p>
      <w:pPr>
        <w:pStyle w:val="8"/>
        <w:numPr>
          <w:ilvl w:val="0"/>
          <w:numId w:val="54"/>
        </w:numPr>
        <w:tabs>
          <w:tab w:val="left" w:pos="692"/>
        </w:tabs>
        <w:spacing w:before="5" w:after="0" w:line="269" w:lineRule="exact"/>
        <w:ind w:left="691" w:right="0" w:hanging="530"/>
        <w:jc w:val="left"/>
        <w:rPr>
          <w:sz w:val="21"/>
        </w:rPr>
      </w:pPr>
      <w:r>
        <w:rPr>
          <w:spacing w:val="-3"/>
          <w:sz w:val="21"/>
        </w:rPr>
        <w:t>脊柱后凸畸形，髋、膝关节强直；</w:t>
      </w:r>
    </w:p>
    <w:p>
      <w:pPr>
        <w:pStyle w:val="3"/>
        <w:ind w:left="162"/>
      </w:pPr>
      <w:r>
        <w:rPr>
          <w:spacing w:val="-2"/>
        </w:rPr>
        <w:t>（</w:t>
      </w:r>
      <w:r>
        <w:rPr>
          <w:rFonts w:ascii="Times New Roman" w:eastAsia="Times New Roman"/>
          <w:spacing w:val="-2"/>
        </w:rPr>
        <w:t>3</w:t>
      </w:r>
      <w:r>
        <w:rPr>
          <w:spacing w:val="-2"/>
        </w:rPr>
        <w:t>）</w:t>
      </w:r>
      <w:r>
        <w:rPr>
          <w:rFonts w:ascii="Times New Roman" w:eastAsia="Times New Roman"/>
          <w:spacing w:val="-2"/>
        </w:rPr>
        <w:t>X</w:t>
      </w:r>
      <w:r>
        <w:rPr>
          <w:rFonts w:ascii="Times New Roman" w:eastAsia="Times New Roman"/>
          <w:spacing w:val="10"/>
        </w:rPr>
        <w:t xml:space="preserve"> </w:t>
      </w:r>
      <w:r>
        <w:rPr>
          <w:spacing w:val="-3"/>
        </w:rPr>
        <w:t>线关节结构破坏征象；</w:t>
      </w:r>
    </w:p>
    <w:p>
      <w:pPr>
        <w:pStyle w:val="3"/>
        <w:spacing w:before="4"/>
        <w:ind w:left="162"/>
      </w:pPr>
      <w:r>
        <w:rPr>
          <w:spacing w:val="-2"/>
        </w:rPr>
        <w:t>（</w:t>
      </w:r>
      <w:r>
        <w:rPr>
          <w:rFonts w:ascii="Times New Roman" w:eastAsia="Times New Roman"/>
          <w:spacing w:val="-2"/>
        </w:rPr>
        <w:t>4</w:t>
      </w:r>
      <w:r>
        <w:rPr>
          <w:spacing w:val="-2"/>
        </w:rPr>
        <w:t>）</w:t>
      </w:r>
      <w:r>
        <w:rPr>
          <w:spacing w:val="-3"/>
        </w:rPr>
        <w:t>实际实施了下列手术治疗的一项或多项：</w:t>
      </w:r>
    </w:p>
    <w:p>
      <w:pPr>
        <w:pStyle w:val="3"/>
        <w:spacing w:before="5"/>
        <w:ind w:left="584"/>
      </w:pPr>
      <w:r>
        <w:rPr>
          <w:spacing w:val="-4"/>
        </w:rPr>
        <w:t>①脊柱截骨手术；</w:t>
      </w:r>
    </w:p>
    <w:p>
      <w:pPr>
        <w:pStyle w:val="3"/>
        <w:spacing w:before="4" w:line="269" w:lineRule="exact"/>
        <w:ind w:left="584"/>
      </w:pPr>
      <w:r>
        <w:rPr>
          <w:spacing w:val="-3"/>
        </w:rPr>
        <w:t>②全髋关节置换手术；</w:t>
      </w:r>
    </w:p>
    <w:p>
      <w:pPr>
        <w:pStyle w:val="3"/>
        <w:ind w:left="584"/>
      </w:pPr>
      <w:r>
        <w:rPr>
          <w:spacing w:val="-3"/>
        </w:rPr>
        <w:t>③膝关节置换手术。</w:t>
      </w:r>
    </w:p>
    <w:p>
      <w:pPr>
        <w:spacing w:after="0"/>
        <w:sectPr>
          <w:type w:val="continuous"/>
          <w:pgSz w:w="11910" w:h="16840"/>
          <w:pgMar w:top="320" w:right="620" w:bottom="280" w:left="1480" w:header="0" w:footer="851" w:gutter="0"/>
          <w:cols w:equalWidth="0" w:num="2">
            <w:col w:w="3106" w:space="40"/>
            <w:col w:w="6664"/>
          </w:cols>
        </w:sectPr>
      </w:pPr>
    </w:p>
    <w:p>
      <w:pPr>
        <w:pStyle w:val="3"/>
        <w:rPr>
          <w:sz w:val="20"/>
        </w:rPr>
      </w:pPr>
    </w:p>
    <w:p>
      <w:pPr>
        <w:spacing w:after="0"/>
        <w:rPr>
          <w:sz w:val="20"/>
        </w:rPr>
        <w:sectPr>
          <w:type w:val="continuous"/>
          <w:pgSz w:w="11910" w:h="16840"/>
          <w:pgMar w:top="320" w:right="620" w:bottom="280" w:left="1480" w:header="0" w:footer="851" w:gutter="0"/>
          <w:cols w:space="720" w:num="1"/>
        </w:sectPr>
      </w:pPr>
    </w:p>
    <w:p>
      <w:pPr>
        <w:pStyle w:val="3"/>
        <w:spacing w:before="10"/>
        <w:rPr>
          <w:sz w:val="17"/>
        </w:rPr>
      </w:pPr>
    </w:p>
    <w:p>
      <w:pPr>
        <w:pStyle w:val="8"/>
        <w:numPr>
          <w:ilvl w:val="1"/>
          <w:numId w:val="39"/>
        </w:numPr>
        <w:tabs>
          <w:tab w:val="left" w:pos="1338"/>
          <w:tab w:val="left" w:pos="1339"/>
        </w:tabs>
        <w:spacing w:before="0" w:after="0" w:line="244" w:lineRule="auto"/>
        <w:ind w:left="1338" w:right="0" w:hanging="1004"/>
        <w:jc w:val="left"/>
        <w:rPr>
          <w:b/>
          <w:sz w:val="21"/>
        </w:rPr>
      </w:pPr>
      <w:r>
        <w:rPr>
          <w:b/>
          <w:spacing w:val="-2"/>
          <w:sz w:val="21"/>
        </w:rPr>
        <w:t>特定周围动脉疾病的血管介入治疗</w:t>
      </w:r>
    </w:p>
    <w:p>
      <w:pPr>
        <w:spacing w:before="3" w:line="240" w:lineRule="auto"/>
        <w:rPr>
          <w:b/>
          <w:sz w:val="18"/>
        </w:rPr>
      </w:pPr>
      <w:r>
        <w:br w:type="column"/>
      </w:r>
    </w:p>
    <w:p>
      <w:pPr>
        <w:pStyle w:val="3"/>
        <w:spacing w:line="244" w:lineRule="auto"/>
        <w:ind w:left="162" w:right="624"/>
      </w:pPr>
      <w:r>
        <w:rPr>
          <w:spacing w:val="3"/>
          <w:w w:val="100"/>
        </w:rPr>
        <w:t>指为治疗一条或者一条以上的下列动脉狭窄而实施的血管介入治疗：</w:t>
      </w:r>
    </w:p>
    <w:p>
      <w:pPr>
        <w:pStyle w:val="8"/>
        <w:numPr>
          <w:ilvl w:val="0"/>
          <w:numId w:val="55"/>
        </w:numPr>
        <w:tabs>
          <w:tab w:val="left" w:pos="692"/>
        </w:tabs>
        <w:spacing w:before="0" w:after="0" w:line="263" w:lineRule="exact"/>
        <w:ind w:left="691" w:right="0" w:hanging="530"/>
        <w:jc w:val="left"/>
        <w:rPr>
          <w:sz w:val="21"/>
        </w:rPr>
      </w:pPr>
      <w:r>
        <w:rPr>
          <w:spacing w:val="-3"/>
          <w:sz w:val="21"/>
        </w:rPr>
        <w:t>为下肢或者上肢供血的动脉；</w:t>
      </w:r>
    </w:p>
    <w:p>
      <w:pPr>
        <w:pStyle w:val="8"/>
        <w:numPr>
          <w:ilvl w:val="0"/>
          <w:numId w:val="55"/>
        </w:numPr>
        <w:tabs>
          <w:tab w:val="left" w:pos="692"/>
        </w:tabs>
        <w:spacing w:before="5" w:after="0" w:line="240" w:lineRule="auto"/>
        <w:ind w:left="691" w:right="0" w:hanging="530"/>
        <w:jc w:val="left"/>
        <w:rPr>
          <w:sz w:val="21"/>
        </w:rPr>
      </w:pPr>
      <w:r>
        <w:rPr>
          <w:spacing w:val="-4"/>
          <w:sz w:val="21"/>
        </w:rPr>
        <w:t>肾动脉；</w:t>
      </w:r>
    </w:p>
    <w:p>
      <w:pPr>
        <w:pStyle w:val="8"/>
        <w:numPr>
          <w:ilvl w:val="0"/>
          <w:numId w:val="55"/>
        </w:numPr>
        <w:tabs>
          <w:tab w:val="left" w:pos="692"/>
        </w:tabs>
        <w:spacing w:before="4" w:after="0" w:line="269" w:lineRule="exact"/>
        <w:ind w:left="691" w:right="0" w:hanging="530"/>
        <w:jc w:val="left"/>
        <w:rPr>
          <w:sz w:val="21"/>
        </w:rPr>
      </w:pPr>
      <w:r>
        <w:rPr>
          <w:spacing w:val="-4"/>
          <w:sz w:val="21"/>
        </w:rPr>
        <w:t>肠系膜动脉。</w:t>
      </w:r>
    </w:p>
    <w:p>
      <w:pPr>
        <w:pStyle w:val="3"/>
        <w:ind w:left="162"/>
      </w:pPr>
      <w:r>
        <w:rPr>
          <w:spacing w:val="-3"/>
        </w:rPr>
        <w:t>必须满足下列全部条件：</w:t>
      </w:r>
    </w:p>
    <w:p>
      <w:pPr>
        <w:pStyle w:val="8"/>
        <w:numPr>
          <w:ilvl w:val="0"/>
          <w:numId w:val="56"/>
        </w:numPr>
        <w:tabs>
          <w:tab w:val="left" w:pos="702"/>
        </w:tabs>
        <w:spacing w:before="5" w:after="0" w:line="240" w:lineRule="auto"/>
        <w:ind w:left="701" w:right="0" w:hanging="540"/>
        <w:jc w:val="left"/>
        <w:rPr>
          <w:sz w:val="21"/>
        </w:rPr>
      </w:pPr>
      <w:r>
        <w:rPr>
          <w:spacing w:val="-1"/>
          <w:sz w:val="21"/>
        </w:rPr>
        <w:t>经血管造影术证实一条或者一条以上的上述动脉狭窄达到</w:t>
      </w:r>
    </w:p>
    <w:p>
      <w:pPr>
        <w:pStyle w:val="3"/>
        <w:spacing w:before="5"/>
        <w:ind w:left="685"/>
      </w:pPr>
      <w:r>
        <w:rPr>
          <w:rFonts w:ascii="Times New Roman" w:eastAsia="Times New Roman"/>
          <w:spacing w:val="-2"/>
        </w:rPr>
        <w:t>50%</w:t>
      </w:r>
      <w:r>
        <w:rPr>
          <w:spacing w:val="-4"/>
        </w:rPr>
        <w:t>或者以上；</w:t>
      </w:r>
    </w:p>
    <w:p>
      <w:pPr>
        <w:pStyle w:val="8"/>
        <w:numPr>
          <w:ilvl w:val="0"/>
          <w:numId w:val="56"/>
        </w:numPr>
        <w:tabs>
          <w:tab w:val="left" w:pos="702"/>
        </w:tabs>
        <w:spacing w:before="4" w:after="0" w:line="242" w:lineRule="auto"/>
        <w:ind w:left="685" w:right="614" w:hanging="524"/>
        <w:jc w:val="both"/>
        <w:rPr>
          <w:sz w:val="21"/>
        </w:rPr>
      </w:pPr>
      <w:r>
        <w:rPr>
          <w:w w:val="100"/>
          <w:sz w:val="21"/>
        </w:rPr>
        <w:t>对一条或者一条以上的上述动脉施行了血管介入治疗，如</w:t>
      </w:r>
      <w:r>
        <w:rPr>
          <w:spacing w:val="9"/>
          <w:w w:val="100"/>
          <w:sz w:val="21"/>
        </w:rPr>
        <w:t>血管成形术及</w:t>
      </w:r>
      <w:r>
        <w:rPr>
          <w:rFonts w:ascii="Times New Roman" w:eastAsia="Times New Roman"/>
          <w:spacing w:val="8"/>
          <w:w w:val="100"/>
          <w:sz w:val="21"/>
        </w:rPr>
        <w:t>/</w:t>
      </w:r>
      <w:r>
        <w:rPr>
          <w:spacing w:val="7"/>
          <w:w w:val="100"/>
          <w:sz w:val="21"/>
        </w:rPr>
        <w:t>或者进行植入支架或者动脉粥样瘤清除手</w:t>
      </w:r>
      <w:r>
        <w:rPr>
          <w:w w:val="100"/>
          <w:sz w:val="21"/>
        </w:rPr>
        <w:t>术。</w:t>
      </w:r>
    </w:p>
    <w:p>
      <w:pPr>
        <w:pStyle w:val="3"/>
        <w:spacing w:before="1" w:line="244" w:lineRule="auto"/>
        <w:ind w:left="162" w:right="624"/>
      </w:pPr>
      <w:r>
        <w:rPr>
          <w:spacing w:val="3"/>
          <w:w w:val="100"/>
        </w:rPr>
        <w:t>上述动脉疾病的诊断以及相关治疗的必要性必须由血管疾病的</w:t>
      </w:r>
      <w:r>
        <w:rPr>
          <w:w w:val="100"/>
        </w:rPr>
        <w:t>专科医生确定。</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spacing w:before="10"/>
        <w:rPr>
          <w:sz w:val="29"/>
        </w:rPr>
      </w:pPr>
    </w:p>
    <w:p>
      <w:pPr>
        <w:pStyle w:val="8"/>
        <w:numPr>
          <w:ilvl w:val="1"/>
          <w:numId w:val="39"/>
        </w:numPr>
        <w:tabs>
          <w:tab w:val="left" w:pos="1338"/>
          <w:tab w:val="left" w:pos="1339"/>
        </w:tabs>
        <w:spacing w:before="91" w:after="0" w:line="240" w:lineRule="auto"/>
        <w:ind w:left="1338" w:right="0" w:hanging="1005"/>
        <w:jc w:val="both"/>
        <w:rPr>
          <w:sz w:val="21"/>
        </w:rPr>
      </w:pPr>
      <w:r>
        <w:rPr>
          <w:b/>
          <w:spacing w:val="14"/>
          <w:sz w:val="21"/>
        </w:rPr>
        <w:t xml:space="preserve">中度阿尔茨海默病 </w:t>
      </w:r>
      <w:r>
        <w:rPr>
          <w:spacing w:val="-1"/>
          <w:sz w:val="21"/>
        </w:rPr>
        <w:t>指因大脑进行性、不可逆性改变导致智能严重衰退或丧失，临床</w:t>
      </w:r>
    </w:p>
    <w:p>
      <w:pPr>
        <w:pStyle w:val="3"/>
        <w:spacing w:before="5" w:line="242" w:lineRule="auto"/>
        <w:ind w:left="3307" w:right="507"/>
        <w:jc w:val="both"/>
      </w:pPr>
      <w:r>
        <w:rPr>
          <w:spacing w:val="-2"/>
        </w:rPr>
        <w:t>表现为明显的认知能力障碍、行为异常和社交能力减退，其日常生活必须持续受到他人监护。须由头颅断层扫描</w:t>
      </w:r>
      <w:r>
        <w:rPr>
          <w:rFonts w:ascii="Times New Roman" w:eastAsia="Times New Roman"/>
          <w:spacing w:val="-2"/>
        </w:rPr>
        <w:t>(CT)</w:t>
      </w:r>
      <w:r>
        <w:rPr>
          <w:spacing w:val="-2"/>
        </w:rPr>
        <w:t>、核磁共振</w:t>
      </w:r>
      <w:r>
        <w:rPr>
          <w:spacing w:val="-4"/>
        </w:rPr>
        <w:t>检查（</w:t>
      </w:r>
      <w:r>
        <w:rPr>
          <w:rFonts w:ascii="Times New Roman" w:eastAsia="Times New Roman"/>
          <w:spacing w:val="-4"/>
        </w:rPr>
        <w:t>MRI</w:t>
      </w:r>
      <w:r>
        <w:rPr>
          <w:spacing w:val="-4"/>
        </w:rPr>
        <w:t>）或正电子发射断层扫描（</w:t>
      </w:r>
      <w:r>
        <w:rPr>
          <w:rFonts w:ascii="Times New Roman" w:eastAsia="Times New Roman"/>
          <w:spacing w:val="-4"/>
        </w:rPr>
        <w:t>PET</w:t>
      </w:r>
      <w:r>
        <w:rPr>
          <w:spacing w:val="-4"/>
        </w:rPr>
        <w:t>）</w:t>
      </w:r>
      <w:r>
        <w:rPr>
          <w:spacing w:val="-5"/>
        </w:rPr>
        <w:t>等影像学检查证实，</w:t>
      </w:r>
    </w:p>
    <w:p>
      <w:pPr>
        <w:spacing w:after="0" w:line="242" w:lineRule="auto"/>
        <w:jc w:val="both"/>
        <w:sectPr>
          <w:type w:val="continuous"/>
          <w:pgSz w:w="11910" w:h="16840"/>
          <w:pgMar w:top="320" w:right="620" w:bottom="280" w:left="1480" w:header="0" w:footer="851" w:gutter="0"/>
          <w:cols w:space="720" w:num="1"/>
        </w:sectPr>
      </w:pPr>
    </w:p>
    <w:p>
      <w:pPr>
        <w:pStyle w:val="3"/>
        <w:spacing w:before="51" w:line="244" w:lineRule="auto"/>
        <w:ind w:left="3307" w:right="619"/>
      </w:pPr>
      <w:r>
        <w:rPr>
          <w:spacing w:val="-2"/>
        </w:rPr>
        <w:t>且自主生活能力严重丧失，无法独立完成六项基本日常生活活动中的两项。</w:t>
      </w:r>
    </w:p>
    <w:p>
      <w:pPr>
        <w:spacing w:before="0" w:line="267" w:lineRule="exact"/>
        <w:ind w:left="3307" w:right="0" w:firstLine="0"/>
        <w:jc w:val="left"/>
        <w:rPr>
          <w:b/>
          <w:sz w:val="21"/>
        </w:rPr>
      </w:pPr>
      <w:r>
        <w:rPr>
          <w:b/>
          <w:spacing w:val="-1"/>
          <w:sz w:val="21"/>
        </w:rPr>
        <w:t>以下情况不在保障范围内：</w:t>
      </w:r>
    </w:p>
    <w:p>
      <w:pPr>
        <w:pStyle w:val="8"/>
        <w:numPr>
          <w:ilvl w:val="0"/>
          <w:numId w:val="57"/>
        </w:numPr>
        <w:tabs>
          <w:tab w:val="left" w:pos="3837"/>
        </w:tabs>
        <w:spacing w:before="0" w:after="0" w:line="244" w:lineRule="auto"/>
        <w:ind w:left="3835" w:right="511" w:hanging="528"/>
        <w:jc w:val="left"/>
        <w:rPr>
          <w:b/>
          <w:sz w:val="21"/>
        </w:rPr>
      </w:pPr>
      <w:r>
        <w:rPr>
          <w:b/>
          <w:spacing w:val="-2"/>
          <w:sz w:val="21"/>
        </w:rPr>
        <w:t>存在酒精滥用、药物滥用或获得性免疫缺陷综合征（</w:t>
      </w:r>
      <w:r>
        <w:rPr>
          <w:rFonts w:ascii="Times New Roman" w:eastAsia="Times New Roman"/>
          <w:b/>
          <w:spacing w:val="-2"/>
          <w:sz w:val="21"/>
        </w:rPr>
        <w:t>AIDS</w:t>
      </w:r>
      <w:r>
        <w:rPr>
          <w:b/>
          <w:spacing w:val="-2"/>
          <w:sz w:val="21"/>
        </w:rPr>
        <w:t>）情况下的痴呆；</w:t>
      </w:r>
    </w:p>
    <w:p>
      <w:pPr>
        <w:pStyle w:val="8"/>
        <w:numPr>
          <w:ilvl w:val="0"/>
          <w:numId w:val="57"/>
        </w:numPr>
        <w:tabs>
          <w:tab w:val="left" w:pos="3837"/>
        </w:tabs>
        <w:spacing w:before="0" w:after="0" w:line="268" w:lineRule="exact"/>
        <w:ind w:left="3836" w:right="0" w:hanging="530"/>
        <w:jc w:val="left"/>
        <w:rPr>
          <w:b/>
          <w:sz w:val="21"/>
        </w:rPr>
      </w:pPr>
      <w:r>
        <w:rPr>
          <w:b/>
          <w:spacing w:val="-1"/>
          <w:sz w:val="21"/>
        </w:rPr>
        <w:t>神经官能症和精神疾病。</w:t>
      </w:r>
    </w:p>
    <w:p>
      <w:pPr>
        <w:pStyle w:val="3"/>
        <w:rPr>
          <w:b/>
          <w:sz w:val="22"/>
        </w:rPr>
      </w:pPr>
    </w:p>
    <w:p>
      <w:pPr>
        <w:pStyle w:val="8"/>
        <w:numPr>
          <w:ilvl w:val="1"/>
          <w:numId w:val="39"/>
        </w:numPr>
        <w:tabs>
          <w:tab w:val="left" w:pos="1338"/>
          <w:tab w:val="left" w:pos="1339"/>
          <w:tab w:val="left" w:pos="3307"/>
        </w:tabs>
        <w:spacing w:before="196" w:after="0" w:line="240" w:lineRule="auto"/>
        <w:ind w:left="1338" w:right="0" w:hanging="1005"/>
        <w:jc w:val="left"/>
        <w:rPr>
          <w:sz w:val="21"/>
        </w:rPr>
      </w:pPr>
      <w:r>
        <w:rPr>
          <w:b/>
          <w:sz w:val="21"/>
        </w:rPr>
        <w:t>慢性阻塞性肺</w:t>
      </w:r>
      <w:r>
        <w:rPr>
          <w:b/>
          <w:spacing w:val="-10"/>
          <w:sz w:val="21"/>
        </w:rPr>
        <w:t>病</w:t>
      </w:r>
      <w:r>
        <w:rPr>
          <w:b/>
          <w:sz w:val="21"/>
        </w:rPr>
        <w:tab/>
      </w:r>
      <w:r>
        <w:rPr>
          <w:spacing w:val="-2"/>
          <w:sz w:val="21"/>
        </w:rPr>
        <w:t>指因一种具有气流阻塞特征的慢性支气管炎和（或）肺气肿，</w:t>
      </w:r>
      <w:r>
        <w:rPr>
          <w:spacing w:val="-10"/>
          <w:sz w:val="21"/>
        </w:rPr>
        <w:t>确</w:t>
      </w:r>
    </w:p>
    <w:p>
      <w:pPr>
        <w:pStyle w:val="3"/>
        <w:spacing w:before="5" w:line="244" w:lineRule="auto"/>
        <w:ind w:left="3307" w:right="619"/>
      </w:pPr>
      <w:r>
        <w:rPr>
          <w:spacing w:val="-2"/>
        </w:rPr>
        <w:t>诊必须由呼吸系统科的专科医生确认，且诊断必须满足以下所有</w:t>
      </w:r>
      <w:r>
        <w:rPr>
          <w:spacing w:val="-4"/>
        </w:rPr>
        <w:t>条件：</w:t>
      </w:r>
    </w:p>
    <w:p>
      <w:pPr>
        <w:pStyle w:val="8"/>
        <w:numPr>
          <w:ilvl w:val="0"/>
          <w:numId w:val="58"/>
        </w:numPr>
        <w:tabs>
          <w:tab w:val="left" w:pos="3837"/>
        </w:tabs>
        <w:spacing w:before="0" w:after="0" w:line="268" w:lineRule="exact"/>
        <w:ind w:left="3836" w:right="0" w:hanging="530"/>
        <w:jc w:val="left"/>
        <w:rPr>
          <w:sz w:val="21"/>
        </w:rPr>
      </w:pPr>
      <w:r>
        <w:rPr>
          <w:spacing w:val="-2"/>
          <w:sz w:val="21"/>
        </w:rPr>
        <w:t>第一秒末用力呼吸量（</w:t>
      </w:r>
      <w:r>
        <w:rPr>
          <w:rFonts w:ascii="Times New Roman" w:eastAsia="Times New Roman"/>
          <w:spacing w:val="-2"/>
          <w:sz w:val="21"/>
        </w:rPr>
        <w:t>FEV1</w:t>
      </w:r>
      <w:r>
        <w:rPr>
          <w:spacing w:val="-2"/>
          <w:sz w:val="21"/>
        </w:rPr>
        <w:t>）</w:t>
      </w:r>
      <w:r>
        <w:rPr>
          <w:spacing w:val="-17"/>
          <w:sz w:val="21"/>
        </w:rPr>
        <w:t xml:space="preserve">小于 </w:t>
      </w:r>
      <w:r>
        <w:rPr>
          <w:rFonts w:ascii="Times New Roman" w:eastAsia="Times New Roman"/>
          <w:spacing w:val="-2"/>
          <w:sz w:val="21"/>
        </w:rPr>
        <w:t>1</w:t>
      </w:r>
      <w:r>
        <w:rPr>
          <w:rFonts w:ascii="Times New Roman" w:eastAsia="Times New Roman"/>
          <w:spacing w:val="8"/>
          <w:sz w:val="21"/>
        </w:rPr>
        <w:t xml:space="preserve"> </w:t>
      </w:r>
      <w:r>
        <w:rPr>
          <w:spacing w:val="-6"/>
          <w:sz w:val="21"/>
        </w:rPr>
        <w:t>升；</w:t>
      </w:r>
    </w:p>
    <w:p>
      <w:pPr>
        <w:pStyle w:val="8"/>
        <w:numPr>
          <w:ilvl w:val="0"/>
          <w:numId w:val="58"/>
        </w:numPr>
        <w:tabs>
          <w:tab w:val="left" w:pos="3942"/>
        </w:tabs>
        <w:spacing w:before="0" w:after="0" w:line="240" w:lineRule="auto"/>
        <w:ind w:left="3941" w:right="0" w:hanging="635"/>
        <w:jc w:val="left"/>
        <w:rPr>
          <w:sz w:val="21"/>
        </w:rPr>
      </w:pPr>
      <w:r>
        <w:rPr>
          <w:rFonts w:ascii="Times New Roman" w:eastAsia="Times New Roman"/>
          <w:sz w:val="21"/>
        </w:rPr>
        <w:t>COPD</w:t>
      </w:r>
      <w:r>
        <w:rPr>
          <w:rFonts w:ascii="Times New Roman" w:eastAsia="Times New Roman"/>
          <w:spacing w:val="-8"/>
          <w:sz w:val="21"/>
        </w:rPr>
        <w:t xml:space="preserve"> </w:t>
      </w:r>
      <w:r>
        <w:rPr>
          <w:spacing w:val="-2"/>
          <w:sz w:val="21"/>
        </w:rPr>
        <w:t xml:space="preserve">肺功能分级 </w:t>
      </w:r>
      <w:r>
        <w:rPr>
          <w:rFonts w:ascii="Times New Roman" w:eastAsia="Times New Roman"/>
          <w:sz w:val="21"/>
        </w:rPr>
        <w:t>III</w:t>
      </w:r>
      <w:r>
        <w:rPr>
          <w:rFonts w:ascii="Times New Roman" w:eastAsia="Times New Roman"/>
          <w:spacing w:val="-6"/>
          <w:sz w:val="21"/>
        </w:rPr>
        <w:t xml:space="preserve"> </w:t>
      </w:r>
      <w:r>
        <w:rPr>
          <w:spacing w:val="-13"/>
          <w:sz w:val="21"/>
        </w:rPr>
        <w:t xml:space="preserve">级，即 </w:t>
      </w:r>
      <w:r>
        <w:rPr>
          <w:rFonts w:ascii="Times New Roman" w:eastAsia="Times New Roman"/>
          <w:spacing w:val="-2"/>
          <w:sz w:val="21"/>
        </w:rPr>
        <w:t>30%&lt;EFV1&lt;50%</w:t>
      </w:r>
      <w:r>
        <w:rPr>
          <w:spacing w:val="-2"/>
          <w:sz w:val="21"/>
        </w:rPr>
        <w:t>；</w:t>
      </w:r>
    </w:p>
    <w:p>
      <w:pPr>
        <w:pStyle w:val="8"/>
        <w:numPr>
          <w:ilvl w:val="0"/>
          <w:numId w:val="58"/>
        </w:numPr>
        <w:tabs>
          <w:tab w:val="left" w:pos="3837"/>
        </w:tabs>
        <w:spacing w:before="4" w:after="0" w:line="240" w:lineRule="auto"/>
        <w:ind w:left="3836" w:right="0" w:hanging="530"/>
        <w:jc w:val="left"/>
        <w:rPr>
          <w:sz w:val="21"/>
        </w:rPr>
      </w:pPr>
      <w:r>
        <w:rPr>
          <w:spacing w:val="-2"/>
          <w:sz w:val="21"/>
        </w:rPr>
        <w:t>残气容积占肺总量（</w:t>
      </w:r>
      <w:r>
        <w:rPr>
          <w:rFonts w:ascii="Times New Roman" w:eastAsia="Times New Roman"/>
          <w:spacing w:val="-2"/>
          <w:sz w:val="21"/>
        </w:rPr>
        <w:t>TLC</w:t>
      </w:r>
      <w:r>
        <w:rPr>
          <w:spacing w:val="-2"/>
          <w:sz w:val="21"/>
        </w:rPr>
        <w:t>）</w:t>
      </w:r>
      <w:r>
        <w:rPr>
          <w:spacing w:val="-21"/>
          <w:sz w:val="21"/>
        </w:rPr>
        <w:t xml:space="preserve">的 </w:t>
      </w:r>
      <w:r>
        <w:rPr>
          <w:rFonts w:ascii="Times New Roman" w:eastAsia="Times New Roman"/>
          <w:spacing w:val="-2"/>
          <w:sz w:val="21"/>
        </w:rPr>
        <w:t>50%</w:t>
      </w:r>
      <w:r>
        <w:rPr>
          <w:spacing w:val="-5"/>
          <w:sz w:val="21"/>
        </w:rPr>
        <w:t>以上；</w:t>
      </w:r>
    </w:p>
    <w:p>
      <w:pPr>
        <w:pStyle w:val="8"/>
        <w:numPr>
          <w:ilvl w:val="0"/>
          <w:numId w:val="58"/>
        </w:numPr>
        <w:tabs>
          <w:tab w:val="left" w:pos="3942"/>
        </w:tabs>
        <w:spacing w:before="5" w:after="0" w:line="240" w:lineRule="auto"/>
        <w:ind w:left="3941" w:right="0" w:hanging="635"/>
        <w:jc w:val="left"/>
        <w:rPr>
          <w:sz w:val="21"/>
        </w:rPr>
      </w:pPr>
      <w:r>
        <w:rPr>
          <w:rFonts w:ascii="Times New Roman" w:eastAsia="Times New Roman"/>
          <w:spacing w:val="-2"/>
          <w:sz w:val="21"/>
        </w:rPr>
        <w:t>PaO</w:t>
      </w:r>
      <w:r>
        <w:rPr>
          <w:rFonts w:ascii="Times New Roman" w:eastAsia="Times New Roman"/>
          <w:spacing w:val="-2"/>
          <w:sz w:val="21"/>
          <w:vertAlign w:val="subscript"/>
        </w:rPr>
        <w:t>2</w:t>
      </w:r>
      <w:r>
        <w:rPr>
          <w:rFonts w:ascii="Times New Roman" w:eastAsia="Times New Roman"/>
          <w:spacing w:val="-2"/>
          <w:sz w:val="21"/>
          <w:vertAlign w:val="baseline"/>
        </w:rPr>
        <w:t>&lt;60mmHg</w:t>
      </w:r>
      <w:r>
        <w:rPr>
          <w:rFonts w:ascii="Times New Roman" w:eastAsia="Times New Roman"/>
          <w:spacing w:val="6"/>
          <w:sz w:val="21"/>
          <w:vertAlign w:val="baseline"/>
        </w:rPr>
        <w:t xml:space="preserve">, </w:t>
      </w:r>
      <w:r>
        <w:rPr>
          <w:rFonts w:ascii="Times New Roman" w:eastAsia="Times New Roman"/>
          <w:spacing w:val="-2"/>
          <w:sz w:val="21"/>
          <w:vertAlign w:val="baseline"/>
        </w:rPr>
        <w:t>PaCO</w:t>
      </w:r>
      <w:r>
        <w:rPr>
          <w:rFonts w:ascii="Times New Roman" w:eastAsia="Times New Roman"/>
          <w:spacing w:val="-2"/>
          <w:sz w:val="21"/>
          <w:vertAlign w:val="subscript"/>
        </w:rPr>
        <w:t>2</w:t>
      </w:r>
      <w:r>
        <w:rPr>
          <w:rFonts w:ascii="Times New Roman" w:eastAsia="Times New Roman"/>
          <w:spacing w:val="-2"/>
          <w:sz w:val="21"/>
          <w:vertAlign w:val="baseline"/>
        </w:rPr>
        <w:t>&gt;50mmHg</w:t>
      </w:r>
      <w:r>
        <w:rPr>
          <w:spacing w:val="-10"/>
          <w:sz w:val="21"/>
          <w:vertAlign w:val="baseline"/>
        </w:rPr>
        <w:t>。</w:t>
      </w:r>
    </w:p>
    <w:p>
      <w:pPr>
        <w:pStyle w:val="3"/>
        <w:rPr>
          <w:sz w:val="20"/>
        </w:rPr>
      </w:pPr>
    </w:p>
    <w:p>
      <w:pPr>
        <w:spacing w:after="0"/>
        <w:rPr>
          <w:sz w:val="20"/>
        </w:rPr>
        <w:sectPr>
          <w:pgSz w:w="11910" w:h="16840"/>
          <w:pgMar w:top="1060" w:right="620" w:bottom="1040" w:left="1480" w:header="0" w:footer="851" w:gutter="0"/>
          <w:cols w:space="720" w:num="1"/>
        </w:sectPr>
      </w:pPr>
    </w:p>
    <w:p>
      <w:pPr>
        <w:pStyle w:val="3"/>
        <w:spacing w:before="5"/>
        <w:rPr>
          <w:sz w:val="17"/>
        </w:rPr>
      </w:pPr>
    </w:p>
    <w:p>
      <w:pPr>
        <w:pStyle w:val="8"/>
        <w:numPr>
          <w:ilvl w:val="1"/>
          <w:numId w:val="39"/>
        </w:numPr>
        <w:tabs>
          <w:tab w:val="left" w:pos="1338"/>
          <w:tab w:val="left" w:pos="1339"/>
        </w:tabs>
        <w:spacing w:before="0" w:after="0" w:line="244" w:lineRule="auto"/>
        <w:ind w:left="1338" w:right="0" w:hanging="1004"/>
        <w:jc w:val="left"/>
        <w:rPr>
          <w:b/>
          <w:sz w:val="21"/>
        </w:rPr>
      </w:pPr>
      <w:r>
        <w:rPr>
          <w:b/>
          <w:spacing w:val="-2"/>
          <w:sz w:val="21"/>
        </w:rPr>
        <w:t>腔静脉过滤器植入</w:t>
      </w:r>
      <w:r>
        <w:rPr>
          <w:b/>
          <w:spacing w:val="-10"/>
          <w:sz w:val="21"/>
        </w:rPr>
        <w:t>术</w:t>
      </w:r>
    </w:p>
    <w:p>
      <w:pPr>
        <w:spacing w:before="11" w:line="240" w:lineRule="auto"/>
        <w:rPr>
          <w:b/>
          <w:sz w:val="17"/>
        </w:rPr>
      </w:pPr>
      <w:r>
        <w:br w:type="column"/>
      </w:r>
    </w:p>
    <w:p>
      <w:pPr>
        <w:pStyle w:val="3"/>
        <w:spacing w:line="244" w:lineRule="auto"/>
        <w:ind w:left="162" w:right="619"/>
        <w:jc w:val="both"/>
      </w:pPr>
      <w:r>
        <w:rPr>
          <w:spacing w:val="-2"/>
        </w:rPr>
        <w:t>指为治疗反复肺栓塞发作，抗凝血疗法无效，已经实施了腔静脉过滤器植入术。手术必须在专科医生认为是医学上必需的情况下</w:t>
      </w:r>
      <w:r>
        <w:rPr>
          <w:spacing w:val="-4"/>
        </w:rPr>
        <w:t>进行。</w:t>
      </w:r>
    </w:p>
    <w:p>
      <w:pPr>
        <w:spacing w:after="0" w:line="244" w:lineRule="auto"/>
        <w:jc w:val="both"/>
        <w:sectPr>
          <w:type w:val="continuous"/>
          <w:pgSz w:w="11910" w:h="16840"/>
          <w:pgMar w:top="320" w:right="620" w:bottom="280" w:left="1480" w:header="0" w:footer="851" w:gutter="0"/>
          <w:cols w:equalWidth="0" w:num="2">
            <w:col w:w="3106" w:space="40"/>
            <w:col w:w="6664"/>
          </w:cols>
        </w:sectPr>
      </w:pPr>
    </w:p>
    <w:p>
      <w:pPr>
        <w:pStyle w:val="3"/>
        <w:spacing w:before="8"/>
        <w:rPr>
          <w:sz w:val="29"/>
        </w:rPr>
      </w:pPr>
    </w:p>
    <w:p>
      <w:pPr>
        <w:pStyle w:val="8"/>
        <w:numPr>
          <w:ilvl w:val="1"/>
          <w:numId w:val="39"/>
        </w:numPr>
        <w:tabs>
          <w:tab w:val="left" w:pos="1338"/>
          <w:tab w:val="left" w:pos="1339"/>
          <w:tab w:val="left" w:pos="3307"/>
        </w:tabs>
        <w:spacing w:before="92" w:after="0" w:line="240" w:lineRule="auto"/>
        <w:ind w:left="1338" w:right="0" w:hanging="1005"/>
        <w:jc w:val="left"/>
        <w:rPr>
          <w:sz w:val="21"/>
        </w:rPr>
      </w:pPr>
      <w:r>
        <w:rPr>
          <w:b/>
          <w:sz w:val="21"/>
        </w:rPr>
        <w:t>中度帕金森氏</w:t>
      </w:r>
      <w:r>
        <w:rPr>
          <w:b/>
          <w:spacing w:val="-10"/>
          <w:sz w:val="21"/>
        </w:rPr>
        <w:t>病</w:t>
      </w:r>
      <w:r>
        <w:rPr>
          <w:b/>
          <w:sz w:val="21"/>
        </w:rPr>
        <w:tab/>
      </w:r>
      <w:r>
        <w:rPr>
          <w:sz w:val="21"/>
        </w:rPr>
        <w:t>指经本公司认可医院的神经科专科医生明确诊断为原发性帕</w:t>
      </w:r>
      <w:r>
        <w:rPr>
          <w:spacing w:val="-10"/>
          <w:sz w:val="21"/>
        </w:rPr>
        <w:t>金</w:t>
      </w:r>
    </w:p>
    <w:p>
      <w:pPr>
        <w:pStyle w:val="3"/>
        <w:spacing w:before="5"/>
        <w:ind w:left="3307" w:right="619"/>
      </w:pPr>
      <w:r>
        <w:rPr>
          <w:spacing w:val="-2"/>
        </w:rPr>
        <w:t>森病。该诊断必须同时符合下列所有条件，但未达到本合同所指重大疾病“严重帕金森病”的标准：</w:t>
      </w:r>
    </w:p>
    <w:p>
      <w:pPr>
        <w:pStyle w:val="8"/>
        <w:numPr>
          <w:ilvl w:val="0"/>
          <w:numId w:val="59"/>
        </w:numPr>
        <w:tabs>
          <w:tab w:val="left" w:pos="3837"/>
        </w:tabs>
        <w:spacing w:before="4" w:after="0" w:line="240" w:lineRule="auto"/>
        <w:ind w:left="3836" w:right="0" w:hanging="530"/>
        <w:jc w:val="left"/>
        <w:rPr>
          <w:sz w:val="21"/>
        </w:rPr>
      </w:pPr>
      <w:r>
        <w:rPr>
          <w:spacing w:val="-3"/>
          <w:sz w:val="21"/>
        </w:rPr>
        <w:t>无法通过药物控制；</w:t>
      </w:r>
    </w:p>
    <w:p>
      <w:pPr>
        <w:pStyle w:val="8"/>
        <w:numPr>
          <w:ilvl w:val="0"/>
          <w:numId w:val="59"/>
        </w:numPr>
        <w:tabs>
          <w:tab w:val="left" w:pos="3837"/>
        </w:tabs>
        <w:spacing w:before="5" w:after="0" w:line="240" w:lineRule="auto"/>
        <w:ind w:left="3836" w:right="0" w:hanging="530"/>
        <w:jc w:val="left"/>
        <w:rPr>
          <w:sz w:val="21"/>
        </w:rPr>
      </w:pPr>
      <w:r>
        <w:rPr>
          <w:spacing w:val="-3"/>
          <w:sz w:val="21"/>
        </w:rPr>
        <w:t>出现逐步退化客观征状；</w:t>
      </w:r>
    </w:p>
    <w:p>
      <w:pPr>
        <w:pStyle w:val="8"/>
        <w:numPr>
          <w:ilvl w:val="0"/>
          <w:numId w:val="59"/>
        </w:numPr>
        <w:tabs>
          <w:tab w:val="left" w:pos="3837"/>
        </w:tabs>
        <w:spacing w:before="4" w:after="0" w:line="240" w:lineRule="auto"/>
        <w:ind w:left="3307" w:right="513" w:firstLine="0"/>
        <w:jc w:val="left"/>
        <w:rPr>
          <w:b/>
          <w:sz w:val="21"/>
        </w:rPr>
      </w:pPr>
      <w:r>
        <w:rPr>
          <w:spacing w:val="-5"/>
          <w:sz w:val="21"/>
        </w:rPr>
        <w:t xml:space="preserve">至少 </w:t>
      </w:r>
      <w:r>
        <w:rPr>
          <w:rFonts w:ascii="Times New Roman" w:eastAsia="Times New Roman"/>
          <w:sz w:val="21"/>
        </w:rPr>
        <w:t>180</w:t>
      </w:r>
      <w:r>
        <w:rPr>
          <w:rFonts w:ascii="Times New Roman" w:eastAsia="Times New Roman"/>
          <w:spacing w:val="47"/>
          <w:sz w:val="21"/>
        </w:rPr>
        <w:t xml:space="preserve"> </w:t>
      </w:r>
      <w:r>
        <w:rPr>
          <w:sz w:val="21"/>
        </w:rPr>
        <w:t>天无法独立完成六项基本日常生活活动中的二项</w:t>
      </w:r>
      <w:r>
        <w:rPr>
          <w:spacing w:val="-2"/>
          <w:sz w:val="21"/>
        </w:rPr>
        <w:t>。</w:t>
      </w:r>
      <w:r>
        <w:rPr>
          <w:b/>
          <w:spacing w:val="-2"/>
          <w:sz w:val="21"/>
        </w:rPr>
        <w:t>继发性帕金森综合征不在保障范围内。</w:t>
      </w:r>
    </w:p>
    <w:p>
      <w:pPr>
        <w:pStyle w:val="3"/>
        <w:rPr>
          <w:b/>
          <w:sz w:val="20"/>
        </w:rPr>
      </w:pPr>
    </w:p>
    <w:p>
      <w:pPr>
        <w:pStyle w:val="3"/>
        <w:spacing w:before="9"/>
        <w:rPr>
          <w:b/>
          <w:sz w:val="17"/>
        </w:rPr>
      </w:pPr>
    </w:p>
    <w:p>
      <w:pPr>
        <w:pStyle w:val="8"/>
        <w:numPr>
          <w:ilvl w:val="1"/>
          <w:numId w:val="39"/>
        </w:numPr>
        <w:tabs>
          <w:tab w:val="left" w:pos="1338"/>
          <w:tab w:val="left" w:pos="1339"/>
          <w:tab w:val="left" w:pos="3307"/>
        </w:tabs>
        <w:spacing w:before="0" w:after="0" w:line="275" w:lineRule="exact"/>
        <w:ind w:left="1338" w:right="0" w:hanging="1005"/>
        <w:jc w:val="left"/>
        <w:rPr>
          <w:sz w:val="21"/>
        </w:rPr>
      </w:pPr>
      <w:r>
        <w:rPr>
          <w:b/>
          <w:sz w:val="21"/>
        </w:rPr>
        <w:t>中度肌营养不良</w:t>
      </w:r>
      <w:r>
        <w:rPr>
          <w:b/>
          <w:spacing w:val="-10"/>
          <w:sz w:val="21"/>
        </w:rPr>
        <w:t>症</w:t>
      </w:r>
      <w:r>
        <w:rPr>
          <w:b/>
          <w:sz w:val="21"/>
        </w:rPr>
        <w:tab/>
      </w:r>
      <w:r>
        <w:rPr>
          <w:spacing w:val="-2"/>
          <w:sz w:val="21"/>
        </w:rPr>
        <w:t>指一组原发于肌肉的遗传性疾病，临床表现为与神经系统无关</w:t>
      </w:r>
      <w:r>
        <w:rPr>
          <w:spacing w:val="-10"/>
          <w:sz w:val="21"/>
        </w:rPr>
        <w:t>的</w:t>
      </w:r>
    </w:p>
    <w:p>
      <w:pPr>
        <w:pStyle w:val="3"/>
        <w:spacing w:line="244" w:lineRule="auto"/>
        <w:ind w:left="3307" w:right="619"/>
      </w:pPr>
      <w:r>
        <w:rPr>
          <w:spacing w:val="-2"/>
        </w:rPr>
        <w:t>肌肉无力和肌肉萎缩。但未达到本合同所指重大疾病“肌营养不良症”标准。须满足下列全部条件：</w:t>
      </w:r>
    </w:p>
    <w:p>
      <w:pPr>
        <w:pStyle w:val="8"/>
        <w:numPr>
          <w:ilvl w:val="0"/>
          <w:numId w:val="60"/>
        </w:numPr>
        <w:tabs>
          <w:tab w:val="left" w:pos="3847"/>
        </w:tabs>
        <w:spacing w:before="0" w:after="0" w:line="244" w:lineRule="auto"/>
        <w:ind w:left="3830" w:right="621" w:hanging="524"/>
        <w:jc w:val="left"/>
        <w:rPr>
          <w:sz w:val="21"/>
        </w:rPr>
      </w:pPr>
      <w:r>
        <w:rPr>
          <w:spacing w:val="-2"/>
          <w:sz w:val="21"/>
        </w:rPr>
        <w:t>肌肉组织活检结果满足肌营养不良症的肌肉细胞变性、坏死等阳性改变；</w:t>
      </w:r>
    </w:p>
    <w:p>
      <w:pPr>
        <w:pStyle w:val="8"/>
        <w:numPr>
          <w:ilvl w:val="0"/>
          <w:numId w:val="60"/>
        </w:numPr>
        <w:tabs>
          <w:tab w:val="left" w:pos="3847"/>
        </w:tabs>
        <w:spacing w:before="0" w:after="0" w:line="244" w:lineRule="auto"/>
        <w:ind w:left="3830" w:right="621" w:hanging="524"/>
        <w:jc w:val="left"/>
        <w:rPr>
          <w:sz w:val="21"/>
        </w:rPr>
      </w:pPr>
      <w:r>
        <w:rPr>
          <w:spacing w:val="-2"/>
          <w:sz w:val="21"/>
        </w:rPr>
        <w:t>自主生活能力严重丧失，经鉴定，无法独立完成六项基本日常生活活动中的两项或两项以上。</w:t>
      </w:r>
    </w:p>
    <w:p>
      <w:pPr>
        <w:pStyle w:val="3"/>
        <w:spacing w:line="244" w:lineRule="auto"/>
        <w:ind w:left="3307" w:right="609"/>
      </w:pPr>
      <w:r>
        <w:rPr>
          <w:spacing w:val="-2"/>
        </w:rPr>
        <w:t>本公司承担本项疾病责任不受本合同责任免除中“遗传性疾病，先天性畸形、变形或染色体异常”的限制。</w:t>
      </w:r>
    </w:p>
    <w:p>
      <w:pPr>
        <w:pStyle w:val="3"/>
        <w:spacing w:before="1"/>
        <w:rPr>
          <w:sz w:val="29"/>
        </w:rPr>
      </w:pPr>
    </w:p>
    <w:p>
      <w:pPr>
        <w:spacing w:after="0"/>
        <w:rPr>
          <w:sz w:val="29"/>
        </w:rPr>
        <w:sectPr>
          <w:type w:val="continuous"/>
          <w:pgSz w:w="11910" w:h="16840"/>
          <w:pgMar w:top="320" w:right="620" w:bottom="280" w:left="1480" w:header="0" w:footer="851" w:gutter="0"/>
          <w:cols w:space="720" w:num="1"/>
        </w:sectPr>
      </w:pPr>
    </w:p>
    <w:p>
      <w:pPr>
        <w:pStyle w:val="8"/>
        <w:numPr>
          <w:ilvl w:val="1"/>
          <w:numId w:val="39"/>
        </w:numPr>
        <w:tabs>
          <w:tab w:val="left" w:pos="1338"/>
          <w:tab w:val="left" w:pos="1339"/>
        </w:tabs>
        <w:spacing w:before="91" w:after="0" w:line="242" w:lineRule="auto"/>
        <w:ind w:left="1338" w:right="0" w:hanging="1004"/>
        <w:jc w:val="both"/>
        <w:rPr>
          <w:b/>
          <w:sz w:val="21"/>
        </w:rPr>
      </w:pPr>
      <w:r>
        <w:rPr>
          <w:b/>
          <w:spacing w:val="-2"/>
          <w:sz w:val="21"/>
        </w:rPr>
        <w:t>骨质疏松骨折导致的全髋关节置换手</w:t>
      </w:r>
      <w:r>
        <w:rPr>
          <w:b/>
          <w:spacing w:val="-10"/>
          <w:sz w:val="21"/>
        </w:rPr>
        <w:t>术</w:t>
      </w:r>
    </w:p>
    <w:p>
      <w:pPr>
        <w:pStyle w:val="3"/>
        <w:spacing w:before="97" w:line="242" w:lineRule="auto"/>
        <w:ind w:left="162" w:right="618"/>
        <w:jc w:val="both"/>
      </w:pPr>
      <w:r>
        <w:br w:type="column"/>
      </w:r>
      <w:r>
        <w:rPr>
          <w:spacing w:val="-2"/>
        </w:rPr>
        <w:t>骨质疏松是一种系统性疾病。其特征为骨质量减少，骨小梁数目减少、变细和骨皮质变薄，导致骨脆性增加，骨折危险增加。根据世界卫生组织（</w:t>
      </w:r>
      <w:r>
        <w:rPr>
          <w:rFonts w:ascii="Times New Roman" w:eastAsia="Times New Roman"/>
          <w:spacing w:val="-2"/>
        </w:rPr>
        <w:t>WHO</w:t>
      </w:r>
      <w:r>
        <w:rPr>
          <w:spacing w:val="-2"/>
        </w:rPr>
        <w:t>）建议，骨密度（</w:t>
      </w:r>
      <w:r>
        <w:rPr>
          <w:rFonts w:ascii="Times New Roman" w:eastAsia="Times New Roman"/>
          <w:spacing w:val="-2"/>
        </w:rPr>
        <w:t>BMD</w:t>
      </w:r>
      <w:r>
        <w:rPr>
          <w:spacing w:val="-2"/>
        </w:rPr>
        <w:t>）较正常成人骨</w:t>
      </w:r>
      <w:r>
        <w:rPr>
          <w:spacing w:val="-4"/>
        </w:rPr>
        <w:t xml:space="preserve">密度平均值降低 </w:t>
      </w:r>
      <w:r>
        <w:rPr>
          <w:rFonts w:ascii="Times New Roman" w:eastAsia="Times New Roman"/>
        </w:rPr>
        <w:t>2.5</w:t>
      </w:r>
      <w:r>
        <w:rPr>
          <w:rFonts w:ascii="Times New Roman" w:eastAsia="Times New Roman"/>
          <w:spacing w:val="-10"/>
        </w:rPr>
        <w:t xml:space="preserve"> </w:t>
      </w:r>
      <w:r>
        <w:t>个标准差为骨质疏松症。必须满足下列所有</w:t>
      </w:r>
      <w:r>
        <w:rPr>
          <w:spacing w:val="-4"/>
        </w:rPr>
        <w:t>条件：</w:t>
      </w:r>
    </w:p>
    <w:p>
      <w:pPr>
        <w:pStyle w:val="8"/>
        <w:numPr>
          <w:ilvl w:val="0"/>
          <w:numId w:val="61"/>
        </w:numPr>
        <w:tabs>
          <w:tab w:val="left" w:pos="692"/>
        </w:tabs>
        <w:spacing w:before="5" w:after="0" w:line="269" w:lineRule="exact"/>
        <w:ind w:left="691" w:right="0" w:hanging="530"/>
        <w:jc w:val="left"/>
        <w:rPr>
          <w:sz w:val="21"/>
        </w:rPr>
      </w:pPr>
      <w:r>
        <w:rPr>
          <w:spacing w:val="-3"/>
          <w:sz w:val="21"/>
        </w:rPr>
        <w:t>依照诊断标准确诊为骨质疏松症；</w:t>
      </w:r>
    </w:p>
    <w:p>
      <w:pPr>
        <w:pStyle w:val="8"/>
        <w:numPr>
          <w:ilvl w:val="0"/>
          <w:numId w:val="61"/>
        </w:numPr>
        <w:tabs>
          <w:tab w:val="left" w:pos="692"/>
        </w:tabs>
        <w:spacing w:before="0" w:after="0" w:line="240" w:lineRule="auto"/>
        <w:ind w:left="691" w:right="0" w:hanging="530"/>
        <w:jc w:val="left"/>
        <w:rPr>
          <w:sz w:val="21"/>
        </w:rPr>
      </w:pPr>
      <w:r>
        <w:rPr>
          <w:spacing w:val="-3"/>
          <w:sz w:val="21"/>
        </w:rPr>
        <w:t>实际发生了股骨颈骨折并接受了髋关节置换手术。</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sz w:val="20"/>
        </w:rPr>
      </w:pPr>
    </w:p>
    <w:p>
      <w:pPr>
        <w:pStyle w:val="3"/>
        <w:spacing w:before="7"/>
        <w:rPr>
          <w:sz w:val="17"/>
        </w:rPr>
      </w:pPr>
    </w:p>
    <w:p>
      <w:pPr>
        <w:pStyle w:val="2"/>
        <w:numPr>
          <w:ilvl w:val="0"/>
          <w:numId w:val="32"/>
        </w:numPr>
        <w:tabs>
          <w:tab w:val="left" w:pos="1338"/>
          <w:tab w:val="left" w:pos="1339"/>
        </w:tabs>
        <w:spacing w:before="74" w:after="0" w:line="240" w:lineRule="auto"/>
        <w:ind w:left="1338" w:right="0" w:hanging="1005"/>
        <w:jc w:val="left"/>
      </w:pPr>
      <w:r>
        <w:rPr>
          <w:w w:val="95"/>
        </w:rPr>
        <w:t>重大疾病的定义及范</w:t>
      </w:r>
      <w:r>
        <w:rPr>
          <w:spacing w:val="-10"/>
          <w:w w:val="95"/>
        </w:rPr>
        <w:t>围</w:t>
      </w:r>
    </w:p>
    <w:p>
      <w:pPr>
        <w:pStyle w:val="3"/>
        <w:spacing w:before="9"/>
        <w:rPr>
          <w:b/>
          <w:sz w:val="3"/>
        </w:rPr>
      </w:pPr>
      <w:r>
        <w:drawing>
          <wp:anchor distT="0" distB="0" distL="0" distR="0" simplePos="0" relativeHeight="251659264" behindDoc="0" locked="0" layoutInCell="1" allowOverlap="1">
            <wp:simplePos x="0" y="0"/>
            <wp:positionH relativeFrom="page">
              <wp:posOffset>1082040</wp:posOffset>
            </wp:positionH>
            <wp:positionV relativeFrom="paragraph">
              <wp:posOffset>45085</wp:posOffset>
            </wp:positionV>
            <wp:extent cx="5756910" cy="6350"/>
            <wp:effectExtent l="0" t="0" r="0" b="0"/>
            <wp:wrapTopAndBottom/>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a:picLocks noChangeAspect="1"/>
                    </pic:cNvPicPr>
                  </pic:nvPicPr>
                  <pic:blipFill>
                    <a:blip r:embed="rId13" cstate="print"/>
                    <a:stretch>
                      <a:fillRect/>
                    </a:stretch>
                  </pic:blipFill>
                  <pic:spPr>
                    <a:xfrm>
                      <a:off x="0" y="0"/>
                      <a:ext cx="5756633" cy="6096"/>
                    </a:xfrm>
                    <a:prstGeom prst="rect">
                      <a:avLst/>
                    </a:prstGeom>
                  </pic:spPr>
                </pic:pic>
              </a:graphicData>
            </a:graphic>
          </wp:anchor>
        </w:drawing>
      </w:r>
    </w:p>
    <w:p>
      <w:pPr>
        <w:pStyle w:val="3"/>
        <w:spacing w:line="244" w:lineRule="auto"/>
        <w:ind w:left="334" w:right="619"/>
      </w:pPr>
      <w:r>
        <w:rPr>
          <w:spacing w:val="-2"/>
        </w:rPr>
        <w:t>本合同所指重大疾病，是被保险人发生符合以下定义所述条件的疾病、疾病状态或手术，应当由专科医生明确诊断。</w:t>
      </w:r>
    </w:p>
    <w:p>
      <w:pPr>
        <w:spacing w:after="0" w:line="244" w:lineRule="auto"/>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 w:val="left" w:pos="3307"/>
        </w:tabs>
        <w:spacing w:before="70" w:after="0" w:line="275" w:lineRule="exact"/>
        <w:ind w:left="1338" w:right="0" w:hanging="1005"/>
        <w:jc w:val="left"/>
        <w:rPr>
          <w:sz w:val="21"/>
        </w:rPr>
      </w:pPr>
      <w:r>
        <w:rPr>
          <w:b/>
          <w:sz w:val="21"/>
        </w:rPr>
        <w:t>恶性肿</w:t>
      </w:r>
      <w:r>
        <w:rPr>
          <w:b/>
          <w:spacing w:val="-10"/>
          <w:sz w:val="21"/>
        </w:rPr>
        <w:t>瘤</w:t>
      </w:r>
      <w:r>
        <w:rPr>
          <w:b/>
          <w:sz w:val="21"/>
        </w:rPr>
        <w:tab/>
      </w:r>
      <w:r>
        <w:rPr>
          <w:spacing w:val="-2"/>
          <w:sz w:val="21"/>
        </w:rPr>
        <w:t>指恶性细胞不受控制的进行性增长和扩散，浸润和破坏周围正</w:t>
      </w:r>
      <w:r>
        <w:rPr>
          <w:spacing w:val="-10"/>
          <w:sz w:val="21"/>
        </w:rPr>
        <w:t>常</w:t>
      </w:r>
    </w:p>
    <w:p>
      <w:pPr>
        <w:pStyle w:val="3"/>
        <w:spacing w:line="244" w:lineRule="auto"/>
        <w:ind w:left="3307" w:right="512"/>
      </w:pPr>
      <w:r>
        <w:rPr>
          <w:spacing w:val="-2"/>
        </w:rPr>
        <w:t>组织，可以经血管、淋巴管和体腔扩散转移到身体其它部位的疾</w:t>
      </w:r>
      <w:r>
        <w:rPr>
          <w:spacing w:val="-19"/>
        </w:rPr>
        <w:t>病。经病理学检查结果明确诊断，临床诊断属于世界卫生组织《疾</w:t>
      </w:r>
      <w:r>
        <w:rPr>
          <w:spacing w:val="-2"/>
        </w:rPr>
        <w:t>病和有关健康问题的国际统计分类</w:t>
      </w:r>
      <w:r>
        <w:rPr>
          <w:spacing w:val="-116"/>
        </w:rPr>
        <w:t>》</w:t>
      </w:r>
      <w:r>
        <w:rPr>
          <w:spacing w:val="-2"/>
        </w:rPr>
        <w:t>（</w:t>
      </w:r>
      <w:r>
        <w:rPr>
          <w:rFonts w:ascii="Times New Roman" w:eastAsia="Times New Roman"/>
          <w:spacing w:val="-2"/>
        </w:rPr>
        <w:t>ICD-10</w:t>
      </w:r>
      <w:r>
        <w:rPr>
          <w:spacing w:val="-2"/>
        </w:rPr>
        <w:t>）的恶性肿瘤范畴。下列疾病不在保障范围内：</w:t>
      </w:r>
    </w:p>
    <w:p>
      <w:pPr>
        <w:pStyle w:val="8"/>
        <w:numPr>
          <w:ilvl w:val="0"/>
          <w:numId w:val="62"/>
        </w:numPr>
        <w:tabs>
          <w:tab w:val="left" w:pos="3837"/>
        </w:tabs>
        <w:spacing w:before="0" w:after="0" w:line="261" w:lineRule="exact"/>
        <w:ind w:left="3836" w:right="0" w:hanging="530"/>
        <w:jc w:val="left"/>
        <w:rPr>
          <w:b/>
          <w:sz w:val="21"/>
        </w:rPr>
      </w:pPr>
      <w:r>
        <w:rPr>
          <w:b/>
          <w:spacing w:val="-3"/>
          <w:sz w:val="21"/>
        </w:rPr>
        <w:t>原位癌；</w:t>
      </w:r>
    </w:p>
    <w:p>
      <w:pPr>
        <w:pStyle w:val="8"/>
        <w:numPr>
          <w:ilvl w:val="0"/>
          <w:numId w:val="62"/>
        </w:numPr>
        <w:tabs>
          <w:tab w:val="left" w:pos="3837"/>
        </w:tabs>
        <w:spacing w:before="4" w:after="0" w:line="240" w:lineRule="auto"/>
        <w:ind w:left="3836" w:right="0" w:hanging="530"/>
        <w:jc w:val="left"/>
        <w:rPr>
          <w:b/>
          <w:sz w:val="21"/>
        </w:rPr>
      </w:pPr>
      <w:r>
        <w:rPr>
          <w:b/>
          <w:spacing w:val="-2"/>
          <w:sz w:val="21"/>
        </w:rPr>
        <w:t>相当于</w:t>
      </w:r>
      <w:r>
        <w:rPr>
          <w:rFonts w:ascii="Times New Roman" w:eastAsia="Times New Roman"/>
          <w:b/>
          <w:spacing w:val="-2"/>
          <w:sz w:val="21"/>
        </w:rPr>
        <w:t>Binet</w:t>
      </w:r>
      <w:r>
        <w:rPr>
          <w:b/>
          <w:spacing w:val="-2"/>
          <w:sz w:val="21"/>
        </w:rPr>
        <w:t>分期方案</w:t>
      </w:r>
      <w:r>
        <w:rPr>
          <w:rFonts w:ascii="Times New Roman" w:eastAsia="Times New Roman"/>
          <w:b/>
          <w:spacing w:val="-2"/>
          <w:sz w:val="21"/>
        </w:rPr>
        <w:t>A</w:t>
      </w:r>
      <w:r>
        <w:rPr>
          <w:b/>
          <w:spacing w:val="-3"/>
          <w:sz w:val="21"/>
        </w:rPr>
        <w:t>期程度的慢性淋巴细胞白血病；</w:t>
      </w:r>
    </w:p>
    <w:p>
      <w:pPr>
        <w:pStyle w:val="8"/>
        <w:numPr>
          <w:ilvl w:val="0"/>
          <w:numId w:val="62"/>
        </w:numPr>
        <w:tabs>
          <w:tab w:val="left" w:pos="3837"/>
        </w:tabs>
        <w:spacing w:before="5" w:after="0" w:line="269" w:lineRule="exact"/>
        <w:ind w:left="3836" w:right="0" w:hanging="530"/>
        <w:jc w:val="left"/>
        <w:rPr>
          <w:b/>
          <w:sz w:val="21"/>
        </w:rPr>
      </w:pPr>
      <w:r>
        <w:rPr>
          <w:b/>
          <w:spacing w:val="-2"/>
          <w:sz w:val="21"/>
        </w:rPr>
        <w:t>相当于</w:t>
      </w:r>
      <w:r>
        <w:rPr>
          <w:rFonts w:ascii="Times New Roman" w:eastAsia="Times New Roman"/>
          <w:b/>
          <w:spacing w:val="-2"/>
          <w:sz w:val="21"/>
        </w:rPr>
        <w:t>Ann</w:t>
      </w:r>
      <w:r>
        <w:rPr>
          <w:rFonts w:ascii="Times New Roman" w:eastAsia="Times New Roman"/>
          <w:b/>
          <w:spacing w:val="18"/>
          <w:sz w:val="21"/>
        </w:rPr>
        <w:t xml:space="preserve"> </w:t>
      </w:r>
      <w:r>
        <w:rPr>
          <w:rFonts w:ascii="Times New Roman" w:eastAsia="Times New Roman"/>
          <w:b/>
          <w:spacing w:val="-2"/>
          <w:sz w:val="21"/>
        </w:rPr>
        <w:t>Arbor</w:t>
      </w:r>
      <w:r>
        <w:rPr>
          <w:b/>
          <w:spacing w:val="-2"/>
          <w:sz w:val="21"/>
        </w:rPr>
        <w:t>分期方案</w:t>
      </w:r>
      <w:r>
        <w:rPr>
          <w:rFonts w:ascii="Times New Roman" w:eastAsia="Times New Roman"/>
          <w:b/>
          <w:spacing w:val="-2"/>
          <w:sz w:val="21"/>
        </w:rPr>
        <w:t>I</w:t>
      </w:r>
      <w:r>
        <w:rPr>
          <w:b/>
          <w:spacing w:val="-3"/>
          <w:sz w:val="21"/>
        </w:rPr>
        <w:t>期程度的何杰金氏病；</w:t>
      </w:r>
    </w:p>
    <w:p>
      <w:pPr>
        <w:pStyle w:val="8"/>
        <w:numPr>
          <w:ilvl w:val="0"/>
          <w:numId w:val="62"/>
        </w:numPr>
        <w:tabs>
          <w:tab w:val="left" w:pos="3837"/>
        </w:tabs>
        <w:spacing w:before="0" w:after="0" w:line="240" w:lineRule="auto"/>
        <w:ind w:left="3836" w:right="0" w:hanging="530"/>
        <w:jc w:val="left"/>
        <w:rPr>
          <w:b/>
          <w:sz w:val="21"/>
        </w:rPr>
      </w:pPr>
      <w:r>
        <w:rPr>
          <w:b/>
          <w:spacing w:val="-2"/>
          <w:sz w:val="21"/>
        </w:rPr>
        <w:t>皮肤癌（不包括恶性黑色素瘤及已发生转移的皮肤癌</w:t>
      </w:r>
      <w:r>
        <w:rPr>
          <w:b/>
          <w:spacing w:val="-111"/>
          <w:sz w:val="21"/>
        </w:rPr>
        <w:t>）</w:t>
      </w:r>
      <w:r>
        <w:rPr>
          <w:b/>
          <w:spacing w:val="-5"/>
          <w:sz w:val="21"/>
        </w:rPr>
        <w:t>；</w:t>
      </w:r>
    </w:p>
    <w:p>
      <w:pPr>
        <w:pStyle w:val="8"/>
        <w:numPr>
          <w:ilvl w:val="0"/>
          <w:numId w:val="62"/>
        </w:numPr>
        <w:tabs>
          <w:tab w:val="left" w:pos="3841"/>
        </w:tabs>
        <w:spacing w:before="4" w:after="0" w:line="240" w:lineRule="auto"/>
        <w:ind w:left="3840" w:right="0" w:hanging="534"/>
        <w:jc w:val="left"/>
        <w:rPr>
          <w:b/>
          <w:sz w:val="21"/>
        </w:rPr>
      </w:pPr>
      <w:r>
        <w:rPr>
          <w:rFonts w:ascii="Times New Roman" w:eastAsia="Times New Roman"/>
          <w:b/>
          <w:w w:val="95"/>
          <w:sz w:val="21"/>
        </w:rPr>
        <w:t>TNM</w:t>
      </w:r>
      <w:r>
        <w:rPr>
          <w:b/>
          <w:w w:val="95"/>
          <w:sz w:val="21"/>
        </w:rPr>
        <w:t>分期为</w:t>
      </w:r>
      <w:r>
        <w:rPr>
          <w:rFonts w:ascii="Times New Roman" w:eastAsia="Times New Roman"/>
          <w:b/>
          <w:w w:val="95"/>
          <w:sz w:val="21"/>
        </w:rPr>
        <w:t>T</w:t>
      </w:r>
      <w:r>
        <w:rPr>
          <w:rFonts w:ascii="Times New Roman" w:eastAsia="Times New Roman"/>
          <w:b/>
          <w:w w:val="95"/>
          <w:sz w:val="21"/>
          <w:vertAlign w:val="subscript"/>
        </w:rPr>
        <w:t>1</w:t>
      </w:r>
      <w:r>
        <w:rPr>
          <w:rFonts w:ascii="Times New Roman" w:eastAsia="Times New Roman"/>
          <w:b/>
          <w:w w:val="95"/>
          <w:sz w:val="21"/>
          <w:vertAlign w:val="baseline"/>
        </w:rPr>
        <w:t>N</w:t>
      </w:r>
      <w:r>
        <w:rPr>
          <w:rFonts w:ascii="Times New Roman" w:eastAsia="Times New Roman"/>
          <w:b/>
          <w:w w:val="95"/>
          <w:sz w:val="21"/>
          <w:vertAlign w:val="subscript"/>
        </w:rPr>
        <w:t>0</w:t>
      </w:r>
      <w:r>
        <w:rPr>
          <w:rFonts w:ascii="Times New Roman" w:eastAsia="Times New Roman"/>
          <w:b/>
          <w:w w:val="95"/>
          <w:sz w:val="21"/>
          <w:vertAlign w:val="baseline"/>
        </w:rPr>
        <w:t>M</w:t>
      </w:r>
      <w:r>
        <w:rPr>
          <w:rFonts w:ascii="Times New Roman" w:eastAsia="Times New Roman"/>
          <w:b/>
          <w:w w:val="95"/>
          <w:sz w:val="21"/>
          <w:vertAlign w:val="subscript"/>
        </w:rPr>
        <w:t>0</w:t>
      </w:r>
      <w:r>
        <w:rPr>
          <w:b/>
          <w:w w:val="95"/>
          <w:sz w:val="21"/>
          <w:vertAlign w:val="baseline"/>
        </w:rPr>
        <w:t>期或更轻分期的前列腺癌</w:t>
      </w:r>
      <w:r>
        <w:rPr>
          <w:b/>
          <w:spacing w:val="-10"/>
          <w:w w:val="95"/>
          <w:sz w:val="21"/>
          <w:vertAlign w:val="baseline"/>
        </w:rPr>
        <w:t>；</w:t>
      </w:r>
    </w:p>
    <w:p>
      <w:pPr>
        <w:pStyle w:val="8"/>
        <w:numPr>
          <w:ilvl w:val="0"/>
          <w:numId w:val="62"/>
        </w:numPr>
        <w:tabs>
          <w:tab w:val="left" w:pos="3837"/>
        </w:tabs>
        <w:spacing w:before="5" w:after="0" w:line="240" w:lineRule="auto"/>
        <w:ind w:left="3836" w:right="0" w:hanging="530"/>
        <w:jc w:val="left"/>
        <w:rPr>
          <w:b/>
          <w:sz w:val="21"/>
        </w:rPr>
      </w:pPr>
      <w:r>
        <w:rPr>
          <w:b/>
          <w:spacing w:val="-3"/>
          <w:sz w:val="21"/>
        </w:rPr>
        <w:t>感染艾滋病病毒或患艾滋病期间所患恶性肿瘤。</w:t>
      </w:r>
    </w:p>
    <w:p>
      <w:pPr>
        <w:pStyle w:val="3"/>
        <w:spacing w:before="8"/>
        <w:rPr>
          <w:b/>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急性心肌梗</w:t>
      </w:r>
      <w:r>
        <w:rPr>
          <w:b/>
          <w:spacing w:val="-10"/>
          <w:sz w:val="21"/>
        </w:rPr>
        <w:t>塞</w:t>
      </w:r>
      <w:r>
        <w:rPr>
          <w:b/>
          <w:sz w:val="21"/>
        </w:rPr>
        <w:tab/>
      </w:r>
      <w:r>
        <w:rPr>
          <w:spacing w:val="-2"/>
          <w:sz w:val="21"/>
        </w:rPr>
        <w:t>指因冠状动脉阻塞导致的相应区域供血不足造成部分心肌坏死</w:t>
      </w:r>
      <w:r>
        <w:rPr>
          <w:spacing w:val="-10"/>
          <w:sz w:val="21"/>
        </w:rPr>
        <w:t>。</w:t>
      </w:r>
    </w:p>
    <w:p>
      <w:pPr>
        <w:pStyle w:val="3"/>
        <w:spacing w:before="4" w:line="269" w:lineRule="exact"/>
        <w:ind w:left="3307"/>
      </w:pPr>
      <w:r>
        <w:rPr>
          <w:spacing w:val="-3"/>
        </w:rPr>
        <w:t>须满足下列至少三项条件：</w:t>
      </w:r>
    </w:p>
    <w:p>
      <w:pPr>
        <w:pStyle w:val="8"/>
        <w:numPr>
          <w:ilvl w:val="0"/>
          <w:numId w:val="63"/>
        </w:numPr>
        <w:tabs>
          <w:tab w:val="left" w:pos="3837"/>
        </w:tabs>
        <w:spacing w:before="0" w:after="0" w:line="240" w:lineRule="auto"/>
        <w:ind w:left="3836" w:right="0" w:hanging="530"/>
        <w:jc w:val="left"/>
        <w:rPr>
          <w:sz w:val="21"/>
        </w:rPr>
      </w:pPr>
      <w:r>
        <w:rPr>
          <w:spacing w:val="-3"/>
          <w:sz w:val="21"/>
        </w:rPr>
        <w:t>典型临床表现，例如急性胸痛等；</w:t>
      </w:r>
    </w:p>
    <w:p>
      <w:pPr>
        <w:pStyle w:val="8"/>
        <w:numPr>
          <w:ilvl w:val="0"/>
          <w:numId w:val="63"/>
        </w:numPr>
        <w:tabs>
          <w:tab w:val="left" w:pos="3837"/>
        </w:tabs>
        <w:spacing w:before="5" w:after="0" w:line="240" w:lineRule="auto"/>
        <w:ind w:left="3836" w:right="0" w:hanging="530"/>
        <w:jc w:val="left"/>
        <w:rPr>
          <w:sz w:val="21"/>
        </w:rPr>
      </w:pPr>
      <w:r>
        <w:rPr>
          <w:spacing w:val="-3"/>
          <w:sz w:val="21"/>
        </w:rPr>
        <w:t>新近的心电图改变提示急性心肌梗塞；</w:t>
      </w:r>
    </w:p>
    <w:p>
      <w:pPr>
        <w:pStyle w:val="8"/>
        <w:numPr>
          <w:ilvl w:val="0"/>
          <w:numId w:val="63"/>
        </w:numPr>
        <w:tabs>
          <w:tab w:val="left" w:pos="3847"/>
        </w:tabs>
        <w:spacing w:before="5" w:after="0" w:line="244" w:lineRule="auto"/>
        <w:ind w:left="3830" w:right="621" w:hanging="524"/>
        <w:jc w:val="left"/>
        <w:rPr>
          <w:sz w:val="21"/>
        </w:rPr>
      </w:pPr>
      <w:r>
        <w:rPr>
          <w:spacing w:val="-2"/>
          <w:sz w:val="21"/>
        </w:rPr>
        <w:t>心肌酶或肌钙蛋白有诊断意义的升高，或呈符合急性心肌梗塞的动态性变化；</w:t>
      </w:r>
    </w:p>
    <w:p>
      <w:pPr>
        <w:pStyle w:val="8"/>
        <w:numPr>
          <w:ilvl w:val="0"/>
          <w:numId w:val="63"/>
        </w:numPr>
        <w:tabs>
          <w:tab w:val="left" w:pos="3847"/>
        </w:tabs>
        <w:spacing w:before="0" w:after="0" w:line="244" w:lineRule="auto"/>
        <w:ind w:left="3830" w:right="620" w:hanging="524"/>
        <w:jc w:val="left"/>
        <w:rPr>
          <w:sz w:val="21"/>
        </w:rPr>
      </w:pPr>
      <w:r>
        <w:rPr>
          <w:spacing w:val="-2"/>
          <w:sz w:val="21"/>
        </w:rPr>
        <w:t>发病</w:t>
      </w:r>
      <w:r>
        <w:rPr>
          <w:rFonts w:ascii="Times New Roman" w:eastAsia="Times New Roman"/>
          <w:spacing w:val="-2"/>
          <w:sz w:val="21"/>
        </w:rPr>
        <w:t>90</w:t>
      </w:r>
      <w:r>
        <w:rPr>
          <w:spacing w:val="-2"/>
          <w:sz w:val="21"/>
        </w:rPr>
        <w:t>天后，经检查证实左心室功能降低，如左心室射血分数低于</w:t>
      </w:r>
      <w:r>
        <w:rPr>
          <w:rFonts w:ascii="Times New Roman" w:eastAsia="Times New Roman"/>
          <w:spacing w:val="-2"/>
          <w:sz w:val="21"/>
        </w:rPr>
        <w:t>50%</w:t>
      </w:r>
      <w:r>
        <w:rPr>
          <w:spacing w:val="-2"/>
          <w:sz w:val="21"/>
        </w:rPr>
        <w:t>。</w:t>
      </w:r>
    </w:p>
    <w:p>
      <w:pPr>
        <w:pStyle w:val="3"/>
        <w:spacing w:before="8"/>
        <w:rPr>
          <w:sz w:val="17"/>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脑中风后遗</w:t>
      </w:r>
      <w:r>
        <w:rPr>
          <w:b/>
          <w:spacing w:val="-10"/>
          <w:sz w:val="21"/>
        </w:rPr>
        <w:t>症</w:t>
      </w:r>
      <w:r>
        <w:rPr>
          <w:b/>
          <w:sz w:val="21"/>
        </w:rPr>
        <w:tab/>
      </w:r>
      <w:r>
        <w:rPr>
          <w:spacing w:val="-2"/>
          <w:sz w:val="21"/>
        </w:rPr>
        <w:t>指因脑血管的突发病变引起脑血管出血、栓塞或梗塞，并导致</w:t>
      </w:r>
      <w:r>
        <w:rPr>
          <w:spacing w:val="-10"/>
          <w:sz w:val="21"/>
        </w:rPr>
        <w:t>神</w:t>
      </w:r>
    </w:p>
    <w:p>
      <w:pPr>
        <w:pStyle w:val="3"/>
        <w:spacing w:before="5" w:line="244" w:lineRule="auto"/>
        <w:ind w:left="3307" w:right="619"/>
      </w:pPr>
      <w:r>
        <w:rPr>
          <w:spacing w:val="-2"/>
        </w:rPr>
        <w:t>经系统永久性的功能障碍。神经系统永久性的功能障碍，指疾病确诊</w:t>
      </w:r>
      <w:r>
        <w:rPr>
          <w:rFonts w:ascii="Times New Roman" w:eastAsia="Times New Roman"/>
          <w:spacing w:val="-2"/>
        </w:rPr>
        <w:t>180</w:t>
      </w:r>
      <w:r>
        <w:rPr>
          <w:spacing w:val="-2"/>
        </w:rPr>
        <w:t>天后，仍遗留下列一种或一种以上障碍：</w:t>
      </w:r>
    </w:p>
    <w:p>
      <w:pPr>
        <w:pStyle w:val="8"/>
        <w:numPr>
          <w:ilvl w:val="0"/>
          <w:numId w:val="64"/>
        </w:numPr>
        <w:tabs>
          <w:tab w:val="left" w:pos="3837"/>
        </w:tabs>
        <w:spacing w:before="0" w:after="0" w:line="263" w:lineRule="exact"/>
        <w:ind w:left="3836" w:right="0" w:hanging="530"/>
        <w:jc w:val="left"/>
        <w:rPr>
          <w:sz w:val="21"/>
        </w:rPr>
      </w:pPr>
      <w:r>
        <w:rPr>
          <w:spacing w:val="-2"/>
          <w:sz w:val="21"/>
        </w:rPr>
        <w:t>一肢或一肢以上</w:t>
      </w:r>
      <w:r>
        <w:rPr>
          <w:b/>
          <w:spacing w:val="-2"/>
          <w:sz w:val="21"/>
        </w:rPr>
        <w:t>肢体机能完全丧失</w:t>
      </w:r>
      <w:r>
        <w:rPr>
          <w:spacing w:val="-2"/>
          <w:sz w:val="21"/>
        </w:rPr>
        <w:t>（见</w:t>
      </w:r>
      <w:r>
        <w:rPr>
          <w:rFonts w:ascii="Times New Roman" w:eastAsia="Times New Roman"/>
          <w:spacing w:val="19"/>
          <w:sz w:val="21"/>
        </w:rPr>
        <w:t>1</w:t>
      </w:r>
      <w:r>
        <w:rPr>
          <w:rFonts w:ascii="Times New Roman" w:eastAsia="Times New Roman"/>
          <w:spacing w:val="29"/>
          <w:sz w:val="21"/>
        </w:rPr>
        <w:t>1.50</w:t>
      </w:r>
      <w:r>
        <w:rPr>
          <w:spacing w:val="-77"/>
          <w:sz w:val="21"/>
        </w:rPr>
        <w:t>）；</w:t>
      </w:r>
    </w:p>
    <w:p>
      <w:pPr>
        <w:pStyle w:val="8"/>
        <w:numPr>
          <w:ilvl w:val="0"/>
          <w:numId w:val="64"/>
        </w:numPr>
        <w:tabs>
          <w:tab w:val="left" w:pos="3837"/>
        </w:tabs>
        <w:spacing w:before="4" w:after="0" w:line="240" w:lineRule="auto"/>
        <w:ind w:left="3836" w:right="0" w:hanging="530"/>
        <w:jc w:val="left"/>
        <w:rPr>
          <w:sz w:val="21"/>
        </w:rPr>
      </w:pPr>
      <w:r>
        <w:rPr>
          <w:b/>
          <w:sz w:val="21"/>
        </w:rPr>
        <w:t>语言能力或咀嚼吞咽能力完全丧失</w:t>
      </w:r>
      <w:r>
        <w:rPr>
          <w:sz w:val="21"/>
        </w:rPr>
        <w:t>（见</w:t>
      </w:r>
      <w:r>
        <w:rPr>
          <w:rFonts w:ascii="Times New Roman" w:eastAsia="Times New Roman"/>
          <w:spacing w:val="18"/>
          <w:sz w:val="21"/>
        </w:rPr>
        <w:t>1</w:t>
      </w:r>
      <w:r>
        <w:rPr>
          <w:rFonts w:ascii="Times New Roman" w:eastAsia="Times New Roman"/>
          <w:spacing w:val="28"/>
          <w:sz w:val="21"/>
        </w:rPr>
        <w:t>1</w:t>
      </w:r>
      <w:r>
        <w:rPr>
          <w:rFonts w:ascii="Times New Roman" w:eastAsia="Times New Roman"/>
          <w:spacing w:val="23"/>
          <w:sz w:val="21"/>
        </w:rPr>
        <w:t>.</w:t>
      </w:r>
      <w:r>
        <w:rPr>
          <w:rFonts w:ascii="Times New Roman" w:eastAsia="Times New Roman"/>
          <w:spacing w:val="28"/>
          <w:sz w:val="21"/>
        </w:rPr>
        <w:t>51</w:t>
      </w:r>
      <w:r>
        <w:rPr>
          <w:spacing w:val="-78"/>
          <w:sz w:val="21"/>
        </w:rPr>
        <w:t>）；</w:t>
      </w:r>
    </w:p>
    <w:p>
      <w:pPr>
        <w:pStyle w:val="8"/>
        <w:numPr>
          <w:ilvl w:val="0"/>
          <w:numId w:val="64"/>
        </w:numPr>
        <w:tabs>
          <w:tab w:val="left" w:pos="3847"/>
        </w:tabs>
        <w:spacing w:before="5" w:after="0" w:line="244" w:lineRule="auto"/>
        <w:ind w:left="3830" w:right="618" w:hanging="524"/>
        <w:jc w:val="left"/>
        <w:rPr>
          <w:sz w:val="21"/>
        </w:rPr>
      </w:pPr>
      <w:r>
        <w:rPr>
          <w:spacing w:val="-2"/>
          <w:sz w:val="21"/>
        </w:rPr>
        <w:t>自主生活能力完全丧失，无法独立完成六项基本日常生活活动中的三项或三项以上。</w:t>
      </w:r>
    </w:p>
    <w:p>
      <w:pPr>
        <w:pStyle w:val="3"/>
        <w:rPr>
          <w:sz w:val="11"/>
        </w:rPr>
      </w:pPr>
    </w:p>
    <w:p>
      <w:pPr>
        <w:spacing w:after="0"/>
        <w:rPr>
          <w:sz w:val="11"/>
        </w:rPr>
        <w:sectPr>
          <w:pgSz w:w="11910" w:h="16840"/>
          <w:pgMar w:top="1280" w:right="620" w:bottom="1040" w:left="1480" w:header="0" w:footer="851" w:gutter="0"/>
          <w:cols w:space="720" w:num="1"/>
        </w:sectPr>
      </w:pPr>
    </w:p>
    <w:p>
      <w:pPr>
        <w:pStyle w:val="8"/>
        <w:numPr>
          <w:ilvl w:val="1"/>
          <w:numId w:val="32"/>
        </w:numPr>
        <w:tabs>
          <w:tab w:val="left" w:pos="1338"/>
          <w:tab w:val="left" w:pos="1339"/>
        </w:tabs>
        <w:spacing w:before="92" w:after="0" w:line="240" w:lineRule="auto"/>
        <w:ind w:left="1338" w:right="0" w:hanging="1004"/>
        <w:jc w:val="left"/>
        <w:rPr>
          <w:b/>
          <w:sz w:val="21"/>
        </w:rPr>
      </w:pPr>
      <w:r>
        <w:rPr>
          <w:b/>
          <w:spacing w:val="-2"/>
          <w:sz w:val="21"/>
        </w:rPr>
        <w:t>重大器官移植术或造血干细胞移植术</w:t>
      </w:r>
    </w:p>
    <w:p>
      <w:pPr>
        <w:pStyle w:val="3"/>
        <w:spacing w:before="98"/>
        <w:ind w:left="162" w:right="619"/>
      </w:pPr>
      <w:r>
        <w:br w:type="column"/>
      </w:r>
      <w:r>
        <w:rPr>
          <w:spacing w:val="-2"/>
        </w:rPr>
        <w:t>重大器官移植术，指因相应器官功能衰竭，已经实施了肾脏、肝脏、心脏或肺脏的异体移植手术。</w:t>
      </w:r>
    </w:p>
    <w:p>
      <w:pPr>
        <w:pStyle w:val="3"/>
        <w:spacing w:before="4" w:line="244" w:lineRule="auto"/>
        <w:ind w:left="162" w:right="619"/>
        <w:jc w:val="both"/>
      </w:pPr>
      <w:r>
        <w:rPr>
          <w:spacing w:val="-2"/>
        </w:rPr>
        <w:t>造血干细胞移植术，指因造血功能损害或造血系统恶性肿瘤，已经实施了造血干细胞（包括骨髓造血干细胞、外周血造血干细胞和脐血造血干细胞）的异体移植手术。</w:t>
      </w:r>
    </w:p>
    <w:p>
      <w:pPr>
        <w:spacing w:after="0" w:line="244" w:lineRule="auto"/>
        <w:jc w:val="both"/>
        <w:sectPr>
          <w:type w:val="continuous"/>
          <w:pgSz w:w="11910" w:h="16840"/>
          <w:pgMar w:top="320" w:right="620" w:bottom="280" w:left="1480" w:header="0" w:footer="851" w:gutter="0"/>
          <w:cols w:equalWidth="0" w:num="2">
            <w:col w:w="3106" w:space="40"/>
            <w:col w:w="6664"/>
          </w:cols>
        </w:sectPr>
      </w:pPr>
    </w:p>
    <w:p>
      <w:pPr>
        <w:pStyle w:val="3"/>
        <w:spacing w:before="12"/>
        <w:rPr>
          <w:sz w:val="10"/>
        </w:rPr>
      </w:pPr>
    </w:p>
    <w:p>
      <w:pPr>
        <w:spacing w:after="0"/>
        <w:rPr>
          <w:sz w:val="10"/>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2" w:after="0" w:line="275" w:lineRule="exact"/>
        <w:ind w:left="1338" w:right="0" w:hanging="1005"/>
        <w:jc w:val="left"/>
        <w:rPr>
          <w:b/>
          <w:sz w:val="21"/>
        </w:rPr>
      </w:pPr>
      <w:r>
        <w:rPr>
          <w:b/>
          <w:spacing w:val="36"/>
          <w:sz w:val="21"/>
        </w:rPr>
        <w:t>冠状动脉搭桥术</w:t>
      </w:r>
    </w:p>
    <w:p>
      <w:pPr>
        <w:spacing w:before="0" w:line="244" w:lineRule="auto"/>
        <w:ind w:left="1338" w:right="0" w:firstLine="0"/>
        <w:jc w:val="left"/>
        <w:rPr>
          <w:b/>
          <w:sz w:val="21"/>
        </w:rPr>
      </w:pPr>
      <w:r>
        <w:rPr>
          <w:b/>
          <w:spacing w:val="-2"/>
          <w:sz w:val="21"/>
        </w:rPr>
        <w:t>（或称冠状动脉旁路移植术）</w:t>
      </w:r>
    </w:p>
    <w:p>
      <w:pPr>
        <w:pStyle w:val="3"/>
        <w:spacing w:before="98"/>
        <w:ind w:left="162" w:right="619"/>
      </w:pPr>
      <w:r>
        <w:br w:type="column"/>
      </w:r>
      <w:r>
        <w:rPr>
          <w:spacing w:val="-2"/>
        </w:rPr>
        <w:t>指为治疗严重的冠心病，实际实施了开胸进行的冠状动脉血管旁路移植的手术。</w:t>
      </w:r>
    </w:p>
    <w:p>
      <w:pPr>
        <w:spacing w:before="4" w:line="244" w:lineRule="auto"/>
        <w:ind w:left="162" w:right="619" w:firstLine="0"/>
        <w:jc w:val="left"/>
        <w:rPr>
          <w:b/>
          <w:sz w:val="21"/>
        </w:rPr>
      </w:pPr>
      <w:r>
        <w:rPr>
          <w:b/>
          <w:spacing w:val="-2"/>
          <w:sz w:val="21"/>
        </w:rPr>
        <w:t>冠状动脉支架植入术、心导管球囊扩张术、激光射频技术及其它非开胸的介入手术、腔镜手术不在保障范围内。</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b/>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2" w:after="0" w:line="242" w:lineRule="auto"/>
        <w:ind w:left="1338" w:right="0" w:hanging="1004"/>
        <w:jc w:val="both"/>
        <w:rPr>
          <w:b/>
          <w:sz w:val="21"/>
        </w:rPr>
      </w:pPr>
      <w:r>
        <w:rPr>
          <w:b/>
          <w:spacing w:val="-2"/>
          <w:sz w:val="21"/>
        </w:rPr>
        <w:t>终末期肾病（或称慢性肾功能衰竭尿</w:t>
      </w:r>
      <w:r>
        <w:rPr>
          <w:b/>
          <w:spacing w:val="-4"/>
          <w:sz w:val="21"/>
        </w:rPr>
        <w:t>毒症期）</w:t>
      </w:r>
    </w:p>
    <w:p>
      <w:pPr>
        <w:pStyle w:val="3"/>
        <w:spacing w:before="98" w:line="244" w:lineRule="auto"/>
        <w:ind w:left="162" w:right="619"/>
      </w:pPr>
      <w:r>
        <w:br w:type="column"/>
      </w:r>
      <w:r>
        <w:rPr>
          <w:spacing w:val="-2"/>
        </w:rPr>
        <w:t>指双肾功能慢性不可逆性衰竭，达到尿毒症期，经诊断后已经进行了至少</w:t>
      </w:r>
      <w:r>
        <w:rPr>
          <w:rFonts w:ascii="Times New Roman" w:eastAsia="Times New Roman"/>
          <w:spacing w:val="-2"/>
        </w:rPr>
        <w:t>90</w:t>
      </w:r>
      <w:r>
        <w:rPr>
          <w:spacing w:val="-2"/>
        </w:rPr>
        <w:t>天的规律性透析治疗或实施了肾脏移植手术。</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spacing w:before="2"/>
        <w:rPr>
          <w:sz w:val="11"/>
        </w:rPr>
      </w:pPr>
    </w:p>
    <w:p>
      <w:pPr>
        <w:pStyle w:val="8"/>
        <w:numPr>
          <w:ilvl w:val="1"/>
          <w:numId w:val="32"/>
        </w:numPr>
        <w:tabs>
          <w:tab w:val="left" w:pos="1338"/>
          <w:tab w:val="left" w:pos="1339"/>
          <w:tab w:val="left" w:pos="3307"/>
        </w:tabs>
        <w:spacing w:before="92" w:after="0" w:line="240" w:lineRule="auto"/>
        <w:ind w:left="1338" w:right="0" w:hanging="1005"/>
        <w:jc w:val="left"/>
        <w:rPr>
          <w:sz w:val="21"/>
        </w:rPr>
      </w:pPr>
      <w:r>
        <w:rPr>
          <w:b/>
          <w:sz w:val="21"/>
        </w:rPr>
        <w:t>多个肢体缺</w:t>
      </w:r>
      <w:r>
        <w:rPr>
          <w:b/>
          <w:spacing w:val="-10"/>
          <w:sz w:val="21"/>
        </w:rPr>
        <w:t>失</w:t>
      </w:r>
      <w:r>
        <w:rPr>
          <w:b/>
          <w:sz w:val="21"/>
        </w:rPr>
        <w:tab/>
      </w:r>
      <w:r>
        <w:rPr>
          <w:sz w:val="21"/>
        </w:rPr>
        <w:t>指因疾病或意外伤害导致两个或两个以上肢体自腕关节或踝</w:t>
      </w:r>
      <w:r>
        <w:rPr>
          <w:spacing w:val="-10"/>
          <w:sz w:val="21"/>
        </w:rPr>
        <w:t>关</w:t>
      </w:r>
    </w:p>
    <w:p>
      <w:pPr>
        <w:pStyle w:val="3"/>
        <w:spacing w:before="4"/>
        <w:ind w:left="3307"/>
      </w:pPr>
      <w:r>
        <w:rPr>
          <w:spacing w:val="-2"/>
        </w:rPr>
        <w:t>节近端（靠近躯干端）</w:t>
      </w:r>
      <w:r>
        <w:rPr>
          <w:spacing w:val="-4"/>
        </w:rPr>
        <w:t>以上完全性断离。</w:t>
      </w:r>
    </w:p>
    <w:p>
      <w:pPr>
        <w:pStyle w:val="3"/>
        <w:spacing w:before="7"/>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1" w:after="0" w:line="244" w:lineRule="auto"/>
        <w:ind w:left="1338" w:right="0" w:hanging="1004"/>
        <w:jc w:val="left"/>
        <w:rPr>
          <w:b/>
          <w:sz w:val="21"/>
        </w:rPr>
      </w:pPr>
      <w:r>
        <w:rPr>
          <w:b/>
          <w:spacing w:val="-2"/>
          <w:sz w:val="21"/>
        </w:rPr>
        <w:t>急性或亚急性重症</w:t>
      </w:r>
      <w:r>
        <w:rPr>
          <w:b/>
          <w:spacing w:val="-6"/>
          <w:sz w:val="21"/>
        </w:rPr>
        <w:t>肝炎</w:t>
      </w:r>
    </w:p>
    <w:p>
      <w:pPr>
        <w:pStyle w:val="3"/>
        <w:spacing w:before="97" w:line="244" w:lineRule="auto"/>
        <w:ind w:left="162" w:right="619"/>
      </w:pPr>
      <w:r>
        <w:br w:type="column"/>
      </w:r>
      <w:r>
        <w:rPr>
          <w:spacing w:val="-2"/>
        </w:rPr>
        <w:t>指因肝炎病毒感染引起肝脏组织弥漫性坏死，导致急性肝功能衰竭，且经血清学或病毒学检查证实，并须满足下列全部条件：</w:t>
      </w:r>
    </w:p>
    <w:p>
      <w:pPr>
        <w:pStyle w:val="8"/>
        <w:numPr>
          <w:ilvl w:val="0"/>
          <w:numId w:val="65"/>
        </w:numPr>
        <w:tabs>
          <w:tab w:val="left" w:pos="692"/>
        </w:tabs>
        <w:spacing w:before="0" w:after="0" w:line="267" w:lineRule="exact"/>
        <w:ind w:left="691" w:right="0" w:hanging="530"/>
        <w:jc w:val="left"/>
        <w:rPr>
          <w:sz w:val="21"/>
        </w:rPr>
      </w:pPr>
      <w:r>
        <w:rPr>
          <w:spacing w:val="-3"/>
          <w:sz w:val="21"/>
        </w:rPr>
        <w:t>重度黄疸或黄疸迅速加重；</w:t>
      </w:r>
    </w:p>
    <w:p>
      <w:pPr>
        <w:pStyle w:val="8"/>
        <w:numPr>
          <w:ilvl w:val="0"/>
          <w:numId w:val="65"/>
        </w:numPr>
        <w:tabs>
          <w:tab w:val="left" w:pos="692"/>
        </w:tabs>
        <w:spacing w:before="0" w:after="0" w:line="240" w:lineRule="auto"/>
        <w:ind w:left="691" w:right="0" w:hanging="530"/>
        <w:jc w:val="left"/>
        <w:rPr>
          <w:sz w:val="21"/>
        </w:rPr>
      </w:pPr>
      <w:r>
        <w:rPr>
          <w:spacing w:val="-4"/>
          <w:sz w:val="21"/>
        </w:rPr>
        <w:t>肝性脑病；</w:t>
      </w:r>
    </w:p>
    <w:p>
      <w:pPr>
        <w:pStyle w:val="8"/>
        <w:numPr>
          <w:ilvl w:val="0"/>
          <w:numId w:val="65"/>
        </w:numPr>
        <w:tabs>
          <w:tab w:val="left" w:pos="692"/>
        </w:tabs>
        <w:spacing w:before="5" w:after="0" w:line="240" w:lineRule="auto"/>
        <w:ind w:left="691" w:right="0" w:hanging="530"/>
        <w:jc w:val="left"/>
        <w:rPr>
          <w:sz w:val="21"/>
        </w:rPr>
      </w:pPr>
      <w:r>
        <w:rPr>
          <w:rFonts w:ascii="Times New Roman" w:eastAsia="Times New Roman"/>
          <w:spacing w:val="-2"/>
          <w:sz w:val="21"/>
        </w:rPr>
        <w:t>B</w:t>
      </w:r>
      <w:r>
        <w:rPr>
          <w:spacing w:val="-3"/>
          <w:sz w:val="21"/>
        </w:rPr>
        <w:t>超或其它影像学检查显示肝脏体积急速萎缩；</w:t>
      </w:r>
    </w:p>
    <w:p>
      <w:pPr>
        <w:pStyle w:val="8"/>
        <w:numPr>
          <w:ilvl w:val="0"/>
          <w:numId w:val="65"/>
        </w:numPr>
        <w:tabs>
          <w:tab w:val="left" w:pos="692"/>
        </w:tabs>
        <w:spacing w:before="5" w:after="0" w:line="240" w:lineRule="auto"/>
        <w:ind w:left="691" w:right="0" w:hanging="530"/>
        <w:jc w:val="left"/>
        <w:rPr>
          <w:sz w:val="21"/>
        </w:rPr>
      </w:pPr>
      <w:r>
        <w:rPr>
          <w:spacing w:val="-3"/>
          <w:sz w:val="21"/>
        </w:rPr>
        <w:t>肝功能指标进行性恶化。</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8"/>
        <w:numPr>
          <w:ilvl w:val="1"/>
          <w:numId w:val="32"/>
        </w:numPr>
        <w:tabs>
          <w:tab w:val="left" w:pos="1338"/>
          <w:tab w:val="left" w:pos="1339"/>
        </w:tabs>
        <w:spacing w:before="70" w:after="0" w:line="275" w:lineRule="exact"/>
        <w:ind w:left="1338" w:right="0" w:hanging="1005"/>
        <w:jc w:val="both"/>
        <w:rPr>
          <w:sz w:val="21"/>
        </w:rPr>
      </w:pPr>
      <w:r>
        <w:rPr>
          <w:b/>
          <w:sz w:val="21"/>
        </w:rPr>
        <w:t>良性脑肿瘤</w:t>
      </w:r>
      <w:r>
        <w:rPr>
          <w:b/>
          <w:spacing w:val="766"/>
          <w:sz w:val="21"/>
        </w:rPr>
        <w:t xml:space="preserve"> </w:t>
      </w:r>
      <w:r>
        <w:rPr>
          <w:spacing w:val="-1"/>
          <w:sz w:val="21"/>
        </w:rPr>
        <w:t>指脑的良性肿瘤，已经引起颅内压增高，临床表现为视神经乳头</w:t>
      </w:r>
    </w:p>
    <w:p>
      <w:pPr>
        <w:pStyle w:val="3"/>
        <w:spacing w:line="244" w:lineRule="auto"/>
        <w:ind w:left="3307" w:right="619"/>
        <w:jc w:val="both"/>
      </w:pPr>
      <w:r>
        <w:rPr>
          <w:spacing w:val="-2"/>
        </w:rPr>
        <w:t>水肿、精神症状、癫痫及运动感觉障碍等，并危及生命。须由头颅断层扫描</w:t>
      </w:r>
      <w:r>
        <w:rPr>
          <w:spacing w:val="27"/>
        </w:rPr>
        <w:t>（</w:t>
      </w:r>
      <w:r>
        <w:rPr>
          <w:rFonts w:ascii="Times New Roman" w:eastAsia="Times New Roman"/>
          <w:spacing w:val="25"/>
        </w:rPr>
        <w:t>C</w:t>
      </w:r>
      <w:r>
        <w:rPr>
          <w:rFonts w:ascii="Times New Roman" w:eastAsia="Times New Roman"/>
          <w:spacing w:val="17"/>
        </w:rPr>
        <w:t>T</w:t>
      </w:r>
      <w:r>
        <w:rPr>
          <w:spacing w:val="-79"/>
        </w:rPr>
        <w: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）等影像学检查证实，并须满足下列至少一项条件：</w:t>
      </w:r>
    </w:p>
    <w:p>
      <w:pPr>
        <w:pStyle w:val="8"/>
        <w:numPr>
          <w:ilvl w:val="0"/>
          <w:numId w:val="66"/>
        </w:numPr>
        <w:tabs>
          <w:tab w:val="left" w:pos="3837"/>
        </w:tabs>
        <w:spacing w:before="0" w:after="0" w:line="267" w:lineRule="exact"/>
        <w:ind w:left="3836" w:right="0" w:hanging="530"/>
        <w:jc w:val="left"/>
        <w:rPr>
          <w:sz w:val="21"/>
        </w:rPr>
      </w:pPr>
      <w:r>
        <w:rPr>
          <w:spacing w:val="-3"/>
          <w:sz w:val="21"/>
        </w:rPr>
        <w:t>实际实施了开颅进行的脑肿瘤完全切除或部分切除的手术；</w:t>
      </w:r>
    </w:p>
    <w:p>
      <w:pPr>
        <w:pStyle w:val="8"/>
        <w:numPr>
          <w:ilvl w:val="0"/>
          <w:numId w:val="66"/>
        </w:numPr>
        <w:tabs>
          <w:tab w:val="left" w:pos="3837"/>
        </w:tabs>
        <w:spacing w:before="0" w:after="0" w:line="240" w:lineRule="auto"/>
        <w:ind w:left="3836" w:right="0" w:hanging="530"/>
        <w:jc w:val="left"/>
        <w:rPr>
          <w:sz w:val="21"/>
        </w:rPr>
      </w:pPr>
      <w:r>
        <w:rPr>
          <w:spacing w:val="-3"/>
          <w:sz w:val="21"/>
        </w:rPr>
        <w:t>实际实施了对脑肿瘤进行的放射治疗。</w:t>
      </w:r>
    </w:p>
    <w:p>
      <w:pPr>
        <w:spacing w:before="4"/>
        <w:ind w:left="3307" w:right="0" w:firstLine="0"/>
        <w:jc w:val="left"/>
        <w:rPr>
          <w:b/>
          <w:sz w:val="21"/>
        </w:rPr>
      </w:pPr>
      <w:r>
        <w:rPr>
          <w:b/>
          <w:spacing w:val="-3"/>
          <w:sz w:val="21"/>
        </w:rPr>
        <w:t>脑垂体瘤、脑囊肿、脑血管性疾病不在保障范围内。</w:t>
      </w:r>
    </w:p>
    <w:p>
      <w:pPr>
        <w:pStyle w:val="3"/>
        <w:spacing w:before="6"/>
        <w:rPr>
          <w:b/>
          <w:sz w:val="11"/>
        </w:rPr>
      </w:pPr>
    </w:p>
    <w:p>
      <w:pPr>
        <w:spacing w:after="0"/>
        <w:rPr>
          <w:sz w:val="11"/>
        </w:rPr>
        <w:sectPr>
          <w:pgSz w:w="11910" w:h="16840"/>
          <w:pgMar w:top="1280" w:right="620" w:bottom="1040" w:left="1480" w:header="0" w:footer="851" w:gutter="0"/>
          <w:cols w:space="720" w:num="1"/>
        </w:sectPr>
      </w:pPr>
    </w:p>
    <w:p>
      <w:pPr>
        <w:pStyle w:val="8"/>
        <w:numPr>
          <w:ilvl w:val="1"/>
          <w:numId w:val="32"/>
        </w:numPr>
        <w:tabs>
          <w:tab w:val="left" w:pos="1338"/>
          <w:tab w:val="left" w:pos="1339"/>
        </w:tabs>
        <w:spacing w:before="91" w:after="0" w:line="244" w:lineRule="auto"/>
        <w:ind w:left="1338" w:right="0" w:hanging="1004"/>
        <w:jc w:val="left"/>
        <w:rPr>
          <w:b/>
          <w:sz w:val="21"/>
        </w:rPr>
      </w:pPr>
      <w:r>
        <w:rPr>
          <w:b/>
          <w:spacing w:val="-2"/>
          <w:sz w:val="21"/>
        </w:rPr>
        <w:t>慢性肝功能衰竭失</w:t>
      </w:r>
      <w:r>
        <w:rPr>
          <w:b/>
          <w:spacing w:val="-4"/>
          <w:sz w:val="21"/>
        </w:rPr>
        <w:t>代偿期</w:t>
      </w:r>
    </w:p>
    <w:p>
      <w:pPr>
        <w:pStyle w:val="3"/>
        <w:spacing w:before="98"/>
        <w:ind w:left="162"/>
      </w:pPr>
      <w:r>
        <w:br w:type="column"/>
      </w:r>
      <w:r>
        <w:rPr>
          <w:spacing w:val="-3"/>
        </w:rPr>
        <w:t>指因慢性肝脏疾病导致肝功能衰竭。须满足下列全部条件：</w:t>
      </w:r>
    </w:p>
    <w:p>
      <w:pPr>
        <w:pStyle w:val="8"/>
        <w:numPr>
          <w:ilvl w:val="0"/>
          <w:numId w:val="67"/>
        </w:numPr>
        <w:tabs>
          <w:tab w:val="left" w:pos="692"/>
        </w:tabs>
        <w:spacing w:before="4" w:after="0" w:line="240" w:lineRule="auto"/>
        <w:ind w:left="691" w:right="0" w:hanging="530"/>
        <w:jc w:val="left"/>
        <w:rPr>
          <w:sz w:val="21"/>
        </w:rPr>
      </w:pPr>
      <w:r>
        <w:rPr>
          <w:spacing w:val="-4"/>
          <w:sz w:val="21"/>
        </w:rPr>
        <w:t>持续性黄疸；</w:t>
      </w:r>
    </w:p>
    <w:p>
      <w:pPr>
        <w:pStyle w:val="8"/>
        <w:numPr>
          <w:ilvl w:val="0"/>
          <w:numId w:val="67"/>
        </w:numPr>
        <w:tabs>
          <w:tab w:val="left" w:pos="692"/>
        </w:tabs>
        <w:spacing w:before="5" w:after="0" w:line="269" w:lineRule="exact"/>
        <w:ind w:left="691" w:right="0" w:hanging="530"/>
        <w:jc w:val="left"/>
        <w:rPr>
          <w:sz w:val="21"/>
        </w:rPr>
      </w:pPr>
      <w:r>
        <w:rPr>
          <w:spacing w:val="-4"/>
          <w:sz w:val="21"/>
        </w:rPr>
        <w:t>腹水；</w:t>
      </w:r>
    </w:p>
    <w:p>
      <w:pPr>
        <w:pStyle w:val="8"/>
        <w:numPr>
          <w:ilvl w:val="0"/>
          <w:numId w:val="67"/>
        </w:numPr>
        <w:tabs>
          <w:tab w:val="left" w:pos="692"/>
        </w:tabs>
        <w:spacing w:before="0" w:after="0" w:line="240" w:lineRule="auto"/>
        <w:ind w:left="691" w:right="0" w:hanging="530"/>
        <w:jc w:val="left"/>
        <w:rPr>
          <w:sz w:val="21"/>
        </w:rPr>
      </w:pPr>
      <w:r>
        <w:rPr>
          <w:spacing w:val="-4"/>
          <w:sz w:val="21"/>
        </w:rPr>
        <w:t>肝性脑病；</w:t>
      </w:r>
    </w:p>
    <w:p>
      <w:pPr>
        <w:pStyle w:val="8"/>
        <w:numPr>
          <w:ilvl w:val="0"/>
          <w:numId w:val="67"/>
        </w:numPr>
        <w:tabs>
          <w:tab w:val="left" w:pos="692"/>
        </w:tabs>
        <w:spacing w:before="4" w:after="0" w:line="244" w:lineRule="auto"/>
        <w:ind w:left="162" w:right="1349" w:firstLine="0"/>
        <w:jc w:val="left"/>
        <w:rPr>
          <w:b/>
          <w:sz w:val="21"/>
        </w:rPr>
      </w:pPr>
      <w:r>
        <w:rPr>
          <w:spacing w:val="-2"/>
          <w:sz w:val="21"/>
        </w:rPr>
        <w:t>充血性脾肿大伴脾功能亢进或食管胃底静脉曲张。</w:t>
      </w:r>
      <w:r>
        <w:rPr>
          <w:b/>
          <w:spacing w:val="-2"/>
          <w:sz w:val="21"/>
        </w:rPr>
        <w:t>因酗酒或药物滥用导致的肝功能衰竭不在保障范围内。</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b/>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2" w:after="0" w:line="244" w:lineRule="auto"/>
        <w:ind w:left="1338" w:right="0" w:hanging="1004"/>
        <w:jc w:val="left"/>
        <w:rPr>
          <w:b/>
          <w:sz w:val="21"/>
        </w:rPr>
      </w:pPr>
      <w:r>
        <w:rPr>
          <w:b/>
          <w:spacing w:val="-2"/>
          <w:sz w:val="21"/>
        </w:rPr>
        <w:t>脑炎后遗症或脑膜</w:t>
      </w:r>
      <w:r>
        <w:rPr>
          <w:b/>
          <w:spacing w:val="-4"/>
          <w:sz w:val="21"/>
        </w:rPr>
        <w:t>炎后遗症</w:t>
      </w:r>
    </w:p>
    <w:p>
      <w:pPr>
        <w:pStyle w:val="3"/>
        <w:spacing w:before="98" w:line="242" w:lineRule="auto"/>
        <w:ind w:left="162" w:right="618"/>
        <w:jc w:val="both"/>
      </w:pPr>
      <w:r>
        <w:br w:type="column"/>
      </w:r>
      <w:r>
        <w:rPr>
          <w:spacing w:val="-2"/>
        </w:rPr>
        <w:t>指因患脑炎或脑膜炎导致的神经系统永久性的功能障碍。神经系统永久性的功能障碍，指疾病确诊</w:t>
      </w:r>
      <w:r>
        <w:rPr>
          <w:rFonts w:ascii="Times New Roman" w:eastAsia="Times New Roman"/>
          <w:spacing w:val="-2"/>
        </w:rPr>
        <w:t>180</w:t>
      </w:r>
      <w:r>
        <w:rPr>
          <w:spacing w:val="-2"/>
        </w:rPr>
        <w:t>天后，仍遗留下列一种或一种以上障碍：</w:t>
      </w:r>
    </w:p>
    <w:p>
      <w:pPr>
        <w:pStyle w:val="8"/>
        <w:numPr>
          <w:ilvl w:val="0"/>
          <w:numId w:val="68"/>
        </w:numPr>
        <w:tabs>
          <w:tab w:val="left" w:pos="692"/>
        </w:tabs>
        <w:spacing w:before="1" w:after="0" w:line="240" w:lineRule="auto"/>
        <w:ind w:left="691" w:right="0" w:hanging="530"/>
        <w:jc w:val="left"/>
        <w:rPr>
          <w:sz w:val="21"/>
        </w:rPr>
      </w:pPr>
      <w:r>
        <w:rPr>
          <w:spacing w:val="-3"/>
          <w:sz w:val="21"/>
        </w:rPr>
        <w:t>一肢或一肢以上肢体机能完全丧失；</w:t>
      </w:r>
    </w:p>
    <w:p>
      <w:pPr>
        <w:pStyle w:val="8"/>
        <w:numPr>
          <w:ilvl w:val="0"/>
          <w:numId w:val="68"/>
        </w:numPr>
        <w:tabs>
          <w:tab w:val="left" w:pos="692"/>
        </w:tabs>
        <w:spacing w:before="5" w:after="0" w:line="269" w:lineRule="exact"/>
        <w:ind w:left="691" w:right="0" w:hanging="530"/>
        <w:jc w:val="left"/>
        <w:rPr>
          <w:sz w:val="21"/>
        </w:rPr>
      </w:pPr>
      <w:r>
        <w:rPr>
          <w:spacing w:val="-3"/>
          <w:sz w:val="21"/>
        </w:rPr>
        <w:t>语言能力或咀嚼吞咽能力完全丧失；</w:t>
      </w:r>
    </w:p>
    <w:p>
      <w:pPr>
        <w:pStyle w:val="8"/>
        <w:numPr>
          <w:ilvl w:val="0"/>
          <w:numId w:val="68"/>
        </w:numPr>
        <w:tabs>
          <w:tab w:val="left" w:pos="702"/>
        </w:tabs>
        <w:spacing w:before="0" w:after="0" w:line="244" w:lineRule="auto"/>
        <w:ind w:left="685" w:right="618" w:hanging="524"/>
        <w:jc w:val="left"/>
        <w:rPr>
          <w:sz w:val="21"/>
        </w:rPr>
      </w:pPr>
      <w:r>
        <w:rPr>
          <w:spacing w:val="-2"/>
          <w:sz w:val="21"/>
        </w:rPr>
        <w:t>自主生活能力完全丧失，无法独立完成六项基本日常生活活动中的三项或三项以上。</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sz w:val="11"/>
        </w:rPr>
      </w:pPr>
    </w:p>
    <w:p>
      <w:pPr>
        <w:pStyle w:val="8"/>
        <w:numPr>
          <w:ilvl w:val="1"/>
          <w:numId w:val="32"/>
        </w:numPr>
        <w:tabs>
          <w:tab w:val="left" w:pos="1339"/>
          <w:tab w:val="left" w:pos="3307"/>
        </w:tabs>
        <w:spacing w:before="91" w:after="0" w:line="240" w:lineRule="auto"/>
        <w:ind w:left="1338" w:right="0" w:hanging="1005"/>
        <w:jc w:val="both"/>
        <w:rPr>
          <w:sz w:val="21"/>
        </w:rPr>
      </w:pPr>
      <w:r>
        <w:rPr>
          <w:b/>
          <w:sz w:val="21"/>
        </w:rPr>
        <w:t>深度昏</w:t>
      </w:r>
      <w:r>
        <w:rPr>
          <w:b/>
          <w:spacing w:val="-10"/>
          <w:sz w:val="21"/>
        </w:rPr>
        <w:t>迷</w:t>
      </w:r>
      <w:r>
        <w:rPr>
          <w:b/>
          <w:sz w:val="21"/>
        </w:rPr>
        <w:tab/>
      </w:r>
      <w:r>
        <w:rPr>
          <w:sz w:val="21"/>
        </w:rPr>
        <w:t>指因疾病或意外伤害导致意识丧失</w:t>
      </w:r>
      <w:r>
        <w:rPr>
          <w:rFonts w:ascii="Times New Roman" w:eastAsia="Times New Roman"/>
          <w:sz w:val="21"/>
        </w:rPr>
        <w:t>,</w:t>
      </w:r>
      <w:r>
        <w:rPr>
          <w:sz w:val="21"/>
        </w:rPr>
        <w:t>对外界刺激和体内需求均</w:t>
      </w:r>
      <w:r>
        <w:rPr>
          <w:spacing w:val="-10"/>
          <w:sz w:val="21"/>
        </w:rPr>
        <w:t>无</w:t>
      </w:r>
    </w:p>
    <w:p>
      <w:pPr>
        <w:pStyle w:val="3"/>
        <w:spacing w:before="5" w:line="242" w:lineRule="auto"/>
        <w:ind w:left="3307" w:right="617"/>
        <w:jc w:val="both"/>
      </w:pPr>
      <w:r>
        <w:t>反应</w:t>
      </w:r>
      <w:r>
        <w:rPr>
          <w:rFonts w:ascii="Times New Roman" w:eastAsia="Times New Roman"/>
        </w:rPr>
        <w:t>,</w:t>
      </w:r>
      <w:r>
        <w:t>昏迷程度按照格拉斯哥昏迷分级（</w:t>
      </w:r>
      <w:r>
        <w:rPr>
          <w:rFonts w:ascii="Times New Roman" w:eastAsia="Times New Roman"/>
        </w:rPr>
        <w:t>Glasgow coma scale</w:t>
      </w:r>
      <w:r>
        <w:t>）结</w:t>
      </w:r>
      <w:r>
        <w:rPr>
          <w:spacing w:val="-2"/>
        </w:rPr>
        <w:t>果为</w:t>
      </w:r>
      <w:r>
        <w:rPr>
          <w:rFonts w:ascii="Times New Roman" w:eastAsia="Times New Roman"/>
          <w:spacing w:val="-2"/>
        </w:rPr>
        <w:t>5</w:t>
      </w:r>
      <w:r>
        <w:rPr>
          <w:spacing w:val="-2"/>
        </w:rPr>
        <w:t>分或</w:t>
      </w:r>
      <w:r>
        <w:rPr>
          <w:rFonts w:ascii="Times New Roman" w:eastAsia="Times New Roman"/>
          <w:spacing w:val="-2"/>
        </w:rPr>
        <w:t>5</w:t>
      </w:r>
      <w:r>
        <w:rPr>
          <w:spacing w:val="-2"/>
        </w:rPr>
        <w:t xml:space="preserve">分以下，且已经持续使用呼吸机及其它生命维持系统 </w:t>
      </w:r>
      <w:r>
        <w:rPr>
          <w:rFonts w:ascii="Times New Roman" w:eastAsia="Times New Roman"/>
          <w:spacing w:val="-2"/>
        </w:rPr>
        <w:t>96</w:t>
      </w:r>
      <w:r>
        <w:rPr>
          <w:spacing w:val="-2"/>
        </w:rPr>
        <w:t>小时以上。</w:t>
      </w:r>
    </w:p>
    <w:p>
      <w:pPr>
        <w:spacing w:before="1"/>
        <w:ind w:left="3307" w:right="0" w:firstLine="0"/>
        <w:jc w:val="left"/>
        <w:rPr>
          <w:b/>
          <w:sz w:val="21"/>
        </w:rPr>
      </w:pPr>
      <w:r>
        <w:rPr>
          <w:b/>
          <w:spacing w:val="-3"/>
          <w:sz w:val="21"/>
        </w:rPr>
        <w:t>因酗酒或药物滥用导致的深度昏迷不在保障范围内。</w:t>
      </w:r>
    </w:p>
    <w:p>
      <w:pPr>
        <w:pStyle w:val="3"/>
        <w:spacing w:before="8"/>
        <w:rPr>
          <w:b/>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双耳失</w:t>
      </w:r>
      <w:r>
        <w:rPr>
          <w:b/>
          <w:spacing w:val="-10"/>
          <w:sz w:val="21"/>
        </w:rPr>
        <w:t>聪</w:t>
      </w:r>
      <w:r>
        <w:rPr>
          <w:b/>
          <w:sz w:val="21"/>
        </w:rPr>
        <w:tab/>
      </w:r>
      <w:r>
        <w:rPr>
          <w:sz w:val="21"/>
        </w:rPr>
        <w:t>指因疾病或意外伤害导致双耳听力永久不可逆性丧失，在</w:t>
      </w:r>
      <w:r>
        <w:rPr>
          <w:rFonts w:ascii="Times New Roman" w:eastAsia="Times New Roman"/>
          <w:sz w:val="21"/>
        </w:rPr>
        <w:t>500</w:t>
      </w:r>
      <w:r>
        <w:rPr>
          <w:spacing w:val="-10"/>
          <w:sz w:val="21"/>
        </w:rPr>
        <w:t>赫</w:t>
      </w:r>
    </w:p>
    <w:p>
      <w:pPr>
        <w:pStyle w:val="3"/>
        <w:spacing w:before="4" w:line="244" w:lineRule="auto"/>
        <w:ind w:left="3307" w:right="617"/>
      </w:pPr>
      <w:r>
        <w:rPr>
          <w:spacing w:val="-2"/>
        </w:rPr>
        <w:t>兹、</w:t>
      </w:r>
      <w:r>
        <w:rPr>
          <w:rFonts w:ascii="Times New Roman" w:eastAsia="Times New Roman"/>
          <w:spacing w:val="-2"/>
        </w:rPr>
        <w:t>1000</w:t>
      </w:r>
      <w:r>
        <w:rPr>
          <w:spacing w:val="-2"/>
        </w:rPr>
        <w:t>赫兹和</w:t>
      </w:r>
      <w:r>
        <w:rPr>
          <w:rFonts w:ascii="Times New Roman" w:eastAsia="Times New Roman"/>
          <w:spacing w:val="-2"/>
        </w:rPr>
        <w:t>2000</w:t>
      </w:r>
      <w:r>
        <w:rPr>
          <w:spacing w:val="-2"/>
        </w:rPr>
        <w:t>赫兹语音频率下，平均听阈大于</w:t>
      </w:r>
      <w:r>
        <w:rPr>
          <w:rFonts w:ascii="Times New Roman" w:eastAsia="Times New Roman"/>
          <w:spacing w:val="-2"/>
        </w:rPr>
        <w:t>90</w:t>
      </w:r>
      <w:r>
        <w:rPr>
          <w:spacing w:val="-2"/>
        </w:rPr>
        <w:t>分贝，且经纯音听力测试、声导抗检测或听觉诱发电位检测等证实。</w:t>
      </w:r>
    </w:p>
    <w:p>
      <w:pPr>
        <w:spacing w:before="0" w:line="244" w:lineRule="auto"/>
        <w:ind w:left="3307" w:right="590" w:firstLine="0"/>
        <w:jc w:val="both"/>
        <w:rPr>
          <w:b/>
          <w:sz w:val="21"/>
        </w:rPr>
      </w:pPr>
      <w:r>
        <w:rPr>
          <w:b/>
          <w:spacing w:val="-3"/>
          <w:w w:val="100"/>
          <w:sz w:val="21"/>
        </w:rPr>
        <w:t>特别声明：我们将在被保险人年龄在三周岁或以上时受理理赔，</w:t>
      </w:r>
      <w:r>
        <w:rPr>
          <w:b/>
          <w:spacing w:val="3"/>
          <w:w w:val="100"/>
          <w:sz w:val="21"/>
        </w:rPr>
        <w:t>并且保险金申请人必须提供理赔受理当时的听力丧失诊断及检</w:t>
      </w:r>
      <w:r>
        <w:rPr>
          <w:b/>
          <w:spacing w:val="-5"/>
          <w:w w:val="100"/>
          <w:sz w:val="21"/>
        </w:rPr>
        <w:t>查证据。若被保险人发病时不足三周岁，我们将延期到被保险人年满三周岁后予以受理和评估。</w:t>
      </w:r>
    </w:p>
    <w:p>
      <w:pPr>
        <w:pStyle w:val="3"/>
        <w:spacing w:before="7"/>
        <w:rPr>
          <w:b/>
          <w:sz w:val="17"/>
        </w:rPr>
      </w:pPr>
    </w:p>
    <w:p>
      <w:pPr>
        <w:pStyle w:val="8"/>
        <w:numPr>
          <w:ilvl w:val="1"/>
          <w:numId w:val="32"/>
        </w:numPr>
        <w:tabs>
          <w:tab w:val="left" w:pos="1338"/>
          <w:tab w:val="left" w:pos="1339"/>
          <w:tab w:val="left" w:pos="3307"/>
        </w:tabs>
        <w:spacing w:before="0" w:after="0" w:line="240" w:lineRule="auto"/>
        <w:ind w:left="3307" w:right="619" w:hanging="2973"/>
        <w:jc w:val="left"/>
        <w:rPr>
          <w:sz w:val="21"/>
        </w:rPr>
      </w:pPr>
      <w:r>
        <w:rPr>
          <w:b/>
          <w:spacing w:val="-4"/>
          <w:sz w:val="21"/>
        </w:rPr>
        <w:t>双目失明</w:t>
      </w:r>
      <w:r>
        <w:rPr>
          <w:b/>
          <w:sz w:val="21"/>
        </w:rPr>
        <w:tab/>
      </w:r>
      <w:r>
        <w:rPr>
          <w:spacing w:val="-2"/>
          <w:sz w:val="21"/>
        </w:rPr>
        <w:t>指因疾病或意外伤害导致双眼视力永久不可逆性丧失，双眼中较好眼须满足下列至少一项条件：</w:t>
      </w:r>
    </w:p>
    <w:p>
      <w:pPr>
        <w:pStyle w:val="8"/>
        <w:numPr>
          <w:ilvl w:val="0"/>
          <w:numId w:val="69"/>
        </w:numPr>
        <w:tabs>
          <w:tab w:val="left" w:pos="3837"/>
        </w:tabs>
        <w:spacing w:before="4" w:after="0" w:line="240" w:lineRule="auto"/>
        <w:ind w:left="3836" w:right="0" w:hanging="530"/>
        <w:jc w:val="left"/>
        <w:rPr>
          <w:sz w:val="21"/>
        </w:rPr>
      </w:pPr>
      <w:r>
        <w:rPr>
          <w:spacing w:val="-4"/>
          <w:sz w:val="21"/>
        </w:rPr>
        <w:t>眼球缺失或摘除；</w:t>
      </w:r>
    </w:p>
    <w:p>
      <w:pPr>
        <w:pStyle w:val="8"/>
        <w:numPr>
          <w:ilvl w:val="0"/>
          <w:numId w:val="69"/>
        </w:numPr>
        <w:tabs>
          <w:tab w:val="left" w:pos="3837"/>
        </w:tabs>
        <w:spacing w:before="5" w:after="0" w:line="244" w:lineRule="auto"/>
        <w:ind w:left="3830" w:right="618" w:hanging="524"/>
        <w:jc w:val="left"/>
        <w:rPr>
          <w:sz w:val="21"/>
        </w:rPr>
      </w:pPr>
      <w:r>
        <w:rPr>
          <w:spacing w:val="-2"/>
          <w:sz w:val="21"/>
        </w:rPr>
        <w:t>矫正视力低于</w:t>
      </w:r>
      <w:r>
        <w:rPr>
          <w:rFonts w:ascii="Times New Roman" w:eastAsia="Times New Roman"/>
          <w:spacing w:val="-2"/>
          <w:sz w:val="21"/>
        </w:rPr>
        <w:t>0.02</w:t>
      </w:r>
      <w:r>
        <w:rPr>
          <w:spacing w:val="-2"/>
          <w:sz w:val="21"/>
        </w:rPr>
        <w:t>（采用国际标准视力表，如果使用其它视力表应进行换算</w:t>
      </w:r>
      <w:r>
        <w:rPr>
          <w:spacing w:val="-106"/>
          <w:sz w:val="21"/>
        </w:rPr>
        <w:t>）</w:t>
      </w:r>
      <w:r>
        <w:rPr>
          <w:sz w:val="21"/>
        </w:rPr>
        <w:t>；</w:t>
      </w:r>
    </w:p>
    <w:p>
      <w:pPr>
        <w:pStyle w:val="8"/>
        <w:numPr>
          <w:ilvl w:val="0"/>
          <w:numId w:val="69"/>
        </w:numPr>
        <w:tabs>
          <w:tab w:val="left" w:pos="3837"/>
        </w:tabs>
        <w:spacing w:before="0" w:after="0" w:line="263" w:lineRule="exact"/>
        <w:ind w:left="3836" w:right="0" w:hanging="530"/>
        <w:jc w:val="left"/>
        <w:rPr>
          <w:sz w:val="21"/>
        </w:rPr>
      </w:pPr>
      <w:r>
        <w:rPr>
          <w:spacing w:val="-2"/>
          <w:sz w:val="21"/>
        </w:rPr>
        <w:t>视野半径小于</w:t>
      </w:r>
      <w:r>
        <w:rPr>
          <w:rFonts w:ascii="Times New Roman" w:eastAsia="Times New Roman"/>
          <w:spacing w:val="-2"/>
          <w:sz w:val="21"/>
        </w:rPr>
        <w:t>5</w:t>
      </w:r>
      <w:r>
        <w:rPr>
          <w:spacing w:val="-6"/>
          <w:sz w:val="21"/>
        </w:rPr>
        <w:t>度。</w:t>
      </w:r>
    </w:p>
    <w:p>
      <w:pPr>
        <w:spacing w:before="5" w:line="242" w:lineRule="auto"/>
        <w:ind w:left="3307" w:right="589" w:firstLine="0"/>
        <w:jc w:val="both"/>
        <w:rPr>
          <w:b/>
          <w:sz w:val="21"/>
        </w:rPr>
      </w:pPr>
      <w:r>
        <w:rPr>
          <w:b/>
          <w:spacing w:val="-3"/>
          <w:w w:val="100"/>
          <w:sz w:val="21"/>
        </w:rPr>
        <w:t>特别声明：我们将在被保险人年龄在三周岁或以上时受理理赔，</w:t>
      </w:r>
      <w:r>
        <w:rPr>
          <w:b/>
          <w:spacing w:val="3"/>
          <w:w w:val="100"/>
          <w:sz w:val="21"/>
        </w:rPr>
        <w:t>并且保险金申请人必须提供理赔受理当时的视力丧失诊断及检</w:t>
      </w:r>
      <w:r>
        <w:rPr>
          <w:b/>
          <w:spacing w:val="-5"/>
          <w:w w:val="100"/>
          <w:sz w:val="21"/>
        </w:rPr>
        <w:t>查证据。若被保险人发病时不足三周岁，我们将延期到被保险人年满三周岁后予以受理和评估。</w:t>
      </w:r>
    </w:p>
    <w:p>
      <w:pPr>
        <w:pStyle w:val="3"/>
        <w:spacing w:before="6"/>
        <w:rPr>
          <w:b/>
          <w:sz w:val="18"/>
        </w:rPr>
      </w:pPr>
    </w:p>
    <w:p>
      <w:pPr>
        <w:pStyle w:val="8"/>
        <w:numPr>
          <w:ilvl w:val="1"/>
          <w:numId w:val="32"/>
        </w:numPr>
        <w:tabs>
          <w:tab w:val="left" w:pos="1339"/>
          <w:tab w:val="left" w:pos="3307"/>
        </w:tabs>
        <w:spacing w:before="0" w:after="0" w:line="240" w:lineRule="auto"/>
        <w:ind w:left="1338" w:right="0" w:hanging="1005"/>
        <w:jc w:val="both"/>
        <w:rPr>
          <w:sz w:val="21"/>
        </w:rPr>
      </w:pPr>
      <w:r>
        <w:rPr>
          <w:b/>
          <w:sz w:val="21"/>
        </w:rPr>
        <w:t>瘫</w:t>
      </w:r>
      <w:r>
        <w:rPr>
          <w:b/>
          <w:spacing w:val="-10"/>
          <w:sz w:val="21"/>
        </w:rPr>
        <w:t>痪</w:t>
      </w:r>
      <w:r>
        <w:rPr>
          <w:b/>
          <w:sz w:val="21"/>
        </w:rPr>
        <w:tab/>
      </w:r>
      <w:r>
        <w:rPr>
          <w:sz w:val="21"/>
        </w:rPr>
        <w:t>指因疾病或意外伤害导致两肢或两肢以上肢体机能永久完全</w:t>
      </w:r>
      <w:r>
        <w:rPr>
          <w:spacing w:val="-10"/>
          <w:sz w:val="21"/>
        </w:rPr>
        <w:t>丧</w:t>
      </w:r>
    </w:p>
    <w:p>
      <w:pPr>
        <w:pStyle w:val="3"/>
        <w:spacing w:before="5" w:line="244" w:lineRule="auto"/>
        <w:ind w:left="3307" w:right="618"/>
        <w:jc w:val="both"/>
      </w:pPr>
      <w:r>
        <w:rPr>
          <w:spacing w:val="-2"/>
        </w:rPr>
        <w:t>失。肢体机能永久完全丧失，指疾病确诊</w:t>
      </w:r>
      <w:r>
        <w:rPr>
          <w:rFonts w:ascii="Times New Roman" w:eastAsia="Times New Roman"/>
          <w:spacing w:val="-2"/>
        </w:rPr>
        <w:t>180</w:t>
      </w:r>
      <w:r>
        <w:rPr>
          <w:spacing w:val="-2"/>
        </w:rPr>
        <w:t>天后或意外伤害发生</w:t>
      </w:r>
      <w:r>
        <w:rPr>
          <w:rFonts w:ascii="Times New Roman" w:eastAsia="Times New Roman"/>
          <w:spacing w:val="-2"/>
        </w:rPr>
        <w:t>180</w:t>
      </w:r>
      <w:r>
        <w:rPr>
          <w:spacing w:val="-2"/>
        </w:rPr>
        <w:t>天后，每肢三大关节中的两大关节仍然完全僵硬，或不能随意识活动。</w:t>
      </w:r>
    </w:p>
    <w:p>
      <w:pPr>
        <w:spacing w:after="0" w:line="244" w:lineRule="auto"/>
        <w:jc w:val="both"/>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 w:val="left" w:pos="3307"/>
        </w:tabs>
        <w:spacing w:before="65" w:after="0" w:line="240" w:lineRule="auto"/>
        <w:ind w:left="1338" w:right="0" w:hanging="1005"/>
        <w:jc w:val="left"/>
        <w:rPr>
          <w:sz w:val="21"/>
        </w:rPr>
      </w:pPr>
      <w:r>
        <w:rPr>
          <w:b/>
          <w:sz w:val="21"/>
        </w:rPr>
        <w:t>心脏瓣膜手</w:t>
      </w:r>
      <w:r>
        <w:rPr>
          <w:b/>
          <w:spacing w:val="-10"/>
          <w:sz w:val="21"/>
        </w:rPr>
        <w:t>术</w:t>
      </w:r>
      <w:r>
        <w:rPr>
          <w:b/>
          <w:sz w:val="21"/>
        </w:rPr>
        <w:tab/>
      </w:r>
      <w:r>
        <w:rPr>
          <w:spacing w:val="-2"/>
          <w:sz w:val="21"/>
        </w:rPr>
        <w:t>指为治疗心脏瓣膜疾病，实际实施了开胸进行的心脏瓣膜置换</w:t>
      </w:r>
      <w:r>
        <w:rPr>
          <w:spacing w:val="-10"/>
          <w:sz w:val="21"/>
        </w:rPr>
        <w:t>或</w:t>
      </w:r>
    </w:p>
    <w:p>
      <w:pPr>
        <w:pStyle w:val="3"/>
        <w:spacing w:before="4"/>
        <w:ind w:left="3307"/>
      </w:pPr>
      <w:r>
        <w:rPr>
          <w:spacing w:val="-4"/>
        </w:rPr>
        <w:t>修复的手术。</w:t>
      </w:r>
    </w:p>
    <w:p>
      <w:pPr>
        <w:pStyle w:val="3"/>
        <w:spacing w:before="8"/>
        <w:rPr>
          <w:sz w:val="18"/>
        </w:rPr>
      </w:pPr>
    </w:p>
    <w:p>
      <w:pPr>
        <w:pStyle w:val="8"/>
        <w:numPr>
          <w:ilvl w:val="1"/>
          <w:numId w:val="32"/>
        </w:numPr>
        <w:tabs>
          <w:tab w:val="left" w:pos="1339"/>
        </w:tabs>
        <w:spacing w:before="0" w:after="0" w:line="240" w:lineRule="auto"/>
        <w:ind w:left="1338" w:right="0" w:hanging="1005"/>
        <w:jc w:val="both"/>
        <w:rPr>
          <w:sz w:val="21"/>
        </w:rPr>
      </w:pPr>
      <w:r>
        <w:rPr>
          <w:b/>
          <w:spacing w:val="14"/>
          <w:sz w:val="21"/>
        </w:rPr>
        <w:t xml:space="preserve">严重阿尔茨海默病 </w:t>
      </w:r>
      <w:r>
        <w:rPr>
          <w:spacing w:val="-1"/>
          <w:sz w:val="21"/>
        </w:rPr>
        <w:t>指因大脑进行性、不可逆性改变导致智能严重衰退或丧失，临床</w:t>
      </w:r>
    </w:p>
    <w:p>
      <w:pPr>
        <w:pStyle w:val="3"/>
        <w:spacing w:before="5" w:line="242" w:lineRule="auto"/>
        <w:ind w:left="3307" w:right="618"/>
        <w:jc w:val="both"/>
      </w:pPr>
      <w:r>
        <w:rPr>
          <w:spacing w:val="-2"/>
        </w:rPr>
        <w:t>表现为明显的认知能力障碍、行为异常和社交能力减退，其日常</w:t>
      </w:r>
      <w:r>
        <w:rPr>
          <w:spacing w:val="-4"/>
        </w:rPr>
        <w:t>生活必须持续受到他人监护。须由头颅断层扫描</w:t>
      </w:r>
      <w:r>
        <w:rPr>
          <w:spacing w:val="23"/>
        </w:rPr>
        <w:t>（</w:t>
      </w:r>
      <w:r>
        <w:rPr>
          <w:rFonts w:ascii="Times New Roman" w:eastAsia="Times New Roman"/>
          <w:spacing w:val="25"/>
        </w:rPr>
        <w:t>C</w:t>
      </w:r>
      <w:r>
        <w:rPr>
          <w:rFonts w:ascii="Times New Roman" w:eastAsia="Times New Roman"/>
          <w:spacing w:val="17"/>
        </w:rPr>
        <w:t>T</w:t>
      </w:r>
      <w:r>
        <w:rPr>
          <w:spacing w:val="-84"/>
        </w:rPr>
        <w:t>）</w:t>
      </w:r>
      <w:r>
        <w:rPr>
          <w:spacing w:val="-4"/>
        </w:rPr>
        <w:t>、核磁共</w:t>
      </w:r>
      <w:r>
        <w:rPr>
          <w:spacing w:val="-2"/>
        </w:rPr>
        <w:t>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）等影像学检查证实，且自主生活能力完全丧失，无法独立完成六项基本日常生活活动中的三项或三项以上。</w:t>
      </w:r>
    </w:p>
    <w:p>
      <w:pPr>
        <w:spacing w:before="0"/>
        <w:ind w:left="3307" w:right="0" w:firstLine="0"/>
        <w:jc w:val="left"/>
        <w:rPr>
          <w:b/>
          <w:sz w:val="21"/>
        </w:rPr>
      </w:pPr>
      <w:r>
        <w:rPr>
          <w:b/>
          <w:spacing w:val="-3"/>
          <w:sz w:val="21"/>
        </w:rPr>
        <w:t>神经官能症和精神疾病不在保障范围内。</w:t>
      </w:r>
    </w:p>
    <w:p>
      <w:pPr>
        <w:pStyle w:val="3"/>
        <w:rPr>
          <w:b/>
          <w:sz w:val="19"/>
        </w:rPr>
      </w:pPr>
    </w:p>
    <w:p>
      <w:pPr>
        <w:pStyle w:val="8"/>
        <w:numPr>
          <w:ilvl w:val="1"/>
          <w:numId w:val="32"/>
        </w:numPr>
        <w:tabs>
          <w:tab w:val="left" w:pos="1339"/>
        </w:tabs>
        <w:spacing w:before="0" w:after="0" w:line="275" w:lineRule="exact"/>
        <w:ind w:left="1338" w:right="0" w:hanging="1005"/>
        <w:jc w:val="both"/>
        <w:rPr>
          <w:sz w:val="21"/>
        </w:rPr>
      </w:pPr>
      <w:r>
        <w:rPr>
          <w:b/>
          <w:sz w:val="21"/>
        </w:rPr>
        <w:t>严重脑损伤</w:t>
      </w:r>
      <w:r>
        <w:rPr>
          <w:b/>
          <w:spacing w:val="766"/>
          <w:sz w:val="21"/>
        </w:rPr>
        <w:t xml:space="preserve"> </w:t>
      </w:r>
      <w:r>
        <w:rPr>
          <w:spacing w:val="-1"/>
          <w:sz w:val="21"/>
        </w:rPr>
        <w:t>指因头部遭受机械性外力，引起脑重要部位损伤，导致神经系统</w:t>
      </w:r>
    </w:p>
    <w:p>
      <w:pPr>
        <w:pStyle w:val="3"/>
        <w:ind w:left="3307"/>
        <w:jc w:val="both"/>
      </w:pPr>
      <w:r>
        <w:t>永久性的功能障碍。须由头颅断层扫描</w:t>
      </w:r>
      <w:r>
        <w:rPr>
          <w:spacing w:val="34"/>
        </w:rPr>
        <w:t>（</w:t>
      </w:r>
      <w:r>
        <w:rPr>
          <w:rFonts w:ascii="Times New Roman" w:eastAsia="Times New Roman"/>
          <w:spacing w:val="17"/>
        </w:rPr>
        <w:t>C</w:t>
      </w:r>
      <w:r>
        <w:rPr>
          <w:rFonts w:ascii="Times New Roman" w:eastAsia="Times New Roman"/>
          <w:spacing w:val="24"/>
        </w:rPr>
        <w:t>T</w:t>
      </w:r>
      <w:r>
        <w:rPr>
          <w:spacing w:val="-78"/>
        </w:rPr>
        <w:t>）</w:t>
      </w:r>
      <w:r>
        <w:rPr>
          <w:spacing w:val="-1"/>
        </w:rPr>
        <w:t>、核磁共振检查</w:t>
      </w:r>
    </w:p>
    <w:p>
      <w:pPr>
        <w:pStyle w:val="3"/>
        <w:spacing w:before="5" w:line="242" w:lineRule="auto"/>
        <w:ind w:left="3307" w:right="618"/>
        <w:jc w:val="both"/>
      </w:pPr>
      <w:r>
        <w:rPr>
          <w:spacing w:val="-2"/>
        </w:rPr>
        <w:t>（</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）等影像学检查证实。神经系统永久性的功能障碍，指脑损伤</w:t>
      </w:r>
      <w:r>
        <w:rPr>
          <w:rFonts w:ascii="Times New Roman" w:eastAsia="Times New Roman"/>
          <w:spacing w:val="-2"/>
        </w:rPr>
        <w:t>180</w:t>
      </w:r>
      <w:r>
        <w:rPr>
          <w:spacing w:val="-2"/>
        </w:rPr>
        <w:t>天后，仍遗留下列一种或一种以上障碍：</w:t>
      </w:r>
    </w:p>
    <w:p>
      <w:pPr>
        <w:pStyle w:val="8"/>
        <w:numPr>
          <w:ilvl w:val="0"/>
          <w:numId w:val="70"/>
        </w:numPr>
        <w:tabs>
          <w:tab w:val="left" w:pos="3837"/>
        </w:tabs>
        <w:spacing w:before="0" w:after="0" w:line="240" w:lineRule="auto"/>
        <w:ind w:left="3836" w:right="0" w:hanging="530"/>
        <w:jc w:val="left"/>
        <w:rPr>
          <w:sz w:val="21"/>
        </w:rPr>
      </w:pPr>
      <w:r>
        <w:rPr>
          <w:spacing w:val="-3"/>
          <w:sz w:val="21"/>
        </w:rPr>
        <w:t>一肢或一肢以上肢体机能完全丧失；</w:t>
      </w:r>
    </w:p>
    <w:p>
      <w:pPr>
        <w:pStyle w:val="8"/>
        <w:numPr>
          <w:ilvl w:val="0"/>
          <w:numId w:val="70"/>
        </w:numPr>
        <w:tabs>
          <w:tab w:val="left" w:pos="3837"/>
        </w:tabs>
        <w:spacing w:before="6" w:after="0" w:line="240" w:lineRule="auto"/>
        <w:ind w:left="3836" w:right="0" w:hanging="530"/>
        <w:jc w:val="left"/>
        <w:rPr>
          <w:sz w:val="21"/>
        </w:rPr>
      </w:pPr>
      <w:r>
        <w:rPr>
          <w:spacing w:val="-3"/>
          <w:sz w:val="21"/>
        </w:rPr>
        <w:t>语言能力或咀嚼吞咽能力完全丧失；</w:t>
      </w:r>
    </w:p>
    <w:p>
      <w:pPr>
        <w:pStyle w:val="8"/>
        <w:numPr>
          <w:ilvl w:val="0"/>
          <w:numId w:val="70"/>
        </w:numPr>
        <w:tabs>
          <w:tab w:val="left" w:pos="3847"/>
        </w:tabs>
        <w:spacing w:before="4" w:after="0" w:line="240" w:lineRule="auto"/>
        <w:ind w:left="3830" w:right="621" w:hanging="524"/>
        <w:jc w:val="left"/>
        <w:rPr>
          <w:sz w:val="21"/>
        </w:rPr>
      </w:pPr>
      <w:r>
        <w:rPr>
          <w:spacing w:val="-2"/>
          <w:sz w:val="21"/>
        </w:rPr>
        <w:t>自主生活能力完全丧失，无法独立完成六项基本日常生活活动中的三项或三项以上。</w:t>
      </w:r>
    </w:p>
    <w:p>
      <w:pPr>
        <w:pStyle w:val="3"/>
        <w:spacing w:before="7"/>
        <w:rPr>
          <w:sz w:val="18"/>
        </w:rPr>
      </w:pPr>
    </w:p>
    <w:p>
      <w:pPr>
        <w:pStyle w:val="8"/>
        <w:numPr>
          <w:ilvl w:val="1"/>
          <w:numId w:val="32"/>
        </w:numPr>
        <w:tabs>
          <w:tab w:val="left" w:pos="1338"/>
          <w:tab w:val="left" w:pos="1339"/>
          <w:tab w:val="left" w:pos="3307"/>
        </w:tabs>
        <w:spacing w:before="1" w:after="0" w:line="244" w:lineRule="auto"/>
        <w:ind w:left="3307" w:right="619" w:hanging="2973"/>
        <w:jc w:val="left"/>
        <w:rPr>
          <w:sz w:val="21"/>
        </w:rPr>
      </w:pPr>
      <w:r>
        <w:rPr>
          <w:b/>
          <w:spacing w:val="-2"/>
          <w:sz w:val="21"/>
        </w:rPr>
        <w:t>严重帕金森病</w:t>
      </w:r>
      <w:r>
        <w:rPr>
          <w:b/>
          <w:sz w:val="21"/>
        </w:rPr>
        <w:tab/>
      </w:r>
      <w:r>
        <w:rPr>
          <w:spacing w:val="-2"/>
          <w:sz w:val="21"/>
        </w:rPr>
        <w:t>是一种中枢神经系统的退行性疾病，临床表现为震颤麻痹、共济失调等。须满足下列全部条件：</w:t>
      </w:r>
    </w:p>
    <w:p>
      <w:pPr>
        <w:pStyle w:val="8"/>
        <w:numPr>
          <w:ilvl w:val="0"/>
          <w:numId w:val="71"/>
        </w:numPr>
        <w:tabs>
          <w:tab w:val="left" w:pos="3837"/>
        </w:tabs>
        <w:spacing w:before="0" w:after="0" w:line="268" w:lineRule="exact"/>
        <w:ind w:left="3836" w:right="0" w:hanging="530"/>
        <w:jc w:val="left"/>
        <w:rPr>
          <w:sz w:val="21"/>
        </w:rPr>
      </w:pPr>
      <w:r>
        <w:rPr>
          <w:spacing w:val="-3"/>
          <w:sz w:val="21"/>
        </w:rPr>
        <w:t>药物治疗无法控制病情；</w:t>
      </w:r>
    </w:p>
    <w:p>
      <w:pPr>
        <w:pStyle w:val="8"/>
        <w:numPr>
          <w:ilvl w:val="0"/>
          <w:numId w:val="71"/>
        </w:numPr>
        <w:tabs>
          <w:tab w:val="left" w:pos="3847"/>
        </w:tabs>
        <w:spacing w:before="4" w:after="0" w:line="240" w:lineRule="auto"/>
        <w:ind w:left="3830" w:right="612" w:hanging="524"/>
        <w:jc w:val="left"/>
        <w:rPr>
          <w:sz w:val="21"/>
        </w:rPr>
      </w:pPr>
      <w:r>
        <w:rPr>
          <w:spacing w:val="-2"/>
          <w:sz w:val="21"/>
        </w:rPr>
        <w:t>自主生活能力完全丧失，无法独立完成六项基本日常生活活动中的三项或三项以上。</w:t>
      </w:r>
    </w:p>
    <w:p>
      <w:pPr>
        <w:spacing w:before="4"/>
        <w:ind w:left="3307" w:right="0" w:firstLine="0"/>
        <w:jc w:val="left"/>
        <w:rPr>
          <w:b/>
          <w:sz w:val="21"/>
        </w:rPr>
      </w:pPr>
      <w:r>
        <w:rPr>
          <w:b/>
          <w:spacing w:val="-1"/>
          <w:sz w:val="21"/>
        </w:rPr>
        <w:t>继发性帕金森综合征不在保障范围内。</w:t>
      </w:r>
    </w:p>
    <w:p>
      <w:pPr>
        <w:pStyle w:val="3"/>
        <w:spacing w:before="8"/>
        <w:rPr>
          <w:b/>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严重Ⅲ度烧</w:t>
      </w:r>
      <w:r>
        <w:rPr>
          <w:b/>
          <w:spacing w:val="-10"/>
          <w:sz w:val="21"/>
        </w:rPr>
        <w:t>伤</w:t>
      </w:r>
      <w:r>
        <w:rPr>
          <w:b/>
          <w:sz w:val="21"/>
        </w:rPr>
        <w:tab/>
      </w:r>
      <w:r>
        <w:rPr>
          <w:spacing w:val="-2"/>
          <w:sz w:val="21"/>
        </w:rPr>
        <w:t>指烧伤程度为Ⅲ度，且Ⅲ度烧伤的面积达到全身体表面积的</w:t>
      </w:r>
      <w:r>
        <w:rPr>
          <w:rFonts w:ascii="Times New Roman" w:hAnsi="Times New Roman" w:eastAsia="Times New Roman"/>
          <w:spacing w:val="-5"/>
          <w:sz w:val="21"/>
        </w:rPr>
        <w:t>20</w:t>
      </w:r>
      <w:r>
        <w:rPr>
          <w:spacing w:val="-5"/>
          <w:sz w:val="21"/>
        </w:rPr>
        <w:t>％</w:t>
      </w:r>
    </w:p>
    <w:p>
      <w:pPr>
        <w:pStyle w:val="3"/>
        <w:spacing w:before="5"/>
        <w:ind w:left="3307"/>
      </w:pPr>
      <w:r>
        <w:rPr>
          <w:spacing w:val="-2"/>
        </w:rPr>
        <w:t>或</w:t>
      </w:r>
      <w:r>
        <w:rPr>
          <w:rFonts w:ascii="Times New Roman" w:eastAsia="Times New Roman"/>
          <w:spacing w:val="-2"/>
        </w:rPr>
        <w:t>20</w:t>
      </w:r>
      <w:r>
        <w:rPr>
          <w:spacing w:val="-3"/>
        </w:rPr>
        <w:t>％以上。体表面积根据《中国新九分法》计算。</w:t>
      </w:r>
    </w:p>
    <w:p>
      <w:pPr>
        <w:pStyle w:val="3"/>
        <w:spacing w:before="6"/>
        <w:rPr>
          <w:sz w:val="11"/>
        </w:rPr>
      </w:pPr>
    </w:p>
    <w:p>
      <w:pPr>
        <w:spacing w:after="0"/>
        <w:rPr>
          <w:sz w:val="11"/>
        </w:rPr>
        <w:sectPr>
          <w:pgSz w:w="11910" w:h="16840"/>
          <w:pgMar w:top="1040" w:right="620" w:bottom="1040" w:left="1480" w:header="0" w:footer="851" w:gutter="0"/>
          <w:cols w:space="720" w:num="1"/>
        </w:sectPr>
      </w:pPr>
    </w:p>
    <w:p>
      <w:pPr>
        <w:pStyle w:val="8"/>
        <w:numPr>
          <w:ilvl w:val="1"/>
          <w:numId w:val="32"/>
        </w:numPr>
        <w:tabs>
          <w:tab w:val="left" w:pos="1338"/>
          <w:tab w:val="left" w:pos="1339"/>
        </w:tabs>
        <w:spacing w:before="92" w:after="0" w:line="240" w:lineRule="auto"/>
        <w:ind w:left="1338" w:right="0" w:hanging="1005"/>
        <w:jc w:val="left"/>
        <w:rPr>
          <w:b/>
          <w:sz w:val="21"/>
        </w:rPr>
      </w:pPr>
      <w:r>
        <w:rPr>
          <w:b/>
          <w:spacing w:val="-2"/>
          <w:sz w:val="21"/>
        </w:rPr>
        <w:t>严重原发性肺动脉</w:t>
      </w:r>
    </w:p>
    <w:p>
      <w:pPr>
        <w:spacing w:before="4"/>
        <w:ind w:left="1338" w:right="0" w:firstLine="0"/>
        <w:jc w:val="left"/>
        <w:rPr>
          <w:b/>
          <w:sz w:val="21"/>
        </w:rPr>
      </w:pPr>
      <w:r>
        <w:rPr>
          <w:b/>
          <w:spacing w:val="-5"/>
          <w:sz w:val="21"/>
        </w:rPr>
        <w:t>高压</w:t>
      </w:r>
    </w:p>
    <w:p>
      <w:pPr>
        <w:pStyle w:val="3"/>
        <w:spacing w:before="98" w:line="242" w:lineRule="auto"/>
        <w:ind w:left="162" w:right="617"/>
        <w:jc w:val="both"/>
      </w:pPr>
      <w:r>
        <w:br w:type="column"/>
      </w:r>
      <w:r>
        <w:rPr>
          <w:spacing w:val="-2"/>
        </w:rPr>
        <w:t>指不明原因的肺动脉压力持续性增高，进行性发展而导致的慢性疾病，已经造成永久不可逆性的体力活动能力受限，达到</w:t>
      </w:r>
      <w:r>
        <w:rPr>
          <w:b/>
          <w:spacing w:val="-2"/>
        </w:rPr>
        <w:t>美国纽</w:t>
      </w:r>
      <w:r>
        <w:rPr>
          <w:b/>
          <w:spacing w:val="-4"/>
        </w:rPr>
        <w:t>约心脏病学会心功能状态分级</w:t>
      </w:r>
      <w:r>
        <w:rPr>
          <w:rFonts w:ascii="Times New Roman" w:eastAsia="Times New Roman"/>
          <w:b/>
          <w:spacing w:val="-4"/>
        </w:rPr>
        <w:t>IV</w:t>
      </w:r>
      <w:r>
        <w:rPr>
          <w:b/>
          <w:spacing w:val="-4"/>
        </w:rPr>
        <w:t>级</w:t>
      </w:r>
      <w:r>
        <w:rPr>
          <w:spacing w:val="-4"/>
        </w:rPr>
        <w:t>（见</w:t>
      </w:r>
      <w:r>
        <w:rPr>
          <w:rFonts w:ascii="Times New Roman" w:eastAsia="Times New Roman"/>
          <w:spacing w:val="2"/>
        </w:rPr>
        <w:t>1</w:t>
      </w:r>
      <w:r>
        <w:rPr>
          <w:rFonts w:ascii="Times New Roman" w:eastAsia="Times New Roman"/>
          <w:spacing w:val="12"/>
        </w:rPr>
        <w:t>1.52</w:t>
      </w:r>
      <w:r>
        <w:rPr>
          <w:spacing w:val="-94"/>
        </w:rPr>
        <w:t>）</w:t>
      </w:r>
      <w:r>
        <w:rPr>
          <w:spacing w:val="-4"/>
        </w:rPr>
        <w:t>，且静息状态下肺</w:t>
      </w:r>
      <w:r>
        <w:rPr>
          <w:spacing w:val="-2"/>
        </w:rPr>
        <w:t>动脉平均压超过</w:t>
      </w:r>
      <w:r>
        <w:rPr>
          <w:rFonts w:ascii="Times New Roman" w:eastAsia="Times New Roman"/>
          <w:spacing w:val="-2"/>
        </w:rPr>
        <w:t>30mmHg</w:t>
      </w:r>
      <w:r>
        <w:rPr>
          <w:spacing w:val="-2"/>
        </w:rPr>
        <w:t>。</w:t>
      </w:r>
    </w:p>
    <w:p>
      <w:pPr>
        <w:spacing w:after="0" w:line="242" w:lineRule="auto"/>
        <w:jc w:val="both"/>
        <w:sectPr>
          <w:type w:val="continuous"/>
          <w:pgSz w:w="11910" w:h="16840"/>
          <w:pgMar w:top="320" w:right="620" w:bottom="280" w:left="1480" w:header="0" w:footer="851" w:gutter="0"/>
          <w:cols w:equalWidth="0" w:num="2">
            <w:col w:w="3106" w:space="40"/>
            <w:col w:w="6664"/>
          </w:cols>
        </w:sectPr>
      </w:pPr>
    </w:p>
    <w:p>
      <w:pPr>
        <w:pStyle w:val="3"/>
        <w:spacing w:before="5"/>
        <w:rPr>
          <w:sz w:val="11"/>
        </w:rPr>
      </w:pPr>
    </w:p>
    <w:p>
      <w:pPr>
        <w:pStyle w:val="8"/>
        <w:numPr>
          <w:ilvl w:val="1"/>
          <w:numId w:val="32"/>
        </w:numPr>
        <w:tabs>
          <w:tab w:val="left" w:pos="1339"/>
        </w:tabs>
        <w:spacing w:before="91" w:after="0" w:line="240" w:lineRule="auto"/>
        <w:ind w:left="1338" w:right="0" w:hanging="1005"/>
        <w:jc w:val="both"/>
        <w:rPr>
          <w:sz w:val="21"/>
        </w:rPr>
      </w:pPr>
      <w:r>
        <w:rPr>
          <w:b/>
          <w:spacing w:val="14"/>
          <w:sz w:val="21"/>
        </w:rPr>
        <w:t xml:space="preserve">严重运动神经元病 </w:t>
      </w:r>
      <w:r>
        <w:rPr>
          <w:spacing w:val="-1"/>
          <w:sz w:val="21"/>
        </w:rPr>
        <w:t>是一组中枢神经系统运动神经元的进行性变性疾病，包括进行性</w:t>
      </w:r>
    </w:p>
    <w:p>
      <w:pPr>
        <w:pStyle w:val="3"/>
        <w:spacing w:before="5" w:line="242" w:lineRule="auto"/>
        <w:ind w:left="3307" w:right="619"/>
        <w:jc w:val="both"/>
      </w:pPr>
      <w:r>
        <w:rPr>
          <w:spacing w:val="-2"/>
        </w:rPr>
        <w:t>脊肌萎缩症、进行性延髓麻痹症、原发性侧索硬化症、肌萎缩性侧索硬化症。须满足自主生活能力完全丧失，无法独立完成六项基本日常生活活动中的三项或三项以上的条件。</w:t>
      </w:r>
    </w:p>
    <w:p>
      <w:pPr>
        <w:pStyle w:val="3"/>
        <w:spacing w:before="9"/>
        <w:rPr>
          <w:sz w:val="18"/>
        </w:rPr>
      </w:pPr>
    </w:p>
    <w:p>
      <w:pPr>
        <w:pStyle w:val="8"/>
        <w:numPr>
          <w:ilvl w:val="1"/>
          <w:numId w:val="32"/>
        </w:numPr>
        <w:tabs>
          <w:tab w:val="left" w:pos="1338"/>
          <w:tab w:val="left" w:pos="1339"/>
          <w:tab w:val="left" w:pos="3307"/>
        </w:tabs>
        <w:spacing w:before="0" w:after="0" w:line="275" w:lineRule="exact"/>
        <w:ind w:left="1338" w:right="0" w:hanging="1005"/>
        <w:jc w:val="left"/>
        <w:rPr>
          <w:sz w:val="21"/>
        </w:rPr>
      </w:pPr>
      <w:r>
        <w:rPr>
          <w:b/>
          <w:sz w:val="21"/>
        </w:rPr>
        <w:t>语言能力丧</w:t>
      </w:r>
      <w:r>
        <w:rPr>
          <w:b/>
          <w:spacing w:val="-10"/>
          <w:sz w:val="21"/>
        </w:rPr>
        <w:t>失</w:t>
      </w:r>
      <w:r>
        <w:rPr>
          <w:b/>
          <w:sz w:val="21"/>
        </w:rPr>
        <w:tab/>
      </w:r>
      <w:r>
        <w:rPr>
          <w:spacing w:val="-2"/>
          <w:sz w:val="21"/>
        </w:rPr>
        <w:t>指因疾病或意外伤害导致完全丧失语言能力，经过积极治疗至</w:t>
      </w:r>
      <w:r>
        <w:rPr>
          <w:spacing w:val="-10"/>
          <w:sz w:val="21"/>
        </w:rPr>
        <w:t>少</w:t>
      </w:r>
    </w:p>
    <w:p>
      <w:pPr>
        <w:pStyle w:val="3"/>
        <w:spacing w:line="244" w:lineRule="auto"/>
        <w:ind w:left="3307" w:right="621"/>
      </w:pPr>
      <w:r>
        <w:rPr>
          <w:rFonts w:ascii="Times New Roman" w:eastAsia="Times New Roman"/>
          <w:spacing w:val="-2"/>
        </w:rPr>
        <w:t>12</w:t>
      </w:r>
      <w:r>
        <w:rPr>
          <w:spacing w:val="-2"/>
        </w:rPr>
        <w:t>个月（声带完全切除不受此时间限制</w:t>
      </w:r>
      <w:r>
        <w:rPr>
          <w:spacing w:val="-106"/>
        </w:rPr>
        <w:t>）</w:t>
      </w:r>
      <w:r>
        <w:rPr>
          <w:spacing w:val="-2"/>
        </w:rPr>
        <w:t>，仍无法通过现有医疗手段恢复。</w:t>
      </w:r>
    </w:p>
    <w:p>
      <w:pPr>
        <w:pStyle w:val="3"/>
        <w:spacing w:before="6"/>
        <w:rPr>
          <w:sz w:val="20"/>
        </w:rPr>
      </w:pPr>
    </w:p>
    <w:p>
      <w:pPr>
        <w:spacing w:before="0"/>
        <w:ind w:left="3307" w:right="0" w:firstLine="0"/>
        <w:jc w:val="left"/>
        <w:rPr>
          <w:b/>
          <w:sz w:val="21"/>
        </w:rPr>
      </w:pPr>
      <w:r>
        <w:rPr>
          <w:b/>
          <w:spacing w:val="-3"/>
          <w:sz w:val="21"/>
        </w:rPr>
        <w:t>精神心理因素所致的语言能力丧失不在保障范围内。</w:t>
      </w:r>
    </w:p>
    <w:p>
      <w:pPr>
        <w:pStyle w:val="3"/>
        <w:spacing w:before="3"/>
        <w:rPr>
          <w:b/>
          <w:sz w:val="20"/>
        </w:rPr>
      </w:pPr>
    </w:p>
    <w:p>
      <w:pPr>
        <w:spacing w:before="0" w:line="242" w:lineRule="auto"/>
        <w:ind w:left="3307" w:right="590" w:firstLine="0"/>
        <w:jc w:val="both"/>
        <w:rPr>
          <w:b/>
          <w:sz w:val="21"/>
        </w:rPr>
      </w:pPr>
      <w:r>
        <w:rPr>
          <w:b/>
          <w:spacing w:val="-3"/>
          <w:w w:val="100"/>
          <w:sz w:val="21"/>
        </w:rPr>
        <w:t>特别声明：我们将在被保险人年龄在三周岁或以上时受理理赔，</w:t>
      </w:r>
      <w:r>
        <w:rPr>
          <w:b/>
          <w:spacing w:val="3"/>
          <w:w w:val="100"/>
          <w:sz w:val="21"/>
        </w:rPr>
        <w:t>并且保险金申请人必须提供理赔受理当时的语言能力丧失诊断</w:t>
      </w:r>
      <w:r>
        <w:rPr>
          <w:b/>
          <w:spacing w:val="-3"/>
          <w:w w:val="100"/>
          <w:sz w:val="21"/>
        </w:rPr>
        <w:t>及检查证据。若被保险人发病时不足三周岁，我们将延期到被保险人年满三周岁后予以受理和评估。</w:t>
      </w:r>
    </w:p>
    <w:p>
      <w:pPr>
        <w:pStyle w:val="3"/>
        <w:spacing w:before="4"/>
        <w:rPr>
          <w:b/>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2" w:after="0" w:line="240" w:lineRule="auto"/>
        <w:ind w:left="1338" w:right="0" w:hanging="1005"/>
        <w:jc w:val="left"/>
        <w:rPr>
          <w:b/>
          <w:sz w:val="21"/>
        </w:rPr>
      </w:pPr>
      <w:r>
        <w:rPr>
          <w:b/>
          <w:spacing w:val="-2"/>
          <w:sz w:val="21"/>
        </w:rPr>
        <w:t>重型再生障碍性贫</w:t>
      </w:r>
    </w:p>
    <w:p>
      <w:pPr>
        <w:spacing w:before="5"/>
        <w:ind w:left="1338" w:right="0" w:firstLine="0"/>
        <w:jc w:val="left"/>
        <w:rPr>
          <w:b/>
          <w:sz w:val="21"/>
        </w:rPr>
      </w:pPr>
      <w:r>
        <w:rPr>
          <w:b/>
          <w:w w:val="100"/>
          <w:sz w:val="21"/>
        </w:rPr>
        <w:t>血</w:t>
      </w:r>
    </w:p>
    <w:p>
      <w:pPr>
        <w:pStyle w:val="3"/>
        <w:spacing w:before="98" w:line="244" w:lineRule="auto"/>
        <w:ind w:left="162" w:right="619"/>
      </w:pPr>
      <w:r>
        <w:br w:type="column"/>
      </w:r>
      <w:r>
        <w:rPr>
          <w:spacing w:val="-2"/>
        </w:rPr>
        <w:t>指因骨髓造血功能慢性持续性衰竭导致的贫血、中性粒细胞减少及血小板减少。须满足下列全部条件：</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8"/>
        <w:numPr>
          <w:ilvl w:val="0"/>
          <w:numId w:val="72"/>
        </w:numPr>
        <w:tabs>
          <w:tab w:val="left" w:pos="3837"/>
        </w:tabs>
        <w:spacing w:before="51" w:after="0" w:line="240" w:lineRule="auto"/>
        <w:ind w:left="3836" w:right="0" w:hanging="530"/>
        <w:jc w:val="left"/>
        <w:rPr>
          <w:sz w:val="21"/>
        </w:rPr>
      </w:pPr>
      <w:r>
        <w:rPr>
          <w:spacing w:val="-3"/>
          <w:sz w:val="21"/>
        </w:rPr>
        <w:t>骨髓穿刺检查或骨髓活检结果支持诊断；</w:t>
      </w:r>
    </w:p>
    <w:p>
      <w:pPr>
        <w:pStyle w:val="8"/>
        <w:numPr>
          <w:ilvl w:val="0"/>
          <w:numId w:val="72"/>
        </w:numPr>
        <w:tabs>
          <w:tab w:val="left" w:pos="3837"/>
        </w:tabs>
        <w:spacing w:before="4" w:after="0" w:line="240" w:lineRule="auto"/>
        <w:ind w:left="3836" w:right="0" w:hanging="530"/>
        <w:jc w:val="left"/>
        <w:rPr>
          <w:sz w:val="21"/>
        </w:rPr>
      </w:pPr>
      <w:r>
        <w:rPr>
          <w:spacing w:val="-3"/>
          <w:sz w:val="21"/>
        </w:rPr>
        <w:t>外周血象须具备以下三项条件：</w:t>
      </w:r>
    </w:p>
    <w:p>
      <w:pPr>
        <w:pStyle w:val="3"/>
        <w:spacing w:before="5" w:line="269" w:lineRule="exact"/>
        <w:ind w:left="3816"/>
      </w:pPr>
      <w:r>
        <w:rPr>
          <w:spacing w:val="-5"/>
        </w:rPr>
        <w:t>① 中性粒细胞绝对值≤</w:t>
      </w:r>
      <w:r>
        <w:rPr>
          <w:rFonts w:ascii="Times New Roman" w:hAnsi="Times New Roman" w:eastAsia="Times New Roman"/>
        </w:rPr>
        <w:t>0.5×10</w:t>
      </w:r>
      <w:r>
        <w:rPr>
          <w:rFonts w:ascii="Times New Roman" w:hAnsi="Times New Roman" w:eastAsia="Times New Roman"/>
          <w:spacing w:val="-30"/>
        </w:rPr>
        <w:t xml:space="preserve"> </w:t>
      </w:r>
      <w:r>
        <w:rPr>
          <w:rFonts w:ascii="Times New Roman" w:hAnsi="Times New Roman" w:eastAsia="Times New Roman"/>
          <w:vertAlign w:val="superscript"/>
        </w:rPr>
        <w:t>9</w:t>
      </w:r>
      <w:r>
        <w:rPr>
          <w:rFonts w:ascii="Times New Roman" w:hAnsi="Times New Roman" w:eastAsia="Times New Roman"/>
          <w:vertAlign w:val="baseline"/>
        </w:rPr>
        <w:t>/L</w:t>
      </w:r>
      <w:r>
        <w:rPr>
          <w:rFonts w:ascii="Times New Roman" w:hAnsi="Times New Roman" w:eastAsia="Times New Roman"/>
          <w:spacing w:val="20"/>
          <w:vertAlign w:val="baseline"/>
        </w:rPr>
        <w:t xml:space="preserve"> </w:t>
      </w:r>
      <w:r>
        <w:rPr>
          <w:spacing w:val="-10"/>
          <w:vertAlign w:val="baseline"/>
        </w:rPr>
        <w:t>；</w:t>
      </w:r>
    </w:p>
    <w:p>
      <w:pPr>
        <w:pStyle w:val="3"/>
        <w:ind w:left="3816"/>
      </w:pPr>
      <w:r>
        <w:rPr>
          <w:spacing w:val="-3"/>
        </w:rPr>
        <w:t>② 网织红细胞＜</w:t>
      </w:r>
      <w:r>
        <w:rPr>
          <w:rFonts w:ascii="Times New Roman" w:hAnsi="Times New Roman" w:eastAsia="Times New Roman"/>
          <w:spacing w:val="-4"/>
        </w:rPr>
        <w:t>1%</w:t>
      </w:r>
      <w:r>
        <w:rPr>
          <w:spacing w:val="-4"/>
        </w:rPr>
        <w:t>；</w:t>
      </w:r>
    </w:p>
    <w:p>
      <w:pPr>
        <w:pStyle w:val="3"/>
        <w:spacing w:before="5"/>
        <w:ind w:left="3816"/>
      </w:pPr>
      <w:r>
        <w:rPr>
          <w:spacing w:val="-5"/>
        </w:rPr>
        <w:t>③ 血小板绝对值≤</w:t>
      </w:r>
      <w:r>
        <w:rPr>
          <w:rFonts w:ascii="Times New Roman" w:hAnsi="Times New Roman" w:eastAsia="Times New Roman"/>
          <w:spacing w:val="-2"/>
        </w:rPr>
        <w:t>20×10</w:t>
      </w:r>
      <w:r>
        <w:rPr>
          <w:rFonts w:ascii="Times New Roman" w:hAnsi="Times New Roman" w:eastAsia="Times New Roman"/>
          <w:spacing w:val="-30"/>
        </w:rPr>
        <w:t xml:space="preserve"> </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10"/>
          <w:vertAlign w:val="baseline"/>
        </w:rPr>
        <w:t>。</w:t>
      </w:r>
    </w:p>
    <w:p>
      <w:pPr>
        <w:pStyle w:val="3"/>
        <w:spacing w:before="8"/>
        <w:rPr>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主动脉手</w:t>
      </w:r>
      <w:r>
        <w:rPr>
          <w:b/>
          <w:spacing w:val="-10"/>
          <w:sz w:val="21"/>
        </w:rPr>
        <w:t>术</w:t>
      </w:r>
      <w:r>
        <w:rPr>
          <w:b/>
          <w:sz w:val="21"/>
        </w:rPr>
        <w:tab/>
      </w:r>
      <w:r>
        <w:rPr>
          <w:spacing w:val="-2"/>
          <w:sz w:val="21"/>
        </w:rPr>
        <w:t>指为治疗主动脉疾病</w:t>
      </w:r>
      <w:r>
        <w:rPr>
          <w:spacing w:val="-63"/>
          <w:sz w:val="21"/>
        </w:rPr>
        <w:t>，</w:t>
      </w:r>
      <w:r>
        <w:rPr>
          <w:spacing w:val="-2"/>
          <w:sz w:val="21"/>
        </w:rPr>
        <w:t>实际实施了开胸或开腹进行的切除</w:t>
      </w:r>
      <w:r>
        <w:rPr>
          <w:spacing w:val="-58"/>
          <w:sz w:val="21"/>
        </w:rPr>
        <w:t>、</w:t>
      </w:r>
      <w:r>
        <w:rPr>
          <w:spacing w:val="-2"/>
          <w:sz w:val="21"/>
        </w:rPr>
        <w:t>置换</w:t>
      </w:r>
      <w:r>
        <w:rPr>
          <w:spacing w:val="-10"/>
          <w:sz w:val="21"/>
        </w:rPr>
        <w:t>、</w:t>
      </w:r>
    </w:p>
    <w:p>
      <w:pPr>
        <w:pStyle w:val="3"/>
        <w:spacing w:before="4" w:line="244" w:lineRule="auto"/>
        <w:ind w:left="3307" w:right="619"/>
      </w:pPr>
      <w:r>
        <w:rPr>
          <w:spacing w:val="-2"/>
        </w:rPr>
        <w:t>修补病损主动脉血管的手术。主动脉指胸主动脉和腹主动脉，不包括胸主动脉和腹主动脉的分支血管。</w:t>
      </w:r>
    </w:p>
    <w:p>
      <w:pPr>
        <w:spacing w:before="0" w:line="263" w:lineRule="exact"/>
        <w:ind w:left="3307" w:right="0" w:firstLine="0"/>
        <w:jc w:val="left"/>
        <w:rPr>
          <w:b/>
          <w:sz w:val="21"/>
        </w:rPr>
      </w:pPr>
      <w:r>
        <w:rPr>
          <w:b/>
          <w:spacing w:val="-1"/>
          <w:sz w:val="21"/>
        </w:rPr>
        <w:t>动脉内血管成形术不在保障范围内。</w:t>
      </w:r>
    </w:p>
    <w:p>
      <w:pPr>
        <w:pStyle w:val="3"/>
        <w:rPr>
          <w:b/>
          <w:sz w:val="19"/>
        </w:rPr>
      </w:pPr>
    </w:p>
    <w:p>
      <w:pPr>
        <w:pStyle w:val="8"/>
        <w:numPr>
          <w:ilvl w:val="1"/>
          <w:numId w:val="32"/>
        </w:numPr>
        <w:tabs>
          <w:tab w:val="left" w:pos="1338"/>
          <w:tab w:val="left" w:pos="1339"/>
          <w:tab w:val="left" w:pos="3307"/>
        </w:tabs>
        <w:spacing w:before="1" w:after="0" w:line="275" w:lineRule="exact"/>
        <w:ind w:left="1338" w:right="0" w:hanging="1005"/>
        <w:jc w:val="left"/>
        <w:rPr>
          <w:sz w:val="21"/>
        </w:rPr>
      </w:pPr>
      <w:r>
        <w:rPr>
          <w:b/>
          <w:sz w:val="21"/>
        </w:rPr>
        <w:t>严重心肌</w:t>
      </w:r>
      <w:r>
        <w:rPr>
          <w:b/>
          <w:spacing w:val="-10"/>
          <w:sz w:val="21"/>
        </w:rPr>
        <w:t>病</w:t>
      </w:r>
      <w:r>
        <w:rPr>
          <w:b/>
          <w:sz w:val="21"/>
        </w:rPr>
        <w:tab/>
      </w:r>
      <w:r>
        <w:rPr>
          <w:sz w:val="21"/>
        </w:rPr>
        <w:t>指被保险人因心肌病导致慢性心功能损害造成永久不可逆性</w:t>
      </w:r>
      <w:r>
        <w:rPr>
          <w:spacing w:val="-10"/>
          <w:sz w:val="21"/>
        </w:rPr>
        <w:t>的</w:t>
      </w:r>
    </w:p>
    <w:p>
      <w:pPr>
        <w:pStyle w:val="3"/>
        <w:spacing w:line="244" w:lineRule="auto"/>
        <w:ind w:left="3307" w:right="621"/>
      </w:pPr>
      <w:r>
        <w:rPr>
          <w:spacing w:val="-2"/>
        </w:rPr>
        <w:t>体力活动能力受限，达到美国纽约心脏病学会心功能状态分级</w:t>
      </w:r>
      <w:r>
        <w:rPr>
          <w:rFonts w:ascii="Times New Roman" w:eastAsia="Times New Roman"/>
          <w:spacing w:val="-2"/>
        </w:rPr>
        <w:t>IV</w:t>
      </w:r>
      <w:r>
        <w:rPr>
          <w:spacing w:val="-6"/>
        </w:rPr>
        <w:t>级。</w:t>
      </w:r>
    </w:p>
    <w:p>
      <w:pPr>
        <w:pStyle w:val="3"/>
        <w:spacing w:line="267" w:lineRule="exact"/>
        <w:ind w:left="3307"/>
      </w:pPr>
      <w:r>
        <w:rPr>
          <w:spacing w:val="-3"/>
        </w:rPr>
        <w:t>心肌病必须经医院的超声心动图检查来确认。</w:t>
      </w:r>
    </w:p>
    <w:p>
      <w:pPr>
        <w:spacing w:before="0"/>
        <w:ind w:left="3307" w:right="0" w:firstLine="0"/>
        <w:jc w:val="left"/>
        <w:rPr>
          <w:b/>
          <w:sz w:val="21"/>
        </w:rPr>
      </w:pPr>
      <w:r>
        <w:rPr>
          <w:b/>
          <w:spacing w:val="-3"/>
          <w:sz w:val="21"/>
        </w:rPr>
        <w:t>因酗酒或药物滥用导致的心肌病不在保障范围内。</w:t>
      </w:r>
    </w:p>
    <w:p>
      <w:pPr>
        <w:pStyle w:val="3"/>
        <w:rPr>
          <w:b/>
          <w:sz w:val="19"/>
        </w:rPr>
      </w:pPr>
    </w:p>
    <w:p>
      <w:pPr>
        <w:pStyle w:val="8"/>
        <w:numPr>
          <w:ilvl w:val="1"/>
          <w:numId w:val="32"/>
        </w:numPr>
        <w:tabs>
          <w:tab w:val="left" w:pos="1338"/>
          <w:tab w:val="left" w:pos="1339"/>
          <w:tab w:val="left" w:pos="3307"/>
        </w:tabs>
        <w:spacing w:before="0" w:after="0" w:line="275" w:lineRule="exact"/>
        <w:ind w:left="1338" w:right="0" w:hanging="1005"/>
        <w:jc w:val="left"/>
        <w:rPr>
          <w:sz w:val="21"/>
        </w:rPr>
      </w:pPr>
      <w:r>
        <w:rPr>
          <w:b/>
          <w:sz w:val="21"/>
        </w:rPr>
        <w:t>慢性肺功能衰</w:t>
      </w:r>
      <w:r>
        <w:rPr>
          <w:b/>
          <w:spacing w:val="-10"/>
          <w:sz w:val="21"/>
        </w:rPr>
        <w:t>竭</w:t>
      </w:r>
      <w:r>
        <w:rPr>
          <w:b/>
          <w:sz w:val="21"/>
        </w:rPr>
        <w:tab/>
      </w:r>
      <w:r>
        <w:rPr>
          <w:spacing w:val="-2"/>
          <w:sz w:val="21"/>
        </w:rPr>
        <w:t>慢性肺部疾病导致永久不可逆性的慢性呼吸功能衰竭，必须符</w:t>
      </w:r>
      <w:r>
        <w:rPr>
          <w:spacing w:val="-10"/>
          <w:sz w:val="21"/>
        </w:rPr>
        <w:t>合</w:t>
      </w:r>
    </w:p>
    <w:p>
      <w:pPr>
        <w:pStyle w:val="3"/>
        <w:ind w:left="3307"/>
      </w:pPr>
      <w:r>
        <w:rPr>
          <w:spacing w:val="-4"/>
        </w:rPr>
        <w:t>下列所有条件：</w:t>
      </w:r>
    </w:p>
    <w:p>
      <w:pPr>
        <w:pStyle w:val="8"/>
        <w:numPr>
          <w:ilvl w:val="0"/>
          <w:numId w:val="73"/>
        </w:numPr>
        <w:tabs>
          <w:tab w:val="left" w:pos="3837"/>
        </w:tabs>
        <w:spacing w:before="4" w:after="0" w:line="240" w:lineRule="auto"/>
        <w:ind w:left="3836" w:right="0" w:hanging="530"/>
        <w:jc w:val="left"/>
        <w:rPr>
          <w:sz w:val="21"/>
        </w:rPr>
      </w:pPr>
      <w:r>
        <w:rPr>
          <w:spacing w:val="-3"/>
          <w:sz w:val="21"/>
        </w:rPr>
        <w:t>休息时出现呼吸困难；</w:t>
      </w:r>
    </w:p>
    <w:p>
      <w:pPr>
        <w:pStyle w:val="8"/>
        <w:numPr>
          <w:ilvl w:val="0"/>
          <w:numId w:val="73"/>
        </w:numPr>
        <w:tabs>
          <w:tab w:val="left" w:pos="3837"/>
        </w:tabs>
        <w:spacing w:before="5" w:after="0" w:line="269" w:lineRule="exact"/>
        <w:ind w:left="3836" w:right="0" w:hanging="530"/>
        <w:jc w:val="left"/>
        <w:rPr>
          <w:sz w:val="21"/>
        </w:rPr>
      </w:pPr>
      <w:r>
        <w:rPr>
          <w:spacing w:val="-2"/>
          <w:sz w:val="21"/>
        </w:rPr>
        <w:t>动脉血氧分压（</w:t>
      </w:r>
      <w:r>
        <w:rPr>
          <w:rFonts w:ascii="Times New Roman" w:eastAsia="Times New Roman"/>
          <w:spacing w:val="-2"/>
          <w:sz w:val="21"/>
        </w:rPr>
        <w:t>PaO</w:t>
      </w:r>
      <w:r>
        <w:rPr>
          <w:rFonts w:ascii="Times New Roman" w:eastAsia="Times New Roman"/>
          <w:spacing w:val="-2"/>
          <w:sz w:val="21"/>
          <w:vertAlign w:val="subscript"/>
        </w:rPr>
        <w:t>2</w:t>
      </w:r>
      <w:r>
        <w:rPr>
          <w:spacing w:val="-2"/>
          <w:sz w:val="21"/>
          <w:vertAlign w:val="baseline"/>
        </w:rPr>
        <w:t>）</w:t>
      </w:r>
      <w:r>
        <w:rPr>
          <w:rFonts w:ascii="Times New Roman" w:eastAsia="Times New Roman"/>
          <w:spacing w:val="5"/>
          <w:sz w:val="21"/>
          <w:vertAlign w:val="baseline"/>
        </w:rPr>
        <w:t xml:space="preserve">&lt; </w:t>
      </w:r>
      <w:r>
        <w:rPr>
          <w:rFonts w:ascii="Times New Roman" w:eastAsia="Times New Roman"/>
          <w:spacing w:val="-2"/>
          <w:sz w:val="21"/>
          <w:vertAlign w:val="baseline"/>
        </w:rPr>
        <w:t>50mmHg</w:t>
      </w:r>
      <w:r>
        <w:rPr>
          <w:spacing w:val="-2"/>
          <w:sz w:val="21"/>
          <w:vertAlign w:val="baseline"/>
        </w:rPr>
        <w:t>；</w:t>
      </w:r>
    </w:p>
    <w:p>
      <w:pPr>
        <w:pStyle w:val="8"/>
        <w:numPr>
          <w:ilvl w:val="0"/>
          <w:numId w:val="73"/>
        </w:numPr>
        <w:tabs>
          <w:tab w:val="left" w:pos="3837"/>
        </w:tabs>
        <w:spacing w:before="0" w:after="0" w:line="240" w:lineRule="auto"/>
        <w:ind w:left="3836" w:right="0" w:hanging="530"/>
        <w:jc w:val="left"/>
        <w:rPr>
          <w:sz w:val="21"/>
        </w:rPr>
      </w:pPr>
      <w:r>
        <w:rPr>
          <w:spacing w:val="-2"/>
          <w:sz w:val="21"/>
        </w:rPr>
        <w:t>动脉血氧饱和度（</w:t>
      </w:r>
      <w:r>
        <w:rPr>
          <w:rFonts w:ascii="Times New Roman" w:eastAsia="Times New Roman"/>
          <w:spacing w:val="-2"/>
          <w:sz w:val="21"/>
        </w:rPr>
        <w:t>SaO</w:t>
      </w:r>
      <w:r>
        <w:rPr>
          <w:rFonts w:ascii="Times New Roman" w:eastAsia="Times New Roman"/>
          <w:spacing w:val="-2"/>
          <w:sz w:val="21"/>
          <w:vertAlign w:val="subscript"/>
        </w:rPr>
        <w:t>2</w:t>
      </w:r>
      <w:r>
        <w:rPr>
          <w:spacing w:val="-2"/>
          <w:sz w:val="21"/>
          <w:vertAlign w:val="baseline"/>
        </w:rPr>
        <w:t>）</w:t>
      </w:r>
      <w:r>
        <w:rPr>
          <w:rFonts w:ascii="Times New Roman" w:eastAsia="Times New Roman"/>
          <w:spacing w:val="3"/>
          <w:sz w:val="21"/>
          <w:vertAlign w:val="baseline"/>
        </w:rPr>
        <w:t xml:space="preserve">&lt; </w:t>
      </w:r>
      <w:r>
        <w:rPr>
          <w:rFonts w:ascii="Times New Roman" w:eastAsia="Times New Roman"/>
          <w:spacing w:val="-4"/>
          <w:sz w:val="21"/>
          <w:vertAlign w:val="baseline"/>
        </w:rPr>
        <w:t>80</w:t>
      </w:r>
      <w:r>
        <w:rPr>
          <w:spacing w:val="-4"/>
          <w:sz w:val="21"/>
          <w:vertAlign w:val="baseline"/>
        </w:rPr>
        <w:t>％；</w:t>
      </w:r>
    </w:p>
    <w:p>
      <w:pPr>
        <w:pStyle w:val="8"/>
        <w:numPr>
          <w:ilvl w:val="0"/>
          <w:numId w:val="73"/>
        </w:numPr>
        <w:tabs>
          <w:tab w:val="left" w:pos="3837"/>
        </w:tabs>
        <w:spacing w:before="4" w:after="0" w:line="240" w:lineRule="auto"/>
        <w:ind w:left="3836" w:right="0" w:hanging="530"/>
        <w:jc w:val="left"/>
        <w:rPr>
          <w:sz w:val="21"/>
        </w:rPr>
      </w:pPr>
      <w:r>
        <w:rPr>
          <w:spacing w:val="-3"/>
          <w:sz w:val="21"/>
        </w:rPr>
        <w:t>因缺氧必须接受持续的输氧治疗。</w:t>
      </w:r>
    </w:p>
    <w:p>
      <w:pPr>
        <w:pStyle w:val="3"/>
        <w:spacing w:before="8"/>
        <w:rPr>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严重多发性硬化</w:t>
      </w:r>
      <w:r>
        <w:rPr>
          <w:b/>
          <w:spacing w:val="-10"/>
          <w:sz w:val="21"/>
        </w:rPr>
        <w:t>症</w:t>
      </w:r>
      <w:r>
        <w:rPr>
          <w:b/>
          <w:sz w:val="21"/>
        </w:rPr>
        <w:tab/>
      </w:r>
      <w:r>
        <w:rPr>
          <w:spacing w:val="-2"/>
          <w:sz w:val="21"/>
        </w:rPr>
        <w:t>多发性硬化为中枢神经系统白质多灶性脱髓鞘病变。多发性硬</w:t>
      </w:r>
      <w:r>
        <w:rPr>
          <w:spacing w:val="-10"/>
          <w:sz w:val="21"/>
        </w:rPr>
        <w:t>化</w:t>
      </w:r>
    </w:p>
    <w:p>
      <w:pPr>
        <w:pStyle w:val="3"/>
        <w:spacing w:before="5" w:line="244" w:lineRule="auto"/>
        <w:ind w:left="3307" w:right="618"/>
      </w:pPr>
      <w:r>
        <w:rPr>
          <w:spacing w:val="-2"/>
        </w:rPr>
        <w:t>须由核磁共振（</w:t>
      </w:r>
      <w:r>
        <w:rPr>
          <w:rFonts w:ascii="Times New Roman" w:eastAsia="Times New Roman"/>
          <w:spacing w:val="-2"/>
        </w:rPr>
        <w:t>MRI</w:t>
      </w:r>
      <w:r>
        <w:rPr>
          <w:spacing w:val="-2"/>
        </w:rPr>
        <w:t>）等影像学检查证实，并且被保险人已永久不可逆地无法独立完成下列任何一项基本日常生活活动：</w:t>
      </w:r>
    </w:p>
    <w:p>
      <w:pPr>
        <w:pStyle w:val="8"/>
        <w:numPr>
          <w:ilvl w:val="0"/>
          <w:numId w:val="74"/>
        </w:numPr>
        <w:tabs>
          <w:tab w:val="left" w:pos="3837"/>
        </w:tabs>
        <w:spacing w:before="0" w:after="0" w:line="263" w:lineRule="exact"/>
        <w:ind w:left="3836" w:right="0" w:hanging="530"/>
        <w:jc w:val="left"/>
        <w:rPr>
          <w:sz w:val="21"/>
        </w:rPr>
      </w:pPr>
      <w:r>
        <w:rPr>
          <w:spacing w:val="-3"/>
          <w:sz w:val="21"/>
        </w:rPr>
        <w:t>移动：自己从一个房间到另一个房间；</w:t>
      </w:r>
    </w:p>
    <w:p>
      <w:pPr>
        <w:pStyle w:val="8"/>
        <w:numPr>
          <w:ilvl w:val="0"/>
          <w:numId w:val="74"/>
        </w:numPr>
        <w:tabs>
          <w:tab w:val="left" w:pos="3837"/>
        </w:tabs>
        <w:spacing w:before="4" w:after="0" w:line="240" w:lineRule="auto"/>
        <w:ind w:left="3836" w:right="0" w:hanging="530"/>
        <w:jc w:val="left"/>
        <w:rPr>
          <w:sz w:val="21"/>
        </w:rPr>
      </w:pPr>
      <w:r>
        <w:rPr>
          <w:spacing w:val="-3"/>
          <w:sz w:val="21"/>
        </w:rPr>
        <w:t>进食：自己从已准备好的碗或碟中取食物放入口中。</w:t>
      </w:r>
    </w:p>
    <w:p>
      <w:pPr>
        <w:pStyle w:val="3"/>
        <w:spacing w:before="7"/>
        <w:rPr>
          <w:sz w:val="11"/>
        </w:rPr>
      </w:pPr>
    </w:p>
    <w:p>
      <w:pPr>
        <w:spacing w:after="0"/>
        <w:rPr>
          <w:sz w:val="11"/>
        </w:rPr>
        <w:sectPr>
          <w:pgSz w:w="11910" w:h="16840"/>
          <w:pgMar w:top="1060" w:right="620" w:bottom="1040" w:left="1480" w:header="0" w:footer="851" w:gutter="0"/>
          <w:cols w:space="720" w:num="1"/>
        </w:sectPr>
      </w:pPr>
    </w:p>
    <w:p>
      <w:pPr>
        <w:pStyle w:val="8"/>
        <w:numPr>
          <w:ilvl w:val="1"/>
          <w:numId w:val="32"/>
        </w:numPr>
        <w:tabs>
          <w:tab w:val="left" w:pos="1003"/>
          <w:tab w:val="left" w:pos="1339"/>
        </w:tabs>
        <w:spacing w:before="91" w:after="0" w:line="240" w:lineRule="auto"/>
        <w:ind w:left="1338" w:right="0" w:hanging="1339"/>
        <w:jc w:val="right"/>
        <w:rPr>
          <w:b/>
          <w:sz w:val="21"/>
        </w:rPr>
      </w:pPr>
      <w:r>
        <w:rPr>
          <w:b/>
          <w:spacing w:val="-2"/>
          <w:sz w:val="21"/>
        </w:rPr>
        <w:t>因职业关系导致的</w:t>
      </w:r>
    </w:p>
    <w:p>
      <w:pPr>
        <w:spacing w:before="5"/>
        <w:ind w:left="0" w:right="0" w:firstLine="0"/>
        <w:jc w:val="right"/>
        <w:rPr>
          <w:b/>
          <w:sz w:val="21"/>
        </w:rPr>
      </w:pPr>
      <w:r>
        <w:rPr>
          <w:b/>
          <w:spacing w:val="-2"/>
          <w:sz w:val="21"/>
        </w:rPr>
        <w:t>人类免疫缺陷病毒</w:t>
      </w:r>
    </w:p>
    <w:p>
      <w:pPr>
        <w:spacing w:before="5"/>
        <w:ind w:left="1338" w:right="0" w:firstLine="0"/>
        <w:jc w:val="left"/>
        <w:rPr>
          <w:b/>
          <w:sz w:val="21"/>
        </w:rPr>
      </w:pPr>
      <w:r>
        <w:rPr>
          <w:b/>
          <w:spacing w:val="-2"/>
          <w:sz w:val="21"/>
        </w:rPr>
        <w:t>（</w:t>
      </w:r>
      <w:r>
        <w:rPr>
          <w:rFonts w:ascii="Times New Roman" w:eastAsia="Times New Roman"/>
          <w:b/>
          <w:spacing w:val="-2"/>
          <w:sz w:val="21"/>
        </w:rPr>
        <w:t>HIV</w:t>
      </w:r>
      <w:r>
        <w:rPr>
          <w:b/>
          <w:spacing w:val="-2"/>
          <w:sz w:val="21"/>
        </w:rPr>
        <w:t>）</w:t>
      </w:r>
      <w:r>
        <w:rPr>
          <w:b/>
          <w:spacing w:val="-6"/>
          <w:sz w:val="21"/>
        </w:rPr>
        <w:t>感染</w:t>
      </w:r>
    </w:p>
    <w:p>
      <w:pPr>
        <w:pStyle w:val="3"/>
        <w:spacing w:before="97" w:line="244" w:lineRule="auto"/>
        <w:ind w:left="162" w:right="619"/>
      </w:pPr>
      <w:r>
        <w:br w:type="column"/>
      </w:r>
      <w:r>
        <w:rPr>
          <w:spacing w:val="-2"/>
        </w:rPr>
        <w:t>被保险人在其常规职业工作过程中遭遇外伤，或者职业需要处理血液或者其他体液时感染上人类免疫缺陷病毒</w:t>
      </w:r>
      <w:r>
        <w:rPr>
          <w:spacing w:val="18"/>
        </w:rPr>
        <w:t>（</w:t>
      </w:r>
      <w:r>
        <w:rPr>
          <w:rFonts w:ascii="Times New Roman" w:eastAsia="Times New Roman"/>
          <w:spacing w:val="21"/>
        </w:rPr>
        <w:t>H</w:t>
      </w:r>
      <w:r>
        <w:rPr>
          <w:rFonts w:ascii="Times New Roman" w:eastAsia="Times New Roman"/>
          <w:spacing w:val="17"/>
        </w:rPr>
        <w:t>IV</w:t>
      </w:r>
      <w:r>
        <w:rPr>
          <w:spacing w:val="-85"/>
        </w:rPr>
        <w:t>）</w:t>
      </w:r>
      <w:r>
        <w:rPr>
          <w:spacing w:val="-106"/>
        </w:rPr>
        <w:t>。</w:t>
      </w:r>
    </w:p>
    <w:p>
      <w:pPr>
        <w:pStyle w:val="3"/>
        <w:spacing w:line="267" w:lineRule="exact"/>
        <w:ind w:left="162"/>
      </w:pPr>
      <w:r>
        <w:rPr>
          <w:spacing w:val="-3"/>
        </w:rPr>
        <w:t>必须满足下列全部条件：</w:t>
      </w:r>
    </w:p>
    <w:p>
      <w:pPr>
        <w:pStyle w:val="8"/>
        <w:numPr>
          <w:ilvl w:val="0"/>
          <w:numId w:val="75"/>
        </w:numPr>
        <w:tabs>
          <w:tab w:val="left" w:pos="702"/>
        </w:tabs>
        <w:spacing w:before="0" w:after="0" w:line="244" w:lineRule="auto"/>
        <w:ind w:left="685" w:right="621" w:hanging="524"/>
        <w:jc w:val="left"/>
        <w:rPr>
          <w:sz w:val="21"/>
        </w:rPr>
      </w:pPr>
      <w:r>
        <w:rPr>
          <w:spacing w:val="-2"/>
          <w:sz w:val="21"/>
        </w:rPr>
        <w:t>感染必须是在被保险人正在从事其职业工作中发生，该职业必须属于以下列表内的职业；</w:t>
      </w:r>
    </w:p>
    <w:p>
      <w:pPr>
        <w:pStyle w:val="8"/>
        <w:numPr>
          <w:ilvl w:val="0"/>
          <w:numId w:val="75"/>
        </w:numPr>
        <w:tabs>
          <w:tab w:val="left" w:pos="692"/>
        </w:tabs>
        <w:spacing w:before="0" w:after="0" w:line="268" w:lineRule="exact"/>
        <w:ind w:left="691" w:right="0" w:hanging="530"/>
        <w:jc w:val="left"/>
        <w:rPr>
          <w:sz w:val="21"/>
        </w:rPr>
      </w:pPr>
      <w:r>
        <w:rPr>
          <w:spacing w:val="-2"/>
          <w:sz w:val="21"/>
        </w:rPr>
        <w:t>血清转化必须出现在事故发生后的</w:t>
      </w:r>
      <w:r>
        <w:rPr>
          <w:rFonts w:ascii="Times New Roman" w:eastAsia="Times New Roman"/>
          <w:spacing w:val="-2"/>
          <w:sz w:val="21"/>
        </w:rPr>
        <w:t>6</w:t>
      </w:r>
      <w:r>
        <w:rPr>
          <w:spacing w:val="-4"/>
          <w:sz w:val="21"/>
        </w:rPr>
        <w:t>个月以内；</w:t>
      </w:r>
    </w:p>
    <w:p>
      <w:pPr>
        <w:pStyle w:val="8"/>
        <w:numPr>
          <w:ilvl w:val="0"/>
          <w:numId w:val="75"/>
        </w:numPr>
        <w:tabs>
          <w:tab w:val="left" w:pos="692"/>
        </w:tabs>
        <w:spacing w:before="5" w:after="0" w:line="242" w:lineRule="auto"/>
        <w:ind w:left="685" w:right="617" w:hanging="524"/>
        <w:jc w:val="both"/>
        <w:rPr>
          <w:sz w:val="21"/>
        </w:rPr>
      </w:pPr>
      <w:r>
        <w:rPr>
          <w:spacing w:val="-2"/>
          <w:sz w:val="21"/>
        </w:rPr>
        <w:t>必须提供被保险人在所报事故发生后的</w:t>
      </w:r>
      <w:r>
        <w:rPr>
          <w:rFonts w:ascii="Times New Roman" w:eastAsia="Times New Roman"/>
          <w:spacing w:val="-2"/>
          <w:sz w:val="21"/>
        </w:rPr>
        <w:t>5</w:t>
      </w:r>
      <w:r>
        <w:rPr>
          <w:spacing w:val="-2"/>
          <w:sz w:val="21"/>
        </w:rPr>
        <w:t>天以内进行的检查</w:t>
      </w:r>
      <w:r>
        <w:rPr>
          <w:spacing w:val="-11"/>
          <w:sz w:val="21"/>
        </w:rPr>
        <w:t>报告，该报告必须显示被保险人血液</w:t>
      </w:r>
      <w:r>
        <w:rPr>
          <w:rFonts w:ascii="Times New Roman" w:eastAsia="Times New Roman"/>
          <w:spacing w:val="-2"/>
          <w:sz w:val="21"/>
        </w:rPr>
        <w:t>HIV</w:t>
      </w:r>
      <w:r>
        <w:rPr>
          <w:spacing w:val="-2"/>
          <w:sz w:val="21"/>
        </w:rPr>
        <w:t>病毒阴性和</w:t>
      </w:r>
      <w:r>
        <w:rPr>
          <w:rFonts w:ascii="Times New Roman" w:eastAsia="Times New Roman"/>
          <w:spacing w:val="-2"/>
          <w:sz w:val="21"/>
        </w:rPr>
        <w:t>/</w:t>
      </w:r>
      <w:r>
        <w:rPr>
          <w:spacing w:val="-2"/>
          <w:sz w:val="21"/>
        </w:rPr>
        <w:t>或</w:t>
      </w:r>
      <w:r>
        <w:rPr>
          <w:rFonts w:ascii="Times New Roman" w:eastAsia="Times New Roman"/>
          <w:spacing w:val="-2"/>
          <w:sz w:val="21"/>
        </w:rPr>
        <w:t>HIV</w:t>
      </w:r>
      <w:r>
        <w:rPr>
          <w:spacing w:val="-2"/>
          <w:sz w:val="21"/>
        </w:rPr>
        <w:t>抗体阴性；</w:t>
      </w:r>
    </w:p>
    <w:p>
      <w:pPr>
        <w:pStyle w:val="8"/>
        <w:numPr>
          <w:ilvl w:val="0"/>
          <w:numId w:val="75"/>
        </w:numPr>
        <w:tabs>
          <w:tab w:val="left" w:pos="692"/>
        </w:tabs>
        <w:spacing w:before="1" w:after="0" w:line="244" w:lineRule="auto"/>
        <w:ind w:left="685" w:right="621" w:hanging="524"/>
        <w:jc w:val="left"/>
        <w:rPr>
          <w:sz w:val="21"/>
        </w:rPr>
      </w:pPr>
      <w:r>
        <w:rPr>
          <w:spacing w:val="-3"/>
          <w:w w:val="100"/>
          <w:sz w:val="21"/>
        </w:rPr>
        <w:t>必须在事故发生后的</w:t>
      </w:r>
      <w:r>
        <w:rPr>
          <w:rFonts w:ascii="Times New Roman" w:eastAsia="Times New Roman"/>
          <w:w w:val="100"/>
          <w:sz w:val="21"/>
        </w:rPr>
        <w:t>12</w:t>
      </w:r>
      <w:r>
        <w:rPr>
          <w:spacing w:val="-5"/>
          <w:w w:val="100"/>
          <w:sz w:val="21"/>
        </w:rPr>
        <w:t>个月内证实被保险人体内存在</w:t>
      </w:r>
      <w:r>
        <w:rPr>
          <w:rFonts w:ascii="Times New Roman" w:eastAsia="Times New Roman"/>
          <w:w w:val="100"/>
          <w:sz w:val="21"/>
        </w:rPr>
        <w:t>H</w:t>
      </w:r>
      <w:r>
        <w:rPr>
          <w:rFonts w:ascii="Times New Roman" w:eastAsia="Times New Roman"/>
          <w:spacing w:val="-4"/>
          <w:w w:val="100"/>
          <w:sz w:val="21"/>
        </w:rPr>
        <w:t>I</w:t>
      </w:r>
      <w:r>
        <w:rPr>
          <w:rFonts w:ascii="Times New Roman" w:eastAsia="Times New Roman"/>
          <w:spacing w:val="-3"/>
          <w:w w:val="100"/>
          <w:sz w:val="21"/>
        </w:rPr>
        <w:t>V</w:t>
      </w:r>
      <w:r>
        <w:rPr>
          <w:spacing w:val="-3"/>
          <w:w w:val="100"/>
          <w:sz w:val="21"/>
        </w:rPr>
        <w:t>病毒或者</w:t>
      </w:r>
      <w:r>
        <w:rPr>
          <w:rFonts w:ascii="Times New Roman" w:eastAsia="Times New Roman"/>
          <w:w w:val="100"/>
          <w:sz w:val="21"/>
        </w:rPr>
        <w:t>H</w:t>
      </w:r>
      <w:r>
        <w:rPr>
          <w:rFonts w:ascii="Times New Roman" w:eastAsia="Times New Roman"/>
          <w:spacing w:val="-4"/>
          <w:w w:val="100"/>
          <w:sz w:val="21"/>
        </w:rPr>
        <w:t>IV</w:t>
      </w:r>
      <w:r>
        <w:rPr>
          <w:w w:val="100"/>
          <w:sz w:val="21"/>
        </w:rPr>
        <w:t>抗体。</w:t>
      </w:r>
    </w:p>
    <w:p>
      <w:pPr>
        <w:pStyle w:val="3"/>
        <w:spacing w:line="263" w:lineRule="exact"/>
        <w:ind w:left="162"/>
        <w:rPr>
          <w:rFonts w:ascii="Times New Roman" w:eastAsia="Times New Roman"/>
        </w:rPr>
      </w:pPr>
      <w:r>
        <w:rPr>
          <w:spacing w:val="-2"/>
        </w:rPr>
        <w:t>职业限制如下所示</w:t>
      </w:r>
      <w:r>
        <w:rPr>
          <w:rFonts w:ascii="Times New Roman" w:eastAsia="Times New Roman"/>
          <w:spacing w:val="-10"/>
        </w:rPr>
        <w:t>:</w:t>
      </w:r>
    </w:p>
    <w:p>
      <w:pPr>
        <w:spacing w:after="0" w:line="263" w:lineRule="exact"/>
        <w:rPr>
          <w:rFonts w:ascii="Times New Roman" w:eastAsia="Times New Roman"/>
        </w:rPr>
        <w:sectPr>
          <w:type w:val="continuous"/>
          <w:pgSz w:w="11910" w:h="16840"/>
          <w:pgMar w:top="320" w:right="620" w:bottom="280" w:left="1480" w:header="0" w:footer="851" w:gutter="0"/>
          <w:cols w:equalWidth="0" w:num="2">
            <w:col w:w="3106" w:space="40"/>
            <w:col w:w="6664"/>
          </w:cols>
        </w:sectPr>
      </w:pPr>
    </w:p>
    <w:tbl>
      <w:tblPr>
        <w:tblStyle w:val="5"/>
        <w:tblW w:w="0" w:type="auto"/>
        <w:tblInd w:w="33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53"/>
        <w:gridCol w:w="29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53" w:type="dxa"/>
          </w:tcPr>
          <w:p>
            <w:pPr>
              <w:pStyle w:val="9"/>
              <w:spacing w:before="87" w:line="252" w:lineRule="exact"/>
              <w:ind w:left="494"/>
              <w:rPr>
                <w:sz w:val="21"/>
              </w:rPr>
            </w:pPr>
            <w:r>
              <w:rPr>
                <w:spacing w:val="-4"/>
                <w:sz w:val="21"/>
              </w:rPr>
              <w:t>医师和牙科医师</w:t>
            </w:r>
          </w:p>
        </w:tc>
        <w:tc>
          <w:tcPr>
            <w:tcW w:w="2911" w:type="dxa"/>
          </w:tcPr>
          <w:p>
            <w:pPr>
              <w:pStyle w:val="9"/>
              <w:spacing w:before="87" w:line="252" w:lineRule="exact"/>
              <w:ind w:left="494"/>
              <w:rPr>
                <w:sz w:val="21"/>
              </w:rPr>
            </w:pPr>
            <w:r>
              <w:rPr>
                <w:spacing w:val="-5"/>
                <w:sz w:val="21"/>
              </w:rPr>
              <w:t>护士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53" w:type="dxa"/>
          </w:tcPr>
          <w:p>
            <w:pPr>
              <w:pStyle w:val="9"/>
              <w:spacing w:before="87" w:line="252" w:lineRule="exact"/>
              <w:ind w:left="494"/>
              <w:rPr>
                <w:sz w:val="21"/>
              </w:rPr>
            </w:pPr>
            <w:r>
              <w:rPr>
                <w:spacing w:val="-4"/>
                <w:sz w:val="21"/>
              </w:rPr>
              <w:t>实验室工作人员</w:t>
            </w:r>
          </w:p>
        </w:tc>
        <w:tc>
          <w:tcPr>
            <w:tcW w:w="2911" w:type="dxa"/>
          </w:tcPr>
          <w:p>
            <w:pPr>
              <w:pStyle w:val="9"/>
              <w:spacing w:before="87" w:line="252" w:lineRule="exact"/>
              <w:ind w:left="494"/>
              <w:rPr>
                <w:sz w:val="21"/>
              </w:rPr>
            </w:pPr>
            <w:r>
              <w:rPr>
                <w:spacing w:val="-3"/>
                <w:sz w:val="21"/>
              </w:rPr>
              <w:t>医院护工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953" w:type="dxa"/>
          </w:tcPr>
          <w:p>
            <w:pPr>
              <w:pStyle w:val="9"/>
              <w:spacing w:before="87" w:line="252" w:lineRule="exact"/>
              <w:ind w:left="494"/>
              <w:rPr>
                <w:sz w:val="21"/>
              </w:rPr>
            </w:pPr>
            <w:r>
              <w:rPr>
                <w:spacing w:val="-3"/>
                <w:sz w:val="21"/>
              </w:rPr>
              <w:t>医师助理和牙医助理</w:t>
            </w:r>
          </w:p>
        </w:tc>
        <w:tc>
          <w:tcPr>
            <w:tcW w:w="2911" w:type="dxa"/>
          </w:tcPr>
          <w:p>
            <w:pPr>
              <w:pStyle w:val="9"/>
              <w:spacing w:before="87" w:line="252" w:lineRule="exact"/>
              <w:ind w:left="494"/>
              <w:rPr>
                <w:sz w:val="21"/>
              </w:rPr>
            </w:pPr>
            <w:r>
              <w:rPr>
                <w:spacing w:val="-4"/>
                <w:sz w:val="21"/>
              </w:rPr>
              <w:t>救护车工作人员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953" w:type="dxa"/>
          </w:tcPr>
          <w:p>
            <w:pPr>
              <w:pStyle w:val="9"/>
              <w:spacing w:before="88" w:line="257" w:lineRule="exact"/>
              <w:ind w:left="494"/>
              <w:rPr>
                <w:sz w:val="21"/>
              </w:rPr>
            </w:pPr>
            <w:r>
              <w:rPr>
                <w:spacing w:val="-4"/>
                <w:sz w:val="21"/>
              </w:rPr>
              <w:t>助产士</w:t>
            </w:r>
          </w:p>
        </w:tc>
        <w:tc>
          <w:tcPr>
            <w:tcW w:w="2911" w:type="dxa"/>
          </w:tcPr>
          <w:p>
            <w:pPr>
              <w:pStyle w:val="9"/>
              <w:spacing w:before="88" w:line="257" w:lineRule="exact"/>
              <w:ind w:left="494"/>
              <w:rPr>
                <w:sz w:val="21"/>
              </w:rPr>
            </w:pPr>
            <w:r>
              <w:rPr>
                <w:spacing w:val="-5"/>
                <w:sz w:val="21"/>
              </w:rPr>
              <w:t>警察</w:t>
            </w:r>
          </w:p>
        </w:tc>
      </w:tr>
    </w:tbl>
    <w:p>
      <w:pPr>
        <w:pStyle w:val="3"/>
        <w:spacing w:before="11"/>
        <w:rPr>
          <w:rFonts w:ascii="Times New Roman"/>
          <w:sz w:val="12"/>
        </w:rPr>
      </w:pPr>
    </w:p>
    <w:p>
      <w:pPr>
        <w:pStyle w:val="8"/>
        <w:numPr>
          <w:ilvl w:val="1"/>
          <w:numId w:val="32"/>
        </w:numPr>
        <w:tabs>
          <w:tab w:val="left" w:pos="1339"/>
        </w:tabs>
        <w:spacing w:before="92" w:after="0" w:line="240" w:lineRule="auto"/>
        <w:ind w:left="1338" w:right="0" w:hanging="1005"/>
        <w:jc w:val="both"/>
        <w:rPr>
          <w:sz w:val="21"/>
        </w:rPr>
      </w:pPr>
      <w:r>
        <w:rPr>
          <w:b/>
          <w:sz w:val="21"/>
        </w:rPr>
        <w:t>严重溃疡性结肠炎</w:t>
      </w:r>
      <w:r>
        <w:rPr>
          <w:b/>
          <w:spacing w:val="57"/>
          <w:w w:val="150"/>
          <w:sz w:val="21"/>
        </w:rPr>
        <w:t xml:space="preserve">  </w:t>
      </w:r>
      <w:r>
        <w:rPr>
          <w:spacing w:val="-1"/>
          <w:sz w:val="21"/>
        </w:rPr>
        <w:t>本合同所保障的溃疡性结肠炎是指伴有致命性电解质紊乱的急</w:t>
      </w:r>
    </w:p>
    <w:p>
      <w:pPr>
        <w:pStyle w:val="3"/>
        <w:spacing w:before="4" w:line="242" w:lineRule="auto"/>
        <w:ind w:left="3307" w:right="619"/>
        <w:jc w:val="both"/>
      </w:pPr>
      <w:r>
        <w:rPr>
          <w:spacing w:val="-2"/>
        </w:rPr>
        <w:t>性暴发性溃疡性结肠炎，病变累及全结肠，表现为严重的血便和系统性症状体征，治疗通常采取全结肠切除和回肠造瘘术。溃疡性结肠炎必须根据组织病理学特点诊断，并且被保险人已经接受了结肠切除和回肠造瘘术。</w:t>
      </w:r>
    </w:p>
    <w:p>
      <w:pPr>
        <w:spacing w:after="0" w:line="242" w:lineRule="auto"/>
        <w:jc w:val="both"/>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 w:val="left" w:pos="3307"/>
        </w:tabs>
        <w:spacing w:before="70" w:after="0" w:line="275" w:lineRule="exact"/>
        <w:ind w:left="1338" w:right="0" w:hanging="1005"/>
        <w:jc w:val="left"/>
        <w:rPr>
          <w:sz w:val="21"/>
        </w:rPr>
      </w:pPr>
      <w:r>
        <w:rPr>
          <w:b/>
          <w:sz w:val="21"/>
        </w:rPr>
        <w:t>重症肌无</w:t>
      </w:r>
      <w:r>
        <w:rPr>
          <w:b/>
          <w:spacing w:val="-10"/>
          <w:sz w:val="21"/>
        </w:rPr>
        <w:t>力</w:t>
      </w:r>
      <w:r>
        <w:rPr>
          <w:b/>
          <w:sz w:val="21"/>
        </w:rPr>
        <w:tab/>
      </w:r>
      <w:r>
        <w:rPr>
          <w:spacing w:val="-2"/>
          <w:sz w:val="21"/>
        </w:rPr>
        <w:t>重症肌无力是一种神经肌肉接头传递障碍所致的疾病，表现为</w:t>
      </w:r>
      <w:r>
        <w:rPr>
          <w:spacing w:val="-10"/>
          <w:sz w:val="21"/>
        </w:rPr>
        <w:t>局</w:t>
      </w:r>
    </w:p>
    <w:p>
      <w:pPr>
        <w:pStyle w:val="3"/>
        <w:spacing w:line="244" w:lineRule="auto"/>
        <w:ind w:left="3307" w:right="514"/>
      </w:pPr>
      <w:r>
        <w:rPr>
          <w:spacing w:val="-2"/>
        </w:rPr>
        <w:t>部或全身骨骼肌（特别是眼外肌）极易疲劳。疾病可以累及呼吸</w:t>
      </w:r>
      <w:r>
        <w:rPr>
          <w:spacing w:val="-13"/>
        </w:rPr>
        <w:t>肌、上肢或下肢的近端肌群或全身肌肉。必须满足下列全部条件：</w:t>
      </w:r>
    </w:p>
    <w:p>
      <w:pPr>
        <w:pStyle w:val="8"/>
        <w:numPr>
          <w:ilvl w:val="0"/>
          <w:numId w:val="76"/>
        </w:numPr>
        <w:tabs>
          <w:tab w:val="left" w:pos="3837"/>
        </w:tabs>
        <w:spacing w:before="0" w:after="0" w:line="267" w:lineRule="exact"/>
        <w:ind w:left="3836" w:right="0" w:hanging="530"/>
        <w:jc w:val="left"/>
        <w:rPr>
          <w:sz w:val="21"/>
        </w:rPr>
      </w:pPr>
      <w:r>
        <w:rPr>
          <w:spacing w:val="-3"/>
          <w:sz w:val="21"/>
        </w:rPr>
        <w:t>经药物治疗和胸腺切除治疗一年以上仍无法控制病情；</w:t>
      </w:r>
    </w:p>
    <w:p>
      <w:pPr>
        <w:pStyle w:val="8"/>
        <w:numPr>
          <w:ilvl w:val="0"/>
          <w:numId w:val="76"/>
        </w:numPr>
        <w:tabs>
          <w:tab w:val="left" w:pos="3847"/>
        </w:tabs>
        <w:spacing w:before="5" w:after="0" w:line="240" w:lineRule="auto"/>
        <w:ind w:left="3830" w:right="621" w:hanging="524"/>
        <w:jc w:val="left"/>
        <w:rPr>
          <w:sz w:val="21"/>
        </w:rPr>
      </w:pPr>
      <w:r>
        <w:rPr>
          <w:spacing w:val="-2"/>
          <w:sz w:val="21"/>
        </w:rPr>
        <w:t>自主生活能力完全丧失，无法独立完成六项基本日常生活活动中的三项或三项以上。</w:t>
      </w:r>
    </w:p>
    <w:p>
      <w:pPr>
        <w:pStyle w:val="3"/>
        <w:spacing w:before="5"/>
        <w:rPr>
          <w:sz w:val="11"/>
        </w:rPr>
      </w:pPr>
    </w:p>
    <w:p>
      <w:pPr>
        <w:spacing w:after="0"/>
        <w:rPr>
          <w:sz w:val="11"/>
        </w:rPr>
        <w:sectPr>
          <w:pgSz w:w="11910" w:h="16840"/>
          <w:pgMar w:top="1280" w:right="620" w:bottom="1040" w:left="1480" w:header="0" w:footer="851" w:gutter="0"/>
          <w:cols w:space="720" w:num="1"/>
        </w:sectPr>
      </w:pPr>
    </w:p>
    <w:p>
      <w:pPr>
        <w:pStyle w:val="8"/>
        <w:numPr>
          <w:ilvl w:val="1"/>
          <w:numId w:val="32"/>
        </w:numPr>
        <w:tabs>
          <w:tab w:val="left" w:pos="1338"/>
          <w:tab w:val="left" w:pos="1339"/>
        </w:tabs>
        <w:spacing w:before="92" w:after="0" w:line="240" w:lineRule="auto"/>
        <w:ind w:left="1338" w:right="0" w:hanging="1005"/>
        <w:jc w:val="left"/>
        <w:rPr>
          <w:b/>
          <w:sz w:val="21"/>
        </w:rPr>
      </w:pPr>
      <w:r>
        <w:rPr>
          <w:b/>
          <w:spacing w:val="-2"/>
          <w:sz w:val="21"/>
        </w:rPr>
        <w:t>严重类风湿性关节</w:t>
      </w:r>
    </w:p>
    <w:p>
      <w:pPr>
        <w:spacing w:before="4"/>
        <w:ind w:left="1338" w:right="0" w:firstLine="0"/>
        <w:jc w:val="left"/>
        <w:rPr>
          <w:b/>
          <w:sz w:val="21"/>
        </w:rPr>
      </w:pPr>
      <w:r>
        <w:rPr>
          <w:b/>
          <w:w w:val="100"/>
          <w:sz w:val="21"/>
        </w:rPr>
        <w:t>炎</w:t>
      </w:r>
    </w:p>
    <w:p>
      <w:pPr>
        <w:pStyle w:val="3"/>
        <w:spacing w:before="98" w:line="242" w:lineRule="auto"/>
        <w:ind w:left="162" w:right="618"/>
        <w:jc w:val="both"/>
      </w:pPr>
      <w:r>
        <w:br w:type="column"/>
      </w:r>
      <w:r>
        <w:rPr>
          <w:spacing w:val="-2"/>
        </w:rPr>
        <w:t>类风湿性关节炎为广泛分布的慢性进行性多关节病变，表现为关节严重变形，侵犯至少三个主要关节或关节组，如：双手（多手指）关节、双足（多足趾）关节、双腕关节、双膝关节和双髋关节。类风湿性关节炎必须明确诊断并且已经达到类风湿性关节炎功能分类</w:t>
      </w:r>
      <w:r>
        <w:rPr>
          <w:rFonts w:ascii="Times New Roman" w:eastAsia="Times New Roman"/>
          <w:spacing w:val="-2"/>
        </w:rPr>
        <w:t>IV</w:t>
      </w:r>
      <w:r>
        <w:rPr>
          <w:spacing w:val="-2"/>
        </w:rPr>
        <w:t>级的永久不可逆性关节功能障碍（生活不能自理，且丧失工作能力）并且满足下列全部条件：</w:t>
      </w:r>
    </w:p>
    <w:p>
      <w:pPr>
        <w:pStyle w:val="8"/>
        <w:numPr>
          <w:ilvl w:val="0"/>
          <w:numId w:val="77"/>
        </w:numPr>
        <w:tabs>
          <w:tab w:val="left" w:pos="692"/>
        </w:tabs>
        <w:spacing w:before="7" w:after="0" w:line="269" w:lineRule="exact"/>
        <w:ind w:left="691" w:right="0" w:hanging="530"/>
        <w:jc w:val="left"/>
        <w:rPr>
          <w:sz w:val="21"/>
        </w:rPr>
      </w:pPr>
      <w:r>
        <w:rPr>
          <w:spacing w:val="-4"/>
          <w:sz w:val="21"/>
        </w:rPr>
        <w:t>晨僵；</w:t>
      </w:r>
    </w:p>
    <w:p>
      <w:pPr>
        <w:pStyle w:val="8"/>
        <w:numPr>
          <w:ilvl w:val="0"/>
          <w:numId w:val="77"/>
        </w:numPr>
        <w:tabs>
          <w:tab w:val="left" w:pos="692"/>
        </w:tabs>
        <w:spacing w:before="0" w:after="0" w:line="240" w:lineRule="auto"/>
        <w:ind w:left="691" w:right="0" w:hanging="530"/>
        <w:jc w:val="left"/>
        <w:rPr>
          <w:sz w:val="21"/>
        </w:rPr>
      </w:pPr>
      <w:r>
        <w:rPr>
          <w:spacing w:val="-4"/>
          <w:sz w:val="21"/>
        </w:rPr>
        <w:t>对称性关节炎；</w:t>
      </w:r>
    </w:p>
    <w:p>
      <w:pPr>
        <w:pStyle w:val="8"/>
        <w:numPr>
          <w:ilvl w:val="0"/>
          <w:numId w:val="77"/>
        </w:numPr>
        <w:tabs>
          <w:tab w:val="left" w:pos="692"/>
        </w:tabs>
        <w:spacing w:before="4" w:after="0" w:line="240" w:lineRule="auto"/>
        <w:ind w:left="691" w:right="0" w:hanging="530"/>
        <w:jc w:val="left"/>
        <w:rPr>
          <w:sz w:val="21"/>
        </w:rPr>
      </w:pPr>
      <w:r>
        <w:rPr>
          <w:spacing w:val="-3"/>
          <w:sz w:val="21"/>
        </w:rPr>
        <w:t>类风湿性皮下结节；</w:t>
      </w:r>
    </w:p>
    <w:p>
      <w:pPr>
        <w:pStyle w:val="8"/>
        <w:numPr>
          <w:ilvl w:val="0"/>
          <w:numId w:val="77"/>
        </w:numPr>
        <w:tabs>
          <w:tab w:val="left" w:pos="692"/>
        </w:tabs>
        <w:spacing w:before="5" w:after="0" w:line="240" w:lineRule="auto"/>
        <w:ind w:left="691" w:right="0" w:hanging="530"/>
        <w:jc w:val="left"/>
        <w:rPr>
          <w:sz w:val="21"/>
        </w:rPr>
      </w:pPr>
      <w:r>
        <w:rPr>
          <w:spacing w:val="-3"/>
          <w:sz w:val="21"/>
        </w:rPr>
        <w:t>类风湿因子滴度升高；</w:t>
      </w:r>
    </w:p>
    <w:p>
      <w:pPr>
        <w:pStyle w:val="8"/>
        <w:numPr>
          <w:ilvl w:val="0"/>
          <w:numId w:val="77"/>
        </w:numPr>
        <w:tabs>
          <w:tab w:val="left" w:pos="692"/>
        </w:tabs>
        <w:spacing w:before="5" w:after="0" w:line="240" w:lineRule="auto"/>
        <w:ind w:left="691" w:right="0" w:hanging="530"/>
        <w:jc w:val="left"/>
        <w:rPr>
          <w:sz w:val="21"/>
        </w:rPr>
      </w:pPr>
      <w:r>
        <w:rPr>
          <w:rFonts w:ascii="Times New Roman" w:eastAsia="Times New Roman"/>
          <w:spacing w:val="-2"/>
          <w:sz w:val="21"/>
        </w:rPr>
        <w:t>X</w:t>
      </w:r>
      <w:r>
        <w:rPr>
          <w:spacing w:val="-2"/>
          <w:sz w:val="21"/>
        </w:rPr>
        <w:t>线显示严重的关节（软骨和骨）</w:t>
      </w:r>
      <w:r>
        <w:rPr>
          <w:spacing w:val="-4"/>
          <w:sz w:val="21"/>
        </w:rPr>
        <w:t>破坏和关节畸形。</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6"/>
        <w:rPr>
          <w:sz w:val="11"/>
        </w:rPr>
      </w:pPr>
    </w:p>
    <w:p>
      <w:pPr>
        <w:pStyle w:val="8"/>
        <w:numPr>
          <w:ilvl w:val="1"/>
          <w:numId w:val="32"/>
        </w:numPr>
        <w:tabs>
          <w:tab w:val="left" w:pos="1339"/>
        </w:tabs>
        <w:spacing w:before="91" w:after="0" w:line="275" w:lineRule="exact"/>
        <w:ind w:left="1338" w:right="0" w:hanging="1005"/>
        <w:jc w:val="both"/>
        <w:rPr>
          <w:sz w:val="21"/>
        </w:rPr>
      </w:pPr>
      <w:r>
        <w:rPr>
          <w:b/>
          <w:sz w:val="21"/>
        </w:rPr>
        <w:t>脊髓灰质炎</w:t>
      </w:r>
      <w:r>
        <w:rPr>
          <w:b/>
          <w:spacing w:val="766"/>
          <w:sz w:val="21"/>
        </w:rPr>
        <w:t xml:space="preserve"> </w:t>
      </w:r>
      <w:r>
        <w:rPr>
          <w:spacing w:val="-1"/>
          <w:sz w:val="21"/>
        </w:rPr>
        <w:t>脊髓灰质炎是由于脊髓灰质炎病毒感染所致的瘫痪性疾病，临床</w:t>
      </w:r>
    </w:p>
    <w:p>
      <w:pPr>
        <w:spacing w:before="0" w:line="242" w:lineRule="auto"/>
        <w:ind w:left="3307" w:right="617" w:firstLine="0"/>
        <w:jc w:val="both"/>
        <w:rPr>
          <w:sz w:val="21"/>
        </w:rPr>
      </w:pPr>
      <w:r>
        <w:rPr>
          <w:spacing w:val="-6"/>
          <w:w w:val="100"/>
          <w:sz w:val="21"/>
        </w:rPr>
        <w:t>表现为运动功能损害或呼吸无力。脊髓灰质炎必须明确诊断。</w:t>
      </w:r>
      <w:r>
        <w:rPr>
          <w:b/>
          <w:spacing w:val="-12"/>
          <w:w w:val="100"/>
          <w:sz w:val="21"/>
        </w:rPr>
        <w:t>本</w:t>
      </w:r>
      <w:r>
        <w:rPr>
          <w:b/>
          <w:spacing w:val="3"/>
          <w:w w:val="100"/>
          <w:sz w:val="21"/>
        </w:rPr>
        <w:t>合同仅对脊髓灰质炎造成的神经系统功能损害导致被保险人一</w:t>
      </w:r>
      <w:r>
        <w:rPr>
          <w:b/>
          <w:spacing w:val="-2"/>
          <w:w w:val="100"/>
          <w:sz w:val="21"/>
        </w:rPr>
        <w:t>肢或一肢以上肢体机能永久完全丧失的情况予以理赔。</w:t>
      </w:r>
      <w:r>
        <w:rPr>
          <w:spacing w:val="-6"/>
          <w:w w:val="100"/>
          <w:sz w:val="21"/>
        </w:rPr>
        <w:t>肢体机能</w:t>
      </w:r>
      <w:r>
        <w:rPr>
          <w:w w:val="100"/>
          <w:sz w:val="21"/>
        </w:rPr>
        <w:t>永久完全丧失，指疾病确诊</w:t>
      </w:r>
      <w:r>
        <w:rPr>
          <w:rFonts w:ascii="Times New Roman" w:eastAsia="Times New Roman"/>
          <w:w w:val="100"/>
          <w:sz w:val="21"/>
        </w:rPr>
        <w:t>180</w:t>
      </w:r>
      <w:r>
        <w:rPr>
          <w:w w:val="100"/>
          <w:sz w:val="21"/>
        </w:rPr>
        <w:t>天后，每肢三大关节中的两大关</w:t>
      </w:r>
      <w:r>
        <w:rPr>
          <w:spacing w:val="-3"/>
          <w:w w:val="100"/>
          <w:sz w:val="21"/>
        </w:rPr>
        <w:t>节仍然完全僵硬，或不能随意识活动。</w:t>
      </w:r>
    </w:p>
    <w:p>
      <w:pPr>
        <w:pStyle w:val="3"/>
        <w:spacing w:before="6"/>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32"/>
        </w:numPr>
        <w:tabs>
          <w:tab w:val="left" w:pos="1003"/>
          <w:tab w:val="left" w:pos="1339"/>
        </w:tabs>
        <w:spacing w:before="92" w:after="0" w:line="240" w:lineRule="auto"/>
        <w:ind w:left="1338" w:right="0" w:hanging="1339"/>
        <w:jc w:val="right"/>
        <w:rPr>
          <w:b/>
          <w:sz w:val="21"/>
        </w:rPr>
      </w:pPr>
      <w:r>
        <w:rPr>
          <w:b/>
          <w:spacing w:val="-2"/>
          <w:sz w:val="21"/>
        </w:rPr>
        <w:t>经输血导致的人类</w:t>
      </w:r>
    </w:p>
    <w:p>
      <w:pPr>
        <w:spacing w:before="5"/>
        <w:ind w:left="0" w:right="13" w:firstLine="0"/>
        <w:jc w:val="right"/>
        <w:rPr>
          <w:b/>
          <w:sz w:val="21"/>
        </w:rPr>
      </w:pPr>
      <w:r>
        <w:rPr>
          <w:b/>
          <w:spacing w:val="-9"/>
          <w:sz w:val="21"/>
        </w:rPr>
        <w:t>免 疫 缺 陷 病 毒</w:t>
      </w:r>
    </w:p>
    <w:p>
      <w:pPr>
        <w:spacing w:before="4"/>
        <w:ind w:left="1338" w:right="0" w:firstLine="0"/>
        <w:jc w:val="left"/>
        <w:rPr>
          <w:b/>
          <w:sz w:val="21"/>
        </w:rPr>
      </w:pPr>
      <w:r>
        <w:rPr>
          <w:b/>
          <w:spacing w:val="-2"/>
          <w:sz w:val="21"/>
        </w:rPr>
        <w:t>（</w:t>
      </w:r>
      <w:r>
        <w:rPr>
          <w:rFonts w:ascii="Times New Roman" w:eastAsia="Times New Roman"/>
          <w:b/>
          <w:spacing w:val="-2"/>
          <w:sz w:val="21"/>
        </w:rPr>
        <w:t>HIV</w:t>
      </w:r>
      <w:r>
        <w:rPr>
          <w:b/>
          <w:spacing w:val="-2"/>
          <w:sz w:val="21"/>
        </w:rPr>
        <w:t>）</w:t>
      </w:r>
      <w:r>
        <w:rPr>
          <w:b/>
          <w:spacing w:val="-6"/>
          <w:sz w:val="21"/>
        </w:rPr>
        <w:t>感染</w:t>
      </w:r>
    </w:p>
    <w:p>
      <w:pPr>
        <w:pStyle w:val="3"/>
        <w:spacing w:before="98" w:line="244" w:lineRule="auto"/>
        <w:ind w:left="162" w:right="622"/>
      </w:pPr>
      <w:r>
        <w:br w:type="column"/>
      </w:r>
      <w:r>
        <w:rPr>
          <w:spacing w:val="-2"/>
        </w:rPr>
        <w:t>被保险人感染上人类免疫缺陷病毒（</w:t>
      </w:r>
      <w:r>
        <w:rPr>
          <w:rFonts w:ascii="Times New Roman" w:eastAsia="Times New Roman"/>
          <w:spacing w:val="-2"/>
        </w:rPr>
        <w:t>HIV</w:t>
      </w:r>
      <w:r>
        <w:rPr>
          <w:spacing w:val="-2"/>
        </w:rPr>
        <w:t>）并且满足下列全部条</w:t>
      </w:r>
      <w:r>
        <w:rPr>
          <w:spacing w:val="-6"/>
        </w:rPr>
        <w:t>件：</w:t>
      </w:r>
    </w:p>
    <w:p>
      <w:pPr>
        <w:pStyle w:val="8"/>
        <w:numPr>
          <w:ilvl w:val="0"/>
          <w:numId w:val="78"/>
        </w:numPr>
        <w:tabs>
          <w:tab w:val="left" w:pos="692"/>
        </w:tabs>
        <w:spacing w:before="0" w:after="0" w:line="268" w:lineRule="exact"/>
        <w:ind w:left="691" w:right="0" w:hanging="530"/>
        <w:jc w:val="left"/>
        <w:rPr>
          <w:sz w:val="21"/>
        </w:rPr>
      </w:pPr>
      <w:r>
        <w:rPr>
          <w:spacing w:val="-2"/>
          <w:sz w:val="21"/>
        </w:rPr>
        <w:t>在保障起始日或复效日之后，被保险人因输血而感染</w:t>
      </w:r>
      <w:r>
        <w:rPr>
          <w:rFonts w:ascii="Times New Roman" w:eastAsia="Times New Roman"/>
          <w:spacing w:val="-4"/>
          <w:sz w:val="21"/>
        </w:rPr>
        <w:t>HIV</w:t>
      </w:r>
      <w:r>
        <w:rPr>
          <w:spacing w:val="-4"/>
          <w:sz w:val="21"/>
        </w:rPr>
        <w:t>；</w:t>
      </w:r>
    </w:p>
    <w:p>
      <w:pPr>
        <w:pStyle w:val="8"/>
        <w:numPr>
          <w:ilvl w:val="0"/>
          <w:numId w:val="78"/>
        </w:numPr>
        <w:tabs>
          <w:tab w:val="left" w:pos="702"/>
        </w:tabs>
        <w:spacing w:before="5" w:after="0" w:line="242" w:lineRule="auto"/>
        <w:ind w:left="685" w:right="621" w:hanging="524"/>
        <w:jc w:val="both"/>
        <w:rPr>
          <w:sz w:val="21"/>
        </w:rPr>
      </w:pPr>
      <w:r>
        <w:rPr>
          <w:spacing w:val="-2"/>
          <w:sz w:val="21"/>
        </w:rPr>
        <w:t>提供输血治疗的输血中心或医院出具该项输血感染属医疗责任事故的报告，或者法院终审裁定为医疗责任并且不准</w:t>
      </w:r>
      <w:r>
        <w:rPr>
          <w:spacing w:val="-4"/>
          <w:sz w:val="21"/>
        </w:rPr>
        <w:t>上诉；</w:t>
      </w:r>
    </w:p>
    <w:p>
      <w:pPr>
        <w:pStyle w:val="8"/>
        <w:numPr>
          <w:ilvl w:val="0"/>
          <w:numId w:val="78"/>
        </w:numPr>
        <w:tabs>
          <w:tab w:val="left" w:pos="692"/>
        </w:tabs>
        <w:spacing w:before="0" w:after="0" w:line="240" w:lineRule="auto"/>
        <w:ind w:left="691" w:right="0" w:hanging="530"/>
        <w:jc w:val="left"/>
        <w:rPr>
          <w:sz w:val="21"/>
        </w:rPr>
      </w:pPr>
      <w:r>
        <w:rPr>
          <w:spacing w:val="-3"/>
          <w:sz w:val="21"/>
        </w:rPr>
        <w:t>受感染的被保险人不是血友病患者。</w:t>
      </w:r>
    </w:p>
    <w:p>
      <w:pPr>
        <w:spacing w:before="5" w:line="242" w:lineRule="auto"/>
        <w:ind w:left="162" w:right="612" w:firstLine="0"/>
        <w:jc w:val="both"/>
        <w:rPr>
          <w:b/>
          <w:sz w:val="21"/>
        </w:rPr>
      </w:pPr>
      <w:r>
        <w:rPr>
          <w:b/>
          <w:spacing w:val="-4"/>
          <w:sz w:val="21"/>
        </w:rPr>
        <w:t>在任何治愈艾滋病（</w:t>
      </w:r>
      <w:r>
        <w:rPr>
          <w:rFonts w:ascii="Times New Roman" w:eastAsia="Times New Roman"/>
          <w:b/>
          <w:spacing w:val="-4"/>
          <w:sz w:val="21"/>
        </w:rPr>
        <w:t>AIDS</w:t>
      </w:r>
      <w:r>
        <w:rPr>
          <w:b/>
          <w:spacing w:val="-4"/>
          <w:sz w:val="21"/>
        </w:rPr>
        <w:t>）或阻止</w:t>
      </w:r>
      <w:r>
        <w:rPr>
          <w:rFonts w:ascii="Times New Roman" w:eastAsia="Times New Roman"/>
          <w:b/>
          <w:spacing w:val="-4"/>
          <w:sz w:val="21"/>
        </w:rPr>
        <w:t>HIV</w:t>
      </w:r>
      <w:r>
        <w:rPr>
          <w:b/>
          <w:spacing w:val="-4"/>
          <w:sz w:val="21"/>
        </w:rPr>
        <w:t>病毒作用的疗法被发现以</w:t>
      </w:r>
      <w:r>
        <w:rPr>
          <w:b/>
          <w:spacing w:val="-2"/>
          <w:sz w:val="21"/>
        </w:rPr>
        <w:t>后，或能防止</w:t>
      </w:r>
      <w:r>
        <w:rPr>
          <w:rFonts w:ascii="Times New Roman" w:eastAsia="Times New Roman"/>
          <w:b/>
          <w:spacing w:val="-2"/>
          <w:sz w:val="21"/>
        </w:rPr>
        <w:t>AIDS</w:t>
      </w:r>
      <w:r>
        <w:rPr>
          <w:b/>
          <w:spacing w:val="-2"/>
          <w:sz w:val="21"/>
        </w:rPr>
        <w:t>发生的医疗方法被研究出来以后，本合同将不再予以赔付。</w:t>
      </w:r>
    </w:p>
    <w:p>
      <w:pPr>
        <w:spacing w:before="1" w:line="242" w:lineRule="auto"/>
        <w:ind w:left="162" w:right="613" w:firstLine="0"/>
        <w:jc w:val="both"/>
        <w:rPr>
          <w:b/>
          <w:sz w:val="21"/>
        </w:rPr>
      </w:pPr>
      <w:r>
        <w:rPr>
          <w:b/>
          <w:spacing w:val="-9"/>
          <w:w w:val="100"/>
          <w:sz w:val="21"/>
        </w:rPr>
        <w:t>任何因其他传播方式</w:t>
      </w:r>
      <w:r>
        <w:rPr>
          <w:b/>
          <w:w w:val="100"/>
          <w:sz w:val="21"/>
        </w:rPr>
        <w:t>（</w:t>
      </w:r>
      <w:r>
        <w:rPr>
          <w:b/>
          <w:spacing w:val="-10"/>
          <w:w w:val="100"/>
          <w:sz w:val="21"/>
        </w:rPr>
        <w:t>包括：性传播或静脉注射毒品</w:t>
      </w:r>
      <w:r>
        <w:rPr>
          <w:b/>
          <w:spacing w:val="-77"/>
          <w:w w:val="100"/>
          <w:sz w:val="21"/>
        </w:rPr>
        <w:t>）</w:t>
      </w:r>
      <w:r>
        <w:rPr>
          <w:b/>
          <w:spacing w:val="2"/>
          <w:w w:val="100"/>
          <w:sz w:val="21"/>
        </w:rPr>
        <w:t>导致的</w:t>
      </w:r>
      <w:r>
        <w:rPr>
          <w:rFonts w:ascii="Times New Roman" w:eastAsia="Times New Roman"/>
          <w:b/>
          <w:spacing w:val="-7"/>
          <w:w w:val="100"/>
          <w:sz w:val="21"/>
        </w:rPr>
        <w:t>H</w:t>
      </w:r>
      <w:r>
        <w:rPr>
          <w:rFonts w:ascii="Times New Roman" w:eastAsia="Times New Roman"/>
          <w:b/>
          <w:spacing w:val="-5"/>
          <w:w w:val="100"/>
          <w:sz w:val="21"/>
        </w:rPr>
        <w:t>IV</w:t>
      </w:r>
      <w:r>
        <w:rPr>
          <w:b/>
          <w:spacing w:val="-6"/>
          <w:w w:val="100"/>
          <w:sz w:val="21"/>
        </w:rPr>
        <w:t>感染不在本合同保障范围内。保险公司必须拥有获得使用被保险</w:t>
      </w:r>
      <w:r>
        <w:rPr>
          <w:b/>
          <w:spacing w:val="3"/>
          <w:w w:val="100"/>
          <w:sz w:val="21"/>
        </w:rPr>
        <w:t>人的所有血液样本的权利和能够对这些样本进行独立检验的权利。</w:t>
      </w:r>
    </w:p>
    <w:p>
      <w:pPr>
        <w:spacing w:after="0" w:line="242" w:lineRule="auto"/>
        <w:jc w:val="both"/>
        <w:rPr>
          <w:sz w:val="21"/>
        </w:rPr>
        <w:sectPr>
          <w:type w:val="continuous"/>
          <w:pgSz w:w="11910" w:h="16840"/>
          <w:pgMar w:top="320" w:right="620" w:bottom="280" w:left="1480" w:header="0" w:footer="851" w:gutter="0"/>
          <w:cols w:equalWidth="0" w:num="2">
            <w:col w:w="3106" w:space="40"/>
            <w:col w:w="6664"/>
          </w:cols>
        </w:sectPr>
      </w:pPr>
    </w:p>
    <w:p>
      <w:pPr>
        <w:pStyle w:val="3"/>
        <w:spacing w:before="5"/>
        <w:rPr>
          <w:b/>
          <w:sz w:val="11"/>
        </w:rPr>
      </w:pPr>
    </w:p>
    <w:p>
      <w:pPr>
        <w:pStyle w:val="8"/>
        <w:numPr>
          <w:ilvl w:val="1"/>
          <w:numId w:val="32"/>
        </w:numPr>
        <w:tabs>
          <w:tab w:val="left" w:pos="1338"/>
          <w:tab w:val="left" w:pos="1339"/>
          <w:tab w:val="left" w:pos="3307"/>
        </w:tabs>
        <w:spacing w:before="91" w:after="0" w:line="240" w:lineRule="auto"/>
        <w:ind w:left="1338" w:right="0" w:hanging="1005"/>
        <w:jc w:val="left"/>
        <w:rPr>
          <w:sz w:val="21"/>
        </w:rPr>
      </w:pPr>
      <w:r>
        <w:rPr>
          <w:b/>
          <w:sz w:val="21"/>
        </w:rPr>
        <w:t>严重克隆</w:t>
      </w:r>
      <w:r>
        <w:rPr>
          <w:b/>
          <w:spacing w:val="-10"/>
          <w:sz w:val="21"/>
        </w:rPr>
        <w:t>病</w:t>
      </w:r>
      <w:r>
        <w:rPr>
          <w:b/>
          <w:sz w:val="21"/>
        </w:rPr>
        <w:tab/>
      </w:r>
      <w:r>
        <w:rPr>
          <w:spacing w:val="-2"/>
          <w:sz w:val="21"/>
        </w:rPr>
        <w:t>克隆病是一种慢性肉芽肿性肠炎，具有特征性的克隆病病理组</w:t>
      </w:r>
      <w:r>
        <w:rPr>
          <w:spacing w:val="-10"/>
          <w:sz w:val="21"/>
        </w:rPr>
        <w:t>织</w:t>
      </w:r>
    </w:p>
    <w:p>
      <w:pPr>
        <w:pStyle w:val="3"/>
        <w:spacing w:before="5" w:line="244" w:lineRule="auto"/>
        <w:ind w:left="3307" w:right="619"/>
      </w:pPr>
      <w:r>
        <w:rPr>
          <w:spacing w:val="-2"/>
        </w:rPr>
        <w:t>学变化。诊断必须由病理检查结果证实。被保险人所患的克隆病必须已经造成瘘管形成并伴有肠梗阻或肠穿孔。</w:t>
      </w:r>
    </w:p>
    <w:p>
      <w:pPr>
        <w:pStyle w:val="3"/>
        <w:spacing w:before="1"/>
        <w:rPr>
          <w:sz w:val="18"/>
        </w:rPr>
      </w:pPr>
    </w:p>
    <w:p>
      <w:pPr>
        <w:pStyle w:val="8"/>
        <w:numPr>
          <w:ilvl w:val="1"/>
          <w:numId w:val="32"/>
        </w:numPr>
        <w:tabs>
          <w:tab w:val="left" w:pos="1338"/>
          <w:tab w:val="left" w:pos="1339"/>
          <w:tab w:val="left" w:pos="3307"/>
        </w:tabs>
        <w:spacing w:before="0" w:after="0" w:line="240" w:lineRule="auto"/>
        <w:ind w:left="1338" w:right="0" w:hanging="1005"/>
        <w:jc w:val="left"/>
        <w:rPr>
          <w:sz w:val="21"/>
        </w:rPr>
      </w:pPr>
      <w:r>
        <w:rPr>
          <w:b/>
          <w:sz w:val="21"/>
        </w:rPr>
        <w:t>肌营养不良</w:t>
      </w:r>
      <w:r>
        <w:rPr>
          <w:b/>
          <w:spacing w:val="-10"/>
          <w:sz w:val="21"/>
        </w:rPr>
        <w:t>症</w:t>
      </w:r>
      <w:r>
        <w:rPr>
          <w:b/>
          <w:sz w:val="21"/>
        </w:rPr>
        <w:tab/>
      </w:r>
      <w:r>
        <w:rPr>
          <w:spacing w:val="-2"/>
          <w:sz w:val="21"/>
        </w:rPr>
        <w:t>肌营养不良症是一组遗传性肌肉变性性病变，临床特征为与神</w:t>
      </w:r>
      <w:r>
        <w:rPr>
          <w:spacing w:val="-10"/>
          <w:sz w:val="21"/>
        </w:rPr>
        <w:t>经</w:t>
      </w:r>
    </w:p>
    <w:p>
      <w:pPr>
        <w:pStyle w:val="3"/>
        <w:spacing w:before="1" w:line="244" w:lineRule="auto"/>
        <w:ind w:left="3307" w:right="609"/>
      </w:pPr>
      <w:r>
        <w:rPr>
          <w:spacing w:val="3"/>
          <w:w w:val="100"/>
        </w:rPr>
        <w:t>系统无关的肌肉无力和肌肉萎缩。须满足自主生活能力完全丧</w:t>
      </w:r>
      <w:r>
        <w:rPr>
          <w:spacing w:val="-6"/>
          <w:w w:val="100"/>
        </w:rPr>
        <w:t>失，无法独立完成六项基本日常生活活动中的三项或三项以上。</w:t>
      </w:r>
    </w:p>
    <w:p>
      <w:pPr>
        <w:pStyle w:val="3"/>
        <w:spacing w:before="12"/>
        <w:rPr>
          <w:sz w:val="10"/>
        </w:rPr>
      </w:pPr>
    </w:p>
    <w:p>
      <w:pPr>
        <w:spacing w:after="0"/>
        <w:rPr>
          <w:sz w:val="10"/>
        </w:rPr>
        <w:sectPr>
          <w:type w:val="continuous"/>
          <w:pgSz w:w="11910" w:h="16840"/>
          <w:pgMar w:top="320" w:right="620" w:bottom="280" w:left="1480" w:header="0" w:footer="851" w:gutter="0"/>
          <w:cols w:space="720" w:num="1"/>
        </w:sectPr>
      </w:pPr>
    </w:p>
    <w:p>
      <w:pPr>
        <w:pStyle w:val="8"/>
        <w:numPr>
          <w:ilvl w:val="1"/>
          <w:numId w:val="32"/>
        </w:numPr>
        <w:tabs>
          <w:tab w:val="left" w:pos="1338"/>
          <w:tab w:val="left" w:pos="1339"/>
        </w:tabs>
        <w:spacing w:before="92" w:after="0" w:line="240" w:lineRule="auto"/>
        <w:ind w:left="1338" w:right="0" w:hanging="1005"/>
        <w:jc w:val="left"/>
        <w:rPr>
          <w:b/>
          <w:sz w:val="21"/>
        </w:rPr>
      </w:pPr>
      <w:r>
        <w:rPr>
          <w:b/>
          <w:spacing w:val="-2"/>
          <w:sz w:val="21"/>
        </w:rPr>
        <w:t>破裂脑动脉瘤夹闭</w:t>
      </w:r>
    </w:p>
    <w:p>
      <w:pPr>
        <w:spacing w:before="4"/>
        <w:ind w:left="1338" w:right="0" w:firstLine="0"/>
        <w:jc w:val="left"/>
        <w:rPr>
          <w:b/>
          <w:sz w:val="21"/>
        </w:rPr>
      </w:pPr>
      <w:r>
        <w:rPr>
          <w:b/>
          <w:spacing w:val="-5"/>
          <w:sz w:val="21"/>
        </w:rPr>
        <w:t>手术</w:t>
      </w:r>
    </w:p>
    <w:p>
      <w:pPr>
        <w:pStyle w:val="3"/>
        <w:spacing w:before="98" w:line="244" w:lineRule="auto"/>
        <w:ind w:left="162" w:right="619"/>
      </w:pPr>
      <w:r>
        <w:br w:type="column"/>
      </w:r>
      <w:r>
        <w:rPr>
          <w:spacing w:val="-2"/>
        </w:rPr>
        <w:t>指因脑动脉瘤破裂造成蛛网膜下腔出血，被保险人实际接受了在全麻下进行的开颅动脉瘤夹闭手术。</w:t>
      </w:r>
    </w:p>
    <w:p>
      <w:pPr>
        <w:spacing w:before="0"/>
        <w:ind w:left="162" w:right="618" w:firstLine="0"/>
        <w:jc w:val="left"/>
        <w:rPr>
          <w:b/>
          <w:sz w:val="21"/>
        </w:rPr>
      </w:pPr>
      <w:r>
        <w:rPr>
          <w:b/>
          <w:spacing w:val="-2"/>
          <w:sz w:val="21"/>
        </w:rPr>
        <w:t>脑动脉瘤（未破裂）预防性手术、颅骨打孔手术、动脉瘤栓塞手术、血管内手术及其他颅脑手术不在本保障范围内。</w:t>
      </w:r>
    </w:p>
    <w:p>
      <w:pPr>
        <w:spacing w:after="0"/>
        <w:jc w:val="left"/>
        <w:rPr>
          <w:sz w:val="21"/>
        </w:rPr>
        <w:sectPr>
          <w:type w:val="continuous"/>
          <w:pgSz w:w="11910" w:h="16840"/>
          <w:pgMar w:top="320" w:right="620" w:bottom="280" w:left="1480" w:header="0" w:footer="851" w:gutter="0"/>
          <w:cols w:equalWidth="0" w:num="2">
            <w:col w:w="3106" w:space="40"/>
            <w:col w:w="6664"/>
          </w:cols>
        </w:sect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0"/>
        <w:gridCol w:w="2132"/>
        <w:gridCol w:w="60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spacing w:line="234" w:lineRule="exact"/>
              <w:ind w:left="50"/>
              <w:rPr>
                <w:rFonts w:ascii="Times New Roman"/>
                <w:sz w:val="21"/>
              </w:rPr>
            </w:pPr>
            <w:r>
              <w:rPr>
                <w:rFonts w:ascii="Times New Roman"/>
                <w:spacing w:val="-2"/>
                <w:sz w:val="21"/>
              </w:rPr>
              <w:t>10.38</w:t>
            </w:r>
          </w:p>
        </w:tc>
        <w:tc>
          <w:tcPr>
            <w:tcW w:w="2132" w:type="dxa"/>
          </w:tcPr>
          <w:p>
            <w:pPr>
              <w:pStyle w:val="9"/>
              <w:spacing w:line="254" w:lineRule="exact"/>
              <w:ind w:left="263"/>
              <w:rPr>
                <w:b/>
                <w:sz w:val="21"/>
              </w:rPr>
            </w:pPr>
            <w:r>
              <w:rPr>
                <w:b/>
                <w:spacing w:val="-2"/>
                <w:sz w:val="21"/>
              </w:rPr>
              <w:t>严重弥漫性系统性</w:t>
            </w:r>
          </w:p>
        </w:tc>
        <w:tc>
          <w:tcPr>
            <w:tcW w:w="6055" w:type="dxa"/>
          </w:tcPr>
          <w:p>
            <w:pPr>
              <w:pStyle w:val="9"/>
              <w:spacing w:line="254" w:lineRule="exact"/>
              <w:ind w:left="100"/>
              <w:rPr>
                <w:sz w:val="21"/>
              </w:rPr>
            </w:pPr>
            <w:r>
              <w:rPr>
                <w:sz w:val="21"/>
              </w:rPr>
              <w:t>一种系统性胶原血管病引起进行性的皮肤</w:t>
            </w:r>
            <w:r>
              <w:rPr>
                <w:rFonts w:ascii="Times New Roman" w:eastAsia="Times New Roman"/>
                <w:sz w:val="21"/>
              </w:rPr>
              <w:t>/</w:t>
            </w:r>
            <w:r>
              <w:rPr>
                <w:spacing w:val="-2"/>
                <w:sz w:val="21"/>
              </w:rPr>
              <w:t>血管和内脏器官的弥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790" w:type="dxa"/>
          </w:tcPr>
          <w:p>
            <w:pPr>
              <w:pStyle w:val="9"/>
              <w:rPr>
                <w:rFonts w:ascii="Times New Roman"/>
                <w:sz w:val="18"/>
              </w:rPr>
            </w:pPr>
          </w:p>
        </w:tc>
        <w:tc>
          <w:tcPr>
            <w:tcW w:w="2132" w:type="dxa"/>
          </w:tcPr>
          <w:p>
            <w:pPr>
              <w:pStyle w:val="9"/>
              <w:spacing w:line="243" w:lineRule="exact"/>
              <w:ind w:left="263"/>
              <w:rPr>
                <w:b/>
                <w:sz w:val="21"/>
              </w:rPr>
            </w:pPr>
            <w:r>
              <w:rPr>
                <w:b/>
                <w:spacing w:val="-4"/>
                <w:sz w:val="21"/>
              </w:rPr>
              <w:t>硬皮病</w:t>
            </w:r>
          </w:p>
        </w:tc>
        <w:tc>
          <w:tcPr>
            <w:tcW w:w="6055" w:type="dxa"/>
          </w:tcPr>
          <w:p>
            <w:pPr>
              <w:pStyle w:val="9"/>
              <w:spacing w:line="243" w:lineRule="exact"/>
              <w:ind w:left="100"/>
              <w:rPr>
                <w:sz w:val="21"/>
              </w:rPr>
            </w:pPr>
            <w:r>
              <w:rPr>
                <w:spacing w:val="-3"/>
                <w:sz w:val="21"/>
              </w:rPr>
              <w:t>漫性纤维化。诊断必须明确并由活检和血清学证据支持并且疾病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2" w:line="248" w:lineRule="exact"/>
              <w:ind w:left="100"/>
              <w:rPr>
                <w:sz w:val="21"/>
              </w:rPr>
            </w:pPr>
            <w:r>
              <w:rPr>
                <w:spacing w:val="-3"/>
                <w:sz w:val="21"/>
              </w:rPr>
              <w:t>已经影响到心脏、肺或肾脏等内脏器官并且达到下列标准之一：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6" w:line="256"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肺纤维化，已经出现肺动脉高压、肺心病；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7" w:lineRule="exact"/>
              <w:ind w:left="100"/>
              <w:rPr>
                <w:sz w:val="21"/>
              </w:rPr>
            </w:pPr>
            <w:r>
              <w:rPr>
                <w:sz w:val="21"/>
              </w:rPr>
              <w:t>（</w:t>
            </w:r>
            <w:r>
              <w:rPr>
                <w:rFonts w:ascii="Times New Roman" w:eastAsia="Times New Roman"/>
                <w:sz w:val="21"/>
              </w:rPr>
              <w:t>2</w:t>
            </w:r>
            <w:r>
              <w:rPr>
                <w:sz w:val="21"/>
              </w:rPr>
              <w:t>）</w:t>
            </w:r>
            <w:r>
              <w:rPr>
                <w:spacing w:val="-1"/>
                <w:sz w:val="21"/>
              </w:rPr>
              <w:t>心脏损害，心脏功能衰竭程度达到美国纽约心脏病学会心</w:t>
            </w:r>
          </w:p>
          <w:p>
            <w:pPr>
              <w:pStyle w:val="9"/>
              <w:spacing w:line="236" w:lineRule="exact"/>
              <w:ind w:left="623"/>
              <w:rPr>
                <w:sz w:val="21"/>
              </w:rPr>
            </w:pPr>
            <w:r>
              <w:rPr>
                <w:spacing w:val="-2"/>
                <w:sz w:val="21"/>
              </w:rPr>
              <w:t>功能状态分级</w:t>
            </w:r>
            <w:r>
              <w:rPr>
                <w:rFonts w:ascii="Times New Roman" w:eastAsia="Times New Roman"/>
                <w:spacing w:val="-2"/>
                <w:sz w:val="21"/>
              </w:rPr>
              <w:t>IV</w:t>
            </w:r>
            <w:r>
              <w:rPr>
                <w:spacing w:val="-6"/>
                <w:sz w:val="21"/>
              </w:rPr>
              <w:t>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18" w:line="259" w:lineRule="exact"/>
              <w:ind w:left="100"/>
              <w:rPr>
                <w:sz w:val="21"/>
              </w:rPr>
            </w:pPr>
            <w:r>
              <w:rPr>
                <w:spacing w:val="-2"/>
                <w:sz w:val="21"/>
              </w:rPr>
              <w:t>（</w:t>
            </w:r>
            <w:r>
              <w:rPr>
                <w:rFonts w:ascii="Times New Roman" w:eastAsia="Times New Roman"/>
                <w:spacing w:val="-2"/>
                <w:sz w:val="21"/>
              </w:rPr>
              <w:t>3</w:t>
            </w:r>
            <w:r>
              <w:rPr>
                <w:spacing w:val="-2"/>
                <w:sz w:val="21"/>
              </w:rPr>
              <w:t>）</w:t>
            </w:r>
            <w:r>
              <w:rPr>
                <w:spacing w:val="-3"/>
                <w:sz w:val="21"/>
              </w:rPr>
              <w:t>肾脏损害，已经出现肾功能衰竭。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line="240" w:lineRule="exact"/>
              <w:ind w:left="100"/>
              <w:rPr>
                <w:b/>
                <w:sz w:val="21"/>
              </w:rPr>
            </w:pPr>
            <w:r>
              <w:rPr>
                <w:b/>
                <w:spacing w:val="-2"/>
                <w:sz w:val="21"/>
              </w:rPr>
              <w:t>下列疾病除外：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 w:line="256" w:lineRule="exact"/>
              <w:ind w:left="100"/>
              <w:rPr>
                <w:b/>
                <w:sz w:val="21"/>
              </w:rPr>
            </w:pPr>
            <w:r>
              <w:rPr>
                <w:b/>
                <w:spacing w:val="-2"/>
                <w:sz w:val="21"/>
              </w:rPr>
              <w:t>（</w:t>
            </w:r>
            <w:r>
              <w:rPr>
                <w:rFonts w:ascii="Times New Roman" w:eastAsia="Times New Roman"/>
                <w:b/>
                <w:spacing w:val="-2"/>
                <w:sz w:val="21"/>
              </w:rPr>
              <w:t>1</w:t>
            </w:r>
            <w:r>
              <w:rPr>
                <w:b/>
                <w:spacing w:val="-2"/>
                <w:sz w:val="21"/>
              </w:rPr>
              <w:t>）</w:t>
            </w:r>
            <w:r>
              <w:rPr>
                <w:b/>
                <w:spacing w:val="-4"/>
                <w:sz w:val="21"/>
              </w:rPr>
              <w:t>局限硬皮病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54" w:lineRule="exact"/>
              <w:ind w:left="100"/>
              <w:rPr>
                <w:b/>
                <w:sz w:val="21"/>
              </w:rPr>
            </w:pPr>
            <w:r>
              <w:rPr>
                <w:b/>
                <w:spacing w:val="-2"/>
                <w:sz w:val="21"/>
              </w:rPr>
              <w:t>（</w:t>
            </w:r>
            <w:r>
              <w:rPr>
                <w:rFonts w:ascii="Times New Roman" w:eastAsia="Times New Roman"/>
                <w:b/>
                <w:spacing w:val="-2"/>
                <w:sz w:val="21"/>
              </w:rPr>
              <w:t>2</w:t>
            </w:r>
            <w:r>
              <w:rPr>
                <w:b/>
                <w:spacing w:val="-2"/>
                <w:sz w:val="21"/>
              </w:rPr>
              <w:t>）</w:t>
            </w:r>
            <w:r>
              <w:rPr>
                <w:b/>
                <w:spacing w:val="-4"/>
                <w:sz w:val="21"/>
              </w:rPr>
              <w:t>嗜酸细胞筋膜炎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7" w:lineRule="exact"/>
              <w:ind w:left="100"/>
              <w:rPr>
                <w:b/>
                <w:sz w:val="21"/>
              </w:rPr>
            </w:pPr>
            <w:r>
              <w:rPr>
                <w:b/>
                <w:spacing w:val="-2"/>
                <w:sz w:val="21"/>
              </w:rPr>
              <w:t>（</w:t>
            </w:r>
            <w:r>
              <w:rPr>
                <w:rFonts w:ascii="Times New Roman" w:eastAsia="Times New Roman"/>
                <w:b/>
                <w:spacing w:val="-2"/>
                <w:sz w:val="21"/>
              </w:rPr>
              <w:t>3</w:t>
            </w:r>
            <w:r>
              <w:rPr>
                <w:b/>
                <w:spacing w:val="-2"/>
                <w:sz w:val="21"/>
              </w:rPr>
              <w:t>）</w:t>
            </w:r>
            <w:r>
              <w:rPr>
                <w:rFonts w:ascii="Times New Roman" w:eastAsia="Times New Roman"/>
                <w:b/>
                <w:spacing w:val="-2"/>
                <w:sz w:val="21"/>
              </w:rPr>
              <w:t>CREST</w:t>
            </w:r>
            <w:r>
              <w:rPr>
                <w:b/>
                <w:spacing w:val="-5"/>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790" w:type="dxa"/>
          </w:tcPr>
          <w:p>
            <w:pPr>
              <w:pStyle w:val="9"/>
              <w:spacing w:before="122"/>
              <w:ind w:left="50"/>
              <w:rPr>
                <w:rFonts w:ascii="Times New Roman"/>
                <w:sz w:val="21"/>
              </w:rPr>
            </w:pPr>
            <w:r>
              <w:rPr>
                <w:rFonts w:ascii="Times New Roman"/>
                <w:spacing w:val="-2"/>
                <w:sz w:val="21"/>
              </w:rPr>
              <w:t>10.39</w:t>
            </w:r>
          </w:p>
        </w:tc>
        <w:tc>
          <w:tcPr>
            <w:tcW w:w="2132" w:type="dxa"/>
          </w:tcPr>
          <w:p>
            <w:pPr>
              <w:pStyle w:val="9"/>
              <w:spacing w:before="127" w:line="248" w:lineRule="exact"/>
              <w:ind w:left="263"/>
              <w:rPr>
                <w:b/>
                <w:sz w:val="21"/>
              </w:rPr>
            </w:pPr>
            <w:r>
              <w:rPr>
                <w:b/>
                <w:spacing w:val="-2"/>
                <w:sz w:val="21"/>
              </w:rPr>
              <w:t>严重冠心病</w:t>
            </w:r>
          </w:p>
        </w:tc>
        <w:tc>
          <w:tcPr>
            <w:tcW w:w="6055" w:type="dxa"/>
          </w:tcPr>
          <w:p>
            <w:pPr>
              <w:pStyle w:val="9"/>
              <w:spacing w:before="127" w:line="248" w:lineRule="exact"/>
              <w:ind w:left="100"/>
              <w:rPr>
                <w:sz w:val="21"/>
              </w:rPr>
            </w:pPr>
            <w:r>
              <w:rPr>
                <w:spacing w:val="-1"/>
                <w:sz w:val="21"/>
              </w:rPr>
              <w:t>指经根据冠状动脉造影检查结果明确诊断为三支主要血管严重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8" w:lineRule="exact"/>
              <w:ind w:left="100" w:right="75"/>
              <w:rPr>
                <w:sz w:val="21"/>
              </w:rPr>
            </w:pPr>
            <w:r>
              <w:rPr>
                <w:spacing w:val="-2"/>
                <w:sz w:val="21"/>
              </w:rPr>
              <w:t>狭窄性病变（至少一支血管管腔直径减少</w:t>
            </w:r>
            <w:r>
              <w:rPr>
                <w:rFonts w:ascii="Times New Roman" w:eastAsia="Times New Roman"/>
                <w:spacing w:val="-2"/>
                <w:sz w:val="21"/>
              </w:rPr>
              <w:t>75</w:t>
            </w:r>
            <w:r>
              <w:rPr>
                <w:spacing w:val="-2"/>
                <w:sz w:val="21"/>
              </w:rPr>
              <w:t>％以上和其他两支血管管腔直径减少</w:t>
            </w:r>
            <w:r>
              <w:rPr>
                <w:rFonts w:ascii="Times New Roman" w:eastAsia="Times New Roman"/>
                <w:spacing w:val="-2"/>
                <w:sz w:val="21"/>
              </w:rPr>
              <w:t>60%</w:t>
            </w:r>
            <w:r>
              <w:rPr>
                <w:spacing w:val="-2"/>
                <w:sz w:val="21"/>
              </w:rPr>
              <w:t>以上</w:t>
            </w:r>
            <w:r>
              <w:rPr>
                <w:spacing w:val="-111"/>
                <w:sz w:val="21"/>
              </w:rPr>
              <w:t>）</w:t>
            </w:r>
            <w:r>
              <w:rPr>
                <w:spacing w:val="-11"/>
                <w:sz w:val="21"/>
              </w:rPr>
              <w:t>。冠状动脉的主要血管指左冠状动脉主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line="246" w:lineRule="exact"/>
              <w:ind w:left="100"/>
              <w:rPr>
                <w:b/>
                <w:sz w:val="21"/>
              </w:rPr>
            </w:pPr>
            <w:r>
              <w:rPr>
                <w:spacing w:val="-2"/>
                <w:sz w:val="21"/>
              </w:rPr>
              <w:t>干、前降支、左旋支及右冠状动脉。</w:t>
            </w:r>
            <w:r>
              <w:rPr>
                <w:b/>
                <w:spacing w:val="-3"/>
                <w:sz w:val="21"/>
              </w:rPr>
              <w:t>前降支、左旋支及右冠状动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
              <w:ind w:left="100"/>
              <w:rPr>
                <w:sz w:val="21"/>
              </w:rPr>
            </w:pPr>
            <w:r>
              <w:rPr>
                <w:b/>
                <w:spacing w:val="-2"/>
                <w:sz w:val="21"/>
              </w:rPr>
              <w:t>脉的分支血管的狭窄不作为本保障的衡量指标</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90" w:type="dxa"/>
          </w:tcPr>
          <w:p>
            <w:pPr>
              <w:pStyle w:val="9"/>
              <w:spacing w:before="130"/>
              <w:ind w:left="50"/>
              <w:rPr>
                <w:rFonts w:ascii="Times New Roman"/>
                <w:sz w:val="21"/>
              </w:rPr>
            </w:pPr>
            <w:r>
              <w:rPr>
                <w:rFonts w:ascii="Times New Roman"/>
                <w:spacing w:val="-2"/>
                <w:sz w:val="21"/>
              </w:rPr>
              <w:t>10.40</w:t>
            </w:r>
          </w:p>
        </w:tc>
        <w:tc>
          <w:tcPr>
            <w:tcW w:w="2132" w:type="dxa"/>
          </w:tcPr>
          <w:p>
            <w:pPr>
              <w:pStyle w:val="9"/>
              <w:spacing w:before="135" w:line="251" w:lineRule="exact"/>
              <w:ind w:left="263"/>
              <w:rPr>
                <w:b/>
                <w:sz w:val="21"/>
              </w:rPr>
            </w:pPr>
            <w:r>
              <w:rPr>
                <w:b/>
                <w:spacing w:val="-2"/>
                <w:sz w:val="21"/>
              </w:rPr>
              <w:t>严重慢性复发性胰</w:t>
            </w:r>
          </w:p>
        </w:tc>
        <w:tc>
          <w:tcPr>
            <w:tcW w:w="6055" w:type="dxa"/>
          </w:tcPr>
          <w:p>
            <w:pPr>
              <w:pStyle w:val="9"/>
              <w:spacing w:before="135" w:line="251" w:lineRule="exact"/>
              <w:ind w:left="100"/>
              <w:rPr>
                <w:sz w:val="21"/>
              </w:rPr>
            </w:pPr>
            <w:r>
              <w:rPr>
                <w:spacing w:val="-3"/>
                <w:sz w:val="21"/>
              </w:rPr>
              <w:t>指慢性反复发作的胰腺炎症导致胰腺的广泛纤维化、坏死、弥漫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spacing w:before="2" w:line="248" w:lineRule="exact"/>
              <w:ind w:left="263"/>
              <w:rPr>
                <w:b/>
                <w:sz w:val="21"/>
              </w:rPr>
            </w:pPr>
            <w:r>
              <w:rPr>
                <w:b/>
                <w:spacing w:val="-5"/>
                <w:sz w:val="21"/>
              </w:rPr>
              <w:t>腺炎</w:t>
            </w:r>
          </w:p>
        </w:tc>
        <w:tc>
          <w:tcPr>
            <w:tcW w:w="6055" w:type="dxa"/>
          </w:tcPr>
          <w:p>
            <w:pPr>
              <w:pStyle w:val="9"/>
              <w:spacing w:before="2" w:line="248" w:lineRule="exact"/>
              <w:ind w:left="100"/>
              <w:rPr>
                <w:sz w:val="21"/>
              </w:rPr>
            </w:pPr>
            <w:r>
              <w:rPr>
                <w:spacing w:val="-3"/>
                <w:sz w:val="21"/>
              </w:rPr>
              <w:t>性钙化及假性囊肿形成，造成胰腺功能障碍出现严重糖尿病和营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line="248" w:lineRule="exact"/>
              <w:ind w:left="100"/>
              <w:rPr>
                <w:sz w:val="21"/>
              </w:rPr>
            </w:pPr>
            <w:r>
              <w:rPr>
                <w:spacing w:val="-3"/>
                <w:sz w:val="21"/>
              </w:rPr>
              <w:t>养不良。必须满足以下所有条件：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before="6" w:line="236" w:lineRule="exact"/>
              <w:ind w:left="100"/>
              <w:rPr>
                <w:sz w:val="21"/>
              </w:rPr>
            </w:pPr>
            <w:r>
              <w:rPr>
                <w:spacing w:val="-4"/>
                <w:sz w:val="21"/>
              </w:rPr>
              <w:t>（</w:t>
            </w:r>
            <w:r>
              <w:rPr>
                <w:rFonts w:ascii="Times New Roman" w:eastAsia="Times New Roman"/>
                <w:spacing w:val="-4"/>
                <w:sz w:val="21"/>
              </w:rPr>
              <w:t>1</w:t>
            </w:r>
            <w:r>
              <w:rPr>
                <w:spacing w:val="-4"/>
                <w:sz w:val="21"/>
              </w:rPr>
              <w:t>）</w:t>
            </w:r>
            <w:r>
              <w:rPr>
                <w:rFonts w:ascii="Times New Roman" w:eastAsia="Times New Roman"/>
                <w:spacing w:val="-4"/>
                <w:sz w:val="21"/>
              </w:rPr>
              <w:t>CT</w:t>
            </w:r>
            <w:r>
              <w:rPr>
                <w:spacing w:val="-4"/>
                <w:sz w:val="21"/>
              </w:rPr>
              <w:t>显示胰腺广泛钙化或逆行胰胆管造影（</w:t>
            </w:r>
            <w:r>
              <w:rPr>
                <w:rFonts w:ascii="Times New Roman" w:eastAsia="Times New Roman"/>
                <w:spacing w:val="-4"/>
                <w:sz w:val="21"/>
              </w:rPr>
              <w:t>ERCP</w:t>
            </w:r>
            <w:r>
              <w:rPr>
                <w:spacing w:val="-4"/>
                <w:sz w:val="21"/>
              </w:rPr>
              <w:t>）</w:t>
            </w:r>
            <w:r>
              <w:rPr>
                <w:spacing w:val="-6"/>
                <w:sz w:val="21"/>
              </w:rPr>
              <w:t>显示胰管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8"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before="18" w:line="220" w:lineRule="exact"/>
              <w:ind w:left="623"/>
              <w:rPr>
                <w:sz w:val="21"/>
              </w:rPr>
            </w:pPr>
            <w:r>
              <w:rPr>
                <w:spacing w:val="-3"/>
                <w:sz w:val="21"/>
              </w:rPr>
              <w:t>扭曲、扩张和狭窄；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4" w:line="256" w:lineRule="exact"/>
              <w:ind w:left="100"/>
              <w:rPr>
                <w:sz w:val="21"/>
              </w:rPr>
            </w:pPr>
            <w:r>
              <w:rPr>
                <w:spacing w:val="-2"/>
                <w:sz w:val="21"/>
              </w:rPr>
              <w:t>（</w:t>
            </w:r>
            <w:r>
              <w:rPr>
                <w:rFonts w:ascii="Times New Roman" w:eastAsia="Times New Roman"/>
                <w:spacing w:val="-2"/>
                <w:sz w:val="21"/>
              </w:rPr>
              <w:t>2</w:t>
            </w:r>
            <w:r>
              <w:rPr>
                <w:spacing w:val="-2"/>
                <w:sz w:val="21"/>
              </w:rPr>
              <w:t>）接受胰岛素替代治疗和酶替代治疗</w:t>
            </w:r>
            <w:r>
              <w:rPr>
                <w:rFonts w:ascii="Times New Roman" w:eastAsia="Times New Roman"/>
                <w:spacing w:val="-2"/>
                <w:sz w:val="21"/>
              </w:rPr>
              <w:t>180</w:t>
            </w:r>
            <w:r>
              <w:rPr>
                <w:spacing w:val="-4"/>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1" w:lineRule="exact"/>
              <w:ind w:left="100"/>
              <w:rPr>
                <w:b/>
                <w:sz w:val="21"/>
              </w:rPr>
            </w:pPr>
            <w:r>
              <w:rPr>
                <w:b/>
                <w:spacing w:val="-3"/>
                <w:sz w:val="21"/>
              </w:rPr>
              <w:t>酒精导致的慢性复发性胰腺炎不在本保障范围内。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790" w:type="dxa"/>
          </w:tcPr>
          <w:p>
            <w:pPr>
              <w:pStyle w:val="9"/>
              <w:spacing w:before="130"/>
              <w:ind w:left="50"/>
              <w:rPr>
                <w:rFonts w:ascii="Times New Roman"/>
                <w:sz w:val="21"/>
              </w:rPr>
            </w:pPr>
            <w:r>
              <w:rPr>
                <w:rFonts w:ascii="Times New Roman"/>
                <w:spacing w:val="-2"/>
                <w:sz w:val="21"/>
              </w:rPr>
              <w:t>10.41</w:t>
            </w:r>
          </w:p>
        </w:tc>
        <w:tc>
          <w:tcPr>
            <w:tcW w:w="2132" w:type="dxa"/>
          </w:tcPr>
          <w:p>
            <w:pPr>
              <w:pStyle w:val="9"/>
              <w:spacing w:before="135" w:line="259" w:lineRule="exact"/>
              <w:ind w:left="263"/>
              <w:rPr>
                <w:b/>
                <w:sz w:val="21"/>
              </w:rPr>
            </w:pPr>
            <w:r>
              <w:rPr>
                <w:b/>
                <w:spacing w:val="-2"/>
                <w:sz w:val="21"/>
              </w:rPr>
              <w:t>植物人状态</w:t>
            </w:r>
          </w:p>
        </w:tc>
        <w:tc>
          <w:tcPr>
            <w:tcW w:w="6055" w:type="dxa"/>
          </w:tcPr>
          <w:p>
            <w:pPr>
              <w:pStyle w:val="9"/>
              <w:spacing w:before="135" w:line="259" w:lineRule="exact"/>
              <w:ind w:left="100"/>
              <w:rPr>
                <w:sz w:val="21"/>
              </w:rPr>
            </w:pPr>
            <w:r>
              <w:rPr>
                <w:sz w:val="21"/>
              </w:rPr>
              <w:t>植物人状态系指由于严重颅脑外伤造成大脑和</w:t>
            </w:r>
            <w:r>
              <w:rPr>
                <w:rFonts w:ascii="Times New Roman" w:eastAsia="Times New Roman"/>
                <w:sz w:val="21"/>
              </w:rPr>
              <w:t>/</w:t>
            </w:r>
            <w:r>
              <w:rPr>
                <w:spacing w:val="-2"/>
                <w:sz w:val="21"/>
              </w:rPr>
              <w:t>或脑干严重损害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line="246" w:lineRule="exact"/>
              <w:ind w:left="100"/>
              <w:rPr>
                <w:sz w:val="21"/>
              </w:rPr>
            </w:pPr>
            <w:r>
              <w:rPr>
                <w:spacing w:val="-1"/>
                <w:sz w:val="21"/>
              </w:rPr>
              <w:t>导致完全永久性的对自身和环境的意识丧失和中枢神经系统功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 w:line="248" w:lineRule="exact"/>
              <w:ind w:left="100"/>
              <w:rPr>
                <w:sz w:val="21"/>
              </w:rPr>
            </w:pPr>
            <w:r>
              <w:rPr>
                <w:spacing w:val="-3"/>
                <w:sz w:val="21"/>
              </w:rPr>
              <w:t>能丧失，仅残存植物神经功能的疾病状态。诊断必须明确并且具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6" w:line="256" w:lineRule="exact"/>
              <w:ind w:left="100"/>
              <w:rPr>
                <w:b/>
                <w:sz w:val="21"/>
              </w:rPr>
            </w:pPr>
            <w:r>
              <w:rPr>
                <w:spacing w:val="-2"/>
                <w:sz w:val="21"/>
              </w:rPr>
              <w:t>有严重颅脑外伤和脑损害的证据。</w:t>
            </w:r>
            <w:r>
              <w:rPr>
                <w:b/>
                <w:spacing w:val="-2"/>
                <w:sz w:val="21"/>
              </w:rPr>
              <w:t>植物人状态必须持续</w:t>
            </w:r>
            <w:r>
              <w:rPr>
                <w:rFonts w:ascii="Times New Roman" w:eastAsia="Times New Roman"/>
                <w:b/>
                <w:spacing w:val="-2"/>
                <w:sz w:val="21"/>
              </w:rPr>
              <w:t>30</w:t>
            </w:r>
            <w:r>
              <w:rPr>
                <w:b/>
                <w:spacing w:val="-5"/>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1" w:lineRule="exact"/>
              <w:ind w:left="100"/>
              <w:rPr>
                <w:b/>
                <w:sz w:val="21"/>
              </w:rPr>
            </w:pPr>
            <w:r>
              <w:rPr>
                <w:b/>
                <w:spacing w:val="-2"/>
                <w:sz w:val="21"/>
              </w:rPr>
              <w:t>方可申请理赔。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90" w:type="dxa"/>
          </w:tcPr>
          <w:p>
            <w:pPr>
              <w:pStyle w:val="9"/>
              <w:spacing w:before="130"/>
              <w:ind w:left="50"/>
              <w:rPr>
                <w:rFonts w:ascii="Times New Roman"/>
                <w:sz w:val="21"/>
              </w:rPr>
            </w:pPr>
            <w:r>
              <w:rPr>
                <w:rFonts w:ascii="Times New Roman"/>
                <w:spacing w:val="-2"/>
                <w:sz w:val="21"/>
              </w:rPr>
              <w:t>10.42</w:t>
            </w:r>
          </w:p>
        </w:tc>
        <w:tc>
          <w:tcPr>
            <w:tcW w:w="2132" w:type="dxa"/>
          </w:tcPr>
          <w:p>
            <w:pPr>
              <w:pStyle w:val="9"/>
              <w:spacing w:before="135" w:line="251" w:lineRule="exact"/>
              <w:ind w:left="263"/>
              <w:rPr>
                <w:b/>
                <w:sz w:val="21"/>
              </w:rPr>
            </w:pPr>
            <w:r>
              <w:rPr>
                <w:b/>
                <w:spacing w:val="-2"/>
                <w:sz w:val="21"/>
              </w:rPr>
              <w:t>重症急性坏死性筋</w:t>
            </w:r>
          </w:p>
        </w:tc>
        <w:tc>
          <w:tcPr>
            <w:tcW w:w="6055" w:type="dxa"/>
          </w:tcPr>
          <w:p>
            <w:pPr>
              <w:pStyle w:val="9"/>
              <w:spacing w:before="135" w:line="251" w:lineRule="exact"/>
              <w:ind w:left="100"/>
              <w:rPr>
                <w:sz w:val="21"/>
              </w:rPr>
            </w:pPr>
            <w:r>
              <w:rPr>
                <w:spacing w:val="-1"/>
                <w:sz w:val="21"/>
              </w:rPr>
              <w:t>是一种由细菌侵入皮下组织和筋膜引起的急性坏死性软组织感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spacing w:before="2" w:line="251" w:lineRule="exact"/>
              <w:ind w:left="263"/>
              <w:rPr>
                <w:b/>
                <w:sz w:val="21"/>
              </w:rPr>
            </w:pPr>
            <w:r>
              <w:rPr>
                <w:b/>
                <w:spacing w:val="-5"/>
                <w:sz w:val="21"/>
              </w:rPr>
              <w:t>膜炎</w:t>
            </w:r>
          </w:p>
        </w:tc>
        <w:tc>
          <w:tcPr>
            <w:tcW w:w="6055" w:type="dxa"/>
          </w:tcPr>
          <w:p>
            <w:pPr>
              <w:pStyle w:val="9"/>
              <w:spacing w:before="2" w:line="251" w:lineRule="exact"/>
              <w:ind w:left="100"/>
              <w:rPr>
                <w:sz w:val="21"/>
              </w:rPr>
            </w:pPr>
            <w:r>
              <w:rPr>
                <w:spacing w:val="-3"/>
                <w:sz w:val="21"/>
              </w:rPr>
              <w:t>染，可伴有毒血症、败血症、中毒性休克、弥漫性血管内凝血及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 w:line="248" w:lineRule="exact"/>
              <w:ind w:left="100"/>
              <w:rPr>
                <w:sz w:val="21"/>
              </w:rPr>
            </w:pPr>
            <w:r>
              <w:rPr>
                <w:spacing w:val="-3"/>
                <w:sz w:val="21"/>
              </w:rPr>
              <w:t>多器官衰竭。必须满足以下所有条件：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numPr>
                <w:ilvl w:val="0"/>
                <w:numId w:val="79"/>
              </w:numPr>
              <w:tabs>
                <w:tab w:val="left" w:pos="630"/>
              </w:tabs>
              <w:spacing w:before="6" w:after="0" w:line="269" w:lineRule="exact"/>
              <w:ind w:left="629" w:right="0" w:hanging="530"/>
              <w:jc w:val="left"/>
              <w:rPr>
                <w:sz w:val="21"/>
              </w:rPr>
            </w:pPr>
            <w:r>
              <w:rPr>
                <w:spacing w:val="-3"/>
                <w:sz w:val="21"/>
              </w:rPr>
              <w:t>细菌培养和临床表现符合坏死性筋膜炎诊断标准；</w:t>
            </w:r>
          </w:p>
          <w:p>
            <w:pPr>
              <w:pStyle w:val="9"/>
              <w:numPr>
                <w:ilvl w:val="0"/>
                <w:numId w:val="79"/>
              </w:numPr>
              <w:tabs>
                <w:tab w:val="left" w:pos="630"/>
              </w:tabs>
              <w:spacing w:before="0" w:after="0" w:line="255" w:lineRule="exact"/>
              <w:ind w:left="629" w:right="0" w:hanging="530"/>
              <w:jc w:val="left"/>
              <w:rPr>
                <w:sz w:val="21"/>
              </w:rPr>
            </w:pPr>
            <w:r>
              <w:rPr>
                <w:spacing w:val="-3"/>
                <w:sz w:val="21"/>
              </w:rPr>
              <w:t>病情迅速恶化，有脓毒血症表现；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7" w:lineRule="exact"/>
              <w:ind w:left="100"/>
              <w:rPr>
                <w:sz w:val="21"/>
              </w:rPr>
            </w:pPr>
            <w:r>
              <w:rPr>
                <w:spacing w:val="-2"/>
                <w:sz w:val="21"/>
              </w:rPr>
              <w:t>（</w:t>
            </w:r>
            <w:r>
              <w:rPr>
                <w:rFonts w:ascii="Times New Roman" w:eastAsia="Times New Roman"/>
                <w:spacing w:val="-2"/>
                <w:sz w:val="21"/>
              </w:rPr>
              <w:t>3</w:t>
            </w:r>
            <w:r>
              <w:rPr>
                <w:spacing w:val="-2"/>
                <w:sz w:val="21"/>
              </w:rPr>
              <w:t>）受感染肢体被截肢（自腕关节或踝关节近端</w:t>
            </w:r>
            <w:r>
              <w:rPr>
                <w:spacing w:val="-106"/>
                <w:sz w:val="21"/>
              </w:rPr>
              <w:t>）</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90" w:type="dxa"/>
          </w:tcPr>
          <w:p>
            <w:pPr>
              <w:pStyle w:val="9"/>
              <w:spacing w:before="122"/>
              <w:ind w:left="50"/>
              <w:rPr>
                <w:rFonts w:ascii="Times New Roman"/>
                <w:sz w:val="21"/>
              </w:rPr>
            </w:pPr>
            <w:r>
              <w:rPr>
                <w:rFonts w:ascii="Times New Roman"/>
                <w:spacing w:val="-2"/>
                <w:sz w:val="21"/>
              </w:rPr>
              <w:t>10.43</w:t>
            </w:r>
          </w:p>
        </w:tc>
        <w:tc>
          <w:tcPr>
            <w:tcW w:w="2132" w:type="dxa"/>
          </w:tcPr>
          <w:p>
            <w:pPr>
              <w:pStyle w:val="9"/>
              <w:spacing w:before="127" w:line="251" w:lineRule="exact"/>
              <w:ind w:left="263"/>
              <w:rPr>
                <w:b/>
                <w:sz w:val="21"/>
              </w:rPr>
            </w:pPr>
            <w:r>
              <w:rPr>
                <w:b/>
                <w:spacing w:val="-2"/>
                <w:sz w:val="21"/>
              </w:rPr>
              <w:t>嗜铬细胞瘤</w:t>
            </w:r>
          </w:p>
        </w:tc>
        <w:tc>
          <w:tcPr>
            <w:tcW w:w="6055" w:type="dxa"/>
          </w:tcPr>
          <w:p>
            <w:pPr>
              <w:pStyle w:val="9"/>
              <w:spacing w:before="127" w:line="251" w:lineRule="exact"/>
              <w:ind w:left="100"/>
              <w:rPr>
                <w:sz w:val="21"/>
              </w:rPr>
            </w:pPr>
            <w:r>
              <w:rPr>
                <w:spacing w:val="-1"/>
                <w:sz w:val="21"/>
              </w:rPr>
              <w:t>指发生在肾上腺或肾上腺外嗜铬组织的以分泌过多的儿茶酚胺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 w:line="251" w:lineRule="exact"/>
              <w:ind w:left="100"/>
              <w:rPr>
                <w:sz w:val="21"/>
              </w:rPr>
            </w:pPr>
            <w:r>
              <w:rPr>
                <w:spacing w:val="-3"/>
                <w:sz w:val="21"/>
              </w:rPr>
              <w:t>为表现的神经内分泌肿瘤。嗜铬细胞瘤必须由内分泌专科医生诊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5" w:type="dxa"/>
          </w:tcPr>
          <w:p>
            <w:pPr>
              <w:pStyle w:val="9"/>
              <w:spacing w:before="2" w:line="245" w:lineRule="exact"/>
              <w:ind w:left="100"/>
              <w:rPr>
                <w:sz w:val="21"/>
              </w:rPr>
            </w:pPr>
            <w:r>
              <w:rPr>
                <w:spacing w:val="-3"/>
                <w:sz w:val="21"/>
              </w:rPr>
              <w:t>断，并且满足以下所有条件：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3" w:line="256"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临床有高血压症候群表现；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7" w:lineRule="exact"/>
              <w:ind w:left="100"/>
              <w:rPr>
                <w:sz w:val="21"/>
              </w:rPr>
            </w:pPr>
            <w:r>
              <w:rPr>
                <w:spacing w:val="-2"/>
                <w:sz w:val="21"/>
              </w:rPr>
              <w:t>（</w:t>
            </w:r>
            <w:r>
              <w:rPr>
                <w:rFonts w:ascii="Times New Roman" w:eastAsia="Times New Roman"/>
                <w:spacing w:val="-2"/>
                <w:sz w:val="21"/>
              </w:rPr>
              <w:t>2</w:t>
            </w:r>
            <w:r>
              <w:rPr>
                <w:spacing w:val="-2"/>
                <w:sz w:val="21"/>
              </w:rPr>
              <w:t>）</w:t>
            </w:r>
            <w:r>
              <w:rPr>
                <w:spacing w:val="-3"/>
                <w:sz w:val="21"/>
              </w:rPr>
              <w:t>已经实施了嗜铬细胞瘤切除手术。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790" w:type="dxa"/>
          </w:tcPr>
          <w:p>
            <w:pPr>
              <w:pStyle w:val="9"/>
              <w:spacing w:before="122"/>
              <w:ind w:left="50"/>
              <w:rPr>
                <w:rFonts w:ascii="Times New Roman"/>
                <w:sz w:val="21"/>
              </w:rPr>
            </w:pPr>
            <w:r>
              <w:rPr>
                <w:rFonts w:ascii="Times New Roman"/>
                <w:spacing w:val="-2"/>
                <w:sz w:val="21"/>
              </w:rPr>
              <w:t>10.44</w:t>
            </w:r>
          </w:p>
        </w:tc>
        <w:tc>
          <w:tcPr>
            <w:tcW w:w="2132" w:type="dxa"/>
          </w:tcPr>
          <w:p>
            <w:pPr>
              <w:pStyle w:val="9"/>
              <w:spacing w:before="127" w:line="248" w:lineRule="exact"/>
              <w:ind w:left="263"/>
              <w:rPr>
                <w:b/>
                <w:sz w:val="21"/>
              </w:rPr>
            </w:pPr>
            <w:r>
              <w:rPr>
                <w:b/>
                <w:spacing w:val="-4"/>
                <w:sz w:val="21"/>
              </w:rPr>
              <w:t>象皮病</w:t>
            </w:r>
          </w:p>
        </w:tc>
        <w:tc>
          <w:tcPr>
            <w:tcW w:w="6055" w:type="dxa"/>
          </w:tcPr>
          <w:p>
            <w:pPr>
              <w:pStyle w:val="9"/>
              <w:spacing w:before="127" w:line="248" w:lineRule="exact"/>
              <w:ind w:left="100"/>
              <w:rPr>
                <w:sz w:val="21"/>
              </w:rPr>
            </w:pPr>
            <w:r>
              <w:rPr>
                <w:spacing w:val="-3"/>
                <w:sz w:val="21"/>
              </w:rPr>
              <w:t>指因丝虫感染导致淋巴阻塞性出现严重淋巴水肿，达到国际淋巴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before="6" w:line="256" w:lineRule="exact"/>
              <w:ind w:left="100"/>
              <w:rPr>
                <w:sz w:val="21"/>
              </w:rPr>
            </w:pPr>
            <w:r>
              <w:rPr>
                <w:spacing w:val="-2"/>
                <w:sz w:val="21"/>
              </w:rPr>
              <w:t>学会淋巴肿分期第</w:t>
            </w:r>
            <w:r>
              <w:rPr>
                <w:rFonts w:ascii="Times New Roman" w:eastAsia="Times New Roman"/>
                <w:spacing w:val="-2"/>
                <w:sz w:val="21"/>
              </w:rPr>
              <w:t>III</w:t>
            </w:r>
            <w:r>
              <w:rPr>
                <w:spacing w:val="-3"/>
                <w:sz w:val="21"/>
              </w:rPr>
              <w:t>期，临床表现为肢体象皮肿，患肢较健肢增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67" w:lineRule="exact"/>
              <w:ind w:left="100"/>
              <w:rPr>
                <w:sz w:val="21"/>
              </w:rPr>
            </w:pPr>
            <w:r>
              <w:rPr>
                <w:spacing w:val="-2"/>
                <w:sz w:val="21"/>
              </w:rPr>
              <w:t>粗</w:t>
            </w:r>
            <w:r>
              <w:rPr>
                <w:rFonts w:ascii="Times New Roman" w:eastAsia="Times New Roman"/>
                <w:spacing w:val="-2"/>
                <w:sz w:val="21"/>
              </w:rPr>
              <w:t>30%</w:t>
            </w:r>
            <w:r>
              <w:rPr>
                <w:spacing w:val="-3"/>
                <w:sz w:val="21"/>
              </w:rPr>
              <w:t>以上，日常生活不能自理。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790" w:type="dxa"/>
          </w:tcPr>
          <w:p>
            <w:pPr>
              <w:pStyle w:val="9"/>
              <w:spacing w:before="122"/>
              <w:ind w:left="50"/>
              <w:rPr>
                <w:rFonts w:ascii="Times New Roman"/>
                <w:sz w:val="21"/>
              </w:rPr>
            </w:pPr>
            <w:r>
              <w:rPr>
                <w:rFonts w:ascii="Times New Roman"/>
                <w:spacing w:val="-2"/>
                <w:sz w:val="21"/>
              </w:rPr>
              <w:t>10.45</w:t>
            </w:r>
          </w:p>
        </w:tc>
        <w:tc>
          <w:tcPr>
            <w:tcW w:w="2132" w:type="dxa"/>
          </w:tcPr>
          <w:p>
            <w:pPr>
              <w:pStyle w:val="9"/>
              <w:spacing w:before="127" w:line="248" w:lineRule="exact"/>
              <w:ind w:left="263"/>
              <w:rPr>
                <w:b/>
                <w:sz w:val="21"/>
              </w:rPr>
            </w:pPr>
            <w:r>
              <w:rPr>
                <w:b/>
                <w:spacing w:val="-3"/>
                <w:sz w:val="21"/>
              </w:rPr>
              <w:t>胰腺移植</w:t>
            </w:r>
          </w:p>
        </w:tc>
        <w:tc>
          <w:tcPr>
            <w:tcW w:w="6055" w:type="dxa"/>
          </w:tcPr>
          <w:p>
            <w:pPr>
              <w:pStyle w:val="9"/>
              <w:spacing w:before="127" w:line="248" w:lineRule="exact"/>
              <w:ind w:left="100"/>
              <w:rPr>
                <w:sz w:val="21"/>
              </w:rPr>
            </w:pPr>
            <w:r>
              <w:rPr>
                <w:spacing w:val="-3"/>
                <w:sz w:val="21"/>
              </w:rPr>
              <w:t>指因胰腺功能衰竭，已经实施了在全身麻醉下进行的胰腺的异体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5" w:type="dxa"/>
          </w:tcPr>
          <w:p>
            <w:pPr>
              <w:pStyle w:val="9"/>
              <w:spacing w:line="251" w:lineRule="exact"/>
              <w:ind w:left="100"/>
              <w:rPr>
                <w:sz w:val="21"/>
              </w:rPr>
            </w:pPr>
            <w:r>
              <w:rPr>
                <w:spacing w:val="-4"/>
                <w:sz w:val="21"/>
              </w:rPr>
              <w:t>器官移植手术。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790" w:type="dxa"/>
          </w:tcPr>
          <w:p>
            <w:pPr>
              <w:pStyle w:val="9"/>
              <w:rPr>
                <w:rFonts w:ascii="Times New Roman"/>
                <w:sz w:val="16"/>
              </w:rPr>
            </w:pPr>
          </w:p>
        </w:tc>
        <w:tc>
          <w:tcPr>
            <w:tcW w:w="2132" w:type="dxa"/>
          </w:tcPr>
          <w:p>
            <w:pPr>
              <w:pStyle w:val="9"/>
              <w:rPr>
                <w:rFonts w:ascii="Times New Roman"/>
                <w:sz w:val="16"/>
              </w:rPr>
            </w:pPr>
          </w:p>
        </w:tc>
        <w:tc>
          <w:tcPr>
            <w:tcW w:w="6055" w:type="dxa"/>
          </w:tcPr>
          <w:p>
            <w:pPr>
              <w:pStyle w:val="9"/>
              <w:spacing w:before="2" w:line="220" w:lineRule="exact"/>
              <w:ind w:left="100"/>
              <w:rPr>
                <w:b/>
                <w:sz w:val="21"/>
              </w:rPr>
            </w:pPr>
            <w:r>
              <w:rPr>
                <w:b/>
                <w:spacing w:val="-3"/>
                <w:sz w:val="21"/>
              </w:rPr>
              <w:t>单纯胰岛移植、部分胰腺组织或细胞的移植不在本保障范围内。</w:t>
            </w:r>
          </w:p>
        </w:tc>
      </w:tr>
    </w:tbl>
    <w:p>
      <w:pPr>
        <w:spacing w:after="0" w:line="220" w:lineRule="exact"/>
        <w:rPr>
          <w:sz w:val="21"/>
        </w:rPr>
        <w:sectPr>
          <w:pgSz w:w="11910" w:h="16840"/>
          <w:pgMar w:top="1360" w:right="620" w:bottom="1040" w:left="1480" w:header="0" w:footer="851" w:gutter="0"/>
          <w:cols w:space="720" w:num="1"/>
        </w:sectPr>
      </w:pPr>
    </w:p>
    <w:p>
      <w:pPr>
        <w:pStyle w:val="8"/>
        <w:numPr>
          <w:ilvl w:val="1"/>
          <w:numId w:val="80"/>
        </w:numPr>
        <w:tabs>
          <w:tab w:val="left" w:pos="1338"/>
          <w:tab w:val="left" w:pos="1339"/>
        </w:tabs>
        <w:spacing w:before="65" w:after="0" w:line="244" w:lineRule="auto"/>
        <w:ind w:left="1338" w:right="0" w:hanging="1004"/>
        <w:jc w:val="left"/>
        <w:rPr>
          <w:b/>
          <w:sz w:val="21"/>
        </w:rPr>
      </w:pPr>
      <w:r>
        <w:rPr>
          <w:b/>
          <w:spacing w:val="-2"/>
          <w:sz w:val="21"/>
        </w:rPr>
        <w:t>慢性肾上腺皮质功</w:t>
      </w:r>
      <w:r>
        <w:rPr>
          <w:b/>
          <w:spacing w:val="-4"/>
          <w:sz w:val="21"/>
        </w:rPr>
        <w:t>能衰竭</w:t>
      </w:r>
    </w:p>
    <w:p>
      <w:pPr>
        <w:pStyle w:val="3"/>
        <w:spacing w:before="71" w:line="244" w:lineRule="auto"/>
        <w:ind w:left="162" w:right="619"/>
        <w:jc w:val="both"/>
      </w:pPr>
      <w:r>
        <w:br w:type="column"/>
      </w:r>
      <w:r>
        <w:rPr>
          <w:spacing w:val="-3"/>
          <w:w w:val="100"/>
        </w:rPr>
        <w:t>指自身免疫性肾上腺炎</w:t>
      </w:r>
      <w:r>
        <w:rPr>
          <w:w w:val="100"/>
        </w:rPr>
        <w:t>（</w:t>
      </w:r>
      <w:r>
        <w:rPr>
          <w:spacing w:val="-5"/>
          <w:w w:val="100"/>
        </w:rPr>
        <w:t>既往称：特发性肾上腺皮质萎缩）</w:t>
      </w:r>
      <w:r>
        <w:rPr>
          <w:spacing w:val="-8"/>
          <w:w w:val="100"/>
        </w:rPr>
        <w:t>导致</w:t>
      </w:r>
      <w:r>
        <w:rPr>
          <w:spacing w:val="3"/>
          <w:w w:val="100"/>
        </w:rPr>
        <w:t>肾上腺萎缩和慢性肾上腺皮质功能减退。必须满足所有以下条件：</w:t>
      </w:r>
    </w:p>
    <w:p>
      <w:pPr>
        <w:pStyle w:val="8"/>
        <w:numPr>
          <w:ilvl w:val="0"/>
          <w:numId w:val="81"/>
        </w:numPr>
        <w:tabs>
          <w:tab w:val="left" w:pos="692"/>
        </w:tabs>
        <w:spacing w:before="0" w:after="0" w:line="262" w:lineRule="exact"/>
        <w:ind w:left="691" w:right="0" w:hanging="530"/>
        <w:jc w:val="left"/>
        <w:rPr>
          <w:sz w:val="21"/>
        </w:rPr>
      </w:pPr>
      <w:r>
        <w:rPr>
          <w:spacing w:val="-3"/>
          <w:sz w:val="21"/>
        </w:rPr>
        <w:t>明确诊断，符合所有以下诊断标准：</w:t>
      </w:r>
    </w:p>
    <w:p>
      <w:pPr>
        <w:pStyle w:val="3"/>
        <w:spacing w:before="5" w:line="244" w:lineRule="auto"/>
        <w:ind w:left="685" w:right="618"/>
      </w:pPr>
      <w:r>
        <w:rPr>
          <w:spacing w:val="-2"/>
        </w:rPr>
        <w:t>血浆促肾上腺皮质激素（</w:t>
      </w:r>
      <w:r>
        <w:rPr>
          <w:rFonts w:ascii="Times New Roman" w:eastAsia="Times New Roman"/>
          <w:spacing w:val="-2"/>
        </w:rPr>
        <w:t>ACTH</w:t>
      </w:r>
      <w:r>
        <w:rPr>
          <w:spacing w:val="-2"/>
        </w:rPr>
        <w:t>）水平测定，</w:t>
      </w:r>
      <w:r>
        <w:rPr>
          <w:rFonts w:ascii="Times New Roman" w:eastAsia="Times New Roman"/>
          <w:spacing w:val="-2"/>
        </w:rPr>
        <w:t>&gt;100pg/ml</w:t>
      </w:r>
      <w:r>
        <w:rPr>
          <w:spacing w:val="-2"/>
        </w:rPr>
        <w:t>；血浆肾素活性、血管紧张素</w:t>
      </w:r>
      <w:r>
        <w:rPr>
          <w:rFonts w:ascii="Times New Roman" w:eastAsia="Times New Roman"/>
          <w:spacing w:val="-2"/>
        </w:rPr>
        <w:t>II</w:t>
      </w:r>
      <w:r>
        <w:rPr>
          <w:spacing w:val="-2"/>
        </w:rPr>
        <w:t>和醛固酮测定，显示为原发性肾上腺皮质功能减退症；</w:t>
      </w:r>
    </w:p>
    <w:p>
      <w:pPr>
        <w:pStyle w:val="3"/>
        <w:spacing w:line="244" w:lineRule="auto"/>
        <w:ind w:left="685" w:right="618"/>
      </w:pPr>
      <w:r>
        <w:rPr>
          <w:spacing w:val="-2"/>
        </w:rPr>
        <w:t>促肾上腺皮质激素（</w:t>
      </w:r>
      <w:r>
        <w:rPr>
          <w:rFonts w:ascii="Times New Roman" w:eastAsia="Times New Roman"/>
          <w:spacing w:val="-2"/>
        </w:rPr>
        <w:t>ACTH</w:t>
      </w:r>
      <w:r>
        <w:rPr>
          <w:spacing w:val="-2"/>
        </w:rPr>
        <w:t>）刺激试验显示为原发性肾上腺皮质功能减退症。</w:t>
      </w:r>
    </w:p>
    <w:p>
      <w:pPr>
        <w:pStyle w:val="8"/>
        <w:numPr>
          <w:ilvl w:val="0"/>
          <w:numId w:val="81"/>
        </w:numPr>
        <w:tabs>
          <w:tab w:val="left" w:pos="692"/>
        </w:tabs>
        <w:spacing w:before="0" w:after="0" w:line="267" w:lineRule="exact"/>
        <w:ind w:left="691" w:right="0" w:hanging="530"/>
        <w:jc w:val="left"/>
        <w:rPr>
          <w:sz w:val="21"/>
        </w:rPr>
      </w:pPr>
      <w:r>
        <w:rPr>
          <w:spacing w:val="-2"/>
          <w:sz w:val="21"/>
        </w:rPr>
        <w:t>已经采用皮质类固醇替代治疗</w:t>
      </w:r>
      <w:r>
        <w:rPr>
          <w:rFonts w:ascii="Times New Roman" w:eastAsia="Times New Roman"/>
          <w:spacing w:val="-2"/>
          <w:sz w:val="21"/>
        </w:rPr>
        <w:t>180</w:t>
      </w:r>
      <w:r>
        <w:rPr>
          <w:spacing w:val="-4"/>
          <w:sz w:val="21"/>
        </w:rPr>
        <w:t>天以上。</w:t>
      </w:r>
    </w:p>
    <w:p>
      <w:pPr>
        <w:spacing w:before="0" w:line="242" w:lineRule="auto"/>
        <w:ind w:left="162" w:right="618" w:firstLine="0"/>
        <w:jc w:val="both"/>
        <w:rPr>
          <w:b/>
          <w:sz w:val="21"/>
        </w:rPr>
      </w:pPr>
      <w:r>
        <w:rPr>
          <w:b/>
          <w:w w:val="100"/>
          <w:sz w:val="21"/>
        </w:rPr>
        <w:t>肾上腺结核、</w:t>
      </w:r>
      <w:r>
        <w:rPr>
          <w:rFonts w:ascii="Times New Roman" w:eastAsia="Times New Roman"/>
          <w:b/>
          <w:spacing w:val="-2"/>
          <w:w w:val="100"/>
          <w:sz w:val="21"/>
        </w:rPr>
        <w:t>H</w:t>
      </w:r>
      <w:r>
        <w:rPr>
          <w:rFonts w:ascii="Times New Roman" w:eastAsia="Times New Roman"/>
          <w:b/>
          <w:w w:val="100"/>
          <w:sz w:val="21"/>
        </w:rPr>
        <w:t>I</w:t>
      </w:r>
      <w:r>
        <w:rPr>
          <w:rFonts w:ascii="Times New Roman" w:eastAsia="Times New Roman"/>
          <w:b/>
          <w:spacing w:val="-5"/>
          <w:w w:val="100"/>
          <w:sz w:val="21"/>
        </w:rPr>
        <w:t>V</w:t>
      </w:r>
      <w:r>
        <w:rPr>
          <w:b/>
          <w:spacing w:val="-3"/>
          <w:w w:val="100"/>
          <w:sz w:val="21"/>
        </w:rPr>
        <w:t>感染或艾滋病、感染、肿瘤所致的原发性肾上</w:t>
      </w:r>
      <w:r>
        <w:rPr>
          <w:b/>
          <w:spacing w:val="3"/>
          <w:w w:val="100"/>
          <w:sz w:val="21"/>
        </w:rPr>
        <w:t>腺皮质功能减退和继发性肾上腺皮质功能减退不在本保障范围内。</w:t>
      </w:r>
    </w:p>
    <w:p>
      <w:pPr>
        <w:spacing w:after="0" w:line="242" w:lineRule="auto"/>
        <w:jc w:val="both"/>
        <w:rPr>
          <w:sz w:val="21"/>
        </w:rPr>
        <w:sectPr>
          <w:pgSz w:w="11910" w:h="16840"/>
          <w:pgMar w:top="1040" w:right="620" w:bottom="1040" w:left="1480" w:header="0" w:footer="851" w:gutter="0"/>
          <w:cols w:equalWidth="0" w:num="2">
            <w:col w:w="3106" w:space="40"/>
            <w:col w:w="6664"/>
          </w:cols>
        </w:sectPr>
      </w:pPr>
    </w:p>
    <w:p>
      <w:pPr>
        <w:pStyle w:val="3"/>
        <w:rPr>
          <w:b/>
          <w:sz w:val="11"/>
        </w:rPr>
      </w:pPr>
    </w:p>
    <w:p>
      <w:pPr>
        <w:pStyle w:val="8"/>
        <w:numPr>
          <w:ilvl w:val="1"/>
          <w:numId w:val="80"/>
        </w:numPr>
        <w:tabs>
          <w:tab w:val="left" w:pos="1338"/>
          <w:tab w:val="left" w:pos="1339"/>
          <w:tab w:val="left" w:pos="3307"/>
        </w:tabs>
        <w:spacing w:before="91" w:after="0" w:line="240" w:lineRule="auto"/>
        <w:ind w:left="1338" w:right="0" w:hanging="1005"/>
        <w:jc w:val="left"/>
        <w:rPr>
          <w:sz w:val="21"/>
        </w:rPr>
      </w:pPr>
      <w:r>
        <w:rPr>
          <w:b/>
          <w:sz w:val="21"/>
        </w:rPr>
        <w:t>严重心肌</w:t>
      </w:r>
      <w:r>
        <w:rPr>
          <w:b/>
          <w:spacing w:val="-10"/>
          <w:sz w:val="21"/>
        </w:rPr>
        <w:t>炎</w:t>
      </w:r>
      <w:r>
        <w:rPr>
          <w:b/>
          <w:sz w:val="21"/>
        </w:rPr>
        <w:tab/>
      </w:r>
      <w:r>
        <w:rPr>
          <w:sz w:val="21"/>
        </w:rPr>
        <w:t>指被保人因严重心肌炎性病变导致心功能损害造成持续的永</w:t>
      </w:r>
      <w:r>
        <w:rPr>
          <w:spacing w:val="-10"/>
          <w:sz w:val="21"/>
        </w:rPr>
        <w:t>久</w:t>
      </w:r>
    </w:p>
    <w:p>
      <w:pPr>
        <w:pStyle w:val="3"/>
        <w:spacing w:before="5"/>
        <w:ind w:left="3307"/>
      </w:pPr>
      <w:r>
        <w:rPr>
          <w:spacing w:val="-3"/>
        </w:rPr>
        <w:t>不可逆性的心功能衰竭。必须满足所有以下条件：</w:t>
      </w:r>
    </w:p>
    <w:p>
      <w:pPr>
        <w:pStyle w:val="8"/>
        <w:numPr>
          <w:ilvl w:val="2"/>
          <w:numId w:val="80"/>
        </w:numPr>
        <w:tabs>
          <w:tab w:val="left" w:pos="3847"/>
        </w:tabs>
        <w:spacing w:before="5" w:after="0" w:line="269" w:lineRule="exact"/>
        <w:ind w:left="3846" w:right="0" w:hanging="540"/>
        <w:jc w:val="left"/>
        <w:rPr>
          <w:sz w:val="21"/>
        </w:rPr>
      </w:pPr>
      <w:r>
        <w:rPr>
          <w:spacing w:val="-1"/>
          <w:sz w:val="21"/>
        </w:rPr>
        <w:t>心功能衰竭程度达到美国纽约心脏病学会心功能状态分级</w:t>
      </w:r>
    </w:p>
    <w:p>
      <w:pPr>
        <w:pStyle w:val="3"/>
        <w:ind w:left="1209" w:right="221"/>
        <w:jc w:val="center"/>
      </w:pPr>
      <w:r>
        <w:rPr>
          <w:rFonts w:ascii="Times New Roman" w:eastAsia="Times New Roman"/>
          <w:spacing w:val="-2"/>
        </w:rPr>
        <w:t>IV</w:t>
      </w:r>
      <w:r>
        <w:rPr>
          <w:spacing w:val="-2"/>
        </w:rPr>
        <w:t>级，或左室射血分数低于</w:t>
      </w:r>
      <w:r>
        <w:rPr>
          <w:rFonts w:ascii="Times New Roman" w:eastAsia="Times New Roman"/>
          <w:spacing w:val="-4"/>
        </w:rPr>
        <w:t>30%</w:t>
      </w:r>
      <w:r>
        <w:rPr>
          <w:spacing w:val="-4"/>
        </w:rPr>
        <w:t>；</w:t>
      </w:r>
    </w:p>
    <w:p>
      <w:pPr>
        <w:pStyle w:val="8"/>
        <w:numPr>
          <w:ilvl w:val="2"/>
          <w:numId w:val="80"/>
        </w:numPr>
        <w:tabs>
          <w:tab w:val="left" w:pos="3837"/>
        </w:tabs>
        <w:spacing w:before="4" w:after="0" w:line="240" w:lineRule="auto"/>
        <w:ind w:left="3836" w:right="0" w:hanging="2811"/>
        <w:jc w:val="left"/>
        <w:rPr>
          <w:sz w:val="21"/>
        </w:rPr>
      </w:pPr>
      <w:r>
        <w:rPr>
          <w:spacing w:val="-2"/>
          <w:sz w:val="21"/>
        </w:rPr>
        <w:t>心功能</w:t>
      </w:r>
      <w:r>
        <w:rPr>
          <w:rFonts w:ascii="Times New Roman" w:eastAsia="Times New Roman"/>
          <w:spacing w:val="-2"/>
          <w:sz w:val="21"/>
        </w:rPr>
        <w:t>IV</w:t>
      </w:r>
      <w:r>
        <w:rPr>
          <w:spacing w:val="-2"/>
          <w:sz w:val="21"/>
        </w:rPr>
        <w:t>级状态持续不间断</w:t>
      </w:r>
      <w:r>
        <w:rPr>
          <w:rFonts w:ascii="Times New Roman" w:eastAsia="Times New Roman"/>
          <w:spacing w:val="-2"/>
          <w:sz w:val="21"/>
        </w:rPr>
        <w:t>180</w:t>
      </w:r>
      <w:r>
        <w:rPr>
          <w:spacing w:val="-4"/>
          <w:sz w:val="21"/>
        </w:rPr>
        <w:t>天以上；</w:t>
      </w:r>
    </w:p>
    <w:p>
      <w:pPr>
        <w:pStyle w:val="8"/>
        <w:numPr>
          <w:ilvl w:val="2"/>
          <w:numId w:val="80"/>
        </w:numPr>
        <w:tabs>
          <w:tab w:val="left" w:pos="3847"/>
        </w:tabs>
        <w:spacing w:before="5" w:after="0" w:line="244" w:lineRule="auto"/>
        <w:ind w:left="3830" w:right="621" w:hanging="524"/>
        <w:jc w:val="left"/>
        <w:rPr>
          <w:sz w:val="21"/>
        </w:rPr>
      </w:pPr>
      <w:r>
        <w:rPr>
          <w:spacing w:val="-2"/>
          <w:sz w:val="21"/>
        </w:rPr>
        <w:t>被保险人永久不可逆性的体力活动能力受限，不能从事任何体力活动。</w:t>
      </w:r>
    </w:p>
    <w:p>
      <w:pPr>
        <w:pStyle w:val="3"/>
        <w:spacing w:before="2"/>
        <w:rPr>
          <w:sz w:val="18"/>
        </w:rPr>
      </w:pPr>
    </w:p>
    <w:p>
      <w:pPr>
        <w:pStyle w:val="8"/>
        <w:numPr>
          <w:ilvl w:val="1"/>
          <w:numId w:val="80"/>
        </w:numPr>
        <w:tabs>
          <w:tab w:val="left" w:pos="1339"/>
        </w:tabs>
        <w:spacing w:before="0" w:after="0" w:line="275" w:lineRule="exact"/>
        <w:ind w:left="1338" w:right="0" w:hanging="1005"/>
        <w:jc w:val="both"/>
        <w:rPr>
          <w:sz w:val="21"/>
        </w:rPr>
      </w:pPr>
      <w:r>
        <w:rPr>
          <w:b/>
          <w:sz w:val="21"/>
        </w:rPr>
        <w:t>肺源性心脏病</w:t>
      </w:r>
      <w:r>
        <w:rPr>
          <w:b/>
          <w:spacing w:val="54"/>
          <w:w w:val="150"/>
          <w:sz w:val="21"/>
        </w:rPr>
        <w:t xml:space="preserve">    </w:t>
      </w:r>
      <w:r>
        <w:rPr>
          <w:spacing w:val="-1"/>
          <w:sz w:val="21"/>
        </w:rPr>
        <w:t>指被保人因慢性肺部疾病导致慢性心功能损害造成永久不可逆</w:t>
      </w:r>
    </w:p>
    <w:p>
      <w:pPr>
        <w:pStyle w:val="3"/>
        <w:spacing w:line="244" w:lineRule="auto"/>
        <w:ind w:left="3307" w:right="595"/>
        <w:jc w:val="both"/>
      </w:pPr>
      <w:r>
        <w:rPr>
          <w:spacing w:val="-2"/>
        </w:rPr>
        <w:t>性的心功能衰竭。心功能衰竭程度达到美国纽约心脏病学会心功能状态分级</w:t>
      </w:r>
      <w:r>
        <w:rPr>
          <w:rFonts w:ascii="Times New Roman" w:eastAsia="Times New Roman"/>
          <w:spacing w:val="-2"/>
        </w:rPr>
        <w:t>IV</w:t>
      </w:r>
      <w:r>
        <w:rPr>
          <w:spacing w:val="-2"/>
        </w:rPr>
        <w:t>级。被保险人永久不可逆性的体力活动能力受限，不能从事任何体力活动。</w:t>
      </w:r>
    </w:p>
    <w:p>
      <w:pPr>
        <w:pStyle w:val="3"/>
        <w:spacing w:before="12"/>
        <w:rPr>
          <w:sz w:val="10"/>
        </w:rPr>
      </w:pPr>
    </w:p>
    <w:p>
      <w:pPr>
        <w:spacing w:after="0"/>
        <w:rPr>
          <w:sz w:val="10"/>
        </w:rPr>
        <w:sectPr>
          <w:type w:val="continuous"/>
          <w:pgSz w:w="11910" w:h="16840"/>
          <w:pgMar w:top="320" w:right="620" w:bottom="280" w:left="1480" w:header="0" w:footer="851" w:gutter="0"/>
          <w:cols w:space="720" w:num="1"/>
        </w:sectPr>
      </w:pPr>
    </w:p>
    <w:p>
      <w:pPr>
        <w:pStyle w:val="8"/>
        <w:numPr>
          <w:ilvl w:val="1"/>
          <w:numId w:val="80"/>
        </w:numPr>
        <w:tabs>
          <w:tab w:val="left" w:pos="1338"/>
          <w:tab w:val="left" w:pos="1339"/>
        </w:tabs>
        <w:spacing w:before="91" w:after="0" w:line="244" w:lineRule="auto"/>
        <w:ind w:left="1338" w:right="0" w:hanging="1004"/>
        <w:jc w:val="left"/>
        <w:rPr>
          <w:b/>
          <w:sz w:val="21"/>
        </w:rPr>
      </w:pPr>
      <w:r>
        <w:rPr>
          <w:b/>
          <w:spacing w:val="-2"/>
          <w:sz w:val="21"/>
        </w:rPr>
        <w:t>严重原发性硬化性</w:t>
      </w:r>
      <w:r>
        <w:rPr>
          <w:b/>
          <w:spacing w:val="-4"/>
          <w:sz w:val="21"/>
        </w:rPr>
        <w:t>胆管炎</w:t>
      </w:r>
    </w:p>
    <w:p>
      <w:pPr>
        <w:pStyle w:val="3"/>
        <w:spacing w:before="97" w:line="244" w:lineRule="auto"/>
        <w:ind w:left="162" w:right="619"/>
      </w:pPr>
      <w:r>
        <w:br w:type="column"/>
      </w:r>
      <w:r>
        <w:rPr>
          <w:spacing w:val="-2"/>
        </w:rPr>
        <w:t>为一种特发型淤胆性疾病，特点为肝内及肝外胆道系统胆管壁增厚和管腔狭窄。必须满足以下所有条件：</w:t>
      </w:r>
    </w:p>
    <w:p>
      <w:pPr>
        <w:pStyle w:val="8"/>
        <w:numPr>
          <w:ilvl w:val="0"/>
          <w:numId w:val="82"/>
        </w:numPr>
        <w:tabs>
          <w:tab w:val="left" w:pos="692"/>
        </w:tabs>
        <w:spacing w:before="0" w:after="0" w:line="244" w:lineRule="auto"/>
        <w:ind w:left="685" w:right="626" w:hanging="524"/>
        <w:jc w:val="left"/>
        <w:rPr>
          <w:sz w:val="21"/>
        </w:rPr>
      </w:pPr>
      <w:r>
        <w:rPr>
          <w:spacing w:val="-2"/>
          <w:sz w:val="21"/>
        </w:rPr>
        <w:t>诊断由逆行胰胆管造影（</w:t>
      </w:r>
      <w:r>
        <w:rPr>
          <w:rFonts w:ascii="Times New Roman" w:eastAsia="Times New Roman"/>
          <w:spacing w:val="-2"/>
          <w:sz w:val="21"/>
        </w:rPr>
        <w:t>ERCP</w:t>
      </w:r>
      <w:r>
        <w:rPr>
          <w:spacing w:val="-2"/>
          <w:sz w:val="21"/>
        </w:rPr>
        <w:t>）或经皮胆管造影（</w:t>
      </w:r>
      <w:r>
        <w:rPr>
          <w:rFonts w:ascii="Times New Roman" w:eastAsia="Times New Roman"/>
          <w:spacing w:val="-2"/>
          <w:sz w:val="21"/>
        </w:rPr>
        <w:t>PTC</w:t>
      </w:r>
      <w:r>
        <w:rPr>
          <w:spacing w:val="-2"/>
          <w:sz w:val="21"/>
        </w:rPr>
        <w:t>）</w:t>
      </w:r>
      <w:r>
        <w:rPr>
          <w:spacing w:val="-4"/>
          <w:sz w:val="21"/>
        </w:rPr>
        <w:t>确认；</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0"/>
        <w:gridCol w:w="2132"/>
        <w:gridCol w:w="61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7" w:hRule="atLeast"/>
        </w:trPr>
        <w:tc>
          <w:tcPr>
            <w:tcW w:w="2922" w:type="dxa"/>
            <w:gridSpan w:val="2"/>
          </w:tcPr>
          <w:p>
            <w:pPr>
              <w:pStyle w:val="9"/>
              <w:rPr>
                <w:rFonts w:ascii="Times New Roman"/>
                <w:sz w:val="20"/>
              </w:rPr>
            </w:pPr>
          </w:p>
        </w:tc>
        <w:tc>
          <w:tcPr>
            <w:tcW w:w="6137" w:type="dxa"/>
          </w:tcPr>
          <w:p>
            <w:pPr>
              <w:pStyle w:val="9"/>
              <w:numPr>
                <w:ilvl w:val="0"/>
                <w:numId w:val="83"/>
              </w:numPr>
              <w:tabs>
                <w:tab w:val="left" w:pos="630"/>
              </w:tabs>
              <w:spacing w:before="0" w:after="0" w:line="247" w:lineRule="exact"/>
              <w:ind w:left="629" w:right="0" w:hanging="530"/>
              <w:jc w:val="left"/>
              <w:rPr>
                <w:sz w:val="21"/>
              </w:rPr>
            </w:pPr>
            <w:r>
              <w:rPr>
                <w:spacing w:val="-2"/>
                <w:sz w:val="21"/>
              </w:rPr>
              <w:t>持续性黄疸伴碱性磷酸酶（</w:t>
            </w:r>
            <w:r>
              <w:rPr>
                <w:rFonts w:ascii="Times New Roman" w:eastAsia="Times New Roman"/>
                <w:spacing w:val="-2"/>
                <w:sz w:val="21"/>
              </w:rPr>
              <w:t>ALP</w:t>
            </w:r>
            <w:r>
              <w:rPr>
                <w:spacing w:val="-2"/>
                <w:sz w:val="21"/>
              </w:rPr>
              <w:t>）</w:t>
            </w:r>
            <w:r>
              <w:rPr>
                <w:spacing w:val="-4"/>
                <w:sz w:val="21"/>
              </w:rPr>
              <w:t>显著升高；</w:t>
            </w:r>
          </w:p>
          <w:p>
            <w:pPr>
              <w:pStyle w:val="9"/>
              <w:numPr>
                <w:ilvl w:val="0"/>
                <w:numId w:val="83"/>
              </w:numPr>
              <w:tabs>
                <w:tab w:val="left" w:pos="630"/>
              </w:tabs>
              <w:spacing w:before="4" w:after="0" w:line="240" w:lineRule="auto"/>
              <w:ind w:left="629" w:right="0" w:hanging="530"/>
              <w:jc w:val="left"/>
              <w:rPr>
                <w:sz w:val="21"/>
              </w:rPr>
            </w:pPr>
            <w:r>
              <w:rPr>
                <w:spacing w:val="-3"/>
                <w:sz w:val="21"/>
              </w:rPr>
              <w:t>出现继发性胆汁性肝硬化和门静脉高压。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790" w:type="dxa"/>
          </w:tcPr>
          <w:p>
            <w:pPr>
              <w:pStyle w:val="9"/>
              <w:spacing w:before="122"/>
              <w:ind w:left="50"/>
              <w:rPr>
                <w:rFonts w:ascii="Times New Roman"/>
                <w:sz w:val="21"/>
              </w:rPr>
            </w:pPr>
            <w:r>
              <w:rPr>
                <w:rFonts w:ascii="Times New Roman"/>
                <w:spacing w:val="-2"/>
                <w:sz w:val="21"/>
              </w:rPr>
              <w:t>10.50</w:t>
            </w:r>
          </w:p>
        </w:tc>
        <w:tc>
          <w:tcPr>
            <w:tcW w:w="2132" w:type="dxa"/>
          </w:tcPr>
          <w:p>
            <w:pPr>
              <w:pStyle w:val="9"/>
              <w:spacing w:before="127" w:line="249" w:lineRule="exact"/>
              <w:ind w:left="263"/>
              <w:rPr>
                <w:b/>
                <w:sz w:val="21"/>
              </w:rPr>
            </w:pPr>
            <w:r>
              <w:rPr>
                <w:b/>
                <w:spacing w:val="-2"/>
                <w:sz w:val="21"/>
              </w:rPr>
              <w:t>严重自身免疫性肝</w:t>
            </w:r>
          </w:p>
        </w:tc>
        <w:tc>
          <w:tcPr>
            <w:tcW w:w="6137" w:type="dxa"/>
          </w:tcPr>
          <w:p>
            <w:pPr>
              <w:pStyle w:val="9"/>
              <w:spacing w:before="127" w:line="249" w:lineRule="exact"/>
              <w:ind w:left="100"/>
              <w:rPr>
                <w:sz w:val="21"/>
              </w:rPr>
            </w:pPr>
            <w:r>
              <w:rPr>
                <w:spacing w:val="-3"/>
                <w:sz w:val="21"/>
              </w:rPr>
              <w:t>自身免疫性肝炎是一种原因不明的慢性肝脏的坏死性炎性疾病，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spacing w:line="251" w:lineRule="exact"/>
              <w:ind w:left="263"/>
              <w:rPr>
                <w:b/>
                <w:sz w:val="21"/>
              </w:rPr>
            </w:pPr>
            <w:r>
              <w:rPr>
                <w:b/>
                <w:w w:val="100"/>
                <w:sz w:val="21"/>
              </w:rPr>
              <w:t>炎</w:t>
            </w:r>
          </w:p>
        </w:tc>
        <w:tc>
          <w:tcPr>
            <w:tcW w:w="6137" w:type="dxa"/>
          </w:tcPr>
          <w:p>
            <w:pPr>
              <w:pStyle w:val="9"/>
              <w:spacing w:line="251" w:lineRule="exact"/>
              <w:ind w:left="100"/>
              <w:rPr>
                <w:sz w:val="21"/>
              </w:rPr>
            </w:pPr>
            <w:r>
              <w:rPr>
                <w:spacing w:val="-3"/>
                <w:sz w:val="21"/>
              </w:rPr>
              <w:t>机体免疫机制被破坏，产生针对肝脏自身抗原的抗体导致自身免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37" w:type="dxa"/>
          </w:tcPr>
          <w:p>
            <w:pPr>
              <w:pStyle w:val="9"/>
              <w:spacing w:before="2" w:line="251" w:lineRule="exact"/>
              <w:ind w:left="100"/>
              <w:rPr>
                <w:sz w:val="21"/>
              </w:rPr>
            </w:pPr>
            <w:r>
              <w:rPr>
                <w:spacing w:val="-13"/>
                <w:sz w:val="21"/>
              </w:rPr>
              <w:t>疫反应，从而破坏肝细胞造成肝脏炎症坏死，进而发展为肝硬化。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37" w:type="dxa"/>
          </w:tcPr>
          <w:p>
            <w:pPr>
              <w:pStyle w:val="9"/>
              <w:spacing w:before="2" w:line="248" w:lineRule="exact"/>
              <w:ind w:left="100"/>
              <w:rPr>
                <w:sz w:val="21"/>
              </w:rPr>
            </w:pPr>
            <w:r>
              <w:rPr>
                <w:spacing w:val="-3"/>
                <w:sz w:val="21"/>
              </w:rPr>
              <w:t>必须满足所有以下条件：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37" w:type="dxa"/>
          </w:tcPr>
          <w:p>
            <w:pPr>
              <w:pStyle w:val="9"/>
              <w:spacing w:before="6" w:line="253" w:lineRule="exact"/>
              <w:ind w:left="100"/>
              <w:rPr>
                <w:sz w:val="21"/>
              </w:rPr>
            </w:pPr>
            <w:r>
              <w:rPr>
                <w:spacing w:val="-2"/>
                <w:sz w:val="21"/>
              </w:rPr>
              <w:t>（</w:t>
            </w:r>
            <w:r>
              <w:rPr>
                <w:rFonts w:ascii="Times New Roman" w:hAnsi="Times New Roman" w:eastAsia="Times New Roman"/>
                <w:spacing w:val="-2"/>
                <w:sz w:val="21"/>
              </w:rPr>
              <w:t>1</w:t>
            </w:r>
            <w:r>
              <w:rPr>
                <w:spacing w:val="-2"/>
                <w:sz w:val="21"/>
              </w:rPr>
              <w:t>）高</w:t>
            </w:r>
            <w:r>
              <w:rPr>
                <w:rFonts w:ascii="Times New Roman" w:hAnsi="Times New Roman" w:eastAsia="Times New Roman"/>
                <w:spacing w:val="-2"/>
                <w:sz w:val="21"/>
              </w:rPr>
              <w:t>γ</w:t>
            </w:r>
            <w:r>
              <w:rPr>
                <w:spacing w:val="-4"/>
                <w:sz w:val="21"/>
              </w:rPr>
              <w:t>球蛋白血症；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37" w:type="dxa"/>
          </w:tcPr>
          <w:p>
            <w:pPr>
              <w:pStyle w:val="9"/>
              <w:spacing w:line="231" w:lineRule="exact"/>
              <w:ind w:left="100"/>
              <w:rPr>
                <w:sz w:val="21"/>
              </w:rPr>
            </w:pPr>
            <w:r>
              <w:rPr>
                <w:spacing w:val="-2"/>
                <w:sz w:val="21"/>
              </w:rPr>
              <w:t>（</w:t>
            </w:r>
            <w:r>
              <w:rPr>
                <w:rFonts w:ascii="Times New Roman" w:eastAsia="Times New Roman"/>
                <w:spacing w:val="-2"/>
                <w:sz w:val="21"/>
              </w:rPr>
              <w:t>2</w:t>
            </w:r>
            <w:r>
              <w:rPr>
                <w:spacing w:val="-2"/>
                <w:sz w:val="21"/>
              </w:rPr>
              <w:t>）血液中存在高水平的自身免疫抗体，如</w:t>
            </w:r>
            <w:r>
              <w:rPr>
                <w:rFonts w:ascii="Times New Roman" w:eastAsia="Times New Roman"/>
                <w:spacing w:val="-2"/>
                <w:sz w:val="21"/>
              </w:rPr>
              <w:t>ANA</w:t>
            </w:r>
            <w:r>
              <w:rPr>
                <w:spacing w:val="-2"/>
                <w:sz w:val="21"/>
              </w:rPr>
              <w:t>（抗核抗体</w:t>
            </w:r>
            <w:r>
              <w:rPr>
                <w:spacing w:val="-106"/>
                <w:sz w:val="21"/>
              </w:rPr>
              <w:t>）</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37" w:type="dxa"/>
          </w:tcPr>
          <w:p>
            <w:pPr>
              <w:pStyle w:val="9"/>
              <w:spacing w:before="18" w:line="236" w:lineRule="exact"/>
              <w:ind w:left="623"/>
              <w:rPr>
                <w:sz w:val="21"/>
              </w:rPr>
            </w:pPr>
            <w:r>
              <w:rPr>
                <w:rFonts w:ascii="Times New Roman" w:eastAsia="Times New Roman"/>
                <w:spacing w:val="-2"/>
                <w:sz w:val="21"/>
              </w:rPr>
              <w:t>SMA</w:t>
            </w:r>
            <w:r>
              <w:rPr>
                <w:spacing w:val="-2"/>
                <w:sz w:val="21"/>
              </w:rPr>
              <w:t>（抗平滑肌抗体</w:t>
            </w:r>
            <w:r>
              <w:rPr>
                <w:spacing w:val="-106"/>
                <w:sz w:val="21"/>
              </w:rPr>
              <w:t>）</w:t>
            </w:r>
            <w:r>
              <w:rPr>
                <w:spacing w:val="-2"/>
                <w:sz w:val="21"/>
              </w:rPr>
              <w:t>、抗</w:t>
            </w:r>
            <w:r>
              <w:rPr>
                <w:rFonts w:ascii="Times New Roman" w:eastAsia="Times New Roman"/>
                <w:spacing w:val="-2"/>
                <w:sz w:val="21"/>
              </w:rPr>
              <w:t>LKM1</w:t>
            </w:r>
            <w:r>
              <w:rPr>
                <w:spacing w:val="-2"/>
                <w:sz w:val="21"/>
              </w:rPr>
              <w:t>抗体或抗</w:t>
            </w:r>
            <w:r>
              <w:rPr>
                <w:rFonts w:ascii="Times New Roman" w:eastAsia="Times New Roman"/>
                <w:spacing w:val="-2"/>
                <w:sz w:val="21"/>
              </w:rPr>
              <w:t>-SLA/LP</w:t>
            </w:r>
            <w:r>
              <w:rPr>
                <w:spacing w:val="-5"/>
                <w:sz w:val="21"/>
              </w:rPr>
              <w:t>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37" w:type="dxa"/>
          </w:tcPr>
          <w:p>
            <w:pPr>
              <w:pStyle w:val="9"/>
              <w:spacing w:before="18" w:line="256" w:lineRule="exact"/>
              <w:ind w:left="100"/>
              <w:rPr>
                <w:sz w:val="21"/>
              </w:rPr>
            </w:pPr>
            <w:r>
              <w:rPr>
                <w:spacing w:val="-2"/>
                <w:sz w:val="21"/>
              </w:rPr>
              <w:t>（</w:t>
            </w:r>
            <w:r>
              <w:rPr>
                <w:rFonts w:ascii="Times New Roman" w:eastAsia="Times New Roman"/>
                <w:spacing w:val="-2"/>
                <w:sz w:val="21"/>
              </w:rPr>
              <w:t>3</w:t>
            </w:r>
            <w:r>
              <w:rPr>
                <w:spacing w:val="-2"/>
                <w:sz w:val="21"/>
              </w:rPr>
              <w:t>）</w:t>
            </w:r>
            <w:r>
              <w:rPr>
                <w:spacing w:val="-3"/>
                <w:sz w:val="21"/>
              </w:rPr>
              <w:t>肝脏活检证实免疫性肝炎；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37" w:type="dxa"/>
          </w:tcPr>
          <w:p>
            <w:pPr>
              <w:pStyle w:val="9"/>
              <w:spacing w:line="267" w:lineRule="exact"/>
              <w:ind w:left="100"/>
              <w:rPr>
                <w:sz w:val="21"/>
              </w:rPr>
            </w:pPr>
            <w:r>
              <w:rPr>
                <w:spacing w:val="-2"/>
                <w:sz w:val="21"/>
              </w:rPr>
              <w:t>（</w:t>
            </w:r>
            <w:r>
              <w:rPr>
                <w:rFonts w:ascii="Times New Roman" w:eastAsia="Times New Roman"/>
                <w:spacing w:val="-2"/>
                <w:sz w:val="21"/>
              </w:rPr>
              <w:t>4</w:t>
            </w:r>
            <w:r>
              <w:rPr>
                <w:spacing w:val="-2"/>
                <w:sz w:val="21"/>
              </w:rPr>
              <w:t>）</w:t>
            </w:r>
            <w:r>
              <w:rPr>
                <w:spacing w:val="-3"/>
                <w:sz w:val="21"/>
              </w:rPr>
              <w:t>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790" w:type="dxa"/>
          </w:tcPr>
          <w:p>
            <w:pPr>
              <w:pStyle w:val="9"/>
              <w:spacing w:before="122"/>
              <w:ind w:left="50"/>
              <w:rPr>
                <w:rFonts w:ascii="Times New Roman"/>
                <w:sz w:val="21"/>
              </w:rPr>
            </w:pPr>
            <w:r>
              <w:rPr>
                <w:rFonts w:ascii="Times New Roman"/>
                <w:spacing w:val="-2"/>
                <w:sz w:val="21"/>
              </w:rPr>
              <w:t>10.51</w:t>
            </w:r>
          </w:p>
        </w:tc>
        <w:tc>
          <w:tcPr>
            <w:tcW w:w="2132" w:type="dxa"/>
          </w:tcPr>
          <w:p>
            <w:pPr>
              <w:pStyle w:val="9"/>
              <w:spacing w:before="127" w:line="245" w:lineRule="exact"/>
              <w:ind w:left="263"/>
              <w:rPr>
                <w:b/>
                <w:sz w:val="21"/>
              </w:rPr>
            </w:pPr>
            <w:r>
              <w:rPr>
                <w:b/>
                <w:spacing w:val="-2"/>
                <w:sz w:val="21"/>
              </w:rPr>
              <w:t>原发性骨髓纤维化</w:t>
            </w:r>
          </w:p>
        </w:tc>
        <w:tc>
          <w:tcPr>
            <w:tcW w:w="6137" w:type="dxa"/>
          </w:tcPr>
          <w:p>
            <w:pPr>
              <w:pStyle w:val="9"/>
              <w:spacing w:before="127" w:line="245" w:lineRule="exact"/>
              <w:ind w:left="100"/>
              <w:rPr>
                <w:sz w:val="21"/>
              </w:rPr>
            </w:pPr>
            <w:r>
              <w:rPr>
                <w:spacing w:val="-3"/>
                <w:sz w:val="21"/>
              </w:rPr>
              <w:t>原发性骨髓纤维化以骨髓纤维增生和髓外造血为特点，表现为进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spacing w:before="3" w:line="259" w:lineRule="exact"/>
              <w:ind w:left="263"/>
              <w:rPr>
                <w:b/>
                <w:sz w:val="21"/>
              </w:rPr>
            </w:pPr>
            <w:r>
              <w:rPr>
                <w:b/>
                <w:spacing w:val="-2"/>
                <w:sz w:val="21"/>
              </w:rPr>
              <w:t>（</w:t>
            </w:r>
            <w:r>
              <w:rPr>
                <w:rFonts w:ascii="Times New Roman" w:eastAsia="Times New Roman"/>
                <w:b/>
                <w:spacing w:val="-2"/>
                <w:sz w:val="21"/>
              </w:rPr>
              <w:t>PMF</w:t>
            </w:r>
            <w:r>
              <w:rPr>
                <w:b/>
                <w:spacing w:val="-2"/>
                <w:sz w:val="21"/>
              </w:rPr>
              <w:t>）</w:t>
            </w:r>
          </w:p>
        </w:tc>
        <w:tc>
          <w:tcPr>
            <w:tcW w:w="6137" w:type="dxa"/>
          </w:tcPr>
          <w:p>
            <w:pPr>
              <w:pStyle w:val="9"/>
              <w:spacing w:before="3" w:line="259" w:lineRule="exact"/>
              <w:ind w:left="100"/>
              <w:rPr>
                <w:sz w:val="21"/>
              </w:rPr>
            </w:pPr>
            <w:r>
              <w:rPr>
                <w:spacing w:val="-3"/>
                <w:sz w:val="21"/>
              </w:rPr>
              <w:t>行性贫血、脾肿大、外周血幼稚细胞等等。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2922" w:type="dxa"/>
            <w:gridSpan w:val="2"/>
            <w:vMerge w:val="restart"/>
          </w:tcPr>
          <w:p>
            <w:pPr>
              <w:pStyle w:val="9"/>
              <w:rPr>
                <w:rFonts w:ascii="Times New Roman"/>
                <w:sz w:val="20"/>
              </w:rPr>
            </w:pPr>
          </w:p>
        </w:tc>
        <w:tc>
          <w:tcPr>
            <w:tcW w:w="6137" w:type="dxa"/>
          </w:tcPr>
          <w:p>
            <w:pPr>
              <w:pStyle w:val="9"/>
              <w:spacing w:line="243" w:lineRule="exact"/>
              <w:ind w:left="100"/>
              <w:rPr>
                <w:sz w:val="21"/>
              </w:rPr>
            </w:pPr>
            <w:r>
              <w:rPr>
                <w:spacing w:val="-3"/>
                <w:sz w:val="21"/>
              </w:rPr>
              <w:t>被保险人须经由骨髓活检明确诊断为原发性骨髓纤维化，并满足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2922" w:type="dxa"/>
            <w:gridSpan w:val="2"/>
            <w:vMerge w:val="continue"/>
            <w:tcBorders>
              <w:top w:val="nil"/>
            </w:tcBorders>
          </w:tcPr>
          <w:p>
            <w:pPr>
              <w:rPr>
                <w:sz w:val="2"/>
                <w:szCs w:val="2"/>
              </w:rPr>
            </w:pPr>
          </w:p>
        </w:tc>
        <w:tc>
          <w:tcPr>
            <w:tcW w:w="6137" w:type="dxa"/>
          </w:tcPr>
          <w:p>
            <w:pPr>
              <w:pStyle w:val="9"/>
              <w:spacing w:before="6" w:line="256" w:lineRule="exact"/>
              <w:ind w:left="100"/>
              <w:rPr>
                <w:sz w:val="21"/>
              </w:rPr>
            </w:pPr>
            <w:r>
              <w:rPr>
                <w:spacing w:val="-2"/>
                <w:sz w:val="21"/>
              </w:rPr>
              <w:t>下列所有条件且持续</w:t>
            </w:r>
            <w:r>
              <w:rPr>
                <w:rFonts w:ascii="Times New Roman" w:eastAsia="Times New Roman"/>
                <w:spacing w:val="-2"/>
                <w:sz w:val="21"/>
              </w:rPr>
              <w:t>180</w:t>
            </w:r>
            <w:r>
              <w:rPr>
                <w:spacing w:val="-6"/>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2" w:hRule="atLeast"/>
        </w:trPr>
        <w:tc>
          <w:tcPr>
            <w:tcW w:w="2922" w:type="dxa"/>
            <w:gridSpan w:val="2"/>
            <w:vMerge w:val="continue"/>
            <w:tcBorders>
              <w:top w:val="nil"/>
            </w:tcBorders>
          </w:tcPr>
          <w:p>
            <w:pPr>
              <w:rPr>
                <w:sz w:val="2"/>
                <w:szCs w:val="2"/>
              </w:rPr>
            </w:pPr>
          </w:p>
        </w:tc>
        <w:tc>
          <w:tcPr>
            <w:tcW w:w="6137" w:type="dxa"/>
          </w:tcPr>
          <w:p>
            <w:pPr>
              <w:pStyle w:val="9"/>
              <w:spacing w:line="267" w:lineRule="exact"/>
              <w:ind w:left="100"/>
              <w:rPr>
                <w:sz w:val="21"/>
              </w:rPr>
            </w:pPr>
            <w:r>
              <w:rPr>
                <w:spacing w:val="-2"/>
                <w:sz w:val="21"/>
              </w:rPr>
              <w:t>（</w:t>
            </w:r>
            <w:r>
              <w:rPr>
                <w:rFonts w:ascii="Times New Roman" w:eastAsia="Times New Roman"/>
                <w:spacing w:val="-2"/>
                <w:sz w:val="21"/>
              </w:rPr>
              <w:t>1</w:t>
            </w:r>
            <w:r>
              <w:rPr>
                <w:spacing w:val="-2"/>
                <w:sz w:val="21"/>
              </w:rPr>
              <w:t>）血红蛋白</w:t>
            </w:r>
            <w:r>
              <w:rPr>
                <w:rFonts w:ascii="Times New Roman" w:eastAsia="Times New Roman"/>
                <w:spacing w:val="-2"/>
                <w:sz w:val="21"/>
              </w:rPr>
              <w:t>&lt;100g/l</w:t>
            </w:r>
            <w:r>
              <w:rPr>
                <w:spacing w:val="-2"/>
                <w:sz w:val="21"/>
              </w:rPr>
              <w:t>；</w:t>
            </w:r>
          </w:p>
          <w:p>
            <w:pPr>
              <w:pStyle w:val="9"/>
              <w:spacing w:line="255" w:lineRule="exact"/>
              <w:ind w:left="100"/>
              <w:rPr>
                <w:sz w:val="21"/>
              </w:rPr>
            </w:pPr>
            <w:r>
              <w:rPr>
                <w:spacing w:val="-4"/>
                <w:sz w:val="21"/>
              </w:rPr>
              <w:t>（</w:t>
            </w:r>
            <w:r>
              <w:rPr>
                <w:rFonts w:ascii="Times New Roman" w:hAnsi="Times New Roman" w:eastAsia="Times New Roman"/>
                <w:spacing w:val="-4"/>
                <w:sz w:val="21"/>
              </w:rPr>
              <w:t>2</w:t>
            </w:r>
            <w:r>
              <w:rPr>
                <w:spacing w:val="-4"/>
                <w:sz w:val="21"/>
              </w:rPr>
              <w:t>）白细胞计数</w:t>
            </w:r>
            <w:r>
              <w:rPr>
                <w:rFonts w:ascii="Times New Roman" w:hAnsi="Times New Roman" w:eastAsia="Times New Roman"/>
                <w:spacing w:val="-4"/>
                <w:sz w:val="21"/>
              </w:rPr>
              <w:t>&gt;25×10</w:t>
            </w:r>
            <w:r>
              <w:rPr>
                <w:rFonts w:ascii="Times New Roman" w:hAnsi="Times New Roman" w:eastAsia="Times New Roman"/>
                <w:spacing w:val="-6"/>
                <w:sz w:val="21"/>
              </w:rPr>
              <w:t xml:space="preserve"> </w:t>
            </w:r>
            <w:r>
              <w:rPr>
                <w:rFonts w:ascii="Times New Roman" w:hAnsi="Times New Roman" w:eastAsia="Times New Roman"/>
                <w:spacing w:val="-4"/>
                <w:sz w:val="21"/>
                <w:vertAlign w:val="superscript"/>
              </w:rPr>
              <w:t>9</w:t>
            </w:r>
            <w:r>
              <w:rPr>
                <w:rFonts w:ascii="Times New Roman" w:hAnsi="Times New Roman" w:eastAsia="Times New Roman"/>
                <w:spacing w:val="-4"/>
                <w:sz w:val="21"/>
                <w:vertAlign w:val="baseline"/>
              </w:rPr>
              <w:t>/L</w:t>
            </w:r>
            <w:r>
              <w:rPr>
                <w:spacing w:val="-4"/>
                <w:sz w:val="21"/>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8" w:hRule="atLeast"/>
        </w:trPr>
        <w:tc>
          <w:tcPr>
            <w:tcW w:w="2922" w:type="dxa"/>
            <w:gridSpan w:val="2"/>
            <w:vMerge w:val="continue"/>
            <w:tcBorders>
              <w:top w:val="nil"/>
            </w:tcBorders>
          </w:tcPr>
          <w:p>
            <w:pPr>
              <w:rPr>
                <w:sz w:val="2"/>
                <w:szCs w:val="2"/>
              </w:rPr>
            </w:pPr>
          </w:p>
        </w:tc>
        <w:tc>
          <w:tcPr>
            <w:tcW w:w="6137" w:type="dxa"/>
          </w:tcPr>
          <w:p>
            <w:pPr>
              <w:pStyle w:val="9"/>
              <w:spacing w:line="267" w:lineRule="exact"/>
              <w:ind w:left="100"/>
              <w:rPr>
                <w:rFonts w:ascii="Times New Roman" w:hAnsi="Times New Roman" w:eastAsia="Times New Roman"/>
                <w:sz w:val="21"/>
              </w:rPr>
            </w:pPr>
            <w:r>
              <w:rPr>
                <w:spacing w:val="-2"/>
                <w:sz w:val="21"/>
              </w:rPr>
              <w:t>（</w:t>
            </w:r>
            <w:r>
              <w:rPr>
                <w:rFonts w:ascii="Times New Roman" w:hAnsi="Times New Roman" w:eastAsia="Times New Roman"/>
                <w:spacing w:val="-2"/>
                <w:sz w:val="21"/>
              </w:rPr>
              <w:t>3</w:t>
            </w:r>
            <w:r>
              <w:rPr>
                <w:spacing w:val="-2"/>
                <w:sz w:val="21"/>
              </w:rPr>
              <w:t>）外周血原始细胞</w:t>
            </w:r>
            <w:r>
              <w:rPr>
                <w:rFonts w:ascii="Times New Roman" w:hAnsi="Times New Roman" w:eastAsia="Times New Roman"/>
                <w:spacing w:val="-4"/>
                <w:sz w:val="21"/>
              </w:rPr>
              <w:t>≥1%;</w:t>
            </w:r>
          </w:p>
          <w:p>
            <w:pPr>
              <w:pStyle w:val="9"/>
              <w:spacing w:before="4" w:line="257" w:lineRule="exact"/>
              <w:ind w:left="100"/>
              <w:rPr>
                <w:sz w:val="21"/>
              </w:rPr>
            </w:pPr>
            <w:r>
              <w:rPr>
                <w:w w:val="95"/>
                <w:sz w:val="21"/>
              </w:rPr>
              <w:t>（</w:t>
            </w:r>
            <w:r>
              <w:rPr>
                <w:rFonts w:ascii="Times New Roman" w:hAnsi="Times New Roman" w:eastAsia="Times New Roman"/>
                <w:w w:val="95"/>
                <w:sz w:val="21"/>
              </w:rPr>
              <w:t>4</w:t>
            </w:r>
            <w:r>
              <w:rPr>
                <w:w w:val="95"/>
                <w:sz w:val="21"/>
              </w:rPr>
              <w:t>）血小板计数</w:t>
            </w:r>
            <w:r>
              <w:rPr>
                <w:rFonts w:ascii="Times New Roman" w:hAnsi="Times New Roman" w:eastAsia="Times New Roman"/>
                <w:w w:val="95"/>
                <w:sz w:val="21"/>
              </w:rPr>
              <w:t>&lt;100×10</w:t>
            </w:r>
            <w:r>
              <w:rPr>
                <w:rFonts w:ascii="Times New Roman" w:hAnsi="Times New Roman" w:eastAsia="Times New Roman"/>
                <w:spacing w:val="56"/>
                <w:sz w:val="21"/>
              </w:rPr>
              <w:t xml:space="preserve"> </w:t>
            </w:r>
            <w:r>
              <w:rPr>
                <w:rFonts w:ascii="Times New Roman" w:hAnsi="Times New Roman" w:eastAsia="Times New Roman"/>
                <w:w w:val="95"/>
                <w:sz w:val="21"/>
                <w:vertAlign w:val="superscript"/>
              </w:rPr>
              <w:t>9</w:t>
            </w:r>
            <w:r>
              <w:rPr>
                <w:rFonts w:ascii="Times New Roman" w:hAnsi="Times New Roman" w:eastAsia="Times New Roman"/>
                <w:w w:val="95"/>
                <w:sz w:val="21"/>
                <w:vertAlign w:val="baseline"/>
              </w:rPr>
              <w:t>/L</w:t>
            </w:r>
            <w:r>
              <w:rPr>
                <w:spacing w:val="-10"/>
                <w:w w:val="95"/>
                <w:sz w:val="21"/>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2922" w:type="dxa"/>
            <w:gridSpan w:val="2"/>
            <w:vMerge w:val="continue"/>
            <w:tcBorders>
              <w:top w:val="nil"/>
            </w:tcBorders>
          </w:tcPr>
          <w:p>
            <w:pPr>
              <w:rPr>
                <w:sz w:val="2"/>
                <w:szCs w:val="2"/>
              </w:rPr>
            </w:pPr>
          </w:p>
        </w:tc>
        <w:tc>
          <w:tcPr>
            <w:tcW w:w="6137" w:type="dxa"/>
          </w:tcPr>
          <w:p>
            <w:pPr>
              <w:pStyle w:val="9"/>
              <w:spacing w:line="243" w:lineRule="exact"/>
              <w:ind w:left="100"/>
              <w:rPr>
                <w:b/>
                <w:sz w:val="21"/>
              </w:rPr>
            </w:pPr>
            <w:r>
              <w:rPr>
                <w:b/>
                <w:spacing w:val="-3"/>
                <w:sz w:val="21"/>
              </w:rPr>
              <w:t>恶性肿瘤、中毒、放射线和感染所致的继发性骨髓纤维化不在保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2922" w:type="dxa"/>
            <w:gridSpan w:val="2"/>
            <w:vMerge w:val="continue"/>
            <w:tcBorders>
              <w:top w:val="nil"/>
            </w:tcBorders>
          </w:tcPr>
          <w:p>
            <w:pPr>
              <w:rPr>
                <w:sz w:val="2"/>
                <w:szCs w:val="2"/>
              </w:rPr>
            </w:pPr>
          </w:p>
        </w:tc>
        <w:tc>
          <w:tcPr>
            <w:tcW w:w="6137" w:type="dxa"/>
          </w:tcPr>
          <w:p>
            <w:pPr>
              <w:pStyle w:val="9"/>
              <w:spacing w:before="2" w:line="220" w:lineRule="exact"/>
              <w:ind w:left="100"/>
              <w:rPr>
                <w:b/>
                <w:sz w:val="21"/>
              </w:rPr>
            </w:pPr>
            <w:r>
              <w:rPr>
                <w:b/>
                <w:spacing w:val="-2"/>
                <w:sz w:val="21"/>
              </w:rPr>
              <w:t>障范围内。</w:t>
            </w:r>
          </w:p>
        </w:tc>
      </w:tr>
    </w:tbl>
    <w:p>
      <w:pPr>
        <w:spacing w:after="0" w:line="220" w:lineRule="exact"/>
        <w:rPr>
          <w:sz w:val="21"/>
        </w:rPr>
        <w:sectPr>
          <w:type w:val="continuous"/>
          <w:pgSz w:w="11910" w:h="16840"/>
          <w:pgMar w:top="320" w:right="620" w:bottom="280" w:left="1480" w:header="0" w:footer="851" w:gutter="0"/>
          <w:cols w:space="720" w:num="1"/>
        </w:sectPr>
      </w:pPr>
    </w:p>
    <w:p>
      <w:pPr>
        <w:tabs>
          <w:tab w:val="left" w:pos="1338"/>
        </w:tabs>
        <w:spacing w:before="70" w:line="275" w:lineRule="exact"/>
        <w:ind w:left="334" w:right="0" w:firstLine="0"/>
        <w:jc w:val="left"/>
        <w:rPr>
          <w:b/>
          <w:sz w:val="21"/>
        </w:rPr>
      </w:pPr>
      <w:r>
        <w:rPr>
          <w:rFonts w:ascii="Times New Roman" w:eastAsia="Times New Roman"/>
          <w:spacing w:val="-2"/>
          <w:position w:val="2"/>
          <w:sz w:val="21"/>
        </w:rPr>
        <w:t>10.52</w:t>
      </w:r>
      <w:r>
        <w:rPr>
          <w:rFonts w:ascii="Times New Roman" w:eastAsia="Times New Roman"/>
          <w:position w:val="2"/>
          <w:sz w:val="21"/>
        </w:rPr>
        <w:tab/>
      </w:r>
      <w:r>
        <w:rPr>
          <w:b/>
          <w:spacing w:val="-2"/>
          <w:sz w:val="21"/>
        </w:rPr>
        <w:t>严重骨髓增生异常</w:t>
      </w:r>
    </w:p>
    <w:p>
      <w:pPr>
        <w:spacing w:before="0"/>
        <w:ind w:left="1338" w:right="0" w:firstLine="0"/>
        <w:jc w:val="left"/>
        <w:rPr>
          <w:b/>
          <w:sz w:val="21"/>
        </w:rPr>
      </w:pPr>
      <w:r>
        <w:rPr>
          <w:b/>
          <w:sz w:val="21"/>
        </w:rPr>
        <w:t>综合征</w:t>
      </w:r>
      <w:r>
        <w:rPr>
          <w:b/>
          <w:spacing w:val="-2"/>
          <w:sz w:val="21"/>
        </w:rPr>
        <w:t>（</w:t>
      </w:r>
      <w:r>
        <w:rPr>
          <w:rFonts w:ascii="Times New Roman" w:eastAsia="Times New Roman"/>
          <w:b/>
          <w:spacing w:val="-2"/>
          <w:sz w:val="21"/>
        </w:rPr>
        <w:t>MDS</w:t>
      </w:r>
      <w:r>
        <w:rPr>
          <w:b/>
          <w:spacing w:val="-2"/>
          <w:sz w:val="21"/>
        </w:rPr>
        <w:t>）</w:t>
      </w:r>
    </w:p>
    <w:p>
      <w:pPr>
        <w:pStyle w:val="3"/>
        <w:spacing w:before="76" w:line="242" w:lineRule="auto"/>
        <w:ind w:left="162" w:right="607"/>
        <w:jc w:val="both"/>
      </w:pPr>
      <w:r>
        <w:br w:type="column"/>
      </w:r>
      <w:r>
        <w:rPr>
          <w:spacing w:val="4"/>
          <w:w w:val="100"/>
        </w:rPr>
        <w:t>骨髓增生异常综合征是起源于造血干细胞的一组骨髓克隆异常</w:t>
      </w:r>
      <w:r>
        <w:rPr>
          <w:spacing w:val="-5"/>
          <w:w w:val="100"/>
        </w:rPr>
        <w:t>的疾病，表现为无效造血、难治性血细胞减少，有转化为急性髓系白血病的风险。</w:t>
      </w:r>
    </w:p>
    <w:p>
      <w:pPr>
        <w:pStyle w:val="3"/>
        <w:spacing w:line="244" w:lineRule="auto"/>
        <w:ind w:left="162" w:right="624"/>
      </w:pPr>
      <w:r>
        <w:rPr>
          <w:spacing w:val="3"/>
          <w:w w:val="100"/>
        </w:rPr>
        <w:t>被保险人须经由外周血和骨髓活检被明确诊断为骨髓增生异常</w:t>
      </w:r>
      <w:r>
        <w:rPr>
          <w:spacing w:val="-2"/>
          <w:w w:val="100"/>
        </w:rPr>
        <w:t>综合征，并且满足下列所有条件：</w:t>
      </w:r>
    </w:p>
    <w:p>
      <w:pPr>
        <w:pStyle w:val="3"/>
        <w:spacing w:line="263" w:lineRule="exact"/>
        <w:ind w:left="162"/>
      </w:pPr>
      <w:r>
        <w:t>（</w:t>
      </w:r>
      <w:r>
        <w:rPr>
          <w:spacing w:val="-76"/>
        </w:rPr>
        <w:t xml:space="preserve"> </w:t>
      </w:r>
      <w:r>
        <w:rPr>
          <w:rFonts w:ascii="Times New Roman" w:eastAsia="Times New Roman"/>
        </w:rPr>
        <w:t>1</w:t>
      </w:r>
      <w:r>
        <w:rPr>
          <w:rFonts w:ascii="Times New Roman" w:eastAsia="Times New Roman"/>
          <w:spacing w:val="-20"/>
        </w:rPr>
        <w:t xml:space="preserve"> </w:t>
      </w:r>
      <w:r>
        <w:t>）</w:t>
      </w:r>
      <w:r>
        <w:rPr>
          <w:spacing w:val="-10"/>
        </w:rPr>
        <w:t xml:space="preserve"> 根据</w:t>
      </w:r>
      <w:r>
        <w:rPr>
          <w:rFonts w:ascii="Times New Roman" w:eastAsia="Times New Roman"/>
        </w:rPr>
        <w:t>WHO</w:t>
      </w:r>
      <w:r>
        <w:rPr>
          <w:rFonts w:ascii="Times New Roman" w:eastAsia="Times New Roman"/>
          <w:spacing w:val="-19"/>
        </w:rPr>
        <w:t xml:space="preserve"> </w:t>
      </w:r>
      <w:r>
        <w:rPr>
          <w:spacing w:val="11"/>
        </w:rPr>
        <w:t>分型， 分型为难治性贫血伴原始细胞增多</w:t>
      </w:r>
    </w:p>
    <w:p>
      <w:pPr>
        <w:pStyle w:val="3"/>
        <w:spacing w:before="5"/>
        <w:ind w:left="162"/>
      </w:pPr>
      <w:r>
        <w:rPr>
          <w:spacing w:val="27"/>
        </w:rPr>
        <w:t>（</w:t>
      </w:r>
      <w:r>
        <w:rPr>
          <w:rFonts w:ascii="Times New Roman" w:eastAsia="Times New Roman"/>
          <w:spacing w:val="25"/>
        </w:rPr>
        <w:t>R</w:t>
      </w:r>
      <w:r>
        <w:rPr>
          <w:rFonts w:ascii="Times New Roman" w:eastAsia="Times New Roman"/>
          <w:spacing w:val="23"/>
        </w:rPr>
        <w:t>A</w:t>
      </w:r>
      <w:r>
        <w:rPr>
          <w:rFonts w:ascii="Times New Roman" w:eastAsia="Times New Roman"/>
          <w:spacing w:val="27"/>
        </w:rPr>
        <w:t>E</w:t>
      </w:r>
      <w:r>
        <w:rPr>
          <w:rFonts w:ascii="Times New Roman" w:eastAsia="Times New Roman"/>
          <w:spacing w:val="26"/>
        </w:rPr>
        <w:t>B</w:t>
      </w:r>
      <w:r>
        <w:rPr>
          <w:spacing w:val="-79"/>
        </w:rPr>
        <w:t>）；</w:t>
      </w:r>
    </w:p>
    <w:p>
      <w:pPr>
        <w:pStyle w:val="8"/>
        <w:numPr>
          <w:ilvl w:val="0"/>
          <w:numId w:val="82"/>
        </w:numPr>
        <w:tabs>
          <w:tab w:val="left" w:pos="692"/>
        </w:tabs>
        <w:spacing w:before="5" w:after="0" w:line="240" w:lineRule="auto"/>
        <w:ind w:left="685" w:right="623" w:hanging="524"/>
        <w:jc w:val="left"/>
        <w:rPr>
          <w:sz w:val="21"/>
        </w:rPr>
      </w:pPr>
      <w:r>
        <w:rPr>
          <w:spacing w:val="-2"/>
          <w:sz w:val="21"/>
        </w:rPr>
        <w:t>根据</w:t>
      </w:r>
      <w:r>
        <w:rPr>
          <w:rFonts w:ascii="Times New Roman" w:hAnsi="Times New Roman" w:eastAsia="Times New Roman"/>
          <w:spacing w:val="-2"/>
          <w:sz w:val="21"/>
        </w:rPr>
        <w:t>“</w:t>
      </w:r>
      <w:r>
        <w:rPr>
          <w:spacing w:val="-8"/>
          <w:sz w:val="21"/>
        </w:rPr>
        <w:t>骨髓增生异常综合征修订国际预后积分系统</w:t>
      </w:r>
      <w:r>
        <w:rPr>
          <w:spacing w:val="-2"/>
          <w:sz w:val="21"/>
        </w:rPr>
        <w:t>（</w:t>
      </w:r>
      <w:r>
        <w:rPr>
          <w:rFonts w:ascii="Times New Roman" w:hAnsi="Times New Roman" w:eastAsia="Times New Roman"/>
          <w:spacing w:val="-2"/>
          <w:sz w:val="21"/>
        </w:rPr>
        <w:t>IPSS-</w:t>
      </w:r>
      <w:r>
        <w:rPr>
          <w:rFonts w:ascii="Times New Roman" w:hAnsi="Times New Roman" w:eastAsia="Times New Roman"/>
          <w:spacing w:val="30"/>
          <w:sz w:val="21"/>
        </w:rPr>
        <w:t>R</w:t>
      </w:r>
      <w:r>
        <w:rPr>
          <w:spacing w:val="-69"/>
          <w:sz w:val="21"/>
        </w:rPr>
        <w:t>）</w:t>
      </w:r>
      <w:r>
        <w:rPr>
          <w:rFonts w:ascii="Times New Roman" w:hAnsi="Times New Roman" w:eastAsia="Times New Roman"/>
          <w:spacing w:val="32"/>
          <w:sz w:val="21"/>
        </w:rPr>
        <w:t>”</w:t>
      </w:r>
      <w:r>
        <w:rPr>
          <w:spacing w:val="-2"/>
          <w:sz w:val="21"/>
        </w:rPr>
        <w:t>积分</w:t>
      </w:r>
      <w:r>
        <w:rPr>
          <w:rFonts w:ascii="Times New Roman" w:hAnsi="Times New Roman" w:eastAsia="Times New Roman"/>
          <w:spacing w:val="-2"/>
          <w:sz w:val="21"/>
        </w:rPr>
        <w:t>≥</w:t>
      </w:r>
      <w:r>
        <w:rPr>
          <w:spacing w:val="-2"/>
          <w:sz w:val="21"/>
        </w:rPr>
        <w:t>分，属于中危及以上组。</w:t>
      </w:r>
    </w:p>
    <w:p>
      <w:pPr>
        <w:spacing w:after="0" w:line="240" w:lineRule="auto"/>
        <w:jc w:val="left"/>
        <w:rPr>
          <w:sz w:val="21"/>
        </w:rPr>
        <w:sectPr>
          <w:pgSz w:w="11910" w:h="16840"/>
          <w:pgMar w:top="1280" w:right="620" w:bottom="1040" w:left="1480" w:header="0" w:footer="851" w:gutter="0"/>
          <w:cols w:equalWidth="0" w:num="2">
            <w:col w:w="3106" w:space="40"/>
            <w:col w:w="6664"/>
          </w:cols>
        </w:sectPr>
      </w:pPr>
    </w:p>
    <w:p>
      <w:pPr>
        <w:pStyle w:val="3"/>
        <w:spacing w:before="8"/>
        <w:rPr>
          <w:sz w:val="19"/>
        </w:r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0"/>
        <w:gridCol w:w="2132"/>
        <w:gridCol w:w="60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790" w:type="dxa"/>
          </w:tcPr>
          <w:p>
            <w:pPr>
              <w:pStyle w:val="9"/>
              <w:spacing w:line="234" w:lineRule="exact"/>
              <w:ind w:left="50"/>
              <w:rPr>
                <w:rFonts w:ascii="Times New Roman"/>
                <w:sz w:val="21"/>
              </w:rPr>
            </w:pPr>
            <w:r>
              <w:rPr>
                <w:rFonts w:ascii="Times New Roman"/>
                <w:spacing w:val="-2"/>
                <w:sz w:val="21"/>
              </w:rPr>
              <w:t>10.53</w:t>
            </w:r>
          </w:p>
        </w:tc>
        <w:tc>
          <w:tcPr>
            <w:tcW w:w="2132" w:type="dxa"/>
          </w:tcPr>
          <w:p>
            <w:pPr>
              <w:pStyle w:val="9"/>
              <w:spacing w:line="243" w:lineRule="exact"/>
              <w:ind w:left="263"/>
              <w:rPr>
                <w:b/>
                <w:sz w:val="21"/>
              </w:rPr>
            </w:pPr>
            <w:r>
              <w:rPr>
                <w:b/>
                <w:spacing w:val="-2"/>
                <w:sz w:val="21"/>
              </w:rPr>
              <w:t>自体造血干细胞移</w:t>
            </w:r>
          </w:p>
        </w:tc>
        <w:tc>
          <w:tcPr>
            <w:tcW w:w="6028" w:type="dxa"/>
          </w:tcPr>
          <w:p>
            <w:pPr>
              <w:pStyle w:val="9"/>
              <w:spacing w:line="243" w:lineRule="exact"/>
              <w:ind w:left="100"/>
              <w:rPr>
                <w:sz w:val="21"/>
              </w:rPr>
            </w:pPr>
            <w:r>
              <w:rPr>
                <w:spacing w:val="-3"/>
                <w:sz w:val="21"/>
              </w:rPr>
              <w:t>被保险人因急性白血病、恶性淋巴瘤或多发性骨髓瘤实际接受了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spacing w:before="3" w:line="259" w:lineRule="exact"/>
              <w:ind w:left="263"/>
              <w:rPr>
                <w:b/>
                <w:sz w:val="21"/>
              </w:rPr>
            </w:pPr>
            <w:r>
              <w:rPr>
                <w:b/>
                <w:sz w:val="21"/>
              </w:rPr>
              <w:t>植</w:t>
            </w:r>
            <w:r>
              <w:rPr>
                <w:b/>
                <w:spacing w:val="-2"/>
                <w:sz w:val="21"/>
              </w:rPr>
              <w:t>（</w:t>
            </w:r>
            <w:r>
              <w:rPr>
                <w:rFonts w:ascii="Times New Roman" w:eastAsia="Times New Roman"/>
                <w:b/>
                <w:spacing w:val="-2"/>
                <w:sz w:val="21"/>
              </w:rPr>
              <w:t>AHSCT</w:t>
            </w:r>
            <w:r>
              <w:rPr>
                <w:b/>
                <w:spacing w:val="-2"/>
                <w:sz w:val="21"/>
              </w:rPr>
              <w:t>）</w:t>
            </w:r>
          </w:p>
        </w:tc>
        <w:tc>
          <w:tcPr>
            <w:tcW w:w="6028" w:type="dxa"/>
          </w:tcPr>
          <w:p>
            <w:pPr>
              <w:pStyle w:val="9"/>
              <w:spacing w:before="3" w:line="259" w:lineRule="exact"/>
              <w:ind w:left="100"/>
              <w:rPr>
                <w:sz w:val="21"/>
              </w:rPr>
            </w:pPr>
            <w:r>
              <w:rPr>
                <w:spacing w:val="-3"/>
                <w:sz w:val="21"/>
              </w:rPr>
              <w:t>自体造血干细胞移植。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28" w:type="dxa"/>
          </w:tcPr>
          <w:p>
            <w:pPr>
              <w:pStyle w:val="9"/>
              <w:spacing w:line="242" w:lineRule="exact"/>
              <w:ind w:left="100"/>
              <w:rPr>
                <w:b/>
                <w:sz w:val="21"/>
              </w:rPr>
            </w:pPr>
            <w:r>
              <w:rPr>
                <w:b/>
                <w:spacing w:val="-1"/>
                <w:sz w:val="21"/>
              </w:rPr>
              <w:t>下列情况不在本保障范围内：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numPr>
                <w:ilvl w:val="0"/>
                <w:numId w:val="84"/>
              </w:numPr>
              <w:tabs>
                <w:tab w:val="left" w:pos="630"/>
              </w:tabs>
              <w:spacing w:before="6" w:after="0" w:line="269" w:lineRule="exact"/>
              <w:ind w:left="629" w:right="0" w:hanging="530"/>
              <w:jc w:val="left"/>
              <w:rPr>
                <w:b/>
                <w:sz w:val="21"/>
              </w:rPr>
            </w:pPr>
            <w:r>
              <w:rPr>
                <w:b/>
                <w:spacing w:val="-3"/>
                <w:sz w:val="21"/>
              </w:rPr>
              <w:t>因上述所列疾病以外疾病接受自体造血干细胞移植；</w:t>
            </w:r>
          </w:p>
          <w:p>
            <w:pPr>
              <w:pStyle w:val="9"/>
              <w:numPr>
                <w:ilvl w:val="0"/>
                <w:numId w:val="84"/>
              </w:numPr>
              <w:tabs>
                <w:tab w:val="left" w:pos="630"/>
              </w:tabs>
              <w:spacing w:before="0" w:after="0" w:line="240" w:lineRule="auto"/>
              <w:ind w:left="629" w:right="0" w:hanging="530"/>
              <w:jc w:val="left"/>
              <w:rPr>
                <w:b/>
                <w:sz w:val="21"/>
              </w:rPr>
            </w:pPr>
            <w:r>
              <w:rPr>
                <w:b/>
                <w:spacing w:val="-2"/>
                <w:sz w:val="21"/>
              </w:rPr>
              <w:t>非造血干细胞移植。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90" w:type="dxa"/>
          </w:tcPr>
          <w:p>
            <w:pPr>
              <w:pStyle w:val="9"/>
              <w:spacing w:before="125"/>
              <w:ind w:left="50"/>
              <w:rPr>
                <w:rFonts w:ascii="Times New Roman"/>
                <w:sz w:val="21"/>
              </w:rPr>
            </w:pPr>
            <w:r>
              <w:rPr>
                <w:rFonts w:ascii="Times New Roman"/>
                <w:spacing w:val="-2"/>
                <w:sz w:val="21"/>
              </w:rPr>
              <w:t>10.54</w:t>
            </w:r>
          </w:p>
        </w:tc>
        <w:tc>
          <w:tcPr>
            <w:tcW w:w="2132" w:type="dxa"/>
          </w:tcPr>
          <w:p>
            <w:pPr>
              <w:pStyle w:val="9"/>
              <w:spacing w:before="130" w:line="249" w:lineRule="exact"/>
              <w:ind w:left="263"/>
              <w:rPr>
                <w:b/>
                <w:sz w:val="21"/>
              </w:rPr>
            </w:pPr>
            <w:r>
              <w:rPr>
                <w:b/>
                <w:spacing w:val="-2"/>
                <w:sz w:val="21"/>
              </w:rPr>
              <w:t>严重感染性心内膜</w:t>
            </w:r>
          </w:p>
        </w:tc>
        <w:tc>
          <w:tcPr>
            <w:tcW w:w="6028" w:type="dxa"/>
          </w:tcPr>
          <w:p>
            <w:pPr>
              <w:pStyle w:val="9"/>
              <w:spacing w:before="130" w:line="249" w:lineRule="exact"/>
              <w:ind w:left="100"/>
              <w:rPr>
                <w:sz w:val="21"/>
              </w:rPr>
            </w:pPr>
            <w:r>
              <w:rPr>
                <w:spacing w:val="-1"/>
                <w:sz w:val="21"/>
              </w:rPr>
              <w:t>感染性心内膜炎是指因细菌或其他致病菌感染造成心脏内膜感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spacing w:line="251" w:lineRule="exact"/>
              <w:ind w:left="263"/>
              <w:rPr>
                <w:b/>
                <w:sz w:val="21"/>
              </w:rPr>
            </w:pPr>
            <w:r>
              <w:rPr>
                <w:b/>
                <w:w w:val="100"/>
                <w:sz w:val="21"/>
              </w:rPr>
              <w:t>炎</w:t>
            </w:r>
          </w:p>
        </w:tc>
        <w:tc>
          <w:tcPr>
            <w:tcW w:w="6028" w:type="dxa"/>
          </w:tcPr>
          <w:p>
            <w:pPr>
              <w:pStyle w:val="9"/>
              <w:spacing w:line="251" w:lineRule="exact"/>
              <w:ind w:left="100"/>
              <w:rPr>
                <w:sz w:val="21"/>
              </w:rPr>
            </w:pPr>
            <w:r>
              <w:rPr>
                <w:spacing w:val="-3"/>
                <w:sz w:val="21"/>
              </w:rPr>
              <w:t>染，瓣膜为最常受累部位，引起心脏瓣膜关闭不全。必须满足下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spacing w:before="2" w:line="248" w:lineRule="exact"/>
              <w:ind w:left="100"/>
              <w:rPr>
                <w:sz w:val="21"/>
              </w:rPr>
            </w:pPr>
            <w:r>
              <w:rPr>
                <w:spacing w:val="-4"/>
                <w:sz w:val="21"/>
              </w:rPr>
              <w:t>列至少三项条件：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numPr>
                <w:ilvl w:val="0"/>
                <w:numId w:val="85"/>
              </w:numPr>
              <w:tabs>
                <w:tab w:val="left" w:pos="630"/>
              </w:tabs>
              <w:spacing w:before="6" w:after="0" w:line="269" w:lineRule="exact"/>
              <w:ind w:left="629" w:right="0" w:hanging="530"/>
              <w:jc w:val="left"/>
              <w:rPr>
                <w:sz w:val="21"/>
              </w:rPr>
            </w:pPr>
            <w:r>
              <w:rPr>
                <w:spacing w:val="-3"/>
                <w:sz w:val="21"/>
              </w:rPr>
              <w:t>急性或亚急性感染性心内膜炎临床表现；</w:t>
            </w:r>
          </w:p>
          <w:p>
            <w:pPr>
              <w:pStyle w:val="9"/>
              <w:numPr>
                <w:ilvl w:val="0"/>
                <w:numId w:val="85"/>
              </w:numPr>
              <w:tabs>
                <w:tab w:val="left" w:pos="630"/>
              </w:tabs>
              <w:spacing w:before="0" w:after="0" w:line="255" w:lineRule="exact"/>
              <w:ind w:left="629" w:right="0" w:hanging="530"/>
              <w:jc w:val="left"/>
              <w:rPr>
                <w:sz w:val="21"/>
              </w:rPr>
            </w:pPr>
            <w:r>
              <w:rPr>
                <w:spacing w:val="-3"/>
                <w:sz w:val="21"/>
              </w:rPr>
              <w:t>血培养病原体阳性；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spacing w:line="254" w:lineRule="exact"/>
              <w:ind w:left="100"/>
              <w:rPr>
                <w:sz w:val="21"/>
              </w:rPr>
            </w:pPr>
            <w:r>
              <w:rPr>
                <w:spacing w:val="-2"/>
                <w:sz w:val="21"/>
              </w:rPr>
              <w:t>（</w:t>
            </w:r>
            <w:r>
              <w:rPr>
                <w:rFonts w:ascii="Times New Roman" w:eastAsia="Times New Roman"/>
                <w:spacing w:val="-2"/>
                <w:sz w:val="21"/>
              </w:rPr>
              <w:t>3</w:t>
            </w:r>
            <w:r>
              <w:rPr>
                <w:spacing w:val="-2"/>
                <w:sz w:val="21"/>
              </w:rPr>
              <w:t>）</w:t>
            </w:r>
            <w:r>
              <w:rPr>
                <w:spacing w:val="-3"/>
                <w:sz w:val="21"/>
              </w:rPr>
              <w:t>心功能衰竭并实际接受了心脏瓣膜置换手术；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7"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spacing w:line="257" w:lineRule="exact"/>
              <w:ind w:left="100"/>
              <w:rPr>
                <w:sz w:val="21"/>
              </w:rPr>
            </w:pPr>
            <w:r>
              <w:rPr>
                <w:spacing w:val="-2"/>
                <w:sz w:val="21"/>
              </w:rPr>
              <w:t>（</w:t>
            </w:r>
            <w:r>
              <w:rPr>
                <w:rFonts w:ascii="Times New Roman" w:eastAsia="Times New Roman"/>
                <w:spacing w:val="-2"/>
                <w:sz w:val="21"/>
              </w:rPr>
              <w:t>4</w:t>
            </w:r>
            <w:r>
              <w:rPr>
                <w:spacing w:val="-2"/>
                <w:sz w:val="21"/>
              </w:rPr>
              <w:t>）</w:t>
            </w:r>
            <w:r>
              <w:rPr>
                <w:spacing w:val="-3"/>
                <w:sz w:val="21"/>
              </w:rPr>
              <w:t>并发动脉栓塞导致脑梗塞、肾梗塞或心肌梗塞。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spacing w:line="264" w:lineRule="exact"/>
              <w:ind w:left="100"/>
              <w:rPr>
                <w:b/>
                <w:sz w:val="21"/>
              </w:rPr>
            </w:pPr>
            <w:r>
              <w:rPr>
                <w:b/>
                <w:spacing w:val="-1"/>
                <w:sz w:val="21"/>
              </w:rPr>
              <w:t>药物滥用者所患感染性心内膜炎除外。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790" w:type="dxa"/>
          </w:tcPr>
          <w:p>
            <w:pPr>
              <w:pStyle w:val="9"/>
              <w:spacing w:before="130"/>
              <w:ind w:left="50"/>
              <w:rPr>
                <w:rFonts w:ascii="Times New Roman"/>
                <w:sz w:val="21"/>
              </w:rPr>
            </w:pPr>
            <w:r>
              <w:rPr>
                <w:rFonts w:ascii="Times New Roman"/>
                <w:spacing w:val="-2"/>
                <w:sz w:val="21"/>
              </w:rPr>
              <w:t>10.55</w:t>
            </w:r>
          </w:p>
        </w:tc>
        <w:tc>
          <w:tcPr>
            <w:tcW w:w="2132" w:type="dxa"/>
          </w:tcPr>
          <w:p>
            <w:pPr>
              <w:pStyle w:val="9"/>
              <w:spacing w:before="135" w:line="248" w:lineRule="exact"/>
              <w:ind w:left="263"/>
              <w:rPr>
                <w:b/>
                <w:sz w:val="21"/>
              </w:rPr>
            </w:pPr>
            <w:r>
              <w:rPr>
                <w:b/>
                <w:spacing w:val="-2"/>
                <w:sz w:val="21"/>
              </w:rPr>
              <w:t>严重急性主动脉夹</w:t>
            </w:r>
          </w:p>
        </w:tc>
        <w:tc>
          <w:tcPr>
            <w:tcW w:w="6028" w:type="dxa"/>
          </w:tcPr>
          <w:p>
            <w:pPr>
              <w:pStyle w:val="9"/>
              <w:spacing w:before="135" w:line="248" w:lineRule="exact"/>
              <w:ind w:left="100"/>
              <w:rPr>
                <w:sz w:val="21"/>
              </w:rPr>
            </w:pPr>
            <w:r>
              <w:rPr>
                <w:spacing w:val="-3"/>
                <w:sz w:val="21"/>
              </w:rPr>
              <w:t>指主动脉壁在受到某些病理因素破坏后，高速、高压的主动脉血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spacing w:line="251" w:lineRule="exact"/>
              <w:ind w:left="263"/>
              <w:rPr>
                <w:b/>
                <w:sz w:val="21"/>
              </w:rPr>
            </w:pPr>
            <w:r>
              <w:rPr>
                <w:b/>
                <w:spacing w:val="-4"/>
                <w:sz w:val="21"/>
              </w:rPr>
              <w:t>层血肿</w:t>
            </w:r>
          </w:p>
        </w:tc>
        <w:tc>
          <w:tcPr>
            <w:tcW w:w="6028" w:type="dxa"/>
          </w:tcPr>
          <w:p>
            <w:pPr>
              <w:pStyle w:val="9"/>
              <w:spacing w:line="251" w:lineRule="exact"/>
              <w:ind w:left="100"/>
              <w:rPr>
                <w:sz w:val="21"/>
              </w:rPr>
            </w:pPr>
            <w:r>
              <w:rPr>
                <w:spacing w:val="-3"/>
                <w:sz w:val="21"/>
              </w:rPr>
              <w:t>流将其内膜撕裂，以致主动脉腔内的血流通过主动脉内膜的破裂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spacing w:before="2" w:line="251" w:lineRule="exact"/>
              <w:ind w:left="100"/>
              <w:rPr>
                <w:sz w:val="21"/>
              </w:rPr>
            </w:pPr>
            <w:r>
              <w:rPr>
                <w:spacing w:val="-3"/>
                <w:sz w:val="21"/>
              </w:rPr>
              <w:t>口进入主动脉内壁而形成血肿。急性主动脉夹层血肿必须明确诊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spacing w:before="3" w:line="248" w:lineRule="exact"/>
              <w:ind w:left="100"/>
              <w:rPr>
                <w:sz w:val="21"/>
              </w:rPr>
            </w:pPr>
            <w:r>
              <w:rPr>
                <w:spacing w:val="-3"/>
                <w:sz w:val="21"/>
              </w:rPr>
              <w:t>断，并且满足下列所有条件：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28" w:type="dxa"/>
          </w:tcPr>
          <w:p>
            <w:pPr>
              <w:pStyle w:val="9"/>
              <w:numPr>
                <w:ilvl w:val="0"/>
                <w:numId w:val="86"/>
              </w:numPr>
              <w:tabs>
                <w:tab w:val="left" w:pos="630"/>
              </w:tabs>
              <w:spacing w:before="6" w:after="0" w:line="269" w:lineRule="exact"/>
              <w:ind w:left="629" w:right="0" w:hanging="530"/>
              <w:jc w:val="left"/>
              <w:rPr>
                <w:sz w:val="21"/>
              </w:rPr>
            </w:pPr>
            <w:r>
              <w:rPr>
                <w:spacing w:val="-3"/>
                <w:sz w:val="21"/>
              </w:rPr>
              <w:t>有典型的临床表现；</w:t>
            </w:r>
          </w:p>
          <w:p>
            <w:pPr>
              <w:pStyle w:val="9"/>
              <w:numPr>
                <w:ilvl w:val="0"/>
                <w:numId w:val="86"/>
              </w:numPr>
              <w:tabs>
                <w:tab w:val="left" w:pos="630"/>
              </w:tabs>
              <w:spacing w:before="0" w:after="0" w:line="236" w:lineRule="exact"/>
              <w:ind w:left="629" w:right="0" w:hanging="530"/>
              <w:jc w:val="left"/>
              <w:rPr>
                <w:sz w:val="21"/>
              </w:rPr>
            </w:pPr>
            <w:r>
              <w:rPr>
                <w:spacing w:val="-8"/>
                <w:sz w:val="21"/>
              </w:rPr>
              <w:t>有电子计算机断层扫描</w:t>
            </w:r>
            <w:r>
              <w:rPr>
                <w:spacing w:val="18"/>
                <w:sz w:val="21"/>
              </w:rPr>
              <w:t>（</w:t>
            </w:r>
            <w:r>
              <w:rPr>
                <w:rFonts w:ascii="Times New Roman" w:eastAsia="Times New Roman"/>
                <w:spacing w:val="20"/>
                <w:sz w:val="21"/>
              </w:rPr>
              <w:t>C</w:t>
            </w:r>
            <w:r>
              <w:rPr>
                <w:rFonts w:ascii="Times New Roman" w:eastAsia="Times New Roman"/>
                <w:spacing w:val="12"/>
                <w:sz w:val="21"/>
              </w:rPr>
              <w:t>T</w:t>
            </w:r>
            <w:r>
              <w:rPr>
                <w:spacing w:val="-84"/>
                <w:sz w:val="21"/>
              </w:rPr>
              <w:t>）</w:t>
            </w:r>
            <w:r>
              <w:rPr>
                <w:spacing w:val="-8"/>
                <w:sz w:val="21"/>
              </w:rPr>
              <w:t>、磁共振扫描</w:t>
            </w:r>
            <w:r>
              <w:rPr>
                <w:spacing w:val="17"/>
                <w:sz w:val="21"/>
              </w:rPr>
              <w:t>（</w:t>
            </w:r>
            <w:r>
              <w:rPr>
                <w:rFonts w:ascii="Times New Roman" w:eastAsia="Times New Roman"/>
                <w:spacing w:val="12"/>
                <w:sz w:val="21"/>
              </w:rPr>
              <w:t>M</w:t>
            </w:r>
            <w:r>
              <w:rPr>
                <w:rFonts w:ascii="Times New Roman" w:eastAsia="Times New Roman"/>
                <w:spacing w:val="9"/>
                <w:sz w:val="21"/>
              </w:rPr>
              <w:t>R</w:t>
            </w:r>
            <w:r>
              <w:rPr>
                <w:rFonts w:ascii="Times New Roman" w:eastAsia="Times New Roman"/>
                <w:spacing w:val="8"/>
                <w:sz w:val="21"/>
              </w:rPr>
              <w:t>I</w:t>
            </w:r>
            <w:r>
              <w:rPr>
                <w:spacing w:val="-89"/>
                <w:sz w:val="21"/>
              </w:rPr>
              <w:t>）</w:t>
            </w:r>
            <w:r>
              <w:rPr>
                <w:spacing w:val="-9"/>
                <w:sz w:val="21"/>
              </w:rPr>
              <w:t>、磁共</w:t>
            </w:r>
          </w:p>
        </w:tc>
      </w:tr>
    </w:tbl>
    <w:p>
      <w:pPr>
        <w:pStyle w:val="3"/>
        <w:spacing w:before="25"/>
        <w:ind w:left="3830"/>
      </w:pPr>
      <w:r>
        <w:rPr>
          <w:spacing w:val="-6"/>
        </w:rPr>
        <w:t>振血管造影</w:t>
      </w:r>
      <w:r>
        <w:rPr>
          <w:spacing w:val="12"/>
        </w:rPr>
        <w:t>（</w:t>
      </w:r>
      <w:r>
        <w:rPr>
          <w:rFonts w:ascii="Times New Roman" w:eastAsia="Times New Roman"/>
          <w:spacing w:val="12"/>
        </w:rPr>
        <w:t>M</w:t>
      </w:r>
      <w:r>
        <w:rPr>
          <w:rFonts w:ascii="Times New Roman" w:eastAsia="Times New Roman"/>
          <w:spacing w:val="9"/>
        </w:rPr>
        <w:t>R</w:t>
      </w:r>
      <w:r>
        <w:rPr>
          <w:rFonts w:ascii="Times New Roman" w:eastAsia="Times New Roman"/>
          <w:spacing w:val="8"/>
        </w:rPr>
        <w:t>A</w:t>
      </w:r>
      <w:r>
        <w:rPr>
          <w:spacing w:val="-94"/>
        </w:rPr>
        <w:t>）</w:t>
      </w:r>
      <w:r>
        <w:rPr>
          <w:spacing w:val="12"/>
        </w:rPr>
        <w:t>）</w:t>
      </w:r>
      <w:r>
        <w:rPr>
          <w:spacing w:val="-7"/>
        </w:rPr>
        <w:t>等影像学证据支持诊断；</w:t>
      </w:r>
    </w:p>
    <w:p>
      <w:pPr>
        <w:pStyle w:val="8"/>
        <w:numPr>
          <w:ilvl w:val="0"/>
          <w:numId w:val="82"/>
        </w:numPr>
        <w:tabs>
          <w:tab w:val="left" w:pos="3847"/>
        </w:tabs>
        <w:spacing w:before="4" w:after="0" w:line="244" w:lineRule="auto"/>
        <w:ind w:left="3830" w:right="621" w:hanging="524"/>
        <w:jc w:val="left"/>
        <w:rPr>
          <w:sz w:val="21"/>
        </w:rPr>
      </w:pPr>
      <w:r>
        <w:rPr>
          <w:spacing w:val="-2"/>
          <w:sz w:val="21"/>
        </w:rPr>
        <w:t>被保险人实际接受了急诊条件下进行的传统或微创开胸或开腹主动脉手术。</w:t>
      </w:r>
    </w:p>
    <w:p>
      <w:pPr>
        <w:spacing w:before="0" w:line="244" w:lineRule="auto"/>
        <w:ind w:left="3307" w:right="619" w:firstLine="0"/>
        <w:jc w:val="left"/>
        <w:rPr>
          <w:b/>
          <w:sz w:val="21"/>
        </w:rPr>
      </w:pPr>
      <w:r>
        <w:rPr>
          <w:b/>
          <w:spacing w:val="-2"/>
          <w:sz w:val="21"/>
        </w:rPr>
        <w:t>慢性期主动脉夹层择期手术、经导管主动脉内介入手术治疗不在保障范围内。</w:t>
      </w:r>
    </w:p>
    <w:p>
      <w:pPr>
        <w:pStyle w:val="3"/>
        <w:spacing w:before="7"/>
        <w:rPr>
          <w:b/>
          <w:sz w:val="10"/>
        </w:rPr>
      </w:pPr>
    </w:p>
    <w:p>
      <w:pPr>
        <w:spacing w:after="0"/>
        <w:rPr>
          <w:sz w:val="10"/>
        </w:rPr>
        <w:sectPr>
          <w:type w:val="continuous"/>
          <w:pgSz w:w="11910" w:h="16840"/>
          <w:pgMar w:top="320" w:right="620" w:bottom="280" w:left="1480" w:header="0" w:footer="851" w:gutter="0"/>
          <w:cols w:space="720" w:num="1"/>
        </w:sectPr>
      </w:pPr>
    </w:p>
    <w:p>
      <w:pPr>
        <w:pStyle w:val="8"/>
        <w:numPr>
          <w:ilvl w:val="1"/>
          <w:numId w:val="87"/>
        </w:numPr>
        <w:tabs>
          <w:tab w:val="left" w:pos="1338"/>
          <w:tab w:val="left" w:pos="1339"/>
        </w:tabs>
        <w:spacing w:before="92" w:after="0" w:line="240" w:lineRule="auto"/>
        <w:ind w:left="1338" w:right="0" w:hanging="1005"/>
        <w:jc w:val="left"/>
        <w:rPr>
          <w:b/>
          <w:sz w:val="21"/>
        </w:rPr>
      </w:pPr>
      <w:r>
        <w:rPr>
          <w:b/>
          <w:spacing w:val="-2"/>
          <w:sz w:val="21"/>
        </w:rPr>
        <w:t>严重慢性缩窄性心</w:t>
      </w:r>
    </w:p>
    <w:p>
      <w:pPr>
        <w:spacing w:before="4"/>
        <w:ind w:left="1338" w:right="0" w:firstLine="0"/>
        <w:jc w:val="left"/>
        <w:rPr>
          <w:b/>
          <w:sz w:val="21"/>
        </w:rPr>
      </w:pPr>
      <w:r>
        <w:rPr>
          <w:b/>
          <w:spacing w:val="-5"/>
          <w:sz w:val="21"/>
        </w:rPr>
        <w:t>包炎</w:t>
      </w:r>
    </w:p>
    <w:p>
      <w:pPr>
        <w:pStyle w:val="3"/>
        <w:spacing w:before="98" w:line="242" w:lineRule="auto"/>
        <w:ind w:left="162" w:right="618"/>
        <w:jc w:val="both"/>
      </w:pPr>
      <w:r>
        <w:br w:type="column"/>
      </w:r>
      <w:r>
        <w:rPr>
          <w:spacing w:val="-2"/>
        </w:rPr>
        <w:t>由于慢性心包炎症导致心包脏层和壁层广泛瘢痕粘连、增厚和钙化，心包腔闭塞，形成一个纤维瘢痕外壳，使心脏和大血管根部受压，阻碍心脏的舒张。慢性缩窄性心包炎必须被明确诊断并且满足下列所有条件：</w:t>
      </w:r>
    </w:p>
    <w:p>
      <w:pPr>
        <w:pStyle w:val="8"/>
        <w:numPr>
          <w:ilvl w:val="0"/>
          <w:numId w:val="88"/>
        </w:numPr>
        <w:tabs>
          <w:tab w:val="left" w:pos="710"/>
        </w:tabs>
        <w:spacing w:before="3" w:after="0" w:line="240" w:lineRule="auto"/>
        <w:ind w:left="709" w:right="0" w:hanging="548"/>
        <w:jc w:val="both"/>
        <w:rPr>
          <w:rFonts w:ascii="Times New Roman" w:eastAsia="Times New Roman"/>
          <w:sz w:val="21"/>
        </w:rPr>
      </w:pPr>
      <w:r>
        <w:rPr>
          <w:spacing w:val="1"/>
          <w:sz w:val="21"/>
        </w:rPr>
        <w:t xml:space="preserve">心功能衰竭达到美国纽约心脏病学会心功能状态分级  </w:t>
      </w:r>
      <w:r>
        <w:rPr>
          <w:rFonts w:ascii="Times New Roman" w:eastAsia="Times New Roman"/>
          <w:spacing w:val="-5"/>
          <w:sz w:val="21"/>
        </w:rPr>
        <w:t>IV</w:t>
      </w:r>
    </w:p>
    <w:p>
      <w:pPr>
        <w:pStyle w:val="3"/>
        <w:spacing w:before="4"/>
        <w:ind w:left="685"/>
        <w:jc w:val="both"/>
      </w:pPr>
      <w:r>
        <w:rPr>
          <w:spacing w:val="-9"/>
        </w:rPr>
        <w:t xml:space="preserve">级，并持续 </w:t>
      </w:r>
      <w:r>
        <w:rPr>
          <w:rFonts w:ascii="Times New Roman" w:eastAsia="Times New Roman"/>
        </w:rPr>
        <w:t>180</w:t>
      </w:r>
      <w:r>
        <w:rPr>
          <w:rFonts w:ascii="Times New Roman" w:eastAsia="Times New Roman"/>
          <w:spacing w:val="-10"/>
        </w:rPr>
        <w:t xml:space="preserve"> </w:t>
      </w:r>
      <w:r>
        <w:rPr>
          <w:spacing w:val="-3"/>
        </w:rPr>
        <w:t>天以上；</w:t>
      </w:r>
    </w:p>
    <w:p>
      <w:pPr>
        <w:pStyle w:val="8"/>
        <w:numPr>
          <w:ilvl w:val="0"/>
          <w:numId w:val="88"/>
        </w:numPr>
        <w:tabs>
          <w:tab w:val="left" w:pos="702"/>
        </w:tabs>
        <w:spacing w:before="5" w:after="0" w:line="240" w:lineRule="auto"/>
        <w:ind w:left="685" w:right="621" w:hanging="524"/>
        <w:jc w:val="left"/>
        <w:rPr>
          <w:sz w:val="21"/>
        </w:rPr>
      </w:pPr>
      <w:r>
        <w:rPr>
          <w:spacing w:val="-2"/>
          <w:sz w:val="21"/>
        </w:rPr>
        <w:t>已经接受了经下列任何一种手术路径进行的开胸心包剥离手术或心包切除手术。</w:t>
      </w:r>
    </w:p>
    <w:p>
      <w:pPr>
        <w:pStyle w:val="3"/>
        <w:spacing w:before="5"/>
        <w:ind w:left="479"/>
      </w:pPr>
      <w:r>
        <w:rPr>
          <w:spacing w:val="-4"/>
        </w:rPr>
        <w:t>①胸骨正中切口；</w:t>
      </w:r>
    </w:p>
    <w:p>
      <w:pPr>
        <w:pStyle w:val="3"/>
        <w:spacing w:before="4"/>
        <w:ind w:left="479"/>
      </w:pPr>
      <w:r>
        <w:rPr>
          <w:spacing w:val="-4"/>
        </w:rPr>
        <w:t>②双侧前胸切口；</w:t>
      </w:r>
    </w:p>
    <w:p>
      <w:pPr>
        <w:pStyle w:val="3"/>
        <w:spacing w:before="5" w:line="269" w:lineRule="exact"/>
        <w:ind w:left="479"/>
      </w:pPr>
      <w:r>
        <w:rPr>
          <w:spacing w:val="-3"/>
        </w:rPr>
        <w:t>③左前胸肋间切口。</w:t>
      </w:r>
    </w:p>
    <w:p>
      <w:pPr>
        <w:spacing w:before="0" w:line="244" w:lineRule="auto"/>
        <w:ind w:left="162" w:right="619" w:firstLine="0"/>
        <w:jc w:val="left"/>
        <w:rPr>
          <w:b/>
          <w:sz w:val="21"/>
        </w:rPr>
      </w:pPr>
      <w:r>
        <w:rPr>
          <w:b/>
          <w:spacing w:val="-2"/>
          <w:sz w:val="21"/>
        </w:rPr>
        <w:t>经胸腔镜、胸壁打孔进行的手术、心包粘连松解手术不在保障范</w:t>
      </w:r>
      <w:r>
        <w:rPr>
          <w:b/>
          <w:spacing w:val="-4"/>
          <w:sz w:val="21"/>
        </w:rPr>
        <w:t>围内。</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12"/>
        <w:rPr>
          <w:b/>
          <w:sz w:val="10"/>
        </w:rPr>
      </w:pPr>
    </w:p>
    <w:p>
      <w:pPr>
        <w:pStyle w:val="8"/>
        <w:numPr>
          <w:ilvl w:val="1"/>
          <w:numId w:val="87"/>
        </w:numPr>
        <w:tabs>
          <w:tab w:val="left" w:pos="1338"/>
          <w:tab w:val="left" w:pos="1339"/>
          <w:tab w:val="left" w:pos="3307"/>
        </w:tabs>
        <w:spacing w:before="92" w:after="0" w:line="240" w:lineRule="auto"/>
        <w:ind w:left="1338" w:right="0" w:hanging="1005"/>
        <w:jc w:val="left"/>
        <w:rPr>
          <w:sz w:val="21"/>
        </w:rPr>
      </w:pPr>
      <w:r>
        <w:rPr>
          <w:b/>
          <w:sz w:val="21"/>
        </w:rPr>
        <w:t>心脏粘液</w:t>
      </w:r>
      <w:r>
        <w:rPr>
          <w:b/>
          <w:spacing w:val="-10"/>
          <w:sz w:val="21"/>
        </w:rPr>
        <w:t>瘤</w:t>
      </w:r>
      <w:r>
        <w:rPr>
          <w:b/>
          <w:sz w:val="21"/>
        </w:rPr>
        <w:tab/>
      </w:r>
      <w:r>
        <w:rPr>
          <w:spacing w:val="-2"/>
          <w:sz w:val="21"/>
        </w:rPr>
        <w:t>指为了治疗心脏粘液瘤，实际实施了开胸开心心脏粘液瘤切除</w:t>
      </w:r>
      <w:r>
        <w:rPr>
          <w:spacing w:val="-10"/>
          <w:sz w:val="21"/>
        </w:rPr>
        <w:t>手</w:t>
      </w:r>
    </w:p>
    <w:p>
      <w:pPr>
        <w:pStyle w:val="3"/>
        <w:spacing w:before="5"/>
        <w:ind w:left="3307"/>
      </w:pPr>
      <w:r>
        <w:rPr>
          <w:spacing w:val="-5"/>
        </w:rPr>
        <w:t>术。</w:t>
      </w:r>
    </w:p>
    <w:p>
      <w:pPr>
        <w:spacing w:after="0"/>
        <w:sectPr>
          <w:type w:val="continuous"/>
          <w:pgSz w:w="11910" w:h="16840"/>
          <w:pgMar w:top="320" w:right="620" w:bottom="280" w:left="1480" w:header="0" w:footer="851" w:gutter="0"/>
          <w:cols w:space="720" w:num="1"/>
        </w:sectPr>
      </w:pPr>
    </w:p>
    <w:p>
      <w:pPr>
        <w:spacing w:before="51"/>
        <w:ind w:left="3307" w:right="0" w:firstLine="0"/>
        <w:jc w:val="left"/>
        <w:rPr>
          <w:b/>
          <w:sz w:val="21"/>
        </w:rPr>
      </w:pPr>
      <w:r>
        <w:rPr>
          <w:b/>
          <w:spacing w:val="-3"/>
          <w:sz w:val="21"/>
        </w:rPr>
        <w:t>经导管介入手术治疗不在本保障范围内。</w:t>
      </w:r>
    </w:p>
    <w:p>
      <w:pPr>
        <w:pStyle w:val="3"/>
        <w:spacing w:before="6"/>
        <w:rPr>
          <w:b/>
          <w:sz w:val="11"/>
        </w:rPr>
      </w:pPr>
    </w:p>
    <w:p>
      <w:pPr>
        <w:spacing w:after="0"/>
        <w:rPr>
          <w:sz w:val="11"/>
        </w:rPr>
        <w:sectPr>
          <w:pgSz w:w="11910" w:h="16840"/>
          <w:pgMar w:top="1060" w:right="620" w:bottom="1040" w:left="1480" w:header="0" w:footer="851" w:gutter="0"/>
          <w:cols w:space="720" w:num="1"/>
        </w:sectPr>
      </w:pPr>
    </w:p>
    <w:p>
      <w:pPr>
        <w:pStyle w:val="8"/>
        <w:numPr>
          <w:ilvl w:val="1"/>
          <w:numId w:val="87"/>
        </w:numPr>
        <w:tabs>
          <w:tab w:val="left" w:pos="1338"/>
          <w:tab w:val="left" w:pos="1339"/>
        </w:tabs>
        <w:spacing w:before="91" w:after="0" w:line="240" w:lineRule="auto"/>
        <w:ind w:left="1338" w:right="0" w:hanging="1005"/>
        <w:jc w:val="left"/>
        <w:rPr>
          <w:rFonts w:ascii="Times New Roman" w:eastAsia="Times New Roman"/>
          <w:b/>
          <w:sz w:val="21"/>
        </w:rPr>
      </w:pPr>
      <w:r>
        <w:rPr>
          <w:b/>
          <w:spacing w:val="1"/>
          <w:sz w:val="21"/>
        </w:rPr>
        <w:t>严重心脏衰竭</w:t>
      </w:r>
      <w:r>
        <w:rPr>
          <w:rFonts w:ascii="Times New Roman" w:eastAsia="Times New Roman"/>
          <w:b/>
          <w:spacing w:val="-5"/>
          <w:sz w:val="21"/>
        </w:rPr>
        <w:t>CRT</w:t>
      </w:r>
    </w:p>
    <w:p>
      <w:pPr>
        <w:spacing w:before="5"/>
        <w:ind w:left="1338" w:right="0" w:firstLine="0"/>
        <w:jc w:val="left"/>
        <w:rPr>
          <w:b/>
          <w:sz w:val="21"/>
        </w:rPr>
      </w:pPr>
      <w:r>
        <w:rPr>
          <w:b/>
          <w:spacing w:val="-2"/>
          <w:sz w:val="21"/>
        </w:rPr>
        <w:t>心脏再同步治疗</w:t>
      </w:r>
    </w:p>
    <w:p>
      <w:pPr>
        <w:pStyle w:val="3"/>
        <w:spacing w:before="97" w:line="244" w:lineRule="auto"/>
        <w:ind w:left="170" w:right="618"/>
        <w:jc w:val="both"/>
      </w:pPr>
      <w:r>
        <w:br w:type="column"/>
      </w:r>
      <w:r>
        <w:rPr>
          <w:spacing w:val="-2"/>
        </w:rPr>
        <w:t>指因缺血性心脏病或扩张性心肌病导致慢性严重心脏衰竭，被保</w:t>
      </w:r>
      <w:r>
        <w:rPr>
          <w:spacing w:val="-5"/>
        </w:rPr>
        <w:t xml:space="preserve">险人实际接受了 </w:t>
      </w:r>
      <w:r>
        <w:rPr>
          <w:rFonts w:ascii="Times New Roman" w:eastAsia="Times New Roman"/>
          <w:spacing w:val="-2"/>
        </w:rPr>
        <w:t>CRT</w:t>
      </w:r>
      <w:r>
        <w:rPr>
          <w:rFonts w:ascii="Times New Roman" w:eastAsia="Times New Roman"/>
          <w:spacing w:val="-11"/>
        </w:rPr>
        <w:t xml:space="preserve"> </w:t>
      </w:r>
      <w:r>
        <w:rPr>
          <w:spacing w:val="-12"/>
        </w:rPr>
        <w:t>治疗，以矫正心室收缩不协调和改善心脏功</w:t>
      </w:r>
      <w:r>
        <w:rPr>
          <w:spacing w:val="-2"/>
        </w:rPr>
        <w:t>能。接受治疗之前必须满足下列所有条件：</w:t>
      </w:r>
    </w:p>
    <w:p>
      <w:pPr>
        <w:pStyle w:val="3"/>
        <w:spacing w:line="267" w:lineRule="exact"/>
        <w:ind w:left="170"/>
      </w:pPr>
      <w:r>
        <w:t>（</w:t>
      </w:r>
      <w:r>
        <w:rPr>
          <w:rFonts w:ascii="Times New Roman" w:eastAsia="Times New Roman"/>
        </w:rPr>
        <w:t>1</w:t>
      </w:r>
      <w:r>
        <w:t>）</w:t>
      </w:r>
      <w:r>
        <w:rPr>
          <w:spacing w:val="-1"/>
        </w:rPr>
        <w:t>心功能衰竭程度达到美国纽约心脏病学会心功能状态分级</w:t>
      </w:r>
    </w:p>
    <w:p>
      <w:pPr>
        <w:pStyle w:val="3"/>
        <w:ind w:left="693"/>
      </w:pPr>
      <w:r>
        <w:rPr>
          <w:rFonts w:ascii="Times New Roman" w:eastAsia="Times New Roman"/>
        </w:rPr>
        <w:t>III</w:t>
      </w:r>
      <w:r>
        <w:rPr>
          <w:rFonts w:ascii="Times New Roman" w:eastAsia="Times New Roman"/>
          <w:spacing w:val="-10"/>
        </w:rPr>
        <w:t xml:space="preserve"> </w:t>
      </w:r>
      <w:r>
        <w:rPr>
          <w:spacing w:val="-18"/>
        </w:rPr>
        <w:t xml:space="preserve">级或 </w:t>
      </w:r>
      <w:r>
        <w:rPr>
          <w:rFonts w:ascii="Times New Roman" w:eastAsia="Times New Roman"/>
        </w:rPr>
        <w:t>IV</w:t>
      </w:r>
      <w:r>
        <w:rPr>
          <w:rFonts w:ascii="Times New Roman" w:eastAsia="Times New Roman"/>
          <w:spacing w:val="-6"/>
        </w:rPr>
        <w:t xml:space="preserve"> </w:t>
      </w:r>
      <w:r>
        <w:rPr>
          <w:spacing w:val="-5"/>
        </w:rPr>
        <w:t>级；</w:t>
      </w:r>
    </w:p>
    <w:p>
      <w:pPr>
        <w:spacing w:after="0"/>
        <w:sectPr>
          <w:type w:val="continuous"/>
          <w:pgSz w:w="11910" w:h="16840"/>
          <w:pgMar w:top="320" w:right="620" w:bottom="280" w:left="1480" w:header="0" w:footer="851" w:gutter="0"/>
          <w:cols w:equalWidth="0" w:num="2">
            <w:col w:w="3098" w:space="40"/>
            <w:col w:w="6672"/>
          </w:cols>
        </w:sectPr>
      </w:pPr>
    </w:p>
    <w:p>
      <w:pPr>
        <w:pStyle w:val="3"/>
        <w:spacing w:before="1"/>
        <w:rPr>
          <w:sz w:val="2"/>
        </w:r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0"/>
        <w:gridCol w:w="2132"/>
        <w:gridCol w:w="6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4"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numPr>
                <w:ilvl w:val="0"/>
                <w:numId w:val="89"/>
              </w:numPr>
              <w:tabs>
                <w:tab w:val="left" w:pos="630"/>
              </w:tabs>
              <w:spacing w:before="0" w:after="0" w:line="247" w:lineRule="exact"/>
              <w:ind w:left="629" w:right="0" w:hanging="530"/>
              <w:jc w:val="left"/>
              <w:rPr>
                <w:sz w:val="21"/>
              </w:rPr>
            </w:pPr>
            <w:r>
              <w:rPr>
                <w:spacing w:val="-8"/>
                <w:sz w:val="21"/>
              </w:rPr>
              <w:t xml:space="preserve">左室射血分数低于 </w:t>
            </w:r>
            <w:r>
              <w:rPr>
                <w:rFonts w:ascii="Times New Roman" w:eastAsia="Times New Roman"/>
                <w:spacing w:val="-4"/>
                <w:sz w:val="21"/>
              </w:rPr>
              <w:t>35%</w:t>
            </w:r>
            <w:r>
              <w:rPr>
                <w:spacing w:val="-4"/>
                <w:sz w:val="21"/>
              </w:rPr>
              <w:t>；</w:t>
            </w:r>
          </w:p>
          <w:p>
            <w:pPr>
              <w:pStyle w:val="9"/>
              <w:numPr>
                <w:ilvl w:val="0"/>
                <w:numId w:val="89"/>
              </w:numPr>
              <w:tabs>
                <w:tab w:val="left" w:pos="630"/>
              </w:tabs>
              <w:spacing w:before="4" w:after="0" w:line="253" w:lineRule="exact"/>
              <w:ind w:left="629" w:right="0" w:hanging="530"/>
              <w:jc w:val="left"/>
              <w:rPr>
                <w:sz w:val="21"/>
              </w:rPr>
            </w:pPr>
            <w:r>
              <w:rPr>
                <w:spacing w:val="-2"/>
                <w:sz w:val="21"/>
              </w:rPr>
              <w:t>左室舒张末期内径</w:t>
            </w:r>
            <w:r>
              <w:rPr>
                <w:rFonts w:ascii="Times New Roman" w:hAnsi="Times New Roman" w:eastAsia="Times New Roman"/>
                <w:spacing w:val="-2"/>
                <w:sz w:val="21"/>
              </w:rPr>
              <w:t>≥55mm</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1" w:lineRule="exact"/>
              <w:ind w:left="100"/>
              <w:rPr>
                <w:sz w:val="21"/>
              </w:rPr>
            </w:pPr>
            <w:r>
              <w:rPr>
                <w:sz w:val="21"/>
              </w:rPr>
              <w:t>（</w:t>
            </w:r>
            <w:r>
              <w:rPr>
                <w:rFonts w:ascii="Times New Roman" w:hAnsi="Times New Roman" w:eastAsia="Times New Roman"/>
                <w:sz w:val="21"/>
              </w:rPr>
              <w:t>4</w:t>
            </w:r>
            <w:r>
              <w:rPr>
                <w:sz w:val="21"/>
              </w:rPr>
              <w:t>）</w:t>
            </w:r>
            <w:r>
              <w:rPr>
                <w:rFonts w:ascii="Times New Roman" w:hAnsi="Times New Roman" w:eastAsia="Times New Roman"/>
                <w:sz w:val="21"/>
              </w:rPr>
              <w:t>QRS</w:t>
            </w:r>
            <w:r>
              <w:rPr>
                <w:rFonts w:ascii="Times New Roman" w:hAnsi="Times New Roman" w:eastAsia="Times New Roman"/>
                <w:spacing w:val="-4"/>
                <w:sz w:val="21"/>
              </w:rPr>
              <w:t xml:space="preserve"> </w:t>
            </w:r>
            <w:r>
              <w:rPr>
                <w:sz w:val="21"/>
              </w:rPr>
              <w:t>时间</w:t>
            </w:r>
            <w:r>
              <w:rPr>
                <w:rFonts w:ascii="Times New Roman" w:hAnsi="Times New Roman" w:eastAsia="Times New Roman"/>
                <w:spacing w:val="-2"/>
                <w:sz w:val="21"/>
              </w:rPr>
              <w:t>≥130msec</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67" w:lineRule="exact"/>
              <w:ind w:left="100"/>
              <w:rPr>
                <w:sz w:val="21"/>
              </w:rPr>
            </w:pPr>
            <w:r>
              <w:rPr>
                <w:spacing w:val="-2"/>
                <w:sz w:val="21"/>
              </w:rPr>
              <w:t>（</w:t>
            </w:r>
            <w:r>
              <w:rPr>
                <w:rFonts w:ascii="Times New Roman" w:eastAsia="Times New Roman"/>
                <w:spacing w:val="-2"/>
                <w:sz w:val="21"/>
              </w:rPr>
              <w:t>5</w:t>
            </w:r>
            <w:r>
              <w:rPr>
                <w:spacing w:val="-2"/>
                <w:sz w:val="21"/>
              </w:rPr>
              <w:t>）</w:t>
            </w:r>
            <w:r>
              <w:rPr>
                <w:spacing w:val="-3"/>
                <w:sz w:val="21"/>
              </w:rPr>
              <w:t>药物治疗效果不佳，仍有症状。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90" w:type="dxa"/>
          </w:tcPr>
          <w:p>
            <w:pPr>
              <w:pStyle w:val="9"/>
              <w:spacing w:before="122"/>
              <w:ind w:left="50"/>
              <w:rPr>
                <w:rFonts w:ascii="Times New Roman"/>
                <w:sz w:val="21"/>
              </w:rPr>
            </w:pPr>
            <w:r>
              <w:rPr>
                <w:rFonts w:ascii="Times New Roman"/>
                <w:spacing w:val="-2"/>
                <w:sz w:val="21"/>
              </w:rPr>
              <w:t>10.59</w:t>
            </w:r>
          </w:p>
        </w:tc>
        <w:tc>
          <w:tcPr>
            <w:tcW w:w="2132" w:type="dxa"/>
          </w:tcPr>
          <w:p>
            <w:pPr>
              <w:pStyle w:val="9"/>
              <w:spacing w:before="127" w:line="251" w:lineRule="exact"/>
              <w:ind w:left="263"/>
              <w:rPr>
                <w:b/>
                <w:sz w:val="21"/>
              </w:rPr>
            </w:pPr>
            <w:r>
              <w:rPr>
                <w:b/>
                <w:spacing w:val="-2"/>
                <w:sz w:val="21"/>
              </w:rPr>
              <w:t>完全性房室传导阻</w:t>
            </w:r>
          </w:p>
        </w:tc>
        <w:tc>
          <w:tcPr>
            <w:tcW w:w="6058" w:type="dxa"/>
          </w:tcPr>
          <w:p>
            <w:pPr>
              <w:pStyle w:val="9"/>
              <w:spacing w:before="127" w:line="251" w:lineRule="exact"/>
              <w:ind w:left="100"/>
              <w:rPr>
                <w:sz w:val="21"/>
              </w:rPr>
            </w:pPr>
            <w:r>
              <w:rPr>
                <w:spacing w:val="-3"/>
                <w:sz w:val="21"/>
              </w:rPr>
              <w:t>指因慢性心脏疾病导致完全性房室传导阻滞。完全性房室传导阻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spacing w:before="2" w:line="248" w:lineRule="exact"/>
              <w:ind w:left="263"/>
              <w:rPr>
                <w:b/>
                <w:sz w:val="21"/>
              </w:rPr>
            </w:pPr>
            <w:r>
              <w:rPr>
                <w:b/>
                <w:w w:val="100"/>
                <w:sz w:val="21"/>
              </w:rPr>
              <w:t>滞</w:t>
            </w:r>
          </w:p>
        </w:tc>
        <w:tc>
          <w:tcPr>
            <w:tcW w:w="6058" w:type="dxa"/>
          </w:tcPr>
          <w:p>
            <w:pPr>
              <w:pStyle w:val="9"/>
              <w:spacing w:before="2" w:line="248" w:lineRule="exact"/>
              <w:ind w:left="100"/>
              <w:rPr>
                <w:sz w:val="21"/>
              </w:rPr>
            </w:pPr>
            <w:r>
              <w:rPr>
                <w:spacing w:val="-3"/>
                <w:sz w:val="21"/>
              </w:rPr>
              <w:t>滞是心房的激动不能正常地传导到心室，造成心室率过于缓慢，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6" w:line="256" w:lineRule="exact"/>
              <w:ind w:left="100"/>
              <w:rPr>
                <w:sz w:val="21"/>
              </w:rPr>
            </w:pPr>
            <w:r>
              <w:rPr>
                <w:spacing w:val="-4"/>
                <w:sz w:val="21"/>
              </w:rPr>
              <w:t>出现心力衰竭和因大脑供血不足导致的晕厥、阿</w:t>
            </w:r>
            <w:r>
              <w:rPr>
                <w:rFonts w:ascii="Times New Roman" w:eastAsia="Times New Roman"/>
                <w:spacing w:val="-4"/>
                <w:sz w:val="21"/>
              </w:rPr>
              <w:t>-</w:t>
            </w:r>
            <w:r>
              <w:rPr>
                <w:spacing w:val="-5"/>
                <w:sz w:val="21"/>
              </w:rPr>
              <w:t>斯综合征。必须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8" w:type="dxa"/>
          </w:tcPr>
          <w:p>
            <w:pPr>
              <w:pStyle w:val="9"/>
              <w:spacing w:line="240" w:lineRule="exact"/>
              <w:ind w:left="100"/>
              <w:rPr>
                <w:sz w:val="21"/>
              </w:rPr>
            </w:pPr>
            <w:r>
              <w:rPr>
                <w:spacing w:val="-3"/>
                <w:sz w:val="21"/>
              </w:rPr>
              <w:t>明确诊断并且满足下列所有条件：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6" w:line="256"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患有慢性心脏疾病；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4" w:lineRule="exact"/>
              <w:ind w:left="100"/>
              <w:rPr>
                <w:sz w:val="21"/>
              </w:rPr>
            </w:pPr>
            <w:r>
              <w:rPr>
                <w:spacing w:val="-2"/>
                <w:sz w:val="21"/>
              </w:rPr>
              <w:t>（</w:t>
            </w:r>
            <w:r>
              <w:rPr>
                <w:rFonts w:ascii="Times New Roman" w:eastAsia="Times New Roman"/>
                <w:spacing w:val="-2"/>
                <w:sz w:val="21"/>
              </w:rPr>
              <w:t>2</w:t>
            </w:r>
            <w:r>
              <w:rPr>
                <w:spacing w:val="-2"/>
                <w:sz w:val="21"/>
              </w:rPr>
              <w:t>）曾经有晕厥、阿</w:t>
            </w:r>
            <w:r>
              <w:rPr>
                <w:rFonts w:ascii="Times New Roman" w:eastAsia="Times New Roman"/>
                <w:spacing w:val="-2"/>
                <w:sz w:val="21"/>
              </w:rPr>
              <w:t>-</w:t>
            </w:r>
            <w:r>
              <w:rPr>
                <w:spacing w:val="-4"/>
                <w:sz w:val="21"/>
              </w:rPr>
              <w:t>斯综合征发作；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5" w:lineRule="exact"/>
              <w:ind w:left="100"/>
              <w:rPr>
                <w:rFonts w:ascii="Times New Roman" w:eastAsia="Times New Roman"/>
                <w:sz w:val="21"/>
              </w:rPr>
            </w:pPr>
            <w:r>
              <w:rPr>
                <w:sz w:val="21"/>
              </w:rPr>
              <w:t>（</w:t>
            </w:r>
            <w:r>
              <w:rPr>
                <w:rFonts w:ascii="Times New Roman" w:eastAsia="Times New Roman"/>
                <w:sz w:val="21"/>
              </w:rPr>
              <w:t>3</w:t>
            </w:r>
            <w:r>
              <w:rPr>
                <w:sz w:val="21"/>
              </w:rPr>
              <w:t xml:space="preserve">）心电图表现为持续室性逸搏心律，心室率持续低于 </w:t>
            </w:r>
            <w:r>
              <w:rPr>
                <w:rFonts w:ascii="Times New Roman" w:eastAsia="Times New Roman"/>
                <w:sz w:val="21"/>
              </w:rPr>
              <w:t>40</w:t>
            </w:r>
            <w:r>
              <w:rPr>
                <w:rFonts w:ascii="Times New Roman" w:eastAsia="Times New Roman"/>
                <w:spacing w:val="54"/>
                <w:sz w:val="21"/>
              </w:rPr>
              <w:t xml:space="preserve"> </w:t>
            </w:r>
            <w:r>
              <w:rPr>
                <w:sz w:val="21"/>
              </w:rPr>
              <w:t>次</w:t>
            </w:r>
            <w:r>
              <w:rPr>
                <w:rFonts w:ascii="Times New Roman" w:eastAsia="Times New Roman"/>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8" w:type="dxa"/>
          </w:tcPr>
          <w:p>
            <w:pPr>
              <w:pStyle w:val="9"/>
              <w:spacing w:line="240" w:lineRule="exact"/>
              <w:ind w:left="100"/>
              <w:rPr>
                <w:sz w:val="21"/>
              </w:rPr>
            </w:pPr>
            <w:r>
              <w:rPr>
                <w:spacing w:val="-5"/>
                <w:sz w:val="21"/>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6"/>
              <w:ind w:left="100"/>
              <w:rPr>
                <w:sz w:val="21"/>
              </w:rPr>
            </w:pPr>
            <w:r>
              <w:rPr>
                <w:spacing w:val="-2"/>
                <w:sz w:val="21"/>
              </w:rPr>
              <w:t>（</w:t>
            </w:r>
            <w:r>
              <w:rPr>
                <w:rFonts w:ascii="Times New Roman" w:eastAsia="Times New Roman"/>
                <w:spacing w:val="-2"/>
                <w:sz w:val="21"/>
              </w:rPr>
              <w:t>4</w:t>
            </w:r>
            <w:r>
              <w:rPr>
                <w:spacing w:val="-2"/>
                <w:sz w:val="21"/>
              </w:rPr>
              <w:t>）</w:t>
            </w:r>
            <w:r>
              <w:rPr>
                <w:spacing w:val="-3"/>
                <w:sz w:val="21"/>
              </w:rPr>
              <w:t>已经植入永久性心脏起搏器。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90" w:type="dxa"/>
          </w:tcPr>
          <w:p>
            <w:pPr>
              <w:pStyle w:val="9"/>
              <w:spacing w:before="122"/>
              <w:ind w:left="50"/>
              <w:rPr>
                <w:rFonts w:ascii="Times New Roman"/>
                <w:sz w:val="21"/>
              </w:rPr>
            </w:pPr>
            <w:r>
              <w:rPr>
                <w:rFonts w:ascii="Times New Roman"/>
                <w:spacing w:val="-2"/>
                <w:sz w:val="21"/>
              </w:rPr>
              <w:t>10.60</w:t>
            </w:r>
          </w:p>
        </w:tc>
        <w:tc>
          <w:tcPr>
            <w:tcW w:w="2132" w:type="dxa"/>
          </w:tcPr>
          <w:p>
            <w:pPr>
              <w:pStyle w:val="9"/>
              <w:spacing w:before="127" w:line="251" w:lineRule="exact"/>
              <w:ind w:left="263"/>
              <w:rPr>
                <w:b/>
                <w:sz w:val="21"/>
              </w:rPr>
            </w:pPr>
            <w:r>
              <w:rPr>
                <w:b/>
                <w:spacing w:val="-2"/>
                <w:sz w:val="21"/>
              </w:rPr>
              <w:t>风湿热导致的心脏</w:t>
            </w:r>
          </w:p>
        </w:tc>
        <w:tc>
          <w:tcPr>
            <w:tcW w:w="6058" w:type="dxa"/>
          </w:tcPr>
          <w:p>
            <w:pPr>
              <w:pStyle w:val="9"/>
              <w:spacing w:before="127" w:line="251" w:lineRule="exact"/>
              <w:ind w:left="100"/>
              <w:rPr>
                <w:sz w:val="21"/>
              </w:rPr>
            </w:pPr>
            <w:r>
              <w:rPr>
                <w:spacing w:val="-3"/>
                <w:sz w:val="21"/>
              </w:rPr>
              <w:t>指湿热反复发作并发心脏瓣膜损害，导致慢性心脏瓣膜病，引起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spacing w:before="3" w:line="248" w:lineRule="exact"/>
              <w:ind w:left="263"/>
              <w:rPr>
                <w:b/>
                <w:sz w:val="21"/>
              </w:rPr>
            </w:pPr>
            <w:r>
              <w:rPr>
                <w:b/>
                <w:spacing w:val="-4"/>
                <w:sz w:val="21"/>
              </w:rPr>
              <w:t>瓣膜病</w:t>
            </w:r>
          </w:p>
        </w:tc>
        <w:tc>
          <w:tcPr>
            <w:tcW w:w="6058" w:type="dxa"/>
          </w:tcPr>
          <w:p>
            <w:pPr>
              <w:pStyle w:val="9"/>
              <w:spacing w:before="3" w:line="248" w:lineRule="exact"/>
              <w:ind w:left="100"/>
              <w:rPr>
                <w:sz w:val="21"/>
              </w:rPr>
            </w:pPr>
            <w:r>
              <w:rPr>
                <w:spacing w:val="-3"/>
                <w:sz w:val="21"/>
              </w:rPr>
              <w:t>心脏瓣膜狭窄、关闭不全。必须满足下列所有条件：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numPr>
                <w:ilvl w:val="0"/>
                <w:numId w:val="90"/>
              </w:numPr>
              <w:tabs>
                <w:tab w:val="left" w:pos="630"/>
              </w:tabs>
              <w:spacing w:before="6" w:after="0" w:line="269" w:lineRule="exact"/>
              <w:ind w:left="629" w:right="0" w:hanging="530"/>
              <w:jc w:val="left"/>
              <w:rPr>
                <w:sz w:val="21"/>
              </w:rPr>
            </w:pPr>
            <w:r>
              <w:rPr>
                <w:spacing w:val="-4"/>
                <w:sz w:val="21"/>
              </w:rPr>
              <w:t>风湿热病史；</w:t>
            </w:r>
          </w:p>
          <w:p>
            <w:pPr>
              <w:pStyle w:val="9"/>
              <w:numPr>
                <w:ilvl w:val="0"/>
                <w:numId w:val="90"/>
              </w:numPr>
              <w:tabs>
                <w:tab w:val="left" w:pos="630"/>
              </w:tabs>
              <w:spacing w:before="0" w:after="0" w:line="255" w:lineRule="exact"/>
              <w:ind w:left="629" w:right="0" w:hanging="530"/>
              <w:jc w:val="left"/>
              <w:rPr>
                <w:sz w:val="21"/>
              </w:rPr>
            </w:pPr>
            <w:r>
              <w:rPr>
                <w:spacing w:val="-3"/>
                <w:sz w:val="21"/>
              </w:rPr>
              <w:t>慢性心脏瓣膜病病史；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7" w:lineRule="exact"/>
              <w:ind w:left="100"/>
              <w:rPr>
                <w:sz w:val="21"/>
              </w:rPr>
            </w:pPr>
            <w:r>
              <w:rPr>
                <w:spacing w:val="-2"/>
                <w:sz w:val="21"/>
              </w:rPr>
              <w:t>（</w:t>
            </w:r>
            <w:r>
              <w:rPr>
                <w:rFonts w:ascii="Times New Roman" w:eastAsia="Times New Roman"/>
                <w:spacing w:val="-2"/>
                <w:sz w:val="21"/>
              </w:rPr>
              <w:t>3</w:t>
            </w:r>
            <w:r>
              <w:rPr>
                <w:spacing w:val="-2"/>
                <w:sz w:val="21"/>
              </w:rPr>
              <w:t>）</w:t>
            </w:r>
            <w:r>
              <w:rPr>
                <w:spacing w:val="-3"/>
                <w:sz w:val="21"/>
              </w:rPr>
              <w:t>实际接受了开胸开心进行的心脏瓣膜置换手术。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64" w:lineRule="exact"/>
              <w:ind w:left="100"/>
              <w:rPr>
                <w:b/>
                <w:sz w:val="21"/>
              </w:rPr>
            </w:pPr>
            <w:r>
              <w:rPr>
                <w:b/>
                <w:spacing w:val="-3"/>
                <w:sz w:val="21"/>
              </w:rPr>
              <w:t>经导管进行的瓣膜置换手术或瓣膜成型手术不在保障范围内。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90" w:type="dxa"/>
          </w:tcPr>
          <w:p>
            <w:pPr>
              <w:pStyle w:val="9"/>
              <w:spacing w:before="130"/>
              <w:ind w:left="50"/>
              <w:rPr>
                <w:rFonts w:ascii="Times New Roman"/>
                <w:sz w:val="21"/>
              </w:rPr>
            </w:pPr>
            <w:r>
              <w:rPr>
                <w:rFonts w:ascii="Times New Roman"/>
                <w:spacing w:val="-2"/>
                <w:sz w:val="21"/>
              </w:rPr>
              <w:t>10.61</w:t>
            </w:r>
          </w:p>
        </w:tc>
        <w:tc>
          <w:tcPr>
            <w:tcW w:w="2132" w:type="dxa"/>
          </w:tcPr>
          <w:p>
            <w:pPr>
              <w:pStyle w:val="9"/>
              <w:spacing w:before="136" w:line="251" w:lineRule="exact"/>
              <w:ind w:left="263"/>
              <w:rPr>
                <w:b/>
                <w:sz w:val="21"/>
              </w:rPr>
            </w:pPr>
            <w:r>
              <w:rPr>
                <w:b/>
                <w:spacing w:val="-2"/>
                <w:sz w:val="21"/>
              </w:rPr>
              <w:t>头臂动脉型多发性</w:t>
            </w:r>
          </w:p>
        </w:tc>
        <w:tc>
          <w:tcPr>
            <w:tcW w:w="6058" w:type="dxa"/>
          </w:tcPr>
          <w:p>
            <w:pPr>
              <w:pStyle w:val="9"/>
              <w:spacing w:before="136" w:line="251" w:lineRule="exact"/>
              <w:ind w:left="100"/>
              <w:rPr>
                <w:sz w:val="21"/>
              </w:rPr>
            </w:pPr>
            <w:r>
              <w:rPr>
                <w:spacing w:val="-2"/>
                <w:sz w:val="21"/>
              </w:rPr>
              <w:t>多发性大动脉炎（高安氏动脉炎）</w:t>
            </w:r>
            <w:r>
              <w:rPr>
                <w:spacing w:val="-3"/>
                <w:sz w:val="21"/>
              </w:rPr>
              <w:t>是一种发生在主动脉和其主要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0" w:type="dxa"/>
          </w:tcPr>
          <w:p>
            <w:pPr>
              <w:pStyle w:val="9"/>
              <w:rPr>
                <w:rFonts w:ascii="Times New Roman"/>
                <w:sz w:val="18"/>
              </w:rPr>
            </w:pPr>
          </w:p>
        </w:tc>
        <w:tc>
          <w:tcPr>
            <w:tcW w:w="2132" w:type="dxa"/>
          </w:tcPr>
          <w:p>
            <w:pPr>
              <w:pStyle w:val="9"/>
              <w:spacing w:before="2" w:line="245" w:lineRule="exact"/>
              <w:ind w:left="263"/>
              <w:rPr>
                <w:b/>
                <w:sz w:val="21"/>
              </w:rPr>
            </w:pPr>
            <w:r>
              <w:rPr>
                <w:b/>
                <w:spacing w:val="-2"/>
                <w:sz w:val="21"/>
              </w:rPr>
              <w:t>大动脉炎旁路移植</w:t>
            </w:r>
          </w:p>
        </w:tc>
        <w:tc>
          <w:tcPr>
            <w:tcW w:w="6058" w:type="dxa"/>
          </w:tcPr>
          <w:p>
            <w:pPr>
              <w:pStyle w:val="9"/>
              <w:spacing w:before="2" w:line="245" w:lineRule="exact"/>
              <w:ind w:left="100"/>
              <w:rPr>
                <w:sz w:val="21"/>
              </w:rPr>
            </w:pPr>
            <w:r>
              <w:rPr>
                <w:spacing w:val="-3"/>
                <w:sz w:val="21"/>
              </w:rPr>
              <w:t>分支的慢性炎症性动脉疾病，表现为受累动脉狭窄或闭塞。头臂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spacing w:before="3" w:line="259" w:lineRule="exact"/>
              <w:ind w:left="263"/>
              <w:rPr>
                <w:b/>
                <w:sz w:val="21"/>
              </w:rPr>
            </w:pPr>
            <w:r>
              <w:rPr>
                <w:b/>
                <w:spacing w:val="-5"/>
                <w:sz w:val="21"/>
              </w:rPr>
              <w:t>手术</w:t>
            </w:r>
          </w:p>
        </w:tc>
        <w:tc>
          <w:tcPr>
            <w:tcW w:w="6058" w:type="dxa"/>
          </w:tcPr>
          <w:p>
            <w:pPr>
              <w:pStyle w:val="9"/>
              <w:spacing w:before="3" w:line="259" w:lineRule="exact"/>
              <w:ind w:left="100"/>
              <w:rPr>
                <w:sz w:val="21"/>
              </w:rPr>
            </w:pPr>
            <w:r>
              <w:rPr>
                <w:spacing w:val="-2"/>
                <w:sz w:val="21"/>
              </w:rPr>
              <w:t>动脉型多发性大动脉炎是指多发性大动脉炎头臂动脉型（</w:t>
            </w:r>
            <w:r>
              <w:rPr>
                <w:rFonts w:ascii="Times New Roman" w:eastAsia="Times New Roman"/>
                <w:spacing w:val="-2"/>
                <w:sz w:val="21"/>
              </w:rPr>
              <w:t>I</w:t>
            </w:r>
            <w:r>
              <w:rPr>
                <w:rFonts w:ascii="Times New Roman" w:eastAsia="Times New Roman"/>
                <w:spacing w:val="23"/>
                <w:sz w:val="21"/>
              </w:rPr>
              <w:t xml:space="preserve"> </w:t>
            </w:r>
            <w:r>
              <w:rPr>
                <w:spacing w:val="-2"/>
                <w:sz w:val="21"/>
              </w:rPr>
              <w:t>型</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8" w:type="dxa"/>
          </w:tcPr>
          <w:p>
            <w:pPr>
              <w:pStyle w:val="9"/>
              <w:spacing w:line="246" w:lineRule="exact"/>
              <w:ind w:left="100"/>
              <w:rPr>
                <w:sz w:val="21"/>
              </w:rPr>
            </w:pPr>
            <w:r>
              <w:rPr>
                <w:spacing w:val="-3"/>
                <w:sz w:val="21"/>
              </w:rPr>
              <w:t>又称为无脉症。被保险人被明确诊断为头臂动脉型多发性大动脉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2" w:line="251" w:lineRule="exact"/>
              <w:ind w:left="100"/>
              <w:rPr>
                <w:sz w:val="21"/>
              </w:rPr>
            </w:pPr>
            <w:r>
              <w:rPr>
                <w:sz w:val="21"/>
              </w:rPr>
              <w:t>炎并且实际接受了经胸部切开进行的无名动脉（头臂干</w:t>
            </w:r>
            <w:r>
              <w:rPr>
                <w:spacing w:val="-101"/>
                <w:sz w:val="21"/>
              </w:rPr>
              <w:t>）</w:t>
            </w:r>
            <w:r>
              <w:rPr>
                <w:spacing w:val="-4"/>
                <w:sz w:val="21"/>
              </w:rPr>
              <w:t>、颈总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2" w:line="249" w:lineRule="exact"/>
              <w:ind w:left="100"/>
              <w:rPr>
                <w:sz w:val="21"/>
              </w:rPr>
            </w:pPr>
            <w:r>
              <w:rPr>
                <w:spacing w:val="-3"/>
                <w:sz w:val="21"/>
              </w:rPr>
              <w:t>动脉、锁骨下动脉旁路移植手术。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1" w:lineRule="exact"/>
              <w:ind w:left="100"/>
              <w:rPr>
                <w:b/>
                <w:sz w:val="21"/>
              </w:rPr>
            </w:pPr>
            <w:r>
              <w:rPr>
                <w:b/>
                <w:spacing w:val="-1"/>
                <w:sz w:val="21"/>
              </w:rPr>
              <w:t>非开胸的血管旁路移植手术、因其他病因而进行的旁路移植手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2" w:line="251" w:lineRule="exact"/>
              <w:ind w:left="100"/>
              <w:rPr>
                <w:b/>
                <w:sz w:val="21"/>
              </w:rPr>
            </w:pPr>
            <w:r>
              <w:rPr>
                <w:b/>
                <w:spacing w:val="-3"/>
                <w:sz w:val="21"/>
              </w:rPr>
              <w:t>术，对其他动脉进行的旁路移植手术，经皮经导管进行的血管内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2"/>
              <w:ind w:left="100"/>
              <w:rPr>
                <w:b/>
                <w:sz w:val="21"/>
              </w:rPr>
            </w:pPr>
            <w:r>
              <w:rPr>
                <w:b/>
                <w:spacing w:val="-1"/>
                <w:sz w:val="21"/>
              </w:rPr>
              <w:t>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90" w:type="dxa"/>
          </w:tcPr>
          <w:p>
            <w:pPr>
              <w:pStyle w:val="9"/>
              <w:spacing w:before="130"/>
              <w:ind w:left="50"/>
              <w:rPr>
                <w:rFonts w:ascii="Times New Roman"/>
                <w:sz w:val="21"/>
              </w:rPr>
            </w:pPr>
            <w:r>
              <w:rPr>
                <w:rFonts w:ascii="Times New Roman"/>
                <w:spacing w:val="-2"/>
                <w:sz w:val="21"/>
              </w:rPr>
              <w:t>10.62</w:t>
            </w:r>
          </w:p>
        </w:tc>
        <w:tc>
          <w:tcPr>
            <w:tcW w:w="2132" w:type="dxa"/>
          </w:tcPr>
          <w:p>
            <w:pPr>
              <w:pStyle w:val="9"/>
              <w:spacing w:before="135" w:line="251" w:lineRule="exact"/>
              <w:ind w:left="263"/>
              <w:rPr>
                <w:b/>
                <w:sz w:val="21"/>
              </w:rPr>
            </w:pPr>
            <w:r>
              <w:rPr>
                <w:b/>
                <w:spacing w:val="-2"/>
                <w:sz w:val="21"/>
              </w:rPr>
              <w:t>肺淋巴管肌瘤病</w:t>
            </w:r>
          </w:p>
        </w:tc>
        <w:tc>
          <w:tcPr>
            <w:tcW w:w="6058" w:type="dxa"/>
          </w:tcPr>
          <w:p>
            <w:pPr>
              <w:pStyle w:val="9"/>
              <w:spacing w:before="135" w:line="251" w:lineRule="exact"/>
              <w:ind w:left="100"/>
              <w:rPr>
                <w:sz w:val="21"/>
              </w:rPr>
            </w:pPr>
            <w:r>
              <w:rPr>
                <w:spacing w:val="-3"/>
                <w:sz w:val="21"/>
              </w:rPr>
              <w:t>肺淋巴管肌瘤病是一种弥漫性肺部疾病，其特征性病理表现为囊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2" w:line="249" w:lineRule="exact"/>
              <w:ind w:left="100"/>
              <w:rPr>
                <w:sz w:val="21"/>
              </w:rPr>
            </w:pPr>
            <w:r>
              <w:rPr>
                <w:spacing w:val="-1"/>
                <w:sz w:val="21"/>
              </w:rPr>
              <w:t>性病变及不成熟的平滑肌细胞和血管周围上皮细胞异常增生形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8" w:type="dxa"/>
          </w:tcPr>
          <w:p>
            <w:pPr>
              <w:pStyle w:val="9"/>
              <w:spacing w:line="248" w:lineRule="exact"/>
              <w:ind w:left="100"/>
              <w:rPr>
                <w:sz w:val="21"/>
              </w:rPr>
            </w:pPr>
            <w:r>
              <w:rPr>
                <w:spacing w:val="-3"/>
                <w:sz w:val="21"/>
              </w:rPr>
              <w:t>成多发结节。必须满足下列所有条件：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6" w:line="256"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经组织病理学检查明确诊断；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4" w:lineRule="exact"/>
              <w:ind w:left="100"/>
              <w:rPr>
                <w:sz w:val="21"/>
              </w:rPr>
            </w:pPr>
            <w:r>
              <w:rPr>
                <w:sz w:val="21"/>
              </w:rPr>
              <w:t>（</w:t>
            </w:r>
            <w:r>
              <w:rPr>
                <w:rFonts w:ascii="Times New Roman" w:eastAsia="Times New Roman"/>
                <w:sz w:val="21"/>
              </w:rPr>
              <w:t>2</w:t>
            </w:r>
            <w:r>
              <w:rPr>
                <w:sz w:val="21"/>
              </w:rPr>
              <w:t>）</w:t>
            </w:r>
            <w:r>
              <w:rPr>
                <w:rFonts w:ascii="Times New Roman" w:eastAsia="Times New Roman"/>
                <w:sz w:val="21"/>
              </w:rPr>
              <w:t>CT</w:t>
            </w:r>
            <w:r>
              <w:rPr>
                <w:rFonts w:ascii="Times New Roman" w:eastAsia="Times New Roman"/>
                <w:spacing w:val="32"/>
                <w:sz w:val="21"/>
              </w:rPr>
              <w:t xml:space="preserve"> </w:t>
            </w:r>
            <w:r>
              <w:rPr>
                <w:spacing w:val="-1"/>
                <w:sz w:val="21"/>
              </w:rPr>
              <w:t>显示双肺弥漫性囊性改变；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numPr>
                <w:ilvl w:val="0"/>
                <w:numId w:val="91"/>
              </w:numPr>
              <w:tabs>
                <w:tab w:val="left" w:pos="630"/>
              </w:tabs>
              <w:spacing w:before="0" w:after="0" w:line="267" w:lineRule="exact"/>
              <w:ind w:left="629" w:right="0" w:hanging="530"/>
              <w:jc w:val="left"/>
              <w:rPr>
                <w:sz w:val="21"/>
              </w:rPr>
            </w:pPr>
            <w:r>
              <w:rPr>
                <w:spacing w:val="-8"/>
                <w:sz w:val="21"/>
              </w:rPr>
              <w:t xml:space="preserve">肺功能检查显示 </w:t>
            </w:r>
            <w:r>
              <w:rPr>
                <w:rFonts w:ascii="Times New Roman" w:eastAsia="Times New Roman"/>
                <w:spacing w:val="-2"/>
                <w:sz w:val="21"/>
              </w:rPr>
              <w:t>FEV1</w:t>
            </w:r>
            <w:r>
              <w:rPr>
                <w:rFonts w:ascii="Times New Roman" w:eastAsia="Times New Roman"/>
                <w:spacing w:val="5"/>
                <w:sz w:val="21"/>
              </w:rPr>
              <w:t xml:space="preserve"> </w:t>
            </w:r>
            <w:r>
              <w:rPr>
                <w:spacing w:val="-26"/>
                <w:sz w:val="21"/>
              </w:rPr>
              <w:t xml:space="preserve">和 </w:t>
            </w:r>
            <w:r>
              <w:rPr>
                <w:rFonts w:ascii="Times New Roman" w:eastAsia="Times New Roman"/>
                <w:spacing w:val="-2"/>
                <w:sz w:val="21"/>
              </w:rPr>
              <w:t>DLCO</w:t>
            </w:r>
            <w:r>
              <w:rPr>
                <w:spacing w:val="-2"/>
                <w:sz w:val="21"/>
              </w:rPr>
              <w:t>（</w:t>
            </w:r>
            <w:r>
              <w:rPr>
                <w:rFonts w:ascii="Times New Roman" w:eastAsia="Times New Roman"/>
                <w:spacing w:val="-2"/>
                <w:sz w:val="21"/>
              </w:rPr>
              <w:t>CO</w:t>
            </w:r>
            <w:r>
              <w:rPr>
                <w:rFonts w:ascii="Times New Roman" w:eastAsia="Times New Roman"/>
                <w:spacing w:val="6"/>
                <w:sz w:val="21"/>
              </w:rPr>
              <w:t xml:space="preserve"> </w:t>
            </w:r>
            <w:r>
              <w:rPr>
                <w:spacing w:val="-2"/>
                <w:sz w:val="21"/>
              </w:rPr>
              <w:t>弥散功能）</w:t>
            </w:r>
            <w:r>
              <w:rPr>
                <w:spacing w:val="-5"/>
                <w:sz w:val="21"/>
              </w:rPr>
              <w:t>下降；</w:t>
            </w:r>
          </w:p>
          <w:p>
            <w:pPr>
              <w:pStyle w:val="9"/>
              <w:numPr>
                <w:ilvl w:val="0"/>
                <w:numId w:val="91"/>
              </w:numPr>
              <w:tabs>
                <w:tab w:val="left" w:pos="630"/>
              </w:tabs>
              <w:spacing w:before="0" w:after="0" w:line="259" w:lineRule="exact"/>
              <w:ind w:left="629" w:right="0" w:hanging="530"/>
              <w:jc w:val="left"/>
              <w:rPr>
                <w:sz w:val="21"/>
              </w:rPr>
            </w:pPr>
            <w:r>
              <w:rPr>
                <w:spacing w:val="-3"/>
                <w:sz w:val="21"/>
              </w:rPr>
              <w:t>动脉血气分析显示低氧血症。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64" w:lineRule="exact"/>
              <w:ind w:left="100"/>
              <w:rPr>
                <w:b/>
                <w:sz w:val="21"/>
              </w:rPr>
            </w:pPr>
            <w:r>
              <w:rPr>
                <w:b/>
                <w:spacing w:val="-1"/>
                <w:sz w:val="21"/>
              </w:rPr>
              <w:t>疑似肺淋巴管肌瘤病除外。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90" w:type="dxa"/>
          </w:tcPr>
          <w:p>
            <w:pPr>
              <w:pStyle w:val="9"/>
              <w:spacing w:before="130"/>
              <w:ind w:left="50"/>
              <w:rPr>
                <w:rFonts w:ascii="Times New Roman"/>
                <w:sz w:val="21"/>
              </w:rPr>
            </w:pPr>
            <w:r>
              <w:rPr>
                <w:rFonts w:ascii="Times New Roman"/>
                <w:spacing w:val="-2"/>
                <w:sz w:val="21"/>
              </w:rPr>
              <w:t>10.63</w:t>
            </w:r>
          </w:p>
        </w:tc>
        <w:tc>
          <w:tcPr>
            <w:tcW w:w="2132" w:type="dxa"/>
          </w:tcPr>
          <w:p>
            <w:pPr>
              <w:pStyle w:val="9"/>
              <w:spacing w:before="135" w:line="251" w:lineRule="exact"/>
              <w:ind w:left="263"/>
              <w:rPr>
                <w:b/>
                <w:sz w:val="21"/>
              </w:rPr>
            </w:pPr>
            <w:r>
              <w:rPr>
                <w:b/>
                <w:spacing w:val="-2"/>
                <w:sz w:val="21"/>
              </w:rPr>
              <w:t>严重肺结节病</w:t>
            </w:r>
          </w:p>
        </w:tc>
        <w:tc>
          <w:tcPr>
            <w:tcW w:w="6058" w:type="dxa"/>
          </w:tcPr>
          <w:p>
            <w:pPr>
              <w:pStyle w:val="9"/>
              <w:spacing w:before="135" w:line="251" w:lineRule="exact"/>
              <w:ind w:left="100"/>
              <w:rPr>
                <w:sz w:val="21"/>
              </w:rPr>
            </w:pPr>
            <w:r>
              <w:rPr>
                <w:spacing w:val="-3"/>
                <w:sz w:val="21"/>
              </w:rPr>
              <w:t>结节病是一种原因未明的慢性肉芽肿病，可侵犯全身多个器官，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2" w:line="251" w:lineRule="exact"/>
              <w:ind w:left="100"/>
              <w:rPr>
                <w:sz w:val="21"/>
              </w:rPr>
            </w:pPr>
            <w:r>
              <w:rPr>
                <w:spacing w:val="-3"/>
                <w:sz w:val="21"/>
              </w:rPr>
              <w:t>以肺和淋巴结受累最为常见。严重肺结节病表现为肺的广泛纤维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8" w:type="dxa"/>
          </w:tcPr>
          <w:p>
            <w:pPr>
              <w:pStyle w:val="9"/>
              <w:spacing w:before="2" w:line="245" w:lineRule="exact"/>
              <w:ind w:left="100"/>
              <w:rPr>
                <w:sz w:val="21"/>
              </w:rPr>
            </w:pPr>
            <w:r>
              <w:rPr>
                <w:spacing w:val="-3"/>
                <w:sz w:val="21"/>
              </w:rPr>
              <w:t>化导致慢性呼吸功能衰竭。必须满足下列所有条件：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before="3" w:line="256" w:lineRule="exact"/>
              <w:ind w:left="100"/>
              <w:rPr>
                <w:sz w:val="21"/>
              </w:rPr>
            </w:pPr>
            <w:r>
              <w:rPr>
                <w:spacing w:val="-2"/>
                <w:sz w:val="21"/>
              </w:rPr>
              <w:t>（</w:t>
            </w:r>
            <w:r>
              <w:rPr>
                <w:rFonts w:ascii="Times New Roman" w:eastAsia="Times New Roman"/>
                <w:spacing w:val="-2"/>
                <w:sz w:val="21"/>
              </w:rPr>
              <w:t>1</w:t>
            </w:r>
            <w:r>
              <w:rPr>
                <w:spacing w:val="-2"/>
                <w:sz w:val="21"/>
              </w:rPr>
              <w:t>）</w:t>
            </w:r>
            <w:r>
              <w:rPr>
                <w:spacing w:val="-10"/>
                <w:sz w:val="21"/>
              </w:rPr>
              <w:t xml:space="preserve">肺结节病的 </w:t>
            </w:r>
            <w:r>
              <w:rPr>
                <w:rFonts w:ascii="Times New Roman" w:eastAsia="Times New Roman"/>
                <w:spacing w:val="-2"/>
                <w:sz w:val="21"/>
              </w:rPr>
              <w:t>X</w:t>
            </w:r>
            <w:r>
              <w:rPr>
                <w:rFonts w:ascii="Times New Roman" w:eastAsia="Times New Roman"/>
                <w:spacing w:val="2"/>
                <w:sz w:val="21"/>
              </w:rPr>
              <w:t xml:space="preserve"> </w:t>
            </w:r>
            <w:r>
              <w:rPr>
                <w:spacing w:val="-11"/>
                <w:sz w:val="21"/>
              </w:rPr>
              <w:t xml:space="preserve">线分期为 </w:t>
            </w:r>
            <w:r>
              <w:rPr>
                <w:rFonts w:ascii="Times New Roman" w:eastAsia="Times New Roman"/>
                <w:spacing w:val="-2"/>
                <w:sz w:val="21"/>
              </w:rPr>
              <w:t>IV</w:t>
            </w:r>
            <w:r>
              <w:rPr>
                <w:rFonts w:ascii="Times New Roman" w:eastAsia="Times New Roman"/>
                <w:spacing w:val="2"/>
                <w:sz w:val="21"/>
              </w:rPr>
              <w:t xml:space="preserve"> </w:t>
            </w:r>
            <w:r>
              <w:rPr>
                <w:spacing w:val="-3"/>
                <w:sz w:val="21"/>
              </w:rPr>
              <w:t>期，即广泛肺纤维化；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058" w:type="dxa"/>
          </w:tcPr>
          <w:p>
            <w:pPr>
              <w:pStyle w:val="9"/>
              <w:spacing w:line="254" w:lineRule="exact"/>
              <w:ind w:left="100"/>
              <w:rPr>
                <w:sz w:val="21"/>
              </w:rPr>
            </w:pPr>
            <w:r>
              <w:rPr>
                <w:sz w:val="21"/>
              </w:rPr>
              <w:t>（</w:t>
            </w:r>
            <w:r>
              <w:rPr>
                <w:rFonts w:ascii="Times New Roman" w:eastAsia="Times New Roman"/>
                <w:sz w:val="21"/>
              </w:rPr>
              <w:t>2</w:t>
            </w:r>
            <w:r>
              <w:rPr>
                <w:sz w:val="21"/>
              </w:rPr>
              <w:t>）</w:t>
            </w:r>
            <w:r>
              <w:rPr>
                <w:spacing w:val="-1"/>
                <w:sz w:val="21"/>
              </w:rPr>
              <w:t xml:space="preserve">永久不可逆性的慢性呼吸功能衰竭，临床持续 </w:t>
            </w:r>
            <w:r>
              <w:rPr>
                <w:rFonts w:ascii="Times New Roman" w:eastAsia="Times New Roman"/>
                <w:sz w:val="21"/>
              </w:rPr>
              <w:t>180</w:t>
            </w:r>
            <w:r>
              <w:rPr>
                <w:rFonts w:ascii="Times New Roman" w:eastAsia="Times New Roman"/>
                <w:spacing w:val="35"/>
                <w:sz w:val="21"/>
              </w:rPr>
              <w:t xml:space="preserve"> </w:t>
            </w:r>
            <w:r>
              <w:rPr>
                <w:spacing w:val="-4"/>
                <w:sz w:val="21"/>
              </w:rPr>
              <w:t>天动脉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058" w:type="dxa"/>
          </w:tcPr>
          <w:p>
            <w:pPr>
              <w:pStyle w:val="9"/>
              <w:spacing w:line="247" w:lineRule="exact"/>
              <w:ind w:left="100"/>
              <w:rPr>
                <w:sz w:val="21"/>
              </w:rPr>
            </w:pPr>
            <w:r>
              <w:rPr>
                <w:spacing w:val="-2"/>
                <w:sz w:val="21"/>
              </w:rPr>
              <w:t>血氧分压（</w:t>
            </w:r>
            <w:r>
              <w:rPr>
                <w:rFonts w:ascii="Times New Roman" w:eastAsia="Times New Roman"/>
                <w:spacing w:val="-2"/>
                <w:sz w:val="21"/>
              </w:rPr>
              <w:t>PaO</w:t>
            </w:r>
            <w:r>
              <w:rPr>
                <w:rFonts w:ascii="Times New Roman" w:eastAsia="Times New Roman"/>
                <w:spacing w:val="-2"/>
                <w:sz w:val="21"/>
                <w:vertAlign w:val="subscript"/>
              </w:rPr>
              <w:t>2</w:t>
            </w:r>
            <w:r>
              <w:rPr>
                <w:spacing w:val="-2"/>
                <w:sz w:val="21"/>
                <w:vertAlign w:val="baseline"/>
              </w:rPr>
              <w:t>）</w:t>
            </w:r>
            <w:r>
              <w:rPr>
                <w:rFonts w:ascii="Times New Roman" w:eastAsia="Times New Roman"/>
                <w:spacing w:val="-2"/>
                <w:sz w:val="21"/>
                <w:vertAlign w:val="baseline"/>
              </w:rPr>
              <w:t>&lt;50mmHg</w:t>
            </w:r>
            <w:r>
              <w:rPr>
                <w:rFonts w:ascii="Times New Roman" w:eastAsia="Times New Roman"/>
                <w:spacing w:val="34"/>
                <w:sz w:val="21"/>
                <w:vertAlign w:val="baseline"/>
              </w:rPr>
              <w:t xml:space="preserve"> </w:t>
            </w:r>
            <w:r>
              <w:rPr>
                <w:spacing w:val="-2"/>
                <w:sz w:val="21"/>
                <w:vertAlign w:val="baseline"/>
              </w:rPr>
              <w:t>和动脉血氧饱和度（</w:t>
            </w:r>
            <w:r>
              <w:rPr>
                <w:rFonts w:ascii="Times New Roman" w:eastAsia="Times New Roman"/>
                <w:spacing w:val="-2"/>
                <w:sz w:val="21"/>
                <w:vertAlign w:val="baseline"/>
              </w:rPr>
              <w:t>SaO</w:t>
            </w:r>
            <w:r>
              <w:rPr>
                <w:rFonts w:ascii="Times New Roman" w:eastAsia="Times New Roman"/>
                <w:spacing w:val="-2"/>
                <w:sz w:val="21"/>
                <w:vertAlign w:val="subscript"/>
              </w:rPr>
              <w:t>2</w:t>
            </w:r>
            <w:r>
              <w:rPr>
                <w:spacing w:val="-2"/>
                <w:sz w:val="21"/>
                <w:vertAlign w:val="baseline"/>
              </w:rPr>
              <w:t>）</w:t>
            </w:r>
            <w:r>
              <w:rPr>
                <w:rFonts w:ascii="Times New Roman" w:eastAsia="Times New Roman"/>
                <w:spacing w:val="-2"/>
                <w:sz w:val="21"/>
                <w:vertAlign w:val="baseline"/>
              </w:rPr>
              <w:t>&lt;80%</w:t>
            </w:r>
            <w:r>
              <w:rPr>
                <w:spacing w:val="-10"/>
                <w:sz w:val="21"/>
                <w:vertAlign w:val="baseline"/>
              </w:rPr>
              <w:t>。</w:t>
            </w:r>
          </w:p>
        </w:tc>
      </w:tr>
    </w:tbl>
    <w:p>
      <w:pPr>
        <w:spacing w:after="0" w:line="247" w:lineRule="exact"/>
        <w:rPr>
          <w:sz w:val="21"/>
        </w:rPr>
        <w:sectPr>
          <w:type w:val="continuous"/>
          <w:pgSz w:w="11910" w:h="16840"/>
          <w:pgMar w:top="320" w:right="620" w:bottom="280" w:left="1480" w:header="0" w:footer="851" w:gutter="0"/>
          <w:cols w:space="720" w:num="1"/>
        </w:sectPr>
      </w:pPr>
    </w:p>
    <w:p>
      <w:pPr>
        <w:pStyle w:val="8"/>
        <w:numPr>
          <w:ilvl w:val="1"/>
          <w:numId w:val="92"/>
        </w:numPr>
        <w:tabs>
          <w:tab w:val="left" w:pos="1338"/>
          <w:tab w:val="left" w:pos="1339"/>
        </w:tabs>
        <w:spacing w:before="70" w:after="0" w:line="240" w:lineRule="auto"/>
        <w:ind w:left="1338" w:right="0" w:hanging="1004"/>
        <w:jc w:val="left"/>
        <w:rPr>
          <w:b/>
          <w:sz w:val="21"/>
        </w:rPr>
      </w:pPr>
      <w:r>
        <w:rPr>
          <w:b/>
          <w:sz w:val="21"/>
        </w:rPr>
        <w:t>非阿尔茨海默病致</w:t>
      </w:r>
      <w:r>
        <w:rPr>
          <w:b/>
          <w:spacing w:val="-4"/>
          <w:sz w:val="21"/>
        </w:rPr>
        <w:t>严重痴呆</w:t>
      </w:r>
    </w:p>
    <w:p>
      <w:pPr>
        <w:pStyle w:val="3"/>
        <w:spacing w:before="76" w:line="242" w:lineRule="auto"/>
        <w:ind w:left="171" w:right="619"/>
        <w:jc w:val="both"/>
      </w:pPr>
      <w:r>
        <w:br w:type="column"/>
      </w:r>
      <w:r>
        <w:rPr>
          <w:spacing w:val="3"/>
          <w:w w:val="100"/>
        </w:rPr>
        <w:t>指因阿尔茨海默病以外的脑的器质性疾病造成脑功能衰竭导致</w:t>
      </w:r>
      <w:r>
        <w:rPr>
          <w:spacing w:val="-6"/>
          <w:w w:val="100"/>
        </w:rPr>
        <w:t>永久不可逆性的严重痴呆，临床表现为明显的认知能力障碍、行为异常和社交能力减退。被保险人自主生活能力完全丧失，无法</w:t>
      </w:r>
      <w:r>
        <w:rPr>
          <w:spacing w:val="-7"/>
          <w:w w:val="100"/>
        </w:rPr>
        <w:t>独立完成六项基本日常生活活动中的三项或三项以上，日常生活</w:t>
      </w:r>
      <w:r>
        <w:rPr>
          <w:spacing w:val="-2"/>
          <w:w w:val="100"/>
        </w:rPr>
        <w:t>必须持续受到他人监护。</w:t>
      </w:r>
    </w:p>
    <w:p>
      <w:pPr>
        <w:pStyle w:val="3"/>
        <w:spacing w:line="244" w:lineRule="auto"/>
        <w:ind w:left="171" w:right="619"/>
      </w:pPr>
      <w:r>
        <w:rPr>
          <w:spacing w:val="-2"/>
        </w:rPr>
        <w:t>导致痴呆的疾病必须明确诊断，并且由完整的临床、实验室和影像学检查结果证实。</w:t>
      </w:r>
    </w:p>
    <w:p>
      <w:pPr>
        <w:spacing w:before="0" w:line="267" w:lineRule="exact"/>
        <w:ind w:left="171" w:right="0" w:firstLine="0"/>
        <w:jc w:val="left"/>
        <w:rPr>
          <w:b/>
          <w:sz w:val="21"/>
        </w:rPr>
      </w:pPr>
      <w:r>
        <w:rPr>
          <w:b/>
          <w:spacing w:val="-2"/>
          <w:sz w:val="21"/>
        </w:rPr>
        <w:t>神经官能症</w:t>
      </w:r>
      <w:r>
        <w:rPr>
          <w:rFonts w:ascii="Times New Roman" w:eastAsia="Times New Roman"/>
          <w:b/>
          <w:spacing w:val="-2"/>
          <w:sz w:val="21"/>
        </w:rPr>
        <w:t>,</w:t>
      </w:r>
      <w:r>
        <w:rPr>
          <w:b/>
          <w:spacing w:val="-3"/>
          <w:sz w:val="21"/>
        </w:rPr>
        <w:t>精神疾病及酒精中毒所致脑损害不在保障范围内。</w:t>
      </w:r>
    </w:p>
    <w:p>
      <w:pPr>
        <w:spacing w:after="0" w:line="267" w:lineRule="exact"/>
        <w:jc w:val="left"/>
        <w:rPr>
          <w:sz w:val="21"/>
        </w:rPr>
        <w:sectPr>
          <w:pgSz w:w="11910" w:h="16840"/>
          <w:pgMar w:top="1280" w:right="620" w:bottom="1040" w:left="1480" w:header="0" w:footer="851" w:gutter="0"/>
          <w:cols w:equalWidth="0" w:num="2">
            <w:col w:w="3097" w:space="40"/>
            <w:col w:w="6673"/>
          </w:cols>
        </w:sectPr>
      </w:pPr>
    </w:p>
    <w:p>
      <w:pPr>
        <w:pStyle w:val="3"/>
        <w:spacing w:before="6"/>
        <w:rPr>
          <w:b/>
          <w:sz w:val="11"/>
        </w:rPr>
      </w:pPr>
    </w:p>
    <w:p>
      <w:pPr>
        <w:pStyle w:val="8"/>
        <w:numPr>
          <w:ilvl w:val="1"/>
          <w:numId w:val="92"/>
        </w:numPr>
        <w:tabs>
          <w:tab w:val="left" w:pos="1339"/>
        </w:tabs>
        <w:spacing w:before="91" w:after="0" w:line="240" w:lineRule="auto"/>
        <w:ind w:left="1338" w:right="0" w:hanging="1005"/>
        <w:jc w:val="both"/>
        <w:rPr>
          <w:sz w:val="21"/>
        </w:rPr>
      </w:pPr>
      <w:r>
        <w:rPr>
          <w:b/>
          <w:spacing w:val="14"/>
          <w:sz w:val="21"/>
        </w:rPr>
        <w:t xml:space="preserve">进行性核上性麻痹 </w:t>
      </w:r>
      <w:r>
        <w:rPr>
          <w:spacing w:val="-1"/>
          <w:sz w:val="21"/>
        </w:rPr>
        <w:t>进行性核上性麻痹是中枢神经系统变性性疾病，临床表现为眼球</w:t>
      </w:r>
    </w:p>
    <w:p>
      <w:pPr>
        <w:pStyle w:val="3"/>
        <w:spacing w:before="5" w:line="242" w:lineRule="auto"/>
        <w:ind w:left="3307" w:right="619"/>
        <w:jc w:val="both"/>
      </w:pPr>
      <w:r>
        <w:rPr>
          <w:spacing w:val="-2"/>
        </w:rPr>
        <w:t>运动障碍、假性球麻痹、帕金森综合征等。被保险人自主生活能力完全丧失，无法独立完成六项基本日常生活活动中的三项或三项以上，日常生活必须持续受到他人监护。</w:t>
      </w:r>
    </w:p>
    <w:p>
      <w:pPr>
        <w:pStyle w:val="3"/>
        <w:spacing w:before="4"/>
        <w:rPr>
          <w:sz w:val="18"/>
        </w:rPr>
      </w:pPr>
    </w:p>
    <w:p>
      <w:pPr>
        <w:pStyle w:val="8"/>
        <w:numPr>
          <w:ilvl w:val="1"/>
          <w:numId w:val="92"/>
        </w:numPr>
        <w:tabs>
          <w:tab w:val="left" w:pos="1339"/>
        </w:tabs>
        <w:spacing w:before="0" w:after="0" w:line="240" w:lineRule="auto"/>
        <w:ind w:left="1338" w:right="0" w:hanging="1005"/>
        <w:jc w:val="both"/>
        <w:rPr>
          <w:sz w:val="21"/>
        </w:rPr>
      </w:pPr>
      <w:r>
        <w:rPr>
          <w:b/>
          <w:sz w:val="21"/>
        </w:rPr>
        <w:t>克</w:t>
      </w:r>
      <w:r>
        <w:rPr>
          <w:rFonts w:ascii="Times New Roman" w:eastAsia="Times New Roman"/>
          <w:b/>
          <w:sz w:val="21"/>
        </w:rPr>
        <w:t>-</w:t>
      </w:r>
      <w:r>
        <w:rPr>
          <w:b/>
          <w:sz w:val="21"/>
        </w:rPr>
        <w:t>雅氏病（</w:t>
      </w:r>
      <w:r>
        <w:rPr>
          <w:rFonts w:ascii="Times New Roman" w:eastAsia="Times New Roman"/>
          <w:b/>
          <w:sz w:val="21"/>
        </w:rPr>
        <w:t>CJD</w:t>
      </w:r>
      <w:r>
        <w:rPr>
          <w:b/>
          <w:sz w:val="21"/>
        </w:rPr>
        <w:t>）</w:t>
      </w:r>
      <w:r>
        <w:rPr>
          <w:b/>
          <w:spacing w:val="76"/>
          <w:sz w:val="21"/>
        </w:rPr>
        <w:t xml:space="preserve"> </w:t>
      </w:r>
      <w:r>
        <w:rPr>
          <w:rFonts w:ascii="Times New Roman" w:eastAsia="Times New Roman"/>
          <w:sz w:val="21"/>
        </w:rPr>
        <w:t>CJD</w:t>
      </w:r>
      <w:r>
        <w:rPr>
          <w:rFonts w:ascii="Times New Roman" w:eastAsia="Times New Roman"/>
          <w:spacing w:val="-12"/>
          <w:sz w:val="21"/>
        </w:rPr>
        <w:t xml:space="preserve"> </w:t>
      </w:r>
      <w:r>
        <w:rPr>
          <w:spacing w:val="-1"/>
          <w:sz w:val="21"/>
        </w:rPr>
        <w:t>是一种传染性海绵状脑病，临床表现为快速进行性痴呆、肌</w:t>
      </w:r>
    </w:p>
    <w:p>
      <w:pPr>
        <w:pStyle w:val="3"/>
        <w:spacing w:before="5" w:line="242" w:lineRule="auto"/>
        <w:ind w:left="3307" w:right="619"/>
        <w:jc w:val="both"/>
      </w:pPr>
      <w:r>
        <w:rPr>
          <w:spacing w:val="-2"/>
        </w:rPr>
        <w:t xml:space="preserve">阵挛和特征性脑电图变化。本病须经三级医院的专科医师根据 </w:t>
      </w:r>
      <w:r>
        <w:rPr>
          <w:rFonts w:ascii="Times New Roman" w:eastAsia="Times New Roman"/>
        </w:rPr>
        <w:t xml:space="preserve">WHO </w:t>
      </w:r>
      <w:r>
        <w:t>诊断标准明确诊断，并且被保险人永久不可逆丧失自主生</w:t>
      </w:r>
      <w:r>
        <w:rPr>
          <w:spacing w:val="-2"/>
        </w:rPr>
        <w:t>活能力，无法独立完成六项基本日常生活活动中的三项或三项以</w:t>
      </w:r>
      <w:r>
        <w:rPr>
          <w:spacing w:val="-6"/>
        </w:rPr>
        <w:t>上。</w:t>
      </w:r>
    </w:p>
    <w:p>
      <w:pPr>
        <w:pStyle w:val="3"/>
        <w:rPr>
          <w:sz w:val="20"/>
        </w:rPr>
      </w:pPr>
    </w:p>
    <w:p>
      <w:pPr>
        <w:spacing w:after="0"/>
        <w:rPr>
          <w:sz w:val="20"/>
        </w:rPr>
        <w:sectPr>
          <w:type w:val="continuous"/>
          <w:pgSz w:w="11910" w:h="16840"/>
          <w:pgMar w:top="320" w:right="620" w:bottom="280" w:left="1480" w:header="0" w:footer="851" w:gutter="0"/>
          <w:cols w:space="720" w:num="1"/>
        </w:sectPr>
      </w:pPr>
    </w:p>
    <w:p>
      <w:pPr>
        <w:pStyle w:val="3"/>
        <w:spacing w:before="3"/>
        <w:rPr>
          <w:sz w:val="17"/>
        </w:rPr>
      </w:pPr>
    </w:p>
    <w:p>
      <w:pPr>
        <w:pStyle w:val="8"/>
        <w:numPr>
          <w:ilvl w:val="1"/>
          <w:numId w:val="92"/>
        </w:numPr>
        <w:tabs>
          <w:tab w:val="left" w:pos="1338"/>
          <w:tab w:val="left" w:pos="1339"/>
        </w:tabs>
        <w:spacing w:before="0" w:after="0" w:line="240" w:lineRule="auto"/>
        <w:ind w:left="1338" w:right="0" w:hanging="1005"/>
        <w:jc w:val="left"/>
        <w:rPr>
          <w:b/>
          <w:sz w:val="21"/>
        </w:rPr>
      </w:pPr>
      <w:r>
        <w:rPr>
          <w:b/>
          <w:spacing w:val="-2"/>
          <w:sz w:val="21"/>
        </w:rPr>
        <w:t>亚急性硬化性全脑</w:t>
      </w:r>
    </w:p>
    <w:p>
      <w:pPr>
        <w:spacing w:before="5"/>
        <w:ind w:left="1338" w:right="0" w:firstLine="0"/>
        <w:jc w:val="left"/>
        <w:rPr>
          <w:b/>
          <w:sz w:val="21"/>
        </w:rPr>
      </w:pPr>
      <w:r>
        <w:rPr>
          <w:b/>
          <w:w w:val="100"/>
          <w:sz w:val="21"/>
        </w:rPr>
        <w:t>炎</w:t>
      </w:r>
    </w:p>
    <w:p>
      <w:pPr>
        <w:spacing w:before="9" w:line="240" w:lineRule="auto"/>
        <w:rPr>
          <w:b/>
          <w:sz w:val="17"/>
        </w:rPr>
      </w:pPr>
      <w:r>
        <w:br w:type="column"/>
      </w:r>
    </w:p>
    <w:p>
      <w:pPr>
        <w:pStyle w:val="3"/>
        <w:spacing w:line="244" w:lineRule="auto"/>
        <w:ind w:left="162" w:right="617"/>
        <w:jc w:val="both"/>
      </w:pPr>
      <w:r>
        <w:rPr>
          <w:spacing w:val="3"/>
          <w:w w:val="100"/>
        </w:rPr>
        <w:t>亚急性硬化性全脑炎是麻疹或麻疹样病毒所致的一种中枢神经</w:t>
      </w:r>
      <w:r>
        <w:rPr>
          <w:spacing w:val="-6"/>
          <w:w w:val="100"/>
        </w:rPr>
        <w:t>系统慢病毒感染。中枢神经系统呈现灰质和白质破坏为特征的慢</w:t>
      </w:r>
      <w:r>
        <w:rPr>
          <w:spacing w:val="-5"/>
          <w:w w:val="100"/>
        </w:rPr>
        <w:t>性和急性混合存在的炎症。必须满足下列所有条件：</w:t>
      </w:r>
    </w:p>
    <w:p>
      <w:pPr>
        <w:pStyle w:val="8"/>
        <w:numPr>
          <w:ilvl w:val="0"/>
          <w:numId w:val="93"/>
        </w:numPr>
        <w:tabs>
          <w:tab w:val="left" w:pos="702"/>
        </w:tabs>
        <w:spacing w:before="0" w:after="0" w:line="242" w:lineRule="auto"/>
        <w:ind w:left="685" w:right="618" w:hanging="524"/>
        <w:jc w:val="both"/>
        <w:rPr>
          <w:sz w:val="21"/>
        </w:rPr>
      </w:pPr>
      <w:r>
        <w:rPr>
          <w:spacing w:val="-2"/>
          <w:sz w:val="21"/>
        </w:rPr>
        <w:t>必须由三级医院诊断，临床检查证实脑电图存在周期性复</w:t>
      </w:r>
      <w:r>
        <w:rPr>
          <w:spacing w:val="-3"/>
          <w:sz w:val="21"/>
        </w:rPr>
        <w:t xml:space="preserve">合波、脑脊液 </w:t>
      </w:r>
      <w:r>
        <w:rPr>
          <w:rFonts w:ascii="Times New Roman" w:hAnsi="Times New Roman" w:eastAsia="Times New Roman"/>
          <w:spacing w:val="-2"/>
          <w:sz w:val="21"/>
        </w:rPr>
        <w:t>Ƴ-</w:t>
      </w:r>
      <w:r>
        <w:rPr>
          <w:spacing w:val="-2"/>
          <w:sz w:val="21"/>
        </w:rPr>
        <w:t>球蛋白升高、脑脊液和血清中麻疹抗体滴定度升高；</w:t>
      </w:r>
    </w:p>
    <w:p>
      <w:pPr>
        <w:pStyle w:val="8"/>
        <w:numPr>
          <w:ilvl w:val="0"/>
          <w:numId w:val="93"/>
        </w:numPr>
        <w:tabs>
          <w:tab w:val="left" w:pos="702"/>
        </w:tabs>
        <w:spacing w:before="0" w:after="0" w:line="242" w:lineRule="auto"/>
        <w:ind w:left="685" w:right="621" w:hanging="524"/>
        <w:jc w:val="both"/>
        <w:rPr>
          <w:sz w:val="21"/>
        </w:rPr>
      </w:pPr>
      <w:r>
        <w:rPr>
          <w:spacing w:val="-2"/>
          <w:sz w:val="21"/>
        </w:rPr>
        <w:t>被保险人出现运动障碍，永久不可逆丧失自主生活能力，</w:t>
      </w:r>
      <w:r>
        <w:rPr>
          <w:sz w:val="21"/>
        </w:rPr>
        <w:t>无法独立完成六项基本日常生活活动中的三项或三项以</w:t>
      </w:r>
      <w:r>
        <w:rPr>
          <w:spacing w:val="-6"/>
          <w:sz w:val="21"/>
        </w:rPr>
        <w:t>上。</w:t>
      </w:r>
    </w:p>
    <w:p>
      <w:pPr>
        <w:spacing w:after="0" w:line="242" w:lineRule="auto"/>
        <w:jc w:val="both"/>
        <w:rPr>
          <w:sz w:val="21"/>
        </w:rPr>
        <w:sectPr>
          <w:type w:val="continuous"/>
          <w:pgSz w:w="11910" w:h="16840"/>
          <w:pgMar w:top="320" w:right="620" w:bottom="280" w:left="1480" w:header="0" w:footer="851" w:gutter="0"/>
          <w:cols w:equalWidth="0" w:num="2">
            <w:col w:w="3106" w:space="40"/>
            <w:col w:w="6664"/>
          </w:cols>
        </w:sectPr>
      </w:pPr>
    </w:p>
    <w:p>
      <w:pPr>
        <w:pStyle w:val="3"/>
        <w:spacing w:before="1"/>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2"/>
        </w:numPr>
        <w:tabs>
          <w:tab w:val="left" w:pos="1338"/>
          <w:tab w:val="left" w:pos="1339"/>
        </w:tabs>
        <w:spacing w:before="92" w:after="0" w:line="240" w:lineRule="auto"/>
        <w:ind w:left="1338" w:right="0" w:hanging="1005"/>
        <w:jc w:val="left"/>
        <w:rPr>
          <w:b/>
          <w:sz w:val="21"/>
        </w:rPr>
      </w:pPr>
      <w:r>
        <w:rPr>
          <w:b/>
          <w:spacing w:val="-2"/>
          <w:sz w:val="21"/>
        </w:rPr>
        <w:t>进行性多灶性白质</w:t>
      </w:r>
    </w:p>
    <w:p>
      <w:pPr>
        <w:spacing w:before="4"/>
        <w:ind w:left="1338" w:right="0" w:firstLine="0"/>
        <w:jc w:val="left"/>
        <w:rPr>
          <w:b/>
          <w:sz w:val="21"/>
        </w:rPr>
      </w:pPr>
      <w:r>
        <w:rPr>
          <w:b/>
          <w:spacing w:val="-5"/>
          <w:sz w:val="21"/>
        </w:rPr>
        <w:t>脑病</w:t>
      </w:r>
    </w:p>
    <w:p>
      <w:pPr>
        <w:pStyle w:val="3"/>
        <w:spacing w:before="98" w:line="244" w:lineRule="auto"/>
        <w:ind w:left="162" w:right="619"/>
      </w:pPr>
      <w:r>
        <w:br w:type="column"/>
      </w:r>
      <w:r>
        <w:rPr>
          <w:spacing w:val="-2"/>
        </w:rPr>
        <w:t>进行性多灶性白质脑病是一种亚急性脱髓鞘脑病，常发生于免疫缺陷病人。必须满足下列所有条件：</w:t>
      </w:r>
    </w:p>
    <w:p>
      <w:pPr>
        <w:pStyle w:val="8"/>
        <w:numPr>
          <w:ilvl w:val="0"/>
          <w:numId w:val="94"/>
        </w:numPr>
        <w:tabs>
          <w:tab w:val="left" w:pos="692"/>
        </w:tabs>
        <w:spacing w:before="0" w:after="0" w:line="267" w:lineRule="exact"/>
        <w:ind w:left="691" w:right="0" w:hanging="530"/>
        <w:jc w:val="left"/>
        <w:rPr>
          <w:sz w:val="21"/>
        </w:rPr>
      </w:pPr>
      <w:r>
        <w:rPr>
          <w:spacing w:val="-3"/>
          <w:sz w:val="21"/>
        </w:rPr>
        <w:t>根据脑组织活检确诊；</w:t>
      </w:r>
    </w:p>
    <w:p>
      <w:pPr>
        <w:pStyle w:val="8"/>
        <w:numPr>
          <w:ilvl w:val="0"/>
          <w:numId w:val="94"/>
        </w:numPr>
        <w:tabs>
          <w:tab w:val="left" w:pos="702"/>
        </w:tabs>
        <w:spacing w:before="5" w:after="0" w:line="240" w:lineRule="auto"/>
        <w:ind w:left="685" w:right="621" w:hanging="524"/>
        <w:jc w:val="left"/>
        <w:rPr>
          <w:sz w:val="21"/>
        </w:rPr>
      </w:pPr>
      <w:r>
        <w:rPr>
          <w:spacing w:val="-2"/>
          <w:sz w:val="21"/>
        </w:rPr>
        <w:t>永久不可逆丧失自主生活能力，无法独立完成六项基本日常生活活动中的三项或三项以上。</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6"/>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2"/>
        </w:numPr>
        <w:tabs>
          <w:tab w:val="left" w:pos="1338"/>
          <w:tab w:val="left" w:pos="1339"/>
        </w:tabs>
        <w:spacing w:before="91" w:after="0" w:line="240" w:lineRule="auto"/>
        <w:ind w:left="1338" w:right="0" w:hanging="1005"/>
        <w:jc w:val="left"/>
        <w:rPr>
          <w:b/>
          <w:sz w:val="21"/>
        </w:rPr>
      </w:pPr>
      <w:r>
        <w:rPr>
          <w:b/>
          <w:spacing w:val="-2"/>
          <w:sz w:val="21"/>
        </w:rPr>
        <w:t>丧失独立生活能力</w:t>
      </w:r>
    </w:p>
    <w:p>
      <w:pPr>
        <w:spacing w:before="5"/>
        <w:ind w:left="1338" w:right="0" w:firstLine="0"/>
        <w:jc w:val="left"/>
        <w:rPr>
          <w:b/>
          <w:sz w:val="21"/>
        </w:rPr>
      </w:pPr>
      <w:r>
        <w:rPr>
          <w:rFonts w:ascii="Times New Roman" w:hAnsi="Times New Roman" w:eastAsia="Times New Roman"/>
          <w:b/>
          <w:spacing w:val="26"/>
          <w:sz w:val="21"/>
        </w:rPr>
        <w:t xml:space="preserve">– </w:t>
      </w:r>
      <w:r>
        <w:rPr>
          <w:b/>
          <w:spacing w:val="-2"/>
          <w:sz w:val="21"/>
        </w:rPr>
        <w:t>六岁始理赔</w:t>
      </w:r>
    </w:p>
    <w:p>
      <w:pPr>
        <w:pStyle w:val="3"/>
        <w:spacing w:before="97" w:line="244" w:lineRule="auto"/>
        <w:ind w:left="239" w:right="609"/>
        <w:jc w:val="both"/>
      </w:pPr>
      <w:r>
        <w:br w:type="column"/>
      </w:r>
      <w:r>
        <w:rPr>
          <w:spacing w:val="3"/>
          <w:w w:val="100"/>
        </w:rPr>
        <w:t>指由于疾病或外伤导致被保险人永久不可逆的完全丧失独立生</w:t>
      </w:r>
      <w:r>
        <w:rPr>
          <w:spacing w:val="-6"/>
          <w:w w:val="100"/>
        </w:rPr>
        <w:t>活能力，无法独立完成基本日常生活活动中的四项或四项以上。</w:t>
      </w:r>
      <w:r>
        <w:rPr>
          <w:spacing w:val="-3"/>
          <w:w w:val="100"/>
        </w:rPr>
        <w:t>被保险人理赔时年龄在六周岁以上。</w:t>
      </w:r>
    </w:p>
    <w:p>
      <w:pPr>
        <w:spacing w:after="0" w:line="244" w:lineRule="auto"/>
        <w:jc w:val="both"/>
        <w:sectPr>
          <w:type w:val="continuous"/>
          <w:pgSz w:w="11910" w:h="16840"/>
          <w:pgMar w:top="320" w:right="620" w:bottom="280" w:left="1480" w:header="0" w:footer="851" w:gutter="0"/>
          <w:cols w:equalWidth="0" w:num="2">
            <w:col w:w="3029" w:space="40"/>
            <w:col w:w="6741"/>
          </w:cols>
        </w:sectPr>
      </w:pPr>
    </w:p>
    <w:p>
      <w:pPr>
        <w:pStyle w:val="3"/>
        <w:spacing w:before="9"/>
        <w:rPr>
          <w:sz w:val="29"/>
        </w:rPr>
      </w:pPr>
    </w:p>
    <w:p>
      <w:pPr>
        <w:pStyle w:val="8"/>
        <w:numPr>
          <w:ilvl w:val="1"/>
          <w:numId w:val="92"/>
        </w:numPr>
        <w:tabs>
          <w:tab w:val="left" w:pos="1338"/>
          <w:tab w:val="left" w:pos="1339"/>
          <w:tab w:val="left" w:pos="3307"/>
        </w:tabs>
        <w:spacing w:before="92" w:after="0" w:line="240" w:lineRule="auto"/>
        <w:ind w:left="1338" w:right="0" w:hanging="1005"/>
        <w:jc w:val="left"/>
        <w:rPr>
          <w:sz w:val="21"/>
        </w:rPr>
      </w:pPr>
      <w:r>
        <w:rPr>
          <w:b/>
          <w:sz w:val="21"/>
        </w:rPr>
        <w:t>脊髓小脑变性</w:t>
      </w:r>
      <w:r>
        <w:rPr>
          <w:b/>
          <w:spacing w:val="-10"/>
          <w:sz w:val="21"/>
        </w:rPr>
        <w:t>症</w:t>
      </w:r>
      <w:r>
        <w:rPr>
          <w:b/>
          <w:sz w:val="21"/>
        </w:rPr>
        <w:tab/>
      </w:r>
      <w:r>
        <w:rPr>
          <w:sz w:val="21"/>
        </w:rPr>
        <w:t>脊髓小脑变性症为一组以小脑萎缩和共济失调为主要临床特</w:t>
      </w:r>
      <w:r>
        <w:rPr>
          <w:spacing w:val="-10"/>
          <w:sz w:val="21"/>
        </w:rPr>
        <w:t>点</w:t>
      </w:r>
    </w:p>
    <w:p>
      <w:pPr>
        <w:pStyle w:val="3"/>
        <w:spacing w:before="4"/>
        <w:ind w:left="3307"/>
      </w:pPr>
      <w:r>
        <w:rPr>
          <w:spacing w:val="-3"/>
        </w:rPr>
        <w:t>的多与遗传有关的疾病。必须满足下列所有条件：</w:t>
      </w:r>
    </w:p>
    <w:p>
      <w:pPr>
        <w:pStyle w:val="8"/>
        <w:numPr>
          <w:ilvl w:val="2"/>
          <w:numId w:val="92"/>
        </w:numPr>
        <w:tabs>
          <w:tab w:val="left" w:pos="3847"/>
        </w:tabs>
        <w:spacing w:before="5" w:after="0" w:line="240" w:lineRule="auto"/>
        <w:ind w:left="3830" w:right="621" w:hanging="524"/>
        <w:jc w:val="left"/>
        <w:rPr>
          <w:sz w:val="21"/>
        </w:rPr>
      </w:pPr>
      <w:r>
        <w:rPr>
          <w:spacing w:val="-2"/>
          <w:sz w:val="21"/>
        </w:rPr>
        <w:t>脊髓小脑变性症必须由三级医院诊断，并有下列所有证据</w:t>
      </w:r>
      <w:r>
        <w:rPr>
          <w:spacing w:val="-4"/>
          <w:sz w:val="21"/>
        </w:rPr>
        <w:t>支持：</w:t>
      </w:r>
    </w:p>
    <w:p>
      <w:pPr>
        <w:pStyle w:val="3"/>
        <w:spacing w:before="5"/>
        <w:ind w:left="3730"/>
      </w:pPr>
      <w:r>
        <w:rPr>
          <w:spacing w:val="-3"/>
        </w:rPr>
        <w:t>①影像学检查证实存在小脑萎缩；</w:t>
      </w:r>
    </w:p>
    <w:p>
      <w:pPr>
        <w:pStyle w:val="3"/>
        <w:spacing w:before="4"/>
        <w:ind w:left="3730"/>
      </w:pPr>
      <w:r>
        <w:rPr>
          <w:spacing w:val="-3"/>
        </w:rPr>
        <w:t>②临床表现存在共济失调、语言障碍和肌张力异常。</w:t>
      </w:r>
    </w:p>
    <w:p>
      <w:pPr>
        <w:pStyle w:val="8"/>
        <w:numPr>
          <w:ilvl w:val="2"/>
          <w:numId w:val="92"/>
        </w:numPr>
        <w:tabs>
          <w:tab w:val="left" w:pos="3847"/>
        </w:tabs>
        <w:spacing w:before="5" w:after="0" w:line="240" w:lineRule="auto"/>
        <w:ind w:left="3830" w:right="621" w:hanging="524"/>
        <w:jc w:val="left"/>
        <w:rPr>
          <w:sz w:val="21"/>
        </w:rPr>
      </w:pPr>
      <w:r>
        <w:rPr>
          <w:spacing w:val="-2"/>
          <w:sz w:val="21"/>
        </w:rPr>
        <w:t>被保险人运动功能严重障碍，自主生活能力完全丧失，无法独立完成六项基本日常生活活动中的三项或三项以上。</w:t>
      </w:r>
    </w:p>
    <w:p>
      <w:pPr>
        <w:pStyle w:val="3"/>
        <w:spacing w:before="7"/>
        <w:rPr>
          <w:sz w:val="18"/>
        </w:rPr>
      </w:pPr>
    </w:p>
    <w:p>
      <w:pPr>
        <w:pStyle w:val="8"/>
        <w:numPr>
          <w:ilvl w:val="1"/>
          <w:numId w:val="92"/>
        </w:numPr>
        <w:tabs>
          <w:tab w:val="left" w:pos="1003"/>
          <w:tab w:val="left" w:pos="1339"/>
          <w:tab w:val="left" w:pos="2972"/>
        </w:tabs>
        <w:spacing w:before="0" w:after="0" w:line="240" w:lineRule="auto"/>
        <w:ind w:left="1338" w:right="619" w:hanging="1339"/>
        <w:jc w:val="right"/>
        <w:rPr>
          <w:sz w:val="21"/>
        </w:rPr>
      </w:pPr>
      <w:r>
        <w:rPr>
          <w:b/>
          <w:sz w:val="21"/>
        </w:rPr>
        <w:t>神经白塞</w:t>
      </w:r>
      <w:r>
        <w:rPr>
          <w:b/>
          <w:spacing w:val="-10"/>
          <w:sz w:val="21"/>
        </w:rPr>
        <w:t>病</w:t>
      </w:r>
      <w:r>
        <w:rPr>
          <w:b/>
          <w:sz w:val="21"/>
        </w:rPr>
        <w:tab/>
      </w:r>
      <w:r>
        <w:rPr>
          <w:spacing w:val="-2"/>
          <w:sz w:val="21"/>
        </w:rPr>
        <w:t>白塞病是一种慢性全身性血管炎症性疾病，主要表现为复发性</w:t>
      </w:r>
      <w:r>
        <w:rPr>
          <w:spacing w:val="-10"/>
          <w:sz w:val="21"/>
        </w:rPr>
        <w:t>口</w:t>
      </w:r>
    </w:p>
    <w:p>
      <w:pPr>
        <w:pStyle w:val="3"/>
        <w:spacing w:before="5"/>
        <w:ind w:right="619"/>
        <w:jc w:val="right"/>
      </w:pPr>
      <w:r>
        <w:rPr>
          <w:spacing w:val="-3"/>
        </w:rPr>
        <w:t>腔溃疡、生殖器溃疡、眼炎及皮肤损害，并可累及大血管、神经</w:t>
      </w:r>
    </w:p>
    <w:p>
      <w:pPr>
        <w:spacing w:after="0"/>
        <w:jc w:val="right"/>
        <w:sectPr>
          <w:type w:val="continuous"/>
          <w:pgSz w:w="11910" w:h="16840"/>
          <w:pgMar w:top="320" w:right="620" w:bottom="280" w:left="1480" w:header="0" w:footer="851" w:gutter="0"/>
          <w:cols w:space="720" w:num="1"/>
        </w:sectPr>
      </w:pPr>
    </w:p>
    <w:p>
      <w:pPr>
        <w:pStyle w:val="3"/>
        <w:spacing w:before="51" w:line="242" w:lineRule="auto"/>
        <w:ind w:left="3307" w:right="619"/>
        <w:jc w:val="both"/>
      </w:pPr>
      <w:r>
        <w:rPr>
          <w:spacing w:val="-2"/>
        </w:rPr>
        <w:t>系统、消化道、肺、肾等等。累及神经系统损害的白塞病称为神经白塞病。神经白塞病必须明确诊断，并且已经造成永久不可逆的神经系统功能损害。永久不可逆的神经系统损害指被保险人持</w:t>
      </w:r>
      <w:r>
        <w:rPr>
          <w:spacing w:val="-11"/>
        </w:rPr>
        <w:t xml:space="preserve">续 </w:t>
      </w:r>
      <w:r>
        <w:rPr>
          <w:rFonts w:ascii="Times New Roman" w:eastAsia="Times New Roman"/>
        </w:rPr>
        <w:t xml:space="preserve">180 </w:t>
      </w:r>
      <w:r>
        <w:t>天无法独立完成下列基本日常生活活动之一或全部：</w:t>
      </w:r>
    </w:p>
    <w:p>
      <w:pPr>
        <w:pStyle w:val="8"/>
        <w:numPr>
          <w:ilvl w:val="0"/>
          <w:numId w:val="95"/>
        </w:numPr>
        <w:tabs>
          <w:tab w:val="left" w:pos="3837"/>
        </w:tabs>
        <w:spacing w:before="3" w:after="0" w:line="240" w:lineRule="auto"/>
        <w:ind w:left="3836" w:right="0" w:hanging="530"/>
        <w:jc w:val="left"/>
        <w:rPr>
          <w:sz w:val="21"/>
        </w:rPr>
      </w:pPr>
      <w:r>
        <w:rPr>
          <w:spacing w:val="-3"/>
          <w:sz w:val="21"/>
        </w:rPr>
        <w:t>移动：自己从一个房间到另一个房间；</w:t>
      </w:r>
    </w:p>
    <w:p>
      <w:pPr>
        <w:pStyle w:val="8"/>
        <w:numPr>
          <w:ilvl w:val="0"/>
          <w:numId w:val="95"/>
        </w:numPr>
        <w:tabs>
          <w:tab w:val="left" w:pos="3837"/>
        </w:tabs>
        <w:spacing w:before="5" w:after="0" w:line="240" w:lineRule="auto"/>
        <w:ind w:left="3836" w:right="0" w:hanging="530"/>
        <w:jc w:val="left"/>
        <w:rPr>
          <w:sz w:val="21"/>
        </w:rPr>
      </w:pPr>
      <w:r>
        <w:rPr>
          <w:spacing w:val="-3"/>
          <w:sz w:val="21"/>
        </w:rPr>
        <w:t>进食：自己从已准备好的碗或碟中取食物放入口中。</w:t>
      </w:r>
    </w:p>
    <w:p>
      <w:pPr>
        <w:pStyle w:val="3"/>
        <w:spacing w:before="7"/>
        <w:rPr>
          <w:sz w:val="18"/>
        </w:rPr>
      </w:pPr>
    </w:p>
    <w:p>
      <w:pPr>
        <w:pStyle w:val="8"/>
        <w:numPr>
          <w:ilvl w:val="1"/>
          <w:numId w:val="92"/>
        </w:numPr>
        <w:tabs>
          <w:tab w:val="left" w:pos="1338"/>
          <w:tab w:val="left" w:pos="1339"/>
          <w:tab w:val="left" w:pos="3307"/>
        </w:tabs>
        <w:spacing w:before="0" w:after="0" w:line="240" w:lineRule="auto"/>
        <w:ind w:left="1338" w:right="0" w:hanging="1005"/>
        <w:jc w:val="left"/>
        <w:rPr>
          <w:sz w:val="21"/>
        </w:rPr>
      </w:pPr>
      <w:r>
        <w:rPr>
          <w:b/>
          <w:sz w:val="21"/>
        </w:rPr>
        <w:t>脊髓内肿</w:t>
      </w:r>
      <w:r>
        <w:rPr>
          <w:b/>
          <w:spacing w:val="-10"/>
          <w:sz w:val="21"/>
        </w:rPr>
        <w:t>瘤</w:t>
      </w:r>
      <w:r>
        <w:rPr>
          <w:b/>
          <w:sz w:val="21"/>
        </w:rPr>
        <w:tab/>
      </w:r>
      <w:r>
        <w:rPr>
          <w:spacing w:val="-2"/>
          <w:sz w:val="21"/>
        </w:rPr>
        <w:t>指脊髓内良性或恶性肿瘤。肿瘤造成脊髓损害导致瘫痪。须满</w:t>
      </w:r>
      <w:r>
        <w:rPr>
          <w:spacing w:val="-10"/>
          <w:sz w:val="21"/>
        </w:rPr>
        <w:t>足</w:t>
      </w:r>
    </w:p>
    <w:p>
      <w:pPr>
        <w:pStyle w:val="3"/>
        <w:spacing w:before="5" w:line="269" w:lineRule="exact"/>
        <w:ind w:left="3307"/>
      </w:pPr>
      <w:r>
        <w:rPr>
          <w:spacing w:val="-4"/>
        </w:rPr>
        <w:t>下列所有条件：</w:t>
      </w:r>
    </w:p>
    <w:p>
      <w:pPr>
        <w:pStyle w:val="8"/>
        <w:numPr>
          <w:ilvl w:val="0"/>
          <w:numId w:val="96"/>
        </w:numPr>
        <w:tabs>
          <w:tab w:val="left" w:pos="3837"/>
        </w:tabs>
        <w:spacing w:before="0" w:after="0" w:line="240" w:lineRule="auto"/>
        <w:ind w:left="3836" w:right="0" w:hanging="530"/>
        <w:jc w:val="left"/>
        <w:rPr>
          <w:sz w:val="21"/>
        </w:rPr>
      </w:pPr>
      <w:r>
        <w:rPr>
          <w:spacing w:val="-3"/>
          <w:sz w:val="21"/>
        </w:rPr>
        <w:t>被保险人实际接受了肿瘤切除的手术治疗；</w:t>
      </w:r>
    </w:p>
    <w:p>
      <w:pPr>
        <w:pStyle w:val="8"/>
        <w:numPr>
          <w:ilvl w:val="0"/>
          <w:numId w:val="96"/>
        </w:numPr>
        <w:tabs>
          <w:tab w:val="left" w:pos="3837"/>
        </w:tabs>
        <w:spacing w:before="5" w:after="0" w:line="244" w:lineRule="auto"/>
        <w:ind w:left="3830" w:right="619" w:hanging="524"/>
        <w:jc w:val="left"/>
        <w:rPr>
          <w:sz w:val="21"/>
        </w:rPr>
      </w:pPr>
      <w:r>
        <w:rPr>
          <w:spacing w:val="-2"/>
          <w:sz w:val="21"/>
        </w:rPr>
        <w:t>手术</w:t>
      </w:r>
      <w:r>
        <w:rPr>
          <w:rFonts w:ascii="Times New Roman" w:eastAsia="Times New Roman"/>
          <w:spacing w:val="-2"/>
          <w:sz w:val="21"/>
        </w:rPr>
        <w:t>180</w:t>
      </w:r>
      <w:r>
        <w:rPr>
          <w:spacing w:val="-2"/>
          <w:sz w:val="21"/>
        </w:rPr>
        <w:t>天后遗留神经系统损害，无法独立完成下列基本日常生活活动之一或全部：</w:t>
      </w:r>
    </w:p>
    <w:p>
      <w:pPr>
        <w:pStyle w:val="3"/>
        <w:spacing w:line="267" w:lineRule="exact"/>
        <w:ind w:left="3624"/>
      </w:pPr>
      <w:r>
        <w:rPr>
          <w:spacing w:val="-3"/>
        </w:rPr>
        <w:t>①移动：自己从一个房间到另一个房间；</w:t>
      </w:r>
    </w:p>
    <w:p>
      <w:pPr>
        <w:pStyle w:val="3"/>
        <w:spacing w:after="33"/>
        <w:ind w:left="3624"/>
      </w:pPr>
      <w:r>
        <w:rPr>
          <w:spacing w:val="-3"/>
        </w:rPr>
        <w:t>②进食：自己从已准备好的碗或碟中取食物放入口中。</w:t>
      </w: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0"/>
        <w:gridCol w:w="2132"/>
        <w:gridCol w:w="6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2922" w:type="dxa"/>
            <w:gridSpan w:val="2"/>
          </w:tcPr>
          <w:p>
            <w:pPr>
              <w:pStyle w:val="9"/>
              <w:rPr>
                <w:rFonts w:ascii="Times New Roman"/>
                <w:sz w:val="20"/>
              </w:rPr>
            </w:pPr>
          </w:p>
        </w:tc>
        <w:tc>
          <w:tcPr>
            <w:tcW w:w="6120" w:type="dxa"/>
          </w:tcPr>
          <w:p>
            <w:pPr>
              <w:pStyle w:val="9"/>
              <w:spacing w:line="241" w:lineRule="exact"/>
              <w:ind w:left="100"/>
              <w:rPr>
                <w:b/>
                <w:sz w:val="21"/>
              </w:rPr>
            </w:pPr>
            <w:r>
              <w:rPr>
                <w:b/>
                <w:spacing w:val="-3"/>
                <w:sz w:val="21"/>
              </w:rPr>
              <w:t>非脊髓内的其他椎管内肿瘤、脊柱肿瘤、神经纤维瘤不在保障范</w:t>
            </w:r>
          </w:p>
          <w:p>
            <w:pPr>
              <w:pStyle w:val="9"/>
              <w:spacing w:before="4"/>
              <w:ind w:left="100"/>
              <w:rPr>
                <w:b/>
                <w:sz w:val="21"/>
              </w:rPr>
            </w:pPr>
            <w:r>
              <w:rPr>
                <w:b/>
                <w:spacing w:val="-4"/>
                <w:sz w:val="21"/>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90" w:type="dxa"/>
          </w:tcPr>
          <w:p>
            <w:pPr>
              <w:pStyle w:val="9"/>
              <w:spacing w:before="130"/>
              <w:ind w:left="50"/>
              <w:rPr>
                <w:rFonts w:ascii="Times New Roman"/>
                <w:sz w:val="21"/>
              </w:rPr>
            </w:pPr>
            <w:r>
              <w:rPr>
                <w:rFonts w:ascii="Times New Roman"/>
                <w:spacing w:val="-2"/>
                <w:sz w:val="21"/>
              </w:rPr>
              <w:t>10.73</w:t>
            </w:r>
          </w:p>
        </w:tc>
        <w:tc>
          <w:tcPr>
            <w:tcW w:w="2132" w:type="dxa"/>
          </w:tcPr>
          <w:p>
            <w:pPr>
              <w:pStyle w:val="9"/>
              <w:spacing w:before="136" w:line="251" w:lineRule="exact"/>
              <w:ind w:left="263"/>
              <w:rPr>
                <w:b/>
                <w:sz w:val="21"/>
              </w:rPr>
            </w:pPr>
            <w:r>
              <w:rPr>
                <w:b/>
                <w:spacing w:val="-2"/>
                <w:sz w:val="21"/>
              </w:rPr>
              <w:t>横贯性脊髓炎后遗</w:t>
            </w:r>
          </w:p>
        </w:tc>
        <w:tc>
          <w:tcPr>
            <w:tcW w:w="6120" w:type="dxa"/>
          </w:tcPr>
          <w:p>
            <w:pPr>
              <w:pStyle w:val="9"/>
              <w:spacing w:before="136" w:line="251" w:lineRule="exact"/>
              <w:ind w:left="100"/>
              <w:rPr>
                <w:sz w:val="21"/>
              </w:rPr>
            </w:pPr>
            <w:r>
              <w:rPr>
                <w:spacing w:val="-3"/>
                <w:sz w:val="21"/>
              </w:rPr>
              <w:t>脊髓炎是一种炎症性脊髓疾病。横贯性脊髓炎是指炎症扩展横贯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spacing w:before="2" w:line="249" w:lineRule="exact"/>
              <w:ind w:left="263"/>
              <w:rPr>
                <w:b/>
                <w:sz w:val="21"/>
              </w:rPr>
            </w:pPr>
            <w:r>
              <w:rPr>
                <w:b/>
                <w:w w:val="100"/>
                <w:sz w:val="21"/>
              </w:rPr>
              <w:t>症</w:t>
            </w:r>
          </w:p>
        </w:tc>
        <w:tc>
          <w:tcPr>
            <w:tcW w:w="6120" w:type="dxa"/>
          </w:tcPr>
          <w:p>
            <w:pPr>
              <w:pStyle w:val="9"/>
              <w:spacing w:before="2" w:line="249" w:lineRule="exact"/>
              <w:ind w:left="100"/>
              <w:rPr>
                <w:sz w:val="21"/>
              </w:rPr>
            </w:pPr>
            <w:r>
              <w:rPr>
                <w:spacing w:val="-3"/>
                <w:sz w:val="21"/>
              </w:rPr>
              <w:t>整个脊髓，表现为运动障碍、感觉障碍和自主神经功能障碍。横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line="248" w:lineRule="exact"/>
              <w:ind w:left="100"/>
              <w:rPr>
                <w:sz w:val="21"/>
              </w:rPr>
            </w:pPr>
            <w:r>
              <w:rPr>
                <w:spacing w:val="-3"/>
                <w:sz w:val="21"/>
              </w:rPr>
              <w:t>断性脊髓炎必须明确诊断，并且已经造成永久不可逆的神经系统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6" w:line="259" w:lineRule="exact"/>
              <w:ind w:left="100"/>
              <w:rPr>
                <w:sz w:val="21"/>
              </w:rPr>
            </w:pPr>
            <w:r>
              <w:rPr>
                <w:spacing w:val="-4"/>
                <w:sz w:val="21"/>
              </w:rPr>
              <w:t xml:space="preserve">功能损害。永久不可逆的神经系统损害指被保险人持续 </w:t>
            </w:r>
            <w:r>
              <w:rPr>
                <w:rFonts w:ascii="Times New Roman" w:eastAsia="Times New Roman"/>
                <w:spacing w:val="-2"/>
                <w:sz w:val="21"/>
              </w:rPr>
              <w:t>180</w:t>
            </w:r>
            <w:r>
              <w:rPr>
                <w:rFonts w:ascii="Times New Roman" w:eastAsia="Times New Roman"/>
                <w:spacing w:val="8"/>
                <w:sz w:val="21"/>
              </w:rPr>
              <w:t xml:space="preserve"> </w:t>
            </w:r>
            <w:r>
              <w:rPr>
                <w:spacing w:val="-6"/>
                <w:sz w:val="21"/>
              </w:rPr>
              <w:t>天无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line="242" w:lineRule="exact"/>
              <w:ind w:left="100"/>
              <w:rPr>
                <w:sz w:val="21"/>
              </w:rPr>
            </w:pPr>
            <w:r>
              <w:rPr>
                <w:spacing w:val="-3"/>
                <w:sz w:val="21"/>
              </w:rPr>
              <w:t>法独立完成下列基本日常生活活动之一或全部：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numPr>
                <w:ilvl w:val="0"/>
                <w:numId w:val="97"/>
              </w:numPr>
              <w:tabs>
                <w:tab w:val="left" w:pos="630"/>
              </w:tabs>
              <w:spacing w:before="6" w:after="0" w:line="269" w:lineRule="exact"/>
              <w:ind w:left="629" w:right="0" w:hanging="530"/>
              <w:jc w:val="left"/>
              <w:rPr>
                <w:sz w:val="21"/>
              </w:rPr>
            </w:pPr>
            <w:r>
              <w:rPr>
                <w:spacing w:val="-3"/>
                <w:sz w:val="21"/>
              </w:rPr>
              <w:t>移动：自己从一个房间到另一个房间；</w:t>
            </w:r>
          </w:p>
          <w:p>
            <w:pPr>
              <w:pStyle w:val="9"/>
              <w:numPr>
                <w:ilvl w:val="0"/>
                <w:numId w:val="97"/>
              </w:numPr>
              <w:tabs>
                <w:tab w:val="left" w:pos="630"/>
              </w:tabs>
              <w:spacing w:before="0" w:after="0" w:line="240" w:lineRule="auto"/>
              <w:ind w:left="629" w:right="0" w:hanging="530"/>
              <w:jc w:val="left"/>
              <w:rPr>
                <w:sz w:val="21"/>
              </w:rPr>
            </w:pPr>
            <w:r>
              <w:rPr>
                <w:spacing w:val="-3"/>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90" w:type="dxa"/>
          </w:tcPr>
          <w:p>
            <w:pPr>
              <w:pStyle w:val="9"/>
              <w:spacing w:before="122"/>
              <w:ind w:left="50"/>
              <w:rPr>
                <w:rFonts w:ascii="Times New Roman"/>
                <w:sz w:val="21"/>
              </w:rPr>
            </w:pPr>
            <w:r>
              <w:rPr>
                <w:rFonts w:ascii="Times New Roman"/>
                <w:spacing w:val="-2"/>
                <w:sz w:val="21"/>
              </w:rPr>
              <w:t>10.74</w:t>
            </w:r>
          </w:p>
        </w:tc>
        <w:tc>
          <w:tcPr>
            <w:tcW w:w="2132" w:type="dxa"/>
          </w:tcPr>
          <w:p>
            <w:pPr>
              <w:pStyle w:val="9"/>
              <w:spacing w:before="127" w:line="251" w:lineRule="exact"/>
              <w:ind w:left="263"/>
              <w:rPr>
                <w:b/>
                <w:sz w:val="21"/>
              </w:rPr>
            </w:pPr>
            <w:r>
              <w:rPr>
                <w:b/>
                <w:sz w:val="21"/>
              </w:rPr>
              <w:t>脊（延）</w:t>
            </w:r>
            <w:r>
              <w:rPr>
                <w:b/>
                <w:spacing w:val="-3"/>
                <w:sz w:val="21"/>
              </w:rPr>
              <w:t>髓空洞症</w:t>
            </w:r>
          </w:p>
        </w:tc>
        <w:tc>
          <w:tcPr>
            <w:tcW w:w="6120" w:type="dxa"/>
          </w:tcPr>
          <w:p>
            <w:pPr>
              <w:pStyle w:val="9"/>
              <w:spacing w:before="127" w:line="251" w:lineRule="exact"/>
              <w:ind w:left="100"/>
              <w:rPr>
                <w:sz w:val="21"/>
              </w:rPr>
            </w:pPr>
            <w:r>
              <w:rPr>
                <w:spacing w:val="-3"/>
                <w:sz w:val="21"/>
              </w:rPr>
              <w:t>脊髓空洞症为慢性进行性的脊髓变性性疾病，其特征为脊髓内空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line="251" w:lineRule="exact"/>
              <w:ind w:left="100"/>
              <w:rPr>
                <w:sz w:val="21"/>
              </w:rPr>
            </w:pPr>
            <w:r>
              <w:rPr>
                <w:spacing w:val="-3"/>
                <w:sz w:val="21"/>
              </w:rPr>
              <w:t>洞形成。表现为感觉异常、肌萎缩及神经营养障碍。脊髓空洞症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line="251" w:lineRule="exact"/>
              <w:ind w:left="100"/>
              <w:rPr>
                <w:sz w:val="21"/>
              </w:rPr>
            </w:pPr>
            <w:r>
              <w:rPr>
                <w:spacing w:val="-3"/>
                <w:sz w:val="21"/>
              </w:rPr>
              <w:t>累及延髓的称为延髓空洞症，表现为延髓麻痹。脊髓空洞症必须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before="3" w:line="245" w:lineRule="exact"/>
              <w:ind w:left="100"/>
              <w:rPr>
                <w:sz w:val="21"/>
              </w:rPr>
            </w:pPr>
            <w:r>
              <w:rPr>
                <w:spacing w:val="-3"/>
                <w:sz w:val="21"/>
              </w:rPr>
              <w:t>明确诊断并且造成永久不可逆的神经系统功能障碍，存在持续至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3" w:line="259" w:lineRule="exact"/>
              <w:ind w:left="100"/>
              <w:rPr>
                <w:sz w:val="21"/>
              </w:rPr>
            </w:pPr>
            <w:r>
              <w:rPr>
                <w:spacing w:val="-24"/>
                <w:sz w:val="21"/>
              </w:rPr>
              <w:t xml:space="preserve">少 </w:t>
            </w:r>
            <w:r>
              <w:rPr>
                <w:rFonts w:ascii="Times New Roman" w:eastAsia="Times New Roman"/>
                <w:spacing w:val="-2"/>
                <w:sz w:val="21"/>
              </w:rPr>
              <w:t>180</w:t>
            </w:r>
            <w:r>
              <w:rPr>
                <w:rFonts w:ascii="Times New Roman" w:eastAsia="Times New Roman"/>
                <w:spacing w:val="8"/>
                <w:sz w:val="21"/>
              </w:rPr>
              <w:t xml:space="preserve"> </w:t>
            </w:r>
            <w:r>
              <w:rPr>
                <w:spacing w:val="-3"/>
                <w:sz w:val="21"/>
              </w:rPr>
              <w:t>天以上的神经系统功能缺失并满足下列任何一项基本日常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line="242" w:lineRule="exact"/>
              <w:ind w:left="100"/>
              <w:rPr>
                <w:sz w:val="21"/>
              </w:rPr>
            </w:pPr>
            <w:r>
              <w:rPr>
                <w:spacing w:val="-2"/>
                <w:sz w:val="21"/>
              </w:rPr>
              <w:t>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6" w:line="256"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延髓麻痹呈现显著舌肌萎缩、构音困难和吞咽困难；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line="267" w:lineRule="exact"/>
              <w:ind w:left="100"/>
              <w:rPr>
                <w:sz w:val="21"/>
              </w:rPr>
            </w:pPr>
            <w:r>
              <w:rPr>
                <w:spacing w:val="-2"/>
                <w:sz w:val="21"/>
              </w:rPr>
              <w:t>（</w:t>
            </w:r>
            <w:r>
              <w:rPr>
                <w:rFonts w:ascii="Times New Roman" w:hAnsi="Times New Roman" w:eastAsia="Times New Roman"/>
                <w:spacing w:val="-2"/>
                <w:sz w:val="21"/>
              </w:rPr>
              <w:t>2</w:t>
            </w:r>
            <w:r>
              <w:rPr>
                <w:spacing w:val="-2"/>
                <w:sz w:val="21"/>
              </w:rPr>
              <w:t>）双手萎缩呈</w:t>
            </w:r>
            <w:r>
              <w:rPr>
                <w:rFonts w:ascii="Times New Roman" w:hAnsi="Times New Roman" w:eastAsia="Times New Roman"/>
                <w:spacing w:val="-2"/>
                <w:sz w:val="21"/>
              </w:rPr>
              <w:t>“</w:t>
            </w:r>
            <w:r>
              <w:rPr>
                <w:spacing w:val="-2"/>
                <w:sz w:val="21"/>
              </w:rPr>
              <w:t>爪形手</w:t>
            </w:r>
            <w:r>
              <w:rPr>
                <w:rFonts w:ascii="Times New Roman" w:hAnsi="Times New Roman" w:eastAsia="Times New Roman"/>
                <w:spacing w:val="-2"/>
                <w:sz w:val="21"/>
              </w:rPr>
              <w:t>”</w:t>
            </w:r>
            <w:r>
              <w:rPr>
                <w:spacing w:val="-11"/>
                <w:sz w:val="21"/>
              </w:rPr>
              <w:t xml:space="preserve">，且肌力 </w:t>
            </w:r>
            <w:r>
              <w:rPr>
                <w:rFonts w:ascii="Times New Roman" w:hAnsi="Times New Roman" w:eastAsia="Times New Roman"/>
                <w:spacing w:val="-2"/>
                <w:sz w:val="21"/>
              </w:rPr>
              <w:t>2</w:t>
            </w:r>
            <w:r>
              <w:rPr>
                <w:rFonts w:ascii="Times New Roman" w:hAnsi="Times New Roman" w:eastAsia="Times New Roman"/>
                <w:spacing w:val="12"/>
                <w:sz w:val="21"/>
              </w:rPr>
              <w:t xml:space="preserve"> </w:t>
            </w:r>
            <w:r>
              <w:rPr>
                <w:spacing w:val="-4"/>
                <w:sz w:val="21"/>
              </w:rPr>
              <w:t>级或以下。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790" w:type="dxa"/>
          </w:tcPr>
          <w:p>
            <w:pPr>
              <w:pStyle w:val="9"/>
              <w:spacing w:before="122"/>
              <w:ind w:left="50"/>
              <w:rPr>
                <w:rFonts w:ascii="Times New Roman"/>
                <w:sz w:val="21"/>
              </w:rPr>
            </w:pPr>
            <w:r>
              <w:rPr>
                <w:rFonts w:ascii="Times New Roman"/>
                <w:spacing w:val="-2"/>
                <w:sz w:val="21"/>
              </w:rPr>
              <w:t>10.75</w:t>
            </w:r>
          </w:p>
        </w:tc>
        <w:tc>
          <w:tcPr>
            <w:tcW w:w="2132" w:type="dxa"/>
          </w:tcPr>
          <w:p>
            <w:pPr>
              <w:pStyle w:val="9"/>
              <w:spacing w:before="127" w:line="249" w:lineRule="exact"/>
              <w:ind w:left="263"/>
              <w:rPr>
                <w:b/>
                <w:sz w:val="21"/>
              </w:rPr>
            </w:pPr>
            <w:r>
              <w:rPr>
                <w:b/>
                <w:spacing w:val="-2"/>
                <w:sz w:val="21"/>
              </w:rPr>
              <w:t>脊髓血管病后遗症</w:t>
            </w:r>
          </w:p>
        </w:tc>
        <w:tc>
          <w:tcPr>
            <w:tcW w:w="6120" w:type="dxa"/>
          </w:tcPr>
          <w:p>
            <w:pPr>
              <w:pStyle w:val="9"/>
              <w:spacing w:before="127" w:line="249" w:lineRule="exact"/>
              <w:ind w:left="100"/>
              <w:rPr>
                <w:sz w:val="21"/>
              </w:rPr>
            </w:pPr>
            <w:r>
              <w:rPr>
                <w:spacing w:val="-3"/>
                <w:sz w:val="21"/>
              </w:rPr>
              <w:t>指脊髓血管的突发病变引起脊髓梗塞或脊髓出血，导致永久性不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8"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line="248" w:lineRule="exact"/>
              <w:ind w:left="100"/>
              <w:rPr>
                <w:sz w:val="21"/>
              </w:rPr>
            </w:pPr>
            <w:r>
              <w:rPr>
                <w:spacing w:val="-3"/>
                <w:sz w:val="21"/>
              </w:rPr>
              <w:t>可逆的神经系统功能损害，表现为截瘫或四肢瘫。神经系统永久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6" w:line="259" w:lineRule="exact"/>
              <w:ind w:left="100"/>
              <w:rPr>
                <w:sz w:val="21"/>
              </w:rPr>
            </w:pPr>
            <w:r>
              <w:rPr>
                <w:spacing w:val="-6"/>
                <w:sz w:val="21"/>
              </w:rPr>
              <w:t xml:space="preserve">性的功能障碍指疾病确诊 </w:t>
            </w:r>
            <w:r>
              <w:rPr>
                <w:rFonts w:ascii="Times New Roman" w:eastAsia="Times New Roman"/>
                <w:spacing w:val="-2"/>
                <w:sz w:val="21"/>
              </w:rPr>
              <w:t>180</w:t>
            </w:r>
            <w:r>
              <w:rPr>
                <w:rFonts w:ascii="Times New Roman" w:eastAsia="Times New Roman"/>
                <w:spacing w:val="5"/>
                <w:sz w:val="21"/>
              </w:rPr>
              <w:t xml:space="preserve"> </w:t>
            </w:r>
            <w:r>
              <w:rPr>
                <w:spacing w:val="-3"/>
                <w:sz w:val="21"/>
              </w:rPr>
              <w:t>天后，仍然遗留后遗症并且无法独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line="242" w:lineRule="exact"/>
              <w:ind w:left="100"/>
              <w:rPr>
                <w:sz w:val="21"/>
              </w:rPr>
            </w:pPr>
            <w:r>
              <w:rPr>
                <w:spacing w:val="-3"/>
                <w:sz w:val="21"/>
              </w:rPr>
              <w:t>立完成下列基本日常生活活动之一或全部：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numPr>
                <w:ilvl w:val="0"/>
                <w:numId w:val="98"/>
              </w:numPr>
              <w:tabs>
                <w:tab w:val="left" w:pos="630"/>
              </w:tabs>
              <w:spacing w:before="6" w:after="0" w:line="269" w:lineRule="exact"/>
              <w:ind w:left="629" w:right="0" w:hanging="530"/>
              <w:jc w:val="left"/>
              <w:rPr>
                <w:sz w:val="21"/>
              </w:rPr>
            </w:pPr>
            <w:r>
              <w:rPr>
                <w:spacing w:val="-3"/>
                <w:sz w:val="21"/>
              </w:rPr>
              <w:t>移动：自己从一个房间到另一个房间；</w:t>
            </w:r>
          </w:p>
          <w:p>
            <w:pPr>
              <w:pStyle w:val="9"/>
              <w:numPr>
                <w:ilvl w:val="0"/>
                <w:numId w:val="98"/>
              </w:numPr>
              <w:tabs>
                <w:tab w:val="left" w:pos="630"/>
              </w:tabs>
              <w:spacing w:before="0" w:after="0" w:line="240" w:lineRule="auto"/>
              <w:ind w:left="629" w:right="0" w:hanging="530"/>
              <w:jc w:val="left"/>
              <w:rPr>
                <w:sz w:val="21"/>
              </w:rPr>
            </w:pPr>
            <w:r>
              <w:rPr>
                <w:spacing w:val="-3"/>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90" w:type="dxa"/>
          </w:tcPr>
          <w:p>
            <w:pPr>
              <w:pStyle w:val="9"/>
              <w:spacing w:before="122"/>
              <w:ind w:left="50"/>
              <w:rPr>
                <w:rFonts w:ascii="Times New Roman"/>
                <w:sz w:val="21"/>
              </w:rPr>
            </w:pPr>
            <w:r>
              <w:rPr>
                <w:rFonts w:ascii="Times New Roman"/>
                <w:spacing w:val="-2"/>
                <w:sz w:val="21"/>
              </w:rPr>
              <w:t>10.76</w:t>
            </w:r>
          </w:p>
        </w:tc>
        <w:tc>
          <w:tcPr>
            <w:tcW w:w="2132" w:type="dxa"/>
          </w:tcPr>
          <w:p>
            <w:pPr>
              <w:pStyle w:val="9"/>
              <w:spacing w:before="128" w:line="251" w:lineRule="exact"/>
              <w:ind w:left="263"/>
              <w:rPr>
                <w:b/>
                <w:sz w:val="21"/>
              </w:rPr>
            </w:pPr>
            <w:r>
              <w:rPr>
                <w:b/>
                <w:spacing w:val="-3"/>
                <w:sz w:val="21"/>
              </w:rPr>
              <w:t>开颅手术</w:t>
            </w:r>
          </w:p>
        </w:tc>
        <w:tc>
          <w:tcPr>
            <w:tcW w:w="6120" w:type="dxa"/>
          </w:tcPr>
          <w:p>
            <w:pPr>
              <w:pStyle w:val="9"/>
              <w:spacing w:before="128" w:line="251" w:lineRule="exact"/>
              <w:ind w:left="100"/>
              <w:rPr>
                <w:sz w:val="21"/>
              </w:rPr>
            </w:pPr>
            <w:r>
              <w:rPr>
                <w:spacing w:val="-3"/>
                <w:sz w:val="21"/>
              </w:rPr>
              <w:t>指因外伤、颅内肿瘤或脑动脉瘤破裂，被保险人实际接受了在全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line="251" w:lineRule="exact"/>
              <w:ind w:left="100"/>
              <w:rPr>
                <w:sz w:val="21"/>
              </w:rPr>
            </w:pPr>
            <w:r>
              <w:rPr>
                <w:spacing w:val="-3"/>
                <w:sz w:val="21"/>
              </w:rPr>
              <w:t>麻下进行的颅骨切开手术，以清除脑内血肿、切除肿瘤或夹闭破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line="251" w:lineRule="exact"/>
              <w:ind w:left="100"/>
              <w:rPr>
                <w:sz w:val="21"/>
              </w:rPr>
            </w:pPr>
            <w:r>
              <w:rPr>
                <w:spacing w:val="-3"/>
                <w:sz w:val="21"/>
              </w:rPr>
              <w:t>裂动脉瘤的手术治疗。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line="248" w:lineRule="exact"/>
              <w:ind w:left="100"/>
              <w:rPr>
                <w:b/>
                <w:sz w:val="21"/>
              </w:rPr>
            </w:pPr>
            <w:r>
              <w:rPr>
                <w:b/>
                <w:spacing w:val="-3"/>
                <w:sz w:val="21"/>
              </w:rPr>
              <w:t>颅骨打孔手术、硬膜下血肿清除术、未破裂动脉瘤预防性手术、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line="251" w:lineRule="exact"/>
              <w:ind w:left="100"/>
              <w:rPr>
                <w:b/>
                <w:sz w:val="21"/>
              </w:rPr>
            </w:pPr>
            <w:r>
              <w:rPr>
                <w:b/>
                <w:spacing w:val="-3"/>
                <w:sz w:val="21"/>
              </w:rPr>
              <w:t>动脉瘤栓塞手术、血管内手术、颅骨切开或切除减压术、脑积水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3" w:line="251" w:lineRule="exact"/>
              <w:ind w:left="100"/>
              <w:rPr>
                <w:b/>
                <w:sz w:val="21"/>
              </w:rPr>
            </w:pPr>
            <w:r>
              <w:rPr>
                <w:b/>
                <w:spacing w:val="-3"/>
                <w:sz w:val="21"/>
              </w:rPr>
              <w:t>脑脊液分流手术、经蝶骨肿瘤切除术及其他原因的开颅手术不在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ind w:left="100"/>
              <w:rPr>
                <w:b/>
                <w:sz w:val="21"/>
              </w:rPr>
            </w:pPr>
            <w:r>
              <w:rPr>
                <w:b/>
                <w:spacing w:val="-2"/>
                <w:sz w:val="21"/>
              </w:rPr>
              <w:t>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90" w:type="dxa"/>
          </w:tcPr>
          <w:p>
            <w:pPr>
              <w:pStyle w:val="9"/>
              <w:spacing w:before="130"/>
              <w:ind w:left="50"/>
              <w:rPr>
                <w:rFonts w:ascii="Times New Roman"/>
                <w:sz w:val="21"/>
              </w:rPr>
            </w:pPr>
            <w:r>
              <w:rPr>
                <w:rFonts w:ascii="Times New Roman"/>
                <w:spacing w:val="-2"/>
                <w:sz w:val="21"/>
              </w:rPr>
              <w:t>10.77</w:t>
            </w:r>
          </w:p>
        </w:tc>
        <w:tc>
          <w:tcPr>
            <w:tcW w:w="2132" w:type="dxa"/>
          </w:tcPr>
          <w:p>
            <w:pPr>
              <w:pStyle w:val="9"/>
              <w:spacing w:before="135" w:line="248" w:lineRule="exact"/>
              <w:ind w:left="263"/>
              <w:rPr>
                <w:b/>
                <w:sz w:val="21"/>
              </w:rPr>
            </w:pPr>
            <w:r>
              <w:rPr>
                <w:b/>
                <w:spacing w:val="-2"/>
                <w:sz w:val="21"/>
              </w:rPr>
              <w:t>系统性红斑狼疮性</w:t>
            </w:r>
          </w:p>
        </w:tc>
        <w:tc>
          <w:tcPr>
            <w:tcW w:w="6120" w:type="dxa"/>
          </w:tcPr>
          <w:p>
            <w:pPr>
              <w:pStyle w:val="9"/>
              <w:spacing w:before="135" w:line="248" w:lineRule="exact"/>
              <w:ind w:left="100"/>
              <w:rPr>
                <w:sz w:val="21"/>
              </w:rPr>
            </w:pPr>
            <w:r>
              <w:rPr>
                <w:spacing w:val="-3"/>
                <w:sz w:val="21"/>
              </w:rPr>
              <w:t>系统性红斑狼疮是指由多种因素引起、累及多系统的、并导致肾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90" w:type="dxa"/>
          </w:tcPr>
          <w:p>
            <w:pPr>
              <w:pStyle w:val="9"/>
              <w:rPr>
                <w:rFonts w:ascii="Times New Roman"/>
                <w:sz w:val="20"/>
              </w:rPr>
            </w:pPr>
          </w:p>
        </w:tc>
        <w:tc>
          <w:tcPr>
            <w:tcW w:w="2132" w:type="dxa"/>
          </w:tcPr>
          <w:p>
            <w:pPr>
              <w:pStyle w:val="9"/>
              <w:spacing w:before="6" w:line="256" w:lineRule="exact"/>
              <w:ind w:left="263"/>
              <w:rPr>
                <w:b/>
                <w:sz w:val="21"/>
              </w:rPr>
            </w:pPr>
            <w:r>
              <w:rPr>
                <w:b/>
                <w:spacing w:val="-2"/>
                <w:sz w:val="21"/>
              </w:rPr>
              <w:t>肾炎尿毒症</w:t>
            </w:r>
          </w:p>
        </w:tc>
        <w:tc>
          <w:tcPr>
            <w:tcW w:w="6120" w:type="dxa"/>
          </w:tcPr>
          <w:p>
            <w:pPr>
              <w:pStyle w:val="9"/>
              <w:spacing w:before="6" w:line="256" w:lineRule="exact"/>
              <w:ind w:left="100"/>
              <w:rPr>
                <w:sz w:val="21"/>
              </w:rPr>
            </w:pPr>
            <w:r>
              <w:rPr>
                <w:spacing w:val="-2"/>
                <w:sz w:val="21"/>
              </w:rPr>
              <w:t>脏损害的自身免疫性疾病，其诊断须符合世界卫生组织（</w:t>
            </w:r>
            <w:r>
              <w:rPr>
                <w:rFonts w:ascii="Times New Roman" w:eastAsia="Times New Roman"/>
                <w:spacing w:val="-2"/>
                <w:sz w:val="21"/>
              </w:rPr>
              <w:t>WHO</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line="243" w:lineRule="exact"/>
              <w:ind w:left="100"/>
              <w:rPr>
                <w:sz w:val="21"/>
              </w:rPr>
            </w:pPr>
            <w:r>
              <w:rPr>
                <w:spacing w:val="-3"/>
                <w:sz w:val="21"/>
              </w:rPr>
              <w:t>狼疮性肾炎分型诊断标准的Ⅲ至Ⅴ型、经肾脏活组织病理检查证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90" w:type="dxa"/>
          </w:tcPr>
          <w:p>
            <w:pPr>
              <w:pStyle w:val="9"/>
              <w:rPr>
                <w:rFonts w:ascii="Times New Roman"/>
                <w:sz w:val="20"/>
              </w:rPr>
            </w:pPr>
          </w:p>
        </w:tc>
        <w:tc>
          <w:tcPr>
            <w:tcW w:w="2132" w:type="dxa"/>
          </w:tcPr>
          <w:p>
            <w:pPr>
              <w:pStyle w:val="9"/>
              <w:rPr>
                <w:rFonts w:ascii="Times New Roman"/>
                <w:sz w:val="20"/>
              </w:rPr>
            </w:pPr>
          </w:p>
        </w:tc>
        <w:tc>
          <w:tcPr>
            <w:tcW w:w="6120" w:type="dxa"/>
          </w:tcPr>
          <w:p>
            <w:pPr>
              <w:pStyle w:val="9"/>
              <w:spacing w:before="2" w:line="248" w:lineRule="exact"/>
              <w:ind w:left="100"/>
              <w:rPr>
                <w:sz w:val="21"/>
              </w:rPr>
            </w:pPr>
            <w:r>
              <w:rPr>
                <w:spacing w:val="-3"/>
                <w:sz w:val="21"/>
              </w:rPr>
              <w:t>实并由免疫专科医生确认。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90" w:type="dxa"/>
          </w:tcPr>
          <w:p>
            <w:pPr>
              <w:pStyle w:val="9"/>
              <w:rPr>
                <w:rFonts w:ascii="Times New Roman"/>
                <w:sz w:val="18"/>
              </w:rPr>
            </w:pPr>
          </w:p>
        </w:tc>
        <w:tc>
          <w:tcPr>
            <w:tcW w:w="2132" w:type="dxa"/>
          </w:tcPr>
          <w:p>
            <w:pPr>
              <w:pStyle w:val="9"/>
              <w:rPr>
                <w:rFonts w:ascii="Times New Roman"/>
                <w:sz w:val="18"/>
              </w:rPr>
            </w:pPr>
          </w:p>
        </w:tc>
        <w:tc>
          <w:tcPr>
            <w:tcW w:w="6120" w:type="dxa"/>
          </w:tcPr>
          <w:p>
            <w:pPr>
              <w:pStyle w:val="9"/>
              <w:spacing w:before="6" w:line="236" w:lineRule="exact"/>
              <w:ind w:left="100"/>
              <w:rPr>
                <w:rFonts w:ascii="Times New Roman" w:eastAsia="Times New Roman"/>
                <w:sz w:val="21"/>
              </w:rPr>
            </w:pPr>
            <w:r>
              <w:rPr>
                <w:spacing w:val="-2"/>
                <w:sz w:val="21"/>
              </w:rPr>
              <w:t>世界卫生组织（</w:t>
            </w:r>
            <w:r>
              <w:rPr>
                <w:rFonts w:ascii="Times New Roman" w:eastAsia="Times New Roman"/>
                <w:spacing w:val="-2"/>
                <w:sz w:val="21"/>
              </w:rPr>
              <w:t>WHO</w:t>
            </w:r>
            <w:r>
              <w:rPr>
                <w:spacing w:val="-2"/>
                <w:sz w:val="21"/>
              </w:rPr>
              <w:t>）狼疮性肾炎分型</w:t>
            </w:r>
            <w:r>
              <w:rPr>
                <w:rFonts w:ascii="Times New Roman" w:eastAsia="Times New Roman"/>
                <w:spacing w:val="-10"/>
                <w:sz w:val="21"/>
              </w:rPr>
              <w:t>:</w:t>
            </w:r>
          </w:p>
        </w:tc>
      </w:tr>
    </w:tbl>
    <w:p>
      <w:pPr>
        <w:spacing w:after="0" w:line="236" w:lineRule="exact"/>
        <w:rPr>
          <w:rFonts w:ascii="Times New Roman" w:eastAsia="Times New Roman"/>
          <w:sz w:val="21"/>
        </w:rPr>
        <w:sectPr>
          <w:pgSz w:w="11910" w:h="16840"/>
          <w:pgMar w:top="1060" w:right="620" w:bottom="1040" w:left="1480" w:header="0" w:footer="851" w:gutter="0"/>
          <w:cols w:space="720" w:num="1"/>
        </w:sectPr>
      </w:pPr>
    </w:p>
    <w:tbl>
      <w:tblPr>
        <w:tblStyle w:val="5"/>
        <w:tblW w:w="0" w:type="auto"/>
        <w:tblInd w:w="349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47"/>
        <w:gridCol w:w="303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547" w:type="dxa"/>
            <w:tcBorders>
              <w:bottom w:val="single" w:color="000000" w:sz="6" w:space="0"/>
              <w:right w:val="single" w:color="000000" w:sz="6" w:space="0"/>
            </w:tcBorders>
          </w:tcPr>
          <w:p>
            <w:pPr>
              <w:pStyle w:val="9"/>
              <w:spacing w:line="253" w:lineRule="exact"/>
              <w:ind w:left="326"/>
              <w:rPr>
                <w:sz w:val="21"/>
              </w:rPr>
            </w:pPr>
            <w:r>
              <w:rPr>
                <w:spacing w:val="-2"/>
                <w:sz w:val="21"/>
              </w:rPr>
              <w:t>Ⅰ型（微小病变型</w:t>
            </w:r>
            <w:r>
              <w:rPr>
                <w:spacing w:val="-10"/>
                <w:sz w:val="21"/>
              </w:rPr>
              <w:t>）</w:t>
            </w:r>
          </w:p>
        </w:tc>
        <w:tc>
          <w:tcPr>
            <w:tcW w:w="3037" w:type="dxa"/>
            <w:tcBorders>
              <w:left w:val="single" w:color="000000" w:sz="6" w:space="0"/>
              <w:bottom w:val="single" w:color="000000" w:sz="6" w:space="0"/>
            </w:tcBorders>
          </w:tcPr>
          <w:p>
            <w:pPr>
              <w:pStyle w:val="9"/>
              <w:spacing w:line="253" w:lineRule="exact"/>
              <w:ind w:left="155" w:right="129"/>
              <w:jc w:val="center"/>
              <w:rPr>
                <w:sz w:val="21"/>
              </w:rPr>
            </w:pPr>
            <w:r>
              <w:rPr>
                <w:spacing w:val="-3"/>
                <w:sz w:val="21"/>
              </w:rPr>
              <w:t>镜下阴性，尿液正常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547" w:type="dxa"/>
            <w:tcBorders>
              <w:top w:val="single" w:color="000000" w:sz="6" w:space="0"/>
              <w:bottom w:val="single" w:color="000000" w:sz="6" w:space="0"/>
              <w:right w:val="single" w:color="000000" w:sz="6" w:space="0"/>
            </w:tcBorders>
          </w:tcPr>
          <w:p>
            <w:pPr>
              <w:pStyle w:val="9"/>
              <w:spacing w:line="253" w:lineRule="exact"/>
              <w:ind w:left="326"/>
              <w:rPr>
                <w:sz w:val="21"/>
              </w:rPr>
            </w:pPr>
            <w:r>
              <w:rPr>
                <w:spacing w:val="-2"/>
                <w:sz w:val="21"/>
              </w:rPr>
              <w:t>Ⅱ型（系膜病变型</w:t>
            </w:r>
            <w:r>
              <w:rPr>
                <w:spacing w:val="-10"/>
                <w:sz w:val="21"/>
              </w:rPr>
              <w:t>）</w:t>
            </w:r>
          </w:p>
        </w:tc>
        <w:tc>
          <w:tcPr>
            <w:tcW w:w="3037" w:type="dxa"/>
            <w:tcBorders>
              <w:top w:val="single" w:color="000000" w:sz="6" w:space="0"/>
              <w:left w:val="single" w:color="000000" w:sz="6" w:space="0"/>
              <w:bottom w:val="single" w:color="000000" w:sz="6" w:space="0"/>
            </w:tcBorders>
          </w:tcPr>
          <w:p>
            <w:pPr>
              <w:pStyle w:val="9"/>
              <w:spacing w:line="253" w:lineRule="exact"/>
              <w:ind w:left="159" w:right="129"/>
              <w:jc w:val="center"/>
              <w:rPr>
                <w:sz w:val="21"/>
              </w:rPr>
            </w:pPr>
            <w:r>
              <w:rPr>
                <w:spacing w:val="-3"/>
                <w:sz w:val="21"/>
              </w:rPr>
              <w:t>中度蛋白尿，偶有尿沉渣改变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3" w:hRule="atLeast"/>
        </w:trPr>
        <w:tc>
          <w:tcPr>
            <w:tcW w:w="2547" w:type="dxa"/>
            <w:tcBorders>
              <w:top w:val="single" w:color="000000" w:sz="6" w:space="0"/>
              <w:bottom w:val="single" w:color="000000" w:sz="6" w:space="0"/>
              <w:right w:val="single" w:color="000000" w:sz="6" w:space="0"/>
            </w:tcBorders>
          </w:tcPr>
          <w:p>
            <w:pPr>
              <w:pStyle w:val="9"/>
              <w:spacing w:line="253" w:lineRule="exact"/>
              <w:ind w:left="105" w:right="-29"/>
              <w:rPr>
                <w:sz w:val="21"/>
              </w:rPr>
            </w:pPr>
            <w:r>
              <w:rPr>
                <w:spacing w:val="-42"/>
                <w:sz w:val="21"/>
              </w:rPr>
              <w:t>Ⅲ型</w:t>
            </w:r>
            <w:r>
              <w:rPr>
                <w:spacing w:val="-2"/>
                <w:sz w:val="21"/>
              </w:rPr>
              <w:t>（局灶及节段增生型</w:t>
            </w:r>
            <w:r>
              <w:rPr>
                <w:spacing w:val="-10"/>
                <w:sz w:val="21"/>
              </w:rPr>
              <w:t>）</w:t>
            </w:r>
          </w:p>
        </w:tc>
        <w:tc>
          <w:tcPr>
            <w:tcW w:w="3037" w:type="dxa"/>
            <w:tcBorders>
              <w:top w:val="single" w:color="000000" w:sz="6" w:space="0"/>
              <w:left w:val="single" w:color="000000" w:sz="6" w:space="0"/>
              <w:bottom w:val="single" w:color="000000" w:sz="6" w:space="0"/>
            </w:tcBorders>
          </w:tcPr>
          <w:p>
            <w:pPr>
              <w:pStyle w:val="9"/>
              <w:spacing w:line="253" w:lineRule="exact"/>
              <w:ind w:left="155" w:right="129"/>
              <w:jc w:val="center"/>
              <w:rPr>
                <w:sz w:val="21"/>
              </w:rPr>
            </w:pPr>
            <w:r>
              <w:rPr>
                <w:spacing w:val="-3"/>
                <w:sz w:val="21"/>
              </w:rPr>
              <w:t>蛋白尿，尿沉渣改变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2" w:hRule="atLeast"/>
        </w:trPr>
        <w:tc>
          <w:tcPr>
            <w:tcW w:w="2547" w:type="dxa"/>
            <w:tcBorders>
              <w:top w:val="single" w:color="000000" w:sz="6" w:space="0"/>
              <w:bottom w:val="single" w:color="000000" w:sz="6" w:space="0"/>
              <w:right w:val="single" w:color="000000" w:sz="6" w:space="0"/>
            </w:tcBorders>
          </w:tcPr>
          <w:p>
            <w:pPr>
              <w:pStyle w:val="9"/>
              <w:spacing w:before="125"/>
              <w:ind w:left="326"/>
              <w:rPr>
                <w:sz w:val="21"/>
              </w:rPr>
            </w:pPr>
            <w:r>
              <w:rPr>
                <w:spacing w:val="-2"/>
                <w:sz w:val="21"/>
              </w:rPr>
              <w:t>Ⅳ型（弥漫增生型</w:t>
            </w:r>
            <w:r>
              <w:rPr>
                <w:spacing w:val="-10"/>
                <w:sz w:val="21"/>
              </w:rPr>
              <w:t>）</w:t>
            </w:r>
          </w:p>
        </w:tc>
        <w:tc>
          <w:tcPr>
            <w:tcW w:w="3037" w:type="dxa"/>
            <w:tcBorders>
              <w:top w:val="single" w:color="000000" w:sz="6" w:space="0"/>
              <w:left w:val="single" w:color="000000" w:sz="6" w:space="0"/>
              <w:bottom w:val="single" w:color="000000" w:sz="6" w:space="0"/>
            </w:tcBorders>
          </w:tcPr>
          <w:p>
            <w:pPr>
              <w:pStyle w:val="9"/>
              <w:spacing w:line="260" w:lineRule="exact"/>
              <w:ind w:left="159" w:right="129"/>
              <w:jc w:val="center"/>
              <w:rPr>
                <w:sz w:val="21"/>
              </w:rPr>
            </w:pPr>
            <w:r>
              <w:rPr>
                <w:spacing w:val="-3"/>
                <w:sz w:val="21"/>
              </w:rPr>
              <w:t>急性肾炎伴有尿沉渣改变及／</w:t>
            </w:r>
          </w:p>
          <w:p>
            <w:pPr>
              <w:pStyle w:val="9"/>
              <w:spacing w:before="5" w:line="257" w:lineRule="exact"/>
              <w:ind w:left="155" w:right="129"/>
              <w:jc w:val="center"/>
              <w:rPr>
                <w:sz w:val="21"/>
              </w:rPr>
            </w:pPr>
            <w:r>
              <w:rPr>
                <w:spacing w:val="-4"/>
                <w:sz w:val="21"/>
              </w:rPr>
              <w:t>或肾病综合征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2547" w:type="dxa"/>
            <w:tcBorders>
              <w:top w:val="single" w:color="000000" w:sz="6" w:space="0"/>
              <w:right w:val="single" w:color="000000" w:sz="6" w:space="0"/>
            </w:tcBorders>
          </w:tcPr>
          <w:p>
            <w:pPr>
              <w:pStyle w:val="9"/>
              <w:spacing w:line="258" w:lineRule="exact"/>
              <w:ind w:left="643"/>
              <w:rPr>
                <w:sz w:val="21"/>
              </w:rPr>
            </w:pPr>
            <w:r>
              <w:rPr>
                <w:spacing w:val="-2"/>
                <w:sz w:val="21"/>
              </w:rPr>
              <w:t>Ⅴ型（膜型</w:t>
            </w:r>
            <w:r>
              <w:rPr>
                <w:spacing w:val="-10"/>
                <w:sz w:val="21"/>
              </w:rPr>
              <w:t>）</w:t>
            </w:r>
          </w:p>
        </w:tc>
        <w:tc>
          <w:tcPr>
            <w:tcW w:w="3037" w:type="dxa"/>
            <w:tcBorders>
              <w:top w:val="single" w:color="000000" w:sz="6" w:space="0"/>
              <w:left w:val="single" w:color="000000" w:sz="6" w:space="0"/>
            </w:tcBorders>
          </w:tcPr>
          <w:p>
            <w:pPr>
              <w:pStyle w:val="9"/>
              <w:spacing w:line="258" w:lineRule="exact"/>
              <w:ind w:left="159" w:right="129"/>
              <w:jc w:val="center"/>
              <w:rPr>
                <w:sz w:val="21"/>
              </w:rPr>
            </w:pPr>
            <w:r>
              <w:rPr>
                <w:spacing w:val="-3"/>
                <w:sz w:val="21"/>
              </w:rPr>
              <w:t>肾病综合征或重度蛋白尿</w:t>
            </w:r>
          </w:p>
        </w:tc>
      </w:tr>
    </w:tbl>
    <w:p>
      <w:pPr>
        <w:spacing w:before="0" w:line="240" w:lineRule="auto"/>
        <w:ind w:left="3307" w:right="617" w:firstLine="0"/>
        <w:jc w:val="left"/>
        <w:rPr>
          <w:b/>
          <w:sz w:val="21"/>
        </w:rPr>
      </w:pPr>
      <w:r>
        <w:rPr>
          <w:b/>
          <w:spacing w:val="-2"/>
          <w:sz w:val="21"/>
        </w:rPr>
        <w:t>不包括仅累及血液及关节的狼疮或其他类型的红斑性狼疮（如盘</w:t>
      </w:r>
      <w:r>
        <w:rPr>
          <w:b/>
          <w:spacing w:val="-4"/>
          <w:sz w:val="21"/>
        </w:rPr>
        <w:t>状狼疮</w:t>
      </w:r>
      <w:r>
        <w:rPr>
          <w:b/>
          <w:spacing w:val="-106"/>
          <w:sz w:val="21"/>
        </w:rPr>
        <w:t>）</w:t>
      </w:r>
      <w:r>
        <w:rPr>
          <w:b/>
          <w:spacing w:val="-4"/>
          <w:sz w:val="21"/>
        </w:rPr>
        <w:t>。</w:t>
      </w:r>
    </w:p>
    <w:p>
      <w:pPr>
        <w:pStyle w:val="3"/>
        <w:spacing w:before="12"/>
        <w:rPr>
          <w:b/>
          <w:sz w:val="10"/>
        </w:rPr>
      </w:pPr>
    </w:p>
    <w:p>
      <w:pPr>
        <w:spacing w:after="0"/>
        <w:rPr>
          <w:sz w:val="10"/>
        </w:rPr>
        <w:sectPr>
          <w:type w:val="continuous"/>
          <w:pgSz w:w="11910" w:h="16840"/>
          <w:pgMar w:top="1120" w:right="620" w:bottom="1040" w:left="1480" w:header="0" w:footer="851" w:gutter="0"/>
          <w:cols w:space="720" w:num="1"/>
        </w:sectPr>
      </w:pPr>
    </w:p>
    <w:p>
      <w:pPr>
        <w:pStyle w:val="8"/>
        <w:numPr>
          <w:ilvl w:val="1"/>
          <w:numId w:val="99"/>
        </w:numPr>
        <w:tabs>
          <w:tab w:val="left" w:pos="1338"/>
          <w:tab w:val="left" w:pos="1339"/>
        </w:tabs>
        <w:spacing w:before="91" w:after="0" w:line="240" w:lineRule="auto"/>
        <w:ind w:left="1338" w:right="0" w:hanging="1005"/>
        <w:jc w:val="left"/>
        <w:rPr>
          <w:b/>
          <w:sz w:val="21"/>
        </w:rPr>
      </w:pPr>
      <w:r>
        <w:rPr>
          <w:b/>
          <w:spacing w:val="-2"/>
          <w:sz w:val="21"/>
        </w:rPr>
        <w:t>Ⅰ型糖尿病严重并</w:t>
      </w:r>
    </w:p>
    <w:p>
      <w:pPr>
        <w:spacing w:before="5"/>
        <w:ind w:left="1338" w:right="0" w:firstLine="0"/>
        <w:jc w:val="left"/>
        <w:rPr>
          <w:b/>
          <w:sz w:val="21"/>
        </w:rPr>
      </w:pPr>
      <w:r>
        <w:rPr>
          <w:b/>
          <w:spacing w:val="-5"/>
          <w:sz w:val="21"/>
        </w:rPr>
        <w:t>发症</w:t>
      </w:r>
    </w:p>
    <w:p>
      <w:pPr>
        <w:pStyle w:val="3"/>
        <w:spacing w:before="97" w:line="242" w:lineRule="auto"/>
        <w:ind w:left="162" w:right="618"/>
        <w:jc w:val="both"/>
      </w:pPr>
      <w:r>
        <w:br w:type="column"/>
      </w:r>
      <w:r>
        <w:rPr>
          <w:spacing w:val="3"/>
          <w:w w:val="100"/>
        </w:rPr>
        <w:t>Ⅰ型糖尿病的特征为由于胰岛素分泌绝对不足引起严重胰岛素</w:t>
      </w:r>
      <w:r>
        <w:rPr>
          <w:spacing w:val="-6"/>
          <w:w w:val="100"/>
        </w:rPr>
        <w:t>缺乏导致慢性血糖升高，需要依赖外源性胰岛素进行机体的葡萄糖代谢和维持生命。被保险人的Ⅰ型糖尿病必须明确诊断，而且</w:t>
      </w:r>
      <w:r>
        <w:rPr>
          <w:spacing w:val="-1"/>
          <w:w w:val="100"/>
        </w:rPr>
        <w:t>有血胰岛素测定及血</w:t>
      </w:r>
      <w:r>
        <w:rPr>
          <w:spacing w:val="-52"/>
        </w:rPr>
        <w:t xml:space="preserve"> </w:t>
      </w:r>
      <w:r>
        <w:rPr>
          <w:rFonts w:ascii="Times New Roman" w:hAnsi="Times New Roman" w:eastAsia="Times New Roman"/>
          <w:w w:val="100"/>
        </w:rPr>
        <w:t>C</w:t>
      </w:r>
      <w:r>
        <w:rPr>
          <w:rFonts w:ascii="Times New Roman" w:hAnsi="Times New Roman" w:eastAsia="Times New Roman"/>
          <w:spacing w:val="-7"/>
        </w:rPr>
        <w:t xml:space="preserve"> </w:t>
      </w:r>
      <w:r>
        <w:rPr>
          <w:w w:val="100"/>
        </w:rPr>
        <w:t>肽或尿</w:t>
      </w:r>
      <w:r>
        <w:rPr>
          <w:spacing w:val="-53"/>
        </w:rPr>
        <w:t xml:space="preserve"> </w:t>
      </w:r>
      <w:r>
        <w:rPr>
          <w:rFonts w:ascii="Times New Roman" w:hAnsi="Times New Roman" w:eastAsia="Times New Roman"/>
          <w:w w:val="100"/>
        </w:rPr>
        <w:t>C</w:t>
      </w:r>
      <w:r>
        <w:rPr>
          <w:rFonts w:ascii="Times New Roman" w:hAnsi="Times New Roman" w:eastAsia="Times New Roman"/>
          <w:spacing w:val="-2"/>
        </w:rPr>
        <w:t xml:space="preserve"> </w:t>
      </w:r>
      <w:r>
        <w:rPr>
          <w:spacing w:val="-12"/>
          <w:w w:val="100"/>
        </w:rPr>
        <w:t>肽测定结果支持诊断，并且满足</w:t>
      </w:r>
      <w:r>
        <w:rPr>
          <w:spacing w:val="-1"/>
          <w:w w:val="100"/>
        </w:rPr>
        <w:t>下列所有条件：</w:t>
      </w:r>
    </w:p>
    <w:p>
      <w:pPr>
        <w:pStyle w:val="8"/>
        <w:numPr>
          <w:ilvl w:val="0"/>
          <w:numId w:val="100"/>
        </w:numPr>
        <w:tabs>
          <w:tab w:val="left" w:pos="692"/>
        </w:tabs>
        <w:spacing w:before="5" w:after="0" w:line="240" w:lineRule="auto"/>
        <w:ind w:left="691" w:right="0" w:hanging="530"/>
        <w:jc w:val="left"/>
        <w:rPr>
          <w:sz w:val="21"/>
        </w:rPr>
      </w:pPr>
      <w:r>
        <w:rPr>
          <w:spacing w:val="-4"/>
          <w:sz w:val="21"/>
        </w:rPr>
        <w:t xml:space="preserve">已经持续性地接受外源性胰岛素注射治疗连续 </w:t>
      </w:r>
      <w:r>
        <w:rPr>
          <w:rFonts w:ascii="Times New Roman" w:eastAsia="Times New Roman"/>
          <w:spacing w:val="-2"/>
          <w:sz w:val="21"/>
        </w:rPr>
        <w:t>180</w:t>
      </w:r>
      <w:r>
        <w:rPr>
          <w:rFonts w:ascii="Times New Roman" w:eastAsia="Times New Roman"/>
          <w:spacing w:val="11"/>
          <w:sz w:val="21"/>
        </w:rPr>
        <w:t xml:space="preserve"> </w:t>
      </w:r>
      <w:r>
        <w:rPr>
          <w:spacing w:val="-4"/>
          <w:sz w:val="21"/>
        </w:rPr>
        <w:t>天以上；</w:t>
      </w:r>
    </w:p>
    <w:p>
      <w:pPr>
        <w:pStyle w:val="8"/>
        <w:numPr>
          <w:ilvl w:val="0"/>
          <w:numId w:val="100"/>
        </w:numPr>
        <w:tabs>
          <w:tab w:val="left" w:pos="692"/>
        </w:tabs>
        <w:spacing w:before="5" w:after="0" w:line="240" w:lineRule="auto"/>
        <w:ind w:left="691" w:right="0" w:hanging="530"/>
        <w:jc w:val="left"/>
        <w:rPr>
          <w:sz w:val="21"/>
        </w:rPr>
      </w:pPr>
      <w:r>
        <w:rPr>
          <w:spacing w:val="-3"/>
          <w:sz w:val="21"/>
        </w:rPr>
        <w:t>因需要已经接受了下列治疗项目之一或全部：</w:t>
      </w:r>
    </w:p>
    <w:p>
      <w:pPr>
        <w:pStyle w:val="3"/>
        <w:ind w:left="584"/>
      </w:pPr>
      <w:r>
        <w:rPr>
          <w:spacing w:val="-3"/>
        </w:rPr>
        <w:t>①因严重心律失常植入了心脏起搏器；</w:t>
      </w:r>
    </w:p>
    <w:p>
      <w:pPr>
        <w:pStyle w:val="3"/>
        <w:spacing w:before="4"/>
        <w:ind w:left="584"/>
      </w:pPr>
      <w:r>
        <w:rPr>
          <w:spacing w:val="-3"/>
        </w:rPr>
        <w:t>②因坏疽自跖趾关节或以上切除了一趾或多趾。</w:t>
      </w:r>
    </w:p>
    <w:p>
      <w:pPr>
        <w:spacing w:after="0"/>
        <w:sectPr>
          <w:type w:val="continuous"/>
          <w:pgSz w:w="11910" w:h="16840"/>
          <w:pgMar w:top="320" w:right="620" w:bottom="280" w:left="1480" w:header="0" w:footer="851" w:gutter="0"/>
          <w:cols w:equalWidth="0" w:num="2">
            <w:col w:w="3106" w:space="40"/>
            <w:col w:w="6664"/>
          </w:cols>
        </w:sectPr>
      </w:pPr>
    </w:p>
    <w:p>
      <w:pPr>
        <w:pStyle w:val="3"/>
        <w:spacing w:before="7"/>
        <w:rPr>
          <w:sz w:val="11"/>
        </w:rPr>
      </w:pPr>
    </w:p>
    <w:p>
      <w:pPr>
        <w:pStyle w:val="8"/>
        <w:numPr>
          <w:ilvl w:val="1"/>
          <w:numId w:val="99"/>
        </w:numPr>
        <w:tabs>
          <w:tab w:val="left" w:pos="1338"/>
          <w:tab w:val="left" w:pos="1339"/>
          <w:tab w:val="left" w:pos="3307"/>
        </w:tabs>
        <w:spacing w:before="91" w:after="0" w:line="240" w:lineRule="auto"/>
        <w:ind w:left="1338" w:right="0" w:hanging="1005"/>
        <w:jc w:val="left"/>
        <w:rPr>
          <w:sz w:val="21"/>
        </w:rPr>
      </w:pPr>
      <w:r>
        <w:rPr>
          <w:b/>
          <w:sz w:val="21"/>
        </w:rPr>
        <w:t>席汉氏综合</w:t>
      </w:r>
      <w:r>
        <w:rPr>
          <w:b/>
          <w:spacing w:val="-10"/>
          <w:sz w:val="21"/>
        </w:rPr>
        <w:t>征</w:t>
      </w:r>
      <w:r>
        <w:rPr>
          <w:b/>
          <w:sz w:val="21"/>
        </w:rPr>
        <w:tab/>
      </w:r>
      <w:r>
        <w:rPr>
          <w:spacing w:val="-2"/>
          <w:sz w:val="21"/>
        </w:rPr>
        <w:t>指因产后大出血并发休克、全身循环衰竭、弥漫性血管内凝血</w:t>
      </w:r>
      <w:r>
        <w:rPr>
          <w:spacing w:val="-10"/>
          <w:sz w:val="21"/>
        </w:rPr>
        <w:t>导</w:t>
      </w:r>
    </w:p>
    <w:p>
      <w:pPr>
        <w:pStyle w:val="3"/>
        <w:spacing w:before="5" w:line="244" w:lineRule="auto"/>
        <w:ind w:left="3307" w:right="619"/>
      </w:pPr>
      <w:r>
        <w:rPr>
          <w:spacing w:val="-2"/>
        </w:rPr>
        <w:t>致脑垂体缺血坏死和垂体分泌激素不足，造成性腺、甲状腺、肾上腺皮质功能减退。必须满足下列所有条件：</w:t>
      </w:r>
    </w:p>
    <w:p>
      <w:pPr>
        <w:pStyle w:val="8"/>
        <w:numPr>
          <w:ilvl w:val="2"/>
          <w:numId w:val="99"/>
        </w:numPr>
        <w:tabs>
          <w:tab w:val="left" w:pos="3837"/>
        </w:tabs>
        <w:spacing w:before="0" w:after="0" w:line="263" w:lineRule="exact"/>
        <w:ind w:left="3836" w:right="0" w:hanging="530"/>
        <w:jc w:val="left"/>
        <w:rPr>
          <w:sz w:val="21"/>
        </w:rPr>
      </w:pPr>
      <w:r>
        <w:rPr>
          <w:spacing w:val="-3"/>
          <w:sz w:val="21"/>
        </w:rPr>
        <w:t>产后大出血休克病史；</w:t>
      </w:r>
    </w:p>
    <w:p>
      <w:pPr>
        <w:pStyle w:val="8"/>
        <w:numPr>
          <w:ilvl w:val="2"/>
          <w:numId w:val="99"/>
        </w:numPr>
        <w:tabs>
          <w:tab w:val="left" w:pos="3837"/>
        </w:tabs>
        <w:spacing w:before="4" w:after="0" w:line="240" w:lineRule="auto"/>
        <w:ind w:left="3836" w:right="0" w:hanging="530"/>
        <w:jc w:val="left"/>
        <w:rPr>
          <w:sz w:val="21"/>
        </w:rPr>
      </w:pPr>
      <w:r>
        <w:rPr>
          <w:spacing w:val="-2"/>
          <w:sz w:val="21"/>
        </w:rPr>
        <w:t>严重腺垂体功能破坏，破坏程度</w:t>
      </w:r>
      <w:r>
        <w:rPr>
          <w:rFonts w:ascii="Times New Roman" w:eastAsia="Times New Roman"/>
          <w:spacing w:val="-2"/>
          <w:sz w:val="21"/>
        </w:rPr>
        <w:t>&gt;95%</w:t>
      </w:r>
      <w:r>
        <w:rPr>
          <w:spacing w:val="-4"/>
          <w:sz w:val="21"/>
        </w:rPr>
        <w:t>，临床症状严重；</w:t>
      </w:r>
    </w:p>
    <w:p>
      <w:pPr>
        <w:pStyle w:val="8"/>
        <w:numPr>
          <w:ilvl w:val="2"/>
          <w:numId w:val="99"/>
        </w:numPr>
        <w:tabs>
          <w:tab w:val="left" w:pos="3837"/>
        </w:tabs>
        <w:spacing w:before="5" w:after="0" w:line="240" w:lineRule="auto"/>
        <w:ind w:left="3836" w:right="0" w:hanging="530"/>
        <w:jc w:val="left"/>
        <w:rPr>
          <w:sz w:val="21"/>
        </w:rPr>
      </w:pPr>
      <w:r>
        <w:rPr>
          <w:spacing w:val="-3"/>
          <w:sz w:val="21"/>
        </w:rPr>
        <w:t>影像学检查显示脑垂体严重萎缩或消失；</w:t>
      </w:r>
    </w:p>
    <w:p>
      <w:pPr>
        <w:pStyle w:val="8"/>
        <w:numPr>
          <w:ilvl w:val="2"/>
          <w:numId w:val="99"/>
        </w:numPr>
        <w:tabs>
          <w:tab w:val="left" w:pos="3837"/>
        </w:tabs>
        <w:spacing w:before="4" w:after="0" w:line="269" w:lineRule="exact"/>
        <w:ind w:left="3836" w:right="0" w:hanging="530"/>
        <w:jc w:val="left"/>
        <w:rPr>
          <w:sz w:val="21"/>
        </w:rPr>
      </w:pPr>
      <w:r>
        <w:rPr>
          <w:spacing w:val="-4"/>
          <w:sz w:val="21"/>
        </w:rPr>
        <w:t>实验室检查显示：</w:t>
      </w:r>
    </w:p>
    <w:p>
      <w:pPr>
        <w:pStyle w:val="3"/>
        <w:spacing w:line="244" w:lineRule="auto"/>
        <w:ind w:left="3725" w:right="619"/>
      </w:pPr>
      <w:r>
        <w:rPr>
          <w:spacing w:val="-2"/>
        </w:rPr>
        <w:t>①垂体前叶激素全面低下（包括生长激素、促甲状腺素、促肾上腺皮质激素、卵泡刺激素和黄体生成素</w:t>
      </w:r>
      <w:r>
        <w:rPr>
          <w:spacing w:val="-106"/>
        </w:rPr>
        <w:t>）</w:t>
      </w:r>
      <w:r>
        <w:rPr>
          <w:spacing w:val="-4"/>
        </w:rPr>
        <w:t>；和</w:t>
      </w:r>
    </w:p>
    <w:p>
      <w:pPr>
        <w:pStyle w:val="3"/>
        <w:spacing w:line="268" w:lineRule="exact"/>
        <w:ind w:left="3725"/>
      </w:pPr>
      <w:r>
        <w:rPr>
          <w:spacing w:val="-3"/>
        </w:rPr>
        <w:t>②性激素、甲状腺素、肾上腺皮质激素全面低下。</w:t>
      </w:r>
    </w:p>
    <w:p>
      <w:pPr>
        <w:pStyle w:val="8"/>
        <w:numPr>
          <w:ilvl w:val="2"/>
          <w:numId w:val="99"/>
        </w:numPr>
        <w:tabs>
          <w:tab w:val="left" w:pos="3847"/>
        </w:tabs>
        <w:spacing w:before="5" w:after="0" w:line="240" w:lineRule="auto"/>
        <w:ind w:left="3830" w:right="619" w:hanging="524"/>
        <w:jc w:val="left"/>
        <w:rPr>
          <w:sz w:val="21"/>
        </w:rPr>
      </w:pPr>
      <w:r>
        <w:rPr>
          <w:spacing w:val="-2"/>
          <w:sz w:val="21"/>
        </w:rPr>
        <w:t>需要终身激素替代治疗以维持身体功能，持续服用各种替代激素超过一年。</w:t>
      </w:r>
    </w:p>
    <w:p>
      <w:pPr>
        <w:spacing w:before="4" w:line="244" w:lineRule="auto"/>
        <w:ind w:left="3307" w:right="629" w:firstLine="0"/>
        <w:jc w:val="left"/>
        <w:rPr>
          <w:b/>
          <w:sz w:val="21"/>
        </w:rPr>
      </w:pPr>
      <w:r>
        <w:rPr>
          <w:b/>
          <w:spacing w:val="3"/>
          <w:w w:val="100"/>
          <w:sz w:val="21"/>
        </w:rPr>
        <w:t>垂体功能部分低下及其他原因所致垂体功能低下不在保障范围内。</w:t>
      </w:r>
    </w:p>
    <w:p>
      <w:pPr>
        <w:pStyle w:val="3"/>
        <w:spacing w:before="2"/>
        <w:rPr>
          <w:b/>
          <w:sz w:val="18"/>
        </w:rPr>
      </w:pPr>
    </w:p>
    <w:p>
      <w:pPr>
        <w:pStyle w:val="8"/>
        <w:numPr>
          <w:ilvl w:val="1"/>
          <w:numId w:val="99"/>
        </w:numPr>
        <w:tabs>
          <w:tab w:val="left" w:pos="1338"/>
          <w:tab w:val="left" w:pos="1339"/>
          <w:tab w:val="left" w:pos="3307"/>
        </w:tabs>
        <w:spacing w:before="0" w:after="0" w:line="240" w:lineRule="auto"/>
        <w:ind w:left="1338" w:right="0" w:hanging="1005"/>
        <w:jc w:val="left"/>
        <w:rPr>
          <w:sz w:val="21"/>
        </w:rPr>
      </w:pPr>
      <w:r>
        <w:rPr>
          <w:b/>
          <w:sz w:val="21"/>
        </w:rPr>
        <w:t>严重强直性脊柱</w:t>
      </w:r>
      <w:r>
        <w:rPr>
          <w:b/>
          <w:spacing w:val="-10"/>
          <w:sz w:val="21"/>
        </w:rPr>
        <w:t>炎</w:t>
      </w:r>
      <w:r>
        <w:rPr>
          <w:b/>
          <w:sz w:val="21"/>
        </w:rPr>
        <w:tab/>
      </w:r>
      <w:r>
        <w:rPr>
          <w:spacing w:val="-2"/>
          <w:sz w:val="21"/>
        </w:rPr>
        <w:t>强直性脊柱炎是一种慢性全身性炎性疾病，主要侵犯脊柱导致</w:t>
      </w:r>
      <w:r>
        <w:rPr>
          <w:spacing w:val="-10"/>
          <w:sz w:val="21"/>
        </w:rPr>
        <w:t>脊</w:t>
      </w:r>
    </w:p>
    <w:p>
      <w:pPr>
        <w:pStyle w:val="3"/>
        <w:spacing w:before="5" w:line="269" w:lineRule="exact"/>
        <w:ind w:left="3307"/>
      </w:pPr>
      <w:r>
        <w:rPr>
          <w:spacing w:val="-3"/>
        </w:rPr>
        <w:t>柱畸形。强直性脊柱炎必须明确诊断并且满足下列所有条件：</w:t>
      </w:r>
    </w:p>
    <w:p>
      <w:pPr>
        <w:pStyle w:val="8"/>
        <w:numPr>
          <w:ilvl w:val="0"/>
          <w:numId w:val="101"/>
        </w:numPr>
        <w:tabs>
          <w:tab w:val="left" w:pos="3837"/>
        </w:tabs>
        <w:spacing w:before="0" w:after="0" w:line="240" w:lineRule="auto"/>
        <w:ind w:left="3836" w:right="0" w:hanging="530"/>
        <w:jc w:val="left"/>
        <w:rPr>
          <w:sz w:val="21"/>
        </w:rPr>
      </w:pPr>
      <w:r>
        <w:rPr>
          <w:spacing w:val="-4"/>
          <w:sz w:val="21"/>
        </w:rPr>
        <w:t>严重脊柱畸形；</w:t>
      </w:r>
    </w:p>
    <w:p>
      <w:pPr>
        <w:pStyle w:val="8"/>
        <w:numPr>
          <w:ilvl w:val="0"/>
          <w:numId w:val="101"/>
        </w:numPr>
        <w:tabs>
          <w:tab w:val="left" w:pos="3847"/>
        </w:tabs>
        <w:spacing w:before="4" w:after="0" w:line="244" w:lineRule="auto"/>
        <w:ind w:left="3830" w:right="621" w:hanging="524"/>
        <w:jc w:val="left"/>
        <w:rPr>
          <w:sz w:val="21"/>
        </w:rPr>
      </w:pPr>
      <w:r>
        <w:rPr>
          <w:spacing w:val="-2"/>
          <w:sz w:val="21"/>
        </w:rPr>
        <w:t>自主生活能力完全丧失，无法独立完成六项基本日常生活活动中的三项或三项以上。</w:t>
      </w:r>
    </w:p>
    <w:p>
      <w:pPr>
        <w:pStyle w:val="3"/>
        <w:spacing w:before="2"/>
        <w:rPr>
          <w:sz w:val="18"/>
        </w:rPr>
      </w:pPr>
    </w:p>
    <w:p>
      <w:pPr>
        <w:pStyle w:val="8"/>
        <w:numPr>
          <w:ilvl w:val="1"/>
          <w:numId w:val="99"/>
        </w:numPr>
        <w:tabs>
          <w:tab w:val="left" w:pos="1338"/>
          <w:tab w:val="left" w:pos="1339"/>
          <w:tab w:val="left" w:pos="3307"/>
        </w:tabs>
        <w:spacing w:before="0" w:after="0" w:line="240" w:lineRule="auto"/>
        <w:ind w:left="1338" w:right="0" w:hanging="1005"/>
        <w:jc w:val="left"/>
        <w:rPr>
          <w:sz w:val="21"/>
        </w:rPr>
      </w:pPr>
      <w:r>
        <w:rPr>
          <w:b/>
          <w:sz w:val="21"/>
        </w:rPr>
        <w:t>肾髓质囊性</w:t>
      </w:r>
      <w:r>
        <w:rPr>
          <w:b/>
          <w:spacing w:val="-10"/>
          <w:sz w:val="21"/>
        </w:rPr>
        <w:t>病</w:t>
      </w:r>
      <w:r>
        <w:rPr>
          <w:b/>
          <w:sz w:val="21"/>
        </w:rPr>
        <w:tab/>
      </w:r>
      <w:r>
        <w:rPr>
          <w:spacing w:val="-2"/>
          <w:sz w:val="21"/>
        </w:rPr>
        <w:t>肾髓质囊性病是一种遗传性肾脏疾病，特点为肾髓质多发大小</w:t>
      </w:r>
      <w:r>
        <w:rPr>
          <w:spacing w:val="-10"/>
          <w:sz w:val="21"/>
        </w:rPr>
        <w:t>不</w:t>
      </w:r>
    </w:p>
    <w:p>
      <w:pPr>
        <w:pStyle w:val="3"/>
        <w:spacing w:before="5"/>
        <w:ind w:left="3307" w:right="619"/>
      </w:pPr>
      <w:r>
        <w:rPr>
          <w:spacing w:val="-2"/>
        </w:rPr>
        <w:t>等的囊肿并且伴有小管炎症和间质性肾炎。必须满足下列所有条</w:t>
      </w:r>
      <w:r>
        <w:rPr>
          <w:spacing w:val="-6"/>
        </w:rPr>
        <w:t>件：</w:t>
      </w:r>
    </w:p>
    <w:p>
      <w:pPr>
        <w:pStyle w:val="8"/>
        <w:numPr>
          <w:ilvl w:val="0"/>
          <w:numId w:val="102"/>
        </w:numPr>
        <w:tabs>
          <w:tab w:val="left" w:pos="3837"/>
        </w:tabs>
        <w:spacing w:before="4" w:after="0" w:line="240" w:lineRule="auto"/>
        <w:ind w:left="3836" w:right="0" w:hanging="530"/>
        <w:jc w:val="left"/>
        <w:rPr>
          <w:sz w:val="21"/>
        </w:rPr>
      </w:pPr>
      <w:r>
        <w:rPr>
          <w:spacing w:val="-3"/>
          <w:sz w:val="21"/>
        </w:rPr>
        <w:t>经肾组织活检明确诊断；</w:t>
      </w:r>
    </w:p>
    <w:p>
      <w:pPr>
        <w:pStyle w:val="8"/>
        <w:numPr>
          <w:ilvl w:val="0"/>
          <w:numId w:val="102"/>
        </w:numPr>
        <w:tabs>
          <w:tab w:val="left" w:pos="3837"/>
        </w:tabs>
        <w:spacing w:before="4" w:after="0" w:line="240" w:lineRule="auto"/>
        <w:ind w:left="3836" w:right="0" w:hanging="530"/>
        <w:jc w:val="left"/>
        <w:rPr>
          <w:sz w:val="21"/>
        </w:rPr>
      </w:pPr>
      <w:r>
        <w:rPr>
          <w:spacing w:val="-3"/>
          <w:sz w:val="21"/>
        </w:rPr>
        <w:t>临床有肾脏衰竭和肾小管功能障碍表现；</w:t>
      </w:r>
    </w:p>
    <w:p>
      <w:pPr>
        <w:pStyle w:val="8"/>
        <w:numPr>
          <w:ilvl w:val="0"/>
          <w:numId w:val="102"/>
        </w:numPr>
        <w:tabs>
          <w:tab w:val="left" w:pos="3837"/>
        </w:tabs>
        <w:spacing w:before="5" w:after="0" w:line="240" w:lineRule="auto"/>
        <w:ind w:left="3307" w:right="2812" w:firstLine="0"/>
        <w:jc w:val="left"/>
        <w:rPr>
          <w:b/>
          <w:sz w:val="21"/>
        </w:rPr>
      </w:pPr>
      <w:r>
        <w:rPr>
          <w:spacing w:val="-2"/>
          <w:sz w:val="21"/>
        </w:rPr>
        <w:t>影像学证据显示肾髓质多发囊肿。</w:t>
      </w:r>
      <w:r>
        <w:rPr>
          <w:b/>
          <w:spacing w:val="-2"/>
          <w:sz w:val="21"/>
        </w:rPr>
        <w:t>其他肾脏囊性病变不在保障范围内。</w:t>
      </w:r>
    </w:p>
    <w:p>
      <w:pPr>
        <w:pStyle w:val="3"/>
        <w:spacing w:before="8"/>
        <w:rPr>
          <w:b/>
          <w:sz w:val="18"/>
        </w:rPr>
      </w:pPr>
    </w:p>
    <w:p>
      <w:pPr>
        <w:pStyle w:val="8"/>
        <w:numPr>
          <w:ilvl w:val="1"/>
          <w:numId w:val="99"/>
        </w:numPr>
        <w:tabs>
          <w:tab w:val="left" w:pos="1339"/>
        </w:tabs>
        <w:spacing w:before="0" w:after="0" w:line="240" w:lineRule="auto"/>
        <w:ind w:left="1338" w:right="0" w:hanging="1005"/>
        <w:jc w:val="both"/>
        <w:rPr>
          <w:sz w:val="21"/>
        </w:rPr>
      </w:pPr>
      <w:r>
        <w:rPr>
          <w:b/>
          <w:spacing w:val="79"/>
          <w:sz w:val="21"/>
        </w:rPr>
        <w:t xml:space="preserve">肝豆状核变性 </w:t>
      </w:r>
      <w:r>
        <w:rPr>
          <w:spacing w:val="-1"/>
          <w:sz w:val="21"/>
        </w:rPr>
        <w:t>肝豆状核变性是一种遗传性铜代谢障碍疾病。表现为体内的铜离</w:t>
      </w:r>
    </w:p>
    <w:p>
      <w:pPr>
        <w:pStyle w:val="3"/>
        <w:spacing w:before="5" w:line="244" w:lineRule="auto"/>
        <w:ind w:left="3307" w:right="619"/>
        <w:jc w:val="both"/>
      </w:pPr>
      <w:r>
        <w:rPr>
          <w:spacing w:val="-2"/>
        </w:rPr>
        <w:t>子在肝、脑、肾、角膜等处沉积，引起进行性加重的肝硬化、锥体外系症状、精神症状、肾损害及角膜色素环。肝豆状核变性必须明确诊断并且满足下列条件之一：</w:t>
      </w:r>
    </w:p>
    <w:p>
      <w:pPr>
        <w:pStyle w:val="8"/>
        <w:numPr>
          <w:ilvl w:val="0"/>
          <w:numId w:val="103"/>
        </w:numPr>
        <w:tabs>
          <w:tab w:val="left" w:pos="3847"/>
        </w:tabs>
        <w:spacing w:before="0" w:after="0" w:line="262" w:lineRule="exact"/>
        <w:ind w:left="3846" w:right="0" w:hanging="540"/>
        <w:jc w:val="left"/>
        <w:rPr>
          <w:sz w:val="21"/>
        </w:rPr>
      </w:pPr>
      <w:r>
        <w:rPr>
          <w:spacing w:val="-1"/>
          <w:sz w:val="21"/>
        </w:rPr>
        <w:t>帕金森综合征或其他神经系统功能损害，自主生活能力完</w:t>
      </w:r>
    </w:p>
    <w:p>
      <w:pPr>
        <w:spacing w:after="0" w:line="262" w:lineRule="exact"/>
        <w:jc w:val="left"/>
        <w:rPr>
          <w:sz w:val="21"/>
        </w:rPr>
        <w:sectPr>
          <w:type w:val="continuous"/>
          <w:pgSz w:w="11910" w:h="16840"/>
          <w:pgMar w:top="320" w:right="620" w:bottom="280" w:left="1480" w:header="0" w:footer="851" w:gutter="0"/>
          <w:cols w:space="720" w:num="1"/>
        </w:sectPr>
      </w:pPr>
    </w:p>
    <w:p>
      <w:pPr>
        <w:pStyle w:val="3"/>
        <w:spacing w:before="51" w:line="244" w:lineRule="auto"/>
        <w:ind w:left="3830" w:right="621"/>
      </w:pPr>
      <w:r>
        <w:rPr>
          <w:spacing w:val="-2"/>
        </w:rPr>
        <w:t>全丧失，无法独立完成六项基本日常生活活动中的三项或三项以上；</w:t>
      </w:r>
    </w:p>
    <w:p>
      <w:pPr>
        <w:pStyle w:val="8"/>
        <w:numPr>
          <w:ilvl w:val="0"/>
          <w:numId w:val="103"/>
        </w:numPr>
        <w:tabs>
          <w:tab w:val="left" w:pos="3847"/>
        </w:tabs>
        <w:spacing w:before="0" w:after="0" w:line="240" w:lineRule="auto"/>
        <w:ind w:left="3830" w:right="621" w:hanging="524"/>
        <w:jc w:val="left"/>
        <w:rPr>
          <w:sz w:val="21"/>
        </w:rPr>
      </w:pPr>
      <w:r>
        <w:rPr>
          <w:spacing w:val="-2"/>
          <w:sz w:val="21"/>
        </w:rPr>
        <w:t>失代偿性肝硬化，临床已经出现腹水、食道静脉曲张和脾肿大等表现；</w:t>
      </w:r>
    </w:p>
    <w:p>
      <w:pPr>
        <w:pStyle w:val="8"/>
        <w:numPr>
          <w:ilvl w:val="0"/>
          <w:numId w:val="103"/>
        </w:numPr>
        <w:tabs>
          <w:tab w:val="left" w:pos="3837"/>
        </w:tabs>
        <w:spacing w:before="3" w:after="0" w:line="240" w:lineRule="auto"/>
        <w:ind w:left="3836" w:right="0" w:hanging="530"/>
        <w:jc w:val="left"/>
        <w:rPr>
          <w:sz w:val="21"/>
        </w:rPr>
      </w:pPr>
      <w:r>
        <w:rPr>
          <w:spacing w:val="-3"/>
          <w:sz w:val="21"/>
        </w:rPr>
        <w:t>慢性肾功能衰竭，已开始肾脏透析治疗；</w:t>
      </w:r>
    </w:p>
    <w:p>
      <w:pPr>
        <w:pStyle w:val="8"/>
        <w:numPr>
          <w:ilvl w:val="0"/>
          <w:numId w:val="103"/>
        </w:numPr>
        <w:tabs>
          <w:tab w:val="left" w:pos="3837"/>
        </w:tabs>
        <w:spacing w:before="5" w:after="0" w:line="240" w:lineRule="auto"/>
        <w:ind w:left="3836" w:right="0" w:hanging="530"/>
        <w:jc w:val="left"/>
        <w:rPr>
          <w:sz w:val="21"/>
        </w:rPr>
      </w:pPr>
      <w:r>
        <w:rPr>
          <w:spacing w:val="-3"/>
          <w:sz w:val="21"/>
        </w:rPr>
        <w:t>接受了肝移植或肾移植手术。</w:t>
      </w:r>
    </w:p>
    <w:p>
      <w:pPr>
        <w:pStyle w:val="3"/>
        <w:spacing w:before="6"/>
        <w:rPr>
          <w:sz w:val="11"/>
        </w:rPr>
      </w:pPr>
    </w:p>
    <w:p>
      <w:pPr>
        <w:spacing w:after="0"/>
        <w:rPr>
          <w:sz w:val="11"/>
        </w:rPr>
        <w:sectPr>
          <w:pgSz w:w="11910" w:h="16840"/>
          <w:pgMar w:top="1060" w:right="620" w:bottom="1040" w:left="1480" w:header="0" w:footer="851" w:gutter="0"/>
          <w:cols w:space="720" w:num="1"/>
        </w:sectPr>
      </w:pPr>
    </w:p>
    <w:p>
      <w:pPr>
        <w:pStyle w:val="8"/>
        <w:numPr>
          <w:ilvl w:val="1"/>
          <w:numId w:val="99"/>
        </w:numPr>
        <w:tabs>
          <w:tab w:val="left" w:pos="1003"/>
          <w:tab w:val="left" w:pos="1339"/>
        </w:tabs>
        <w:spacing w:before="91" w:after="0" w:line="240" w:lineRule="auto"/>
        <w:ind w:left="1338" w:right="0" w:hanging="1339"/>
        <w:jc w:val="right"/>
        <w:rPr>
          <w:b/>
          <w:sz w:val="21"/>
        </w:rPr>
      </w:pPr>
      <w:r>
        <w:rPr>
          <w:b/>
          <w:spacing w:val="-2"/>
          <w:sz w:val="21"/>
        </w:rPr>
        <w:t>重症急性出血坏死</w:t>
      </w:r>
    </w:p>
    <w:p>
      <w:pPr>
        <w:spacing w:before="5"/>
        <w:ind w:left="0" w:right="74" w:firstLine="0"/>
        <w:jc w:val="right"/>
        <w:rPr>
          <w:b/>
          <w:sz w:val="21"/>
        </w:rPr>
      </w:pPr>
      <w:r>
        <w:rPr>
          <w:b/>
          <w:spacing w:val="-2"/>
          <w:sz w:val="21"/>
        </w:rPr>
        <w:t>性胰腺炎开腹手术</w:t>
      </w:r>
    </w:p>
    <w:p>
      <w:pPr>
        <w:pStyle w:val="3"/>
        <w:spacing w:before="97" w:line="242" w:lineRule="auto"/>
        <w:ind w:left="162" w:right="619"/>
        <w:jc w:val="both"/>
      </w:pPr>
      <w:r>
        <w:br w:type="column"/>
      </w:r>
      <w:r>
        <w:rPr>
          <w:spacing w:val="-2"/>
        </w:rPr>
        <w:t>指被保险人被确诊为重症急性出血坏死性胰腺炎，并实际接受了外科剖腹直视手术治疗，进行坏死组织清除、坏死病灶切除或胰</w:t>
      </w:r>
      <w:r>
        <w:rPr>
          <w:spacing w:val="-4"/>
        </w:rPr>
        <w:t>腺切除。</w:t>
      </w:r>
    </w:p>
    <w:p>
      <w:pPr>
        <w:spacing w:before="1" w:line="244" w:lineRule="auto"/>
        <w:ind w:left="162" w:right="629" w:firstLine="0"/>
        <w:jc w:val="left"/>
        <w:rPr>
          <w:b/>
          <w:sz w:val="21"/>
        </w:rPr>
      </w:pPr>
      <w:r>
        <w:rPr>
          <w:b/>
          <w:spacing w:val="3"/>
          <w:w w:val="100"/>
          <w:sz w:val="21"/>
        </w:rPr>
        <w:t>因酗酒或饮酒过量所致的急性出血坏死性胰腺炎或经腹腔镜手术进行的治疗不在保障范围内。</w:t>
      </w:r>
    </w:p>
    <w:p>
      <w:pPr>
        <w:spacing w:after="0" w:line="244" w:lineRule="auto"/>
        <w:jc w:val="left"/>
        <w:rPr>
          <w:sz w:val="21"/>
        </w:rPr>
        <w:sectPr>
          <w:type w:val="continuous"/>
          <w:pgSz w:w="11910" w:h="16840"/>
          <w:pgMar w:top="320" w:right="620" w:bottom="280" w:left="1480" w:header="0" w:footer="851" w:gutter="0"/>
          <w:cols w:equalWidth="0" w:num="2">
            <w:col w:w="3106" w:space="40"/>
            <w:col w:w="6664"/>
          </w:cols>
        </w:sectPr>
      </w:pPr>
    </w:p>
    <w:p>
      <w:pPr>
        <w:pStyle w:val="3"/>
        <w:rPr>
          <w:b/>
          <w:sz w:val="11"/>
        </w:rPr>
      </w:pPr>
    </w:p>
    <w:p>
      <w:pPr>
        <w:pStyle w:val="8"/>
        <w:numPr>
          <w:ilvl w:val="1"/>
          <w:numId w:val="99"/>
        </w:numPr>
        <w:tabs>
          <w:tab w:val="left" w:pos="1338"/>
          <w:tab w:val="left" w:pos="1339"/>
          <w:tab w:val="left" w:pos="3307"/>
        </w:tabs>
        <w:spacing w:before="92" w:after="0" w:line="240" w:lineRule="auto"/>
        <w:ind w:left="1338" w:right="0" w:hanging="1005"/>
        <w:jc w:val="left"/>
        <w:rPr>
          <w:sz w:val="21"/>
        </w:rPr>
      </w:pPr>
      <w:r>
        <w:rPr>
          <w:b/>
          <w:sz w:val="21"/>
        </w:rPr>
        <w:t>小肠移植</w:t>
      </w:r>
      <w:r>
        <w:rPr>
          <w:b/>
          <w:spacing w:val="-10"/>
          <w:sz w:val="21"/>
        </w:rPr>
        <w:t>术</w:t>
      </w:r>
      <w:r>
        <w:rPr>
          <w:b/>
          <w:sz w:val="21"/>
        </w:rPr>
        <w:tab/>
      </w:r>
      <w:r>
        <w:rPr>
          <w:sz w:val="21"/>
        </w:rPr>
        <w:t>小肠移植术指因疾病或外伤导致严重小肠损害不得不切除三</w:t>
      </w:r>
      <w:r>
        <w:rPr>
          <w:spacing w:val="-10"/>
          <w:sz w:val="21"/>
        </w:rPr>
        <w:t>分</w:t>
      </w:r>
    </w:p>
    <w:p>
      <w:pPr>
        <w:pStyle w:val="3"/>
        <w:spacing w:before="4"/>
        <w:ind w:left="3307" w:right="619"/>
      </w:pPr>
      <w:r>
        <w:rPr>
          <w:spacing w:val="-2"/>
        </w:rPr>
        <w:t>之二以上肠段，为了维持生理功能的需要已经实际接受了小肠的同种（人类）异体器官移植手术。</w:t>
      </w:r>
    </w:p>
    <w:p>
      <w:pPr>
        <w:pStyle w:val="3"/>
        <w:spacing w:before="11"/>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9"/>
        </w:numPr>
        <w:tabs>
          <w:tab w:val="left" w:pos="1338"/>
          <w:tab w:val="left" w:pos="1339"/>
        </w:tabs>
        <w:spacing w:before="92" w:after="0" w:line="240" w:lineRule="auto"/>
        <w:ind w:left="1338" w:right="0" w:hanging="1004"/>
        <w:jc w:val="left"/>
        <w:rPr>
          <w:b/>
          <w:sz w:val="21"/>
        </w:rPr>
      </w:pPr>
      <w:r>
        <w:rPr>
          <w:b/>
          <w:spacing w:val="-2"/>
          <w:sz w:val="21"/>
        </w:rPr>
        <w:t>意外导致的重度面</w:t>
      </w:r>
      <w:r>
        <w:rPr>
          <w:b/>
          <w:spacing w:val="-4"/>
          <w:sz w:val="21"/>
        </w:rPr>
        <w:t>部烧伤</w:t>
      </w:r>
    </w:p>
    <w:p>
      <w:pPr>
        <w:pStyle w:val="3"/>
        <w:spacing w:before="98"/>
        <w:ind w:left="162" w:right="617"/>
      </w:pPr>
      <w:r>
        <w:br w:type="column"/>
      </w:r>
      <w:r>
        <w:rPr>
          <w:spacing w:val="-2"/>
        </w:rPr>
        <w:t xml:space="preserve">指面部Ⅲ度烧伤且烧伤面积达到面部表面积的 </w:t>
      </w:r>
      <w:r>
        <w:rPr>
          <w:rFonts w:ascii="Times New Roman" w:hAnsi="Times New Roman" w:eastAsia="Times New Roman"/>
        </w:rPr>
        <w:t>2/3</w:t>
      </w:r>
      <w:r>
        <w:rPr>
          <w:rFonts w:ascii="Times New Roman" w:hAnsi="Times New Roman" w:eastAsia="Times New Roman"/>
          <w:spacing w:val="-9"/>
        </w:rPr>
        <w:t xml:space="preserve"> </w:t>
      </w:r>
      <w:r>
        <w:t>或全身体表面</w:t>
      </w:r>
      <w:r>
        <w:rPr>
          <w:spacing w:val="-15"/>
        </w:rPr>
        <w:t xml:space="preserve">积的 </w:t>
      </w:r>
      <w:r>
        <w:rPr>
          <w:rFonts w:ascii="Times New Roman" w:hAnsi="Times New Roman" w:eastAsia="Times New Roman"/>
        </w:rPr>
        <w:t>2%</w:t>
      </w:r>
      <w:r>
        <w:t>。</w:t>
      </w:r>
    </w:p>
    <w:p>
      <w:pPr>
        <w:pStyle w:val="3"/>
        <w:spacing w:before="4" w:line="244" w:lineRule="auto"/>
        <w:ind w:left="162" w:right="619"/>
      </w:pPr>
      <w:r>
        <w:rPr>
          <w:spacing w:val="-2"/>
        </w:rPr>
        <w:t>体表面积根据《中国新九分法》计算，面部总面积为全身体表面</w:t>
      </w:r>
      <w:r>
        <w:rPr>
          <w:spacing w:val="-15"/>
        </w:rPr>
        <w:t xml:space="preserve">积的 </w:t>
      </w:r>
      <w:r>
        <w:rPr>
          <w:rFonts w:ascii="Times New Roman" w:eastAsia="Times New Roman"/>
        </w:rPr>
        <w:t>3%</w:t>
      </w:r>
      <w:r>
        <w:t>。面部面积不包括发部和颈部。</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rPr>
          <w:sz w:val="11"/>
        </w:rPr>
      </w:pPr>
    </w:p>
    <w:p>
      <w:pPr>
        <w:pStyle w:val="8"/>
        <w:numPr>
          <w:ilvl w:val="1"/>
          <w:numId w:val="99"/>
        </w:numPr>
        <w:tabs>
          <w:tab w:val="left" w:pos="1338"/>
          <w:tab w:val="left" w:pos="1339"/>
          <w:tab w:val="left" w:pos="3307"/>
        </w:tabs>
        <w:spacing w:before="92" w:after="0" w:line="244" w:lineRule="auto"/>
        <w:ind w:left="3307" w:right="624" w:hanging="2973"/>
        <w:jc w:val="left"/>
        <w:rPr>
          <w:sz w:val="21"/>
        </w:rPr>
      </w:pPr>
      <w:r>
        <w:rPr>
          <w:b/>
          <w:w w:val="100"/>
          <w:sz w:val="21"/>
        </w:rPr>
        <w:t>失去一肢及一眼</w:t>
      </w:r>
      <w:r>
        <w:rPr>
          <w:b/>
          <w:sz w:val="21"/>
        </w:rPr>
        <w:tab/>
      </w:r>
      <w:r>
        <w:rPr>
          <w:spacing w:val="9"/>
          <w:w w:val="100"/>
          <w:sz w:val="21"/>
        </w:rPr>
        <w:t>被</w:t>
      </w:r>
      <w:r>
        <w:rPr>
          <w:spacing w:val="4"/>
          <w:w w:val="100"/>
          <w:sz w:val="21"/>
        </w:rPr>
        <w:t>保险</w:t>
      </w:r>
      <w:r>
        <w:rPr>
          <w:spacing w:val="9"/>
          <w:w w:val="100"/>
          <w:sz w:val="21"/>
        </w:rPr>
        <w:t>人</w:t>
      </w:r>
      <w:r>
        <w:rPr>
          <w:spacing w:val="4"/>
          <w:w w:val="100"/>
          <w:sz w:val="21"/>
        </w:rPr>
        <w:t>因</w:t>
      </w:r>
      <w:r>
        <w:rPr>
          <w:spacing w:val="9"/>
          <w:w w:val="100"/>
          <w:sz w:val="21"/>
        </w:rPr>
        <w:t>同</w:t>
      </w:r>
      <w:r>
        <w:rPr>
          <w:spacing w:val="4"/>
          <w:w w:val="100"/>
          <w:sz w:val="21"/>
        </w:rPr>
        <w:t>一次</w:t>
      </w:r>
      <w:r>
        <w:rPr>
          <w:spacing w:val="9"/>
          <w:w w:val="100"/>
          <w:sz w:val="21"/>
        </w:rPr>
        <w:t>意</w:t>
      </w:r>
      <w:r>
        <w:rPr>
          <w:spacing w:val="4"/>
          <w:w w:val="100"/>
          <w:sz w:val="21"/>
        </w:rPr>
        <w:t>外伤</w:t>
      </w:r>
      <w:r>
        <w:rPr>
          <w:spacing w:val="9"/>
          <w:w w:val="100"/>
          <w:sz w:val="21"/>
        </w:rPr>
        <w:t>害</w:t>
      </w:r>
      <w:r>
        <w:rPr>
          <w:spacing w:val="4"/>
          <w:w w:val="100"/>
          <w:sz w:val="21"/>
        </w:rPr>
        <w:t>事件</w:t>
      </w:r>
      <w:r>
        <w:rPr>
          <w:spacing w:val="9"/>
          <w:w w:val="100"/>
          <w:sz w:val="21"/>
        </w:rPr>
        <w:t>导</w:t>
      </w:r>
      <w:r>
        <w:rPr>
          <w:spacing w:val="4"/>
          <w:w w:val="100"/>
          <w:sz w:val="21"/>
        </w:rPr>
        <w:t>致</w:t>
      </w:r>
      <w:r>
        <w:rPr>
          <w:spacing w:val="9"/>
          <w:w w:val="100"/>
          <w:sz w:val="21"/>
        </w:rPr>
        <w:t>一</w:t>
      </w:r>
      <w:r>
        <w:rPr>
          <w:spacing w:val="4"/>
          <w:w w:val="100"/>
          <w:sz w:val="21"/>
        </w:rPr>
        <w:t>肢体</w:t>
      </w:r>
      <w:r>
        <w:rPr>
          <w:spacing w:val="9"/>
          <w:w w:val="100"/>
          <w:sz w:val="21"/>
        </w:rPr>
        <w:t>丧</w:t>
      </w:r>
      <w:r>
        <w:rPr>
          <w:spacing w:val="4"/>
          <w:w w:val="100"/>
          <w:sz w:val="21"/>
        </w:rPr>
        <w:t>失和</w:t>
      </w:r>
      <w:r>
        <w:rPr>
          <w:spacing w:val="9"/>
          <w:w w:val="100"/>
          <w:sz w:val="21"/>
        </w:rPr>
        <w:t>一</w:t>
      </w:r>
      <w:r>
        <w:rPr>
          <w:spacing w:val="4"/>
          <w:w w:val="100"/>
          <w:sz w:val="21"/>
        </w:rPr>
        <w:t>眼视</w:t>
      </w:r>
      <w:r>
        <w:rPr>
          <w:spacing w:val="9"/>
          <w:w w:val="100"/>
          <w:sz w:val="21"/>
        </w:rPr>
        <w:t>力</w:t>
      </w:r>
      <w:r>
        <w:rPr>
          <w:w w:val="100"/>
          <w:sz w:val="21"/>
        </w:rPr>
        <w:t>丧失。必须</w:t>
      </w:r>
      <w:r>
        <w:rPr>
          <w:spacing w:val="-5"/>
          <w:w w:val="100"/>
          <w:sz w:val="21"/>
        </w:rPr>
        <w:t>满</w:t>
      </w:r>
      <w:r>
        <w:rPr>
          <w:w w:val="100"/>
          <w:sz w:val="21"/>
        </w:rPr>
        <w:t>足下列</w:t>
      </w:r>
      <w:r>
        <w:rPr>
          <w:spacing w:val="-5"/>
          <w:w w:val="100"/>
          <w:sz w:val="21"/>
        </w:rPr>
        <w:t>所</w:t>
      </w:r>
      <w:r>
        <w:rPr>
          <w:w w:val="100"/>
          <w:sz w:val="21"/>
        </w:rPr>
        <w:t>有条件：</w:t>
      </w:r>
    </w:p>
    <w:p>
      <w:pPr>
        <w:pStyle w:val="8"/>
        <w:numPr>
          <w:ilvl w:val="0"/>
          <w:numId w:val="104"/>
        </w:numPr>
        <w:tabs>
          <w:tab w:val="left" w:pos="3847"/>
        </w:tabs>
        <w:spacing w:before="0" w:after="0" w:line="244" w:lineRule="auto"/>
        <w:ind w:left="3830" w:right="621" w:hanging="524"/>
        <w:jc w:val="left"/>
        <w:rPr>
          <w:sz w:val="21"/>
        </w:rPr>
      </w:pPr>
      <w:r>
        <w:rPr>
          <w:spacing w:val="-2"/>
          <w:sz w:val="21"/>
        </w:rPr>
        <w:t>一肢体丧失指任何一肢体自腕关节或踝关节近端（靠近躯干端）以上完全性断离。</w:t>
      </w:r>
    </w:p>
    <w:p>
      <w:pPr>
        <w:pStyle w:val="8"/>
        <w:numPr>
          <w:ilvl w:val="0"/>
          <w:numId w:val="104"/>
        </w:numPr>
        <w:tabs>
          <w:tab w:val="left" w:pos="3847"/>
        </w:tabs>
        <w:spacing w:before="0" w:after="0" w:line="240" w:lineRule="auto"/>
        <w:ind w:left="3830" w:right="618" w:hanging="524"/>
        <w:jc w:val="left"/>
        <w:rPr>
          <w:sz w:val="21"/>
        </w:rPr>
      </w:pPr>
      <w:r>
        <w:rPr>
          <w:spacing w:val="-2"/>
          <w:sz w:val="21"/>
        </w:rPr>
        <w:t>一眼视力丧失指一只眼视力永久不可逆性丧失，患眼须满足下列至少一项条件：</w:t>
      </w:r>
    </w:p>
    <w:p>
      <w:pPr>
        <w:pStyle w:val="3"/>
        <w:ind w:left="3725"/>
      </w:pPr>
      <w:r>
        <w:rPr>
          <w:spacing w:val="-4"/>
        </w:rPr>
        <w:t>①眼球摘除；</w:t>
      </w:r>
    </w:p>
    <w:p>
      <w:pPr>
        <w:pStyle w:val="3"/>
        <w:spacing w:before="1" w:line="244" w:lineRule="auto"/>
        <w:ind w:left="3725" w:right="618"/>
      </w:pPr>
      <w:r>
        <w:rPr>
          <w:spacing w:val="-7"/>
        </w:rPr>
        <w:t xml:space="preserve">②矫正视力低于 </w:t>
      </w:r>
      <w:r>
        <w:rPr>
          <w:rFonts w:ascii="Times New Roman" w:hAnsi="Times New Roman" w:eastAsia="Times New Roman"/>
          <w:spacing w:val="-2"/>
        </w:rPr>
        <w:t>0.02</w:t>
      </w:r>
      <w:r>
        <w:rPr>
          <w:spacing w:val="-2"/>
        </w:rPr>
        <w:t>（采用国际标准视力表，如果使用其它视力表应进行换算</w:t>
      </w:r>
      <w:r>
        <w:rPr>
          <w:spacing w:val="-106"/>
        </w:rPr>
        <w:t>）</w:t>
      </w:r>
      <w:r>
        <w:t>；</w:t>
      </w:r>
    </w:p>
    <w:p>
      <w:pPr>
        <w:pStyle w:val="3"/>
        <w:spacing w:line="263" w:lineRule="exact"/>
        <w:ind w:left="3725"/>
      </w:pPr>
      <w:r>
        <w:rPr>
          <w:spacing w:val="-7"/>
        </w:rPr>
        <w:t xml:space="preserve">③视野半径小于 </w:t>
      </w:r>
      <w:r>
        <w:rPr>
          <w:rFonts w:ascii="Times New Roman" w:hAnsi="Times New Roman" w:eastAsia="Times New Roman"/>
        </w:rPr>
        <w:t>5</w:t>
      </w:r>
      <w:r>
        <w:rPr>
          <w:rFonts w:ascii="Times New Roman" w:hAnsi="Times New Roman" w:eastAsia="Times New Roman"/>
          <w:spacing w:val="-10"/>
        </w:rPr>
        <w:t xml:space="preserve"> </w:t>
      </w:r>
      <w:r>
        <w:rPr>
          <w:spacing w:val="-5"/>
        </w:rPr>
        <w:t>度。</w:t>
      </w:r>
    </w:p>
    <w:p>
      <w:pPr>
        <w:spacing w:before="5" w:line="244" w:lineRule="auto"/>
        <w:ind w:left="3307" w:right="590" w:firstLine="0"/>
        <w:jc w:val="left"/>
        <w:rPr>
          <w:b/>
          <w:sz w:val="21"/>
        </w:rPr>
      </w:pPr>
      <w:r>
        <w:rPr>
          <w:b/>
          <w:spacing w:val="-2"/>
          <w:sz w:val="21"/>
        </w:rPr>
        <w:t>除眼球摘除以外，被保险人申请理赔时年龄必须在三周岁以上，并且提供理赔当时的视力丧失诊断及检查证据。</w:t>
      </w:r>
    </w:p>
    <w:p>
      <w:pPr>
        <w:pStyle w:val="3"/>
        <w:rPr>
          <w:b/>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9"/>
        </w:numPr>
        <w:tabs>
          <w:tab w:val="left" w:pos="1338"/>
          <w:tab w:val="left" w:pos="1339"/>
        </w:tabs>
        <w:spacing w:before="91" w:after="0" w:line="240" w:lineRule="auto"/>
        <w:ind w:left="1338" w:right="0" w:hanging="1005"/>
        <w:jc w:val="left"/>
        <w:rPr>
          <w:b/>
          <w:sz w:val="21"/>
        </w:rPr>
      </w:pPr>
      <w:r>
        <w:rPr>
          <w:b/>
          <w:spacing w:val="-2"/>
          <w:sz w:val="21"/>
        </w:rPr>
        <w:t>溶血性链球菌感染</w:t>
      </w:r>
    </w:p>
    <w:p>
      <w:pPr>
        <w:spacing w:before="5"/>
        <w:ind w:left="1338" w:right="0" w:firstLine="0"/>
        <w:jc w:val="left"/>
        <w:rPr>
          <w:b/>
          <w:sz w:val="21"/>
        </w:rPr>
      </w:pPr>
      <w:r>
        <w:rPr>
          <w:b/>
          <w:spacing w:val="-2"/>
          <w:sz w:val="21"/>
        </w:rPr>
        <w:t>引起的坏疽</w:t>
      </w:r>
    </w:p>
    <w:p>
      <w:pPr>
        <w:pStyle w:val="3"/>
        <w:spacing w:before="98" w:line="244" w:lineRule="auto"/>
        <w:ind w:left="162" w:right="619"/>
      </w:pPr>
      <w:r>
        <w:br w:type="column"/>
      </w:r>
      <w:r>
        <w:rPr>
          <w:spacing w:val="-2"/>
        </w:rPr>
        <w:t>由于急性溶血性链球菌感染导致广泛的皮肤、皮下组织和深层组织的坏死。必须满足下列所有条件：</w:t>
      </w:r>
    </w:p>
    <w:p>
      <w:pPr>
        <w:pStyle w:val="8"/>
        <w:numPr>
          <w:ilvl w:val="0"/>
          <w:numId w:val="105"/>
        </w:numPr>
        <w:tabs>
          <w:tab w:val="left" w:pos="692"/>
        </w:tabs>
        <w:spacing w:before="0" w:after="0" w:line="263" w:lineRule="exact"/>
        <w:ind w:left="691" w:right="0" w:hanging="530"/>
        <w:jc w:val="left"/>
        <w:rPr>
          <w:sz w:val="21"/>
        </w:rPr>
      </w:pPr>
      <w:r>
        <w:rPr>
          <w:spacing w:val="-3"/>
          <w:sz w:val="21"/>
        </w:rPr>
        <w:t>细菌培养证实致病菌为溶血性链球菌；</w:t>
      </w:r>
    </w:p>
    <w:p>
      <w:pPr>
        <w:pStyle w:val="8"/>
        <w:numPr>
          <w:ilvl w:val="0"/>
          <w:numId w:val="105"/>
        </w:numPr>
        <w:tabs>
          <w:tab w:val="left" w:pos="692"/>
        </w:tabs>
        <w:spacing w:before="4" w:after="0" w:line="240" w:lineRule="auto"/>
        <w:ind w:left="691" w:right="0" w:hanging="530"/>
        <w:jc w:val="left"/>
        <w:rPr>
          <w:sz w:val="21"/>
        </w:rPr>
      </w:pPr>
      <w:r>
        <w:rPr>
          <w:spacing w:val="-2"/>
          <w:sz w:val="21"/>
        </w:rPr>
        <w:t>受感染肢体被截肢（自腕关节或踝关节近端</w:t>
      </w:r>
      <w:r>
        <w:rPr>
          <w:spacing w:val="-106"/>
          <w:sz w:val="21"/>
        </w:rPr>
        <w:t>）</w:t>
      </w:r>
      <w:r>
        <w:rPr>
          <w:spacing w:val="-10"/>
          <w:sz w:val="21"/>
        </w:rPr>
        <w:t>。</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6"/>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9"/>
        </w:numPr>
        <w:tabs>
          <w:tab w:val="left" w:pos="1338"/>
          <w:tab w:val="left" w:pos="1339"/>
        </w:tabs>
        <w:spacing w:before="92" w:after="0" w:line="240" w:lineRule="auto"/>
        <w:ind w:left="1338" w:right="0" w:hanging="1005"/>
        <w:jc w:val="left"/>
        <w:rPr>
          <w:b/>
          <w:sz w:val="21"/>
        </w:rPr>
      </w:pPr>
      <w:r>
        <w:rPr>
          <w:b/>
          <w:spacing w:val="-2"/>
          <w:sz w:val="21"/>
        </w:rPr>
        <w:t>器官移植致人类免</w:t>
      </w:r>
    </w:p>
    <w:p>
      <w:pPr>
        <w:spacing w:before="5" w:line="244" w:lineRule="auto"/>
        <w:ind w:left="1338" w:right="0" w:firstLine="0"/>
        <w:jc w:val="left"/>
        <w:rPr>
          <w:b/>
          <w:sz w:val="21"/>
        </w:rPr>
      </w:pPr>
      <w:r>
        <w:rPr>
          <w:b/>
          <w:spacing w:val="-4"/>
          <w:sz w:val="21"/>
        </w:rPr>
        <w:t>疫缺陷病毒（</w:t>
      </w:r>
      <w:r>
        <w:rPr>
          <w:rFonts w:ascii="Times New Roman" w:eastAsia="Times New Roman"/>
          <w:b/>
          <w:spacing w:val="-4"/>
          <w:sz w:val="21"/>
        </w:rPr>
        <w:t>HIV</w:t>
      </w:r>
      <w:r>
        <w:rPr>
          <w:b/>
          <w:spacing w:val="-4"/>
          <w:sz w:val="21"/>
        </w:rPr>
        <w:t>）</w:t>
      </w:r>
      <w:r>
        <w:rPr>
          <w:b/>
          <w:spacing w:val="-6"/>
          <w:sz w:val="21"/>
        </w:rPr>
        <w:t>感染</w:t>
      </w:r>
    </w:p>
    <w:p>
      <w:pPr>
        <w:pStyle w:val="3"/>
        <w:spacing w:before="98" w:line="244" w:lineRule="auto"/>
        <w:ind w:left="70" w:right="627"/>
      </w:pPr>
      <w:r>
        <w:br w:type="column"/>
      </w:r>
      <w:r>
        <w:rPr>
          <w:spacing w:val="-2"/>
        </w:rPr>
        <w:t>被保险人因接受器官移植感染上人类免疫缺陷病毒（</w:t>
      </w:r>
      <w:r>
        <w:rPr>
          <w:rFonts w:ascii="Times New Roman" w:eastAsia="Times New Roman"/>
          <w:spacing w:val="-2"/>
        </w:rPr>
        <w:t>HIV</w:t>
      </w:r>
      <w:r>
        <w:rPr>
          <w:spacing w:val="-2"/>
        </w:rPr>
        <w:t>）并且满足下列全部条件：</w:t>
      </w:r>
    </w:p>
    <w:p>
      <w:pPr>
        <w:pStyle w:val="8"/>
        <w:numPr>
          <w:ilvl w:val="0"/>
          <w:numId w:val="106"/>
        </w:numPr>
        <w:tabs>
          <w:tab w:val="left" w:pos="600"/>
        </w:tabs>
        <w:spacing w:before="0" w:after="0" w:line="268" w:lineRule="exact"/>
        <w:ind w:left="599" w:right="0" w:hanging="530"/>
        <w:jc w:val="left"/>
        <w:rPr>
          <w:sz w:val="21"/>
        </w:rPr>
      </w:pPr>
      <w:r>
        <w:rPr>
          <w:spacing w:val="-4"/>
          <w:sz w:val="21"/>
        </w:rPr>
        <w:t xml:space="preserve">在等待期后，被保险人接受器官移植，并因此感染 </w:t>
      </w:r>
      <w:r>
        <w:rPr>
          <w:rFonts w:ascii="Times New Roman" w:eastAsia="Times New Roman"/>
          <w:spacing w:val="-4"/>
          <w:sz w:val="21"/>
        </w:rPr>
        <w:t>HIV</w:t>
      </w:r>
      <w:r>
        <w:rPr>
          <w:spacing w:val="-4"/>
          <w:sz w:val="21"/>
        </w:rPr>
        <w:t>；</w:t>
      </w:r>
    </w:p>
    <w:p>
      <w:pPr>
        <w:pStyle w:val="8"/>
        <w:numPr>
          <w:ilvl w:val="0"/>
          <w:numId w:val="106"/>
        </w:numPr>
        <w:tabs>
          <w:tab w:val="left" w:pos="600"/>
        </w:tabs>
        <w:spacing w:before="0" w:after="0" w:line="240" w:lineRule="auto"/>
        <w:ind w:left="599" w:right="0" w:hanging="530"/>
        <w:jc w:val="left"/>
        <w:rPr>
          <w:sz w:val="21"/>
        </w:rPr>
      </w:pPr>
      <w:r>
        <w:rPr>
          <w:spacing w:val="-3"/>
          <w:sz w:val="21"/>
        </w:rPr>
        <w:t>实施器官移植的医院为三级医院；</w:t>
      </w:r>
    </w:p>
    <w:p>
      <w:pPr>
        <w:pStyle w:val="8"/>
        <w:numPr>
          <w:ilvl w:val="0"/>
          <w:numId w:val="106"/>
        </w:numPr>
        <w:tabs>
          <w:tab w:val="left" w:pos="609"/>
        </w:tabs>
        <w:spacing w:before="4" w:after="0" w:line="240" w:lineRule="auto"/>
        <w:ind w:left="609" w:right="0" w:hanging="539"/>
        <w:jc w:val="left"/>
        <w:rPr>
          <w:sz w:val="21"/>
        </w:rPr>
      </w:pPr>
      <w:r>
        <w:rPr>
          <w:spacing w:val="-1"/>
          <w:sz w:val="21"/>
        </w:rPr>
        <w:t>实施移植医院出具具有法律效力的证明确认移植器官来自</w:t>
      </w:r>
    </w:p>
    <w:p>
      <w:pPr>
        <w:pStyle w:val="3"/>
        <w:spacing w:before="5"/>
        <w:ind w:left="593"/>
      </w:pPr>
      <w:r>
        <w:rPr>
          <w:rFonts w:ascii="Times New Roman" w:eastAsia="Times New Roman"/>
        </w:rPr>
        <w:t>HIV</w:t>
      </w:r>
      <w:r>
        <w:rPr>
          <w:rFonts w:ascii="Times New Roman" w:eastAsia="Times New Roman"/>
          <w:spacing w:val="-7"/>
        </w:rPr>
        <w:t xml:space="preserve"> </w:t>
      </w:r>
      <w:r>
        <w:rPr>
          <w:spacing w:val="-3"/>
        </w:rPr>
        <w:t>感染者。</w:t>
      </w:r>
    </w:p>
    <w:p>
      <w:pPr>
        <w:pStyle w:val="3"/>
        <w:spacing w:before="4" w:line="242" w:lineRule="auto"/>
        <w:ind w:left="70" w:right="617"/>
        <w:jc w:val="both"/>
      </w:pPr>
      <w:r>
        <w:t>在任何治愈艾滋病（</w:t>
      </w:r>
      <w:r>
        <w:rPr>
          <w:rFonts w:ascii="Times New Roman" w:eastAsia="Times New Roman"/>
        </w:rPr>
        <w:t>AIDS</w:t>
      </w:r>
      <w:r>
        <w:t>）</w:t>
      </w:r>
      <w:r>
        <w:rPr>
          <w:spacing w:val="-7"/>
        </w:rPr>
        <w:t xml:space="preserve">或阻止 </w:t>
      </w:r>
      <w:r>
        <w:rPr>
          <w:rFonts w:ascii="Times New Roman" w:eastAsia="Times New Roman"/>
        </w:rPr>
        <w:t>HIV</w:t>
      </w:r>
      <w:r>
        <w:rPr>
          <w:rFonts w:ascii="Times New Roman" w:eastAsia="Times New Roman"/>
          <w:spacing w:val="21"/>
        </w:rPr>
        <w:t xml:space="preserve"> </w:t>
      </w:r>
      <w:r>
        <w:t>病毒作用的疗法被发现</w:t>
      </w:r>
      <w:r>
        <w:rPr>
          <w:spacing w:val="-4"/>
        </w:rPr>
        <w:t xml:space="preserve">以后，或能防止 </w:t>
      </w:r>
      <w:r>
        <w:rPr>
          <w:rFonts w:ascii="Times New Roman" w:eastAsia="Times New Roman"/>
        </w:rPr>
        <w:t>AIDS</w:t>
      </w:r>
      <w:r>
        <w:rPr>
          <w:rFonts w:ascii="Times New Roman" w:eastAsia="Times New Roman"/>
          <w:spacing w:val="-13"/>
        </w:rPr>
        <w:t xml:space="preserve"> </w:t>
      </w:r>
      <w:r>
        <w:t>发生的医疗方法被研究出来以后，本保障</w:t>
      </w:r>
      <w:r>
        <w:rPr>
          <w:spacing w:val="-2"/>
        </w:rPr>
        <w:t>将不再予以赔付。</w:t>
      </w:r>
    </w:p>
    <w:p>
      <w:pPr>
        <w:spacing w:after="0" w:line="242" w:lineRule="auto"/>
        <w:jc w:val="both"/>
        <w:sectPr>
          <w:type w:val="continuous"/>
          <w:pgSz w:w="11910" w:h="16840"/>
          <w:pgMar w:top="320" w:right="620" w:bottom="280" w:left="1480" w:header="0" w:footer="851" w:gutter="0"/>
          <w:cols w:equalWidth="0" w:num="2">
            <w:col w:w="3198" w:space="40"/>
            <w:col w:w="6572"/>
          </w:cols>
        </w:sectPr>
      </w:pPr>
    </w:p>
    <w:p>
      <w:pPr>
        <w:pStyle w:val="3"/>
        <w:spacing w:before="3"/>
        <w:rPr>
          <w:sz w:val="11"/>
        </w:rPr>
      </w:pPr>
    </w:p>
    <w:p>
      <w:pPr>
        <w:pStyle w:val="8"/>
        <w:numPr>
          <w:ilvl w:val="1"/>
          <w:numId w:val="99"/>
        </w:numPr>
        <w:tabs>
          <w:tab w:val="left" w:pos="1338"/>
          <w:tab w:val="left" w:pos="1339"/>
          <w:tab w:val="left" w:pos="3307"/>
        </w:tabs>
        <w:spacing w:before="91" w:after="0" w:line="240" w:lineRule="auto"/>
        <w:ind w:left="1338" w:right="0" w:hanging="1005"/>
        <w:jc w:val="left"/>
        <w:rPr>
          <w:sz w:val="21"/>
        </w:rPr>
      </w:pPr>
      <w:r>
        <w:rPr>
          <w:b/>
          <w:sz w:val="21"/>
        </w:rPr>
        <w:t>埃博拉病毒感</w:t>
      </w:r>
      <w:r>
        <w:rPr>
          <w:b/>
          <w:spacing w:val="-10"/>
          <w:sz w:val="21"/>
        </w:rPr>
        <w:t>染</w:t>
      </w:r>
      <w:r>
        <w:rPr>
          <w:b/>
          <w:sz w:val="21"/>
        </w:rPr>
        <w:tab/>
      </w:r>
      <w:r>
        <w:rPr>
          <w:spacing w:val="-2"/>
          <w:sz w:val="21"/>
        </w:rPr>
        <w:t>指埃博拉病毒感染导致的急性出血性传染病。埃博拉病毒病必</w:t>
      </w:r>
      <w:r>
        <w:rPr>
          <w:spacing w:val="-10"/>
          <w:sz w:val="21"/>
        </w:rPr>
        <w:t>须</w:t>
      </w:r>
    </w:p>
    <w:p>
      <w:pPr>
        <w:pStyle w:val="3"/>
        <w:spacing w:before="5" w:line="244" w:lineRule="auto"/>
        <w:ind w:left="3307" w:right="624"/>
      </w:pPr>
      <w:r>
        <w:rPr>
          <w:spacing w:val="3"/>
          <w:w w:val="100"/>
        </w:rPr>
        <w:t>经国家认可的有合法资质的传染病专家确诊并且上报国家疾病</w:t>
      </w:r>
      <w:r>
        <w:rPr>
          <w:spacing w:val="-5"/>
          <w:w w:val="100"/>
        </w:rPr>
        <w:t>控制中心接受了隔离和治疗，必须满足下列所有条件：</w:t>
      </w:r>
    </w:p>
    <w:p>
      <w:pPr>
        <w:pStyle w:val="8"/>
        <w:numPr>
          <w:ilvl w:val="0"/>
          <w:numId w:val="107"/>
        </w:numPr>
        <w:tabs>
          <w:tab w:val="left" w:pos="3837"/>
        </w:tabs>
        <w:spacing w:before="0" w:after="0" w:line="263" w:lineRule="exact"/>
        <w:ind w:left="3836" w:right="0" w:hanging="530"/>
        <w:jc w:val="left"/>
        <w:rPr>
          <w:sz w:val="21"/>
        </w:rPr>
      </w:pPr>
      <w:r>
        <w:rPr>
          <w:spacing w:val="-3"/>
          <w:sz w:val="21"/>
        </w:rPr>
        <w:t>实验室检查证据证实存在埃博拉病毒感染；</w:t>
      </w:r>
    </w:p>
    <w:p>
      <w:pPr>
        <w:spacing w:after="0" w:line="263" w:lineRule="exact"/>
        <w:jc w:val="left"/>
        <w:rPr>
          <w:sz w:val="21"/>
        </w:rPr>
        <w:sectPr>
          <w:type w:val="continuous"/>
          <w:pgSz w:w="11910" w:h="16840"/>
          <w:pgMar w:top="320" w:right="620" w:bottom="280" w:left="1480" w:header="0" w:footer="851" w:gutter="0"/>
          <w:cols w:space="720" w:num="1"/>
        </w:sectPr>
      </w:pPr>
    </w:p>
    <w:p>
      <w:pPr>
        <w:pStyle w:val="8"/>
        <w:numPr>
          <w:ilvl w:val="0"/>
          <w:numId w:val="107"/>
        </w:numPr>
        <w:tabs>
          <w:tab w:val="left" w:pos="3837"/>
        </w:tabs>
        <w:spacing w:before="51" w:after="0" w:line="240" w:lineRule="auto"/>
        <w:ind w:left="3836" w:right="0" w:hanging="530"/>
        <w:jc w:val="left"/>
        <w:rPr>
          <w:sz w:val="21"/>
        </w:rPr>
      </w:pPr>
      <w:r>
        <w:rPr>
          <w:spacing w:val="-11"/>
          <w:sz w:val="21"/>
        </w:rPr>
        <w:t xml:space="preserve">存在持续 </w:t>
      </w:r>
      <w:r>
        <w:rPr>
          <w:rFonts w:ascii="Times New Roman" w:eastAsia="Times New Roman"/>
          <w:spacing w:val="-2"/>
          <w:sz w:val="21"/>
        </w:rPr>
        <w:t>30</w:t>
      </w:r>
      <w:r>
        <w:rPr>
          <w:rFonts w:ascii="Times New Roman" w:eastAsia="Times New Roman"/>
          <w:spacing w:val="8"/>
          <w:sz w:val="21"/>
        </w:rPr>
        <w:t xml:space="preserve"> </w:t>
      </w:r>
      <w:r>
        <w:rPr>
          <w:spacing w:val="-3"/>
          <w:sz w:val="21"/>
        </w:rPr>
        <w:t>天以上广泛出血的临床表现。</w:t>
      </w:r>
    </w:p>
    <w:p>
      <w:pPr>
        <w:spacing w:before="4" w:line="244" w:lineRule="auto"/>
        <w:ind w:left="3307" w:right="619" w:firstLine="0"/>
        <w:jc w:val="left"/>
        <w:rPr>
          <w:b/>
          <w:sz w:val="21"/>
        </w:rPr>
      </w:pPr>
      <w:r>
        <w:rPr>
          <w:b/>
          <w:spacing w:val="-2"/>
          <w:sz w:val="21"/>
        </w:rPr>
        <w:t>埃博拉病毒感染疑似病例，在确诊之前已经死亡的不在保障范围</w:t>
      </w:r>
      <w:r>
        <w:rPr>
          <w:b/>
          <w:spacing w:val="-6"/>
          <w:sz w:val="21"/>
        </w:rPr>
        <w:t>内。</w:t>
      </w:r>
    </w:p>
    <w:p>
      <w:pPr>
        <w:pStyle w:val="3"/>
        <w:spacing w:before="2"/>
        <w:rPr>
          <w:b/>
          <w:sz w:val="18"/>
        </w:rPr>
      </w:pPr>
    </w:p>
    <w:p>
      <w:pPr>
        <w:pStyle w:val="8"/>
        <w:numPr>
          <w:ilvl w:val="1"/>
          <w:numId w:val="99"/>
        </w:numPr>
        <w:tabs>
          <w:tab w:val="left" w:pos="1339"/>
        </w:tabs>
        <w:spacing w:before="0" w:after="0" w:line="240" w:lineRule="auto"/>
        <w:ind w:left="1338" w:right="0" w:hanging="1005"/>
        <w:jc w:val="both"/>
        <w:rPr>
          <w:sz w:val="21"/>
        </w:rPr>
      </w:pPr>
      <w:r>
        <w:rPr>
          <w:b/>
          <w:sz w:val="21"/>
        </w:rPr>
        <w:t>终末期疾病</w:t>
      </w:r>
      <w:r>
        <w:rPr>
          <w:b/>
          <w:spacing w:val="766"/>
          <w:sz w:val="21"/>
        </w:rPr>
        <w:t xml:space="preserve"> </w:t>
      </w:r>
      <w:r>
        <w:rPr>
          <w:spacing w:val="-1"/>
          <w:sz w:val="21"/>
        </w:rPr>
        <w:t>被保险人被三级医院确诊为疾病的终末期状态。疾病已经无法以</w:t>
      </w:r>
    </w:p>
    <w:p>
      <w:pPr>
        <w:pStyle w:val="3"/>
        <w:spacing w:before="5" w:line="242" w:lineRule="auto"/>
        <w:ind w:left="3307" w:right="619"/>
        <w:jc w:val="both"/>
      </w:pPr>
      <w:r>
        <w:rPr>
          <w:spacing w:val="-6"/>
          <w:w w:val="100"/>
        </w:rPr>
        <w:t>现有的医疗技术医治缓解，并且根据临床医学经验判断被保险人将于未来六个月内死亡。在家属及患者的要求和医师的同意下积极治疗已被放弃，所有治疗措施仅以减轻患者痛苦为目的。此疾</w:t>
      </w:r>
      <w:r>
        <w:rPr>
          <w:spacing w:val="3"/>
          <w:w w:val="100"/>
        </w:rPr>
        <w:t>病状态必须在被保险人生前已经确诊并且具有医疗证明文件和</w:t>
      </w:r>
      <w:r>
        <w:rPr>
          <w:w w:val="100"/>
        </w:rPr>
        <w:t>临床检查依据。</w:t>
      </w:r>
    </w:p>
    <w:p>
      <w:pPr>
        <w:pStyle w:val="3"/>
        <w:spacing w:before="8"/>
        <w:rPr>
          <w:sz w:val="18"/>
        </w:rPr>
      </w:pPr>
    </w:p>
    <w:p>
      <w:pPr>
        <w:pStyle w:val="8"/>
        <w:numPr>
          <w:ilvl w:val="1"/>
          <w:numId w:val="99"/>
        </w:numPr>
        <w:tabs>
          <w:tab w:val="left" w:pos="1339"/>
        </w:tabs>
        <w:spacing w:before="0" w:after="0" w:line="275" w:lineRule="exact"/>
        <w:ind w:left="1338" w:right="0" w:hanging="1005"/>
        <w:jc w:val="both"/>
        <w:rPr>
          <w:sz w:val="21"/>
        </w:rPr>
      </w:pPr>
      <w:r>
        <w:rPr>
          <w:b/>
          <w:sz w:val="21"/>
        </w:rPr>
        <w:t>严重川崎病</w:t>
      </w:r>
      <w:r>
        <w:rPr>
          <w:b/>
          <w:spacing w:val="34"/>
          <w:w w:val="150"/>
          <w:sz w:val="21"/>
        </w:rPr>
        <w:t xml:space="preserve">     </w:t>
      </w:r>
      <w:r>
        <w:rPr>
          <w:sz w:val="21"/>
        </w:rPr>
        <w:t>川崎病（又称皮肤粘膜淋巴结综合征</w:t>
      </w:r>
      <w:r>
        <w:rPr>
          <w:spacing w:val="-101"/>
          <w:sz w:val="21"/>
        </w:rPr>
        <w:t>）</w:t>
      </w:r>
      <w:r>
        <w:rPr>
          <w:spacing w:val="-1"/>
          <w:sz w:val="21"/>
        </w:rPr>
        <w:t>，指以皮肤粘膜出疹、淋</w:t>
      </w:r>
    </w:p>
    <w:p>
      <w:pPr>
        <w:pStyle w:val="3"/>
        <w:spacing w:line="242" w:lineRule="auto"/>
        <w:ind w:left="3307" w:right="609"/>
        <w:jc w:val="both"/>
      </w:pPr>
      <w:r>
        <w:rPr>
          <w:spacing w:val="-6"/>
          <w:w w:val="100"/>
        </w:rPr>
        <w:t>巴结肿大和多发性动脉炎为特点的小儿急性发热性疾病。本合同仅对经诊断证实为川崎病且并发冠状动脉瘤或其他心血管异常，</w:t>
      </w:r>
      <w:r>
        <w:rPr>
          <w:spacing w:val="3"/>
          <w:w w:val="100"/>
        </w:rPr>
        <w:t>且实际接受了针对动脉瘤或其他心血管异常而进行外科手术治</w:t>
      </w:r>
      <w:r>
        <w:rPr>
          <w:w w:val="100"/>
        </w:rPr>
        <w:t>疗的情况予以理赔。</w:t>
      </w:r>
    </w:p>
    <w:p>
      <w:pPr>
        <w:pStyle w:val="3"/>
        <w:spacing w:before="10"/>
        <w:rPr>
          <w:sz w:val="11"/>
        </w:rPr>
      </w:pPr>
    </w:p>
    <w:p>
      <w:pPr>
        <w:spacing w:after="0"/>
        <w:rPr>
          <w:sz w:val="11"/>
        </w:rPr>
        <w:sectPr>
          <w:pgSz w:w="11910" w:h="16840"/>
          <w:pgMar w:top="1060" w:right="620" w:bottom="1040" w:left="1480" w:header="0" w:footer="851" w:gutter="0"/>
          <w:cols w:space="720" w:num="1"/>
        </w:sectPr>
      </w:pPr>
    </w:p>
    <w:p>
      <w:pPr>
        <w:pStyle w:val="8"/>
        <w:numPr>
          <w:ilvl w:val="1"/>
          <w:numId w:val="99"/>
        </w:numPr>
        <w:tabs>
          <w:tab w:val="left" w:pos="1338"/>
          <w:tab w:val="left" w:pos="1339"/>
        </w:tabs>
        <w:spacing w:before="91" w:after="0" w:line="240" w:lineRule="auto"/>
        <w:ind w:left="1338" w:right="0" w:hanging="1004"/>
        <w:jc w:val="left"/>
        <w:rPr>
          <w:b/>
          <w:sz w:val="21"/>
        </w:rPr>
      </w:pPr>
      <w:r>
        <w:rPr>
          <w:b/>
          <w:spacing w:val="-2"/>
          <w:sz w:val="21"/>
        </w:rPr>
        <w:t>严重幼年型类风湿</w:t>
      </w:r>
      <w:r>
        <w:rPr>
          <w:b/>
          <w:spacing w:val="-4"/>
          <w:sz w:val="21"/>
        </w:rPr>
        <w:t>关节炎</w:t>
      </w:r>
    </w:p>
    <w:p>
      <w:pPr>
        <w:pStyle w:val="3"/>
        <w:spacing w:before="97"/>
        <w:ind w:left="162" w:right="619"/>
      </w:pPr>
      <w:r>
        <w:br w:type="column"/>
      </w:r>
      <w:r>
        <w:rPr>
          <w:spacing w:val="-2"/>
        </w:rPr>
        <w:t>幼年型类风湿关节炎是一种儿童期发病的慢性关节炎，其特点为在高热和系统性病征出现数月后发生关节炎。</w:t>
      </w:r>
    </w:p>
    <w:p>
      <w:pPr>
        <w:pStyle w:val="3"/>
        <w:spacing w:before="5" w:line="244" w:lineRule="auto"/>
        <w:ind w:left="162" w:right="619"/>
      </w:pPr>
      <w:r>
        <w:rPr>
          <w:spacing w:val="-2"/>
        </w:rPr>
        <w:t>本合同仅对为了治疗严重幼年型类风湿关节炎，实际实施了膝关节或髋关节置换手术予以理赔。</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spacing w:before="12"/>
        <w:rPr>
          <w:sz w:val="10"/>
        </w:rPr>
      </w:pPr>
    </w:p>
    <w:p>
      <w:pPr>
        <w:spacing w:after="0"/>
        <w:rPr>
          <w:sz w:val="10"/>
        </w:rPr>
        <w:sectPr>
          <w:type w:val="continuous"/>
          <w:pgSz w:w="11910" w:h="16840"/>
          <w:pgMar w:top="320" w:right="620" w:bottom="280" w:left="1480" w:header="0" w:footer="851" w:gutter="0"/>
          <w:cols w:space="720" w:num="1"/>
        </w:sectPr>
      </w:pPr>
    </w:p>
    <w:p>
      <w:pPr>
        <w:pStyle w:val="8"/>
        <w:numPr>
          <w:ilvl w:val="1"/>
          <w:numId w:val="99"/>
        </w:numPr>
        <w:tabs>
          <w:tab w:val="left" w:pos="1338"/>
          <w:tab w:val="left" w:pos="1339"/>
        </w:tabs>
        <w:spacing w:before="92" w:after="0" w:line="244" w:lineRule="auto"/>
        <w:ind w:left="1338" w:right="0" w:hanging="1004"/>
        <w:jc w:val="left"/>
        <w:rPr>
          <w:b/>
          <w:sz w:val="21"/>
        </w:rPr>
      </w:pPr>
      <w:r>
        <w:rPr>
          <w:b/>
          <w:spacing w:val="-2"/>
          <w:sz w:val="21"/>
        </w:rPr>
        <w:t>因疾病或外伤导致</w:t>
      </w:r>
      <w:r>
        <w:rPr>
          <w:b/>
          <w:spacing w:val="-4"/>
          <w:sz w:val="21"/>
        </w:rPr>
        <w:t>智力缺陷</w:t>
      </w:r>
    </w:p>
    <w:p>
      <w:pPr>
        <w:pStyle w:val="3"/>
        <w:spacing w:before="98" w:line="242" w:lineRule="auto"/>
        <w:ind w:left="162" w:right="609"/>
        <w:jc w:val="both"/>
      </w:pPr>
      <w:r>
        <w:br w:type="column"/>
      </w:r>
      <w:r>
        <w:rPr>
          <w:spacing w:val="-2"/>
        </w:rPr>
        <w:t>因严重头部创伤或疾病造成被保险人智力低常（智力低于常态）</w:t>
      </w:r>
      <w:r>
        <w:rPr>
          <w:spacing w:val="-4"/>
        </w:rPr>
        <w:t>或智力残疾。根据智商（</w:t>
      </w:r>
      <w:r>
        <w:rPr>
          <w:rFonts w:ascii="Times New Roman" w:eastAsia="Times New Roman"/>
          <w:spacing w:val="-4"/>
        </w:rPr>
        <w:t>IQ</w:t>
      </w:r>
      <w:r>
        <w:rPr>
          <w:spacing w:val="-4"/>
        </w:rPr>
        <w:t>）智力低常分为轻度（</w:t>
      </w:r>
      <w:r>
        <w:rPr>
          <w:rFonts w:ascii="Times New Roman" w:eastAsia="Times New Roman"/>
          <w:spacing w:val="-4"/>
        </w:rPr>
        <w:t>IQ50-</w:t>
      </w:r>
      <w:r>
        <w:rPr>
          <w:rFonts w:ascii="Times New Roman" w:eastAsia="Times New Roman"/>
          <w:spacing w:val="22"/>
        </w:rPr>
        <w:t>70</w:t>
      </w:r>
      <w:r>
        <w:rPr>
          <w:spacing w:val="-84"/>
        </w:rPr>
        <w:t>）</w:t>
      </w:r>
      <w:r>
        <w:rPr>
          <w:spacing w:val="9"/>
        </w:rPr>
        <w:t>；中</w:t>
      </w:r>
      <w:r>
        <w:rPr>
          <w:spacing w:val="-6"/>
        </w:rPr>
        <w:t>度（</w:t>
      </w:r>
      <w:r>
        <w:rPr>
          <w:rFonts w:ascii="Times New Roman" w:eastAsia="Times New Roman"/>
          <w:spacing w:val="-6"/>
        </w:rPr>
        <w:t>IQ35-</w:t>
      </w:r>
      <w:r>
        <w:rPr>
          <w:rFonts w:ascii="Times New Roman" w:eastAsia="Times New Roman"/>
          <w:spacing w:val="21"/>
        </w:rPr>
        <w:t>5</w:t>
      </w:r>
      <w:r>
        <w:rPr>
          <w:rFonts w:ascii="Times New Roman" w:eastAsia="Times New Roman"/>
          <w:spacing w:val="16"/>
        </w:rPr>
        <w:t>0</w:t>
      </w:r>
      <w:r>
        <w:rPr>
          <w:spacing w:val="-85"/>
        </w:rPr>
        <w:t>）</w:t>
      </w:r>
      <w:r>
        <w:rPr>
          <w:spacing w:val="2"/>
        </w:rPr>
        <w:t>；重度</w:t>
      </w:r>
      <w:r>
        <w:rPr>
          <w:spacing w:val="-6"/>
        </w:rPr>
        <w:t>（</w:t>
      </w:r>
      <w:r>
        <w:rPr>
          <w:rFonts w:ascii="Times New Roman" w:eastAsia="Times New Roman"/>
          <w:spacing w:val="-6"/>
        </w:rPr>
        <w:t>IQ20-35</w:t>
      </w:r>
      <w:r>
        <w:rPr>
          <w:spacing w:val="-6"/>
        </w:rPr>
        <w:t>）和极重度</w:t>
      </w:r>
      <w:r>
        <w:rPr>
          <w:spacing w:val="10"/>
        </w:rPr>
        <w:t>（</w:t>
      </w:r>
      <w:r>
        <w:rPr>
          <w:rFonts w:ascii="Times New Roman" w:eastAsia="Times New Roman"/>
          <w:spacing w:val="6"/>
        </w:rPr>
        <w:t>I</w:t>
      </w:r>
      <w:r>
        <w:rPr>
          <w:rFonts w:ascii="Times New Roman" w:eastAsia="Times New Roman"/>
          <w:spacing w:val="10"/>
        </w:rPr>
        <w:t>Q&lt;20</w:t>
      </w:r>
      <w:r>
        <w:rPr>
          <w:spacing w:val="-101"/>
        </w:rPr>
        <w:t>）</w:t>
      </w:r>
      <w:r>
        <w:rPr>
          <w:spacing w:val="-6"/>
        </w:rPr>
        <w:t>。</w:t>
      </w:r>
      <w:r>
        <w:rPr>
          <w:b/>
          <w:spacing w:val="-11"/>
        </w:rPr>
        <w:t xml:space="preserve">智商 </w:t>
      </w:r>
      <w:r>
        <w:rPr>
          <w:rFonts w:ascii="Times New Roman" w:eastAsia="Times New Roman"/>
          <w:b/>
          <w:spacing w:val="-6"/>
        </w:rPr>
        <w:t>70-85</w:t>
      </w:r>
      <w:r>
        <w:rPr>
          <w:b/>
          <w:spacing w:val="-2"/>
        </w:rPr>
        <w:t>为智力临界低常，不在本保障范围内。</w:t>
      </w:r>
      <w:r>
        <w:rPr>
          <w:spacing w:val="-2"/>
        </w:rPr>
        <w:t>智商的检测必须由本公司认可的专职心理测验工作者进行，心理测验工作者必须持有心理测量专业委员会资格认定书。根据被保险人年龄采用对应的智力量表如韦克斯勒智力量表（儿童智力量表或成人智力量表</w:t>
      </w:r>
      <w:r>
        <w:rPr>
          <w:spacing w:val="-106"/>
        </w:rPr>
        <w:t>）</w:t>
      </w:r>
      <w:r>
        <w:rPr>
          <w:spacing w:val="-2"/>
        </w:rPr>
        <w:t>。</w:t>
      </w:r>
    </w:p>
    <w:p>
      <w:pPr>
        <w:pStyle w:val="3"/>
        <w:spacing w:before="4"/>
        <w:ind w:left="162"/>
      </w:pPr>
      <w:r>
        <w:rPr>
          <w:spacing w:val="-3"/>
        </w:rPr>
        <w:t>理赔时必须满足下列所有条件：</w:t>
      </w:r>
    </w:p>
    <w:p>
      <w:pPr>
        <w:pStyle w:val="8"/>
        <w:numPr>
          <w:ilvl w:val="1"/>
          <w:numId w:val="106"/>
        </w:numPr>
        <w:tabs>
          <w:tab w:val="left" w:pos="692"/>
        </w:tabs>
        <w:spacing w:before="4" w:after="0" w:line="269" w:lineRule="exact"/>
        <w:ind w:left="691" w:right="0" w:hanging="530"/>
        <w:jc w:val="left"/>
        <w:rPr>
          <w:sz w:val="21"/>
        </w:rPr>
      </w:pPr>
      <w:r>
        <w:rPr>
          <w:spacing w:val="-3"/>
          <w:sz w:val="21"/>
        </w:rPr>
        <w:t>被保险人大于或等于六周岁，且确诊时小于二十五周岁；</w:t>
      </w:r>
    </w:p>
    <w:p>
      <w:pPr>
        <w:pStyle w:val="8"/>
        <w:numPr>
          <w:ilvl w:val="1"/>
          <w:numId w:val="106"/>
        </w:numPr>
        <w:tabs>
          <w:tab w:val="left" w:pos="702"/>
        </w:tabs>
        <w:spacing w:before="0" w:after="0" w:line="244" w:lineRule="auto"/>
        <w:ind w:left="685" w:right="621" w:hanging="524"/>
        <w:jc w:val="left"/>
        <w:rPr>
          <w:sz w:val="21"/>
        </w:rPr>
      </w:pPr>
      <w:r>
        <w:rPr>
          <w:spacing w:val="-2"/>
          <w:sz w:val="21"/>
        </w:rPr>
        <w:t>主任医师确诊被保险人由于严重头部创伤或疾病造成智力</w:t>
      </w:r>
      <w:r>
        <w:rPr>
          <w:spacing w:val="-4"/>
          <w:sz w:val="21"/>
        </w:rPr>
        <w:t>低下；</w:t>
      </w:r>
    </w:p>
    <w:p>
      <w:pPr>
        <w:pStyle w:val="8"/>
        <w:numPr>
          <w:ilvl w:val="1"/>
          <w:numId w:val="106"/>
        </w:numPr>
        <w:tabs>
          <w:tab w:val="left" w:pos="702"/>
        </w:tabs>
        <w:spacing w:before="0" w:after="0" w:line="244" w:lineRule="auto"/>
        <w:ind w:left="685" w:right="621" w:hanging="524"/>
        <w:jc w:val="left"/>
        <w:rPr>
          <w:sz w:val="21"/>
        </w:rPr>
      </w:pPr>
      <w:r>
        <w:rPr>
          <w:spacing w:val="-2"/>
          <w:sz w:val="21"/>
        </w:rPr>
        <w:t>专职合格心理检测工作者适时做的心理检测证实被保险人智力低常（中度、重度或极重度</w:t>
      </w:r>
      <w:r>
        <w:rPr>
          <w:spacing w:val="-106"/>
          <w:sz w:val="21"/>
        </w:rPr>
        <w:t>）</w:t>
      </w:r>
      <w:r>
        <w:rPr>
          <w:sz w:val="21"/>
        </w:rPr>
        <w:t>；</w:t>
      </w:r>
    </w:p>
    <w:p>
      <w:pPr>
        <w:pStyle w:val="8"/>
        <w:numPr>
          <w:ilvl w:val="1"/>
          <w:numId w:val="106"/>
        </w:numPr>
        <w:tabs>
          <w:tab w:val="left" w:pos="692"/>
        </w:tabs>
        <w:spacing w:before="0" w:after="0" w:line="263" w:lineRule="exact"/>
        <w:ind w:left="691" w:right="0" w:hanging="530"/>
        <w:jc w:val="left"/>
        <w:rPr>
          <w:sz w:val="21"/>
        </w:rPr>
      </w:pPr>
      <w:r>
        <w:rPr>
          <w:spacing w:val="-5"/>
          <w:sz w:val="21"/>
        </w:rPr>
        <w:t xml:space="preserve">被保险人的智力低常自确认日起持续 </w:t>
      </w:r>
      <w:r>
        <w:rPr>
          <w:rFonts w:ascii="Times New Roman" w:eastAsia="Times New Roman"/>
          <w:spacing w:val="-2"/>
          <w:sz w:val="21"/>
        </w:rPr>
        <w:t>180</w:t>
      </w:r>
      <w:r>
        <w:rPr>
          <w:rFonts w:ascii="Times New Roman" w:eastAsia="Times New Roman"/>
          <w:spacing w:val="4"/>
          <w:sz w:val="21"/>
        </w:rPr>
        <w:t xml:space="preserve"> </w:t>
      </w:r>
      <w:r>
        <w:rPr>
          <w:spacing w:val="-4"/>
          <w:sz w:val="21"/>
        </w:rPr>
        <w:t>天以上。</w:t>
      </w:r>
    </w:p>
    <w:p>
      <w:pPr>
        <w:spacing w:after="0" w:line="263" w:lineRule="exact"/>
        <w:jc w:val="left"/>
        <w:rPr>
          <w:sz w:val="21"/>
        </w:rPr>
        <w:sectPr>
          <w:type w:val="continuous"/>
          <w:pgSz w:w="11910" w:h="16840"/>
          <w:pgMar w:top="320" w:right="620" w:bottom="280" w:left="1480" w:header="0" w:footer="851" w:gutter="0"/>
          <w:cols w:equalWidth="0" w:num="2">
            <w:col w:w="3106" w:space="40"/>
            <w:col w:w="6664"/>
          </w:cols>
        </w:sectPr>
      </w:pPr>
    </w:p>
    <w:p>
      <w:pPr>
        <w:pStyle w:val="3"/>
        <w:spacing w:before="5"/>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9"/>
        </w:numPr>
        <w:tabs>
          <w:tab w:val="left" w:pos="1338"/>
          <w:tab w:val="left" w:pos="1339"/>
        </w:tabs>
        <w:spacing w:before="91" w:after="0" w:line="240" w:lineRule="auto"/>
        <w:ind w:left="1338" w:right="0" w:hanging="1005"/>
        <w:jc w:val="left"/>
        <w:rPr>
          <w:b/>
          <w:sz w:val="21"/>
        </w:rPr>
      </w:pPr>
      <w:r>
        <w:rPr>
          <w:b/>
          <w:spacing w:val="-2"/>
          <w:sz w:val="21"/>
        </w:rPr>
        <w:t>严重肠道疾病并发</w:t>
      </w:r>
    </w:p>
    <w:p>
      <w:pPr>
        <w:spacing w:before="5"/>
        <w:ind w:left="1338" w:right="0" w:firstLine="0"/>
        <w:jc w:val="left"/>
        <w:rPr>
          <w:b/>
          <w:sz w:val="21"/>
        </w:rPr>
      </w:pPr>
      <w:r>
        <w:rPr>
          <w:b/>
          <w:w w:val="100"/>
          <w:sz w:val="21"/>
        </w:rPr>
        <w:t>症</w:t>
      </w:r>
    </w:p>
    <w:p>
      <w:pPr>
        <w:pStyle w:val="3"/>
        <w:spacing w:before="97" w:line="244" w:lineRule="auto"/>
        <w:ind w:left="162" w:right="619"/>
      </w:pPr>
      <w:r>
        <w:br w:type="column"/>
      </w:r>
      <w:r>
        <w:rPr>
          <w:spacing w:val="-2"/>
        </w:rPr>
        <w:t>严重肠道疾病或外伤导致小肠损害并发症，必须满足下列所有条</w:t>
      </w:r>
      <w:r>
        <w:rPr>
          <w:spacing w:val="-6"/>
        </w:rPr>
        <w:t>件：</w:t>
      </w:r>
    </w:p>
    <w:p>
      <w:pPr>
        <w:pStyle w:val="8"/>
        <w:numPr>
          <w:ilvl w:val="0"/>
          <w:numId w:val="108"/>
        </w:numPr>
        <w:tabs>
          <w:tab w:val="left" w:pos="692"/>
        </w:tabs>
        <w:spacing w:before="0" w:after="0" w:line="267" w:lineRule="exact"/>
        <w:ind w:left="691" w:right="0" w:hanging="530"/>
        <w:jc w:val="left"/>
        <w:rPr>
          <w:sz w:val="21"/>
        </w:rPr>
      </w:pPr>
      <w:r>
        <w:rPr>
          <w:spacing w:val="-3"/>
          <w:sz w:val="21"/>
        </w:rPr>
        <w:t>至少切除了三分之二小肠；</w:t>
      </w:r>
    </w:p>
    <w:p>
      <w:pPr>
        <w:pStyle w:val="8"/>
        <w:numPr>
          <w:ilvl w:val="0"/>
          <w:numId w:val="108"/>
        </w:numPr>
        <w:tabs>
          <w:tab w:val="left" w:pos="692"/>
        </w:tabs>
        <w:spacing w:before="5" w:after="0" w:line="240" w:lineRule="auto"/>
        <w:ind w:left="691" w:right="0" w:hanging="530"/>
        <w:jc w:val="left"/>
        <w:rPr>
          <w:sz w:val="21"/>
        </w:rPr>
      </w:pPr>
      <w:r>
        <w:rPr>
          <w:spacing w:val="-8"/>
          <w:sz w:val="21"/>
        </w:rPr>
        <w:t xml:space="preserve">完全肠外营养支持 </w:t>
      </w:r>
      <w:r>
        <w:rPr>
          <w:rFonts w:ascii="Times New Roman" w:eastAsia="Times New Roman"/>
          <w:spacing w:val="-2"/>
          <w:sz w:val="21"/>
        </w:rPr>
        <w:t>3</w:t>
      </w:r>
      <w:r>
        <w:rPr>
          <w:rFonts w:ascii="Times New Roman" w:eastAsia="Times New Roman"/>
          <w:spacing w:val="6"/>
          <w:sz w:val="21"/>
        </w:rPr>
        <w:t xml:space="preserve"> </w:t>
      </w:r>
      <w:r>
        <w:rPr>
          <w:spacing w:val="-4"/>
          <w:sz w:val="21"/>
        </w:rPr>
        <w:t>个月以上。</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6"/>
        <w:rPr>
          <w:sz w:val="11"/>
        </w:rPr>
      </w:pPr>
    </w:p>
    <w:p>
      <w:pPr>
        <w:pStyle w:val="8"/>
        <w:numPr>
          <w:ilvl w:val="1"/>
          <w:numId w:val="99"/>
        </w:numPr>
        <w:tabs>
          <w:tab w:val="left" w:pos="1339"/>
        </w:tabs>
        <w:spacing w:before="92" w:after="0" w:line="275" w:lineRule="exact"/>
        <w:ind w:left="1338" w:right="0" w:hanging="1005"/>
        <w:jc w:val="both"/>
        <w:rPr>
          <w:sz w:val="21"/>
        </w:rPr>
      </w:pPr>
      <w:r>
        <w:rPr>
          <w:b/>
          <w:spacing w:val="36"/>
          <w:sz w:val="21"/>
        </w:rPr>
        <w:t xml:space="preserve">严重瑞氏综合征 </w:t>
      </w:r>
      <w:r>
        <w:rPr>
          <w:sz w:val="21"/>
        </w:rPr>
        <w:t>瑞氏综合征（</w:t>
      </w:r>
      <w:r>
        <w:rPr>
          <w:rFonts w:ascii="Times New Roman" w:eastAsia="Times New Roman"/>
          <w:sz w:val="21"/>
        </w:rPr>
        <w:t>Reye</w:t>
      </w:r>
      <w:r>
        <w:rPr>
          <w:rFonts w:ascii="Times New Roman" w:eastAsia="Times New Roman"/>
          <w:spacing w:val="-12"/>
          <w:sz w:val="21"/>
        </w:rPr>
        <w:t xml:space="preserve"> </w:t>
      </w:r>
      <w:r>
        <w:rPr>
          <w:sz w:val="21"/>
        </w:rPr>
        <w:t>综合征）</w:t>
      </w:r>
      <w:r>
        <w:rPr>
          <w:spacing w:val="-1"/>
          <w:sz w:val="21"/>
        </w:rPr>
        <w:t>是线粒体功能障碍性疾病。导致脂肪</w:t>
      </w:r>
    </w:p>
    <w:p>
      <w:pPr>
        <w:pStyle w:val="3"/>
        <w:spacing w:line="244" w:lineRule="auto"/>
        <w:ind w:left="3307" w:right="619"/>
        <w:jc w:val="both"/>
      </w:pPr>
      <w:r>
        <w:rPr>
          <w:spacing w:val="-2"/>
        </w:rPr>
        <w:t>代谢障碍，引起短链脂肪酸、血氨升高，造成脑水肿。主要临床表现为急性发热、反复呕吐、惊厥及意识障碍等等。肝脏活检是确诊的重要手段。瑞氏综合征需由三级医院的专科医生确诊，并满足下列所有条件：</w:t>
      </w:r>
    </w:p>
    <w:p>
      <w:pPr>
        <w:pStyle w:val="8"/>
        <w:numPr>
          <w:ilvl w:val="0"/>
          <w:numId w:val="109"/>
        </w:numPr>
        <w:tabs>
          <w:tab w:val="left" w:pos="3837"/>
        </w:tabs>
        <w:spacing w:before="0" w:after="0" w:line="261" w:lineRule="exact"/>
        <w:ind w:left="3836" w:right="0" w:hanging="530"/>
        <w:jc w:val="left"/>
        <w:rPr>
          <w:sz w:val="21"/>
        </w:rPr>
      </w:pPr>
      <w:r>
        <w:rPr>
          <w:spacing w:val="-3"/>
          <w:sz w:val="21"/>
        </w:rPr>
        <w:t>有脑水肿和颅内压升高的脑脊液检查和影像学检查证据；</w:t>
      </w:r>
    </w:p>
    <w:p>
      <w:pPr>
        <w:pStyle w:val="8"/>
        <w:numPr>
          <w:ilvl w:val="0"/>
          <w:numId w:val="109"/>
        </w:numPr>
        <w:tabs>
          <w:tab w:val="left" w:pos="3837"/>
        </w:tabs>
        <w:spacing w:before="4" w:after="0" w:line="240" w:lineRule="auto"/>
        <w:ind w:left="3836" w:right="0" w:hanging="530"/>
        <w:jc w:val="left"/>
        <w:rPr>
          <w:sz w:val="21"/>
        </w:rPr>
      </w:pPr>
      <w:r>
        <w:rPr>
          <w:spacing w:val="-6"/>
          <w:sz w:val="21"/>
        </w:rPr>
        <w:t xml:space="preserve">血氨超过正常值的 </w:t>
      </w:r>
      <w:r>
        <w:rPr>
          <w:rFonts w:ascii="Times New Roman" w:eastAsia="Times New Roman"/>
          <w:sz w:val="21"/>
        </w:rPr>
        <w:t>3</w:t>
      </w:r>
      <w:r>
        <w:rPr>
          <w:rFonts w:ascii="Times New Roman" w:eastAsia="Times New Roman"/>
          <w:spacing w:val="-10"/>
          <w:sz w:val="21"/>
        </w:rPr>
        <w:t xml:space="preserve"> </w:t>
      </w:r>
      <w:r>
        <w:rPr>
          <w:spacing w:val="-5"/>
          <w:sz w:val="21"/>
        </w:rPr>
        <w:t>倍；</w:t>
      </w:r>
    </w:p>
    <w:p>
      <w:pPr>
        <w:pStyle w:val="8"/>
        <w:numPr>
          <w:ilvl w:val="0"/>
          <w:numId w:val="109"/>
        </w:numPr>
        <w:tabs>
          <w:tab w:val="left" w:pos="3837"/>
        </w:tabs>
        <w:spacing w:before="5" w:after="0" w:line="240" w:lineRule="auto"/>
        <w:ind w:left="3836" w:right="0" w:hanging="530"/>
        <w:jc w:val="left"/>
        <w:rPr>
          <w:sz w:val="21"/>
        </w:rPr>
      </w:pPr>
      <w:r>
        <w:rPr>
          <w:spacing w:val="-5"/>
          <w:sz w:val="21"/>
        </w:rPr>
        <w:t xml:space="preserve">临床出现昏迷，病程至少达到疾病分期第 </w:t>
      </w:r>
      <w:r>
        <w:rPr>
          <w:rFonts w:ascii="Times New Roman" w:eastAsia="Times New Roman"/>
          <w:spacing w:val="-2"/>
          <w:sz w:val="21"/>
        </w:rPr>
        <w:t>3</w:t>
      </w:r>
      <w:r>
        <w:rPr>
          <w:rFonts w:ascii="Times New Roman" w:eastAsia="Times New Roman"/>
          <w:spacing w:val="8"/>
          <w:sz w:val="21"/>
        </w:rPr>
        <w:t xml:space="preserve"> </w:t>
      </w:r>
      <w:r>
        <w:rPr>
          <w:spacing w:val="-6"/>
          <w:sz w:val="21"/>
        </w:rPr>
        <w:t>期。</w:t>
      </w:r>
    </w:p>
    <w:p>
      <w:pPr>
        <w:pStyle w:val="3"/>
        <w:spacing w:before="6"/>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99"/>
        </w:numPr>
        <w:tabs>
          <w:tab w:val="left" w:pos="1338"/>
          <w:tab w:val="left" w:pos="1339"/>
        </w:tabs>
        <w:spacing w:before="91" w:after="0" w:line="240" w:lineRule="auto"/>
        <w:ind w:left="1338" w:right="0" w:hanging="1005"/>
        <w:jc w:val="left"/>
        <w:rPr>
          <w:b/>
          <w:sz w:val="21"/>
        </w:rPr>
      </w:pPr>
      <w:r>
        <w:rPr>
          <w:b/>
          <w:sz w:val="21"/>
        </w:rPr>
        <w:t>急性肺损伤</w:t>
      </w:r>
      <w:r>
        <w:rPr>
          <w:b/>
          <w:spacing w:val="-4"/>
          <w:sz w:val="21"/>
        </w:rPr>
        <w:t>（</w:t>
      </w:r>
      <w:r>
        <w:rPr>
          <w:rFonts w:ascii="Times New Roman" w:eastAsia="Times New Roman"/>
          <w:b/>
          <w:spacing w:val="-4"/>
          <w:sz w:val="21"/>
        </w:rPr>
        <w:t>ALI</w:t>
      </w:r>
      <w:r>
        <w:rPr>
          <w:b/>
          <w:spacing w:val="-4"/>
          <w:sz w:val="21"/>
        </w:rPr>
        <w:t>）</w:t>
      </w:r>
    </w:p>
    <w:p>
      <w:pPr>
        <w:spacing w:before="5"/>
        <w:ind w:left="1338" w:right="80" w:firstLine="0"/>
        <w:jc w:val="left"/>
        <w:rPr>
          <w:b/>
          <w:sz w:val="21"/>
        </w:rPr>
      </w:pPr>
      <w:r>
        <w:rPr>
          <w:b/>
          <w:sz w:val="21"/>
        </w:rPr>
        <w:t>或急性呼吸窘迫综</w:t>
      </w:r>
      <w:r>
        <w:rPr>
          <w:b/>
          <w:spacing w:val="-2"/>
          <w:sz w:val="21"/>
        </w:rPr>
        <w:t>合征（</w:t>
      </w:r>
      <w:r>
        <w:rPr>
          <w:rFonts w:ascii="Times New Roman" w:eastAsia="Times New Roman"/>
          <w:b/>
          <w:spacing w:val="-2"/>
          <w:sz w:val="21"/>
        </w:rPr>
        <w:t>ARDS</w:t>
      </w:r>
      <w:r>
        <w:rPr>
          <w:b/>
          <w:spacing w:val="-2"/>
          <w:sz w:val="21"/>
        </w:rPr>
        <w:t>）</w:t>
      </w:r>
    </w:p>
    <w:p>
      <w:pPr>
        <w:pStyle w:val="3"/>
        <w:spacing w:before="97" w:line="244" w:lineRule="auto"/>
        <w:ind w:left="79" w:right="619"/>
      </w:pPr>
      <w:r>
        <w:br w:type="column"/>
      </w:r>
      <w:r>
        <w:rPr>
          <w:spacing w:val="-2"/>
        </w:rPr>
        <w:t>一种表现为无心脏衰竭的肺水肿，为创伤、脓毒血症等临床多种疾病的并发症，造成多器官衰竭，死亡率高。</w:t>
      </w:r>
    </w:p>
    <w:p>
      <w:pPr>
        <w:pStyle w:val="3"/>
        <w:spacing w:line="263" w:lineRule="exact"/>
        <w:ind w:left="79"/>
      </w:pPr>
      <w:r>
        <w:rPr>
          <w:spacing w:val="-1"/>
        </w:rPr>
        <w:t>急性肺损伤或急性呼吸窘迫综合征必须由呼吸系统专科医师诊</w:t>
      </w:r>
    </w:p>
    <w:p>
      <w:pPr>
        <w:spacing w:after="0" w:line="263" w:lineRule="exact"/>
        <w:sectPr>
          <w:type w:val="continuous"/>
          <w:pgSz w:w="11910" w:h="16840"/>
          <w:pgMar w:top="320" w:right="620" w:bottom="280" w:left="1480" w:header="0" w:footer="851" w:gutter="0"/>
          <w:cols w:equalWidth="0" w:num="2">
            <w:col w:w="3188" w:space="40"/>
            <w:col w:w="6582"/>
          </w:cols>
        </w:sectPr>
      </w:pPr>
    </w:p>
    <w:p>
      <w:pPr>
        <w:pStyle w:val="3"/>
        <w:spacing w:before="51" w:line="244" w:lineRule="auto"/>
        <w:ind w:left="3307" w:right="619"/>
      </w:pPr>
      <w:r>
        <w:rPr>
          <w:spacing w:val="-2"/>
        </w:rPr>
        <w:t>断，被保险人确诊时年龄在二十五周岁以下，并有下列所有临床证据支持。</w:t>
      </w:r>
    </w:p>
    <w:p>
      <w:pPr>
        <w:pStyle w:val="8"/>
        <w:numPr>
          <w:ilvl w:val="0"/>
          <w:numId w:val="110"/>
        </w:numPr>
        <w:tabs>
          <w:tab w:val="left" w:pos="3837"/>
        </w:tabs>
        <w:spacing w:before="0" w:after="0" w:line="267" w:lineRule="exact"/>
        <w:ind w:left="3836" w:right="0" w:hanging="530"/>
        <w:jc w:val="left"/>
        <w:rPr>
          <w:sz w:val="21"/>
        </w:rPr>
      </w:pPr>
      <w:r>
        <w:rPr>
          <w:sz w:val="21"/>
        </w:rPr>
        <w:t>急性发作（</w:t>
      </w:r>
      <w:r>
        <w:rPr>
          <w:spacing w:val="-7"/>
          <w:sz w:val="21"/>
        </w:rPr>
        <w:t xml:space="preserve">原发疾病起病后 </w:t>
      </w:r>
      <w:r>
        <w:rPr>
          <w:rFonts w:ascii="Times New Roman" w:eastAsia="Times New Roman"/>
          <w:sz w:val="21"/>
        </w:rPr>
        <w:t>6</w:t>
      </w:r>
      <w:r>
        <w:rPr>
          <w:rFonts w:ascii="Times New Roman" w:eastAsia="Times New Roman"/>
          <w:spacing w:val="-14"/>
          <w:sz w:val="21"/>
        </w:rPr>
        <w:t xml:space="preserve"> </w:t>
      </w:r>
      <w:r>
        <w:rPr>
          <w:spacing w:val="-27"/>
          <w:sz w:val="21"/>
        </w:rPr>
        <w:t xml:space="preserve">至 </w:t>
      </w:r>
      <w:r>
        <w:rPr>
          <w:rFonts w:ascii="Times New Roman" w:eastAsia="Times New Roman"/>
          <w:sz w:val="21"/>
        </w:rPr>
        <w:t>72</w:t>
      </w:r>
      <w:r>
        <w:rPr>
          <w:rFonts w:ascii="Times New Roman" w:eastAsia="Times New Roman"/>
          <w:spacing w:val="-6"/>
          <w:sz w:val="21"/>
        </w:rPr>
        <w:t xml:space="preserve"> </w:t>
      </w:r>
      <w:r>
        <w:rPr>
          <w:sz w:val="21"/>
        </w:rPr>
        <w:t>小时</w:t>
      </w:r>
      <w:r>
        <w:rPr>
          <w:spacing w:val="-116"/>
          <w:sz w:val="21"/>
        </w:rPr>
        <w:t>）</w:t>
      </w:r>
      <w:r>
        <w:rPr>
          <w:spacing w:val="-5"/>
          <w:sz w:val="21"/>
        </w:rPr>
        <w:t>；</w:t>
      </w:r>
    </w:p>
    <w:p>
      <w:pPr>
        <w:pStyle w:val="8"/>
        <w:numPr>
          <w:ilvl w:val="0"/>
          <w:numId w:val="110"/>
        </w:numPr>
        <w:tabs>
          <w:tab w:val="left" w:pos="3847"/>
        </w:tabs>
        <w:spacing w:before="0" w:after="0" w:line="244" w:lineRule="auto"/>
        <w:ind w:left="3830" w:right="621" w:hanging="524"/>
        <w:jc w:val="both"/>
        <w:rPr>
          <w:sz w:val="21"/>
        </w:rPr>
      </w:pPr>
      <w:r>
        <w:rPr>
          <w:spacing w:val="-2"/>
          <w:sz w:val="21"/>
        </w:rPr>
        <w:t>急性发作的临床症状体征，包括呼吸急促、呼吸困难、心动过速、大汗、面色苍白及辅助呼吸肌活动加强（点头呼吸、提肩呼吸</w:t>
      </w:r>
      <w:r>
        <w:rPr>
          <w:spacing w:val="-106"/>
          <w:sz w:val="21"/>
        </w:rPr>
        <w:t>）</w:t>
      </w:r>
      <w:r>
        <w:rPr>
          <w:sz w:val="21"/>
        </w:rPr>
        <w:t>；</w:t>
      </w:r>
    </w:p>
    <w:p>
      <w:pPr>
        <w:pStyle w:val="8"/>
        <w:numPr>
          <w:ilvl w:val="0"/>
          <w:numId w:val="110"/>
        </w:numPr>
        <w:tabs>
          <w:tab w:val="left" w:pos="3837"/>
        </w:tabs>
        <w:spacing w:before="0" w:after="0" w:line="267" w:lineRule="exact"/>
        <w:ind w:left="3836" w:right="0" w:hanging="530"/>
        <w:jc w:val="left"/>
        <w:rPr>
          <w:sz w:val="21"/>
        </w:rPr>
      </w:pPr>
      <w:r>
        <w:rPr>
          <w:spacing w:val="-4"/>
          <w:sz w:val="21"/>
        </w:rPr>
        <w:t>双肺浸润影；</w:t>
      </w:r>
    </w:p>
    <w:p>
      <w:pPr>
        <w:pStyle w:val="8"/>
        <w:numPr>
          <w:ilvl w:val="0"/>
          <w:numId w:val="110"/>
        </w:numPr>
        <w:tabs>
          <w:tab w:val="left" w:pos="3837"/>
        </w:tabs>
        <w:spacing w:before="0" w:after="0" w:line="240" w:lineRule="auto"/>
        <w:ind w:left="3836" w:right="0" w:hanging="530"/>
        <w:jc w:val="left"/>
        <w:rPr>
          <w:sz w:val="21"/>
        </w:rPr>
      </w:pPr>
      <w:r>
        <w:rPr>
          <w:rFonts w:ascii="Times New Roman" w:eastAsia="Times New Roman"/>
          <w:w w:val="95"/>
          <w:sz w:val="21"/>
        </w:rPr>
        <w:t>PaO</w:t>
      </w:r>
      <w:r>
        <w:rPr>
          <w:rFonts w:ascii="Times New Roman" w:eastAsia="Times New Roman"/>
          <w:w w:val="95"/>
          <w:sz w:val="21"/>
          <w:vertAlign w:val="subscript"/>
        </w:rPr>
        <w:t>2</w:t>
      </w:r>
      <w:r>
        <w:rPr>
          <w:rFonts w:ascii="Times New Roman" w:eastAsia="Times New Roman"/>
          <w:w w:val="95"/>
          <w:sz w:val="21"/>
          <w:vertAlign w:val="baseline"/>
        </w:rPr>
        <w:t>/FiO</w:t>
      </w:r>
      <w:r>
        <w:rPr>
          <w:rFonts w:ascii="Times New Roman" w:eastAsia="Times New Roman"/>
          <w:w w:val="95"/>
          <w:sz w:val="21"/>
          <w:vertAlign w:val="subscript"/>
        </w:rPr>
        <w:t>2</w:t>
      </w:r>
      <w:r>
        <w:rPr>
          <w:w w:val="95"/>
          <w:sz w:val="21"/>
          <w:vertAlign w:val="baseline"/>
        </w:rPr>
        <w:t>（动脉血压分压</w:t>
      </w:r>
      <w:r>
        <w:rPr>
          <w:rFonts w:ascii="Times New Roman" w:eastAsia="Times New Roman"/>
          <w:w w:val="95"/>
          <w:sz w:val="21"/>
          <w:vertAlign w:val="baseline"/>
        </w:rPr>
        <w:t>/</w:t>
      </w:r>
      <w:r>
        <w:rPr>
          <w:w w:val="95"/>
          <w:sz w:val="21"/>
          <w:vertAlign w:val="baseline"/>
        </w:rPr>
        <w:t>吸入气氧分压）低于</w:t>
      </w:r>
      <w:r>
        <w:rPr>
          <w:spacing w:val="63"/>
          <w:w w:val="150"/>
          <w:sz w:val="21"/>
          <w:vertAlign w:val="baseline"/>
        </w:rPr>
        <w:t xml:space="preserve"> </w:t>
      </w:r>
      <w:r>
        <w:rPr>
          <w:rFonts w:ascii="Times New Roman" w:eastAsia="Times New Roman"/>
          <w:spacing w:val="-2"/>
          <w:w w:val="95"/>
          <w:sz w:val="21"/>
          <w:vertAlign w:val="baseline"/>
        </w:rPr>
        <w:t>200mmHg</w:t>
      </w:r>
      <w:r>
        <w:rPr>
          <w:spacing w:val="-2"/>
          <w:w w:val="95"/>
          <w:sz w:val="21"/>
          <w:vertAlign w:val="baseline"/>
        </w:rPr>
        <w:t>；</w:t>
      </w:r>
    </w:p>
    <w:p>
      <w:pPr>
        <w:pStyle w:val="8"/>
        <w:numPr>
          <w:ilvl w:val="0"/>
          <w:numId w:val="110"/>
        </w:numPr>
        <w:tabs>
          <w:tab w:val="left" w:pos="3837"/>
        </w:tabs>
        <w:spacing w:before="4" w:after="0" w:line="240" w:lineRule="auto"/>
        <w:ind w:left="3836" w:right="0" w:hanging="530"/>
        <w:jc w:val="left"/>
        <w:rPr>
          <w:sz w:val="21"/>
        </w:rPr>
      </w:pPr>
      <w:r>
        <w:rPr>
          <w:spacing w:val="-7"/>
          <w:sz w:val="21"/>
        </w:rPr>
        <w:t xml:space="preserve">肺动脉嵌入压低于 </w:t>
      </w:r>
      <w:r>
        <w:rPr>
          <w:rFonts w:ascii="Times New Roman" w:eastAsia="Times New Roman"/>
          <w:spacing w:val="-2"/>
          <w:sz w:val="21"/>
        </w:rPr>
        <w:t>18mmHg</w:t>
      </w:r>
      <w:r>
        <w:rPr>
          <w:spacing w:val="-2"/>
          <w:sz w:val="21"/>
        </w:rPr>
        <w:t>；</w:t>
      </w:r>
    </w:p>
    <w:p>
      <w:pPr>
        <w:pStyle w:val="8"/>
        <w:numPr>
          <w:ilvl w:val="0"/>
          <w:numId w:val="110"/>
        </w:numPr>
        <w:tabs>
          <w:tab w:val="left" w:pos="3837"/>
        </w:tabs>
        <w:spacing w:before="5" w:after="0" w:line="240" w:lineRule="auto"/>
        <w:ind w:left="3836" w:right="0" w:hanging="530"/>
        <w:jc w:val="left"/>
        <w:rPr>
          <w:sz w:val="21"/>
        </w:rPr>
      </w:pPr>
      <w:r>
        <w:rPr>
          <w:spacing w:val="-3"/>
          <w:sz w:val="21"/>
        </w:rPr>
        <w:t>临床无左房高压表现。</w:t>
      </w:r>
    </w:p>
    <w:p>
      <w:pPr>
        <w:pStyle w:val="3"/>
        <w:rPr>
          <w:sz w:val="22"/>
        </w:rPr>
      </w:pPr>
    </w:p>
    <w:p>
      <w:pPr>
        <w:pStyle w:val="8"/>
        <w:numPr>
          <w:ilvl w:val="1"/>
          <w:numId w:val="99"/>
        </w:numPr>
        <w:tabs>
          <w:tab w:val="left" w:pos="1338"/>
          <w:tab w:val="left" w:pos="1339"/>
          <w:tab w:val="left" w:pos="3307"/>
        </w:tabs>
        <w:spacing w:before="197" w:after="0" w:line="240" w:lineRule="auto"/>
        <w:ind w:left="1338" w:right="0" w:hanging="1005"/>
        <w:jc w:val="left"/>
        <w:rPr>
          <w:sz w:val="21"/>
        </w:rPr>
      </w:pPr>
      <w:r>
        <w:rPr>
          <w:b/>
          <w:sz w:val="21"/>
        </w:rPr>
        <w:t>溶血性尿毒综合</w:t>
      </w:r>
      <w:r>
        <w:rPr>
          <w:b/>
          <w:spacing w:val="-10"/>
          <w:sz w:val="21"/>
        </w:rPr>
        <w:t>征</w:t>
      </w:r>
      <w:r>
        <w:rPr>
          <w:b/>
          <w:sz w:val="21"/>
        </w:rPr>
        <w:tab/>
      </w:r>
      <w:r>
        <w:rPr>
          <w:spacing w:val="-2"/>
          <w:sz w:val="21"/>
        </w:rPr>
        <w:t>一种由于感染导致的急性综合征，引起红细胞溶血，肾功能衰</w:t>
      </w:r>
      <w:r>
        <w:rPr>
          <w:spacing w:val="-10"/>
          <w:sz w:val="21"/>
        </w:rPr>
        <w:t>竭</w:t>
      </w:r>
    </w:p>
    <w:p>
      <w:pPr>
        <w:pStyle w:val="3"/>
        <w:spacing w:before="4" w:line="244" w:lineRule="auto"/>
        <w:ind w:left="3307" w:right="608"/>
      </w:pPr>
      <w:r>
        <w:rPr>
          <w:spacing w:val="-2"/>
        </w:rPr>
        <w:t>及尿毒症。溶血尿毒综合征必须由血液和肾脏专科医师诊断，被</w:t>
      </w:r>
      <w:r>
        <w:rPr>
          <w:spacing w:val="-3"/>
        </w:rPr>
        <w:t>保险人确诊时年龄在二十五周岁以下，并且满足下列所有条件：</w:t>
      </w:r>
    </w:p>
    <w:p>
      <w:pPr>
        <w:pStyle w:val="8"/>
        <w:numPr>
          <w:ilvl w:val="0"/>
          <w:numId w:val="111"/>
        </w:numPr>
        <w:tabs>
          <w:tab w:val="left" w:pos="3847"/>
        </w:tabs>
        <w:spacing w:before="0" w:after="0" w:line="244" w:lineRule="auto"/>
        <w:ind w:left="3830" w:right="621" w:hanging="524"/>
        <w:jc w:val="left"/>
        <w:rPr>
          <w:sz w:val="21"/>
        </w:rPr>
      </w:pPr>
      <w:r>
        <w:rPr>
          <w:spacing w:val="-2"/>
          <w:sz w:val="21"/>
        </w:rPr>
        <w:t>实验室检查确认有溶血性贫血、血尿、尿毒症、血小板减少性紫癜；</w:t>
      </w:r>
    </w:p>
    <w:p>
      <w:pPr>
        <w:pStyle w:val="8"/>
        <w:numPr>
          <w:ilvl w:val="0"/>
          <w:numId w:val="111"/>
        </w:numPr>
        <w:tabs>
          <w:tab w:val="left" w:pos="3837"/>
        </w:tabs>
        <w:spacing w:before="0" w:after="0" w:line="268" w:lineRule="exact"/>
        <w:ind w:left="3836" w:right="0" w:hanging="530"/>
        <w:jc w:val="left"/>
        <w:rPr>
          <w:sz w:val="21"/>
        </w:rPr>
      </w:pPr>
      <w:r>
        <w:rPr>
          <w:spacing w:val="-3"/>
          <w:sz w:val="21"/>
        </w:rPr>
        <w:t>因肾脏功能衰竭实施了肾脏透析治疗。</w:t>
      </w:r>
    </w:p>
    <w:p>
      <w:pPr>
        <w:spacing w:before="0" w:line="242" w:lineRule="auto"/>
        <w:ind w:left="3307" w:right="511" w:firstLine="0"/>
        <w:jc w:val="left"/>
        <w:rPr>
          <w:b/>
          <w:sz w:val="21"/>
        </w:rPr>
      </w:pPr>
      <w:r>
        <w:rPr>
          <w:b/>
          <w:spacing w:val="-2"/>
          <w:sz w:val="21"/>
        </w:rPr>
        <w:t>任何非因感染导致的溶血性贫血，如：自身免疫性溶血性贫血、</w:t>
      </w:r>
      <w:r>
        <w:rPr>
          <w:b/>
          <w:spacing w:val="-10"/>
          <w:sz w:val="21"/>
        </w:rPr>
        <w:t>与红细胞末缺陷有关的溶血性贫血、红细胞酶病、血红蛋白病等，</w:t>
      </w:r>
      <w:r>
        <w:rPr>
          <w:b/>
          <w:spacing w:val="-2"/>
          <w:sz w:val="21"/>
        </w:rPr>
        <w:t>不在保障范围内。</w:t>
      </w:r>
    </w:p>
    <w:p>
      <w:pPr>
        <w:pStyle w:val="3"/>
        <w:spacing w:before="2"/>
        <w:rPr>
          <w:b/>
          <w:sz w:val="18"/>
        </w:rPr>
      </w:pPr>
    </w:p>
    <w:p>
      <w:pPr>
        <w:pStyle w:val="8"/>
        <w:numPr>
          <w:ilvl w:val="1"/>
          <w:numId w:val="99"/>
        </w:numPr>
        <w:tabs>
          <w:tab w:val="left" w:pos="1339"/>
        </w:tabs>
        <w:spacing w:before="0" w:after="0" w:line="240" w:lineRule="auto"/>
        <w:ind w:left="1338" w:right="0" w:hanging="1005"/>
        <w:jc w:val="both"/>
        <w:rPr>
          <w:sz w:val="21"/>
        </w:rPr>
      </w:pPr>
      <w:r>
        <w:rPr>
          <w:b/>
          <w:sz w:val="21"/>
        </w:rPr>
        <w:t>亚历山大病</w:t>
      </w:r>
      <w:r>
        <w:rPr>
          <w:b/>
          <w:spacing w:val="710"/>
          <w:sz w:val="21"/>
        </w:rPr>
        <w:t xml:space="preserve"> </w:t>
      </w:r>
      <w:r>
        <w:rPr>
          <w:sz w:val="21"/>
        </w:rPr>
        <w:t>亚历山大病（</w:t>
      </w:r>
      <w:r>
        <w:rPr>
          <w:rFonts w:ascii="Times New Roman" w:hAnsi="Times New Roman" w:eastAsia="Times New Roman"/>
          <w:sz w:val="21"/>
        </w:rPr>
        <w:t>Alexander’s</w:t>
      </w:r>
      <w:r>
        <w:rPr>
          <w:rFonts w:ascii="Times New Roman" w:hAnsi="Times New Roman" w:eastAsia="Times New Roman"/>
          <w:spacing w:val="-5"/>
          <w:sz w:val="21"/>
        </w:rPr>
        <w:t xml:space="preserve"> </w:t>
      </w:r>
      <w:r>
        <w:rPr>
          <w:rFonts w:ascii="Times New Roman" w:hAnsi="Times New Roman" w:eastAsia="Times New Roman"/>
          <w:sz w:val="21"/>
        </w:rPr>
        <w:t>Disease</w:t>
      </w:r>
      <w:r>
        <w:rPr>
          <w:sz w:val="21"/>
        </w:rPr>
        <w:t>）</w:t>
      </w:r>
      <w:r>
        <w:rPr>
          <w:spacing w:val="-1"/>
          <w:sz w:val="21"/>
        </w:rPr>
        <w:t>是一种遗传性中枢神经系统退</w:t>
      </w:r>
    </w:p>
    <w:p>
      <w:pPr>
        <w:pStyle w:val="3"/>
        <w:spacing w:before="5" w:line="242" w:lineRule="auto"/>
        <w:ind w:left="3307" w:right="619"/>
        <w:jc w:val="both"/>
      </w:pPr>
      <w:r>
        <w:rPr>
          <w:spacing w:val="-2"/>
        </w:rPr>
        <w:t>行性病变，特点为脑白质营养不良性。临床表现为惊厥发作、智力下降、球麻痹、共济失调、痉性瘫痪。亚历山大病必须被明确诊断，并且造成永久性神经系统功能障碍。被保险人自主生活能力完全丧失，无法独立完成六项基本日常生活活动中的三项或三项以上，日常生活必须持续受到他人护理。</w:t>
      </w:r>
    </w:p>
    <w:p>
      <w:pPr>
        <w:spacing w:before="5"/>
        <w:ind w:left="3307" w:right="0" w:firstLine="0"/>
        <w:jc w:val="left"/>
        <w:rPr>
          <w:b/>
          <w:sz w:val="21"/>
        </w:rPr>
      </w:pPr>
      <w:r>
        <w:rPr>
          <w:b/>
          <w:spacing w:val="-1"/>
          <w:sz w:val="21"/>
        </w:rPr>
        <w:t>未明确诊断的疑似病例除外。</w:t>
      </w:r>
    </w:p>
    <w:p>
      <w:pPr>
        <w:pStyle w:val="3"/>
        <w:spacing w:before="8"/>
        <w:rPr>
          <w:b/>
          <w:sz w:val="18"/>
        </w:rPr>
      </w:pPr>
    </w:p>
    <w:p>
      <w:pPr>
        <w:pStyle w:val="8"/>
        <w:numPr>
          <w:ilvl w:val="1"/>
          <w:numId w:val="99"/>
        </w:numPr>
        <w:tabs>
          <w:tab w:val="left" w:pos="1338"/>
          <w:tab w:val="left" w:pos="1339"/>
          <w:tab w:val="left" w:pos="3307"/>
        </w:tabs>
        <w:spacing w:before="0" w:after="0" w:line="275" w:lineRule="exact"/>
        <w:ind w:left="1338" w:right="0" w:hanging="1005"/>
        <w:jc w:val="left"/>
        <w:rPr>
          <w:sz w:val="21"/>
        </w:rPr>
      </w:pPr>
      <w:r>
        <w:rPr>
          <w:b/>
          <w:sz w:val="21"/>
        </w:rPr>
        <w:t>多发性骨髓</w:t>
      </w:r>
      <w:r>
        <w:rPr>
          <w:b/>
          <w:spacing w:val="-10"/>
          <w:sz w:val="21"/>
        </w:rPr>
        <w:t>瘤</w:t>
      </w:r>
      <w:r>
        <w:rPr>
          <w:b/>
          <w:sz w:val="21"/>
        </w:rPr>
        <w:tab/>
      </w:r>
      <w:r>
        <w:rPr>
          <w:spacing w:val="-2"/>
          <w:sz w:val="21"/>
        </w:rPr>
        <w:t>多发性骨髓瘤是浆细胞异常增生的恶性肿瘤。必须满足下列所</w:t>
      </w:r>
      <w:r>
        <w:rPr>
          <w:spacing w:val="-10"/>
          <w:sz w:val="21"/>
        </w:rPr>
        <w:t>有</w:t>
      </w:r>
    </w:p>
    <w:p>
      <w:pPr>
        <w:pStyle w:val="3"/>
        <w:ind w:left="3307"/>
      </w:pPr>
      <w:r>
        <w:rPr>
          <w:spacing w:val="-4"/>
        </w:rPr>
        <w:t>条件：</w:t>
      </w:r>
    </w:p>
    <w:p>
      <w:pPr>
        <w:pStyle w:val="8"/>
        <w:numPr>
          <w:ilvl w:val="0"/>
          <w:numId w:val="112"/>
        </w:numPr>
        <w:tabs>
          <w:tab w:val="left" w:pos="3837"/>
        </w:tabs>
        <w:spacing w:before="4" w:after="0" w:line="240" w:lineRule="auto"/>
        <w:ind w:left="3836" w:right="0" w:hanging="530"/>
        <w:jc w:val="left"/>
        <w:rPr>
          <w:sz w:val="21"/>
        </w:rPr>
      </w:pPr>
      <w:r>
        <w:rPr>
          <w:spacing w:val="-3"/>
          <w:sz w:val="21"/>
        </w:rPr>
        <w:t>骨髓活组织检查符合多发性骨髓瘤的典型骨髓改变；</w:t>
      </w:r>
    </w:p>
    <w:p>
      <w:pPr>
        <w:pStyle w:val="8"/>
        <w:numPr>
          <w:ilvl w:val="0"/>
          <w:numId w:val="112"/>
        </w:numPr>
        <w:tabs>
          <w:tab w:val="left" w:pos="3837"/>
        </w:tabs>
        <w:spacing w:before="5" w:after="0" w:line="240" w:lineRule="auto"/>
        <w:ind w:left="3836" w:right="0" w:hanging="530"/>
        <w:jc w:val="left"/>
        <w:rPr>
          <w:sz w:val="21"/>
        </w:rPr>
      </w:pPr>
      <w:r>
        <w:rPr>
          <w:spacing w:val="-3"/>
          <w:sz w:val="21"/>
        </w:rPr>
        <w:t>至少存在下列一项：</w:t>
      </w:r>
    </w:p>
    <w:p>
      <w:pPr>
        <w:pStyle w:val="3"/>
        <w:spacing w:before="4"/>
        <w:ind w:left="3725"/>
      </w:pPr>
      <w:r>
        <w:rPr>
          <w:spacing w:val="-3"/>
        </w:rPr>
        <w:t>①异常球蛋白血症；</w:t>
      </w:r>
    </w:p>
    <w:p>
      <w:pPr>
        <w:pStyle w:val="3"/>
        <w:spacing w:before="1"/>
        <w:ind w:left="3725"/>
      </w:pPr>
      <w:r>
        <w:rPr>
          <w:spacing w:val="-4"/>
        </w:rPr>
        <w:t>②溶骨性损害。</w:t>
      </w:r>
    </w:p>
    <w:p>
      <w:pPr>
        <w:spacing w:before="4"/>
        <w:ind w:left="3307" w:right="0" w:firstLine="0"/>
        <w:jc w:val="left"/>
        <w:rPr>
          <w:b/>
          <w:sz w:val="21"/>
        </w:rPr>
      </w:pPr>
      <w:r>
        <w:rPr>
          <w:b/>
          <w:spacing w:val="-1"/>
          <w:sz w:val="21"/>
        </w:rPr>
        <w:t>孤立性骨髓瘤不在保障范围内。</w:t>
      </w:r>
    </w:p>
    <w:p>
      <w:pPr>
        <w:pStyle w:val="3"/>
        <w:spacing w:before="6"/>
        <w:rPr>
          <w:b/>
          <w:sz w:val="11"/>
        </w:rPr>
      </w:pPr>
    </w:p>
    <w:p>
      <w:pPr>
        <w:spacing w:after="0"/>
        <w:rPr>
          <w:sz w:val="11"/>
        </w:rPr>
        <w:sectPr>
          <w:pgSz w:w="11910" w:h="16840"/>
          <w:pgMar w:top="1060" w:right="620" w:bottom="1040" w:left="1480" w:header="0" w:footer="851" w:gutter="0"/>
          <w:cols w:space="720" w:num="1"/>
        </w:sectPr>
      </w:pPr>
    </w:p>
    <w:p>
      <w:pPr>
        <w:pStyle w:val="8"/>
        <w:numPr>
          <w:ilvl w:val="1"/>
          <w:numId w:val="99"/>
        </w:numPr>
        <w:tabs>
          <w:tab w:val="left" w:pos="1338"/>
          <w:tab w:val="left" w:pos="1339"/>
        </w:tabs>
        <w:spacing w:before="92" w:after="0" w:line="240" w:lineRule="auto"/>
        <w:ind w:left="1338" w:right="0" w:hanging="1005"/>
        <w:jc w:val="left"/>
        <w:rPr>
          <w:b/>
          <w:sz w:val="21"/>
        </w:rPr>
      </w:pPr>
      <w:r>
        <w:rPr>
          <w:b/>
          <w:spacing w:val="-2"/>
          <w:sz w:val="21"/>
        </w:rPr>
        <w:t>左室室壁瘤切除手</w:t>
      </w:r>
    </w:p>
    <w:p>
      <w:pPr>
        <w:spacing w:before="4"/>
        <w:ind w:left="1338" w:right="0" w:firstLine="0"/>
        <w:jc w:val="left"/>
        <w:rPr>
          <w:b/>
          <w:sz w:val="21"/>
        </w:rPr>
      </w:pPr>
      <w:r>
        <w:rPr>
          <w:b/>
          <w:w w:val="100"/>
          <w:sz w:val="21"/>
        </w:rPr>
        <w:t>术</w:t>
      </w:r>
    </w:p>
    <w:p>
      <w:pPr>
        <w:pStyle w:val="3"/>
        <w:spacing w:before="98" w:line="244" w:lineRule="auto"/>
        <w:ind w:left="162" w:right="619"/>
      </w:pPr>
      <w:r>
        <w:br w:type="column"/>
      </w:r>
      <w:r>
        <w:rPr>
          <w:spacing w:val="-2"/>
        </w:rPr>
        <w:t>被保险人被明确诊断为左室室壁瘤，并且实际接受了开胸开心进行的室壁瘤切除手术治疗。</w:t>
      </w:r>
    </w:p>
    <w:p>
      <w:pPr>
        <w:spacing w:before="0" w:line="267" w:lineRule="exact"/>
        <w:ind w:left="162" w:right="0" w:firstLine="0"/>
        <w:jc w:val="left"/>
        <w:rPr>
          <w:b/>
          <w:sz w:val="21"/>
        </w:rPr>
      </w:pPr>
      <w:r>
        <w:rPr>
          <w:b/>
          <w:spacing w:val="-3"/>
          <w:sz w:val="21"/>
        </w:rPr>
        <w:t>经导管心室内成型手术治疗不在保障范围内。</w:t>
      </w:r>
    </w:p>
    <w:p>
      <w:pPr>
        <w:spacing w:after="0" w:line="267" w:lineRule="exact"/>
        <w:jc w:val="left"/>
        <w:rPr>
          <w:sz w:val="21"/>
        </w:rPr>
        <w:sectPr>
          <w:type w:val="continuous"/>
          <w:pgSz w:w="11910" w:h="16840"/>
          <w:pgMar w:top="320" w:right="620" w:bottom="280" w:left="1480" w:header="0" w:footer="851" w:gutter="0"/>
          <w:cols w:equalWidth="0" w:num="2">
            <w:col w:w="3106" w:space="40"/>
            <w:col w:w="6664"/>
          </w:cols>
        </w:sectPr>
      </w:pPr>
    </w:p>
    <w:p>
      <w:pPr>
        <w:pStyle w:val="3"/>
        <w:spacing w:before="6"/>
        <w:rPr>
          <w:b/>
          <w:sz w:val="11"/>
        </w:rPr>
      </w:pPr>
    </w:p>
    <w:p>
      <w:pPr>
        <w:pStyle w:val="8"/>
        <w:numPr>
          <w:ilvl w:val="1"/>
          <w:numId w:val="99"/>
        </w:numPr>
        <w:tabs>
          <w:tab w:val="left" w:pos="1338"/>
          <w:tab w:val="left" w:pos="1339"/>
          <w:tab w:val="left" w:pos="3307"/>
        </w:tabs>
        <w:spacing w:before="92" w:after="0" w:line="275" w:lineRule="exact"/>
        <w:ind w:left="1338" w:right="0" w:hanging="1005"/>
        <w:jc w:val="left"/>
        <w:rPr>
          <w:sz w:val="21"/>
        </w:rPr>
      </w:pPr>
      <w:r>
        <w:rPr>
          <w:b/>
          <w:sz w:val="21"/>
        </w:rPr>
        <w:t>严重癫</w:t>
      </w:r>
      <w:r>
        <w:rPr>
          <w:b/>
          <w:spacing w:val="-10"/>
          <w:sz w:val="21"/>
        </w:rPr>
        <w:t>痫</w:t>
      </w:r>
      <w:r>
        <w:rPr>
          <w:b/>
          <w:sz w:val="21"/>
        </w:rPr>
        <w:tab/>
      </w:r>
      <w:r>
        <w:rPr>
          <w:spacing w:val="-2"/>
          <w:sz w:val="21"/>
        </w:rPr>
        <w:t>本疾病的诊断须由神经科或儿科专科医生根据典型临床症状</w:t>
      </w:r>
      <w:r>
        <w:rPr>
          <w:spacing w:val="-10"/>
          <w:sz w:val="21"/>
        </w:rPr>
        <w:t>和</w:t>
      </w:r>
    </w:p>
    <w:p>
      <w:pPr>
        <w:pStyle w:val="3"/>
        <w:spacing w:line="242" w:lineRule="auto"/>
        <w:ind w:left="3307" w:right="619"/>
      </w:pPr>
      <w:r>
        <w:rPr>
          <w:spacing w:val="-2"/>
        </w:rPr>
        <w:t>脑电图及计算机断层扫描</w:t>
      </w:r>
      <w:r>
        <w:rPr>
          <w:spacing w:val="26"/>
        </w:rPr>
        <w:t>（</w:t>
      </w:r>
      <w:r>
        <w:rPr>
          <w:rFonts w:ascii="Times New Roman" w:eastAsia="Times New Roman"/>
          <w:spacing w:val="24"/>
        </w:rPr>
        <w:t>C</w:t>
      </w:r>
      <w:r>
        <w:rPr>
          <w:rFonts w:ascii="Times New Roman" w:eastAsia="Times New Roman"/>
          <w:spacing w:val="21"/>
        </w:rPr>
        <w:t>T</w:t>
      </w:r>
      <w:r>
        <w:rPr>
          <w:spacing w:val="-80"/>
        </w:rPr>
        <w:t>）</w:t>
      </w:r>
      <w:r>
        <w:rPr>
          <w:spacing w:val="-2"/>
        </w:rPr>
        <w:t>、核磁共振检查（</w:t>
      </w:r>
      <w:r>
        <w:rPr>
          <w:rFonts w:ascii="Times New Roman" w:eastAsia="Times New Roman"/>
          <w:spacing w:val="-2"/>
        </w:rPr>
        <w:t>MRI</w:t>
      </w:r>
      <w:r>
        <w:rPr>
          <w:spacing w:val="-2"/>
        </w:rPr>
        <w:t>）或正电</w:t>
      </w:r>
      <w:r>
        <w:t>子发射断层扫描（</w:t>
      </w:r>
      <w:r>
        <w:rPr>
          <w:rFonts w:ascii="Times New Roman" w:eastAsia="Times New Roman"/>
        </w:rPr>
        <w:t>PET</w:t>
      </w:r>
      <w:r>
        <w:t>）</w:t>
      </w:r>
      <w:r>
        <w:rPr>
          <w:spacing w:val="-3"/>
        </w:rPr>
        <w:t xml:space="preserve">等影像学检查作出。理赔时必须提供 </w:t>
      </w:r>
      <w:r>
        <w:rPr>
          <w:rFonts w:ascii="Times New Roman" w:eastAsia="Times New Roman"/>
        </w:rPr>
        <w:t>6</w:t>
      </w:r>
      <w:r>
        <w:rPr>
          <w:spacing w:val="-2"/>
        </w:rPr>
        <w:t>个月以上的相关病历记录证明被保险人存在经抗癫痫药物治疗 无效而反复发作的强直痉挛发作或癫痫大发作，且已经实施了神经外科手术以治疗反复发作的癫痫。</w:t>
      </w:r>
    </w:p>
    <w:p>
      <w:pPr>
        <w:spacing w:before="5" w:line="244" w:lineRule="auto"/>
        <w:ind w:left="3307" w:right="619" w:firstLine="0"/>
        <w:jc w:val="left"/>
        <w:rPr>
          <w:b/>
          <w:sz w:val="21"/>
        </w:rPr>
      </w:pPr>
      <w:r>
        <w:rPr>
          <w:b/>
          <w:spacing w:val="-2"/>
          <w:sz w:val="21"/>
        </w:rPr>
        <w:t>发热性惊厥以及没有全身性发作的失神发作（癫痫小发作）不在保障范围内。</w:t>
      </w:r>
    </w:p>
    <w:p>
      <w:pPr>
        <w:pStyle w:val="3"/>
        <w:spacing w:before="1"/>
        <w:rPr>
          <w:b/>
          <w:sz w:val="18"/>
        </w:rPr>
      </w:pPr>
    </w:p>
    <w:p>
      <w:pPr>
        <w:pStyle w:val="8"/>
        <w:numPr>
          <w:ilvl w:val="1"/>
          <w:numId w:val="99"/>
        </w:numPr>
        <w:tabs>
          <w:tab w:val="left" w:pos="1338"/>
          <w:tab w:val="left" w:pos="1339"/>
          <w:tab w:val="left" w:pos="3307"/>
        </w:tabs>
        <w:spacing w:before="0" w:after="0" w:line="240" w:lineRule="auto"/>
        <w:ind w:left="1338" w:right="0" w:hanging="1005"/>
        <w:jc w:val="left"/>
        <w:rPr>
          <w:sz w:val="21"/>
        </w:rPr>
      </w:pPr>
      <w:r>
        <w:rPr>
          <w:rFonts w:ascii="Times New Roman" w:eastAsia="Times New Roman"/>
          <w:b/>
          <w:sz w:val="21"/>
        </w:rPr>
        <w:t>Brugada</w:t>
      </w:r>
      <w:r>
        <w:rPr>
          <w:rFonts w:ascii="Times New Roman" w:eastAsia="Times New Roman"/>
          <w:b/>
          <w:spacing w:val="47"/>
          <w:sz w:val="21"/>
        </w:rPr>
        <w:t xml:space="preserve"> </w:t>
      </w:r>
      <w:r>
        <w:rPr>
          <w:b/>
          <w:sz w:val="21"/>
        </w:rPr>
        <w:t>综合</w:t>
      </w:r>
      <w:r>
        <w:rPr>
          <w:b/>
          <w:spacing w:val="-10"/>
          <w:sz w:val="21"/>
        </w:rPr>
        <w:t>征</w:t>
      </w:r>
      <w:r>
        <w:rPr>
          <w:b/>
          <w:sz w:val="21"/>
        </w:rPr>
        <w:tab/>
      </w:r>
      <w:r>
        <w:rPr>
          <w:spacing w:val="-2"/>
          <w:sz w:val="21"/>
        </w:rPr>
        <w:t>指由心脏专科医生诊断为</w:t>
      </w:r>
      <w:r>
        <w:rPr>
          <w:spacing w:val="-40"/>
          <w:sz w:val="21"/>
        </w:rPr>
        <w:t xml:space="preserve"> </w:t>
      </w:r>
      <w:r>
        <w:rPr>
          <w:rFonts w:ascii="Times New Roman" w:eastAsia="Times New Roman"/>
          <w:spacing w:val="-2"/>
          <w:sz w:val="21"/>
        </w:rPr>
        <w:t>Brugada</w:t>
      </w:r>
      <w:r>
        <w:rPr>
          <w:rFonts w:ascii="Times New Roman" w:eastAsia="Times New Roman"/>
          <w:spacing w:val="17"/>
          <w:sz w:val="21"/>
        </w:rPr>
        <w:t xml:space="preserve"> </w:t>
      </w:r>
      <w:r>
        <w:rPr>
          <w:spacing w:val="-2"/>
          <w:sz w:val="21"/>
        </w:rPr>
        <w:t>综合征</w:t>
      </w:r>
      <w:r>
        <w:rPr>
          <w:spacing w:val="-92"/>
          <w:sz w:val="21"/>
        </w:rPr>
        <w:t>，</w:t>
      </w:r>
      <w:r>
        <w:rPr>
          <w:spacing w:val="-2"/>
          <w:sz w:val="21"/>
        </w:rPr>
        <w:t>且满足下列全部条件</w:t>
      </w:r>
      <w:r>
        <w:rPr>
          <w:spacing w:val="-10"/>
          <w:sz w:val="21"/>
        </w:rPr>
        <w:t>：</w:t>
      </w:r>
    </w:p>
    <w:p>
      <w:pPr>
        <w:pStyle w:val="8"/>
        <w:numPr>
          <w:ilvl w:val="0"/>
          <w:numId w:val="113"/>
        </w:numPr>
        <w:tabs>
          <w:tab w:val="left" w:pos="3837"/>
        </w:tabs>
        <w:spacing w:before="5" w:after="0" w:line="240" w:lineRule="auto"/>
        <w:ind w:left="3836" w:right="0" w:hanging="530"/>
        <w:jc w:val="left"/>
        <w:rPr>
          <w:sz w:val="21"/>
        </w:rPr>
      </w:pPr>
      <w:r>
        <w:rPr>
          <w:spacing w:val="-3"/>
          <w:sz w:val="21"/>
        </w:rPr>
        <w:t>有晕厥或心脏骤停病史，并提供完整的诊疗记录；</w:t>
      </w:r>
    </w:p>
    <w:p>
      <w:pPr>
        <w:pStyle w:val="8"/>
        <w:numPr>
          <w:ilvl w:val="0"/>
          <w:numId w:val="113"/>
        </w:numPr>
        <w:tabs>
          <w:tab w:val="left" w:pos="3837"/>
        </w:tabs>
        <w:spacing w:before="0" w:after="0" w:line="240" w:lineRule="auto"/>
        <w:ind w:left="3836" w:right="0" w:hanging="530"/>
        <w:jc w:val="left"/>
        <w:rPr>
          <w:sz w:val="21"/>
        </w:rPr>
      </w:pPr>
      <w:r>
        <w:rPr>
          <w:spacing w:val="-7"/>
          <w:sz w:val="21"/>
        </w:rPr>
        <w:t xml:space="preserve">心电图有典型的 </w:t>
      </w:r>
      <w:r>
        <w:rPr>
          <w:rFonts w:ascii="Times New Roman" w:eastAsia="Times New Roman"/>
          <w:sz w:val="21"/>
        </w:rPr>
        <w:t>I</w:t>
      </w:r>
      <w:r>
        <w:rPr>
          <w:rFonts w:ascii="Times New Roman" w:eastAsia="Times New Roman"/>
          <w:spacing w:val="33"/>
          <w:sz w:val="21"/>
        </w:rPr>
        <w:t xml:space="preserve"> </w:t>
      </w:r>
      <w:r>
        <w:rPr>
          <w:spacing w:val="-27"/>
          <w:sz w:val="21"/>
        </w:rPr>
        <w:t xml:space="preserve">型 </w:t>
      </w:r>
      <w:r>
        <w:rPr>
          <w:rFonts w:ascii="Times New Roman" w:eastAsia="Times New Roman"/>
          <w:sz w:val="21"/>
        </w:rPr>
        <w:t>Brugada</w:t>
      </w:r>
      <w:r>
        <w:rPr>
          <w:rFonts w:ascii="Times New Roman" w:eastAsia="Times New Roman"/>
          <w:spacing w:val="47"/>
          <w:sz w:val="21"/>
        </w:rPr>
        <w:t xml:space="preserve"> </w:t>
      </w:r>
      <w:r>
        <w:rPr>
          <w:spacing w:val="-5"/>
          <w:sz w:val="21"/>
        </w:rPr>
        <w:t>波；</w:t>
      </w:r>
    </w:p>
    <w:p>
      <w:pPr>
        <w:spacing w:after="0" w:line="240" w:lineRule="auto"/>
        <w:jc w:val="left"/>
        <w:rPr>
          <w:sz w:val="21"/>
        </w:rPr>
        <w:sectPr>
          <w:type w:val="continuous"/>
          <w:pgSz w:w="11910" w:h="16840"/>
          <w:pgMar w:top="320" w:right="620" w:bottom="280" w:left="1480" w:header="0" w:footer="851" w:gutter="0"/>
          <w:cols w:space="720" w:num="1"/>
        </w:sect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3"/>
        <w:gridCol w:w="2079"/>
        <w:gridCol w:w="60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2922" w:type="dxa"/>
            <w:gridSpan w:val="2"/>
          </w:tcPr>
          <w:p>
            <w:pPr>
              <w:pStyle w:val="9"/>
              <w:rPr>
                <w:rFonts w:ascii="Times New Roman"/>
                <w:sz w:val="20"/>
              </w:rPr>
            </w:pPr>
          </w:p>
        </w:tc>
        <w:tc>
          <w:tcPr>
            <w:tcW w:w="6026" w:type="dxa"/>
          </w:tcPr>
          <w:p>
            <w:pPr>
              <w:pStyle w:val="9"/>
              <w:spacing w:line="240" w:lineRule="exact"/>
              <w:ind w:left="100"/>
              <w:rPr>
                <w:sz w:val="21"/>
              </w:rPr>
            </w:pPr>
            <w:r>
              <w:rPr>
                <w:spacing w:val="-2"/>
                <w:sz w:val="21"/>
              </w:rPr>
              <w:t>（</w:t>
            </w:r>
            <w:r>
              <w:rPr>
                <w:rFonts w:ascii="Times New Roman" w:eastAsia="Times New Roman"/>
                <w:spacing w:val="-2"/>
                <w:sz w:val="21"/>
              </w:rPr>
              <w:t>3</w:t>
            </w:r>
            <w:r>
              <w:rPr>
                <w:spacing w:val="-2"/>
                <w:sz w:val="21"/>
              </w:rPr>
              <w:t>）</w:t>
            </w:r>
            <w:r>
              <w:rPr>
                <w:spacing w:val="-3"/>
                <w:sz w:val="21"/>
              </w:rPr>
              <w:t>已经安装了永久性心脏起搏器。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843" w:type="dxa"/>
          </w:tcPr>
          <w:p>
            <w:pPr>
              <w:pStyle w:val="9"/>
              <w:spacing w:before="115"/>
              <w:ind w:left="50"/>
              <w:rPr>
                <w:rFonts w:ascii="Times New Roman"/>
                <w:sz w:val="21"/>
              </w:rPr>
            </w:pPr>
            <w:r>
              <w:rPr>
                <w:rFonts w:ascii="Times New Roman"/>
                <w:spacing w:val="-2"/>
                <w:sz w:val="21"/>
              </w:rPr>
              <w:t>10.103</w:t>
            </w:r>
          </w:p>
        </w:tc>
        <w:tc>
          <w:tcPr>
            <w:tcW w:w="2079" w:type="dxa"/>
          </w:tcPr>
          <w:p>
            <w:pPr>
              <w:pStyle w:val="9"/>
              <w:spacing w:before="120" w:line="258" w:lineRule="exact"/>
              <w:ind w:left="210"/>
              <w:rPr>
                <w:b/>
                <w:sz w:val="21"/>
              </w:rPr>
            </w:pPr>
            <w:r>
              <w:rPr>
                <w:b/>
                <w:spacing w:val="-3"/>
                <w:sz w:val="21"/>
              </w:rPr>
              <w:t>脑型疟疾</w:t>
            </w:r>
          </w:p>
        </w:tc>
        <w:tc>
          <w:tcPr>
            <w:tcW w:w="6026" w:type="dxa"/>
          </w:tcPr>
          <w:p>
            <w:pPr>
              <w:pStyle w:val="9"/>
              <w:spacing w:before="120" w:line="258" w:lineRule="exact"/>
              <w:ind w:left="100"/>
              <w:rPr>
                <w:sz w:val="21"/>
              </w:rPr>
            </w:pPr>
            <w:r>
              <w:rPr>
                <w:spacing w:val="-3"/>
                <w:sz w:val="21"/>
              </w:rPr>
              <w:t>恶性疟原虫严重感染导致的脑病或脑型疟疾，以昏迷为主要特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843" w:type="dxa"/>
          </w:tcPr>
          <w:p>
            <w:pPr>
              <w:pStyle w:val="9"/>
              <w:rPr>
                <w:rFonts w:ascii="Times New Roman"/>
                <w:sz w:val="20"/>
              </w:rPr>
            </w:pPr>
          </w:p>
        </w:tc>
        <w:tc>
          <w:tcPr>
            <w:tcW w:w="2079" w:type="dxa"/>
          </w:tcPr>
          <w:p>
            <w:pPr>
              <w:pStyle w:val="9"/>
              <w:rPr>
                <w:rFonts w:ascii="Times New Roman"/>
                <w:sz w:val="20"/>
              </w:rPr>
            </w:pPr>
          </w:p>
        </w:tc>
        <w:tc>
          <w:tcPr>
            <w:tcW w:w="6026" w:type="dxa"/>
          </w:tcPr>
          <w:p>
            <w:pPr>
              <w:pStyle w:val="9"/>
              <w:spacing w:line="254" w:lineRule="exact"/>
              <w:ind w:left="100"/>
              <w:rPr>
                <w:sz w:val="21"/>
              </w:rPr>
            </w:pPr>
            <w:r>
              <w:rPr>
                <w:spacing w:val="-3"/>
                <w:sz w:val="21"/>
              </w:rPr>
              <w:t>征。脑型疟疾的诊断须由注册医生确认，且外周血涂片存在恶性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843" w:type="dxa"/>
          </w:tcPr>
          <w:p>
            <w:pPr>
              <w:pStyle w:val="9"/>
              <w:rPr>
                <w:rFonts w:ascii="Times New Roman"/>
                <w:sz w:val="20"/>
              </w:rPr>
            </w:pPr>
          </w:p>
        </w:tc>
        <w:tc>
          <w:tcPr>
            <w:tcW w:w="2079" w:type="dxa"/>
          </w:tcPr>
          <w:p>
            <w:pPr>
              <w:pStyle w:val="9"/>
              <w:rPr>
                <w:rFonts w:ascii="Times New Roman"/>
                <w:sz w:val="20"/>
              </w:rPr>
            </w:pPr>
          </w:p>
        </w:tc>
        <w:tc>
          <w:tcPr>
            <w:tcW w:w="6026" w:type="dxa"/>
          </w:tcPr>
          <w:p>
            <w:pPr>
              <w:pStyle w:val="9"/>
              <w:spacing w:line="254" w:lineRule="exact"/>
              <w:ind w:left="100"/>
              <w:rPr>
                <w:sz w:val="21"/>
              </w:rPr>
            </w:pPr>
            <w:r>
              <w:rPr>
                <w:spacing w:val="-3"/>
                <w:sz w:val="21"/>
              </w:rPr>
              <w:t>疟原虫。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843" w:type="dxa"/>
          </w:tcPr>
          <w:p>
            <w:pPr>
              <w:pStyle w:val="9"/>
              <w:rPr>
                <w:rFonts w:ascii="Times New Roman"/>
                <w:sz w:val="20"/>
              </w:rPr>
            </w:pPr>
          </w:p>
        </w:tc>
        <w:tc>
          <w:tcPr>
            <w:tcW w:w="2079" w:type="dxa"/>
          </w:tcPr>
          <w:p>
            <w:pPr>
              <w:pStyle w:val="9"/>
              <w:rPr>
                <w:rFonts w:ascii="Times New Roman"/>
                <w:sz w:val="20"/>
              </w:rPr>
            </w:pPr>
          </w:p>
        </w:tc>
        <w:tc>
          <w:tcPr>
            <w:tcW w:w="6026" w:type="dxa"/>
          </w:tcPr>
          <w:p>
            <w:pPr>
              <w:pStyle w:val="9"/>
              <w:spacing w:line="265" w:lineRule="exact"/>
              <w:ind w:left="100"/>
              <w:rPr>
                <w:b/>
                <w:sz w:val="21"/>
              </w:rPr>
            </w:pPr>
            <w:r>
              <w:rPr>
                <w:b/>
                <w:spacing w:val="-3"/>
                <w:sz w:val="21"/>
              </w:rPr>
              <w:t>其他明确病因导致的脑病不在保障范围内。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843" w:type="dxa"/>
          </w:tcPr>
          <w:p>
            <w:pPr>
              <w:pStyle w:val="9"/>
              <w:spacing w:before="123"/>
              <w:ind w:left="50"/>
              <w:rPr>
                <w:rFonts w:ascii="Times New Roman"/>
                <w:sz w:val="21"/>
              </w:rPr>
            </w:pPr>
            <w:r>
              <w:rPr>
                <w:rFonts w:ascii="Times New Roman"/>
                <w:spacing w:val="-2"/>
                <w:sz w:val="21"/>
              </w:rPr>
              <w:t>10.104</w:t>
            </w:r>
          </w:p>
        </w:tc>
        <w:tc>
          <w:tcPr>
            <w:tcW w:w="2079" w:type="dxa"/>
          </w:tcPr>
          <w:p>
            <w:pPr>
              <w:pStyle w:val="9"/>
              <w:spacing w:before="128" w:line="252" w:lineRule="exact"/>
              <w:ind w:left="210"/>
              <w:rPr>
                <w:b/>
                <w:sz w:val="21"/>
              </w:rPr>
            </w:pPr>
            <w:r>
              <w:rPr>
                <w:b/>
                <w:spacing w:val="-2"/>
                <w:sz w:val="21"/>
              </w:rPr>
              <w:t>败血症导致的多器</w:t>
            </w:r>
          </w:p>
        </w:tc>
        <w:tc>
          <w:tcPr>
            <w:tcW w:w="6026" w:type="dxa"/>
          </w:tcPr>
          <w:p>
            <w:pPr>
              <w:pStyle w:val="9"/>
              <w:spacing w:before="128" w:line="252" w:lineRule="exact"/>
              <w:ind w:left="100"/>
              <w:rPr>
                <w:sz w:val="21"/>
              </w:rPr>
            </w:pPr>
            <w:r>
              <w:rPr>
                <w:spacing w:val="-3"/>
                <w:sz w:val="21"/>
              </w:rPr>
              <w:t>多器官功能障碍指败血症导致的并发症，一个或多个器官系统生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843" w:type="dxa"/>
          </w:tcPr>
          <w:p>
            <w:pPr>
              <w:pStyle w:val="9"/>
              <w:rPr>
                <w:rFonts w:ascii="Times New Roman"/>
                <w:sz w:val="20"/>
              </w:rPr>
            </w:pPr>
          </w:p>
        </w:tc>
        <w:tc>
          <w:tcPr>
            <w:tcW w:w="2079" w:type="dxa"/>
          </w:tcPr>
          <w:p>
            <w:pPr>
              <w:pStyle w:val="9"/>
              <w:spacing w:line="263" w:lineRule="exact"/>
              <w:ind w:left="210"/>
              <w:rPr>
                <w:b/>
                <w:sz w:val="21"/>
              </w:rPr>
            </w:pPr>
            <w:r>
              <w:rPr>
                <w:b/>
                <w:spacing w:val="-2"/>
                <w:sz w:val="21"/>
              </w:rPr>
              <w:t>官功能障碍综合症</w:t>
            </w:r>
          </w:p>
        </w:tc>
        <w:tc>
          <w:tcPr>
            <w:tcW w:w="6026" w:type="dxa"/>
          </w:tcPr>
          <w:p>
            <w:pPr>
              <w:pStyle w:val="9"/>
              <w:spacing w:line="263" w:lineRule="exact"/>
              <w:ind w:left="100"/>
              <w:rPr>
                <w:sz w:val="21"/>
              </w:rPr>
            </w:pPr>
            <w:r>
              <w:rPr>
                <w:spacing w:val="-5"/>
                <w:sz w:val="21"/>
              </w:rPr>
              <w:t xml:space="preserve">理功能障碍，因该疾病住院至少 </w:t>
            </w:r>
            <w:r>
              <w:rPr>
                <w:rFonts w:ascii="Times New Roman" w:eastAsia="Times New Roman"/>
                <w:spacing w:val="-2"/>
                <w:sz w:val="21"/>
              </w:rPr>
              <w:t>96</w:t>
            </w:r>
            <w:r>
              <w:rPr>
                <w:rFonts w:ascii="Times New Roman" w:eastAsia="Times New Roman"/>
                <w:spacing w:val="12"/>
                <w:sz w:val="21"/>
              </w:rPr>
              <w:t xml:space="preserve"> </w:t>
            </w:r>
            <w:r>
              <w:rPr>
                <w:spacing w:val="-3"/>
                <w:sz w:val="21"/>
              </w:rPr>
              <w:t>小时，并至少满足以下一条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 w:hRule="atLeast"/>
        </w:trPr>
        <w:tc>
          <w:tcPr>
            <w:tcW w:w="2922" w:type="dxa"/>
            <w:gridSpan w:val="2"/>
            <w:vMerge w:val="restart"/>
          </w:tcPr>
          <w:p>
            <w:pPr>
              <w:pStyle w:val="9"/>
              <w:rPr>
                <w:rFonts w:ascii="Times New Roman"/>
                <w:sz w:val="20"/>
              </w:rPr>
            </w:pPr>
          </w:p>
        </w:tc>
        <w:tc>
          <w:tcPr>
            <w:tcW w:w="6026" w:type="dxa"/>
          </w:tcPr>
          <w:p>
            <w:pPr>
              <w:pStyle w:val="9"/>
              <w:spacing w:line="242" w:lineRule="exact"/>
              <w:ind w:left="100"/>
              <w:rPr>
                <w:sz w:val="21"/>
              </w:rPr>
            </w:pPr>
            <w:r>
              <w:rPr>
                <w:spacing w:val="-4"/>
                <w:sz w:val="21"/>
              </w:rPr>
              <w:t>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2922" w:type="dxa"/>
            <w:gridSpan w:val="2"/>
            <w:vMerge w:val="continue"/>
            <w:tcBorders>
              <w:top w:val="nil"/>
            </w:tcBorders>
          </w:tcPr>
          <w:p>
            <w:pPr>
              <w:rPr>
                <w:sz w:val="2"/>
                <w:szCs w:val="2"/>
              </w:rPr>
            </w:pPr>
          </w:p>
        </w:tc>
        <w:tc>
          <w:tcPr>
            <w:tcW w:w="6026" w:type="dxa"/>
          </w:tcPr>
          <w:p>
            <w:pPr>
              <w:pStyle w:val="9"/>
              <w:spacing w:line="262"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呼吸衰竭，需要进行气管插管机械通气；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2" w:hRule="atLeast"/>
        </w:trPr>
        <w:tc>
          <w:tcPr>
            <w:tcW w:w="2922" w:type="dxa"/>
            <w:gridSpan w:val="2"/>
            <w:vMerge w:val="continue"/>
            <w:tcBorders>
              <w:top w:val="nil"/>
            </w:tcBorders>
          </w:tcPr>
          <w:p>
            <w:pPr>
              <w:rPr>
                <w:sz w:val="2"/>
                <w:szCs w:val="2"/>
              </w:rPr>
            </w:pPr>
          </w:p>
        </w:tc>
        <w:tc>
          <w:tcPr>
            <w:tcW w:w="6026" w:type="dxa"/>
          </w:tcPr>
          <w:p>
            <w:pPr>
              <w:pStyle w:val="9"/>
              <w:numPr>
                <w:ilvl w:val="0"/>
                <w:numId w:val="114"/>
              </w:numPr>
              <w:tabs>
                <w:tab w:val="left" w:pos="630"/>
              </w:tabs>
              <w:spacing w:before="0" w:after="0" w:line="260" w:lineRule="exact"/>
              <w:ind w:left="629" w:right="0" w:hanging="530"/>
              <w:jc w:val="left"/>
              <w:rPr>
                <w:sz w:val="21"/>
              </w:rPr>
            </w:pPr>
            <w:r>
              <w:rPr>
                <w:spacing w:val="-2"/>
                <w:sz w:val="21"/>
              </w:rPr>
              <w:t>凝血血小板计数</w:t>
            </w:r>
            <w:r>
              <w:rPr>
                <w:rFonts w:ascii="Times New Roman" w:hAnsi="Times New Roman" w:eastAsia="Times New Roman"/>
                <w:spacing w:val="-2"/>
                <w:sz w:val="21"/>
              </w:rPr>
              <w:t>&lt;50x10</w:t>
            </w:r>
            <w:r>
              <w:rPr>
                <w:spacing w:val="-2"/>
                <w:sz w:val="21"/>
              </w:rPr>
              <w:t>³</w:t>
            </w:r>
            <w:r>
              <w:rPr>
                <w:rFonts w:ascii="Times New Roman" w:hAnsi="Times New Roman" w:eastAsia="Times New Roman"/>
                <w:spacing w:val="-2"/>
                <w:sz w:val="21"/>
              </w:rPr>
              <w:t>/</w:t>
            </w:r>
            <w:r>
              <w:rPr>
                <w:spacing w:val="-5"/>
                <w:sz w:val="21"/>
              </w:rPr>
              <w:t>微升；</w:t>
            </w:r>
          </w:p>
          <w:p>
            <w:pPr>
              <w:pStyle w:val="9"/>
              <w:numPr>
                <w:ilvl w:val="0"/>
                <w:numId w:val="114"/>
              </w:numPr>
              <w:tabs>
                <w:tab w:val="left" w:pos="630"/>
              </w:tabs>
              <w:spacing w:before="0" w:after="0" w:line="262" w:lineRule="exact"/>
              <w:ind w:left="629" w:right="0" w:hanging="530"/>
              <w:jc w:val="left"/>
              <w:rPr>
                <w:sz w:val="21"/>
              </w:rPr>
            </w:pPr>
            <w:r>
              <w:rPr>
                <w:sz w:val="21"/>
              </w:rPr>
              <w:t>肝功能不全，胆红素</w:t>
            </w:r>
            <w:r>
              <w:rPr>
                <w:rFonts w:ascii="Times New Roman" w:hAnsi="Times New Roman" w:eastAsia="Times New Roman"/>
                <w:spacing w:val="-3"/>
                <w:sz w:val="21"/>
              </w:rPr>
              <w:t xml:space="preserve">&gt; </w:t>
            </w:r>
            <w:r>
              <w:rPr>
                <w:rFonts w:ascii="Times New Roman" w:hAnsi="Times New Roman" w:eastAsia="Times New Roman"/>
                <w:sz w:val="21"/>
              </w:rPr>
              <w:t>6mg/</w:t>
            </w:r>
            <w:r>
              <w:rPr>
                <w:rFonts w:ascii="Times New Roman" w:hAnsi="Times New Roman" w:eastAsia="Times New Roman"/>
                <w:spacing w:val="-5"/>
                <w:sz w:val="21"/>
              </w:rPr>
              <w:t xml:space="preserve"> </w:t>
            </w:r>
            <w:r>
              <w:rPr>
                <w:rFonts w:ascii="Times New Roman" w:hAnsi="Times New Roman" w:eastAsia="Times New Roman"/>
                <w:sz w:val="21"/>
              </w:rPr>
              <w:t>dl</w:t>
            </w:r>
            <w:r>
              <w:rPr>
                <w:rFonts w:ascii="Times New Roman" w:hAnsi="Times New Roman" w:eastAsia="Times New Roman"/>
                <w:spacing w:val="-5"/>
                <w:sz w:val="21"/>
              </w:rPr>
              <w:t xml:space="preserve"> </w:t>
            </w:r>
            <w:r>
              <w:rPr>
                <w:sz w:val="21"/>
              </w:rPr>
              <w:t>或</w:t>
            </w:r>
            <w:r>
              <w:rPr>
                <w:rFonts w:ascii="Times New Roman" w:hAnsi="Times New Roman" w:eastAsia="Times New Roman"/>
                <w:spacing w:val="-2"/>
                <w:sz w:val="21"/>
              </w:rPr>
              <w:t xml:space="preserve">&gt; </w:t>
            </w:r>
            <w:r>
              <w:rPr>
                <w:rFonts w:ascii="Times New Roman" w:hAnsi="Times New Roman" w:eastAsia="Times New Roman"/>
                <w:sz w:val="21"/>
              </w:rPr>
              <w:t>102</w:t>
            </w:r>
            <w:r>
              <w:rPr>
                <w:rFonts w:ascii="Arial" w:hAnsi="Arial" w:eastAsia="Arial"/>
                <w:sz w:val="21"/>
              </w:rPr>
              <w:t>μ</w:t>
            </w:r>
            <w:r>
              <w:rPr>
                <w:rFonts w:ascii="Arial" w:hAnsi="Arial" w:eastAsia="Arial"/>
                <w:spacing w:val="27"/>
                <w:sz w:val="21"/>
              </w:rPr>
              <w:t xml:space="preserve"> </w:t>
            </w:r>
            <w:r>
              <w:rPr>
                <w:rFonts w:ascii="Times New Roman" w:hAnsi="Times New Roman" w:eastAsia="Times New Roman"/>
                <w:spacing w:val="-2"/>
                <w:sz w:val="21"/>
              </w:rPr>
              <w:t>mol/L</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2922" w:type="dxa"/>
            <w:gridSpan w:val="2"/>
            <w:vMerge w:val="continue"/>
            <w:tcBorders>
              <w:top w:val="nil"/>
            </w:tcBorders>
          </w:tcPr>
          <w:p>
            <w:pPr>
              <w:rPr>
                <w:sz w:val="2"/>
                <w:szCs w:val="2"/>
              </w:rPr>
            </w:pPr>
          </w:p>
        </w:tc>
        <w:tc>
          <w:tcPr>
            <w:tcW w:w="6026" w:type="dxa"/>
          </w:tcPr>
          <w:p>
            <w:pPr>
              <w:pStyle w:val="9"/>
              <w:spacing w:line="254" w:lineRule="exact"/>
              <w:ind w:left="100"/>
              <w:rPr>
                <w:sz w:val="21"/>
              </w:rPr>
            </w:pPr>
            <w:r>
              <w:rPr>
                <w:spacing w:val="-2"/>
                <w:sz w:val="21"/>
              </w:rPr>
              <w:t>（</w:t>
            </w:r>
            <w:r>
              <w:rPr>
                <w:rFonts w:ascii="Times New Roman" w:eastAsia="Times New Roman"/>
                <w:spacing w:val="-2"/>
                <w:sz w:val="21"/>
              </w:rPr>
              <w:t>4</w:t>
            </w:r>
            <w:r>
              <w:rPr>
                <w:spacing w:val="-2"/>
                <w:sz w:val="21"/>
              </w:rPr>
              <w:t>）</w:t>
            </w:r>
            <w:r>
              <w:rPr>
                <w:spacing w:val="-4"/>
                <w:sz w:val="21"/>
              </w:rPr>
              <w:t>需要用强心剂；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2922" w:type="dxa"/>
            <w:gridSpan w:val="2"/>
            <w:vMerge w:val="continue"/>
            <w:tcBorders>
              <w:top w:val="nil"/>
            </w:tcBorders>
          </w:tcPr>
          <w:p>
            <w:pPr>
              <w:rPr>
                <w:sz w:val="2"/>
                <w:szCs w:val="2"/>
              </w:rPr>
            </w:pPr>
          </w:p>
        </w:tc>
        <w:tc>
          <w:tcPr>
            <w:tcW w:w="6026" w:type="dxa"/>
          </w:tcPr>
          <w:p>
            <w:pPr>
              <w:pStyle w:val="9"/>
              <w:numPr>
                <w:ilvl w:val="0"/>
                <w:numId w:val="115"/>
              </w:numPr>
              <w:tabs>
                <w:tab w:val="left" w:pos="630"/>
              </w:tabs>
              <w:spacing w:before="0" w:after="0" w:line="260" w:lineRule="exact"/>
              <w:ind w:left="629" w:right="0" w:hanging="530"/>
              <w:jc w:val="left"/>
              <w:rPr>
                <w:sz w:val="21"/>
              </w:rPr>
            </w:pPr>
            <w:r>
              <w:rPr>
                <w:spacing w:val="-2"/>
                <w:sz w:val="21"/>
              </w:rPr>
              <w:t>昏迷，格拉斯哥昏迷评分（</w:t>
            </w:r>
            <w:r>
              <w:rPr>
                <w:rFonts w:ascii="Times New Roman" w:eastAsia="Times New Roman"/>
                <w:spacing w:val="-2"/>
                <w:sz w:val="21"/>
              </w:rPr>
              <w:t>GCS</w:t>
            </w:r>
            <w:r>
              <w:rPr>
                <w:spacing w:val="-2"/>
                <w:sz w:val="21"/>
              </w:rPr>
              <w:t>）</w:t>
            </w:r>
            <w:r>
              <w:rPr>
                <w:rFonts w:ascii="Times New Roman" w:eastAsia="Times New Roman"/>
                <w:spacing w:val="3"/>
                <w:sz w:val="21"/>
              </w:rPr>
              <w:t xml:space="preserve">&lt;= </w:t>
            </w:r>
            <w:r>
              <w:rPr>
                <w:rFonts w:ascii="Times New Roman" w:eastAsia="Times New Roman"/>
                <w:spacing w:val="-5"/>
                <w:sz w:val="21"/>
              </w:rPr>
              <w:t>9</w:t>
            </w:r>
            <w:r>
              <w:rPr>
                <w:spacing w:val="-5"/>
                <w:sz w:val="21"/>
              </w:rPr>
              <w:t>；</w:t>
            </w:r>
          </w:p>
          <w:p>
            <w:pPr>
              <w:pStyle w:val="9"/>
              <w:numPr>
                <w:ilvl w:val="0"/>
                <w:numId w:val="115"/>
              </w:numPr>
              <w:tabs>
                <w:tab w:val="left" w:pos="630"/>
              </w:tabs>
              <w:spacing w:before="0" w:after="0" w:line="243" w:lineRule="exact"/>
              <w:ind w:left="629" w:right="0" w:hanging="530"/>
              <w:jc w:val="left"/>
              <w:rPr>
                <w:sz w:val="21"/>
              </w:rPr>
            </w:pPr>
            <w:r>
              <w:rPr>
                <w:sz w:val="21"/>
              </w:rPr>
              <w:t>肾功能衰竭，血清肌酐</w:t>
            </w:r>
            <w:r>
              <w:rPr>
                <w:rFonts w:ascii="Times New Roman" w:hAnsi="Times New Roman" w:eastAsia="Times New Roman"/>
                <w:sz w:val="21"/>
              </w:rPr>
              <w:t>&gt;300</w:t>
            </w:r>
            <w:r>
              <w:rPr>
                <w:rFonts w:ascii="Arial" w:hAnsi="Arial" w:eastAsia="Arial"/>
                <w:sz w:val="21"/>
              </w:rPr>
              <w:t>μ</w:t>
            </w:r>
            <w:r>
              <w:rPr>
                <w:rFonts w:ascii="Arial" w:hAnsi="Arial" w:eastAsia="Arial"/>
                <w:spacing w:val="9"/>
                <w:sz w:val="21"/>
              </w:rPr>
              <w:t xml:space="preserve"> </w:t>
            </w:r>
            <w:r>
              <w:rPr>
                <w:rFonts w:ascii="Times New Roman" w:hAnsi="Times New Roman" w:eastAsia="Times New Roman"/>
                <w:sz w:val="21"/>
              </w:rPr>
              <w:t>mol</w:t>
            </w:r>
            <w:r>
              <w:rPr>
                <w:rFonts w:ascii="Times New Roman" w:hAnsi="Times New Roman" w:eastAsia="Times New Roman"/>
                <w:spacing w:val="-7"/>
                <w:sz w:val="21"/>
              </w:rPr>
              <w:t xml:space="preserve">/ </w:t>
            </w:r>
            <w:r>
              <w:rPr>
                <w:rFonts w:ascii="Times New Roman" w:hAnsi="Times New Roman" w:eastAsia="Times New Roman"/>
                <w:sz w:val="21"/>
              </w:rPr>
              <w:t>L</w:t>
            </w:r>
            <w:r>
              <w:rPr>
                <w:rFonts w:ascii="Times New Roman" w:hAnsi="Times New Roman" w:eastAsia="Times New Roman"/>
                <w:spacing w:val="-13"/>
                <w:sz w:val="21"/>
              </w:rPr>
              <w:t xml:space="preserve"> </w:t>
            </w:r>
            <w:r>
              <w:rPr>
                <w:sz w:val="21"/>
              </w:rPr>
              <w:t>或为</w:t>
            </w:r>
            <w:r>
              <w:rPr>
                <w:rFonts w:ascii="Times New Roman" w:hAnsi="Times New Roman" w:eastAsia="Times New Roman"/>
                <w:sz w:val="21"/>
              </w:rPr>
              <w:t>&gt;3.5mg</w:t>
            </w:r>
            <w:r>
              <w:rPr>
                <w:rFonts w:ascii="Times New Roman" w:hAnsi="Times New Roman" w:eastAsia="Times New Roman"/>
                <w:spacing w:val="-9"/>
                <w:sz w:val="21"/>
              </w:rPr>
              <w:t xml:space="preserve"> / </w:t>
            </w:r>
            <w:r>
              <w:rPr>
                <w:rFonts w:ascii="Times New Roman" w:hAnsi="Times New Roman" w:eastAsia="Times New Roman"/>
                <w:sz w:val="21"/>
              </w:rPr>
              <w:t>dl</w:t>
            </w:r>
            <w:r>
              <w:rPr>
                <w:rFonts w:ascii="Times New Roman" w:hAnsi="Times New Roman" w:eastAsia="Times New Roman"/>
                <w:spacing w:val="-11"/>
                <w:sz w:val="21"/>
              </w:rPr>
              <w:t xml:space="preserve"> </w:t>
            </w:r>
            <w:r>
              <w:rPr>
                <w:spacing w:val="-4"/>
                <w:sz w:val="21"/>
              </w:rPr>
              <w:t>或尿量</w:t>
            </w:r>
          </w:p>
        </w:tc>
      </w:tr>
    </w:tbl>
    <w:p>
      <w:pPr>
        <w:pStyle w:val="3"/>
        <w:spacing w:before="18"/>
        <w:ind w:left="170" w:right="1287"/>
        <w:jc w:val="center"/>
      </w:pPr>
      <w:r>
        <w:rPr>
          <w:rFonts w:ascii="Times New Roman" w:eastAsia="Times New Roman"/>
          <w:spacing w:val="-2"/>
        </w:rPr>
        <w:t>&lt;500ml/d</w:t>
      </w:r>
      <w:r>
        <w:rPr>
          <w:spacing w:val="-2"/>
        </w:rPr>
        <w:t>；</w:t>
      </w:r>
    </w:p>
    <w:p>
      <w:pPr>
        <w:pStyle w:val="8"/>
        <w:numPr>
          <w:ilvl w:val="0"/>
          <w:numId w:val="116"/>
        </w:numPr>
        <w:tabs>
          <w:tab w:val="left" w:pos="3837"/>
        </w:tabs>
        <w:spacing w:before="5" w:after="0" w:line="240" w:lineRule="auto"/>
        <w:ind w:left="3836" w:right="0" w:hanging="530"/>
        <w:jc w:val="left"/>
        <w:rPr>
          <w:sz w:val="21"/>
        </w:rPr>
      </w:pPr>
      <w:r>
        <w:rPr>
          <w:spacing w:val="-3"/>
          <w:sz w:val="21"/>
        </w:rPr>
        <w:t>败血症有血液和影像学检查证实；</w:t>
      </w:r>
    </w:p>
    <w:p>
      <w:pPr>
        <w:pStyle w:val="8"/>
        <w:numPr>
          <w:ilvl w:val="0"/>
          <w:numId w:val="116"/>
        </w:numPr>
        <w:tabs>
          <w:tab w:val="left" w:pos="3837"/>
        </w:tabs>
        <w:spacing w:before="5" w:after="0" w:line="269" w:lineRule="exact"/>
        <w:ind w:left="3836" w:right="0" w:hanging="530"/>
        <w:jc w:val="left"/>
        <w:rPr>
          <w:sz w:val="21"/>
        </w:rPr>
      </w:pPr>
      <w:r>
        <w:rPr>
          <w:spacing w:val="-6"/>
          <w:sz w:val="21"/>
        </w:rPr>
        <w:t xml:space="preserve">住院重症监护病房最低 </w:t>
      </w:r>
      <w:r>
        <w:rPr>
          <w:rFonts w:ascii="Times New Roman" w:eastAsia="Times New Roman"/>
          <w:spacing w:val="-2"/>
          <w:sz w:val="21"/>
        </w:rPr>
        <w:t>96</w:t>
      </w:r>
      <w:r>
        <w:rPr>
          <w:rFonts w:ascii="Times New Roman" w:eastAsia="Times New Roman"/>
          <w:spacing w:val="7"/>
          <w:sz w:val="21"/>
        </w:rPr>
        <w:t xml:space="preserve"> </w:t>
      </w:r>
      <w:r>
        <w:rPr>
          <w:spacing w:val="-5"/>
          <w:sz w:val="21"/>
        </w:rPr>
        <w:t>小时；</w:t>
      </w:r>
    </w:p>
    <w:p>
      <w:pPr>
        <w:pStyle w:val="8"/>
        <w:numPr>
          <w:ilvl w:val="0"/>
          <w:numId w:val="116"/>
        </w:numPr>
        <w:tabs>
          <w:tab w:val="left" w:pos="3837"/>
        </w:tabs>
        <w:spacing w:before="0" w:after="0" w:line="240" w:lineRule="auto"/>
        <w:ind w:left="3836" w:right="0" w:hanging="530"/>
        <w:jc w:val="left"/>
        <w:rPr>
          <w:sz w:val="21"/>
        </w:rPr>
      </w:pPr>
      <w:r>
        <w:rPr>
          <w:spacing w:val="-7"/>
          <w:sz w:val="21"/>
        </w:rPr>
        <w:t xml:space="preserve">器官功能障碍维持至少 </w:t>
      </w:r>
      <w:r>
        <w:rPr>
          <w:rFonts w:ascii="Times New Roman" w:eastAsia="Times New Roman"/>
          <w:spacing w:val="-2"/>
          <w:sz w:val="21"/>
        </w:rPr>
        <w:t>15</w:t>
      </w:r>
      <w:r>
        <w:rPr>
          <w:rFonts w:ascii="Times New Roman" w:eastAsia="Times New Roman"/>
          <w:spacing w:val="6"/>
          <w:sz w:val="21"/>
        </w:rPr>
        <w:t xml:space="preserve"> </w:t>
      </w:r>
      <w:r>
        <w:rPr>
          <w:spacing w:val="-6"/>
          <w:sz w:val="21"/>
        </w:rPr>
        <w:t>天。</w:t>
      </w:r>
    </w:p>
    <w:p>
      <w:pPr>
        <w:spacing w:before="4"/>
        <w:ind w:left="3307" w:right="0" w:firstLine="0"/>
        <w:jc w:val="left"/>
        <w:rPr>
          <w:b/>
          <w:sz w:val="21"/>
        </w:rPr>
      </w:pPr>
      <w:r>
        <w:rPr>
          <w:spacing w:val="-7"/>
          <w:sz w:val="21"/>
        </w:rPr>
        <w:t xml:space="preserve">败血症引起的 </w:t>
      </w:r>
      <w:r>
        <w:rPr>
          <w:rFonts w:ascii="Times New Roman" w:eastAsia="Times New Roman"/>
          <w:spacing w:val="-2"/>
          <w:sz w:val="21"/>
        </w:rPr>
        <w:t>MODS</w:t>
      </w:r>
      <w:r>
        <w:rPr>
          <w:rFonts w:ascii="Times New Roman" w:eastAsia="Times New Roman"/>
          <w:spacing w:val="15"/>
          <w:sz w:val="21"/>
        </w:rPr>
        <w:t xml:space="preserve"> </w:t>
      </w:r>
      <w:r>
        <w:rPr>
          <w:spacing w:val="-11"/>
          <w:sz w:val="21"/>
        </w:rPr>
        <w:t>的诊断应由专科医生证实。</w:t>
      </w:r>
      <w:r>
        <w:rPr>
          <w:b/>
          <w:spacing w:val="-4"/>
          <w:sz w:val="21"/>
        </w:rPr>
        <w:t>非败血症引起的</w:t>
      </w:r>
    </w:p>
    <w:p>
      <w:pPr>
        <w:spacing w:before="5"/>
        <w:ind w:left="3307" w:right="0" w:firstLine="0"/>
        <w:jc w:val="left"/>
        <w:rPr>
          <w:b/>
          <w:sz w:val="21"/>
        </w:rPr>
      </w:pPr>
      <w:r>
        <w:rPr>
          <w:rFonts w:ascii="Times New Roman" w:eastAsia="Times New Roman"/>
          <w:b/>
          <w:sz w:val="21"/>
        </w:rPr>
        <w:t>MODS</w:t>
      </w:r>
      <w:r>
        <w:rPr>
          <w:rFonts w:ascii="Times New Roman" w:eastAsia="Times New Roman"/>
          <w:b/>
          <w:spacing w:val="-7"/>
          <w:sz w:val="21"/>
        </w:rPr>
        <w:t xml:space="preserve"> </w:t>
      </w:r>
      <w:r>
        <w:rPr>
          <w:b/>
          <w:spacing w:val="-2"/>
          <w:sz w:val="21"/>
        </w:rPr>
        <w:t>不在保障范围内。</w:t>
      </w:r>
    </w:p>
    <w:p>
      <w:pPr>
        <w:pStyle w:val="3"/>
        <w:spacing w:before="8"/>
        <w:rPr>
          <w:b/>
          <w:sz w:val="18"/>
        </w:rPr>
      </w:pPr>
    </w:p>
    <w:p>
      <w:pPr>
        <w:spacing w:before="0"/>
        <w:ind w:left="334" w:right="0" w:firstLine="0"/>
        <w:jc w:val="both"/>
        <w:rPr>
          <w:sz w:val="21"/>
        </w:rPr>
      </w:pPr>
      <w:r>
        <w:rPr>
          <w:rFonts w:ascii="Times New Roman" w:eastAsia="Times New Roman"/>
          <w:position w:val="2"/>
          <w:sz w:val="21"/>
        </w:rPr>
        <w:t>10.105</w:t>
      </w:r>
      <w:r>
        <w:rPr>
          <w:rFonts w:ascii="Times New Roman" w:eastAsia="Times New Roman"/>
          <w:spacing w:val="344"/>
          <w:position w:val="2"/>
          <w:sz w:val="21"/>
        </w:rPr>
        <w:t xml:space="preserve"> </w:t>
      </w:r>
      <w:r>
        <w:rPr>
          <w:b/>
          <w:spacing w:val="17"/>
          <w:sz w:val="21"/>
        </w:rPr>
        <w:t xml:space="preserve">严重巨细胞动脉炎 </w:t>
      </w:r>
      <w:r>
        <w:rPr>
          <w:spacing w:val="-1"/>
          <w:sz w:val="21"/>
        </w:rPr>
        <w:t>巨细胞动脉炎又称颅动脉炎、颞动脉炎、肉芽肿性动脉炎，须经</w:t>
      </w:r>
    </w:p>
    <w:p>
      <w:pPr>
        <w:pStyle w:val="3"/>
        <w:spacing w:before="4" w:line="242" w:lineRule="auto"/>
        <w:ind w:left="3307" w:right="617"/>
        <w:jc w:val="both"/>
      </w:pPr>
      <w:r>
        <w:rPr>
          <w:spacing w:val="-2"/>
        </w:rPr>
        <w:t>本公司认可医院的专科医师明确诊断，并造成永久不可逆性的单个肢体功能障碍或单眼失明。单眼失明指单眼视力永久不可逆性丧失，患眼须满足下列至少一项条件：</w:t>
      </w:r>
    </w:p>
    <w:p>
      <w:pPr>
        <w:pStyle w:val="8"/>
        <w:numPr>
          <w:ilvl w:val="0"/>
          <w:numId w:val="117"/>
        </w:numPr>
        <w:tabs>
          <w:tab w:val="left" w:pos="3837"/>
        </w:tabs>
        <w:spacing w:before="1" w:after="0" w:line="240" w:lineRule="auto"/>
        <w:ind w:left="3836" w:right="0" w:hanging="530"/>
        <w:jc w:val="left"/>
        <w:rPr>
          <w:sz w:val="21"/>
        </w:rPr>
      </w:pPr>
      <w:r>
        <w:rPr>
          <w:spacing w:val="-3"/>
          <w:sz w:val="21"/>
        </w:rPr>
        <w:t>眼球缺失或者摘除；</w:t>
      </w:r>
    </w:p>
    <w:p>
      <w:pPr>
        <w:pStyle w:val="8"/>
        <w:numPr>
          <w:ilvl w:val="0"/>
          <w:numId w:val="117"/>
        </w:numPr>
        <w:tabs>
          <w:tab w:val="left" w:pos="3837"/>
        </w:tabs>
        <w:spacing w:before="5" w:after="26" w:line="240" w:lineRule="auto"/>
        <w:ind w:left="3830" w:right="714" w:hanging="524"/>
        <w:jc w:val="left"/>
        <w:rPr>
          <w:sz w:val="21"/>
        </w:rPr>
      </w:pPr>
      <w:r>
        <w:rPr>
          <w:spacing w:val="-8"/>
          <w:sz w:val="21"/>
        </w:rPr>
        <w:t xml:space="preserve">矫正视力低于 </w:t>
      </w:r>
      <w:r>
        <w:rPr>
          <w:rFonts w:ascii="Times New Roman" w:eastAsia="Times New Roman"/>
          <w:sz w:val="21"/>
        </w:rPr>
        <w:t>0.02</w:t>
      </w:r>
      <w:r>
        <w:rPr>
          <w:sz w:val="21"/>
        </w:rPr>
        <w:t>（采用国际标准视力表，如果使用其它</w:t>
      </w:r>
      <w:r>
        <w:rPr>
          <w:spacing w:val="-2"/>
          <w:sz w:val="21"/>
        </w:rPr>
        <w:t>视力表应进行换算</w:t>
      </w:r>
      <w:r>
        <w:rPr>
          <w:spacing w:val="-106"/>
          <w:sz w:val="21"/>
        </w:rPr>
        <w:t>）</w:t>
      </w:r>
      <w:r>
        <w:rPr>
          <w:sz w:val="21"/>
        </w:rPr>
        <w:t>；</w:t>
      </w:r>
    </w:p>
    <w:tbl>
      <w:tblPr>
        <w:tblStyle w:val="5"/>
        <w:tblW w:w="0" w:type="auto"/>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3"/>
        <w:gridCol w:w="2151"/>
        <w:gridCol w:w="6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2944" w:type="dxa"/>
            <w:gridSpan w:val="2"/>
          </w:tcPr>
          <w:p>
            <w:pPr>
              <w:pStyle w:val="9"/>
              <w:rPr>
                <w:rFonts w:ascii="Times New Roman"/>
                <w:sz w:val="20"/>
              </w:rPr>
            </w:pPr>
          </w:p>
        </w:tc>
        <w:tc>
          <w:tcPr>
            <w:tcW w:w="6123" w:type="dxa"/>
          </w:tcPr>
          <w:p>
            <w:pPr>
              <w:pStyle w:val="9"/>
              <w:spacing w:line="247" w:lineRule="exact"/>
              <w:ind w:left="139"/>
              <w:rPr>
                <w:sz w:val="21"/>
              </w:rPr>
            </w:pPr>
            <w:r>
              <w:rPr>
                <w:sz w:val="21"/>
              </w:rPr>
              <w:t>（</w:t>
            </w:r>
            <w:r>
              <w:rPr>
                <w:rFonts w:ascii="Times New Roman" w:eastAsia="Times New Roman"/>
                <w:sz w:val="21"/>
              </w:rPr>
              <w:t>3</w:t>
            </w:r>
            <w:r>
              <w:rPr>
                <w:sz w:val="21"/>
              </w:rPr>
              <w:t>）</w:t>
            </w:r>
            <w:r>
              <w:rPr>
                <w:spacing w:val="-8"/>
                <w:sz w:val="21"/>
              </w:rPr>
              <w:t xml:space="preserve">视野半径小于 </w:t>
            </w:r>
            <w:r>
              <w:rPr>
                <w:rFonts w:ascii="Times New Roman" w:eastAsia="Times New Roman"/>
                <w:sz w:val="21"/>
              </w:rPr>
              <w:t>5</w:t>
            </w:r>
            <w:r>
              <w:rPr>
                <w:rFonts w:ascii="Times New Roman" w:eastAsia="Times New Roman"/>
                <w:spacing w:val="-10"/>
                <w:sz w:val="21"/>
              </w:rPr>
              <w:t xml:space="preserve"> </w:t>
            </w:r>
            <w:r>
              <w:rPr>
                <w:spacing w:val="-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7" w:hRule="atLeast"/>
        </w:trPr>
        <w:tc>
          <w:tcPr>
            <w:tcW w:w="793" w:type="dxa"/>
            <w:tcBorders>
              <w:bottom w:val="single" w:color="000000" w:sz="4" w:space="0"/>
            </w:tcBorders>
          </w:tcPr>
          <w:p>
            <w:pPr>
              <w:pStyle w:val="9"/>
              <w:spacing w:before="165"/>
              <w:ind w:left="110"/>
              <w:rPr>
                <w:rFonts w:ascii="Times New Roman"/>
                <w:b/>
                <w:sz w:val="24"/>
              </w:rPr>
            </w:pPr>
            <w:r>
              <w:rPr>
                <w:rFonts w:ascii="Times New Roman"/>
                <w:b/>
                <w:spacing w:val="-5"/>
                <w:sz w:val="24"/>
              </w:rPr>
              <w:t>11</w:t>
            </w:r>
          </w:p>
        </w:tc>
        <w:tc>
          <w:tcPr>
            <w:tcW w:w="2151" w:type="dxa"/>
            <w:tcBorders>
              <w:bottom w:val="single" w:color="000000" w:sz="4" w:space="0"/>
            </w:tcBorders>
          </w:tcPr>
          <w:p>
            <w:pPr>
              <w:pStyle w:val="9"/>
              <w:spacing w:before="149"/>
              <w:ind w:left="321"/>
              <w:rPr>
                <w:b/>
                <w:sz w:val="24"/>
              </w:rPr>
            </w:pPr>
            <w:r>
              <w:rPr>
                <w:b/>
                <w:w w:val="95"/>
                <w:sz w:val="24"/>
              </w:rPr>
              <w:t>释</w:t>
            </w:r>
            <w:r>
              <w:rPr>
                <w:b/>
                <w:spacing w:val="-10"/>
                <w:sz w:val="24"/>
              </w:rPr>
              <w:t>义</w:t>
            </w:r>
          </w:p>
        </w:tc>
        <w:tc>
          <w:tcPr>
            <w:tcW w:w="6123" w:type="dxa"/>
            <w:tcBorders>
              <w:bottom w:val="single" w:color="000000" w:sz="4"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1" w:hRule="atLeast"/>
        </w:trPr>
        <w:tc>
          <w:tcPr>
            <w:tcW w:w="793" w:type="dxa"/>
            <w:tcBorders>
              <w:top w:val="single" w:color="000000" w:sz="4" w:space="0"/>
            </w:tcBorders>
          </w:tcPr>
          <w:p>
            <w:pPr>
              <w:pStyle w:val="9"/>
              <w:spacing w:line="232" w:lineRule="exact"/>
              <w:ind w:left="110"/>
              <w:rPr>
                <w:rFonts w:ascii="Times New Roman"/>
                <w:sz w:val="21"/>
              </w:rPr>
            </w:pPr>
            <w:r>
              <w:rPr>
                <w:rFonts w:ascii="Times New Roman"/>
                <w:spacing w:val="-4"/>
                <w:sz w:val="21"/>
              </w:rPr>
              <w:t>11.1</w:t>
            </w:r>
          </w:p>
        </w:tc>
        <w:tc>
          <w:tcPr>
            <w:tcW w:w="2151" w:type="dxa"/>
            <w:tcBorders>
              <w:top w:val="single" w:color="000000" w:sz="4" w:space="0"/>
            </w:tcBorders>
          </w:tcPr>
          <w:p>
            <w:pPr>
              <w:pStyle w:val="9"/>
              <w:spacing w:line="265" w:lineRule="exact"/>
              <w:ind w:left="321"/>
              <w:rPr>
                <w:b/>
                <w:sz w:val="21"/>
              </w:rPr>
            </w:pPr>
            <w:r>
              <w:rPr>
                <w:b/>
                <w:spacing w:val="-2"/>
                <w:sz w:val="21"/>
              </w:rPr>
              <w:t>保险费约定支付日</w:t>
            </w:r>
          </w:p>
        </w:tc>
        <w:tc>
          <w:tcPr>
            <w:tcW w:w="6123" w:type="dxa"/>
            <w:tcBorders>
              <w:top w:val="single" w:color="000000" w:sz="4" w:space="0"/>
            </w:tcBorders>
          </w:tcPr>
          <w:p>
            <w:pPr>
              <w:pStyle w:val="9"/>
              <w:spacing w:line="244" w:lineRule="auto"/>
              <w:ind w:left="139" w:right="106"/>
              <w:jc w:val="both"/>
              <w:rPr>
                <w:sz w:val="21"/>
              </w:rPr>
            </w:pPr>
            <w:r>
              <w:rPr>
                <w:spacing w:val="-2"/>
                <w:sz w:val="21"/>
              </w:rPr>
              <w:t>保险合同生效日在每月、每季、每半年或每年（根据支付方式确定）的对应日。如果当月无对应的同一日，则以该月最后一日为</w:t>
            </w:r>
            <w:r>
              <w:rPr>
                <w:spacing w:val="-4"/>
                <w:sz w:val="21"/>
              </w:rPr>
              <w:t>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5" w:hRule="atLeast"/>
        </w:trPr>
        <w:tc>
          <w:tcPr>
            <w:tcW w:w="793" w:type="dxa"/>
          </w:tcPr>
          <w:p>
            <w:pPr>
              <w:pStyle w:val="9"/>
              <w:spacing w:before="130"/>
              <w:ind w:left="110"/>
              <w:rPr>
                <w:rFonts w:ascii="Times New Roman"/>
                <w:sz w:val="21"/>
              </w:rPr>
            </w:pPr>
            <w:r>
              <w:rPr>
                <w:rFonts w:ascii="Times New Roman"/>
                <w:spacing w:val="-4"/>
                <w:sz w:val="21"/>
              </w:rPr>
              <w:t>11.2</w:t>
            </w:r>
          </w:p>
        </w:tc>
        <w:tc>
          <w:tcPr>
            <w:tcW w:w="2151" w:type="dxa"/>
          </w:tcPr>
          <w:p>
            <w:pPr>
              <w:pStyle w:val="9"/>
              <w:spacing w:before="135"/>
              <w:ind w:left="321"/>
              <w:rPr>
                <w:b/>
                <w:sz w:val="21"/>
              </w:rPr>
            </w:pPr>
            <w:r>
              <w:rPr>
                <w:b/>
                <w:spacing w:val="-5"/>
                <w:sz w:val="21"/>
              </w:rPr>
              <w:t>周岁</w:t>
            </w:r>
          </w:p>
        </w:tc>
        <w:tc>
          <w:tcPr>
            <w:tcW w:w="6123" w:type="dxa"/>
          </w:tcPr>
          <w:p>
            <w:pPr>
              <w:pStyle w:val="9"/>
              <w:spacing w:before="135" w:line="244" w:lineRule="auto"/>
              <w:ind w:left="139" w:right="106"/>
              <w:rPr>
                <w:sz w:val="21"/>
              </w:rPr>
            </w:pPr>
            <w:r>
              <w:rPr>
                <w:spacing w:val="-2"/>
                <w:sz w:val="21"/>
              </w:rPr>
              <w:t>指按有效身份证件文件中记载的出生日期计算的年龄，自出生之日起为零周岁，每经过</w:t>
            </w:r>
            <w:r>
              <w:rPr>
                <w:rFonts w:ascii="Times New Roman" w:eastAsia="Times New Roman"/>
                <w:spacing w:val="-2"/>
                <w:sz w:val="21"/>
              </w:rPr>
              <w:t>1</w:t>
            </w:r>
            <w:r>
              <w:rPr>
                <w:spacing w:val="-2"/>
                <w:sz w:val="21"/>
              </w:rPr>
              <w:t>年增加</w:t>
            </w:r>
            <w:r>
              <w:rPr>
                <w:rFonts w:ascii="Times New Roman" w:eastAsia="Times New Roman"/>
                <w:spacing w:val="-2"/>
                <w:sz w:val="21"/>
              </w:rPr>
              <w:t>1</w:t>
            </w:r>
            <w:r>
              <w:rPr>
                <w:spacing w:val="-2"/>
                <w:sz w:val="21"/>
              </w:rPr>
              <w:t>岁，不足</w:t>
            </w:r>
            <w:r>
              <w:rPr>
                <w:rFonts w:ascii="Times New Roman" w:eastAsia="Times New Roman"/>
                <w:spacing w:val="-2"/>
                <w:sz w:val="21"/>
              </w:rPr>
              <w:t>1</w:t>
            </w:r>
            <w:r>
              <w:rPr>
                <w:spacing w:val="-2"/>
                <w:sz w:val="21"/>
              </w:rPr>
              <w:t>年的不计。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4" w:hRule="atLeast"/>
        </w:trPr>
        <w:tc>
          <w:tcPr>
            <w:tcW w:w="793" w:type="dxa"/>
          </w:tcPr>
          <w:p>
            <w:pPr>
              <w:pStyle w:val="9"/>
              <w:spacing w:before="122"/>
              <w:ind w:left="110"/>
              <w:rPr>
                <w:rFonts w:ascii="Times New Roman"/>
                <w:sz w:val="21"/>
              </w:rPr>
            </w:pPr>
            <w:r>
              <w:rPr>
                <w:rFonts w:ascii="Times New Roman"/>
                <w:spacing w:val="-4"/>
                <w:sz w:val="21"/>
              </w:rPr>
              <w:t>11.3</w:t>
            </w:r>
          </w:p>
        </w:tc>
        <w:tc>
          <w:tcPr>
            <w:tcW w:w="2151" w:type="dxa"/>
          </w:tcPr>
          <w:p>
            <w:pPr>
              <w:pStyle w:val="9"/>
              <w:spacing w:before="128"/>
              <w:ind w:left="321"/>
              <w:rPr>
                <w:b/>
                <w:sz w:val="21"/>
              </w:rPr>
            </w:pPr>
            <w:r>
              <w:rPr>
                <w:b/>
                <w:spacing w:val="-2"/>
                <w:sz w:val="21"/>
              </w:rPr>
              <w:t>有效身份证件</w:t>
            </w:r>
          </w:p>
        </w:tc>
        <w:tc>
          <w:tcPr>
            <w:tcW w:w="6123" w:type="dxa"/>
          </w:tcPr>
          <w:p>
            <w:pPr>
              <w:pStyle w:val="9"/>
              <w:spacing w:before="128"/>
              <w:ind w:left="139" w:right="107"/>
              <w:rPr>
                <w:sz w:val="21"/>
              </w:rPr>
            </w:pPr>
            <w:r>
              <w:rPr>
                <w:spacing w:val="-2"/>
                <w:sz w:val="21"/>
              </w:rPr>
              <w:t>指依据法律规定，由有权机构制作颁发的证明身份的证件、文件等，如：居民身份证、户口簿、护照、军人证等。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7" w:hRule="atLeast"/>
        </w:trPr>
        <w:tc>
          <w:tcPr>
            <w:tcW w:w="793" w:type="dxa"/>
          </w:tcPr>
          <w:p>
            <w:pPr>
              <w:pStyle w:val="9"/>
              <w:spacing w:before="130"/>
              <w:ind w:left="110"/>
              <w:rPr>
                <w:rFonts w:ascii="Times New Roman"/>
                <w:sz w:val="21"/>
              </w:rPr>
            </w:pPr>
            <w:r>
              <w:rPr>
                <w:rFonts w:ascii="Times New Roman"/>
                <w:spacing w:val="-4"/>
                <w:sz w:val="21"/>
              </w:rPr>
              <w:t>11.4</w:t>
            </w:r>
          </w:p>
        </w:tc>
        <w:tc>
          <w:tcPr>
            <w:tcW w:w="2151" w:type="dxa"/>
          </w:tcPr>
          <w:p>
            <w:pPr>
              <w:pStyle w:val="9"/>
              <w:spacing w:before="135"/>
              <w:ind w:left="321"/>
              <w:rPr>
                <w:b/>
                <w:sz w:val="21"/>
              </w:rPr>
            </w:pPr>
            <w:r>
              <w:rPr>
                <w:b/>
                <w:spacing w:val="-2"/>
                <w:sz w:val="21"/>
              </w:rPr>
              <w:t>社会基本医疗保险</w:t>
            </w:r>
          </w:p>
        </w:tc>
        <w:tc>
          <w:tcPr>
            <w:tcW w:w="6123" w:type="dxa"/>
          </w:tcPr>
          <w:p>
            <w:pPr>
              <w:pStyle w:val="9"/>
              <w:spacing w:before="135" w:line="244" w:lineRule="auto"/>
              <w:ind w:left="139" w:right="104"/>
              <w:rPr>
                <w:sz w:val="21"/>
              </w:rPr>
            </w:pPr>
            <w:r>
              <w:rPr>
                <w:spacing w:val="-2"/>
                <w:sz w:val="21"/>
              </w:rPr>
              <w:t>包括城镇职工基本医疗保险、城镇居民基本医疗保险、新型农村合作医疗等政府举办的基本医疗保障项目。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61" w:hRule="atLeast"/>
        </w:trPr>
        <w:tc>
          <w:tcPr>
            <w:tcW w:w="793" w:type="dxa"/>
          </w:tcPr>
          <w:p>
            <w:pPr>
              <w:pStyle w:val="9"/>
              <w:spacing w:before="130"/>
              <w:ind w:left="110"/>
              <w:rPr>
                <w:rFonts w:ascii="Times New Roman"/>
                <w:sz w:val="21"/>
              </w:rPr>
            </w:pPr>
            <w:r>
              <w:rPr>
                <w:rFonts w:ascii="Times New Roman"/>
                <w:spacing w:val="-4"/>
                <w:sz w:val="21"/>
              </w:rPr>
              <w:t>11.5</w:t>
            </w:r>
          </w:p>
        </w:tc>
        <w:tc>
          <w:tcPr>
            <w:tcW w:w="2151" w:type="dxa"/>
          </w:tcPr>
          <w:p>
            <w:pPr>
              <w:pStyle w:val="9"/>
              <w:spacing w:before="136"/>
              <w:ind w:left="321"/>
              <w:rPr>
                <w:b/>
                <w:sz w:val="21"/>
              </w:rPr>
            </w:pPr>
            <w:r>
              <w:rPr>
                <w:b/>
                <w:spacing w:val="-3"/>
                <w:sz w:val="21"/>
              </w:rPr>
              <w:t>公费医疗</w:t>
            </w:r>
          </w:p>
        </w:tc>
        <w:tc>
          <w:tcPr>
            <w:tcW w:w="6123" w:type="dxa"/>
          </w:tcPr>
          <w:p>
            <w:pPr>
              <w:pStyle w:val="9"/>
              <w:spacing w:before="136" w:line="244" w:lineRule="auto"/>
              <w:ind w:left="139" w:right="106"/>
              <w:jc w:val="both"/>
              <w:rPr>
                <w:sz w:val="21"/>
              </w:rPr>
            </w:pPr>
            <w:r>
              <w:rPr>
                <w:sz w:val="21"/>
              </w:rPr>
              <w:t>指国家为保障国家工作人员身体健康而实行的一项社会保障制</w:t>
            </w:r>
            <w:r>
              <w:rPr>
                <w:spacing w:val="-2"/>
                <w:sz w:val="21"/>
              </w:rPr>
              <w:t>度。国家通过医疗卫生部门向享受人员提供制度规定范围内的免</w:t>
            </w:r>
            <w:r>
              <w:rPr>
                <w:spacing w:val="-4"/>
                <w:sz w:val="21"/>
              </w:rPr>
              <w:t>费医疗。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4" w:hRule="atLeast"/>
        </w:trPr>
        <w:tc>
          <w:tcPr>
            <w:tcW w:w="793" w:type="dxa"/>
          </w:tcPr>
          <w:p>
            <w:pPr>
              <w:pStyle w:val="9"/>
              <w:spacing w:before="130"/>
              <w:ind w:left="110"/>
              <w:rPr>
                <w:rFonts w:ascii="Times New Roman"/>
                <w:sz w:val="21"/>
              </w:rPr>
            </w:pPr>
            <w:r>
              <w:rPr>
                <w:rFonts w:ascii="Times New Roman"/>
                <w:spacing w:val="-4"/>
                <w:sz w:val="21"/>
              </w:rPr>
              <w:t>11.6</w:t>
            </w:r>
          </w:p>
        </w:tc>
        <w:tc>
          <w:tcPr>
            <w:tcW w:w="2151" w:type="dxa"/>
          </w:tcPr>
          <w:p>
            <w:pPr>
              <w:pStyle w:val="9"/>
              <w:spacing w:before="135"/>
              <w:ind w:left="321"/>
              <w:rPr>
                <w:b/>
                <w:sz w:val="21"/>
              </w:rPr>
            </w:pPr>
            <w:r>
              <w:rPr>
                <w:b/>
                <w:spacing w:val="-2"/>
                <w:sz w:val="21"/>
              </w:rPr>
              <w:t>同一次住院</w:t>
            </w:r>
          </w:p>
        </w:tc>
        <w:tc>
          <w:tcPr>
            <w:tcW w:w="6123" w:type="dxa"/>
          </w:tcPr>
          <w:p>
            <w:pPr>
              <w:pStyle w:val="9"/>
              <w:spacing w:before="91" w:line="268" w:lineRule="exact"/>
              <w:ind w:left="139" w:right="104"/>
              <w:rPr>
                <w:sz w:val="21"/>
              </w:rPr>
            </w:pPr>
            <w:r>
              <w:rPr>
                <w:spacing w:val="-2"/>
                <w:sz w:val="21"/>
              </w:rPr>
              <w:t>与前次住院原因相同，且前次出院与下次入院间隔未超过30日的再次住院视为同一次住院。</w:t>
            </w:r>
          </w:p>
        </w:tc>
      </w:tr>
    </w:tbl>
    <w:p>
      <w:pPr>
        <w:spacing w:after="0" w:line="268" w:lineRule="exact"/>
        <w:rPr>
          <w:sz w:val="21"/>
        </w:rPr>
        <w:sectPr>
          <w:pgSz w:w="11910" w:h="16840"/>
          <w:pgMar w:top="1140" w:right="620" w:bottom="1040" w:left="1480" w:header="0" w:footer="851" w:gutter="0"/>
          <w:cols w:space="720" w:num="1"/>
        </w:sectPr>
      </w:pPr>
    </w:p>
    <w:p>
      <w:pPr>
        <w:pStyle w:val="8"/>
        <w:numPr>
          <w:ilvl w:val="1"/>
          <w:numId w:val="118"/>
        </w:numPr>
        <w:tabs>
          <w:tab w:val="left" w:pos="1338"/>
          <w:tab w:val="left" w:pos="1339"/>
          <w:tab w:val="left" w:pos="3307"/>
        </w:tabs>
        <w:spacing w:before="65" w:after="0" w:line="240" w:lineRule="auto"/>
        <w:ind w:left="1338" w:right="0" w:hanging="1005"/>
        <w:jc w:val="left"/>
        <w:rPr>
          <w:sz w:val="21"/>
        </w:rPr>
      </w:pPr>
      <w:r>
        <w:rPr>
          <w:b/>
          <w:sz w:val="21"/>
        </w:rPr>
        <w:t>意外伤</w:t>
      </w:r>
      <w:r>
        <w:rPr>
          <w:b/>
          <w:spacing w:val="-10"/>
          <w:sz w:val="21"/>
        </w:rPr>
        <w:t>害</w:t>
      </w:r>
      <w:r>
        <w:rPr>
          <w:b/>
          <w:sz w:val="21"/>
        </w:rPr>
        <w:tab/>
      </w:r>
      <w:r>
        <w:rPr>
          <w:spacing w:val="-2"/>
          <w:sz w:val="21"/>
        </w:rPr>
        <w:t>指遭受外来的、突发的、非本意的、非疾病的客观事件直接致</w:t>
      </w:r>
      <w:r>
        <w:rPr>
          <w:spacing w:val="-10"/>
          <w:sz w:val="21"/>
        </w:rPr>
        <w:t>使</w:t>
      </w:r>
    </w:p>
    <w:p>
      <w:pPr>
        <w:spacing w:before="4"/>
        <w:ind w:left="3307" w:right="0" w:firstLine="0"/>
        <w:jc w:val="left"/>
        <w:rPr>
          <w:sz w:val="21"/>
        </w:rPr>
      </w:pPr>
      <w:r>
        <w:rPr>
          <w:spacing w:val="-2"/>
          <w:sz w:val="21"/>
        </w:rPr>
        <w:t>身体受到的伤害，</w:t>
      </w:r>
      <w:r>
        <w:rPr>
          <w:b/>
          <w:spacing w:val="-2"/>
          <w:sz w:val="21"/>
        </w:rPr>
        <w:t>猝死不属于意外伤害</w:t>
      </w:r>
      <w:r>
        <w:rPr>
          <w:spacing w:val="-10"/>
          <w:sz w:val="21"/>
        </w:rPr>
        <w:t>。</w:t>
      </w:r>
    </w:p>
    <w:p>
      <w:pPr>
        <w:pStyle w:val="3"/>
        <w:spacing w:before="8"/>
        <w:rPr>
          <w:sz w:val="18"/>
        </w:rPr>
      </w:pPr>
    </w:p>
    <w:p>
      <w:pPr>
        <w:pStyle w:val="8"/>
        <w:numPr>
          <w:ilvl w:val="1"/>
          <w:numId w:val="118"/>
        </w:numPr>
        <w:tabs>
          <w:tab w:val="left" w:pos="1338"/>
          <w:tab w:val="left" w:pos="1339"/>
          <w:tab w:val="left" w:pos="3307"/>
        </w:tabs>
        <w:spacing w:before="0" w:after="0" w:line="240" w:lineRule="auto"/>
        <w:ind w:left="1338" w:right="0" w:hanging="1005"/>
        <w:jc w:val="both"/>
        <w:rPr>
          <w:sz w:val="21"/>
        </w:rPr>
      </w:pPr>
      <w:r>
        <w:rPr>
          <w:b/>
          <w:sz w:val="21"/>
        </w:rPr>
        <w:t>医</w:t>
      </w:r>
      <w:r>
        <w:rPr>
          <w:b/>
          <w:spacing w:val="-10"/>
          <w:sz w:val="21"/>
        </w:rPr>
        <w:t>院</w:t>
      </w:r>
      <w:r>
        <w:rPr>
          <w:b/>
          <w:sz w:val="21"/>
        </w:rPr>
        <w:tab/>
      </w:r>
      <w:r>
        <w:rPr>
          <w:sz w:val="21"/>
        </w:rPr>
        <w:t>指中华人民共和国卫生部医院等级分类中的二级或二级以上</w:t>
      </w:r>
      <w:r>
        <w:rPr>
          <w:spacing w:val="-10"/>
          <w:sz w:val="21"/>
        </w:rPr>
        <w:t>的</w:t>
      </w:r>
    </w:p>
    <w:p>
      <w:pPr>
        <w:spacing w:before="5" w:line="242" w:lineRule="auto"/>
        <w:ind w:left="3307" w:right="617" w:firstLine="0"/>
        <w:jc w:val="both"/>
        <w:rPr>
          <w:sz w:val="21"/>
        </w:rPr>
      </w:pPr>
      <w:r>
        <w:rPr>
          <w:spacing w:val="-2"/>
          <w:sz w:val="21"/>
        </w:rPr>
        <w:t>公立医院普通部（</w:t>
      </w:r>
      <w:r>
        <w:rPr>
          <w:b/>
          <w:spacing w:val="-2"/>
          <w:sz w:val="21"/>
        </w:rPr>
        <w:t>不包括其附属的国际医疗、特需医疗、外宾医疗、干部病房等</w:t>
      </w:r>
      <w:r>
        <w:rPr>
          <w:b/>
          <w:spacing w:val="-52"/>
          <w:sz w:val="21"/>
        </w:rPr>
        <w:t>）</w:t>
      </w:r>
      <w:r>
        <w:rPr>
          <w:spacing w:val="48"/>
          <w:sz w:val="21"/>
        </w:rPr>
        <w:t>，</w:t>
      </w:r>
      <w:r>
        <w:rPr>
          <w:b/>
          <w:spacing w:val="-2"/>
          <w:sz w:val="21"/>
        </w:rPr>
        <w:t>不包括精神病院和以康复、护理、疗养、戒酒、戒毒或类似功能为主要功能的医疗机构</w:t>
      </w:r>
      <w:r>
        <w:rPr>
          <w:spacing w:val="-2"/>
          <w:sz w:val="21"/>
        </w:rPr>
        <w:t>。</w:t>
      </w:r>
    </w:p>
    <w:p>
      <w:pPr>
        <w:pStyle w:val="3"/>
        <w:spacing w:before="4"/>
        <w:rPr>
          <w:sz w:val="18"/>
        </w:rPr>
      </w:pPr>
    </w:p>
    <w:p>
      <w:pPr>
        <w:pStyle w:val="8"/>
        <w:numPr>
          <w:ilvl w:val="1"/>
          <w:numId w:val="118"/>
        </w:numPr>
        <w:tabs>
          <w:tab w:val="left" w:pos="1338"/>
          <w:tab w:val="left" w:pos="1339"/>
          <w:tab w:val="left" w:pos="3307"/>
        </w:tabs>
        <w:spacing w:before="0" w:after="0" w:line="240" w:lineRule="auto"/>
        <w:ind w:left="1338" w:right="0" w:hanging="1005"/>
        <w:jc w:val="left"/>
        <w:rPr>
          <w:sz w:val="21"/>
        </w:rPr>
      </w:pPr>
      <w:r>
        <w:rPr>
          <w:b/>
          <w:sz w:val="21"/>
        </w:rPr>
        <w:t>合理且必</w:t>
      </w:r>
      <w:r>
        <w:rPr>
          <w:b/>
          <w:spacing w:val="-10"/>
          <w:sz w:val="21"/>
        </w:rPr>
        <w:t>需</w:t>
      </w:r>
      <w:r>
        <w:rPr>
          <w:b/>
          <w:sz w:val="21"/>
        </w:rPr>
        <w:tab/>
      </w:r>
      <w:r>
        <w:rPr>
          <w:spacing w:val="-2"/>
          <w:sz w:val="21"/>
        </w:rPr>
        <w:t>指医疗费用符合下列所有条件</w:t>
      </w:r>
      <w:r>
        <w:rPr>
          <w:spacing w:val="-10"/>
          <w:sz w:val="21"/>
        </w:rPr>
        <w:t>：</w:t>
      </w:r>
    </w:p>
    <w:p>
      <w:pPr>
        <w:pStyle w:val="8"/>
        <w:numPr>
          <w:ilvl w:val="2"/>
          <w:numId w:val="118"/>
        </w:numPr>
        <w:tabs>
          <w:tab w:val="left" w:pos="3837"/>
        </w:tabs>
        <w:spacing w:before="5" w:after="0" w:line="244" w:lineRule="auto"/>
        <w:ind w:left="3830" w:right="714" w:hanging="524"/>
        <w:jc w:val="left"/>
        <w:rPr>
          <w:sz w:val="19"/>
        </w:rPr>
      </w:pPr>
      <w:r>
        <w:rPr>
          <w:spacing w:val="-2"/>
          <w:sz w:val="21"/>
        </w:rPr>
        <w:t>与接受治疗当地通行治疗规范、通行治疗方法、平均医疗费用价格水平一致；</w:t>
      </w:r>
    </w:p>
    <w:p>
      <w:pPr>
        <w:pStyle w:val="8"/>
        <w:numPr>
          <w:ilvl w:val="2"/>
          <w:numId w:val="118"/>
        </w:numPr>
        <w:tabs>
          <w:tab w:val="left" w:pos="3837"/>
        </w:tabs>
        <w:spacing w:before="0" w:after="0" w:line="268" w:lineRule="exact"/>
        <w:ind w:left="3836" w:right="0" w:hanging="530"/>
        <w:jc w:val="left"/>
        <w:rPr>
          <w:sz w:val="19"/>
        </w:rPr>
      </w:pPr>
      <w:r>
        <w:rPr>
          <w:spacing w:val="-3"/>
          <w:sz w:val="21"/>
        </w:rPr>
        <w:t>医生处方要求且对治疗意外伤害或疾病合适且必需；</w:t>
      </w:r>
    </w:p>
    <w:p>
      <w:pPr>
        <w:pStyle w:val="8"/>
        <w:numPr>
          <w:ilvl w:val="2"/>
          <w:numId w:val="118"/>
        </w:numPr>
        <w:tabs>
          <w:tab w:val="left" w:pos="3837"/>
        </w:tabs>
        <w:spacing w:before="0" w:after="0" w:line="240" w:lineRule="auto"/>
        <w:ind w:left="3836" w:right="0" w:hanging="530"/>
        <w:jc w:val="left"/>
        <w:rPr>
          <w:sz w:val="19"/>
        </w:rPr>
      </w:pPr>
      <w:r>
        <w:rPr>
          <w:spacing w:val="-3"/>
          <w:sz w:val="21"/>
        </w:rPr>
        <w:t>与接受治疗当地医疗专业实践标准一致；</w:t>
      </w:r>
    </w:p>
    <w:p>
      <w:pPr>
        <w:pStyle w:val="8"/>
        <w:numPr>
          <w:ilvl w:val="2"/>
          <w:numId w:val="118"/>
        </w:numPr>
        <w:tabs>
          <w:tab w:val="left" w:pos="3837"/>
        </w:tabs>
        <w:spacing w:before="4" w:after="0" w:line="240" w:lineRule="auto"/>
        <w:ind w:left="3836" w:right="0" w:hanging="530"/>
        <w:jc w:val="left"/>
        <w:rPr>
          <w:sz w:val="19"/>
        </w:rPr>
      </w:pPr>
      <w:r>
        <w:rPr>
          <w:spacing w:val="-3"/>
          <w:sz w:val="21"/>
        </w:rPr>
        <w:t>非主要为了医师或其他医疗提供方的方便；</w:t>
      </w:r>
    </w:p>
    <w:p>
      <w:pPr>
        <w:pStyle w:val="8"/>
        <w:numPr>
          <w:ilvl w:val="2"/>
          <w:numId w:val="118"/>
        </w:numPr>
        <w:tabs>
          <w:tab w:val="left" w:pos="3837"/>
        </w:tabs>
        <w:spacing w:before="5" w:after="0" w:line="269" w:lineRule="exact"/>
        <w:ind w:left="3836" w:right="0" w:hanging="530"/>
        <w:jc w:val="left"/>
        <w:rPr>
          <w:sz w:val="19"/>
        </w:rPr>
      </w:pPr>
      <w:r>
        <w:rPr>
          <w:spacing w:val="-3"/>
          <w:sz w:val="21"/>
        </w:rPr>
        <w:t>非试验性或研究性。</w:t>
      </w:r>
    </w:p>
    <w:p>
      <w:pPr>
        <w:spacing w:before="0" w:line="244" w:lineRule="auto"/>
        <w:ind w:left="3307" w:right="590" w:firstLine="0"/>
        <w:jc w:val="both"/>
        <w:rPr>
          <w:b/>
          <w:sz w:val="21"/>
        </w:rPr>
      </w:pPr>
      <w:r>
        <w:rPr>
          <w:b/>
          <w:spacing w:val="-2"/>
          <w:sz w:val="21"/>
        </w:rPr>
        <w:t>对医疗费用是否合理且必需由本公司理赔人员根据客观、审慎、合理的原则进行审核；如果被保险人对审核结果有不同意见，可由双方认同的权威医学机构或者权威医学专家进行审核鉴定。</w:t>
      </w:r>
    </w:p>
    <w:p>
      <w:pPr>
        <w:pStyle w:val="3"/>
        <w:spacing w:before="1"/>
        <w:rPr>
          <w:b/>
          <w:sz w:val="18"/>
        </w:rPr>
      </w:pPr>
    </w:p>
    <w:p>
      <w:pPr>
        <w:pStyle w:val="8"/>
        <w:numPr>
          <w:ilvl w:val="1"/>
          <w:numId w:val="118"/>
        </w:numPr>
        <w:tabs>
          <w:tab w:val="left" w:pos="1338"/>
          <w:tab w:val="left" w:pos="1339"/>
          <w:tab w:val="left" w:pos="3307"/>
        </w:tabs>
        <w:spacing w:before="0" w:after="0" w:line="240" w:lineRule="auto"/>
        <w:ind w:left="1338" w:right="0" w:hanging="1005"/>
        <w:jc w:val="left"/>
        <w:rPr>
          <w:b/>
          <w:sz w:val="21"/>
        </w:rPr>
      </w:pPr>
      <w:r>
        <w:rPr>
          <w:b/>
          <w:sz w:val="21"/>
        </w:rPr>
        <w:t>床位</w:t>
      </w:r>
      <w:r>
        <w:rPr>
          <w:b/>
          <w:spacing w:val="-10"/>
          <w:sz w:val="21"/>
        </w:rPr>
        <w:t>费</w:t>
      </w:r>
      <w:r>
        <w:rPr>
          <w:b/>
          <w:sz w:val="21"/>
        </w:rPr>
        <w:tab/>
      </w:r>
      <w:r>
        <w:rPr>
          <w:spacing w:val="-2"/>
          <w:sz w:val="21"/>
        </w:rPr>
        <w:t>指被保险人住院期间使用的医院床位的费用，</w:t>
      </w:r>
      <w:r>
        <w:rPr>
          <w:b/>
          <w:spacing w:val="-2"/>
          <w:sz w:val="21"/>
        </w:rPr>
        <w:t>不包括重症监护</w:t>
      </w:r>
      <w:r>
        <w:rPr>
          <w:b/>
          <w:spacing w:val="-10"/>
          <w:sz w:val="21"/>
        </w:rPr>
        <w:t>室</w:t>
      </w:r>
    </w:p>
    <w:p>
      <w:pPr>
        <w:spacing w:before="5"/>
        <w:ind w:left="3307" w:right="0" w:firstLine="0"/>
        <w:jc w:val="left"/>
        <w:rPr>
          <w:sz w:val="21"/>
        </w:rPr>
      </w:pPr>
      <w:r>
        <w:rPr>
          <w:b/>
          <w:sz w:val="21"/>
        </w:rPr>
        <w:t>床位费、单人病房、套房、家庭病床</w:t>
      </w:r>
      <w:r>
        <w:rPr>
          <w:spacing w:val="-10"/>
          <w:sz w:val="21"/>
        </w:rPr>
        <w:t>。</w:t>
      </w:r>
    </w:p>
    <w:p>
      <w:pPr>
        <w:pStyle w:val="3"/>
        <w:spacing w:before="7"/>
        <w:rPr>
          <w:sz w:val="18"/>
        </w:rPr>
      </w:pPr>
    </w:p>
    <w:p>
      <w:pPr>
        <w:pStyle w:val="8"/>
        <w:numPr>
          <w:ilvl w:val="1"/>
          <w:numId w:val="118"/>
        </w:numPr>
        <w:tabs>
          <w:tab w:val="left" w:pos="1338"/>
          <w:tab w:val="left" w:pos="1339"/>
          <w:tab w:val="left" w:pos="3307"/>
        </w:tabs>
        <w:spacing w:before="1" w:after="0" w:line="240" w:lineRule="auto"/>
        <w:ind w:left="1338" w:right="0" w:hanging="1005"/>
        <w:jc w:val="left"/>
        <w:rPr>
          <w:sz w:val="21"/>
        </w:rPr>
      </w:pPr>
      <w:r>
        <w:rPr>
          <w:b/>
          <w:sz w:val="21"/>
        </w:rPr>
        <w:t>医生诊疗</w:t>
      </w:r>
      <w:r>
        <w:rPr>
          <w:b/>
          <w:spacing w:val="-10"/>
          <w:sz w:val="21"/>
        </w:rPr>
        <w:t>费</w:t>
      </w:r>
      <w:r>
        <w:rPr>
          <w:b/>
          <w:sz w:val="21"/>
        </w:rPr>
        <w:tab/>
      </w:r>
      <w:r>
        <w:rPr>
          <w:spacing w:val="-2"/>
          <w:sz w:val="21"/>
        </w:rPr>
        <w:t>指由医生所实施的病情咨询及检查、各种器械或者仪器检查、</w:t>
      </w:r>
      <w:r>
        <w:rPr>
          <w:spacing w:val="-10"/>
          <w:sz w:val="21"/>
        </w:rPr>
        <w:t>诊</w:t>
      </w:r>
    </w:p>
    <w:p>
      <w:pPr>
        <w:pStyle w:val="3"/>
        <w:spacing w:before="5"/>
        <w:ind w:left="3307"/>
      </w:pPr>
      <w:r>
        <w:rPr>
          <w:spacing w:val="-3"/>
        </w:rPr>
        <w:t>断、治疗方案拟定等各项医疗服务所收取的费用。</w:t>
      </w:r>
    </w:p>
    <w:p>
      <w:pPr>
        <w:pStyle w:val="3"/>
        <w:spacing w:before="7"/>
        <w:rPr>
          <w:sz w:val="18"/>
        </w:rPr>
      </w:pPr>
    </w:p>
    <w:p>
      <w:pPr>
        <w:pStyle w:val="8"/>
        <w:numPr>
          <w:ilvl w:val="1"/>
          <w:numId w:val="118"/>
        </w:numPr>
        <w:tabs>
          <w:tab w:val="left" w:pos="1339"/>
          <w:tab w:val="left" w:pos="3307"/>
        </w:tabs>
        <w:spacing w:before="0" w:after="0" w:line="275" w:lineRule="exact"/>
        <w:ind w:left="1338" w:right="0" w:hanging="1005"/>
        <w:jc w:val="both"/>
        <w:rPr>
          <w:sz w:val="21"/>
        </w:rPr>
      </w:pPr>
      <w:r>
        <w:rPr>
          <w:b/>
          <w:sz w:val="21"/>
        </w:rPr>
        <w:t>治疗</w:t>
      </w:r>
      <w:r>
        <w:rPr>
          <w:b/>
          <w:spacing w:val="-10"/>
          <w:sz w:val="21"/>
        </w:rPr>
        <w:t>费</w:t>
      </w:r>
      <w:r>
        <w:rPr>
          <w:b/>
          <w:sz w:val="21"/>
        </w:rPr>
        <w:tab/>
      </w:r>
      <w:r>
        <w:rPr>
          <w:spacing w:val="-2"/>
          <w:sz w:val="21"/>
        </w:rPr>
        <w:t>指由医生或者护士对患者进行的除手术外的各种治疗项目而</w:t>
      </w:r>
      <w:r>
        <w:rPr>
          <w:spacing w:val="-10"/>
          <w:sz w:val="21"/>
        </w:rPr>
        <w:t>发</w:t>
      </w:r>
    </w:p>
    <w:p>
      <w:pPr>
        <w:pStyle w:val="3"/>
        <w:spacing w:line="244" w:lineRule="auto"/>
        <w:ind w:left="3307" w:right="617"/>
        <w:jc w:val="both"/>
      </w:pPr>
      <w:r>
        <w:rPr>
          <w:spacing w:val="-2"/>
        </w:rPr>
        <w:t>生的治疗费，包括因清创、换药、拆线、脓肿切开引流、瘘管烧灼、血管穿刺、输血、输液、注射、肌肉封闭、吸氧、放疗、化疗、冷冻、激光、肾透析、急救治疗、心肺复苏等而发生的治疗费，具体以所就诊医院的费用项目划分为准。</w:t>
      </w:r>
    </w:p>
    <w:p>
      <w:pPr>
        <w:pStyle w:val="3"/>
        <w:rPr>
          <w:sz w:val="18"/>
        </w:rPr>
      </w:pPr>
    </w:p>
    <w:p>
      <w:pPr>
        <w:pStyle w:val="8"/>
        <w:numPr>
          <w:ilvl w:val="1"/>
          <w:numId w:val="118"/>
        </w:numPr>
        <w:tabs>
          <w:tab w:val="left" w:pos="1339"/>
          <w:tab w:val="left" w:pos="3307"/>
        </w:tabs>
        <w:spacing w:before="1" w:after="0" w:line="275" w:lineRule="exact"/>
        <w:ind w:left="1338" w:right="0" w:hanging="1005"/>
        <w:jc w:val="both"/>
        <w:rPr>
          <w:sz w:val="21"/>
        </w:rPr>
      </w:pPr>
      <w:r>
        <w:rPr>
          <w:b/>
          <w:sz w:val="21"/>
        </w:rPr>
        <w:t>手术</w:t>
      </w:r>
      <w:r>
        <w:rPr>
          <w:b/>
          <w:spacing w:val="-10"/>
          <w:sz w:val="21"/>
        </w:rPr>
        <w:t>费</w:t>
      </w:r>
      <w:r>
        <w:rPr>
          <w:b/>
          <w:sz w:val="21"/>
        </w:rPr>
        <w:tab/>
      </w:r>
      <w:r>
        <w:rPr>
          <w:spacing w:val="-2"/>
          <w:sz w:val="21"/>
        </w:rPr>
        <w:t>据当地卫生行政部门规定的手术项目的费用。包括手术费、麻</w:t>
      </w:r>
      <w:r>
        <w:rPr>
          <w:spacing w:val="-10"/>
          <w:sz w:val="21"/>
        </w:rPr>
        <w:t>醉</w:t>
      </w:r>
    </w:p>
    <w:p>
      <w:pPr>
        <w:spacing w:before="0" w:line="244" w:lineRule="auto"/>
        <w:ind w:left="3307" w:right="619" w:firstLine="0"/>
        <w:jc w:val="both"/>
        <w:rPr>
          <w:b/>
          <w:sz w:val="21"/>
        </w:rPr>
      </w:pPr>
      <w:r>
        <w:rPr>
          <w:spacing w:val="-2"/>
          <w:sz w:val="21"/>
        </w:rPr>
        <w:t>费、手术监测费、手术材料费、术中用药费、手术设备费。</w:t>
      </w:r>
      <w:r>
        <w:rPr>
          <w:b/>
          <w:spacing w:val="-2"/>
          <w:sz w:val="21"/>
        </w:rPr>
        <w:t>若为器官移植而发生的手术费用，则不包括器官本身的费用和获取器官过程中的费用。</w:t>
      </w:r>
    </w:p>
    <w:p>
      <w:pPr>
        <w:pStyle w:val="3"/>
        <w:spacing w:before="1"/>
        <w:rPr>
          <w:b/>
          <w:sz w:val="18"/>
        </w:rPr>
      </w:pPr>
    </w:p>
    <w:p>
      <w:pPr>
        <w:pStyle w:val="8"/>
        <w:numPr>
          <w:ilvl w:val="1"/>
          <w:numId w:val="118"/>
        </w:numPr>
        <w:tabs>
          <w:tab w:val="left" w:pos="1339"/>
          <w:tab w:val="left" w:pos="3307"/>
        </w:tabs>
        <w:spacing w:before="0" w:after="0" w:line="240" w:lineRule="auto"/>
        <w:ind w:left="1338" w:right="0" w:hanging="1005"/>
        <w:jc w:val="both"/>
        <w:rPr>
          <w:sz w:val="21"/>
        </w:rPr>
      </w:pPr>
      <w:r>
        <w:rPr>
          <w:b/>
          <w:sz w:val="21"/>
        </w:rPr>
        <w:t>药品</w:t>
      </w:r>
      <w:r>
        <w:rPr>
          <w:b/>
          <w:spacing w:val="-10"/>
          <w:sz w:val="21"/>
        </w:rPr>
        <w:t>费</w:t>
      </w:r>
      <w:r>
        <w:rPr>
          <w:b/>
          <w:sz w:val="21"/>
        </w:rPr>
        <w:tab/>
      </w:r>
      <w:r>
        <w:rPr>
          <w:spacing w:val="-2"/>
          <w:sz w:val="21"/>
        </w:rPr>
        <w:t>指由医生开具的具有国家药品监督管理部门核发的药品批准</w:t>
      </w:r>
      <w:r>
        <w:rPr>
          <w:spacing w:val="-10"/>
          <w:sz w:val="21"/>
        </w:rPr>
        <w:t>文</w:t>
      </w:r>
    </w:p>
    <w:p>
      <w:pPr>
        <w:spacing w:before="4" w:line="242" w:lineRule="auto"/>
        <w:ind w:left="3307" w:right="590" w:firstLine="0"/>
        <w:jc w:val="both"/>
        <w:rPr>
          <w:b/>
          <w:sz w:val="21"/>
        </w:rPr>
      </w:pPr>
      <w:r>
        <w:rPr>
          <w:spacing w:val="-2"/>
          <w:sz w:val="21"/>
        </w:rPr>
        <w:t>号或者进口药品注册证书、医药产品注册证书的国产或进口药品的费用，包括西药、中成药和中草药。</w:t>
      </w:r>
      <w:r>
        <w:rPr>
          <w:b/>
          <w:spacing w:val="-2"/>
          <w:sz w:val="21"/>
        </w:rPr>
        <w:t>药品费不包括在治疗时当地政府适用的《城镇职工基本医疗保险药品目录》及相关规定中不予给付的下列药品：营养补充类药品、免疫功能调节类药品、美容及减肥类药品、预防类药品以及中草药类药品。</w:t>
      </w:r>
    </w:p>
    <w:p>
      <w:pPr>
        <w:pStyle w:val="3"/>
        <w:spacing w:before="8"/>
        <w:rPr>
          <w:b/>
          <w:sz w:val="18"/>
        </w:rPr>
      </w:pPr>
    </w:p>
    <w:p>
      <w:pPr>
        <w:pStyle w:val="8"/>
        <w:numPr>
          <w:ilvl w:val="1"/>
          <w:numId w:val="118"/>
        </w:numPr>
        <w:tabs>
          <w:tab w:val="left" w:pos="1339"/>
        </w:tabs>
        <w:spacing w:before="1" w:after="0" w:line="275" w:lineRule="exact"/>
        <w:ind w:left="1338" w:right="0" w:hanging="1005"/>
        <w:jc w:val="both"/>
        <w:rPr>
          <w:sz w:val="21"/>
        </w:rPr>
      </w:pPr>
      <w:r>
        <w:rPr>
          <w:b/>
          <w:sz w:val="21"/>
        </w:rPr>
        <w:t>检查化验费</w:t>
      </w:r>
      <w:r>
        <w:rPr>
          <w:b/>
          <w:spacing w:val="766"/>
          <w:sz w:val="21"/>
        </w:rPr>
        <w:t xml:space="preserve"> </w:t>
      </w:r>
      <w:r>
        <w:rPr>
          <w:spacing w:val="-1"/>
          <w:sz w:val="21"/>
        </w:rPr>
        <w:t>指由医生开具的由医院专项检查科室的专业检查、检验人员实施</w:t>
      </w:r>
    </w:p>
    <w:p>
      <w:pPr>
        <w:pStyle w:val="3"/>
        <w:spacing w:line="244" w:lineRule="auto"/>
        <w:ind w:left="3307" w:right="609"/>
        <w:jc w:val="both"/>
      </w:pPr>
      <w:r>
        <w:rPr>
          <w:spacing w:val="-2"/>
        </w:rPr>
        <w:t>的各检查化验项目产生的费用，检查化验项目包括实验室检查、病理检查、放射线检查、</w:t>
      </w:r>
      <w:r>
        <w:rPr>
          <w:rFonts w:ascii="Times New Roman" w:eastAsia="Times New Roman"/>
          <w:spacing w:val="-2"/>
        </w:rPr>
        <w:t>CT</w:t>
      </w:r>
      <w:r>
        <w:rPr>
          <w:spacing w:val="-2"/>
        </w:rPr>
        <w:t>、</w:t>
      </w:r>
      <w:r>
        <w:rPr>
          <w:rFonts w:ascii="Times New Roman" w:eastAsia="Times New Roman"/>
          <w:spacing w:val="-2"/>
        </w:rPr>
        <w:t>MRI</w:t>
      </w:r>
      <w:r>
        <w:rPr>
          <w:spacing w:val="-2"/>
        </w:rPr>
        <w:t>、</w:t>
      </w:r>
      <w:r>
        <w:rPr>
          <w:rFonts w:ascii="Times New Roman" w:eastAsia="Times New Roman"/>
          <w:spacing w:val="-2"/>
        </w:rPr>
        <w:t>B</w:t>
      </w:r>
      <w:r>
        <w:rPr>
          <w:spacing w:val="-2"/>
        </w:rPr>
        <w:t>超、血管造影、同位素、心电图、心功能、肺功能、骨密度、基因学检查。</w:t>
      </w:r>
    </w:p>
    <w:p>
      <w:pPr>
        <w:pStyle w:val="3"/>
        <w:spacing w:before="1"/>
        <w:rPr>
          <w:sz w:val="18"/>
        </w:rPr>
      </w:pPr>
    </w:p>
    <w:p>
      <w:pPr>
        <w:pStyle w:val="8"/>
        <w:numPr>
          <w:ilvl w:val="1"/>
          <w:numId w:val="118"/>
        </w:numPr>
        <w:tabs>
          <w:tab w:val="left" w:pos="1338"/>
          <w:tab w:val="left" w:pos="1339"/>
          <w:tab w:val="left" w:pos="3307"/>
        </w:tabs>
        <w:spacing w:before="0" w:after="0" w:line="240" w:lineRule="auto"/>
        <w:ind w:left="1338" w:right="0" w:hanging="1005"/>
        <w:jc w:val="left"/>
        <w:rPr>
          <w:sz w:val="21"/>
        </w:rPr>
      </w:pPr>
      <w:r>
        <w:rPr>
          <w:b/>
          <w:sz w:val="21"/>
        </w:rPr>
        <w:t>护理</w:t>
      </w:r>
      <w:r>
        <w:rPr>
          <w:b/>
          <w:spacing w:val="-10"/>
          <w:sz w:val="21"/>
        </w:rPr>
        <w:t>费</w:t>
      </w:r>
      <w:r>
        <w:rPr>
          <w:b/>
          <w:sz w:val="21"/>
        </w:rPr>
        <w:tab/>
      </w:r>
      <w:r>
        <w:rPr>
          <w:spacing w:val="-2"/>
          <w:sz w:val="21"/>
        </w:rPr>
        <w:t>指住院期间由护士对被保险人提供临床护理服务所收取的费用</w:t>
      </w:r>
      <w:r>
        <w:rPr>
          <w:spacing w:val="-10"/>
          <w:sz w:val="21"/>
        </w:rPr>
        <w:t>。</w:t>
      </w:r>
    </w:p>
    <w:p>
      <w:pPr>
        <w:pStyle w:val="3"/>
        <w:spacing w:before="4"/>
        <w:ind w:left="3307"/>
      </w:pPr>
      <w:r>
        <w:rPr>
          <w:spacing w:val="-3"/>
        </w:rPr>
        <w:t>包括各级护理、重症监护与专项护理费用。</w:t>
      </w:r>
    </w:p>
    <w:p>
      <w:pPr>
        <w:pStyle w:val="3"/>
        <w:spacing w:before="8"/>
        <w:rPr>
          <w:sz w:val="18"/>
        </w:rPr>
      </w:pPr>
    </w:p>
    <w:p>
      <w:pPr>
        <w:pStyle w:val="8"/>
        <w:numPr>
          <w:ilvl w:val="1"/>
          <w:numId w:val="118"/>
        </w:numPr>
        <w:tabs>
          <w:tab w:val="left" w:pos="1338"/>
          <w:tab w:val="left" w:pos="1339"/>
          <w:tab w:val="left" w:pos="3307"/>
        </w:tabs>
        <w:spacing w:before="0" w:after="0" w:line="275" w:lineRule="exact"/>
        <w:ind w:left="1338" w:right="0" w:hanging="1005"/>
        <w:jc w:val="left"/>
        <w:rPr>
          <w:sz w:val="21"/>
        </w:rPr>
      </w:pPr>
      <w:r>
        <w:rPr>
          <w:b/>
          <w:sz w:val="21"/>
        </w:rPr>
        <w:t>膳食</w:t>
      </w:r>
      <w:r>
        <w:rPr>
          <w:b/>
          <w:spacing w:val="-10"/>
          <w:sz w:val="21"/>
        </w:rPr>
        <w:t>费</w:t>
      </w:r>
      <w:r>
        <w:rPr>
          <w:b/>
          <w:sz w:val="21"/>
        </w:rPr>
        <w:tab/>
      </w:r>
      <w:r>
        <w:rPr>
          <w:spacing w:val="-2"/>
          <w:sz w:val="21"/>
        </w:rPr>
        <w:t>指根据医生的医嘱，由医院内设的专门为住院病人配餐的食堂</w:t>
      </w:r>
      <w:r>
        <w:rPr>
          <w:spacing w:val="-10"/>
          <w:sz w:val="21"/>
        </w:rPr>
        <w:t>配</w:t>
      </w:r>
    </w:p>
    <w:p>
      <w:pPr>
        <w:spacing w:before="0" w:line="244" w:lineRule="auto"/>
        <w:ind w:left="3307" w:right="3340" w:firstLine="0"/>
        <w:jc w:val="left"/>
        <w:rPr>
          <w:b/>
          <w:sz w:val="21"/>
        </w:rPr>
      </w:pPr>
      <w:r>
        <w:rPr>
          <w:spacing w:val="-2"/>
          <w:sz w:val="21"/>
        </w:rPr>
        <w:t>送的且符合通常惯例的膳食费用。</w:t>
      </w:r>
      <w:r>
        <w:rPr>
          <w:b/>
          <w:spacing w:val="-2"/>
          <w:sz w:val="21"/>
        </w:rPr>
        <w:t>膳食费不包括：</w:t>
      </w:r>
    </w:p>
    <w:p>
      <w:pPr>
        <w:spacing w:after="0" w:line="244" w:lineRule="auto"/>
        <w:jc w:val="left"/>
        <w:rPr>
          <w:sz w:val="21"/>
        </w:rPr>
        <w:sectPr>
          <w:pgSz w:w="11910" w:h="16840"/>
          <w:pgMar w:top="1040" w:right="620" w:bottom="1040" w:left="1480" w:header="0" w:footer="851" w:gutter="0"/>
          <w:cols w:space="720" w:num="1"/>
        </w:sectPr>
      </w:pPr>
    </w:p>
    <w:p>
      <w:pPr>
        <w:pStyle w:val="8"/>
        <w:numPr>
          <w:ilvl w:val="0"/>
          <w:numId w:val="119"/>
        </w:numPr>
        <w:tabs>
          <w:tab w:val="left" w:pos="3837"/>
        </w:tabs>
        <w:spacing w:before="51" w:after="0" w:line="240" w:lineRule="auto"/>
        <w:ind w:left="3836" w:right="0" w:hanging="530"/>
        <w:jc w:val="left"/>
        <w:rPr>
          <w:b/>
          <w:sz w:val="21"/>
        </w:rPr>
      </w:pPr>
      <w:r>
        <w:rPr>
          <w:b/>
          <w:spacing w:val="-3"/>
          <w:sz w:val="21"/>
        </w:rPr>
        <w:t>所住医院外其他营利性餐饮服务机构提供的餐饮费用；</w:t>
      </w:r>
    </w:p>
    <w:p>
      <w:pPr>
        <w:pStyle w:val="8"/>
        <w:numPr>
          <w:ilvl w:val="0"/>
          <w:numId w:val="119"/>
        </w:numPr>
        <w:tabs>
          <w:tab w:val="left" w:pos="3846"/>
        </w:tabs>
        <w:spacing w:before="4" w:after="0" w:line="244" w:lineRule="auto"/>
        <w:ind w:left="3835" w:right="621" w:hanging="528"/>
        <w:jc w:val="left"/>
        <w:rPr>
          <w:b/>
          <w:sz w:val="21"/>
        </w:rPr>
      </w:pPr>
      <w:r>
        <w:rPr>
          <w:b/>
          <w:spacing w:val="-2"/>
          <w:sz w:val="21"/>
        </w:rPr>
        <w:t>不是根据医嘱配送的、在医院对外营业的餐厅或食堂的餐</w:t>
      </w:r>
      <w:r>
        <w:rPr>
          <w:b/>
          <w:spacing w:val="-4"/>
          <w:sz w:val="21"/>
        </w:rPr>
        <w:t>饮费用；</w:t>
      </w:r>
    </w:p>
    <w:p>
      <w:pPr>
        <w:pStyle w:val="8"/>
        <w:numPr>
          <w:ilvl w:val="0"/>
          <w:numId w:val="119"/>
        </w:numPr>
        <w:tabs>
          <w:tab w:val="left" w:pos="3837"/>
        </w:tabs>
        <w:spacing w:before="0" w:after="0" w:line="263" w:lineRule="exact"/>
        <w:ind w:left="3836" w:right="0" w:hanging="530"/>
        <w:jc w:val="left"/>
        <w:rPr>
          <w:b/>
          <w:sz w:val="21"/>
        </w:rPr>
      </w:pPr>
      <w:r>
        <w:rPr>
          <w:b/>
          <w:spacing w:val="-3"/>
          <w:sz w:val="21"/>
        </w:rPr>
        <w:t>不在医院开具的医疗费用清单上的餐饮费用。</w:t>
      </w:r>
    </w:p>
    <w:p>
      <w:pPr>
        <w:pStyle w:val="3"/>
        <w:spacing w:before="1"/>
        <w:rPr>
          <w:b/>
          <w:sz w:val="19"/>
        </w:rPr>
      </w:pPr>
    </w:p>
    <w:p>
      <w:pPr>
        <w:pStyle w:val="8"/>
        <w:numPr>
          <w:ilvl w:val="1"/>
          <w:numId w:val="118"/>
        </w:numPr>
        <w:tabs>
          <w:tab w:val="left" w:pos="1339"/>
        </w:tabs>
        <w:spacing w:before="0" w:after="0" w:line="275" w:lineRule="exact"/>
        <w:ind w:left="1338" w:right="0" w:hanging="1005"/>
        <w:jc w:val="both"/>
        <w:rPr>
          <w:sz w:val="21"/>
        </w:rPr>
      </w:pPr>
      <w:r>
        <w:rPr>
          <w:b/>
          <w:spacing w:val="15"/>
          <w:sz w:val="21"/>
        </w:rPr>
        <w:t xml:space="preserve">重症监护室床位费 </w:t>
      </w:r>
      <w:r>
        <w:rPr>
          <w:spacing w:val="-1"/>
          <w:sz w:val="21"/>
        </w:rPr>
        <w:t>指住院期间出于医学必要被保险人需在重症监护室进行合理且</w:t>
      </w:r>
    </w:p>
    <w:p>
      <w:pPr>
        <w:pStyle w:val="3"/>
        <w:spacing w:line="242" w:lineRule="auto"/>
        <w:ind w:left="3307" w:right="617"/>
        <w:jc w:val="both"/>
      </w:pPr>
      <w:r>
        <w:rPr>
          <w:spacing w:val="-2"/>
        </w:rPr>
        <w:t>必需的医疗而产生的床位费。重症监护室指配有中心监护台、心电护理仪及其他监护抢救设施，相对封闭管理，符合重症监护病</w:t>
      </w:r>
      <w:r>
        <w:rPr>
          <w:spacing w:val="-6"/>
        </w:rPr>
        <w:t>房</w:t>
      </w:r>
      <w:r>
        <w:rPr>
          <w:spacing w:val="17"/>
        </w:rPr>
        <w:t>（</w:t>
      </w:r>
      <w:r>
        <w:rPr>
          <w:rFonts w:ascii="Times New Roman" w:eastAsia="Times New Roman"/>
          <w:spacing w:val="13"/>
        </w:rPr>
        <w:t>I</w:t>
      </w:r>
      <w:r>
        <w:rPr>
          <w:rFonts w:ascii="Times New Roman" w:eastAsia="Times New Roman"/>
          <w:spacing w:val="15"/>
        </w:rPr>
        <w:t>C</w:t>
      </w:r>
      <w:r>
        <w:rPr>
          <w:rFonts w:ascii="Times New Roman" w:eastAsia="Times New Roman"/>
          <w:spacing w:val="13"/>
        </w:rPr>
        <w:t>U</w:t>
      </w:r>
      <w:r>
        <w:rPr>
          <w:spacing w:val="-89"/>
        </w:rPr>
        <w:t>）</w:t>
      </w:r>
      <w:r>
        <w:rPr>
          <w:spacing w:val="-6"/>
        </w:rPr>
        <w:t>、冠心病重症监护病房（</w:t>
      </w:r>
      <w:r>
        <w:rPr>
          <w:rFonts w:ascii="Times New Roman" w:eastAsia="Times New Roman"/>
          <w:spacing w:val="-6"/>
        </w:rPr>
        <w:t>CCU</w:t>
      </w:r>
      <w:r>
        <w:rPr>
          <w:spacing w:val="-6"/>
        </w:rPr>
        <w:t>）标准的单人或多人监护</w:t>
      </w:r>
      <w:r>
        <w:rPr>
          <w:spacing w:val="-4"/>
        </w:rPr>
        <w:t>病房。</w:t>
      </w:r>
    </w:p>
    <w:p>
      <w:pPr>
        <w:pStyle w:val="3"/>
        <w:spacing w:before="11"/>
        <w:rPr>
          <w:sz w:val="18"/>
        </w:rPr>
      </w:pPr>
    </w:p>
    <w:p>
      <w:pPr>
        <w:pStyle w:val="8"/>
        <w:numPr>
          <w:ilvl w:val="1"/>
          <w:numId w:val="118"/>
        </w:numPr>
        <w:tabs>
          <w:tab w:val="left" w:pos="1338"/>
          <w:tab w:val="left" w:pos="1339"/>
          <w:tab w:val="left" w:pos="3307"/>
        </w:tabs>
        <w:spacing w:before="0" w:after="0" w:line="275" w:lineRule="exact"/>
        <w:ind w:left="1338" w:right="0" w:hanging="1005"/>
        <w:jc w:val="left"/>
        <w:rPr>
          <w:sz w:val="21"/>
        </w:rPr>
      </w:pPr>
      <w:r>
        <w:rPr>
          <w:b/>
          <w:sz w:val="21"/>
        </w:rPr>
        <w:t>化学疗</w:t>
      </w:r>
      <w:r>
        <w:rPr>
          <w:b/>
          <w:spacing w:val="-10"/>
          <w:sz w:val="21"/>
        </w:rPr>
        <w:t>法</w:t>
      </w:r>
      <w:r>
        <w:rPr>
          <w:b/>
          <w:sz w:val="21"/>
        </w:rPr>
        <w:tab/>
      </w:r>
      <w:r>
        <w:rPr>
          <w:spacing w:val="-2"/>
          <w:sz w:val="21"/>
        </w:rPr>
        <w:t>指针对恶性肿瘤的化学治疗。化疗是使用医学界公认的化疗药</w:t>
      </w:r>
      <w:r>
        <w:rPr>
          <w:spacing w:val="-10"/>
          <w:sz w:val="21"/>
        </w:rPr>
        <w:t>物</w:t>
      </w:r>
    </w:p>
    <w:p>
      <w:pPr>
        <w:pStyle w:val="3"/>
        <w:spacing w:line="244" w:lineRule="auto"/>
        <w:ind w:left="3307" w:right="619"/>
      </w:pPr>
      <w:r>
        <w:rPr>
          <w:spacing w:val="-2"/>
        </w:rPr>
        <w:t>以杀死癌细胞、抑制癌细胞生长繁殖为目的而进行的治疗。本合同所指的化疗为被保险人根据医嘱，在医院进行的静脉注射化</w:t>
      </w:r>
      <w:r>
        <w:t xml:space="preserve"> </w:t>
      </w:r>
      <w:r>
        <w:rPr>
          <w:spacing w:val="-6"/>
        </w:rPr>
        <w:t>疗。</w:t>
      </w:r>
    </w:p>
    <w:p>
      <w:pPr>
        <w:pStyle w:val="3"/>
        <w:rPr>
          <w:sz w:val="18"/>
        </w:rPr>
      </w:pPr>
    </w:p>
    <w:p>
      <w:pPr>
        <w:pStyle w:val="8"/>
        <w:numPr>
          <w:ilvl w:val="1"/>
          <w:numId w:val="118"/>
        </w:numPr>
        <w:tabs>
          <w:tab w:val="left" w:pos="1338"/>
          <w:tab w:val="left" w:pos="1339"/>
          <w:tab w:val="left" w:pos="3307"/>
        </w:tabs>
        <w:spacing w:before="1" w:after="0" w:line="240" w:lineRule="auto"/>
        <w:ind w:left="1338" w:right="0" w:hanging="1005"/>
        <w:jc w:val="left"/>
        <w:rPr>
          <w:sz w:val="21"/>
        </w:rPr>
      </w:pPr>
      <w:r>
        <w:rPr>
          <w:b/>
          <w:sz w:val="21"/>
        </w:rPr>
        <w:t>放射疗</w:t>
      </w:r>
      <w:r>
        <w:rPr>
          <w:b/>
          <w:spacing w:val="-10"/>
          <w:sz w:val="21"/>
        </w:rPr>
        <w:t>法</w:t>
      </w:r>
      <w:r>
        <w:rPr>
          <w:b/>
          <w:sz w:val="21"/>
        </w:rPr>
        <w:tab/>
      </w:r>
      <w:r>
        <w:rPr>
          <w:spacing w:val="-2"/>
          <w:sz w:val="21"/>
        </w:rPr>
        <w:t>指针对恶性肿瘤的放射治疗。放疗是使用各种不同能量的射线</w:t>
      </w:r>
      <w:r>
        <w:rPr>
          <w:spacing w:val="-10"/>
          <w:sz w:val="21"/>
        </w:rPr>
        <w:t>照</w:t>
      </w:r>
    </w:p>
    <w:p>
      <w:pPr>
        <w:pStyle w:val="3"/>
        <w:spacing w:before="5"/>
        <w:ind w:left="3307" w:right="609"/>
      </w:pPr>
      <w:r>
        <w:rPr>
          <w:spacing w:val="-2"/>
        </w:rPr>
        <w:t>射肿瘤组织，以抑制和杀灭癌细胞为目的而进行的治疗。本合同</w:t>
      </w:r>
      <w:r>
        <w:rPr>
          <w:spacing w:val="-3"/>
        </w:rPr>
        <w:t>所指的放疗为被保险人根据医嘱在医院的专门科室进行的放疗。</w:t>
      </w:r>
    </w:p>
    <w:p>
      <w:pPr>
        <w:pStyle w:val="3"/>
        <w:spacing w:before="7"/>
        <w:rPr>
          <w:sz w:val="18"/>
        </w:rPr>
      </w:pPr>
    </w:p>
    <w:p>
      <w:pPr>
        <w:pStyle w:val="8"/>
        <w:numPr>
          <w:ilvl w:val="1"/>
          <w:numId w:val="118"/>
        </w:numPr>
        <w:tabs>
          <w:tab w:val="left" w:pos="1339"/>
        </w:tabs>
        <w:spacing w:before="0" w:after="0" w:line="240" w:lineRule="auto"/>
        <w:ind w:left="1338" w:right="0" w:hanging="1005"/>
        <w:jc w:val="both"/>
        <w:rPr>
          <w:sz w:val="21"/>
        </w:rPr>
      </w:pPr>
      <w:r>
        <w:rPr>
          <w:b/>
          <w:spacing w:val="79"/>
          <w:sz w:val="21"/>
        </w:rPr>
        <w:t xml:space="preserve">肿瘤免疫疗法 </w:t>
      </w:r>
      <w:r>
        <w:rPr>
          <w:spacing w:val="-1"/>
          <w:sz w:val="21"/>
        </w:rPr>
        <w:t>指应用免疫学原理和方法，使用肿瘤免疫治疗药物提高肿瘤细胞</w:t>
      </w:r>
    </w:p>
    <w:p>
      <w:pPr>
        <w:pStyle w:val="3"/>
        <w:spacing w:before="5" w:line="242" w:lineRule="auto"/>
        <w:ind w:left="3307" w:right="617"/>
        <w:jc w:val="both"/>
      </w:pPr>
      <w:r>
        <w:rPr>
          <w:spacing w:val="-2"/>
        </w:rPr>
        <w:t>的免疫原性和对效应细胞杀伤的敏感性，激发和增强机体抗肿瘤免疫应答，并应用免疫细胞和效应分子输注宿主体内，协同机体免疫系统杀伤肿瘤、抑制肿瘤生长。本合同所指的肿瘤免疫疗法使用的药物需符合法律、法规要求并经过国家食品药品监督管理总局批准用于临床治疗。</w:t>
      </w:r>
    </w:p>
    <w:p>
      <w:pPr>
        <w:pStyle w:val="3"/>
        <w:spacing w:before="8"/>
        <w:rPr>
          <w:sz w:val="18"/>
        </w:rPr>
      </w:pPr>
    </w:p>
    <w:p>
      <w:pPr>
        <w:pStyle w:val="8"/>
        <w:numPr>
          <w:ilvl w:val="1"/>
          <w:numId w:val="118"/>
        </w:numPr>
        <w:tabs>
          <w:tab w:val="left" w:pos="1339"/>
        </w:tabs>
        <w:spacing w:before="0" w:after="0" w:line="240" w:lineRule="auto"/>
        <w:ind w:left="1338" w:right="0" w:hanging="1005"/>
        <w:jc w:val="both"/>
        <w:rPr>
          <w:sz w:val="21"/>
        </w:rPr>
      </w:pPr>
      <w:r>
        <w:rPr>
          <w:b/>
          <w:spacing w:val="43"/>
          <w:sz w:val="21"/>
        </w:rPr>
        <w:t xml:space="preserve">肿瘤内分泌疗法 </w:t>
      </w:r>
      <w:r>
        <w:rPr>
          <w:spacing w:val="-1"/>
          <w:sz w:val="21"/>
        </w:rPr>
        <w:t>指针对于恶性肿瘤的内分泌疗法，用药物抑制激素生成和激素反</w:t>
      </w:r>
    </w:p>
    <w:p>
      <w:pPr>
        <w:pStyle w:val="3"/>
        <w:spacing w:before="4" w:line="242" w:lineRule="auto"/>
        <w:ind w:left="3307" w:right="617"/>
        <w:jc w:val="both"/>
      </w:pPr>
      <w:r>
        <w:rPr>
          <w:spacing w:val="-2"/>
        </w:rPr>
        <w:t>应，杀死癌细胞或抑制癌细胞的生长。本合同所指的内分泌疗法使用的药物需符合法律、法规要求并经过国家食品药品监督管理总局批准用于临床治疗。</w:t>
      </w:r>
    </w:p>
    <w:p>
      <w:pPr>
        <w:pStyle w:val="3"/>
        <w:spacing w:before="5"/>
        <w:rPr>
          <w:sz w:val="18"/>
        </w:rPr>
      </w:pPr>
    </w:p>
    <w:p>
      <w:pPr>
        <w:pStyle w:val="8"/>
        <w:numPr>
          <w:ilvl w:val="1"/>
          <w:numId w:val="118"/>
        </w:numPr>
        <w:tabs>
          <w:tab w:val="left" w:pos="1339"/>
        </w:tabs>
        <w:spacing w:before="0" w:after="0" w:line="240" w:lineRule="auto"/>
        <w:ind w:left="1338" w:right="0" w:hanging="1005"/>
        <w:jc w:val="both"/>
        <w:rPr>
          <w:sz w:val="21"/>
        </w:rPr>
      </w:pPr>
      <w:r>
        <w:rPr>
          <w:b/>
          <w:spacing w:val="79"/>
          <w:sz w:val="21"/>
        </w:rPr>
        <w:t xml:space="preserve">肿瘤靶向疗法 </w:t>
      </w:r>
      <w:r>
        <w:rPr>
          <w:spacing w:val="-1"/>
          <w:sz w:val="21"/>
        </w:rPr>
        <w:t>指在细胞分子水平上，针对已明确的致癌点来设计相应的靶向治</w:t>
      </w:r>
    </w:p>
    <w:p>
      <w:pPr>
        <w:pStyle w:val="3"/>
        <w:spacing w:before="4" w:line="242" w:lineRule="auto"/>
        <w:ind w:left="3307" w:right="618"/>
        <w:jc w:val="both"/>
      </w:pPr>
      <w:r>
        <w:rPr>
          <w:spacing w:val="-2"/>
        </w:rPr>
        <w:t>疗药物，利用具有一定特异性的载体，将药物或其他杀伤肿瘤细胞的活性物质选择性地运送到肿瘤部位攻击癌细胞的疗法。本合同所指的靶向疗法使用的药物需符合法律、法规要求并经过国家食品药品监督管理总局批准用于临床治疗。</w:t>
      </w:r>
    </w:p>
    <w:p>
      <w:pPr>
        <w:pStyle w:val="3"/>
        <w:spacing w:before="7"/>
        <w:rPr>
          <w:sz w:val="18"/>
        </w:rPr>
      </w:pPr>
    </w:p>
    <w:p>
      <w:pPr>
        <w:pStyle w:val="8"/>
        <w:numPr>
          <w:ilvl w:val="1"/>
          <w:numId w:val="118"/>
        </w:numPr>
        <w:tabs>
          <w:tab w:val="left" w:pos="1338"/>
          <w:tab w:val="left" w:pos="1339"/>
          <w:tab w:val="left" w:pos="3307"/>
        </w:tabs>
        <w:spacing w:before="0" w:after="0" w:line="240" w:lineRule="auto"/>
        <w:ind w:left="1338" w:right="0" w:hanging="1005"/>
        <w:jc w:val="left"/>
        <w:rPr>
          <w:b/>
          <w:sz w:val="21"/>
        </w:rPr>
      </w:pPr>
      <w:r>
        <w:rPr>
          <w:b/>
          <w:sz w:val="21"/>
        </w:rPr>
        <w:t>首次发</w:t>
      </w:r>
      <w:r>
        <w:rPr>
          <w:b/>
          <w:spacing w:val="-10"/>
          <w:sz w:val="21"/>
        </w:rPr>
        <w:t>病</w:t>
      </w:r>
      <w:r>
        <w:rPr>
          <w:b/>
          <w:sz w:val="21"/>
        </w:rPr>
        <w:tab/>
      </w:r>
      <w:r>
        <w:rPr>
          <w:spacing w:val="-2"/>
          <w:sz w:val="21"/>
        </w:rPr>
        <w:t>指自被保险人出生之日起第一次发病，</w:t>
      </w:r>
      <w:r>
        <w:rPr>
          <w:b/>
          <w:spacing w:val="-2"/>
          <w:sz w:val="21"/>
        </w:rPr>
        <w:t>而不是指自本合同生效</w:t>
      </w:r>
      <w:r>
        <w:rPr>
          <w:b/>
          <w:spacing w:val="-10"/>
          <w:sz w:val="21"/>
        </w:rPr>
        <w:t>之</w:t>
      </w:r>
    </w:p>
    <w:p>
      <w:pPr>
        <w:spacing w:before="5"/>
        <w:ind w:left="3307" w:right="0" w:firstLine="0"/>
        <w:jc w:val="left"/>
        <w:rPr>
          <w:sz w:val="21"/>
        </w:rPr>
      </w:pPr>
      <w:r>
        <w:rPr>
          <w:b/>
          <w:sz w:val="21"/>
        </w:rPr>
        <w:t>后第一次发病</w:t>
      </w:r>
      <w:r>
        <w:rPr>
          <w:spacing w:val="-10"/>
          <w:sz w:val="21"/>
        </w:rPr>
        <w:t>。</w:t>
      </w:r>
    </w:p>
    <w:p>
      <w:pPr>
        <w:pStyle w:val="3"/>
        <w:spacing w:before="8"/>
        <w:rPr>
          <w:sz w:val="18"/>
        </w:rPr>
      </w:pPr>
    </w:p>
    <w:p>
      <w:pPr>
        <w:pStyle w:val="8"/>
        <w:numPr>
          <w:ilvl w:val="1"/>
          <w:numId w:val="118"/>
        </w:numPr>
        <w:tabs>
          <w:tab w:val="left" w:pos="1338"/>
          <w:tab w:val="left" w:pos="1339"/>
          <w:tab w:val="left" w:pos="3307"/>
        </w:tabs>
        <w:spacing w:before="0" w:after="0" w:line="240" w:lineRule="auto"/>
        <w:ind w:left="1338" w:right="0" w:hanging="1005"/>
        <w:jc w:val="left"/>
        <w:rPr>
          <w:sz w:val="21"/>
        </w:rPr>
      </w:pPr>
      <w:r>
        <w:rPr>
          <w:b/>
          <w:sz w:val="21"/>
        </w:rPr>
        <w:t>专科医</w:t>
      </w:r>
      <w:r>
        <w:rPr>
          <w:b/>
          <w:spacing w:val="-10"/>
          <w:sz w:val="21"/>
        </w:rPr>
        <w:t>生</w:t>
      </w:r>
      <w:r>
        <w:rPr>
          <w:b/>
          <w:sz w:val="21"/>
        </w:rPr>
        <w:tab/>
      </w:r>
      <w:r>
        <w:rPr>
          <w:spacing w:val="-2"/>
          <w:sz w:val="21"/>
        </w:rPr>
        <w:t>专科医生应当同时满足以下四项资格条件</w:t>
      </w:r>
      <w:r>
        <w:rPr>
          <w:spacing w:val="-10"/>
          <w:sz w:val="21"/>
        </w:rPr>
        <w:t>：</w:t>
      </w:r>
    </w:p>
    <w:p>
      <w:pPr>
        <w:pStyle w:val="8"/>
        <w:numPr>
          <w:ilvl w:val="0"/>
          <w:numId w:val="120"/>
        </w:numPr>
        <w:tabs>
          <w:tab w:val="left" w:pos="3837"/>
        </w:tabs>
        <w:spacing w:before="4" w:after="0" w:line="240" w:lineRule="auto"/>
        <w:ind w:left="3836" w:right="0" w:hanging="530"/>
        <w:jc w:val="left"/>
        <w:rPr>
          <w:sz w:val="21"/>
        </w:rPr>
      </w:pPr>
      <w:r>
        <w:rPr>
          <w:spacing w:val="-9"/>
          <w:sz w:val="21"/>
        </w:rPr>
        <w:t>具有有效的中华人民共和国《医师资格证书》；</w:t>
      </w:r>
    </w:p>
    <w:p>
      <w:pPr>
        <w:pStyle w:val="8"/>
        <w:numPr>
          <w:ilvl w:val="0"/>
          <w:numId w:val="120"/>
        </w:numPr>
        <w:tabs>
          <w:tab w:val="left" w:pos="3837"/>
        </w:tabs>
        <w:spacing w:before="5" w:after="0" w:line="240" w:lineRule="auto"/>
        <w:ind w:left="3816" w:right="619" w:hanging="509"/>
        <w:jc w:val="left"/>
        <w:rPr>
          <w:sz w:val="21"/>
        </w:rPr>
      </w:pPr>
      <w:r>
        <w:rPr>
          <w:spacing w:val="-8"/>
          <w:sz w:val="21"/>
        </w:rPr>
        <w:t>具有有效的中华人民共和国《医师执业证书》，并按期到相</w:t>
      </w:r>
      <w:r>
        <w:rPr>
          <w:spacing w:val="-2"/>
          <w:sz w:val="21"/>
        </w:rPr>
        <w:t>关部门登记注册；</w:t>
      </w:r>
    </w:p>
    <w:p>
      <w:pPr>
        <w:pStyle w:val="8"/>
        <w:numPr>
          <w:ilvl w:val="0"/>
          <w:numId w:val="120"/>
        </w:numPr>
        <w:tabs>
          <w:tab w:val="left" w:pos="3837"/>
        </w:tabs>
        <w:spacing w:before="4" w:after="0" w:line="244" w:lineRule="auto"/>
        <w:ind w:left="3816" w:right="621" w:hanging="509"/>
        <w:jc w:val="left"/>
        <w:rPr>
          <w:sz w:val="21"/>
        </w:rPr>
      </w:pPr>
      <w:r>
        <w:rPr>
          <w:spacing w:val="-2"/>
          <w:sz w:val="21"/>
        </w:rPr>
        <w:t>具有有效的中华人民共和国主治医师或主治医师以上职称</w:t>
      </w:r>
      <w:r>
        <w:rPr>
          <w:spacing w:val="-13"/>
          <w:sz w:val="21"/>
        </w:rPr>
        <w:t>的《医师职称证书》；</w:t>
      </w:r>
    </w:p>
    <w:p>
      <w:pPr>
        <w:pStyle w:val="8"/>
        <w:numPr>
          <w:ilvl w:val="0"/>
          <w:numId w:val="120"/>
        </w:numPr>
        <w:tabs>
          <w:tab w:val="left" w:pos="3837"/>
        </w:tabs>
        <w:spacing w:before="0" w:after="0" w:line="240" w:lineRule="auto"/>
        <w:ind w:left="3816" w:right="625" w:hanging="509"/>
        <w:jc w:val="left"/>
        <w:rPr>
          <w:sz w:val="21"/>
        </w:rPr>
      </w:pPr>
      <w:r>
        <w:rPr>
          <w:sz w:val="21"/>
        </w:rPr>
        <w:t>在二级或二级以上医院的相应科室从事临床工作三年以</w:t>
      </w:r>
      <w:r>
        <w:rPr>
          <w:spacing w:val="-6"/>
          <w:sz w:val="21"/>
        </w:rPr>
        <w:t>上。</w:t>
      </w:r>
    </w:p>
    <w:p>
      <w:pPr>
        <w:pStyle w:val="3"/>
        <w:spacing w:before="6"/>
        <w:rPr>
          <w:sz w:val="18"/>
        </w:rPr>
      </w:pPr>
    </w:p>
    <w:p>
      <w:pPr>
        <w:pStyle w:val="8"/>
        <w:numPr>
          <w:ilvl w:val="1"/>
          <w:numId w:val="118"/>
        </w:numPr>
        <w:tabs>
          <w:tab w:val="left" w:pos="1338"/>
          <w:tab w:val="left" w:pos="1339"/>
          <w:tab w:val="left" w:pos="3307"/>
        </w:tabs>
        <w:spacing w:before="1" w:after="0" w:line="240" w:lineRule="auto"/>
        <w:ind w:left="1338" w:right="0" w:hanging="1005"/>
        <w:jc w:val="left"/>
        <w:rPr>
          <w:sz w:val="21"/>
        </w:rPr>
      </w:pPr>
      <w:r>
        <w:rPr>
          <w:b/>
          <w:sz w:val="21"/>
        </w:rPr>
        <w:t>首次确</w:t>
      </w:r>
      <w:r>
        <w:rPr>
          <w:b/>
          <w:spacing w:val="-10"/>
          <w:sz w:val="21"/>
        </w:rPr>
        <w:t>诊</w:t>
      </w:r>
      <w:r>
        <w:rPr>
          <w:b/>
          <w:sz w:val="21"/>
        </w:rPr>
        <w:tab/>
      </w:r>
      <w:r>
        <w:rPr>
          <w:spacing w:val="-2"/>
          <w:sz w:val="21"/>
        </w:rPr>
        <w:t>指自被保险人出生之日起第一次经医院确诊患有本合同所约</w:t>
      </w:r>
      <w:r>
        <w:rPr>
          <w:spacing w:val="-10"/>
          <w:sz w:val="21"/>
        </w:rPr>
        <w:t>定</w:t>
      </w:r>
    </w:p>
    <w:p>
      <w:pPr>
        <w:spacing w:before="4" w:line="244" w:lineRule="auto"/>
        <w:ind w:left="3307" w:right="618" w:firstLine="0"/>
        <w:jc w:val="left"/>
        <w:rPr>
          <w:sz w:val="21"/>
        </w:rPr>
      </w:pPr>
      <w:r>
        <w:rPr>
          <w:spacing w:val="-2"/>
          <w:sz w:val="21"/>
        </w:rPr>
        <w:t>的某种疾病，</w:t>
      </w:r>
      <w:r>
        <w:rPr>
          <w:b/>
          <w:spacing w:val="-2"/>
          <w:sz w:val="21"/>
        </w:rPr>
        <w:t>而不是指自本合同生效之后第一次经医院确诊患有本合同所约定的某种疾病</w:t>
      </w:r>
      <w:r>
        <w:rPr>
          <w:spacing w:val="-2"/>
          <w:sz w:val="21"/>
        </w:rPr>
        <w:t>。</w:t>
      </w:r>
    </w:p>
    <w:p>
      <w:pPr>
        <w:spacing w:after="0" w:line="244" w:lineRule="auto"/>
        <w:jc w:val="left"/>
        <w:rPr>
          <w:sz w:val="21"/>
        </w:rPr>
        <w:sectPr>
          <w:pgSz w:w="11910" w:h="16840"/>
          <w:pgMar w:top="1060" w:right="620" w:bottom="1040" w:left="1480" w:header="0" w:footer="851" w:gutter="0"/>
          <w:cols w:space="720" w:num="1"/>
        </w:sectPr>
      </w:pPr>
    </w:p>
    <w:tbl>
      <w:tblPr>
        <w:tblStyle w:val="5"/>
        <w:tblW w:w="0" w:type="auto"/>
        <w:tblInd w:w="2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85"/>
        <w:gridCol w:w="2137"/>
        <w:gridCol w:w="6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94" w:hRule="atLeast"/>
        </w:trPr>
        <w:tc>
          <w:tcPr>
            <w:tcW w:w="785" w:type="dxa"/>
          </w:tcPr>
          <w:p>
            <w:pPr>
              <w:pStyle w:val="9"/>
              <w:spacing w:line="227" w:lineRule="exact"/>
              <w:ind w:left="50"/>
              <w:rPr>
                <w:rFonts w:ascii="Times New Roman"/>
                <w:sz w:val="21"/>
              </w:rPr>
            </w:pPr>
            <w:r>
              <w:rPr>
                <w:rFonts w:ascii="Times New Roman"/>
                <w:spacing w:val="-2"/>
                <w:sz w:val="21"/>
              </w:rPr>
              <w:t>11.27</w:t>
            </w:r>
          </w:p>
        </w:tc>
        <w:tc>
          <w:tcPr>
            <w:tcW w:w="2137" w:type="dxa"/>
          </w:tcPr>
          <w:p>
            <w:pPr>
              <w:pStyle w:val="9"/>
              <w:spacing w:line="260" w:lineRule="exact"/>
              <w:ind w:left="268"/>
              <w:rPr>
                <w:b/>
                <w:sz w:val="21"/>
              </w:rPr>
            </w:pPr>
            <w:r>
              <w:rPr>
                <w:b/>
                <w:spacing w:val="-3"/>
                <w:sz w:val="21"/>
              </w:rPr>
              <w:t>靶向药物</w:t>
            </w:r>
          </w:p>
        </w:tc>
        <w:tc>
          <w:tcPr>
            <w:tcW w:w="6036" w:type="dxa"/>
          </w:tcPr>
          <w:p>
            <w:pPr>
              <w:pStyle w:val="9"/>
              <w:spacing w:line="242" w:lineRule="auto"/>
              <w:ind w:left="100" w:right="57"/>
              <w:jc w:val="both"/>
              <w:rPr>
                <w:sz w:val="21"/>
              </w:rPr>
            </w:pPr>
            <w:r>
              <w:rPr>
                <w:spacing w:val="-2"/>
                <w:sz w:val="21"/>
              </w:rPr>
              <w:t>指被赋予了靶向能力的药物或其制剂。其目的是使药物或其载体能瞄准特定的病变部位，并在目标部位蓄积或释放有效成分。靶向制剂可以使药物在目标局部形成相对较高的浓度，从而在提高药效的同时抑制毒副作用，减少对正常组织、细胞的伤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85" w:type="dxa"/>
          </w:tcPr>
          <w:p>
            <w:pPr>
              <w:pStyle w:val="9"/>
              <w:spacing w:before="127"/>
              <w:ind w:left="50"/>
              <w:rPr>
                <w:rFonts w:ascii="Times New Roman"/>
                <w:sz w:val="21"/>
              </w:rPr>
            </w:pPr>
            <w:r>
              <w:rPr>
                <w:rFonts w:ascii="Times New Roman"/>
                <w:spacing w:val="-2"/>
                <w:sz w:val="21"/>
              </w:rPr>
              <w:t>11.28</w:t>
            </w:r>
          </w:p>
        </w:tc>
        <w:tc>
          <w:tcPr>
            <w:tcW w:w="2137" w:type="dxa"/>
          </w:tcPr>
          <w:p>
            <w:pPr>
              <w:pStyle w:val="9"/>
              <w:spacing w:before="132" w:line="255" w:lineRule="exact"/>
              <w:ind w:left="268"/>
              <w:rPr>
                <w:b/>
                <w:sz w:val="21"/>
              </w:rPr>
            </w:pPr>
            <w:r>
              <w:rPr>
                <w:b/>
                <w:spacing w:val="-2"/>
                <w:sz w:val="21"/>
              </w:rPr>
              <w:t>免疫治疗药物</w:t>
            </w:r>
          </w:p>
        </w:tc>
        <w:tc>
          <w:tcPr>
            <w:tcW w:w="6036" w:type="dxa"/>
          </w:tcPr>
          <w:p>
            <w:pPr>
              <w:pStyle w:val="9"/>
              <w:spacing w:before="132" w:line="255" w:lineRule="exact"/>
              <w:ind w:left="100"/>
              <w:rPr>
                <w:sz w:val="21"/>
              </w:rPr>
            </w:pPr>
            <w:r>
              <w:rPr>
                <w:spacing w:val="-1"/>
                <w:sz w:val="21"/>
              </w:rPr>
              <w:t>指通过重新启动并维持肿瘤-免疫循环，恢复机体正常的抗肿瘤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3" w:lineRule="exact"/>
              <w:ind w:left="100"/>
              <w:rPr>
                <w:sz w:val="21"/>
              </w:rPr>
            </w:pPr>
            <w:r>
              <w:rPr>
                <w:spacing w:val="-3"/>
                <w:sz w:val="21"/>
              </w:rPr>
              <w:t>免疫反应，从而控制与清除肿瘤的药物。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85" w:type="dxa"/>
          </w:tcPr>
          <w:p>
            <w:pPr>
              <w:pStyle w:val="9"/>
              <w:spacing w:before="124"/>
              <w:ind w:left="50"/>
              <w:rPr>
                <w:rFonts w:ascii="Times New Roman"/>
                <w:sz w:val="21"/>
              </w:rPr>
            </w:pPr>
            <w:r>
              <w:rPr>
                <w:rFonts w:ascii="Times New Roman"/>
                <w:spacing w:val="-2"/>
                <w:sz w:val="21"/>
              </w:rPr>
              <w:t>11.29</w:t>
            </w:r>
          </w:p>
        </w:tc>
        <w:tc>
          <w:tcPr>
            <w:tcW w:w="2137" w:type="dxa"/>
          </w:tcPr>
          <w:p>
            <w:pPr>
              <w:pStyle w:val="9"/>
              <w:spacing w:before="129" w:line="257" w:lineRule="exact"/>
              <w:ind w:left="268"/>
              <w:rPr>
                <w:b/>
                <w:sz w:val="21"/>
              </w:rPr>
            </w:pPr>
            <w:r>
              <w:rPr>
                <w:b/>
                <w:spacing w:val="-5"/>
                <w:sz w:val="21"/>
              </w:rPr>
              <w:t>医师</w:t>
            </w:r>
          </w:p>
        </w:tc>
        <w:tc>
          <w:tcPr>
            <w:tcW w:w="6036" w:type="dxa"/>
          </w:tcPr>
          <w:p>
            <w:pPr>
              <w:pStyle w:val="9"/>
              <w:spacing w:before="129" w:line="257" w:lineRule="exact"/>
              <w:ind w:left="100"/>
              <w:rPr>
                <w:sz w:val="21"/>
              </w:rPr>
            </w:pPr>
            <w:r>
              <w:rPr>
                <w:spacing w:val="-3"/>
                <w:sz w:val="21"/>
              </w:rPr>
              <w:t>指在医院内行医并拥有处方权的医师，亦指在被保险人接受诊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4" w:lineRule="exact"/>
              <w:ind w:left="100"/>
              <w:rPr>
                <w:sz w:val="21"/>
              </w:rPr>
            </w:pPr>
            <w:r>
              <w:rPr>
                <w:spacing w:val="-3"/>
                <w:sz w:val="21"/>
              </w:rPr>
              <w:t>断、医疗、处方或手术的地区内合法注册且有行医资格的医师。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6" w:lineRule="exact"/>
              <w:ind w:left="100"/>
              <w:rPr>
                <w:b/>
                <w:sz w:val="21"/>
              </w:rPr>
            </w:pPr>
            <w:r>
              <w:rPr>
                <w:b/>
                <w:spacing w:val="-3"/>
                <w:sz w:val="21"/>
              </w:rPr>
              <w:t>不包括投保人、受益人、被保险人本人及其近亲属。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85" w:type="dxa"/>
          </w:tcPr>
          <w:p>
            <w:pPr>
              <w:pStyle w:val="9"/>
              <w:spacing w:before="124"/>
              <w:ind w:left="50"/>
              <w:rPr>
                <w:rFonts w:ascii="Times New Roman"/>
                <w:sz w:val="21"/>
              </w:rPr>
            </w:pPr>
            <w:r>
              <w:rPr>
                <w:rFonts w:ascii="Times New Roman"/>
                <w:spacing w:val="-2"/>
                <w:sz w:val="21"/>
              </w:rPr>
              <w:t>11.30</w:t>
            </w:r>
          </w:p>
        </w:tc>
        <w:tc>
          <w:tcPr>
            <w:tcW w:w="2137" w:type="dxa"/>
          </w:tcPr>
          <w:p>
            <w:pPr>
              <w:pStyle w:val="9"/>
              <w:spacing w:before="129" w:line="257" w:lineRule="exact"/>
              <w:ind w:left="268"/>
              <w:rPr>
                <w:b/>
                <w:sz w:val="21"/>
              </w:rPr>
            </w:pPr>
            <w:r>
              <w:rPr>
                <w:b/>
                <w:spacing w:val="-5"/>
                <w:sz w:val="21"/>
              </w:rPr>
              <w:t>毒品</w:t>
            </w:r>
          </w:p>
        </w:tc>
        <w:tc>
          <w:tcPr>
            <w:tcW w:w="6036" w:type="dxa"/>
          </w:tcPr>
          <w:p>
            <w:pPr>
              <w:pStyle w:val="9"/>
              <w:spacing w:before="129" w:line="257" w:lineRule="exact"/>
              <w:ind w:left="100"/>
              <w:rPr>
                <w:sz w:val="21"/>
              </w:rPr>
            </w:pPr>
            <w:r>
              <w:rPr>
                <w:spacing w:val="-10"/>
                <w:sz w:val="21"/>
              </w:rPr>
              <w:t>指《中华人民共和国刑法》规定的鸦片、海洛因、甲基苯丙胺（冰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1" w:lineRule="exact"/>
              <w:ind w:left="100"/>
              <w:rPr>
                <w:sz w:val="21"/>
              </w:rPr>
            </w:pPr>
            <w:r>
              <w:rPr>
                <w:spacing w:val="-2"/>
                <w:sz w:val="21"/>
              </w:rPr>
              <w:t>毒</w:t>
            </w:r>
            <w:r>
              <w:rPr>
                <w:spacing w:val="-106"/>
                <w:sz w:val="21"/>
              </w:rPr>
              <w:t>）</w:t>
            </w:r>
            <w:r>
              <w:rPr>
                <w:spacing w:val="-3"/>
                <w:sz w:val="21"/>
              </w:rPr>
              <w:t>、吗啡、大麻、可卡因以及国家规定管制的其他能够使人形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1" w:lineRule="exact"/>
              <w:ind w:left="100"/>
              <w:rPr>
                <w:sz w:val="21"/>
              </w:rPr>
            </w:pPr>
            <w:r>
              <w:rPr>
                <w:spacing w:val="-3"/>
                <w:sz w:val="21"/>
              </w:rPr>
              <w:t>成瘾癖的麻醉药品和精神药品，但不包括由医师开具并遵医嘱使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6" w:lineRule="exact"/>
              <w:ind w:left="100"/>
              <w:rPr>
                <w:sz w:val="21"/>
              </w:rPr>
            </w:pPr>
            <w:r>
              <w:rPr>
                <w:spacing w:val="-3"/>
                <w:sz w:val="21"/>
              </w:rPr>
              <w:t>用的用于治疗疾病但含有毒品成分的处方药品。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85" w:type="dxa"/>
          </w:tcPr>
          <w:p>
            <w:pPr>
              <w:pStyle w:val="9"/>
              <w:spacing w:before="124"/>
              <w:ind w:left="50"/>
              <w:rPr>
                <w:rFonts w:ascii="Times New Roman"/>
                <w:sz w:val="21"/>
              </w:rPr>
            </w:pPr>
            <w:r>
              <w:rPr>
                <w:rFonts w:ascii="Times New Roman"/>
                <w:spacing w:val="-2"/>
                <w:sz w:val="21"/>
              </w:rPr>
              <w:t>11.31</w:t>
            </w:r>
          </w:p>
        </w:tc>
        <w:tc>
          <w:tcPr>
            <w:tcW w:w="2137" w:type="dxa"/>
          </w:tcPr>
          <w:p>
            <w:pPr>
              <w:pStyle w:val="9"/>
              <w:spacing w:before="129" w:line="257" w:lineRule="exact"/>
              <w:ind w:left="268"/>
              <w:rPr>
                <w:b/>
                <w:sz w:val="21"/>
              </w:rPr>
            </w:pPr>
            <w:r>
              <w:rPr>
                <w:b/>
                <w:spacing w:val="-3"/>
                <w:sz w:val="21"/>
              </w:rPr>
              <w:t>酒后驾驶</w:t>
            </w:r>
          </w:p>
        </w:tc>
        <w:tc>
          <w:tcPr>
            <w:tcW w:w="6036" w:type="dxa"/>
          </w:tcPr>
          <w:p>
            <w:pPr>
              <w:pStyle w:val="9"/>
              <w:spacing w:before="129" w:line="257" w:lineRule="exact"/>
              <w:ind w:left="100"/>
              <w:rPr>
                <w:sz w:val="21"/>
              </w:rPr>
            </w:pPr>
            <w:r>
              <w:rPr>
                <w:spacing w:val="-3"/>
                <w:sz w:val="21"/>
              </w:rPr>
              <w:t>指经检测或鉴定，发生事故时车辆驾驶人员每百毫升血液中的酒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4" w:lineRule="exact"/>
              <w:ind w:left="100"/>
              <w:rPr>
                <w:sz w:val="21"/>
              </w:rPr>
            </w:pPr>
            <w:r>
              <w:rPr>
                <w:spacing w:val="-3"/>
                <w:sz w:val="21"/>
              </w:rPr>
              <w:t>精含量达到或超过一定的标准，公安机关交通管理部门依据《道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1" w:lineRule="exact"/>
              <w:ind w:left="100"/>
              <w:rPr>
                <w:sz w:val="21"/>
              </w:rPr>
            </w:pPr>
            <w:r>
              <w:rPr>
                <w:spacing w:val="-3"/>
                <w:sz w:val="21"/>
              </w:rPr>
              <w:t>路交通安全法》及其他相关法律法规的规定认定为饮酒后驾驶或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3" w:lineRule="exact"/>
              <w:ind w:left="100"/>
              <w:rPr>
                <w:sz w:val="21"/>
              </w:rPr>
            </w:pPr>
            <w:r>
              <w:rPr>
                <w:spacing w:val="-4"/>
                <w:sz w:val="21"/>
              </w:rPr>
              <w:t>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785" w:type="dxa"/>
          </w:tcPr>
          <w:p>
            <w:pPr>
              <w:pStyle w:val="9"/>
              <w:spacing w:before="124"/>
              <w:ind w:left="50"/>
              <w:rPr>
                <w:rFonts w:ascii="Times New Roman"/>
                <w:sz w:val="21"/>
              </w:rPr>
            </w:pPr>
            <w:r>
              <w:rPr>
                <w:rFonts w:ascii="Times New Roman"/>
                <w:spacing w:val="-2"/>
                <w:sz w:val="21"/>
              </w:rPr>
              <w:t>11.32</w:t>
            </w:r>
          </w:p>
        </w:tc>
        <w:tc>
          <w:tcPr>
            <w:tcW w:w="2137" w:type="dxa"/>
          </w:tcPr>
          <w:p>
            <w:pPr>
              <w:pStyle w:val="9"/>
              <w:spacing w:before="129" w:line="254" w:lineRule="exact"/>
              <w:ind w:left="268"/>
              <w:rPr>
                <w:b/>
                <w:sz w:val="21"/>
              </w:rPr>
            </w:pPr>
            <w:r>
              <w:rPr>
                <w:b/>
                <w:spacing w:val="-2"/>
                <w:sz w:val="21"/>
              </w:rPr>
              <w:t>无合法有效驾驶证</w:t>
            </w:r>
          </w:p>
        </w:tc>
        <w:tc>
          <w:tcPr>
            <w:tcW w:w="6036" w:type="dxa"/>
          </w:tcPr>
          <w:p>
            <w:pPr>
              <w:pStyle w:val="9"/>
              <w:spacing w:before="129" w:line="254" w:lineRule="exact"/>
              <w:ind w:left="100"/>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785" w:type="dxa"/>
          </w:tcPr>
          <w:p>
            <w:pPr>
              <w:pStyle w:val="9"/>
              <w:rPr>
                <w:rFonts w:ascii="Times New Roman"/>
                <w:sz w:val="20"/>
              </w:rPr>
            </w:pPr>
          </w:p>
        </w:tc>
        <w:tc>
          <w:tcPr>
            <w:tcW w:w="2137" w:type="dxa"/>
          </w:tcPr>
          <w:p>
            <w:pPr>
              <w:pStyle w:val="9"/>
              <w:spacing w:line="262" w:lineRule="exact"/>
              <w:ind w:left="268"/>
              <w:rPr>
                <w:b/>
                <w:sz w:val="21"/>
              </w:rPr>
            </w:pPr>
            <w:r>
              <w:rPr>
                <w:b/>
                <w:spacing w:val="-5"/>
                <w:sz w:val="21"/>
              </w:rPr>
              <w:t>驾驶</w:t>
            </w:r>
          </w:p>
        </w:tc>
        <w:tc>
          <w:tcPr>
            <w:tcW w:w="6036" w:type="dxa"/>
          </w:tcPr>
          <w:p>
            <w:pPr>
              <w:pStyle w:val="9"/>
              <w:spacing w:line="262" w:lineRule="exact"/>
              <w:ind w:left="100"/>
              <w:rPr>
                <w:sz w:val="21"/>
              </w:rPr>
            </w:pPr>
            <w:r>
              <w:rPr>
                <w:spacing w:val="-2"/>
                <w:sz w:val="21"/>
              </w:rPr>
              <w:t>（</w:t>
            </w:r>
            <w:r>
              <w:rPr>
                <w:rFonts w:ascii="Times New Roman" w:eastAsia="Times New Roman"/>
                <w:spacing w:val="-2"/>
                <w:sz w:val="21"/>
              </w:rPr>
              <w:t>1</w:t>
            </w:r>
            <w:r>
              <w:rPr>
                <w:spacing w:val="-2"/>
                <w:sz w:val="21"/>
              </w:rPr>
              <w:t>）</w:t>
            </w:r>
            <w:r>
              <w:rPr>
                <w:spacing w:val="-3"/>
                <w:sz w:val="21"/>
              </w:rPr>
              <w:t>没有取得驾驶资格或被吊销驾驶证；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4" w:lineRule="exact"/>
              <w:ind w:left="100"/>
              <w:rPr>
                <w:sz w:val="21"/>
              </w:rPr>
            </w:pPr>
            <w:r>
              <w:rPr>
                <w:spacing w:val="-2"/>
                <w:sz w:val="21"/>
              </w:rPr>
              <w:t>（</w:t>
            </w:r>
            <w:r>
              <w:rPr>
                <w:rFonts w:ascii="Times New Roman" w:eastAsia="Times New Roman"/>
                <w:spacing w:val="-2"/>
                <w:sz w:val="21"/>
              </w:rPr>
              <w:t>2</w:t>
            </w:r>
            <w:r>
              <w:rPr>
                <w:spacing w:val="-2"/>
                <w:sz w:val="21"/>
              </w:rPr>
              <w:t>）</w:t>
            </w:r>
            <w:r>
              <w:rPr>
                <w:spacing w:val="-3"/>
                <w:sz w:val="21"/>
              </w:rPr>
              <w:t>驾驶与驾驶证准驾车型不相符合的车辆；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numPr>
                <w:ilvl w:val="0"/>
                <w:numId w:val="121"/>
              </w:numPr>
              <w:tabs>
                <w:tab w:val="left" w:pos="630"/>
              </w:tabs>
              <w:spacing w:before="0" w:after="0" w:line="261" w:lineRule="exact"/>
              <w:ind w:left="629" w:right="0" w:hanging="530"/>
              <w:jc w:val="left"/>
              <w:rPr>
                <w:sz w:val="21"/>
              </w:rPr>
            </w:pPr>
            <w:r>
              <w:rPr>
                <w:spacing w:val="-3"/>
                <w:sz w:val="21"/>
              </w:rPr>
              <w:t>持审验不合格的驾驶证驾驶；</w:t>
            </w:r>
          </w:p>
          <w:p>
            <w:pPr>
              <w:pStyle w:val="9"/>
              <w:numPr>
                <w:ilvl w:val="0"/>
                <w:numId w:val="121"/>
              </w:numPr>
              <w:tabs>
                <w:tab w:val="left" w:pos="640"/>
              </w:tabs>
              <w:spacing w:before="0" w:after="0" w:line="242" w:lineRule="exact"/>
              <w:ind w:left="639" w:right="0" w:hanging="540"/>
              <w:jc w:val="left"/>
              <w:rPr>
                <w:sz w:val="21"/>
              </w:rPr>
            </w:pPr>
            <w:r>
              <w:rPr>
                <w:spacing w:val="-1"/>
                <w:sz w:val="21"/>
              </w:rPr>
              <w:t>持学习驾驶证学习驾车时，无教练员随车指导，或不按指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7" w:hRule="atLeast"/>
        </w:trPr>
        <w:tc>
          <w:tcPr>
            <w:tcW w:w="785" w:type="dxa"/>
          </w:tcPr>
          <w:p>
            <w:pPr>
              <w:pStyle w:val="9"/>
              <w:rPr>
                <w:rFonts w:ascii="Times New Roman"/>
                <w:sz w:val="18"/>
              </w:rPr>
            </w:pPr>
          </w:p>
        </w:tc>
        <w:tc>
          <w:tcPr>
            <w:tcW w:w="2137" w:type="dxa"/>
          </w:tcPr>
          <w:p>
            <w:pPr>
              <w:pStyle w:val="9"/>
              <w:rPr>
                <w:rFonts w:ascii="Times New Roman"/>
                <w:sz w:val="18"/>
              </w:rPr>
            </w:pPr>
          </w:p>
        </w:tc>
        <w:tc>
          <w:tcPr>
            <w:tcW w:w="6036" w:type="dxa"/>
          </w:tcPr>
          <w:p>
            <w:pPr>
              <w:pStyle w:val="9"/>
              <w:spacing w:before="11" w:line="226" w:lineRule="exact"/>
              <w:ind w:left="623"/>
              <w:rPr>
                <w:sz w:val="21"/>
              </w:rPr>
            </w:pPr>
            <w:r>
              <w:rPr>
                <w:spacing w:val="-3"/>
                <w:sz w:val="21"/>
              </w:rPr>
              <w:t>定时间、路线学习驾车；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before="27"/>
              <w:ind w:left="100"/>
              <w:rPr>
                <w:sz w:val="21"/>
              </w:rPr>
            </w:pPr>
            <w:r>
              <w:rPr>
                <w:spacing w:val="-2"/>
                <w:sz w:val="21"/>
              </w:rPr>
              <w:t>（</w:t>
            </w:r>
            <w:r>
              <w:rPr>
                <w:rFonts w:ascii="Times New Roman" w:eastAsia="Times New Roman"/>
                <w:spacing w:val="-2"/>
                <w:sz w:val="21"/>
              </w:rPr>
              <w:t>5</w:t>
            </w:r>
            <w:r>
              <w:rPr>
                <w:spacing w:val="-2"/>
                <w:sz w:val="21"/>
              </w:rPr>
              <w:t>）</w:t>
            </w:r>
            <w:r>
              <w:rPr>
                <w:spacing w:val="-3"/>
                <w:sz w:val="21"/>
              </w:rPr>
              <w:t>其他公安交通管理部门规定的属于无有效驾驶证的情况。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785" w:type="dxa"/>
          </w:tcPr>
          <w:p>
            <w:pPr>
              <w:pStyle w:val="9"/>
              <w:spacing w:before="116"/>
              <w:ind w:left="50"/>
              <w:rPr>
                <w:rFonts w:ascii="Times New Roman"/>
                <w:sz w:val="21"/>
              </w:rPr>
            </w:pPr>
            <w:r>
              <w:rPr>
                <w:rFonts w:ascii="Times New Roman"/>
                <w:spacing w:val="-2"/>
                <w:sz w:val="21"/>
              </w:rPr>
              <w:t>11.33</w:t>
            </w:r>
          </w:p>
        </w:tc>
        <w:tc>
          <w:tcPr>
            <w:tcW w:w="2137" w:type="dxa"/>
          </w:tcPr>
          <w:p>
            <w:pPr>
              <w:pStyle w:val="9"/>
              <w:spacing w:before="121" w:line="254" w:lineRule="exact"/>
              <w:ind w:left="268"/>
              <w:rPr>
                <w:b/>
                <w:sz w:val="21"/>
              </w:rPr>
            </w:pPr>
            <w:r>
              <w:rPr>
                <w:b/>
                <w:spacing w:val="-2"/>
                <w:sz w:val="21"/>
              </w:rPr>
              <w:t>无有效行驶证</w:t>
            </w:r>
          </w:p>
        </w:tc>
        <w:tc>
          <w:tcPr>
            <w:tcW w:w="6036" w:type="dxa"/>
          </w:tcPr>
          <w:p>
            <w:pPr>
              <w:pStyle w:val="9"/>
              <w:spacing w:before="121" w:line="254" w:lineRule="exact"/>
              <w:ind w:left="100"/>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numPr>
                <w:ilvl w:val="0"/>
                <w:numId w:val="122"/>
              </w:numPr>
              <w:tabs>
                <w:tab w:val="left" w:pos="630"/>
              </w:tabs>
              <w:spacing w:before="0" w:after="0" w:line="269" w:lineRule="exact"/>
              <w:ind w:left="629" w:right="0" w:hanging="530"/>
              <w:jc w:val="left"/>
              <w:rPr>
                <w:sz w:val="21"/>
              </w:rPr>
            </w:pPr>
            <w:r>
              <w:rPr>
                <w:spacing w:val="-4"/>
                <w:sz w:val="21"/>
              </w:rPr>
              <w:t>未取得行驶证；</w:t>
            </w:r>
          </w:p>
          <w:p>
            <w:pPr>
              <w:pStyle w:val="9"/>
              <w:numPr>
                <w:ilvl w:val="0"/>
                <w:numId w:val="122"/>
              </w:numPr>
              <w:tabs>
                <w:tab w:val="left" w:pos="630"/>
              </w:tabs>
              <w:spacing w:before="0" w:after="0" w:line="262" w:lineRule="exact"/>
              <w:ind w:left="629" w:right="0" w:hanging="530"/>
              <w:jc w:val="left"/>
              <w:rPr>
                <w:sz w:val="21"/>
              </w:rPr>
            </w:pPr>
            <w:r>
              <w:rPr>
                <w:spacing w:val="-3"/>
                <w:sz w:val="21"/>
              </w:rPr>
              <w:t>机动车被依法注销登记的；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1" w:lineRule="exact"/>
              <w:ind w:left="100"/>
              <w:rPr>
                <w:sz w:val="21"/>
              </w:rPr>
            </w:pPr>
            <w:r>
              <w:rPr>
                <w:spacing w:val="-2"/>
                <w:sz w:val="21"/>
              </w:rPr>
              <w:t>（</w:t>
            </w:r>
            <w:r>
              <w:rPr>
                <w:rFonts w:ascii="Times New Roman" w:eastAsia="Times New Roman"/>
                <w:spacing w:val="-2"/>
                <w:sz w:val="21"/>
              </w:rPr>
              <w:t>3</w:t>
            </w:r>
            <w:r>
              <w:rPr>
                <w:spacing w:val="-2"/>
                <w:sz w:val="21"/>
              </w:rPr>
              <w:t>）</w:t>
            </w:r>
            <w:r>
              <w:rPr>
                <w:spacing w:val="-3"/>
                <w:sz w:val="21"/>
              </w:rPr>
              <w:t>未依法按时进行或者未通过机动车安全技术检验的。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85" w:type="dxa"/>
          </w:tcPr>
          <w:p>
            <w:pPr>
              <w:pStyle w:val="9"/>
              <w:spacing w:before="116"/>
              <w:ind w:left="50"/>
              <w:rPr>
                <w:rFonts w:ascii="Times New Roman"/>
                <w:sz w:val="21"/>
              </w:rPr>
            </w:pPr>
            <w:r>
              <w:rPr>
                <w:rFonts w:ascii="Times New Roman"/>
                <w:spacing w:val="-2"/>
                <w:sz w:val="21"/>
              </w:rPr>
              <w:t>11.34</w:t>
            </w:r>
          </w:p>
        </w:tc>
        <w:tc>
          <w:tcPr>
            <w:tcW w:w="2137" w:type="dxa"/>
          </w:tcPr>
          <w:p>
            <w:pPr>
              <w:pStyle w:val="9"/>
              <w:spacing w:before="121" w:line="257" w:lineRule="exact"/>
              <w:ind w:left="268"/>
              <w:rPr>
                <w:b/>
                <w:sz w:val="21"/>
              </w:rPr>
            </w:pPr>
            <w:r>
              <w:rPr>
                <w:b/>
                <w:spacing w:val="-4"/>
                <w:sz w:val="21"/>
              </w:rPr>
              <w:t>机动车</w:t>
            </w:r>
          </w:p>
        </w:tc>
        <w:tc>
          <w:tcPr>
            <w:tcW w:w="6036" w:type="dxa"/>
          </w:tcPr>
          <w:p>
            <w:pPr>
              <w:pStyle w:val="9"/>
              <w:spacing w:before="121" w:line="257" w:lineRule="exact"/>
              <w:ind w:left="100"/>
              <w:rPr>
                <w:sz w:val="21"/>
              </w:rPr>
            </w:pPr>
            <w:r>
              <w:rPr>
                <w:spacing w:val="-3"/>
                <w:sz w:val="21"/>
              </w:rPr>
              <w:t>指以动力装置驱动或者牵引，上道路行驶的供人员乘用或者用于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6" w:lineRule="exact"/>
              <w:ind w:left="100"/>
              <w:rPr>
                <w:sz w:val="21"/>
              </w:rPr>
            </w:pPr>
            <w:r>
              <w:rPr>
                <w:spacing w:val="-3"/>
                <w:sz w:val="21"/>
              </w:rPr>
              <w:t>运送物品以及进行工程专项作业的轮式车辆。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 w:hRule="atLeast"/>
        </w:trPr>
        <w:tc>
          <w:tcPr>
            <w:tcW w:w="785" w:type="dxa"/>
          </w:tcPr>
          <w:p>
            <w:pPr>
              <w:pStyle w:val="9"/>
              <w:spacing w:before="124"/>
              <w:ind w:left="50"/>
              <w:rPr>
                <w:rFonts w:ascii="Times New Roman"/>
                <w:sz w:val="21"/>
              </w:rPr>
            </w:pPr>
            <w:r>
              <w:rPr>
                <w:rFonts w:ascii="Times New Roman"/>
                <w:spacing w:val="-2"/>
                <w:sz w:val="21"/>
              </w:rPr>
              <w:t>11.35</w:t>
            </w:r>
          </w:p>
        </w:tc>
        <w:tc>
          <w:tcPr>
            <w:tcW w:w="2137" w:type="dxa"/>
          </w:tcPr>
          <w:p>
            <w:pPr>
              <w:pStyle w:val="9"/>
              <w:spacing w:before="129" w:line="265" w:lineRule="exact"/>
              <w:ind w:left="268"/>
              <w:rPr>
                <w:b/>
                <w:sz w:val="21"/>
              </w:rPr>
            </w:pPr>
            <w:r>
              <w:rPr>
                <w:b/>
                <w:spacing w:val="-2"/>
                <w:sz w:val="21"/>
              </w:rPr>
              <w:t>感染艾滋病病毒或</w:t>
            </w:r>
          </w:p>
        </w:tc>
        <w:tc>
          <w:tcPr>
            <w:tcW w:w="6036" w:type="dxa"/>
          </w:tcPr>
          <w:p>
            <w:pPr>
              <w:pStyle w:val="9"/>
              <w:spacing w:before="129" w:line="265" w:lineRule="exact"/>
              <w:ind w:left="100"/>
              <w:rPr>
                <w:sz w:val="21"/>
              </w:rPr>
            </w:pPr>
            <w:r>
              <w:rPr>
                <w:sz w:val="21"/>
              </w:rPr>
              <w:t>艾滋病病毒指人类免疫缺陷病毒，英文缩写为</w:t>
            </w:r>
            <w:r>
              <w:rPr>
                <w:rFonts w:ascii="Times New Roman" w:eastAsia="Times New Roman"/>
                <w:sz w:val="21"/>
              </w:rPr>
              <w:t>HIV</w:t>
            </w:r>
            <w:r>
              <w:rPr>
                <w:spacing w:val="-2"/>
                <w:sz w:val="21"/>
              </w:rPr>
              <w:t>。艾滋病指人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85" w:type="dxa"/>
          </w:tcPr>
          <w:p>
            <w:pPr>
              <w:pStyle w:val="9"/>
              <w:rPr>
                <w:rFonts w:ascii="Times New Roman"/>
                <w:sz w:val="18"/>
              </w:rPr>
            </w:pPr>
          </w:p>
        </w:tc>
        <w:tc>
          <w:tcPr>
            <w:tcW w:w="2137" w:type="dxa"/>
          </w:tcPr>
          <w:p>
            <w:pPr>
              <w:pStyle w:val="9"/>
              <w:spacing w:line="240" w:lineRule="exact"/>
              <w:ind w:left="268"/>
              <w:rPr>
                <w:b/>
                <w:sz w:val="21"/>
              </w:rPr>
            </w:pPr>
            <w:r>
              <w:rPr>
                <w:b/>
                <w:spacing w:val="-3"/>
                <w:sz w:val="21"/>
              </w:rPr>
              <w:t>患艾滋病</w:t>
            </w:r>
          </w:p>
        </w:tc>
        <w:tc>
          <w:tcPr>
            <w:tcW w:w="6036" w:type="dxa"/>
          </w:tcPr>
          <w:p>
            <w:pPr>
              <w:pStyle w:val="9"/>
              <w:spacing w:line="240" w:lineRule="exact"/>
              <w:ind w:left="100"/>
              <w:rPr>
                <w:sz w:val="21"/>
              </w:rPr>
            </w:pPr>
            <w:r>
              <w:rPr>
                <w:spacing w:val="7"/>
                <w:sz w:val="21"/>
              </w:rPr>
              <w:t>类免疫缺陷病毒引起的获得性免疫缺陷综合征， 英文缩写为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3" w:lineRule="exact"/>
              <w:ind w:left="100"/>
              <w:rPr>
                <w:sz w:val="21"/>
              </w:rPr>
            </w:pPr>
            <w:r>
              <w:rPr>
                <w:rFonts w:ascii="Times New Roman" w:eastAsia="Times New Roman"/>
                <w:spacing w:val="-4"/>
                <w:sz w:val="21"/>
              </w:rPr>
              <w:t>AIDS</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785" w:type="dxa"/>
          </w:tcPr>
          <w:p>
            <w:pPr>
              <w:pStyle w:val="9"/>
              <w:rPr>
                <w:rFonts w:ascii="Times New Roman"/>
                <w:sz w:val="18"/>
              </w:rPr>
            </w:pPr>
          </w:p>
        </w:tc>
        <w:tc>
          <w:tcPr>
            <w:tcW w:w="2137" w:type="dxa"/>
          </w:tcPr>
          <w:p>
            <w:pPr>
              <w:pStyle w:val="9"/>
              <w:rPr>
                <w:rFonts w:ascii="Times New Roman"/>
                <w:sz w:val="18"/>
              </w:rPr>
            </w:pPr>
          </w:p>
        </w:tc>
        <w:tc>
          <w:tcPr>
            <w:tcW w:w="6036" w:type="dxa"/>
          </w:tcPr>
          <w:p>
            <w:pPr>
              <w:pStyle w:val="9"/>
              <w:spacing w:line="246" w:lineRule="exact"/>
              <w:ind w:left="100"/>
              <w:rPr>
                <w:sz w:val="21"/>
              </w:rPr>
            </w:pPr>
            <w:r>
              <w:rPr>
                <w:spacing w:val="-3"/>
                <w:sz w:val="21"/>
              </w:rPr>
              <w:t>在人体血液或其他样本中检测到艾滋病病毒或其抗体呈阳性，没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54" w:lineRule="exact"/>
              <w:ind w:left="100"/>
              <w:rPr>
                <w:sz w:val="21"/>
              </w:rPr>
            </w:pPr>
            <w:r>
              <w:rPr>
                <w:spacing w:val="-3"/>
                <w:sz w:val="21"/>
              </w:rPr>
              <w:t>有出现临床症状或体征的，为感染艾滋病病毒；如果同时出现了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6" w:lineRule="exact"/>
              <w:ind w:left="100"/>
              <w:rPr>
                <w:sz w:val="21"/>
              </w:rPr>
            </w:pPr>
            <w:r>
              <w:rPr>
                <w:spacing w:val="-3"/>
                <w:sz w:val="21"/>
              </w:rPr>
              <w:t>明显临床症状或体征的，为患艾滋病。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785" w:type="dxa"/>
          </w:tcPr>
          <w:p>
            <w:pPr>
              <w:pStyle w:val="9"/>
              <w:spacing w:before="124"/>
              <w:ind w:left="50"/>
              <w:rPr>
                <w:rFonts w:ascii="Times New Roman"/>
                <w:sz w:val="21"/>
              </w:rPr>
            </w:pPr>
            <w:r>
              <w:rPr>
                <w:rFonts w:ascii="Times New Roman"/>
                <w:spacing w:val="-2"/>
                <w:sz w:val="21"/>
              </w:rPr>
              <w:t>11.36</w:t>
            </w:r>
          </w:p>
        </w:tc>
        <w:tc>
          <w:tcPr>
            <w:tcW w:w="2137" w:type="dxa"/>
          </w:tcPr>
          <w:p>
            <w:pPr>
              <w:pStyle w:val="9"/>
              <w:spacing w:before="129" w:line="255" w:lineRule="exact"/>
              <w:ind w:left="268"/>
              <w:rPr>
                <w:b/>
                <w:sz w:val="21"/>
              </w:rPr>
            </w:pPr>
            <w:r>
              <w:rPr>
                <w:b/>
                <w:spacing w:val="-2"/>
                <w:sz w:val="21"/>
              </w:rPr>
              <w:t>遗传性疾病</w:t>
            </w:r>
          </w:p>
        </w:tc>
        <w:tc>
          <w:tcPr>
            <w:tcW w:w="6036" w:type="dxa"/>
          </w:tcPr>
          <w:p>
            <w:pPr>
              <w:pStyle w:val="9"/>
              <w:spacing w:before="129" w:line="255" w:lineRule="exact"/>
              <w:ind w:left="100"/>
              <w:rPr>
                <w:sz w:val="21"/>
              </w:rPr>
            </w:pPr>
            <w:r>
              <w:rPr>
                <w:spacing w:val="-2"/>
                <w:sz w:val="21"/>
              </w:rPr>
              <w:t>指生殖细胞或受精卵的遗传物质（染色体和基因）</w:t>
            </w:r>
            <w:r>
              <w:rPr>
                <w:spacing w:val="-4"/>
                <w:sz w:val="21"/>
              </w:rPr>
              <w:t>发生突变或畸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8"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spacing w:line="263" w:lineRule="exact"/>
              <w:ind w:left="100"/>
              <w:rPr>
                <w:sz w:val="21"/>
              </w:rPr>
            </w:pPr>
            <w:r>
              <w:rPr>
                <w:spacing w:val="-3"/>
                <w:sz w:val="21"/>
              </w:rPr>
              <w:t>变所引起的疾病，通常具有由亲代传至后代的垂直传递的特征。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785" w:type="dxa"/>
          </w:tcPr>
          <w:p>
            <w:pPr>
              <w:pStyle w:val="9"/>
              <w:spacing w:before="124"/>
              <w:ind w:left="50"/>
              <w:rPr>
                <w:rFonts w:ascii="Times New Roman"/>
                <w:sz w:val="21"/>
              </w:rPr>
            </w:pPr>
            <w:r>
              <w:rPr>
                <w:rFonts w:ascii="Times New Roman"/>
                <w:spacing w:val="-2"/>
                <w:sz w:val="21"/>
              </w:rPr>
              <w:t>11.37</w:t>
            </w:r>
          </w:p>
        </w:tc>
        <w:tc>
          <w:tcPr>
            <w:tcW w:w="2137" w:type="dxa"/>
          </w:tcPr>
          <w:p>
            <w:pPr>
              <w:pStyle w:val="9"/>
              <w:spacing w:before="129" w:line="257" w:lineRule="exact"/>
              <w:ind w:left="268"/>
              <w:rPr>
                <w:b/>
                <w:sz w:val="21"/>
              </w:rPr>
            </w:pPr>
            <w:r>
              <w:rPr>
                <w:b/>
                <w:spacing w:val="-2"/>
                <w:sz w:val="21"/>
              </w:rPr>
              <w:t>先天性畸形、变形</w:t>
            </w:r>
          </w:p>
        </w:tc>
        <w:tc>
          <w:tcPr>
            <w:tcW w:w="6036" w:type="dxa"/>
          </w:tcPr>
          <w:p>
            <w:pPr>
              <w:pStyle w:val="9"/>
              <w:spacing w:before="129" w:line="257" w:lineRule="exact"/>
              <w:ind w:left="100"/>
              <w:rPr>
                <w:sz w:val="21"/>
              </w:rPr>
            </w:pPr>
            <w:r>
              <w:rPr>
                <w:spacing w:val="-3"/>
                <w:sz w:val="21"/>
              </w:rPr>
              <w:t>指被保险人出生时就具有的畸形、变形或染色体异常。先天性畸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785" w:type="dxa"/>
          </w:tcPr>
          <w:p>
            <w:pPr>
              <w:pStyle w:val="9"/>
              <w:rPr>
                <w:rFonts w:ascii="Times New Roman"/>
                <w:sz w:val="20"/>
              </w:rPr>
            </w:pPr>
          </w:p>
        </w:tc>
        <w:tc>
          <w:tcPr>
            <w:tcW w:w="2137" w:type="dxa"/>
          </w:tcPr>
          <w:p>
            <w:pPr>
              <w:pStyle w:val="9"/>
              <w:spacing w:line="250" w:lineRule="exact"/>
              <w:ind w:left="268"/>
              <w:rPr>
                <w:b/>
                <w:sz w:val="21"/>
              </w:rPr>
            </w:pPr>
            <w:r>
              <w:rPr>
                <w:b/>
                <w:spacing w:val="-2"/>
                <w:sz w:val="21"/>
              </w:rPr>
              <w:t>或染色体异常</w:t>
            </w:r>
          </w:p>
        </w:tc>
        <w:tc>
          <w:tcPr>
            <w:tcW w:w="6036" w:type="dxa"/>
          </w:tcPr>
          <w:p>
            <w:pPr>
              <w:pStyle w:val="9"/>
              <w:spacing w:line="250" w:lineRule="exact"/>
              <w:ind w:left="100"/>
              <w:rPr>
                <w:sz w:val="21"/>
              </w:rPr>
            </w:pPr>
            <w:r>
              <w:rPr>
                <w:spacing w:val="-3"/>
                <w:sz w:val="21"/>
              </w:rPr>
              <w:t>形、变形和染色体异常依照世界卫生组织《疾病和有关健康问题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785" w:type="dxa"/>
          </w:tcPr>
          <w:p>
            <w:pPr>
              <w:pStyle w:val="9"/>
              <w:rPr>
                <w:rFonts w:ascii="Times New Roman"/>
                <w:sz w:val="20"/>
              </w:rPr>
            </w:pPr>
          </w:p>
        </w:tc>
        <w:tc>
          <w:tcPr>
            <w:tcW w:w="2137" w:type="dxa"/>
          </w:tcPr>
          <w:p>
            <w:pPr>
              <w:pStyle w:val="9"/>
              <w:rPr>
                <w:rFonts w:ascii="Times New Roman"/>
                <w:sz w:val="20"/>
              </w:rPr>
            </w:pPr>
          </w:p>
        </w:tc>
        <w:tc>
          <w:tcPr>
            <w:tcW w:w="6036" w:type="dxa"/>
          </w:tcPr>
          <w:p>
            <w:pPr>
              <w:pStyle w:val="9"/>
              <w:ind w:left="100"/>
              <w:rPr>
                <w:sz w:val="21"/>
              </w:rPr>
            </w:pPr>
            <w:r>
              <w:rPr>
                <w:spacing w:val="-15"/>
                <w:sz w:val="21"/>
              </w:rPr>
              <w:t>的国际统计分类》</w:t>
            </w:r>
            <w:r>
              <w:rPr>
                <w:spacing w:val="-2"/>
                <w:sz w:val="21"/>
              </w:rPr>
              <w:t>（</w:t>
            </w:r>
            <w:r>
              <w:rPr>
                <w:rFonts w:ascii="Times New Roman" w:eastAsia="Times New Roman"/>
                <w:spacing w:val="-2"/>
                <w:sz w:val="21"/>
              </w:rPr>
              <w:t>ICD-10</w:t>
            </w:r>
            <w:r>
              <w:rPr>
                <w:spacing w:val="-2"/>
                <w:sz w:val="21"/>
              </w:rPr>
              <w:t>）</w:t>
            </w:r>
            <w:r>
              <w:rPr>
                <w:spacing w:val="-5"/>
                <w:sz w:val="21"/>
              </w:rPr>
              <w:t>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85" w:type="dxa"/>
          </w:tcPr>
          <w:p>
            <w:pPr>
              <w:pStyle w:val="9"/>
              <w:spacing w:before="116"/>
              <w:ind w:left="50"/>
              <w:rPr>
                <w:rFonts w:ascii="Times New Roman"/>
                <w:sz w:val="21"/>
              </w:rPr>
            </w:pPr>
            <w:r>
              <w:rPr>
                <w:rFonts w:ascii="Times New Roman"/>
                <w:spacing w:val="-2"/>
                <w:sz w:val="21"/>
              </w:rPr>
              <w:t>11.38</w:t>
            </w:r>
          </w:p>
        </w:tc>
        <w:tc>
          <w:tcPr>
            <w:tcW w:w="2137" w:type="dxa"/>
          </w:tcPr>
          <w:p>
            <w:pPr>
              <w:pStyle w:val="9"/>
              <w:spacing w:before="121" w:line="257" w:lineRule="exact"/>
              <w:ind w:left="268"/>
              <w:rPr>
                <w:b/>
                <w:sz w:val="21"/>
              </w:rPr>
            </w:pPr>
            <w:r>
              <w:rPr>
                <w:b/>
                <w:spacing w:val="-5"/>
                <w:sz w:val="21"/>
              </w:rPr>
              <w:t>潜水</w:t>
            </w:r>
          </w:p>
        </w:tc>
        <w:tc>
          <w:tcPr>
            <w:tcW w:w="6036" w:type="dxa"/>
          </w:tcPr>
          <w:p>
            <w:pPr>
              <w:pStyle w:val="9"/>
              <w:spacing w:before="121" w:line="257" w:lineRule="exact"/>
              <w:ind w:left="100"/>
              <w:rPr>
                <w:sz w:val="21"/>
              </w:rPr>
            </w:pPr>
            <w:r>
              <w:rPr>
                <w:spacing w:val="-3"/>
                <w:sz w:val="21"/>
              </w:rPr>
              <w:t>指以辅助呼吸器材在江、河、湖、海、水库、运河等水域进行的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785" w:type="dxa"/>
          </w:tcPr>
          <w:p>
            <w:pPr>
              <w:pStyle w:val="9"/>
              <w:rPr>
                <w:rFonts w:ascii="Times New Roman"/>
                <w:sz w:val="16"/>
              </w:rPr>
            </w:pPr>
          </w:p>
        </w:tc>
        <w:tc>
          <w:tcPr>
            <w:tcW w:w="2137" w:type="dxa"/>
          </w:tcPr>
          <w:p>
            <w:pPr>
              <w:pStyle w:val="9"/>
              <w:rPr>
                <w:rFonts w:ascii="Times New Roman"/>
                <w:sz w:val="16"/>
              </w:rPr>
            </w:pPr>
          </w:p>
        </w:tc>
        <w:tc>
          <w:tcPr>
            <w:tcW w:w="6036" w:type="dxa"/>
          </w:tcPr>
          <w:p>
            <w:pPr>
              <w:pStyle w:val="9"/>
              <w:spacing w:line="223" w:lineRule="exact"/>
              <w:ind w:left="100"/>
              <w:rPr>
                <w:sz w:val="21"/>
              </w:rPr>
            </w:pPr>
            <w:r>
              <w:rPr>
                <w:spacing w:val="-2"/>
                <w:sz w:val="21"/>
              </w:rPr>
              <w:t>水下运动。</w:t>
            </w:r>
          </w:p>
        </w:tc>
      </w:tr>
    </w:tbl>
    <w:p>
      <w:pPr>
        <w:spacing w:after="0" w:line="223" w:lineRule="exact"/>
        <w:rPr>
          <w:sz w:val="21"/>
        </w:rPr>
        <w:sectPr>
          <w:pgSz w:w="11910" w:h="16840"/>
          <w:pgMar w:top="1120" w:right="620" w:bottom="1040" w:left="1480" w:header="0" w:footer="851" w:gutter="0"/>
          <w:cols w:space="720" w:num="1"/>
        </w:sectPr>
      </w:pPr>
    </w:p>
    <w:p>
      <w:pPr>
        <w:pStyle w:val="8"/>
        <w:numPr>
          <w:ilvl w:val="1"/>
          <w:numId w:val="123"/>
        </w:numPr>
        <w:tabs>
          <w:tab w:val="left" w:pos="1338"/>
          <w:tab w:val="left" w:pos="1339"/>
          <w:tab w:val="left" w:pos="3307"/>
        </w:tabs>
        <w:spacing w:before="70" w:after="0" w:line="240" w:lineRule="auto"/>
        <w:ind w:left="1338" w:right="0" w:hanging="1005"/>
        <w:jc w:val="left"/>
        <w:rPr>
          <w:sz w:val="21"/>
        </w:rPr>
      </w:pPr>
      <w:r>
        <w:rPr>
          <w:b/>
          <w:sz w:val="21"/>
        </w:rPr>
        <w:t>攀</w:t>
      </w:r>
      <w:r>
        <w:rPr>
          <w:b/>
          <w:spacing w:val="-10"/>
          <w:sz w:val="21"/>
        </w:rPr>
        <w:t>岩</w:t>
      </w:r>
      <w:r>
        <w:rPr>
          <w:b/>
          <w:sz w:val="21"/>
        </w:rPr>
        <w:tab/>
      </w:r>
      <w:r>
        <w:rPr>
          <w:spacing w:val="-2"/>
          <w:sz w:val="21"/>
        </w:rPr>
        <w:t>指攀登悬崖、楼宇外墙、人造悬崖、冰崖、冰山等运动</w:t>
      </w:r>
      <w:r>
        <w:rPr>
          <w:spacing w:val="-10"/>
          <w:sz w:val="21"/>
        </w:rPr>
        <w:t>。</w:t>
      </w:r>
    </w:p>
    <w:p>
      <w:pPr>
        <w:pStyle w:val="3"/>
        <w:spacing w:before="7"/>
        <w:rPr>
          <w:sz w:val="18"/>
        </w:rPr>
      </w:pPr>
    </w:p>
    <w:p>
      <w:pPr>
        <w:pStyle w:val="8"/>
        <w:numPr>
          <w:ilvl w:val="1"/>
          <w:numId w:val="123"/>
        </w:numPr>
        <w:tabs>
          <w:tab w:val="left" w:pos="1338"/>
          <w:tab w:val="left" w:pos="1339"/>
          <w:tab w:val="left" w:pos="3307"/>
        </w:tabs>
        <w:spacing w:before="1" w:after="0" w:line="275" w:lineRule="exact"/>
        <w:ind w:left="1338" w:right="0" w:hanging="1005"/>
        <w:jc w:val="left"/>
        <w:rPr>
          <w:sz w:val="21"/>
        </w:rPr>
      </w:pPr>
      <w:r>
        <w:rPr>
          <w:b/>
          <w:sz w:val="21"/>
        </w:rPr>
        <w:t>探</w:t>
      </w:r>
      <w:r>
        <w:rPr>
          <w:b/>
          <w:spacing w:val="-10"/>
          <w:sz w:val="21"/>
        </w:rPr>
        <w:t>险</w:t>
      </w:r>
      <w:r>
        <w:rPr>
          <w:b/>
          <w:sz w:val="21"/>
        </w:rPr>
        <w:tab/>
      </w:r>
      <w:r>
        <w:rPr>
          <w:spacing w:val="-2"/>
          <w:sz w:val="21"/>
        </w:rPr>
        <w:t>指明知在某种特定的自然条件下有失去生命或使身体受到伤</w:t>
      </w:r>
      <w:r>
        <w:rPr>
          <w:spacing w:val="-10"/>
          <w:sz w:val="21"/>
        </w:rPr>
        <w:t>害</w:t>
      </w:r>
    </w:p>
    <w:p>
      <w:pPr>
        <w:pStyle w:val="3"/>
        <w:spacing w:line="244" w:lineRule="auto"/>
        <w:ind w:left="3307" w:right="619"/>
      </w:pPr>
      <w:r>
        <w:rPr>
          <w:spacing w:val="-2"/>
        </w:rPr>
        <w:t>的危险，而故意使自己置身其中的行为，如江河漂流、徒步穿越沙漠或人迹罕至的原始森林等活动。</w:t>
      </w:r>
    </w:p>
    <w:p>
      <w:pPr>
        <w:pStyle w:val="3"/>
        <w:spacing w:before="1"/>
        <w:rPr>
          <w:sz w:val="18"/>
        </w:rPr>
      </w:pPr>
    </w:p>
    <w:p>
      <w:pPr>
        <w:pStyle w:val="8"/>
        <w:numPr>
          <w:ilvl w:val="1"/>
          <w:numId w:val="123"/>
        </w:numPr>
        <w:tabs>
          <w:tab w:val="left" w:pos="1338"/>
          <w:tab w:val="left" w:pos="1339"/>
          <w:tab w:val="left" w:pos="3307"/>
        </w:tabs>
        <w:spacing w:before="1" w:after="0" w:line="240" w:lineRule="auto"/>
        <w:ind w:left="1338" w:right="0" w:hanging="1005"/>
        <w:jc w:val="left"/>
        <w:rPr>
          <w:sz w:val="21"/>
        </w:rPr>
      </w:pPr>
      <w:r>
        <w:rPr>
          <w:b/>
          <w:sz w:val="21"/>
        </w:rPr>
        <w:t>武术比</w:t>
      </w:r>
      <w:r>
        <w:rPr>
          <w:b/>
          <w:spacing w:val="-10"/>
          <w:sz w:val="21"/>
        </w:rPr>
        <w:t>赛</w:t>
      </w:r>
      <w:r>
        <w:rPr>
          <w:b/>
          <w:sz w:val="21"/>
        </w:rPr>
        <w:tab/>
      </w:r>
      <w:r>
        <w:rPr>
          <w:spacing w:val="-2"/>
          <w:sz w:val="21"/>
        </w:rPr>
        <w:t>指两人或两人以上对抗柔道、空手道、跆拳道、散打、拳击等</w:t>
      </w:r>
      <w:r>
        <w:rPr>
          <w:spacing w:val="-10"/>
          <w:sz w:val="21"/>
        </w:rPr>
        <w:t>各</w:t>
      </w:r>
    </w:p>
    <w:p>
      <w:pPr>
        <w:pStyle w:val="3"/>
        <w:spacing w:before="4"/>
        <w:ind w:left="3307"/>
      </w:pPr>
      <w:r>
        <w:rPr>
          <w:spacing w:val="-3"/>
        </w:rPr>
        <w:t>种拳术及各种使用器械的对抗性比赛。</w:t>
      </w:r>
    </w:p>
    <w:p>
      <w:pPr>
        <w:pStyle w:val="3"/>
        <w:spacing w:before="8"/>
        <w:rPr>
          <w:sz w:val="18"/>
        </w:rPr>
      </w:pPr>
    </w:p>
    <w:p>
      <w:pPr>
        <w:pStyle w:val="8"/>
        <w:numPr>
          <w:ilvl w:val="1"/>
          <w:numId w:val="123"/>
        </w:numPr>
        <w:tabs>
          <w:tab w:val="left" w:pos="1338"/>
          <w:tab w:val="left" w:pos="1339"/>
          <w:tab w:val="left" w:pos="3307"/>
        </w:tabs>
        <w:spacing w:before="0" w:after="0" w:line="240" w:lineRule="auto"/>
        <w:ind w:left="1338" w:right="0" w:hanging="1005"/>
        <w:jc w:val="left"/>
        <w:rPr>
          <w:sz w:val="21"/>
        </w:rPr>
      </w:pPr>
      <w:r>
        <w:rPr>
          <w:b/>
          <w:sz w:val="21"/>
        </w:rPr>
        <w:t>特技表</w:t>
      </w:r>
      <w:r>
        <w:rPr>
          <w:b/>
          <w:spacing w:val="-10"/>
          <w:sz w:val="21"/>
        </w:rPr>
        <w:t>演</w:t>
      </w:r>
      <w:r>
        <w:rPr>
          <w:b/>
          <w:sz w:val="21"/>
        </w:rPr>
        <w:tab/>
      </w:r>
      <w:r>
        <w:rPr>
          <w:spacing w:val="-2"/>
          <w:sz w:val="21"/>
        </w:rPr>
        <w:t>指从事马术、杂技、驯兽等特殊技能的表演</w:t>
      </w:r>
      <w:r>
        <w:rPr>
          <w:spacing w:val="-10"/>
          <w:sz w:val="21"/>
        </w:rPr>
        <w:t>。</w:t>
      </w:r>
    </w:p>
    <w:p>
      <w:pPr>
        <w:pStyle w:val="3"/>
        <w:spacing w:before="8"/>
        <w:rPr>
          <w:sz w:val="18"/>
        </w:rPr>
      </w:pPr>
    </w:p>
    <w:p>
      <w:pPr>
        <w:pStyle w:val="8"/>
        <w:numPr>
          <w:ilvl w:val="1"/>
          <w:numId w:val="123"/>
        </w:numPr>
        <w:tabs>
          <w:tab w:val="left" w:pos="1338"/>
          <w:tab w:val="left" w:pos="1339"/>
          <w:tab w:val="left" w:pos="3307"/>
        </w:tabs>
        <w:spacing w:before="0" w:after="0" w:line="240" w:lineRule="auto"/>
        <w:ind w:left="1338" w:right="0" w:hanging="1005"/>
        <w:jc w:val="left"/>
        <w:rPr>
          <w:sz w:val="21"/>
        </w:rPr>
      </w:pPr>
      <w:r>
        <w:rPr>
          <w:b/>
          <w:sz w:val="21"/>
        </w:rPr>
        <w:t>康复治</w:t>
      </w:r>
      <w:r>
        <w:rPr>
          <w:b/>
          <w:spacing w:val="-10"/>
          <w:sz w:val="21"/>
        </w:rPr>
        <w:t>疗</w:t>
      </w:r>
      <w:r>
        <w:rPr>
          <w:b/>
          <w:sz w:val="21"/>
        </w:rPr>
        <w:tab/>
      </w:r>
      <w:r>
        <w:rPr>
          <w:spacing w:val="-2"/>
          <w:sz w:val="21"/>
        </w:rPr>
        <w:t>指在康复医院、康复中心、普通医院的康复科诊治或者接受以</w:t>
      </w:r>
      <w:r>
        <w:rPr>
          <w:spacing w:val="-10"/>
          <w:sz w:val="21"/>
        </w:rPr>
        <w:t>促</w:t>
      </w:r>
    </w:p>
    <w:p>
      <w:pPr>
        <w:pStyle w:val="3"/>
        <w:spacing w:before="5"/>
        <w:ind w:left="3307" w:right="609"/>
      </w:pPr>
      <w:r>
        <w:rPr>
          <w:spacing w:val="-2"/>
        </w:rPr>
        <w:t>进机体各项功能恢复为目的的医疗方法，如理疗、按摩、推拿、生物反馈疗法、康复营养、康复护理等。</w:t>
      </w:r>
    </w:p>
    <w:p>
      <w:pPr>
        <w:pStyle w:val="3"/>
        <w:spacing w:before="7"/>
        <w:rPr>
          <w:sz w:val="18"/>
        </w:rPr>
      </w:pPr>
    </w:p>
    <w:p>
      <w:pPr>
        <w:pStyle w:val="8"/>
        <w:numPr>
          <w:ilvl w:val="1"/>
          <w:numId w:val="123"/>
        </w:numPr>
        <w:tabs>
          <w:tab w:val="left" w:pos="1338"/>
          <w:tab w:val="left" w:pos="1339"/>
          <w:tab w:val="left" w:pos="3307"/>
        </w:tabs>
        <w:spacing w:before="0" w:after="0" w:line="240" w:lineRule="auto"/>
        <w:ind w:left="1338" w:right="0" w:hanging="1005"/>
        <w:jc w:val="left"/>
        <w:rPr>
          <w:sz w:val="21"/>
        </w:rPr>
      </w:pPr>
      <w:r>
        <w:rPr>
          <w:b/>
          <w:sz w:val="21"/>
        </w:rPr>
        <w:t>牙齿治</w:t>
      </w:r>
      <w:r>
        <w:rPr>
          <w:b/>
          <w:spacing w:val="-10"/>
          <w:sz w:val="21"/>
        </w:rPr>
        <w:t>疗</w:t>
      </w:r>
      <w:r>
        <w:rPr>
          <w:b/>
          <w:sz w:val="21"/>
        </w:rPr>
        <w:tab/>
      </w:r>
      <w:r>
        <w:rPr>
          <w:spacing w:val="-2"/>
          <w:sz w:val="21"/>
        </w:rPr>
        <w:t>指牙齿的保健、洁牙、美白、矫形及种牙、镶牙、补牙、拔牙</w:t>
      </w:r>
      <w:r>
        <w:rPr>
          <w:spacing w:val="-10"/>
          <w:sz w:val="21"/>
        </w:rPr>
        <w:t>手</w:t>
      </w:r>
    </w:p>
    <w:p>
      <w:pPr>
        <w:pStyle w:val="3"/>
        <w:spacing w:before="6"/>
        <w:ind w:left="3307"/>
      </w:pPr>
      <w:r>
        <w:rPr>
          <w:spacing w:val="-5"/>
        </w:rPr>
        <w:t>术。</w:t>
      </w:r>
    </w:p>
    <w:p>
      <w:pPr>
        <w:pStyle w:val="3"/>
        <w:spacing w:before="7"/>
        <w:rPr>
          <w:sz w:val="18"/>
        </w:rPr>
      </w:pPr>
    </w:p>
    <w:p>
      <w:pPr>
        <w:pStyle w:val="8"/>
        <w:numPr>
          <w:ilvl w:val="1"/>
          <w:numId w:val="123"/>
        </w:numPr>
        <w:tabs>
          <w:tab w:val="left" w:pos="1338"/>
          <w:tab w:val="left" w:pos="1339"/>
          <w:tab w:val="left" w:pos="3307"/>
        </w:tabs>
        <w:spacing w:before="0" w:after="0" w:line="240" w:lineRule="auto"/>
        <w:ind w:left="1338" w:right="0" w:hanging="1005"/>
        <w:jc w:val="left"/>
        <w:rPr>
          <w:sz w:val="21"/>
        </w:rPr>
      </w:pPr>
      <w:r>
        <w:rPr>
          <w:b/>
          <w:sz w:val="21"/>
        </w:rPr>
        <w:t>既往</w:t>
      </w:r>
      <w:r>
        <w:rPr>
          <w:b/>
          <w:spacing w:val="-10"/>
          <w:sz w:val="21"/>
        </w:rPr>
        <w:t>症</w:t>
      </w:r>
      <w:r>
        <w:rPr>
          <w:b/>
          <w:sz w:val="21"/>
        </w:rPr>
        <w:tab/>
      </w:r>
      <w:r>
        <w:rPr>
          <w:spacing w:val="-2"/>
          <w:sz w:val="21"/>
        </w:rPr>
        <w:t>指在本合同生效日之前被保险人已患的疾病或者已有的症状</w:t>
      </w:r>
      <w:r>
        <w:rPr>
          <w:spacing w:val="-10"/>
          <w:sz w:val="21"/>
        </w:rPr>
        <w:t>。</w:t>
      </w:r>
    </w:p>
    <w:p>
      <w:pPr>
        <w:pStyle w:val="3"/>
        <w:spacing w:before="8"/>
        <w:rPr>
          <w:sz w:val="18"/>
        </w:rPr>
      </w:pPr>
    </w:p>
    <w:p>
      <w:pPr>
        <w:pStyle w:val="8"/>
        <w:numPr>
          <w:ilvl w:val="1"/>
          <w:numId w:val="123"/>
        </w:numPr>
        <w:tabs>
          <w:tab w:val="left" w:pos="1338"/>
          <w:tab w:val="left" w:pos="1339"/>
          <w:tab w:val="left" w:pos="3307"/>
        </w:tabs>
        <w:spacing w:before="0" w:after="0" w:line="240" w:lineRule="auto"/>
        <w:ind w:left="1338" w:right="0" w:hanging="1005"/>
        <w:jc w:val="left"/>
        <w:rPr>
          <w:sz w:val="21"/>
        </w:rPr>
      </w:pPr>
      <w:r>
        <w:rPr>
          <w:b/>
          <w:sz w:val="21"/>
        </w:rPr>
        <w:t>未满期净保险</w:t>
      </w:r>
      <w:r>
        <w:rPr>
          <w:b/>
          <w:spacing w:val="-10"/>
          <w:sz w:val="21"/>
        </w:rPr>
        <w:t>费</w:t>
      </w:r>
      <w:r>
        <w:rPr>
          <w:b/>
          <w:sz w:val="21"/>
        </w:rPr>
        <w:tab/>
      </w:r>
      <w:r>
        <w:rPr>
          <w:spacing w:val="-6"/>
          <w:sz w:val="21"/>
        </w:rPr>
        <w:t>其计算公式为</w:t>
      </w:r>
      <w:r>
        <w:rPr>
          <w:spacing w:val="-82"/>
          <w:sz w:val="21"/>
        </w:rPr>
        <w:t>：</w:t>
      </w:r>
      <w:r>
        <w:rPr>
          <w:spacing w:val="-6"/>
          <w:sz w:val="21"/>
        </w:rPr>
        <w:t>未满期净保险费</w:t>
      </w:r>
      <w:r>
        <w:rPr>
          <w:rFonts w:ascii="Times New Roman" w:hAnsi="Times New Roman" w:eastAsia="Times New Roman"/>
          <w:spacing w:val="-6"/>
          <w:sz w:val="21"/>
        </w:rPr>
        <w:t>=</w:t>
      </w:r>
      <w:r>
        <w:rPr>
          <w:spacing w:val="-6"/>
          <w:sz w:val="21"/>
        </w:rPr>
        <w:t>最后一期已付保险费×（</w:t>
      </w:r>
      <w:r>
        <w:rPr>
          <w:rFonts w:ascii="Times New Roman" w:hAnsi="Times New Roman" w:eastAsia="Times New Roman"/>
          <w:spacing w:val="-6"/>
          <w:sz w:val="21"/>
        </w:rPr>
        <w:t>1-35%</w:t>
      </w:r>
      <w:r>
        <w:rPr>
          <w:spacing w:val="-6"/>
          <w:sz w:val="21"/>
        </w:rPr>
        <w:t>）</w:t>
      </w:r>
    </w:p>
    <w:p>
      <w:pPr>
        <w:spacing w:before="40" w:line="183" w:lineRule="exact"/>
        <w:ind w:left="3307" w:right="0" w:firstLine="0"/>
        <w:jc w:val="left"/>
        <w:rPr>
          <w:sz w:val="21"/>
        </w:rPr>
      </w:pPr>
      <w:r>
        <w:rPr>
          <w:spacing w:val="10"/>
          <w:position w:val="-7"/>
          <w:sz w:val="21"/>
        </w:rPr>
        <w:t>×</w:t>
      </w:r>
      <w:r>
        <w:rPr>
          <w:rFonts w:ascii="Symbol" w:hAnsi="Symbol" w:eastAsia="Symbol"/>
          <w:spacing w:val="10"/>
          <w:sz w:val="20"/>
        </w:rPr>
        <w:t></w:t>
      </w:r>
      <w:r>
        <w:rPr>
          <w:rFonts w:ascii="Times New Roman" w:hAnsi="Times New Roman" w:eastAsia="Times New Roman"/>
          <w:spacing w:val="10"/>
          <w:position w:val="-12"/>
          <w:sz w:val="20"/>
        </w:rPr>
        <w:t>1</w:t>
      </w:r>
      <w:r>
        <w:rPr>
          <w:rFonts w:ascii="Symbol" w:hAnsi="Symbol" w:eastAsia="Symbol"/>
          <w:spacing w:val="10"/>
          <w:position w:val="-12"/>
          <w:sz w:val="20"/>
        </w:rPr>
        <w:t></w:t>
      </w:r>
      <w:r>
        <w:rPr>
          <w:rFonts w:ascii="Times New Roman" w:hAnsi="Times New Roman" w:eastAsia="Times New Roman"/>
          <w:spacing w:val="-8"/>
          <w:position w:val="-12"/>
          <w:sz w:val="20"/>
        </w:rPr>
        <w:t xml:space="preserve"> </w:t>
      </w:r>
      <w:r>
        <w:rPr>
          <w:sz w:val="20"/>
        </w:rPr>
        <w:t>该保险费所保障的已经过天</w:t>
      </w:r>
      <w:r>
        <w:rPr>
          <w:spacing w:val="31"/>
          <w:sz w:val="20"/>
        </w:rPr>
        <w:t>数</w:t>
      </w:r>
      <w:r>
        <w:rPr>
          <w:rFonts w:ascii="Symbol" w:hAnsi="Symbol" w:eastAsia="Symbol"/>
          <w:sz w:val="20"/>
        </w:rPr>
        <w:t></w:t>
      </w:r>
      <w:r>
        <w:rPr>
          <w:rFonts w:ascii="Times New Roman" w:hAnsi="Times New Roman" w:eastAsia="Times New Roman"/>
          <w:spacing w:val="-18"/>
          <w:sz w:val="20"/>
        </w:rPr>
        <w:t xml:space="preserve"> </w:t>
      </w:r>
      <w:r>
        <w:rPr>
          <w:spacing w:val="-1"/>
          <w:position w:val="-7"/>
          <w:sz w:val="21"/>
        </w:rPr>
        <w:t>，经过天数不足一天的按一</w:t>
      </w:r>
    </w:p>
    <w:p>
      <w:pPr>
        <w:tabs>
          <w:tab w:val="left" w:pos="1069"/>
          <w:tab w:val="left" w:pos="3448"/>
        </w:tabs>
        <w:spacing w:before="4" w:line="131" w:lineRule="exact"/>
        <w:ind w:left="406" w:right="0" w:firstLine="0"/>
        <w:jc w:val="center"/>
        <w:rPr>
          <w:rFonts w:ascii="Symbol" w:hAnsi="Symbol"/>
          <w:sz w:val="20"/>
        </w:rPr>
      </w:pPr>
      <w:r>
        <w:drawing>
          <wp:anchor distT="0" distB="0" distL="0" distR="0" simplePos="0" relativeHeight="251664384" behindDoc="1" locked="0" layoutInCell="1" allowOverlap="1">
            <wp:simplePos x="0" y="0"/>
            <wp:positionH relativeFrom="page">
              <wp:posOffset>3412490</wp:posOffset>
            </wp:positionH>
            <wp:positionV relativeFrom="paragraph">
              <wp:posOffset>55880</wp:posOffset>
            </wp:positionV>
            <wp:extent cx="1689735" cy="635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a:picLocks noChangeAspect="1"/>
                    </pic:cNvPicPr>
                  </pic:nvPicPr>
                  <pic:blipFill>
                    <a:blip r:embed="rId14" cstate="print"/>
                    <a:stretch>
                      <a:fillRect/>
                    </a:stretch>
                  </pic:blipFill>
                  <pic:spPr>
                    <a:xfrm>
                      <a:off x="0" y="0"/>
                      <a:ext cx="1690021" cy="6317"/>
                    </a:xfrm>
                    <a:prstGeom prst="rect">
                      <a:avLst/>
                    </a:prstGeom>
                  </pic:spPr>
                </pic:pic>
              </a:graphicData>
            </a:graphic>
          </wp:anchor>
        </w:drawing>
      </w:r>
      <w:r>
        <w:rPr>
          <w:rFonts w:ascii="Symbol" w:hAnsi="Symbol"/>
          <w:spacing w:val="-10"/>
          <w:w w:val="105"/>
          <w:position w:val="10"/>
          <w:sz w:val="20"/>
        </w:rPr>
        <w:t></w:t>
      </w:r>
      <w:r>
        <w:rPr>
          <w:rFonts w:ascii="Times New Roman" w:hAnsi="Times New Roman"/>
          <w:position w:val="10"/>
          <w:sz w:val="20"/>
        </w:rPr>
        <w:tab/>
      </w:r>
      <w:r>
        <w:rPr>
          <w:sz w:val="20"/>
        </w:rPr>
        <w:t>该保险费所保障的天</w:t>
      </w:r>
      <w:r>
        <w:rPr>
          <w:spacing w:val="-10"/>
          <w:sz w:val="20"/>
        </w:rPr>
        <w:t>数</w:t>
      </w:r>
      <w:r>
        <w:rPr>
          <w:sz w:val="20"/>
        </w:rPr>
        <w:tab/>
      </w:r>
      <w:r>
        <w:rPr>
          <w:rFonts w:ascii="Symbol" w:hAnsi="Symbol"/>
          <w:spacing w:val="-10"/>
          <w:w w:val="105"/>
          <w:position w:val="10"/>
          <w:sz w:val="20"/>
        </w:rPr>
        <w:t></w:t>
      </w:r>
    </w:p>
    <w:p>
      <w:pPr>
        <w:tabs>
          <w:tab w:val="left" w:pos="3448"/>
        </w:tabs>
        <w:spacing w:before="5"/>
        <w:ind w:left="406" w:right="0" w:firstLine="0"/>
        <w:jc w:val="center"/>
        <w:rPr>
          <w:rFonts w:ascii="Symbol" w:hAnsi="Symbol"/>
          <w:sz w:val="20"/>
        </w:rPr>
      </w:pPr>
      <w:r>
        <w:rPr>
          <w:rFonts w:ascii="Symbol" w:hAnsi="Symbol"/>
          <w:spacing w:val="-10"/>
          <w:w w:val="105"/>
          <w:sz w:val="20"/>
        </w:rPr>
        <w:t></w:t>
      </w:r>
      <w:r>
        <w:rPr>
          <w:rFonts w:ascii="Times New Roman" w:hAnsi="Times New Roman"/>
          <w:sz w:val="20"/>
        </w:rPr>
        <w:tab/>
      </w:r>
      <w:r>
        <w:rPr>
          <w:rFonts w:ascii="Symbol" w:hAnsi="Symbol"/>
          <w:spacing w:val="-10"/>
          <w:w w:val="105"/>
          <w:sz w:val="20"/>
        </w:rPr>
        <w:t></w:t>
      </w:r>
    </w:p>
    <w:p>
      <w:pPr>
        <w:pStyle w:val="3"/>
        <w:spacing w:before="11"/>
        <w:ind w:left="1209" w:right="3551"/>
        <w:jc w:val="center"/>
      </w:pPr>
      <w:r>
        <w:rPr>
          <w:spacing w:val="-3"/>
        </w:rPr>
        <w:t>天计算。</w:t>
      </w:r>
    </w:p>
    <w:p>
      <w:pPr>
        <w:pStyle w:val="3"/>
        <w:spacing w:before="6"/>
        <w:rPr>
          <w:sz w:val="11"/>
        </w:rPr>
      </w:pPr>
    </w:p>
    <w:p>
      <w:pPr>
        <w:spacing w:after="0"/>
        <w:rPr>
          <w:sz w:val="11"/>
        </w:rPr>
        <w:sectPr>
          <w:pgSz w:w="11910" w:h="16840"/>
          <w:pgMar w:top="1280" w:right="620" w:bottom="1040" w:left="1480" w:header="0" w:footer="851" w:gutter="0"/>
          <w:cols w:space="720" w:num="1"/>
        </w:sectPr>
      </w:pPr>
    </w:p>
    <w:p>
      <w:pPr>
        <w:pStyle w:val="8"/>
        <w:numPr>
          <w:ilvl w:val="1"/>
          <w:numId w:val="123"/>
        </w:numPr>
        <w:tabs>
          <w:tab w:val="left" w:pos="1338"/>
          <w:tab w:val="left" w:pos="1339"/>
        </w:tabs>
        <w:spacing w:before="91" w:after="0" w:line="240" w:lineRule="auto"/>
        <w:ind w:left="1338" w:right="0" w:hanging="1005"/>
        <w:jc w:val="left"/>
        <w:rPr>
          <w:b/>
          <w:sz w:val="21"/>
        </w:rPr>
      </w:pPr>
      <w:r>
        <w:rPr>
          <w:b/>
          <w:spacing w:val="-2"/>
          <w:sz w:val="21"/>
        </w:rPr>
        <w:t>六项基本日常生活</w:t>
      </w:r>
    </w:p>
    <w:p>
      <w:pPr>
        <w:spacing w:before="5"/>
        <w:ind w:left="1338" w:right="0" w:firstLine="0"/>
        <w:jc w:val="left"/>
        <w:rPr>
          <w:b/>
          <w:sz w:val="21"/>
        </w:rPr>
      </w:pPr>
      <w:r>
        <w:rPr>
          <w:b/>
          <w:spacing w:val="-5"/>
          <w:sz w:val="21"/>
        </w:rPr>
        <w:t>活动</w:t>
      </w:r>
    </w:p>
    <w:p>
      <w:pPr>
        <w:pStyle w:val="3"/>
        <w:spacing w:before="97"/>
        <w:ind w:left="162"/>
      </w:pPr>
      <w:r>
        <w:br w:type="column"/>
      </w:r>
      <w:r>
        <w:rPr>
          <w:spacing w:val="-3"/>
        </w:rPr>
        <w:t>六项基本日常生活活动是指：</w:t>
      </w:r>
    </w:p>
    <w:p>
      <w:pPr>
        <w:pStyle w:val="8"/>
        <w:numPr>
          <w:ilvl w:val="0"/>
          <w:numId w:val="124"/>
        </w:numPr>
        <w:tabs>
          <w:tab w:val="left" w:pos="692"/>
        </w:tabs>
        <w:spacing w:before="5" w:after="0" w:line="240" w:lineRule="auto"/>
        <w:ind w:left="691" w:right="0" w:hanging="530"/>
        <w:jc w:val="left"/>
        <w:rPr>
          <w:sz w:val="21"/>
        </w:rPr>
      </w:pPr>
      <w:r>
        <w:rPr>
          <w:spacing w:val="-3"/>
          <w:sz w:val="21"/>
        </w:rPr>
        <w:t>穿衣：自己能够穿衣及脱衣；</w:t>
      </w:r>
    </w:p>
    <w:p>
      <w:pPr>
        <w:pStyle w:val="8"/>
        <w:numPr>
          <w:ilvl w:val="0"/>
          <w:numId w:val="124"/>
        </w:numPr>
        <w:tabs>
          <w:tab w:val="left" w:pos="692"/>
        </w:tabs>
        <w:spacing w:before="4" w:after="0" w:line="240" w:lineRule="auto"/>
        <w:ind w:left="691" w:right="0" w:hanging="530"/>
        <w:jc w:val="left"/>
        <w:rPr>
          <w:sz w:val="21"/>
        </w:rPr>
      </w:pPr>
      <w:r>
        <w:rPr>
          <w:spacing w:val="-3"/>
          <w:sz w:val="21"/>
        </w:rPr>
        <w:t>移动：自己从一个房间到另一个房间；</w:t>
      </w:r>
    </w:p>
    <w:p>
      <w:pPr>
        <w:pStyle w:val="8"/>
        <w:numPr>
          <w:ilvl w:val="0"/>
          <w:numId w:val="124"/>
        </w:numPr>
        <w:tabs>
          <w:tab w:val="left" w:pos="692"/>
        </w:tabs>
        <w:spacing w:before="1" w:after="0" w:line="240" w:lineRule="auto"/>
        <w:ind w:left="691" w:right="0" w:hanging="530"/>
        <w:jc w:val="left"/>
        <w:rPr>
          <w:sz w:val="21"/>
        </w:rPr>
      </w:pPr>
      <w:r>
        <w:rPr>
          <w:spacing w:val="-3"/>
          <w:sz w:val="21"/>
        </w:rPr>
        <w:t>行动：自己上下床或上下轮椅；</w:t>
      </w:r>
    </w:p>
    <w:p>
      <w:pPr>
        <w:pStyle w:val="8"/>
        <w:numPr>
          <w:ilvl w:val="0"/>
          <w:numId w:val="124"/>
        </w:numPr>
        <w:tabs>
          <w:tab w:val="left" w:pos="692"/>
        </w:tabs>
        <w:spacing w:before="4" w:after="0" w:line="240" w:lineRule="auto"/>
        <w:ind w:left="691" w:right="0" w:hanging="530"/>
        <w:jc w:val="left"/>
        <w:rPr>
          <w:sz w:val="21"/>
        </w:rPr>
      </w:pPr>
      <w:r>
        <w:rPr>
          <w:spacing w:val="-3"/>
          <w:sz w:val="21"/>
        </w:rPr>
        <w:t>如厕：自己控制进行大小便；</w:t>
      </w:r>
    </w:p>
    <w:p>
      <w:pPr>
        <w:pStyle w:val="8"/>
        <w:numPr>
          <w:ilvl w:val="0"/>
          <w:numId w:val="124"/>
        </w:numPr>
        <w:tabs>
          <w:tab w:val="left" w:pos="692"/>
        </w:tabs>
        <w:spacing w:before="5" w:after="0" w:line="240" w:lineRule="auto"/>
        <w:ind w:left="691" w:right="0" w:hanging="530"/>
        <w:jc w:val="left"/>
        <w:rPr>
          <w:sz w:val="21"/>
        </w:rPr>
      </w:pPr>
      <w:r>
        <w:rPr>
          <w:spacing w:val="-3"/>
          <w:sz w:val="21"/>
        </w:rPr>
        <w:t>进食：自己从已准备好的碗或碟中取食物放入口中；</w:t>
      </w:r>
    </w:p>
    <w:p>
      <w:pPr>
        <w:pStyle w:val="8"/>
        <w:numPr>
          <w:ilvl w:val="0"/>
          <w:numId w:val="124"/>
        </w:numPr>
        <w:tabs>
          <w:tab w:val="left" w:pos="692"/>
        </w:tabs>
        <w:spacing w:before="4" w:after="0" w:line="240" w:lineRule="auto"/>
        <w:ind w:left="691" w:right="0" w:hanging="530"/>
        <w:jc w:val="left"/>
        <w:rPr>
          <w:sz w:val="21"/>
        </w:rPr>
      </w:pPr>
      <w:r>
        <w:rPr>
          <w:spacing w:val="-3"/>
          <w:sz w:val="21"/>
        </w:rPr>
        <w:t>洗澡：自己进行淋浴或盆浴。</w:t>
      </w:r>
    </w:p>
    <w:p>
      <w:pPr>
        <w:spacing w:after="0" w:line="240" w:lineRule="auto"/>
        <w:jc w:val="left"/>
        <w:rPr>
          <w:sz w:val="21"/>
        </w:rPr>
        <w:sectPr>
          <w:type w:val="continuous"/>
          <w:pgSz w:w="11910" w:h="16840"/>
          <w:pgMar w:top="320" w:right="620" w:bottom="280" w:left="1480" w:header="0" w:footer="851" w:gutter="0"/>
          <w:cols w:equalWidth="0" w:num="2">
            <w:col w:w="3106" w:space="40"/>
            <w:col w:w="6664"/>
          </w:cols>
        </w:sectPr>
      </w:pPr>
    </w:p>
    <w:p>
      <w:pPr>
        <w:pStyle w:val="3"/>
        <w:spacing w:before="6"/>
        <w:rPr>
          <w:sz w:val="11"/>
        </w:rPr>
      </w:pPr>
    </w:p>
    <w:p>
      <w:pPr>
        <w:pStyle w:val="8"/>
        <w:numPr>
          <w:ilvl w:val="1"/>
          <w:numId w:val="123"/>
        </w:numPr>
        <w:tabs>
          <w:tab w:val="left" w:pos="1338"/>
          <w:tab w:val="left" w:pos="1339"/>
          <w:tab w:val="left" w:pos="3307"/>
        </w:tabs>
        <w:spacing w:before="92" w:after="0" w:line="240" w:lineRule="auto"/>
        <w:ind w:left="3307" w:right="612" w:hanging="2973"/>
        <w:jc w:val="left"/>
        <w:rPr>
          <w:sz w:val="21"/>
        </w:rPr>
      </w:pPr>
      <w:r>
        <w:rPr>
          <w:b/>
          <w:spacing w:val="-2"/>
          <w:sz w:val="21"/>
        </w:rPr>
        <w:t>永久不可逆</w:t>
      </w:r>
      <w:r>
        <w:rPr>
          <w:b/>
          <w:sz w:val="21"/>
        </w:rPr>
        <w:tab/>
      </w:r>
      <w:r>
        <w:rPr>
          <w:spacing w:val="-2"/>
          <w:sz w:val="21"/>
        </w:rPr>
        <w:t>指自疾病确诊或意外伤害发生之日起，经过积极治疗</w:t>
      </w:r>
      <w:r>
        <w:rPr>
          <w:rFonts w:ascii="Times New Roman" w:eastAsia="Times New Roman"/>
          <w:spacing w:val="-2"/>
          <w:sz w:val="21"/>
        </w:rPr>
        <w:t>180</w:t>
      </w:r>
      <w:r>
        <w:rPr>
          <w:spacing w:val="-2"/>
          <w:sz w:val="21"/>
        </w:rPr>
        <w:t>天后，仍无法通过现有医疗手段恢复。</w:t>
      </w:r>
    </w:p>
    <w:p>
      <w:pPr>
        <w:pStyle w:val="3"/>
        <w:spacing w:before="6"/>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123"/>
        </w:numPr>
        <w:tabs>
          <w:tab w:val="left" w:pos="1003"/>
          <w:tab w:val="left" w:pos="1339"/>
        </w:tabs>
        <w:spacing w:before="92" w:after="0" w:line="240" w:lineRule="auto"/>
        <w:ind w:left="1338" w:right="0" w:hanging="1339"/>
        <w:jc w:val="right"/>
        <w:rPr>
          <w:b/>
          <w:sz w:val="21"/>
        </w:rPr>
      </w:pPr>
      <w:r>
        <w:rPr>
          <w:b/>
          <w:spacing w:val="-2"/>
          <w:sz w:val="21"/>
        </w:rPr>
        <w:t>美国纽约心脏病学</w:t>
      </w:r>
    </w:p>
    <w:p>
      <w:pPr>
        <w:spacing w:before="4"/>
        <w:ind w:left="0" w:right="0" w:firstLine="0"/>
        <w:jc w:val="right"/>
        <w:rPr>
          <w:b/>
          <w:sz w:val="21"/>
        </w:rPr>
      </w:pPr>
      <w:r>
        <w:rPr>
          <w:b/>
          <w:spacing w:val="-2"/>
          <w:sz w:val="21"/>
        </w:rPr>
        <w:t>会心功能状态分级</w:t>
      </w:r>
    </w:p>
    <w:p>
      <w:pPr>
        <w:spacing w:before="5"/>
        <w:ind w:left="1326" w:right="1298" w:firstLine="0"/>
        <w:jc w:val="center"/>
        <w:rPr>
          <w:b/>
          <w:sz w:val="21"/>
        </w:rPr>
      </w:pPr>
      <w:r>
        <w:rPr>
          <w:rFonts w:ascii="Times New Roman" w:eastAsia="Times New Roman"/>
          <w:b/>
          <w:spacing w:val="-2"/>
          <w:sz w:val="21"/>
        </w:rPr>
        <w:t>III</w:t>
      </w:r>
      <w:r>
        <w:rPr>
          <w:b/>
          <w:spacing w:val="-10"/>
          <w:sz w:val="21"/>
        </w:rPr>
        <w:t>级</w:t>
      </w:r>
    </w:p>
    <w:p>
      <w:pPr>
        <w:pStyle w:val="3"/>
        <w:spacing w:before="98" w:line="244" w:lineRule="auto"/>
        <w:ind w:left="162" w:right="619"/>
      </w:pPr>
      <w:r>
        <w:br w:type="column"/>
      </w:r>
      <w:r>
        <w:rPr>
          <w:spacing w:val="-2"/>
        </w:rPr>
        <w:t>指体力活动明显受限，休息时无症状，轻于日常的活动即可引起充血性心力衰竭的症状。</w:t>
      </w:r>
    </w:p>
    <w:p>
      <w:pPr>
        <w:spacing w:after="0" w:line="244" w:lineRule="auto"/>
        <w:sectPr>
          <w:type w:val="continuous"/>
          <w:pgSz w:w="11910" w:h="16840"/>
          <w:pgMar w:top="320" w:right="620" w:bottom="280" w:left="1480" w:header="0" w:footer="851" w:gutter="0"/>
          <w:cols w:equalWidth="0" w:num="2">
            <w:col w:w="3106" w:space="40"/>
            <w:col w:w="6664"/>
          </w:cols>
        </w:sectPr>
      </w:pPr>
    </w:p>
    <w:p>
      <w:pPr>
        <w:pStyle w:val="3"/>
        <w:spacing w:before="6"/>
        <w:rPr>
          <w:sz w:val="11"/>
        </w:rPr>
      </w:pPr>
    </w:p>
    <w:p>
      <w:pPr>
        <w:pStyle w:val="8"/>
        <w:numPr>
          <w:ilvl w:val="1"/>
          <w:numId w:val="123"/>
        </w:numPr>
        <w:tabs>
          <w:tab w:val="left" w:pos="1338"/>
          <w:tab w:val="left" w:pos="1339"/>
          <w:tab w:val="left" w:pos="3307"/>
        </w:tabs>
        <w:spacing w:before="92" w:after="0" w:line="240" w:lineRule="auto"/>
        <w:ind w:left="1338" w:right="0" w:hanging="1005"/>
        <w:jc w:val="left"/>
        <w:rPr>
          <w:sz w:val="21"/>
        </w:rPr>
      </w:pPr>
      <w:r>
        <w:rPr>
          <w:b/>
          <w:sz w:val="21"/>
        </w:rPr>
        <w:t>肢体机能完全丧</w:t>
      </w:r>
      <w:r>
        <w:rPr>
          <w:b/>
          <w:spacing w:val="-10"/>
          <w:sz w:val="21"/>
        </w:rPr>
        <w:t>失</w:t>
      </w:r>
      <w:r>
        <w:rPr>
          <w:b/>
          <w:sz w:val="21"/>
        </w:rPr>
        <w:tab/>
      </w:r>
      <w:r>
        <w:rPr>
          <w:spacing w:val="-2"/>
          <w:sz w:val="21"/>
        </w:rPr>
        <w:t>指肢体的三大关节中的两大关节僵硬，或不能随意识活动。肢</w:t>
      </w:r>
      <w:r>
        <w:rPr>
          <w:spacing w:val="-10"/>
          <w:sz w:val="21"/>
        </w:rPr>
        <w:t>体</w:t>
      </w:r>
    </w:p>
    <w:p>
      <w:pPr>
        <w:pStyle w:val="3"/>
        <w:spacing w:before="4"/>
        <w:ind w:left="3307"/>
      </w:pPr>
      <w:r>
        <w:rPr>
          <w:spacing w:val="-3"/>
        </w:rPr>
        <w:t>是指包括肩关节的整个上肢或包括髋关节的整个下肢。</w:t>
      </w:r>
    </w:p>
    <w:p>
      <w:pPr>
        <w:pStyle w:val="3"/>
        <w:spacing w:before="6"/>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123"/>
        </w:numPr>
        <w:tabs>
          <w:tab w:val="left" w:pos="1338"/>
          <w:tab w:val="left" w:pos="1339"/>
        </w:tabs>
        <w:spacing w:before="92" w:after="0" w:line="240" w:lineRule="auto"/>
        <w:ind w:left="1338" w:right="0" w:hanging="1005"/>
        <w:jc w:val="left"/>
        <w:rPr>
          <w:b/>
          <w:sz w:val="21"/>
        </w:rPr>
      </w:pPr>
      <w:r>
        <w:rPr>
          <w:b/>
          <w:spacing w:val="-2"/>
          <w:sz w:val="21"/>
        </w:rPr>
        <w:t>语言能力或咀嚼吞</w:t>
      </w:r>
    </w:p>
    <w:p>
      <w:pPr>
        <w:spacing w:before="4"/>
        <w:ind w:left="1338" w:right="0" w:firstLine="0"/>
        <w:jc w:val="left"/>
        <w:rPr>
          <w:b/>
          <w:sz w:val="21"/>
        </w:rPr>
      </w:pPr>
      <w:r>
        <w:rPr>
          <w:b/>
          <w:spacing w:val="-2"/>
          <w:sz w:val="21"/>
        </w:rPr>
        <w:t>咽能力完全丧失</w:t>
      </w:r>
    </w:p>
    <w:p>
      <w:pPr>
        <w:pStyle w:val="3"/>
        <w:spacing w:before="98" w:line="242" w:lineRule="auto"/>
        <w:ind w:left="162" w:right="512"/>
      </w:pPr>
      <w:r>
        <w:br w:type="column"/>
      </w:r>
      <w:r>
        <w:rPr>
          <w:spacing w:val="-4"/>
        </w:rPr>
        <w:t>语言能力完全丧失，指无法发出四种语音（包括口唇音、齿舌音、</w:t>
      </w:r>
      <w:r>
        <w:rPr>
          <w:spacing w:val="-2"/>
        </w:rPr>
        <w:t>口盖音和喉头音）中的任何三种、或声带全部切除，或因大脑语言中枢受伤害而患失语症。</w:t>
      </w:r>
    </w:p>
    <w:p>
      <w:pPr>
        <w:pStyle w:val="3"/>
        <w:spacing w:before="1" w:line="242" w:lineRule="auto"/>
        <w:ind w:left="162" w:right="617"/>
        <w:jc w:val="both"/>
      </w:pPr>
      <w:r>
        <w:rPr>
          <w:spacing w:val="-2"/>
        </w:rPr>
        <w:t>咀嚼吞咽能力完全丧失，指因牙齿以外的原因导致器质障碍或机能障碍，以致不能作咀嚼吞咽运动，除流质食物外不能摄取或吞咽的状态。</w:t>
      </w:r>
    </w:p>
    <w:p>
      <w:pPr>
        <w:spacing w:after="0" w:line="242" w:lineRule="auto"/>
        <w:jc w:val="both"/>
        <w:sectPr>
          <w:type w:val="continuous"/>
          <w:pgSz w:w="11910" w:h="16840"/>
          <w:pgMar w:top="320" w:right="620" w:bottom="280" w:left="1480" w:header="0" w:footer="851" w:gutter="0"/>
          <w:cols w:equalWidth="0" w:num="2">
            <w:col w:w="3106" w:space="40"/>
            <w:col w:w="6664"/>
          </w:cols>
        </w:sectPr>
      </w:pPr>
    </w:p>
    <w:p>
      <w:pPr>
        <w:pStyle w:val="3"/>
        <w:spacing w:before="7"/>
        <w:rPr>
          <w:sz w:val="11"/>
        </w:rPr>
      </w:pPr>
    </w:p>
    <w:p>
      <w:pPr>
        <w:spacing w:after="0"/>
        <w:rPr>
          <w:sz w:val="11"/>
        </w:rPr>
        <w:sectPr>
          <w:type w:val="continuous"/>
          <w:pgSz w:w="11910" w:h="16840"/>
          <w:pgMar w:top="320" w:right="620" w:bottom="280" w:left="1480" w:header="0" w:footer="851" w:gutter="0"/>
          <w:cols w:space="720" w:num="1"/>
        </w:sectPr>
      </w:pPr>
    </w:p>
    <w:p>
      <w:pPr>
        <w:pStyle w:val="8"/>
        <w:numPr>
          <w:ilvl w:val="1"/>
          <w:numId w:val="123"/>
        </w:numPr>
        <w:tabs>
          <w:tab w:val="left" w:pos="1003"/>
          <w:tab w:val="left" w:pos="1339"/>
        </w:tabs>
        <w:spacing w:before="92" w:after="0" w:line="275" w:lineRule="exact"/>
        <w:ind w:left="1338" w:right="0" w:hanging="1339"/>
        <w:jc w:val="right"/>
        <w:rPr>
          <w:b/>
          <w:sz w:val="21"/>
        </w:rPr>
      </w:pPr>
      <w:r>
        <w:rPr>
          <w:b/>
          <w:spacing w:val="-2"/>
          <w:sz w:val="21"/>
        </w:rPr>
        <w:t>美国纽约心脏病学</w:t>
      </w:r>
    </w:p>
    <w:p>
      <w:pPr>
        <w:spacing w:before="0"/>
        <w:ind w:left="0" w:right="0" w:firstLine="0"/>
        <w:jc w:val="right"/>
        <w:rPr>
          <w:b/>
          <w:sz w:val="21"/>
        </w:rPr>
      </w:pPr>
      <w:r>
        <w:rPr>
          <w:b/>
          <w:spacing w:val="-2"/>
          <w:sz w:val="21"/>
        </w:rPr>
        <w:t>会心功能状态分级</w:t>
      </w:r>
    </w:p>
    <w:p>
      <w:pPr>
        <w:spacing w:before="5"/>
        <w:ind w:left="1312" w:right="1299" w:firstLine="0"/>
        <w:jc w:val="center"/>
        <w:rPr>
          <w:b/>
          <w:sz w:val="21"/>
        </w:rPr>
      </w:pPr>
      <w:r>
        <w:rPr>
          <w:rFonts w:ascii="Times New Roman" w:eastAsia="Times New Roman"/>
          <w:b/>
          <w:spacing w:val="-4"/>
          <w:sz w:val="21"/>
        </w:rPr>
        <w:t>IV</w:t>
      </w:r>
      <w:r>
        <w:rPr>
          <w:b/>
          <w:spacing w:val="-10"/>
          <w:sz w:val="21"/>
        </w:rPr>
        <w:t>级</w:t>
      </w:r>
    </w:p>
    <w:p>
      <w:pPr>
        <w:pStyle w:val="3"/>
        <w:spacing w:before="98" w:line="242" w:lineRule="auto"/>
        <w:ind w:left="162" w:right="619"/>
        <w:jc w:val="both"/>
      </w:pPr>
      <w:r>
        <w:br w:type="column"/>
      </w:r>
      <w:r>
        <w:rPr>
          <w:spacing w:val="3"/>
          <w:w w:val="100"/>
        </w:rPr>
        <w:t>心功能状态分级Ⅳ级是指被保险人不能无症状地进行任何体力</w:t>
      </w:r>
      <w:r>
        <w:rPr>
          <w:spacing w:val="-6"/>
          <w:w w:val="100"/>
        </w:rPr>
        <w:t>活动，休息时也会出现心力衰竭或心绞痛的症状，任何体力活动</w:t>
      </w:r>
      <w:r>
        <w:rPr>
          <w:spacing w:val="-1"/>
          <w:w w:val="100"/>
        </w:rPr>
        <w:t>都会加重病情。</w:t>
      </w:r>
    </w:p>
    <w:p>
      <w:pPr>
        <w:spacing w:after="0" w:line="242" w:lineRule="auto"/>
        <w:jc w:val="both"/>
        <w:sectPr>
          <w:type w:val="continuous"/>
          <w:pgSz w:w="11910" w:h="16840"/>
          <w:pgMar w:top="320" w:right="620" w:bottom="280" w:left="1480" w:header="0" w:footer="851" w:gutter="0"/>
          <w:cols w:equalWidth="0" w:num="2">
            <w:col w:w="3106" w:space="40"/>
            <w:col w:w="6664"/>
          </w:cols>
        </w:sectPr>
      </w:pPr>
    </w:p>
    <w:p>
      <w:pPr>
        <w:pStyle w:val="3"/>
        <w:spacing w:before="7"/>
        <w:rPr>
          <w:sz w:val="15"/>
        </w:rPr>
      </w:pPr>
    </w:p>
    <w:p>
      <w:pPr>
        <w:spacing w:after="0"/>
        <w:rPr>
          <w:sz w:val="15"/>
        </w:rPr>
        <w:sectPr>
          <w:pgSz w:w="11910" w:h="16840"/>
          <w:pgMar w:top="1580" w:right="620" w:bottom="1040" w:left="1480" w:header="0" w:footer="851" w:gutter="0"/>
          <w:cols w:space="720" w:num="1"/>
        </w:sectPr>
      </w:pPr>
    </w:p>
    <w:p>
      <w:pPr>
        <w:spacing w:before="56"/>
        <w:ind w:left="219" w:right="0" w:firstLine="0"/>
        <w:jc w:val="left"/>
        <w:rPr>
          <w:b/>
          <w:sz w:val="21"/>
        </w:rPr>
      </w:pPr>
      <w:r>
        <w:rPr>
          <w:b/>
          <w:spacing w:val="-5"/>
          <w:sz w:val="21"/>
        </w:rPr>
        <w:t>附表</w:t>
      </w:r>
    </w:p>
    <w:p>
      <w:pPr>
        <w:pStyle w:val="3"/>
        <w:spacing w:before="12"/>
        <w:rPr>
          <w:b/>
          <w:sz w:val="12"/>
        </w:rPr>
      </w:pPr>
    </w:p>
    <w:p>
      <w:pPr>
        <w:pStyle w:val="3"/>
        <w:spacing w:before="78"/>
        <w:ind w:left="1005" w:right="1287"/>
        <w:jc w:val="center"/>
      </w:pPr>
      <w:r>
        <w:rPr>
          <w:spacing w:val="-2"/>
        </w:rPr>
        <w:t>中意</w:t>
      </w:r>
      <w:r>
        <w:rPr>
          <w:rFonts w:ascii="Times New Roman" w:eastAsia="Times New Roman"/>
          <w:spacing w:val="-2"/>
        </w:rPr>
        <w:t>***</w:t>
      </w:r>
      <w:r>
        <w:rPr>
          <w:spacing w:val="-2"/>
        </w:rPr>
        <w:t>医疗保险保障计划（每份</w:t>
      </w:r>
      <w:r>
        <w:rPr>
          <w:spacing w:val="-10"/>
        </w:rPr>
        <w:t>）</w:t>
      </w:r>
    </w:p>
    <w:p>
      <w:pPr>
        <w:pStyle w:val="3"/>
        <w:spacing w:before="8" w:after="1"/>
        <w:rPr>
          <w:sz w:val="9"/>
        </w:rPr>
      </w:pPr>
    </w:p>
    <w:tbl>
      <w:tblPr>
        <w:tblStyle w:val="5"/>
        <w:tblW w:w="0" w:type="auto"/>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1561"/>
        <w:gridCol w:w="1277"/>
        <w:gridCol w:w="1983"/>
        <w:gridCol w:w="19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411" w:type="dxa"/>
            <w:vMerge w:val="restart"/>
          </w:tcPr>
          <w:p>
            <w:pPr>
              <w:pStyle w:val="9"/>
              <w:rPr>
                <w:sz w:val="20"/>
              </w:rPr>
            </w:pPr>
          </w:p>
          <w:p>
            <w:pPr>
              <w:pStyle w:val="9"/>
              <w:spacing w:before="158"/>
              <w:ind w:left="787"/>
              <w:rPr>
                <w:sz w:val="21"/>
              </w:rPr>
            </w:pPr>
            <w:r>
              <w:rPr>
                <w:spacing w:val="-3"/>
                <w:sz w:val="21"/>
              </w:rPr>
              <w:t>保险责任</w:t>
            </w:r>
          </w:p>
        </w:tc>
        <w:tc>
          <w:tcPr>
            <w:tcW w:w="1561" w:type="dxa"/>
            <w:vMerge w:val="restart"/>
          </w:tcPr>
          <w:p>
            <w:pPr>
              <w:pStyle w:val="9"/>
              <w:spacing w:before="6"/>
              <w:rPr>
                <w:sz w:val="21"/>
              </w:rPr>
            </w:pPr>
          </w:p>
          <w:p>
            <w:pPr>
              <w:pStyle w:val="9"/>
              <w:ind w:left="152"/>
              <w:rPr>
                <w:sz w:val="21"/>
              </w:rPr>
            </w:pPr>
            <w:r>
              <w:rPr>
                <w:spacing w:val="-4"/>
                <w:sz w:val="21"/>
              </w:rPr>
              <w:t>年度给付限额</w:t>
            </w:r>
          </w:p>
          <w:p>
            <w:pPr>
              <w:pStyle w:val="9"/>
              <w:spacing w:before="4"/>
              <w:ind w:left="152"/>
              <w:rPr>
                <w:sz w:val="21"/>
              </w:rPr>
            </w:pPr>
            <w:r>
              <w:rPr>
                <w:spacing w:val="-2"/>
                <w:sz w:val="21"/>
              </w:rPr>
              <w:t>（单位：元</w:t>
            </w:r>
            <w:r>
              <w:rPr>
                <w:spacing w:val="-10"/>
                <w:sz w:val="21"/>
              </w:rPr>
              <w:t>）</w:t>
            </w:r>
          </w:p>
        </w:tc>
        <w:tc>
          <w:tcPr>
            <w:tcW w:w="1277" w:type="dxa"/>
            <w:vMerge w:val="restart"/>
          </w:tcPr>
          <w:p>
            <w:pPr>
              <w:pStyle w:val="9"/>
              <w:spacing w:before="6"/>
              <w:rPr>
                <w:sz w:val="21"/>
              </w:rPr>
            </w:pPr>
          </w:p>
          <w:p>
            <w:pPr>
              <w:pStyle w:val="9"/>
              <w:ind w:left="325"/>
              <w:rPr>
                <w:sz w:val="21"/>
              </w:rPr>
            </w:pPr>
            <w:r>
              <w:rPr>
                <w:spacing w:val="-4"/>
                <w:sz w:val="21"/>
              </w:rPr>
              <w:t>免赔额</w:t>
            </w:r>
          </w:p>
          <w:p>
            <w:pPr>
              <w:pStyle w:val="9"/>
              <w:spacing w:before="4"/>
              <w:ind w:left="109" w:right="-15"/>
              <w:rPr>
                <w:sz w:val="21"/>
              </w:rPr>
            </w:pPr>
            <w:r>
              <w:rPr>
                <w:sz w:val="21"/>
              </w:rPr>
              <w:t>（</w:t>
            </w:r>
            <w:r>
              <w:rPr>
                <w:spacing w:val="-25"/>
                <w:sz w:val="21"/>
              </w:rPr>
              <w:t>单位：元</w:t>
            </w:r>
            <w:r>
              <w:rPr>
                <w:spacing w:val="-10"/>
                <w:sz w:val="21"/>
              </w:rPr>
              <w:t>）</w:t>
            </w:r>
          </w:p>
        </w:tc>
        <w:tc>
          <w:tcPr>
            <w:tcW w:w="3933" w:type="dxa"/>
            <w:gridSpan w:val="2"/>
          </w:tcPr>
          <w:p>
            <w:pPr>
              <w:pStyle w:val="9"/>
              <w:spacing w:line="254" w:lineRule="exact"/>
              <w:ind w:left="1538" w:right="1516"/>
              <w:jc w:val="center"/>
              <w:rPr>
                <w:sz w:val="21"/>
              </w:rPr>
            </w:pPr>
            <w:r>
              <w:rPr>
                <w:spacing w:val="-3"/>
                <w:sz w:val="21"/>
              </w:rPr>
              <w:t>给付比例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2411" w:type="dxa"/>
            <w:vMerge w:val="continue"/>
            <w:tcBorders>
              <w:top w:val="nil"/>
            </w:tcBorders>
          </w:tcPr>
          <w:p>
            <w:pPr>
              <w:rPr>
                <w:sz w:val="2"/>
                <w:szCs w:val="2"/>
              </w:rPr>
            </w:pPr>
          </w:p>
        </w:tc>
        <w:tc>
          <w:tcPr>
            <w:tcW w:w="1561"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983" w:type="dxa"/>
          </w:tcPr>
          <w:p>
            <w:pPr>
              <w:pStyle w:val="9"/>
              <w:spacing w:line="244" w:lineRule="auto"/>
              <w:ind w:left="153" w:right="133"/>
              <w:jc w:val="center"/>
              <w:rPr>
                <w:sz w:val="21"/>
              </w:rPr>
            </w:pPr>
            <w:r>
              <w:rPr>
                <w:spacing w:val="-2"/>
                <w:sz w:val="21"/>
              </w:rPr>
              <w:t>以有社会基本医疗</w:t>
            </w:r>
            <w:r>
              <w:rPr>
                <w:spacing w:val="-4"/>
                <w:sz w:val="21"/>
              </w:rPr>
              <w:t>保险或公费医疗身</w:t>
            </w:r>
          </w:p>
          <w:p>
            <w:pPr>
              <w:pStyle w:val="9"/>
              <w:spacing w:line="251" w:lineRule="exact"/>
              <w:ind w:left="153" w:right="131"/>
              <w:jc w:val="center"/>
              <w:rPr>
                <w:sz w:val="21"/>
              </w:rPr>
            </w:pPr>
            <w:r>
              <w:rPr>
                <w:spacing w:val="-4"/>
                <w:sz w:val="21"/>
              </w:rPr>
              <w:t>份参保</w:t>
            </w:r>
          </w:p>
        </w:tc>
        <w:tc>
          <w:tcPr>
            <w:tcW w:w="1950" w:type="dxa"/>
          </w:tcPr>
          <w:p>
            <w:pPr>
              <w:pStyle w:val="9"/>
              <w:spacing w:line="244" w:lineRule="auto"/>
              <w:ind w:left="133" w:right="118" w:hanging="1"/>
              <w:jc w:val="center"/>
              <w:rPr>
                <w:sz w:val="21"/>
              </w:rPr>
            </w:pPr>
            <w:r>
              <w:rPr>
                <w:spacing w:val="-2"/>
                <w:sz w:val="21"/>
              </w:rPr>
              <w:t>以无社会基本医疗</w:t>
            </w:r>
            <w:r>
              <w:rPr>
                <w:spacing w:val="-4"/>
                <w:sz w:val="21"/>
              </w:rPr>
              <w:t>保险且无公费医疗</w:t>
            </w:r>
          </w:p>
          <w:p>
            <w:pPr>
              <w:pStyle w:val="9"/>
              <w:spacing w:line="251" w:lineRule="exact"/>
              <w:ind w:left="545" w:right="527"/>
              <w:jc w:val="center"/>
              <w:rPr>
                <w:sz w:val="21"/>
              </w:rPr>
            </w:pPr>
            <w:r>
              <w:rPr>
                <w:spacing w:val="-3"/>
                <w:sz w:val="21"/>
              </w:rPr>
              <w:t>身份参保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411" w:type="dxa"/>
          </w:tcPr>
          <w:p>
            <w:pPr>
              <w:pStyle w:val="9"/>
              <w:spacing w:before="1" w:line="252" w:lineRule="exact"/>
              <w:ind w:left="110"/>
              <w:rPr>
                <w:sz w:val="21"/>
              </w:rPr>
            </w:pPr>
            <w:r>
              <w:rPr>
                <w:spacing w:val="-4"/>
                <w:sz w:val="21"/>
              </w:rPr>
              <w:t>一般医疗保险金</w:t>
            </w:r>
          </w:p>
        </w:tc>
        <w:tc>
          <w:tcPr>
            <w:tcW w:w="1561" w:type="dxa"/>
          </w:tcPr>
          <w:p>
            <w:pPr>
              <w:pStyle w:val="9"/>
              <w:spacing w:before="10"/>
              <w:ind w:right="89"/>
              <w:jc w:val="right"/>
              <w:rPr>
                <w:rFonts w:ascii="Times New Roman"/>
                <w:sz w:val="21"/>
              </w:rPr>
            </w:pPr>
            <w:r>
              <w:rPr>
                <w:rFonts w:ascii="Times New Roman"/>
                <w:spacing w:val="-2"/>
                <w:sz w:val="21"/>
              </w:rPr>
              <w:t>1,000,000</w:t>
            </w:r>
          </w:p>
        </w:tc>
        <w:tc>
          <w:tcPr>
            <w:tcW w:w="1277" w:type="dxa"/>
          </w:tcPr>
          <w:p>
            <w:pPr>
              <w:pStyle w:val="9"/>
              <w:spacing w:before="10"/>
              <w:ind w:right="89"/>
              <w:jc w:val="right"/>
              <w:rPr>
                <w:rFonts w:ascii="Times New Roman"/>
                <w:sz w:val="21"/>
              </w:rPr>
            </w:pPr>
            <w:r>
              <w:rPr>
                <w:rFonts w:ascii="Times New Roman"/>
                <w:spacing w:val="-2"/>
                <w:sz w:val="21"/>
              </w:rPr>
              <w:t>10,000</w:t>
            </w:r>
          </w:p>
        </w:tc>
        <w:tc>
          <w:tcPr>
            <w:tcW w:w="1983" w:type="dxa"/>
            <w:vMerge w:val="restart"/>
          </w:tcPr>
          <w:p>
            <w:pPr>
              <w:pStyle w:val="9"/>
              <w:rPr>
                <w:sz w:val="22"/>
              </w:rPr>
            </w:pPr>
          </w:p>
          <w:p>
            <w:pPr>
              <w:pStyle w:val="9"/>
              <w:spacing w:before="8"/>
              <w:rPr>
                <w:sz w:val="22"/>
              </w:rPr>
            </w:pPr>
          </w:p>
          <w:p>
            <w:pPr>
              <w:pStyle w:val="9"/>
              <w:ind w:left="109"/>
              <w:rPr>
                <w:rFonts w:ascii="Times New Roman"/>
                <w:sz w:val="21"/>
              </w:rPr>
            </w:pPr>
            <w:r>
              <w:rPr>
                <w:rFonts w:ascii="Times New Roman"/>
                <w:spacing w:val="-2"/>
                <w:sz w:val="21"/>
              </w:rPr>
              <w:t>100%*</w:t>
            </w:r>
          </w:p>
        </w:tc>
        <w:tc>
          <w:tcPr>
            <w:tcW w:w="1950" w:type="dxa"/>
            <w:vMerge w:val="restart"/>
          </w:tcPr>
          <w:p>
            <w:pPr>
              <w:pStyle w:val="9"/>
              <w:rPr>
                <w:sz w:val="22"/>
              </w:rPr>
            </w:pPr>
          </w:p>
          <w:p>
            <w:pPr>
              <w:pStyle w:val="9"/>
              <w:spacing w:before="8"/>
              <w:rPr>
                <w:sz w:val="22"/>
              </w:rPr>
            </w:pPr>
          </w:p>
          <w:p>
            <w:pPr>
              <w:pStyle w:val="9"/>
              <w:ind w:left="109"/>
              <w:rPr>
                <w:rFonts w:ascii="Times New Roman"/>
                <w:sz w:val="21"/>
              </w:rPr>
            </w:pPr>
            <w:r>
              <w:rPr>
                <w:rFonts w:ascii="Times New Roman"/>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411" w:type="dxa"/>
          </w:tcPr>
          <w:p>
            <w:pPr>
              <w:pStyle w:val="9"/>
              <w:spacing w:line="253" w:lineRule="exact"/>
              <w:ind w:left="110"/>
              <w:rPr>
                <w:sz w:val="21"/>
              </w:rPr>
            </w:pPr>
            <w:r>
              <w:rPr>
                <w:spacing w:val="-3"/>
                <w:sz w:val="21"/>
              </w:rPr>
              <w:t>重大疾病医疗保险金</w:t>
            </w:r>
          </w:p>
        </w:tc>
        <w:tc>
          <w:tcPr>
            <w:tcW w:w="1561" w:type="dxa"/>
          </w:tcPr>
          <w:p>
            <w:pPr>
              <w:pStyle w:val="9"/>
              <w:spacing w:before="10"/>
              <w:ind w:right="89"/>
              <w:jc w:val="right"/>
              <w:rPr>
                <w:rFonts w:ascii="Times New Roman"/>
                <w:sz w:val="21"/>
              </w:rPr>
            </w:pPr>
            <w:r>
              <w:rPr>
                <w:rFonts w:ascii="Times New Roman"/>
                <w:spacing w:val="-2"/>
                <w:sz w:val="21"/>
              </w:rPr>
              <w:t>1,000,000</w:t>
            </w:r>
          </w:p>
        </w:tc>
        <w:tc>
          <w:tcPr>
            <w:tcW w:w="1277" w:type="dxa"/>
          </w:tcPr>
          <w:p>
            <w:pPr>
              <w:pStyle w:val="9"/>
              <w:spacing w:before="10"/>
              <w:ind w:right="95"/>
              <w:jc w:val="right"/>
              <w:rPr>
                <w:rFonts w:ascii="Times New Roman"/>
                <w:sz w:val="21"/>
              </w:rPr>
            </w:pPr>
            <w:r>
              <w:rPr>
                <w:rFonts w:ascii="Times New Roman"/>
                <w:w w:val="100"/>
                <w:sz w:val="21"/>
              </w:rPr>
              <w:t>-</w:t>
            </w:r>
          </w:p>
        </w:tc>
        <w:tc>
          <w:tcPr>
            <w:tcW w:w="1983" w:type="dxa"/>
            <w:vMerge w:val="continue"/>
            <w:tcBorders>
              <w:top w:val="nil"/>
            </w:tcBorders>
          </w:tcPr>
          <w:p>
            <w:pPr>
              <w:rPr>
                <w:sz w:val="2"/>
                <w:szCs w:val="2"/>
              </w:rPr>
            </w:pPr>
          </w:p>
        </w:tc>
        <w:tc>
          <w:tcPr>
            <w:tcW w:w="19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2411" w:type="dxa"/>
          </w:tcPr>
          <w:p>
            <w:pPr>
              <w:pStyle w:val="9"/>
              <w:spacing w:line="254" w:lineRule="exact"/>
              <w:ind w:left="110"/>
              <w:rPr>
                <w:sz w:val="21"/>
              </w:rPr>
            </w:pPr>
            <w:r>
              <w:rPr>
                <w:spacing w:val="-3"/>
                <w:sz w:val="21"/>
              </w:rPr>
              <w:t>轻症疾病医疗保险金</w:t>
            </w:r>
          </w:p>
        </w:tc>
        <w:tc>
          <w:tcPr>
            <w:tcW w:w="1561" w:type="dxa"/>
          </w:tcPr>
          <w:p>
            <w:pPr>
              <w:pStyle w:val="9"/>
              <w:spacing w:before="5"/>
              <w:ind w:right="89"/>
              <w:jc w:val="right"/>
              <w:rPr>
                <w:rFonts w:ascii="Times New Roman"/>
                <w:sz w:val="21"/>
              </w:rPr>
            </w:pPr>
            <w:r>
              <w:rPr>
                <w:rFonts w:ascii="Times New Roman"/>
                <w:spacing w:val="-2"/>
                <w:sz w:val="21"/>
              </w:rPr>
              <w:t>500,000</w:t>
            </w:r>
          </w:p>
        </w:tc>
        <w:tc>
          <w:tcPr>
            <w:tcW w:w="1277" w:type="dxa"/>
          </w:tcPr>
          <w:p>
            <w:pPr>
              <w:pStyle w:val="9"/>
              <w:spacing w:before="5"/>
              <w:ind w:right="95"/>
              <w:jc w:val="right"/>
              <w:rPr>
                <w:rFonts w:ascii="Times New Roman"/>
                <w:sz w:val="21"/>
              </w:rPr>
            </w:pPr>
            <w:r>
              <w:rPr>
                <w:rFonts w:ascii="Times New Roman"/>
                <w:w w:val="100"/>
                <w:sz w:val="21"/>
              </w:rPr>
              <w:t>-</w:t>
            </w:r>
          </w:p>
        </w:tc>
        <w:tc>
          <w:tcPr>
            <w:tcW w:w="1983" w:type="dxa"/>
            <w:vMerge w:val="continue"/>
            <w:tcBorders>
              <w:top w:val="nil"/>
            </w:tcBorders>
          </w:tcPr>
          <w:p>
            <w:pPr>
              <w:rPr>
                <w:sz w:val="2"/>
                <w:szCs w:val="2"/>
              </w:rPr>
            </w:pPr>
          </w:p>
        </w:tc>
        <w:tc>
          <w:tcPr>
            <w:tcW w:w="19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411" w:type="dxa"/>
          </w:tcPr>
          <w:p>
            <w:pPr>
              <w:pStyle w:val="9"/>
              <w:spacing w:line="253" w:lineRule="exact"/>
              <w:ind w:left="110"/>
              <w:rPr>
                <w:sz w:val="21"/>
              </w:rPr>
            </w:pPr>
            <w:r>
              <w:rPr>
                <w:spacing w:val="-3"/>
                <w:sz w:val="21"/>
              </w:rPr>
              <w:t>特定药品费用保险金</w:t>
            </w:r>
          </w:p>
        </w:tc>
        <w:tc>
          <w:tcPr>
            <w:tcW w:w="1561" w:type="dxa"/>
            <w:vMerge w:val="restart"/>
          </w:tcPr>
          <w:p>
            <w:pPr>
              <w:pStyle w:val="9"/>
              <w:spacing w:before="149"/>
              <w:ind w:left="614"/>
              <w:rPr>
                <w:rFonts w:ascii="Times New Roman"/>
                <w:sz w:val="21"/>
              </w:rPr>
            </w:pPr>
            <w:r>
              <w:rPr>
                <w:rFonts w:ascii="Times New Roman"/>
                <w:spacing w:val="-2"/>
                <w:sz w:val="21"/>
              </w:rPr>
              <w:t>1,000,000</w:t>
            </w:r>
          </w:p>
        </w:tc>
        <w:tc>
          <w:tcPr>
            <w:tcW w:w="1277" w:type="dxa"/>
          </w:tcPr>
          <w:p>
            <w:pPr>
              <w:pStyle w:val="9"/>
              <w:spacing w:before="5"/>
              <w:ind w:right="95"/>
              <w:jc w:val="right"/>
              <w:rPr>
                <w:rFonts w:ascii="Times New Roman"/>
                <w:sz w:val="21"/>
              </w:rPr>
            </w:pPr>
            <w:r>
              <w:rPr>
                <w:rFonts w:ascii="Times New Roman"/>
                <w:w w:val="100"/>
                <w:sz w:val="21"/>
              </w:rPr>
              <w:t>-</w:t>
            </w:r>
          </w:p>
        </w:tc>
        <w:tc>
          <w:tcPr>
            <w:tcW w:w="1983" w:type="dxa"/>
            <w:vMerge w:val="continue"/>
            <w:tcBorders>
              <w:top w:val="nil"/>
            </w:tcBorders>
          </w:tcPr>
          <w:p>
            <w:pPr>
              <w:rPr>
                <w:sz w:val="2"/>
                <w:szCs w:val="2"/>
              </w:rPr>
            </w:pPr>
          </w:p>
        </w:tc>
        <w:tc>
          <w:tcPr>
            <w:tcW w:w="19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411" w:type="dxa"/>
          </w:tcPr>
          <w:p>
            <w:pPr>
              <w:pStyle w:val="9"/>
              <w:spacing w:line="253" w:lineRule="exact"/>
              <w:ind w:left="110"/>
              <w:rPr>
                <w:sz w:val="21"/>
              </w:rPr>
            </w:pPr>
            <w:r>
              <w:rPr>
                <w:spacing w:val="-3"/>
                <w:sz w:val="21"/>
              </w:rPr>
              <w:t>质子重离子医疗保险金</w:t>
            </w:r>
          </w:p>
        </w:tc>
        <w:tc>
          <w:tcPr>
            <w:tcW w:w="1561" w:type="dxa"/>
            <w:vMerge w:val="continue"/>
            <w:tcBorders>
              <w:top w:val="nil"/>
            </w:tcBorders>
          </w:tcPr>
          <w:p>
            <w:pPr>
              <w:rPr>
                <w:sz w:val="2"/>
                <w:szCs w:val="2"/>
              </w:rPr>
            </w:pPr>
          </w:p>
        </w:tc>
        <w:tc>
          <w:tcPr>
            <w:tcW w:w="1277" w:type="dxa"/>
          </w:tcPr>
          <w:p>
            <w:pPr>
              <w:pStyle w:val="9"/>
              <w:spacing w:before="5"/>
              <w:ind w:right="95"/>
              <w:jc w:val="right"/>
              <w:rPr>
                <w:rFonts w:ascii="Times New Roman"/>
                <w:sz w:val="21"/>
              </w:rPr>
            </w:pPr>
            <w:r>
              <w:rPr>
                <w:rFonts w:ascii="Times New Roman"/>
                <w:w w:val="100"/>
                <w:sz w:val="21"/>
              </w:rPr>
              <w:t>-</w:t>
            </w:r>
          </w:p>
        </w:tc>
        <w:tc>
          <w:tcPr>
            <w:tcW w:w="1983" w:type="dxa"/>
            <w:vMerge w:val="continue"/>
            <w:tcBorders>
              <w:top w:val="nil"/>
            </w:tcBorders>
          </w:tcPr>
          <w:p>
            <w:pPr>
              <w:rPr>
                <w:sz w:val="2"/>
                <w:szCs w:val="2"/>
              </w:rPr>
            </w:pPr>
          </w:p>
        </w:tc>
        <w:tc>
          <w:tcPr>
            <w:tcW w:w="1950" w:type="dxa"/>
            <w:vMerge w:val="continue"/>
            <w:tcBorders>
              <w:top w:val="nil"/>
            </w:tcBorders>
          </w:tcPr>
          <w:p>
            <w:pPr>
              <w:rPr>
                <w:sz w:val="2"/>
                <w:szCs w:val="2"/>
              </w:rPr>
            </w:pPr>
          </w:p>
        </w:tc>
      </w:tr>
    </w:tbl>
    <w:p>
      <w:pPr>
        <w:pStyle w:val="3"/>
        <w:ind w:left="219" w:right="505" w:firstLine="422"/>
      </w:pPr>
      <w:r>
        <w:rPr>
          <w:rFonts w:ascii="Times New Roman" w:eastAsia="Times New Roman"/>
          <w:spacing w:val="-2"/>
        </w:rPr>
        <w:t>*</w:t>
      </w:r>
      <w:r>
        <w:rPr>
          <w:spacing w:val="-5"/>
        </w:rPr>
        <w:t>若被保险人以参加社会基本医疗保险或公费医疗的身份投保，但未以参加社会基本医疗保险或</w:t>
      </w:r>
      <w:r>
        <w:rPr>
          <w:spacing w:val="-2"/>
        </w:rPr>
        <w:t>公费医疗身份就诊且结算的，给付比例为</w:t>
      </w:r>
      <w:r>
        <w:rPr>
          <w:rFonts w:ascii="Times New Roman" w:eastAsia="Times New Roman"/>
          <w:spacing w:val="-2"/>
        </w:rPr>
        <w:t>60%</w:t>
      </w:r>
      <w:r>
        <w:rPr>
          <w:spacing w:val="-2"/>
        </w:rPr>
        <w:t>。</w:t>
      </w: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spacing w:before="2"/>
        <w:rPr>
          <w:sz w:val="22"/>
        </w:rPr>
      </w:pPr>
    </w:p>
    <w:p>
      <w:pPr>
        <w:pStyle w:val="3"/>
        <w:ind w:left="1001" w:right="1287"/>
        <w:jc w:val="center"/>
      </w:pPr>
      <w:r>
        <w:t>（完</w:t>
      </w:r>
      <w:r>
        <w:rPr>
          <w:spacing w:val="-10"/>
        </w:rPr>
        <w:t>）</w:t>
      </w:r>
    </w:p>
    <w:sectPr>
      <w:pgSz w:w="11910" w:h="16840"/>
      <w:pgMar w:top="1300" w:right="620" w:bottom="1040" w:left="1480" w:header="0" w:footer="85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Dotum">
    <w:altName w:val="Segoe Print"/>
    <w:panose1 w:val="00000000000000000000"/>
    <w:charset w:val="00"/>
    <w:family w:val="swiss"/>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4" o:spid="_x0000_s2049" o:spt="202" type="#_x0000_t202" style="position:absolute;left:0pt;margin-left:304.3pt;margin-top:788.35pt;height:12.1pt;width:16.1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4"/>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2">
    <w:nsid w:val="825EC3C5"/>
    <w:multiLevelType w:val="multilevel"/>
    <w:tmpl w:val="825EC3C5"/>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3836" w:hanging="529"/>
        <w:jc w:val="left"/>
      </w:pPr>
      <w:rPr>
        <w:rFonts w:hint="default" w:ascii="宋体" w:hAnsi="宋体" w:eastAsia="宋体" w:cs="宋体"/>
        <w:b/>
        <w:bCs/>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4">
    <w:nsid w:val="8461FADE"/>
    <w:multiLevelType w:val="multilevel"/>
    <w:tmpl w:val="8461FADE"/>
    <w:lvl w:ilvl="0" w:tentative="0">
      <w:start w:val="7"/>
      <w:numFmt w:val="decimal"/>
      <w:lvlText w:val="%1"/>
      <w:lvlJc w:val="left"/>
      <w:pPr>
        <w:ind w:left="1338" w:hanging="1004"/>
        <w:jc w:val="left"/>
      </w:pPr>
      <w:rPr>
        <w:rFonts w:hint="default"/>
        <w:lang w:val="en-US" w:eastAsia="zh-CN" w:bidi="ar-SA"/>
      </w:rPr>
    </w:lvl>
    <w:lvl w:ilvl="1" w:tentative="0">
      <w:start w:val="1"/>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0"/>
      <w:numFmt w:val="bullet"/>
      <w:lvlText w:val="•"/>
      <w:lvlJc w:val="left"/>
      <w:pPr>
        <w:ind w:left="1693" w:hanging="1004"/>
      </w:pPr>
      <w:rPr>
        <w:rFonts w:hint="default"/>
        <w:lang w:val="en-US" w:eastAsia="zh-CN" w:bidi="ar-SA"/>
      </w:rPr>
    </w:lvl>
    <w:lvl w:ilvl="3" w:tentative="0">
      <w:start w:val="0"/>
      <w:numFmt w:val="bullet"/>
      <w:lvlText w:val="•"/>
      <w:lvlJc w:val="left"/>
      <w:pPr>
        <w:ind w:left="1869" w:hanging="1004"/>
      </w:pPr>
      <w:rPr>
        <w:rFonts w:hint="default"/>
        <w:lang w:val="en-US" w:eastAsia="zh-CN" w:bidi="ar-SA"/>
      </w:rPr>
    </w:lvl>
    <w:lvl w:ilvl="4" w:tentative="0">
      <w:start w:val="0"/>
      <w:numFmt w:val="bullet"/>
      <w:lvlText w:val="•"/>
      <w:lvlJc w:val="left"/>
      <w:pPr>
        <w:ind w:left="2046" w:hanging="1004"/>
      </w:pPr>
      <w:rPr>
        <w:rFonts w:hint="default"/>
        <w:lang w:val="en-US" w:eastAsia="zh-CN" w:bidi="ar-SA"/>
      </w:rPr>
    </w:lvl>
    <w:lvl w:ilvl="5" w:tentative="0">
      <w:start w:val="0"/>
      <w:numFmt w:val="bullet"/>
      <w:lvlText w:val="•"/>
      <w:lvlJc w:val="left"/>
      <w:pPr>
        <w:ind w:left="2222" w:hanging="1004"/>
      </w:pPr>
      <w:rPr>
        <w:rFonts w:hint="default"/>
        <w:lang w:val="en-US" w:eastAsia="zh-CN" w:bidi="ar-SA"/>
      </w:rPr>
    </w:lvl>
    <w:lvl w:ilvl="6" w:tentative="0">
      <w:start w:val="0"/>
      <w:numFmt w:val="bullet"/>
      <w:lvlText w:val="•"/>
      <w:lvlJc w:val="left"/>
      <w:pPr>
        <w:ind w:left="2399" w:hanging="1004"/>
      </w:pPr>
      <w:rPr>
        <w:rFonts w:hint="default"/>
        <w:lang w:val="en-US" w:eastAsia="zh-CN" w:bidi="ar-SA"/>
      </w:rPr>
    </w:lvl>
    <w:lvl w:ilvl="7" w:tentative="0">
      <w:start w:val="0"/>
      <w:numFmt w:val="bullet"/>
      <w:lvlText w:val="•"/>
      <w:lvlJc w:val="left"/>
      <w:pPr>
        <w:ind w:left="2575" w:hanging="1004"/>
      </w:pPr>
      <w:rPr>
        <w:rFonts w:hint="default"/>
        <w:lang w:val="en-US" w:eastAsia="zh-CN" w:bidi="ar-SA"/>
      </w:rPr>
    </w:lvl>
    <w:lvl w:ilvl="8" w:tentative="0">
      <w:start w:val="0"/>
      <w:numFmt w:val="bullet"/>
      <w:lvlText w:val="•"/>
      <w:lvlJc w:val="left"/>
      <w:pPr>
        <w:ind w:left="2752" w:hanging="1004"/>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383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8">
    <w:nsid w:val="91B69C97"/>
    <w:multiLevelType w:val="multilevel"/>
    <w:tmpl w:val="91B69C97"/>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3" w:hanging="529"/>
      </w:pPr>
      <w:rPr>
        <w:rFonts w:hint="default"/>
        <w:lang w:val="en-US" w:eastAsia="zh-CN" w:bidi="ar-SA"/>
      </w:rPr>
    </w:lvl>
    <w:lvl w:ilvl="2" w:tentative="0">
      <w:start w:val="0"/>
      <w:numFmt w:val="bullet"/>
      <w:lvlText w:val="•"/>
      <w:lvlJc w:val="left"/>
      <w:pPr>
        <w:ind w:left="1707" w:hanging="529"/>
      </w:pPr>
      <w:rPr>
        <w:rFonts w:hint="default"/>
        <w:lang w:val="en-US" w:eastAsia="zh-CN" w:bidi="ar-SA"/>
      </w:rPr>
    </w:lvl>
    <w:lvl w:ilvl="3" w:tentative="0">
      <w:start w:val="0"/>
      <w:numFmt w:val="bullet"/>
      <w:lvlText w:val="•"/>
      <w:lvlJc w:val="left"/>
      <w:pPr>
        <w:ind w:left="2251" w:hanging="529"/>
      </w:pPr>
      <w:rPr>
        <w:rFonts w:hint="default"/>
        <w:lang w:val="en-US" w:eastAsia="zh-CN" w:bidi="ar-SA"/>
      </w:rPr>
    </w:lvl>
    <w:lvl w:ilvl="4" w:tentative="0">
      <w:start w:val="0"/>
      <w:numFmt w:val="bullet"/>
      <w:lvlText w:val="•"/>
      <w:lvlJc w:val="left"/>
      <w:pPr>
        <w:ind w:left="2795" w:hanging="529"/>
      </w:pPr>
      <w:rPr>
        <w:rFonts w:hint="default"/>
        <w:lang w:val="en-US" w:eastAsia="zh-CN" w:bidi="ar-SA"/>
      </w:rPr>
    </w:lvl>
    <w:lvl w:ilvl="5" w:tentative="0">
      <w:start w:val="0"/>
      <w:numFmt w:val="bullet"/>
      <w:lvlText w:val="•"/>
      <w:lvlJc w:val="left"/>
      <w:pPr>
        <w:ind w:left="3339" w:hanging="529"/>
      </w:pPr>
      <w:rPr>
        <w:rFonts w:hint="default"/>
        <w:lang w:val="en-US" w:eastAsia="zh-CN" w:bidi="ar-SA"/>
      </w:rPr>
    </w:lvl>
    <w:lvl w:ilvl="6" w:tentative="0">
      <w:start w:val="0"/>
      <w:numFmt w:val="bullet"/>
      <w:lvlText w:val="•"/>
      <w:lvlJc w:val="left"/>
      <w:pPr>
        <w:ind w:left="3882" w:hanging="529"/>
      </w:pPr>
      <w:rPr>
        <w:rFonts w:hint="default"/>
        <w:lang w:val="en-US" w:eastAsia="zh-CN" w:bidi="ar-SA"/>
      </w:rPr>
    </w:lvl>
    <w:lvl w:ilvl="7" w:tentative="0">
      <w:start w:val="0"/>
      <w:numFmt w:val="bullet"/>
      <w:lvlText w:val="•"/>
      <w:lvlJc w:val="left"/>
      <w:pPr>
        <w:ind w:left="4426" w:hanging="529"/>
      </w:pPr>
      <w:rPr>
        <w:rFonts w:hint="default"/>
        <w:lang w:val="en-US" w:eastAsia="zh-CN" w:bidi="ar-SA"/>
      </w:rPr>
    </w:lvl>
    <w:lvl w:ilvl="8" w:tentative="0">
      <w:start w:val="0"/>
      <w:numFmt w:val="bullet"/>
      <w:lvlText w:val="•"/>
      <w:lvlJc w:val="left"/>
      <w:pPr>
        <w:ind w:left="4970" w:hanging="529"/>
      </w:pPr>
      <w:rPr>
        <w:rFonts w:hint="default"/>
        <w:lang w:val="en-US" w:eastAsia="zh-CN" w:bidi="ar-SA"/>
      </w:rPr>
    </w:lvl>
  </w:abstractNum>
  <w:abstractNum w:abstractNumId="9">
    <w:nsid w:val="9239341B"/>
    <w:multiLevelType w:val="multilevel"/>
    <w:tmpl w:val="9239341B"/>
    <w:lvl w:ilvl="0" w:tentative="0">
      <w:start w:val="0"/>
      <w:numFmt w:val="bullet"/>
      <w:lvlText w:val=""/>
      <w:lvlJc w:val="left"/>
      <w:pPr>
        <w:ind w:left="736"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264" w:hanging="264"/>
      </w:pPr>
      <w:rPr>
        <w:rFonts w:hint="default"/>
        <w:lang w:val="en-US" w:eastAsia="zh-CN" w:bidi="ar-SA"/>
      </w:rPr>
    </w:lvl>
    <w:lvl w:ilvl="2" w:tentative="0">
      <w:start w:val="0"/>
      <w:numFmt w:val="bullet"/>
      <w:lvlText w:val="•"/>
      <w:lvlJc w:val="left"/>
      <w:pPr>
        <w:ind w:left="1789" w:hanging="264"/>
      </w:pPr>
      <w:rPr>
        <w:rFonts w:hint="default"/>
        <w:lang w:val="en-US" w:eastAsia="zh-CN" w:bidi="ar-SA"/>
      </w:rPr>
    </w:lvl>
    <w:lvl w:ilvl="3" w:tentative="0">
      <w:start w:val="0"/>
      <w:numFmt w:val="bullet"/>
      <w:lvlText w:val="•"/>
      <w:lvlJc w:val="left"/>
      <w:pPr>
        <w:ind w:left="2314" w:hanging="264"/>
      </w:pPr>
      <w:rPr>
        <w:rFonts w:hint="default"/>
        <w:lang w:val="en-US" w:eastAsia="zh-CN" w:bidi="ar-SA"/>
      </w:rPr>
    </w:lvl>
    <w:lvl w:ilvl="4" w:tentative="0">
      <w:start w:val="0"/>
      <w:numFmt w:val="bullet"/>
      <w:lvlText w:val="•"/>
      <w:lvlJc w:val="left"/>
      <w:pPr>
        <w:ind w:left="2839" w:hanging="264"/>
      </w:pPr>
      <w:rPr>
        <w:rFonts w:hint="default"/>
        <w:lang w:val="en-US" w:eastAsia="zh-CN" w:bidi="ar-SA"/>
      </w:rPr>
    </w:lvl>
    <w:lvl w:ilvl="5" w:tentative="0">
      <w:start w:val="0"/>
      <w:numFmt w:val="bullet"/>
      <w:lvlText w:val="•"/>
      <w:lvlJc w:val="left"/>
      <w:pPr>
        <w:ind w:left="3364" w:hanging="264"/>
      </w:pPr>
      <w:rPr>
        <w:rFonts w:hint="default"/>
        <w:lang w:val="en-US" w:eastAsia="zh-CN" w:bidi="ar-SA"/>
      </w:rPr>
    </w:lvl>
    <w:lvl w:ilvl="6" w:tentative="0">
      <w:start w:val="0"/>
      <w:numFmt w:val="bullet"/>
      <w:lvlText w:val="•"/>
      <w:lvlJc w:val="left"/>
      <w:pPr>
        <w:ind w:left="3889" w:hanging="264"/>
      </w:pPr>
      <w:rPr>
        <w:rFonts w:hint="default"/>
        <w:lang w:val="en-US" w:eastAsia="zh-CN" w:bidi="ar-SA"/>
      </w:rPr>
    </w:lvl>
    <w:lvl w:ilvl="7" w:tentative="0">
      <w:start w:val="0"/>
      <w:numFmt w:val="bullet"/>
      <w:lvlText w:val="•"/>
      <w:lvlJc w:val="left"/>
      <w:pPr>
        <w:ind w:left="4414" w:hanging="264"/>
      </w:pPr>
      <w:rPr>
        <w:rFonts w:hint="default"/>
        <w:lang w:val="en-US" w:eastAsia="zh-CN" w:bidi="ar-SA"/>
      </w:rPr>
    </w:lvl>
    <w:lvl w:ilvl="8" w:tentative="0">
      <w:start w:val="0"/>
      <w:numFmt w:val="bullet"/>
      <w:lvlText w:val="•"/>
      <w:lvlJc w:val="left"/>
      <w:pPr>
        <w:ind w:left="4939" w:hanging="264"/>
      </w:pPr>
      <w:rPr>
        <w:rFonts w:hint="default"/>
        <w:lang w:val="en-US" w:eastAsia="zh-CN" w:bidi="ar-SA"/>
      </w:rPr>
    </w:lvl>
  </w:abstractNum>
  <w:abstractNum w:abstractNumId="10">
    <w:nsid w:val="9288B902"/>
    <w:multiLevelType w:val="multilevel"/>
    <w:tmpl w:val="9288B902"/>
    <w:lvl w:ilvl="0" w:tentative="0">
      <w:start w:val="1"/>
      <w:numFmt w:val="decimal"/>
      <w:lvlText w:val="（%1）"/>
      <w:lvlJc w:val="left"/>
      <w:pPr>
        <w:ind w:left="63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84" w:hanging="529"/>
      </w:pPr>
      <w:rPr>
        <w:rFonts w:hint="default"/>
        <w:lang w:val="en-US" w:eastAsia="zh-CN" w:bidi="ar-SA"/>
      </w:rPr>
    </w:lvl>
    <w:lvl w:ilvl="2" w:tentative="0">
      <w:start w:val="0"/>
      <w:numFmt w:val="bullet"/>
      <w:lvlText w:val="•"/>
      <w:lvlJc w:val="left"/>
      <w:pPr>
        <w:ind w:left="1728" w:hanging="529"/>
      </w:pPr>
      <w:rPr>
        <w:rFonts w:hint="default"/>
        <w:lang w:val="en-US" w:eastAsia="zh-CN" w:bidi="ar-SA"/>
      </w:rPr>
    </w:lvl>
    <w:lvl w:ilvl="3" w:tentative="0">
      <w:start w:val="0"/>
      <w:numFmt w:val="bullet"/>
      <w:lvlText w:val="•"/>
      <w:lvlJc w:val="left"/>
      <w:pPr>
        <w:ind w:left="2273" w:hanging="529"/>
      </w:pPr>
      <w:rPr>
        <w:rFonts w:hint="default"/>
        <w:lang w:val="en-US" w:eastAsia="zh-CN" w:bidi="ar-SA"/>
      </w:rPr>
    </w:lvl>
    <w:lvl w:ilvl="4" w:tentative="0">
      <w:start w:val="0"/>
      <w:numFmt w:val="bullet"/>
      <w:lvlText w:val="•"/>
      <w:lvlJc w:val="left"/>
      <w:pPr>
        <w:ind w:left="2817" w:hanging="529"/>
      </w:pPr>
      <w:rPr>
        <w:rFonts w:hint="default"/>
        <w:lang w:val="en-US" w:eastAsia="zh-CN" w:bidi="ar-SA"/>
      </w:rPr>
    </w:lvl>
    <w:lvl w:ilvl="5" w:tentative="0">
      <w:start w:val="0"/>
      <w:numFmt w:val="bullet"/>
      <w:lvlText w:val="•"/>
      <w:lvlJc w:val="left"/>
      <w:pPr>
        <w:ind w:left="3362" w:hanging="529"/>
      </w:pPr>
      <w:rPr>
        <w:rFonts w:hint="default"/>
        <w:lang w:val="en-US" w:eastAsia="zh-CN" w:bidi="ar-SA"/>
      </w:rPr>
    </w:lvl>
    <w:lvl w:ilvl="6" w:tentative="0">
      <w:start w:val="0"/>
      <w:numFmt w:val="bullet"/>
      <w:lvlText w:val="•"/>
      <w:lvlJc w:val="left"/>
      <w:pPr>
        <w:ind w:left="3906" w:hanging="529"/>
      </w:pPr>
      <w:rPr>
        <w:rFonts w:hint="default"/>
        <w:lang w:val="en-US" w:eastAsia="zh-CN" w:bidi="ar-SA"/>
      </w:rPr>
    </w:lvl>
    <w:lvl w:ilvl="7" w:tentative="0">
      <w:start w:val="0"/>
      <w:numFmt w:val="bullet"/>
      <w:lvlText w:val="•"/>
      <w:lvlJc w:val="left"/>
      <w:pPr>
        <w:ind w:left="4450" w:hanging="529"/>
      </w:pPr>
      <w:rPr>
        <w:rFonts w:hint="default"/>
        <w:lang w:val="en-US" w:eastAsia="zh-CN" w:bidi="ar-SA"/>
      </w:rPr>
    </w:lvl>
    <w:lvl w:ilvl="8" w:tentative="0">
      <w:start w:val="0"/>
      <w:numFmt w:val="bullet"/>
      <w:lvlText w:val="•"/>
      <w:lvlJc w:val="left"/>
      <w:pPr>
        <w:ind w:left="4995" w:hanging="529"/>
      </w:pPr>
      <w:rPr>
        <w:rFonts w:hint="default"/>
        <w:lang w:val="en-US" w:eastAsia="zh-CN" w:bidi="ar-SA"/>
      </w:rPr>
    </w:lvl>
  </w:abstractNum>
  <w:abstractNum w:abstractNumId="11">
    <w:nsid w:val="9377BC45"/>
    <w:multiLevelType w:val="multilevel"/>
    <w:tmpl w:val="9377BC45"/>
    <w:lvl w:ilvl="0" w:tentative="0">
      <w:start w:val="10"/>
      <w:numFmt w:val="decimal"/>
      <w:lvlText w:val="%1"/>
      <w:lvlJc w:val="left"/>
      <w:pPr>
        <w:ind w:left="1338" w:hanging="1004"/>
        <w:jc w:val="left"/>
      </w:pPr>
      <w:rPr>
        <w:rFonts w:hint="default"/>
        <w:lang w:val="en-US" w:eastAsia="zh-CN" w:bidi="ar-SA"/>
      </w:rPr>
    </w:lvl>
    <w:lvl w:ilvl="1" w:tentative="0">
      <w:start w:val="56"/>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0"/>
      <w:numFmt w:val="bullet"/>
      <w:lvlText w:val="•"/>
      <w:lvlJc w:val="left"/>
      <w:pPr>
        <w:ind w:left="1693" w:hanging="1004"/>
      </w:pPr>
      <w:rPr>
        <w:rFonts w:hint="default"/>
        <w:lang w:val="en-US" w:eastAsia="zh-CN" w:bidi="ar-SA"/>
      </w:rPr>
    </w:lvl>
    <w:lvl w:ilvl="3" w:tentative="0">
      <w:start w:val="0"/>
      <w:numFmt w:val="bullet"/>
      <w:lvlText w:val="•"/>
      <w:lvlJc w:val="left"/>
      <w:pPr>
        <w:ind w:left="1869" w:hanging="1004"/>
      </w:pPr>
      <w:rPr>
        <w:rFonts w:hint="default"/>
        <w:lang w:val="en-US" w:eastAsia="zh-CN" w:bidi="ar-SA"/>
      </w:rPr>
    </w:lvl>
    <w:lvl w:ilvl="4" w:tentative="0">
      <w:start w:val="0"/>
      <w:numFmt w:val="bullet"/>
      <w:lvlText w:val="•"/>
      <w:lvlJc w:val="left"/>
      <w:pPr>
        <w:ind w:left="2046" w:hanging="1004"/>
      </w:pPr>
      <w:rPr>
        <w:rFonts w:hint="default"/>
        <w:lang w:val="en-US" w:eastAsia="zh-CN" w:bidi="ar-SA"/>
      </w:rPr>
    </w:lvl>
    <w:lvl w:ilvl="5" w:tentative="0">
      <w:start w:val="0"/>
      <w:numFmt w:val="bullet"/>
      <w:lvlText w:val="•"/>
      <w:lvlJc w:val="left"/>
      <w:pPr>
        <w:ind w:left="2222" w:hanging="1004"/>
      </w:pPr>
      <w:rPr>
        <w:rFonts w:hint="default"/>
        <w:lang w:val="en-US" w:eastAsia="zh-CN" w:bidi="ar-SA"/>
      </w:rPr>
    </w:lvl>
    <w:lvl w:ilvl="6" w:tentative="0">
      <w:start w:val="0"/>
      <w:numFmt w:val="bullet"/>
      <w:lvlText w:val="•"/>
      <w:lvlJc w:val="left"/>
      <w:pPr>
        <w:ind w:left="2399" w:hanging="1004"/>
      </w:pPr>
      <w:rPr>
        <w:rFonts w:hint="default"/>
        <w:lang w:val="en-US" w:eastAsia="zh-CN" w:bidi="ar-SA"/>
      </w:rPr>
    </w:lvl>
    <w:lvl w:ilvl="7" w:tentative="0">
      <w:start w:val="0"/>
      <w:numFmt w:val="bullet"/>
      <w:lvlText w:val="•"/>
      <w:lvlJc w:val="left"/>
      <w:pPr>
        <w:ind w:left="2575" w:hanging="1004"/>
      </w:pPr>
      <w:rPr>
        <w:rFonts w:hint="default"/>
        <w:lang w:val="en-US" w:eastAsia="zh-CN" w:bidi="ar-SA"/>
      </w:rPr>
    </w:lvl>
    <w:lvl w:ilvl="8" w:tentative="0">
      <w:start w:val="0"/>
      <w:numFmt w:val="bullet"/>
      <w:lvlText w:val="•"/>
      <w:lvlJc w:val="left"/>
      <w:pPr>
        <w:ind w:left="2752" w:hanging="1004"/>
      </w:pPr>
      <w:rPr>
        <w:rFonts w:hint="default"/>
        <w:lang w:val="en-US" w:eastAsia="zh-CN" w:bidi="ar-SA"/>
      </w:rPr>
    </w:lvl>
  </w:abstractNum>
  <w:abstractNum w:abstractNumId="12">
    <w:nsid w:val="98CD717A"/>
    <w:multiLevelType w:val="multilevel"/>
    <w:tmpl w:val="98CD717A"/>
    <w:lvl w:ilvl="0" w:tentative="0">
      <w:start w:val="11"/>
      <w:numFmt w:val="decimal"/>
      <w:lvlText w:val="%1"/>
      <w:lvlJc w:val="left"/>
      <w:pPr>
        <w:ind w:left="1338" w:hanging="1004"/>
        <w:jc w:val="left"/>
      </w:pPr>
      <w:rPr>
        <w:rFonts w:hint="default"/>
        <w:lang w:val="en-US" w:eastAsia="zh-CN" w:bidi="ar-SA"/>
      </w:rPr>
    </w:lvl>
    <w:lvl w:ilvl="1" w:tentative="0">
      <w:start w:val="7"/>
      <w:numFmt w:val="decimal"/>
      <w:lvlText w:val="%1.%2"/>
      <w:lvlJc w:val="left"/>
      <w:pPr>
        <w:ind w:left="1338" w:hanging="1004"/>
        <w:jc w:val="left"/>
      </w:pPr>
      <w:rPr>
        <w:rFonts w:hint="default" w:ascii="Times New Roman" w:hAnsi="Times New Roman" w:eastAsia="Times New Roman" w:cs="Times New Roman"/>
        <w:b w:val="0"/>
        <w:bCs w:val="0"/>
        <w:i w:val="0"/>
        <w:iCs w:val="0"/>
        <w:spacing w:val="-10"/>
        <w:w w:val="100"/>
        <w:position w:val="2"/>
        <w:sz w:val="21"/>
        <w:szCs w:val="21"/>
        <w:lang w:val="en-US" w:eastAsia="zh-CN" w:bidi="ar-SA"/>
      </w:rPr>
    </w:lvl>
    <w:lvl w:ilvl="2" w:tentative="0">
      <w:start w:val="1"/>
      <w:numFmt w:val="decimal"/>
      <w:lvlText w:val="（%3）"/>
      <w:lvlJc w:val="left"/>
      <w:pPr>
        <w:ind w:left="3830" w:hanging="529"/>
        <w:jc w:val="left"/>
      </w:pPr>
      <w:rPr>
        <w:rFonts w:hint="default"/>
        <w:w w:val="100"/>
        <w:lang w:val="en-US" w:eastAsia="zh-CN" w:bidi="ar-SA"/>
      </w:rPr>
    </w:lvl>
    <w:lvl w:ilvl="3" w:tentative="0">
      <w:start w:val="0"/>
      <w:numFmt w:val="bullet"/>
      <w:lvlText w:val="•"/>
      <w:lvlJc w:val="left"/>
      <w:pPr>
        <w:ind w:left="5165" w:hanging="529"/>
      </w:pPr>
      <w:rPr>
        <w:rFonts w:hint="default"/>
        <w:lang w:val="en-US" w:eastAsia="zh-CN" w:bidi="ar-SA"/>
      </w:rPr>
    </w:lvl>
    <w:lvl w:ilvl="4" w:tentative="0">
      <w:start w:val="0"/>
      <w:numFmt w:val="bullet"/>
      <w:lvlText w:val="•"/>
      <w:lvlJc w:val="left"/>
      <w:pPr>
        <w:ind w:left="5828" w:hanging="529"/>
      </w:pPr>
      <w:rPr>
        <w:rFonts w:hint="default"/>
        <w:lang w:val="en-US" w:eastAsia="zh-CN" w:bidi="ar-SA"/>
      </w:rPr>
    </w:lvl>
    <w:lvl w:ilvl="5" w:tentative="0">
      <w:start w:val="0"/>
      <w:numFmt w:val="bullet"/>
      <w:lvlText w:val="•"/>
      <w:lvlJc w:val="left"/>
      <w:pPr>
        <w:ind w:left="6490" w:hanging="529"/>
      </w:pPr>
      <w:rPr>
        <w:rFonts w:hint="default"/>
        <w:lang w:val="en-US" w:eastAsia="zh-CN" w:bidi="ar-SA"/>
      </w:rPr>
    </w:lvl>
    <w:lvl w:ilvl="6" w:tentative="0">
      <w:start w:val="0"/>
      <w:numFmt w:val="bullet"/>
      <w:lvlText w:val="•"/>
      <w:lvlJc w:val="left"/>
      <w:pPr>
        <w:ind w:left="7153" w:hanging="529"/>
      </w:pPr>
      <w:rPr>
        <w:rFonts w:hint="default"/>
        <w:lang w:val="en-US" w:eastAsia="zh-CN" w:bidi="ar-SA"/>
      </w:rPr>
    </w:lvl>
    <w:lvl w:ilvl="7" w:tentative="0">
      <w:start w:val="0"/>
      <w:numFmt w:val="bullet"/>
      <w:lvlText w:val="•"/>
      <w:lvlJc w:val="left"/>
      <w:pPr>
        <w:ind w:left="7816" w:hanging="529"/>
      </w:pPr>
      <w:rPr>
        <w:rFonts w:hint="default"/>
        <w:lang w:val="en-US" w:eastAsia="zh-CN" w:bidi="ar-SA"/>
      </w:rPr>
    </w:lvl>
    <w:lvl w:ilvl="8" w:tentative="0">
      <w:start w:val="0"/>
      <w:numFmt w:val="bullet"/>
      <w:lvlText w:val="•"/>
      <w:lvlJc w:val="left"/>
      <w:pPr>
        <w:ind w:left="8478" w:hanging="529"/>
      </w:pPr>
      <w:rPr>
        <w:rFonts w:hint="default"/>
        <w:lang w:val="en-US" w:eastAsia="zh-CN" w:bidi="ar-SA"/>
      </w:rPr>
    </w:lvl>
  </w:abstractNum>
  <w:abstractNum w:abstractNumId="13">
    <w:nsid w:val="9ACF65A0"/>
    <w:multiLevelType w:val="multilevel"/>
    <w:tmpl w:val="9ACF65A0"/>
    <w:lvl w:ilvl="0" w:tentative="0">
      <w:start w:val="2"/>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1" w:hanging="529"/>
      </w:pPr>
      <w:rPr>
        <w:rFonts w:hint="default"/>
        <w:lang w:val="en-US" w:eastAsia="zh-CN" w:bidi="ar-SA"/>
      </w:rPr>
    </w:lvl>
    <w:lvl w:ilvl="2" w:tentative="0">
      <w:start w:val="0"/>
      <w:numFmt w:val="bullet"/>
      <w:lvlText w:val="•"/>
      <w:lvlJc w:val="left"/>
      <w:pPr>
        <w:ind w:left="1723" w:hanging="529"/>
      </w:pPr>
      <w:rPr>
        <w:rFonts w:hint="default"/>
        <w:lang w:val="en-US" w:eastAsia="zh-CN" w:bidi="ar-SA"/>
      </w:rPr>
    </w:lvl>
    <w:lvl w:ilvl="3" w:tentative="0">
      <w:start w:val="0"/>
      <w:numFmt w:val="bullet"/>
      <w:lvlText w:val="•"/>
      <w:lvlJc w:val="left"/>
      <w:pPr>
        <w:ind w:left="2275" w:hanging="529"/>
      </w:pPr>
      <w:rPr>
        <w:rFonts w:hint="default"/>
        <w:lang w:val="en-US" w:eastAsia="zh-CN" w:bidi="ar-SA"/>
      </w:rPr>
    </w:lvl>
    <w:lvl w:ilvl="4" w:tentative="0">
      <w:start w:val="0"/>
      <w:numFmt w:val="bullet"/>
      <w:lvlText w:val="•"/>
      <w:lvlJc w:val="left"/>
      <w:pPr>
        <w:ind w:left="2826" w:hanging="529"/>
      </w:pPr>
      <w:rPr>
        <w:rFonts w:hint="default"/>
        <w:lang w:val="en-US" w:eastAsia="zh-CN" w:bidi="ar-SA"/>
      </w:rPr>
    </w:lvl>
    <w:lvl w:ilvl="5" w:tentative="0">
      <w:start w:val="0"/>
      <w:numFmt w:val="bullet"/>
      <w:lvlText w:val="•"/>
      <w:lvlJc w:val="left"/>
      <w:pPr>
        <w:ind w:left="3378" w:hanging="529"/>
      </w:pPr>
      <w:rPr>
        <w:rFonts w:hint="default"/>
        <w:lang w:val="en-US" w:eastAsia="zh-CN" w:bidi="ar-SA"/>
      </w:rPr>
    </w:lvl>
    <w:lvl w:ilvl="6" w:tentative="0">
      <w:start w:val="0"/>
      <w:numFmt w:val="bullet"/>
      <w:lvlText w:val="•"/>
      <w:lvlJc w:val="left"/>
      <w:pPr>
        <w:ind w:left="3930" w:hanging="529"/>
      </w:pPr>
      <w:rPr>
        <w:rFonts w:hint="default"/>
        <w:lang w:val="en-US" w:eastAsia="zh-CN" w:bidi="ar-SA"/>
      </w:rPr>
    </w:lvl>
    <w:lvl w:ilvl="7" w:tentative="0">
      <w:start w:val="0"/>
      <w:numFmt w:val="bullet"/>
      <w:lvlText w:val="•"/>
      <w:lvlJc w:val="left"/>
      <w:pPr>
        <w:ind w:left="4481" w:hanging="529"/>
      </w:pPr>
      <w:rPr>
        <w:rFonts w:hint="default"/>
        <w:lang w:val="en-US" w:eastAsia="zh-CN" w:bidi="ar-SA"/>
      </w:rPr>
    </w:lvl>
    <w:lvl w:ilvl="8" w:tentative="0">
      <w:start w:val="0"/>
      <w:numFmt w:val="bullet"/>
      <w:lvlText w:val="•"/>
      <w:lvlJc w:val="left"/>
      <w:pPr>
        <w:ind w:left="5033" w:hanging="529"/>
      </w:pPr>
      <w:rPr>
        <w:rFonts w:hint="default"/>
        <w:lang w:val="en-US" w:eastAsia="zh-CN" w:bidi="ar-SA"/>
      </w:rPr>
    </w:lvl>
  </w:abstractNum>
  <w:abstractNum w:abstractNumId="14">
    <w:nsid w:val="9C11E984"/>
    <w:multiLevelType w:val="multilevel"/>
    <w:tmpl w:val="9C11E984"/>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5">
    <w:nsid w:val="9C7198AA"/>
    <w:multiLevelType w:val="multilevel"/>
    <w:tmpl w:val="9C7198AA"/>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16">
    <w:nsid w:val="9C8AC8EF"/>
    <w:multiLevelType w:val="multilevel"/>
    <w:tmpl w:val="9C8AC8EF"/>
    <w:lvl w:ilvl="0" w:tentative="0">
      <w:start w:val="1"/>
      <w:numFmt w:val="decimal"/>
      <w:lvlText w:val="（%1）"/>
      <w:lvlJc w:val="left"/>
      <w:pPr>
        <w:ind w:left="795" w:hanging="63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385" w:hanging="634"/>
      </w:pPr>
      <w:rPr>
        <w:rFonts w:hint="default"/>
        <w:lang w:val="en-US" w:eastAsia="zh-CN" w:bidi="ar-SA"/>
      </w:rPr>
    </w:lvl>
    <w:lvl w:ilvl="2" w:tentative="0">
      <w:start w:val="0"/>
      <w:numFmt w:val="bullet"/>
      <w:lvlText w:val="•"/>
      <w:lvlJc w:val="left"/>
      <w:pPr>
        <w:ind w:left="1971" w:hanging="634"/>
      </w:pPr>
      <w:rPr>
        <w:rFonts w:hint="default"/>
        <w:lang w:val="en-US" w:eastAsia="zh-CN" w:bidi="ar-SA"/>
      </w:rPr>
    </w:lvl>
    <w:lvl w:ilvl="3" w:tentative="0">
      <w:start w:val="0"/>
      <w:numFmt w:val="bullet"/>
      <w:lvlText w:val="•"/>
      <w:lvlJc w:val="left"/>
      <w:pPr>
        <w:ind w:left="2557" w:hanging="634"/>
      </w:pPr>
      <w:rPr>
        <w:rFonts w:hint="default"/>
        <w:lang w:val="en-US" w:eastAsia="zh-CN" w:bidi="ar-SA"/>
      </w:rPr>
    </w:lvl>
    <w:lvl w:ilvl="4" w:tentative="0">
      <w:start w:val="0"/>
      <w:numFmt w:val="bullet"/>
      <w:lvlText w:val="•"/>
      <w:lvlJc w:val="left"/>
      <w:pPr>
        <w:ind w:left="3143" w:hanging="634"/>
      </w:pPr>
      <w:rPr>
        <w:rFonts w:hint="default"/>
        <w:lang w:val="en-US" w:eastAsia="zh-CN" w:bidi="ar-SA"/>
      </w:rPr>
    </w:lvl>
    <w:lvl w:ilvl="5" w:tentative="0">
      <w:start w:val="0"/>
      <w:numFmt w:val="bullet"/>
      <w:lvlText w:val="•"/>
      <w:lvlJc w:val="left"/>
      <w:pPr>
        <w:ind w:left="3729" w:hanging="634"/>
      </w:pPr>
      <w:rPr>
        <w:rFonts w:hint="default"/>
        <w:lang w:val="en-US" w:eastAsia="zh-CN" w:bidi="ar-SA"/>
      </w:rPr>
    </w:lvl>
    <w:lvl w:ilvl="6" w:tentative="0">
      <w:start w:val="0"/>
      <w:numFmt w:val="bullet"/>
      <w:lvlText w:val="•"/>
      <w:lvlJc w:val="left"/>
      <w:pPr>
        <w:ind w:left="4315" w:hanging="634"/>
      </w:pPr>
      <w:rPr>
        <w:rFonts w:hint="default"/>
        <w:lang w:val="en-US" w:eastAsia="zh-CN" w:bidi="ar-SA"/>
      </w:rPr>
    </w:lvl>
    <w:lvl w:ilvl="7" w:tentative="0">
      <w:start w:val="0"/>
      <w:numFmt w:val="bullet"/>
      <w:lvlText w:val="•"/>
      <w:lvlJc w:val="left"/>
      <w:pPr>
        <w:ind w:left="4901" w:hanging="634"/>
      </w:pPr>
      <w:rPr>
        <w:rFonts w:hint="default"/>
        <w:lang w:val="en-US" w:eastAsia="zh-CN" w:bidi="ar-SA"/>
      </w:rPr>
    </w:lvl>
    <w:lvl w:ilvl="8" w:tentative="0">
      <w:start w:val="0"/>
      <w:numFmt w:val="bullet"/>
      <w:lvlText w:val="•"/>
      <w:lvlJc w:val="left"/>
      <w:pPr>
        <w:ind w:left="5486" w:hanging="634"/>
      </w:pPr>
      <w:rPr>
        <w:rFonts w:hint="default"/>
        <w:lang w:val="en-US" w:eastAsia="zh-CN" w:bidi="ar-SA"/>
      </w:rPr>
    </w:lvl>
  </w:abstractNum>
  <w:abstractNum w:abstractNumId="17">
    <w:nsid w:val="9D5D7490"/>
    <w:multiLevelType w:val="multilevel"/>
    <w:tmpl w:val="9D5D7490"/>
    <w:lvl w:ilvl="0" w:tentative="0">
      <w:start w:val="1"/>
      <w:numFmt w:val="decimal"/>
      <w:lvlText w:val="（%1）"/>
      <w:lvlJc w:val="left"/>
      <w:pPr>
        <w:ind w:left="709" w:hanging="548"/>
        <w:jc w:val="left"/>
      </w:pPr>
      <w:rPr>
        <w:rFonts w:hint="default" w:ascii="宋体" w:hAnsi="宋体" w:eastAsia="宋体" w:cs="宋体"/>
        <w:b w:val="0"/>
        <w:bCs w:val="0"/>
        <w:i w:val="0"/>
        <w:iCs w:val="0"/>
        <w:spacing w:val="4"/>
        <w:w w:val="100"/>
        <w:sz w:val="19"/>
        <w:szCs w:val="19"/>
        <w:lang w:val="en-US" w:eastAsia="zh-CN" w:bidi="ar-SA"/>
      </w:rPr>
    </w:lvl>
    <w:lvl w:ilvl="1" w:tentative="0">
      <w:start w:val="0"/>
      <w:numFmt w:val="bullet"/>
      <w:lvlText w:val="•"/>
      <w:lvlJc w:val="left"/>
      <w:pPr>
        <w:ind w:left="1295" w:hanging="548"/>
      </w:pPr>
      <w:rPr>
        <w:rFonts w:hint="default"/>
        <w:lang w:val="en-US" w:eastAsia="zh-CN" w:bidi="ar-SA"/>
      </w:rPr>
    </w:lvl>
    <w:lvl w:ilvl="2" w:tentative="0">
      <w:start w:val="0"/>
      <w:numFmt w:val="bullet"/>
      <w:lvlText w:val="•"/>
      <w:lvlJc w:val="left"/>
      <w:pPr>
        <w:ind w:left="1891" w:hanging="548"/>
      </w:pPr>
      <w:rPr>
        <w:rFonts w:hint="default"/>
        <w:lang w:val="en-US" w:eastAsia="zh-CN" w:bidi="ar-SA"/>
      </w:rPr>
    </w:lvl>
    <w:lvl w:ilvl="3" w:tentative="0">
      <w:start w:val="0"/>
      <w:numFmt w:val="bullet"/>
      <w:lvlText w:val="•"/>
      <w:lvlJc w:val="left"/>
      <w:pPr>
        <w:ind w:left="2487" w:hanging="548"/>
      </w:pPr>
      <w:rPr>
        <w:rFonts w:hint="default"/>
        <w:lang w:val="en-US" w:eastAsia="zh-CN" w:bidi="ar-SA"/>
      </w:rPr>
    </w:lvl>
    <w:lvl w:ilvl="4" w:tentative="0">
      <w:start w:val="0"/>
      <w:numFmt w:val="bullet"/>
      <w:lvlText w:val="•"/>
      <w:lvlJc w:val="left"/>
      <w:pPr>
        <w:ind w:left="3083" w:hanging="548"/>
      </w:pPr>
      <w:rPr>
        <w:rFonts w:hint="default"/>
        <w:lang w:val="en-US" w:eastAsia="zh-CN" w:bidi="ar-SA"/>
      </w:rPr>
    </w:lvl>
    <w:lvl w:ilvl="5" w:tentative="0">
      <w:start w:val="0"/>
      <w:numFmt w:val="bullet"/>
      <w:lvlText w:val="•"/>
      <w:lvlJc w:val="left"/>
      <w:pPr>
        <w:ind w:left="3679" w:hanging="548"/>
      </w:pPr>
      <w:rPr>
        <w:rFonts w:hint="default"/>
        <w:lang w:val="en-US" w:eastAsia="zh-CN" w:bidi="ar-SA"/>
      </w:rPr>
    </w:lvl>
    <w:lvl w:ilvl="6" w:tentative="0">
      <w:start w:val="0"/>
      <w:numFmt w:val="bullet"/>
      <w:lvlText w:val="•"/>
      <w:lvlJc w:val="left"/>
      <w:pPr>
        <w:ind w:left="4275" w:hanging="548"/>
      </w:pPr>
      <w:rPr>
        <w:rFonts w:hint="default"/>
        <w:lang w:val="en-US" w:eastAsia="zh-CN" w:bidi="ar-SA"/>
      </w:rPr>
    </w:lvl>
    <w:lvl w:ilvl="7" w:tentative="0">
      <w:start w:val="0"/>
      <w:numFmt w:val="bullet"/>
      <w:lvlText w:val="•"/>
      <w:lvlJc w:val="left"/>
      <w:pPr>
        <w:ind w:left="4871" w:hanging="548"/>
      </w:pPr>
      <w:rPr>
        <w:rFonts w:hint="default"/>
        <w:lang w:val="en-US" w:eastAsia="zh-CN" w:bidi="ar-SA"/>
      </w:rPr>
    </w:lvl>
    <w:lvl w:ilvl="8" w:tentative="0">
      <w:start w:val="0"/>
      <w:numFmt w:val="bullet"/>
      <w:lvlText w:val="•"/>
      <w:lvlJc w:val="left"/>
      <w:pPr>
        <w:ind w:left="5467" w:hanging="548"/>
      </w:pPr>
      <w:rPr>
        <w:rFonts w:hint="default"/>
        <w:lang w:val="en-US" w:eastAsia="zh-CN" w:bidi="ar-SA"/>
      </w:rPr>
    </w:lvl>
  </w:abstractNum>
  <w:abstractNum w:abstractNumId="18">
    <w:nsid w:val="9DFC6F65"/>
    <w:multiLevelType w:val="multilevel"/>
    <w:tmpl w:val="9DFC6F65"/>
    <w:lvl w:ilvl="0" w:tentative="0">
      <w:start w:val="1"/>
      <w:numFmt w:val="decimal"/>
      <w:lvlText w:val="（%1）"/>
      <w:lvlJc w:val="left"/>
      <w:pPr>
        <w:ind w:left="3836" w:hanging="529"/>
        <w:jc w:val="left"/>
      </w:pPr>
      <w:rPr>
        <w:rFonts w:hint="default" w:ascii="宋体" w:hAnsi="宋体" w:eastAsia="宋体" w:cs="宋体"/>
        <w:b w:val="0"/>
        <w:bCs w:val="0"/>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9">
    <w:nsid w:val="9F81B9F9"/>
    <w:multiLevelType w:val="multilevel"/>
    <w:tmpl w:val="9F81B9F9"/>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20">
    <w:nsid w:val="A0C93552"/>
    <w:multiLevelType w:val="multilevel"/>
    <w:tmpl w:val="A0C93552"/>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21">
    <w:nsid w:val="A0F05207"/>
    <w:multiLevelType w:val="multilevel"/>
    <w:tmpl w:val="A0F05207"/>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22">
    <w:nsid w:val="A9AC3AA7"/>
    <w:multiLevelType w:val="multilevel"/>
    <w:tmpl w:val="A9AC3AA7"/>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23">
    <w:nsid w:val="AAF3F3FA"/>
    <w:multiLevelType w:val="multilevel"/>
    <w:tmpl w:val="AAF3F3FA"/>
    <w:lvl w:ilvl="0" w:tentative="0">
      <w:start w:val="2"/>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3" w:hanging="529"/>
      </w:pPr>
      <w:rPr>
        <w:rFonts w:hint="default"/>
        <w:lang w:val="en-US" w:eastAsia="zh-CN" w:bidi="ar-SA"/>
      </w:rPr>
    </w:lvl>
    <w:lvl w:ilvl="2" w:tentative="0">
      <w:start w:val="0"/>
      <w:numFmt w:val="bullet"/>
      <w:lvlText w:val="•"/>
      <w:lvlJc w:val="left"/>
      <w:pPr>
        <w:ind w:left="1707" w:hanging="529"/>
      </w:pPr>
      <w:rPr>
        <w:rFonts w:hint="default"/>
        <w:lang w:val="en-US" w:eastAsia="zh-CN" w:bidi="ar-SA"/>
      </w:rPr>
    </w:lvl>
    <w:lvl w:ilvl="3" w:tentative="0">
      <w:start w:val="0"/>
      <w:numFmt w:val="bullet"/>
      <w:lvlText w:val="•"/>
      <w:lvlJc w:val="left"/>
      <w:pPr>
        <w:ind w:left="2251" w:hanging="529"/>
      </w:pPr>
      <w:rPr>
        <w:rFonts w:hint="default"/>
        <w:lang w:val="en-US" w:eastAsia="zh-CN" w:bidi="ar-SA"/>
      </w:rPr>
    </w:lvl>
    <w:lvl w:ilvl="4" w:tentative="0">
      <w:start w:val="0"/>
      <w:numFmt w:val="bullet"/>
      <w:lvlText w:val="•"/>
      <w:lvlJc w:val="left"/>
      <w:pPr>
        <w:ind w:left="2795" w:hanging="529"/>
      </w:pPr>
      <w:rPr>
        <w:rFonts w:hint="default"/>
        <w:lang w:val="en-US" w:eastAsia="zh-CN" w:bidi="ar-SA"/>
      </w:rPr>
    </w:lvl>
    <w:lvl w:ilvl="5" w:tentative="0">
      <w:start w:val="0"/>
      <w:numFmt w:val="bullet"/>
      <w:lvlText w:val="•"/>
      <w:lvlJc w:val="left"/>
      <w:pPr>
        <w:ind w:left="3339" w:hanging="529"/>
      </w:pPr>
      <w:rPr>
        <w:rFonts w:hint="default"/>
        <w:lang w:val="en-US" w:eastAsia="zh-CN" w:bidi="ar-SA"/>
      </w:rPr>
    </w:lvl>
    <w:lvl w:ilvl="6" w:tentative="0">
      <w:start w:val="0"/>
      <w:numFmt w:val="bullet"/>
      <w:lvlText w:val="•"/>
      <w:lvlJc w:val="left"/>
      <w:pPr>
        <w:ind w:left="3882" w:hanging="529"/>
      </w:pPr>
      <w:rPr>
        <w:rFonts w:hint="default"/>
        <w:lang w:val="en-US" w:eastAsia="zh-CN" w:bidi="ar-SA"/>
      </w:rPr>
    </w:lvl>
    <w:lvl w:ilvl="7" w:tentative="0">
      <w:start w:val="0"/>
      <w:numFmt w:val="bullet"/>
      <w:lvlText w:val="•"/>
      <w:lvlJc w:val="left"/>
      <w:pPr>
        <w:ind w:left="4426" w:hanging="529"/>
      </w:pPr>
      <w:rPr>
        <w:rFonts w:hint="default"/>
        <w:lang w:val="en-US" w:eastAsia="zh-CN" w:bidi="ar-SA"/>
      </w:rPr>
    </w:lvl>
    <w:lvl w:ilvl="8" w:tentative="0">
      <w:start w:val="0"/>
      <w:numFmt w:val="bullet"/>
      <w:lvlText w:val="•"/>
      <w:lvlJc w:val="left"/>
      <w:pPr>
        <w:ind w:left="4970" w:hanging="529"/>
      </w:pPr>
      <w:rPr>
        <w:rFonts w:hint="default"/>
        <w:lang w:val="en-US" w:eastAsia="zh-CN" w:bidi="ar-SA"/>
      </w:rPr>
    </w:lvl>
  </w:abstractNum>
  <w:abstractNum w:abstractNumId="24">
    <w:nsid w:val="B0ED9BEA"/>
    <w:multiLevelType w:val="multilevel"/>
    <w:tmpl w:val="B0ED9BEA"/>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0" w:hanging="529"/>
      </w:pPr>
      <w:rPr>
        <w:rFonts w:hint="default"/>
        <w:lang w:val="en-US" w:eastAsia="zh-CN" w:bidi="ar-SA"/>
      </w:rPr>
    </w:lvl>
    <w:lvl w:ilvl="2" w:tentative="0">
      <w:start w:val="0"/>
      <w:numFmt w:val="bullet"/>
      <w:lvlText w:val="•"/>
      <w:lvlJc w:val="left"/>
      <w:pPr>
        <w:ind w:left="1701" w:hanging="529"/>
      </w:pPr>
      <w:rPr>
        <w:rFonts w:hint="default"/>
        <w:lang w:val="en-US" w:eastAsia="zh-CN" w:bidi="ar-SA"/>
      </w:rPr>
    </w:lvl>
    <w:lvl w:ilvl="3" w:tentative="0">
      <w:start w:val="0"/>
      <w:numFmt w:val="bullet"/>
      <w:lvlText w:val="•"/>
      <w:lvlJc w:val="left"/>
      <w:pPr>
        <w:ind w:left="2242" w:hanging="529"/>
      </w:pPr>
      <w:rPr>
        <w:rFonts w:hint="default"/>
        <w:lang w:val="en-US" w:eastAsia="zh-CN" w:bidi="ar-SA"/>
      </w:rPr>
    </w:lvl>
    <w:lvl w:ilvl="4" w:tentative="0">
      <w:start w:val="0"/>
      <w:numFmt w:val="bullet"/>
      <w:lvlText w:val="•"/>
      <w:lvlJc w:val="left"/>
      <w:pPr>
        <w:ind w:left="2783" w:hanging="529"/>
      </w:pPr>
      <w:rPr>
        <w:rFonts w:hint="default"/>
        <w:lang w:val="en-US" w:eastAsia="zh-CN" w:bidi="ar-SA"/>
      </w:rPr>
    </w:lvl>
    <w:lvl w:ilvl="5" w:tentative="0">
      <w:start w:val="0"/>
      <w:numFmt w:val="bullet"/>
      <w:lvlText w:val="•"/>
      <w:lvlJc w:val="left"/>
      <w:pPr>
        <w:ind w:left="3324" w:hanging="529"/>
      </w:pPr>
      <w:rPr>
        <w:rFonts w:hint="default"/>
        <w:lang w:val="en-US" w:eastAsia="zh-CN" w:bidi="ar-SA"/>
      </w:rPr>
    </w:lvl>
    <w:lvl w:ilvl="6" w:tentative="0">
      <w:start w:val="0"/>
      <w:numFmt w:val="bullet"/>
      <w:lvlText w:val="•"/>
      <w:lvlJc w:val="left"/>
      <w:pPr>
        <w:ind w:left="3864" w:hanging="529"/>
      </w:pPr>
      <w:rPr>
        <w:rFonts w:hint="default"/>
        <w:lang w:val="en-US" w:eastAsia="zh-CN" w:bidi="ar-SA"/>
      </w:rPr>
    </w:lvl>
    <w:lvl w:ilvl="7" w:tentative="0">
      <w:start w:val="0"/>
      <w:numFmt w:val="bullet"/>
      <w:lvlText w:val="•"/>
      <w:lvlJc w:val="left"/>
      <w:pPr>
        <w:ind w:left="4405" w:hanging="529"/>
      </w:pPr>
      <w:rPr>
        <w:rFonts w:hint="default"/>
        <w:lang w:val="en-US" w:eastAsia="zh-CN" w:bidi="ar-SA"/>
      </w:rPr>
    </w:lvl>
    <w:lvl w:ilvl="8" w:tentative="0">
      <w:start w:val="0"/>
      <w:numFmt w:val="bullet"/>
      <w:lvlText w:val="•"/>
      <w:lvlJc w:val="left"/>
      <w:pPr>
        <w:ind w:left="4946" w:hanging="529"/>
      </w:pPr>
      <w:rPr>
        <w:rFonts w:hint="default"/>
        <w:lang w:val="en-US" w:eastAsia="zh-CN" w:bidi="ar-SA"/>
      </w:rPr>
    </w:lvl>
  </w:abstractNum>
  <w:abstractNum w:abstractNumId="25">
    <w:nsid w:val="B0F1ACD9"/>
    <w:multiLevelType w:val="multilevel"/>
    <w:tmpl w:val="B0F1ACD9"/>
    <w:lvl w:ilvl="0" w:tentative="0">
      <w:start w:val="1"/>
      <w:numFmt w:val="decimal"/>
      <w:lvlText w:val="（%1）"/>
      <w:lvlJc w:val="left"/>
      <w:pPr>
        <w:ind w:left="63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8" w:hanging="529"/>
      </w:pPr>
      <w:rPr>
        <w:rFonts w:hint="default"/>
        <w:lang w:val="en-US" w:eastAsia="zh-CN" w:bidi="ar-SA"/>
      </w:rPr>
    </w:lvl>
    <w:lvl w:ilvl="2" w:tentative="0">
      <w:start w:val="0"/>
      <w:numFmt w:val="bullet"/>
      <w:lvlText w:val="•"/>
      <w:lvlJc w:val="left"/>
      <w:pPr>
        <w:ind w:left="1717" w:hanging="529"/>
      </w:pPr>
      <w:rPr>
        <w:rFonts w:hint="default"/>
        <w:lang w:val="en-US" w:eastAsia="zh-CN" w:bidi="ar-SA"/>
      </w:rPr>
    </w:lvl>
    <w:lvl w:ilvl="3" w:tentative="0">
      <w:start w:val="0"/>
      <w:numFmt w:val="bullet"/>
      <w:lvlText w:val="•"/>
      <w:lvlJc w:val="left"/>
      <w:pPr>
        <w:ind w:left="2255" w:hanging="529"/>
      </w:pPr>
      <w:rPr>
        <w:rFonts w:hint="default"/>
        <w:lang w:val="en-US" w:eastAsia="zh-CN" w:bidi="ar-SA"/>
      </w:rPr>
    </w:lvl>
    <w:lvl w:ilvl="4" w:tentative="0">
      <w:start w:val="0"/>
      <w:numFmt w:val="bullet"/>
      <w:lvlText w:val="•"/>
      <w:lvlJc w:val="left"/>
      <w:pPr>
        <w:ind w:left="2794" w:hanging="529"/>
      </w:pPr>
      <w:rPr>
        <w:rFonts w:hint="default"/>
        <w:lang w:val="en-US" w:eastAsia="zh-CN" w:bidi="ar-SA"/>
      </w:rPr>
    </w:lvl>
    <w:lvl w:ilvl="5" w:tentative="0">
      <w:start w:val="0"/>
      <w:numFmt w:val="bullet"/>
      <w:lvlText w:val="•"/>
      <w:lvlJc w:val="left"/>
      <w:pPr>
        <w:ind w:left="3333" w:hanging="529"/>
      </w:pPr>
      <w:rPr>
        <w:rFonts w:hint="default"/>
        <w:lang w:val="en-US" w:eastAsia="zh-CN" w:bidi="ar-SA"/>
      </w:rPr>
    </w:lvl>
    <w:lvl w:ilvl="6" w:tentative="0">
      <w:start w:val="0"/>
      <w:numFmt w:val="bullet"/>
      <w:lvlText w:val="•"/>
      <w:lvlJc w:val="left"/>
      <w:pPr>
        <w:ind w:left="3871" w:hanging="529"/>
      </w:pPr>
      <w:rPr>
        <w:rFonts w:hint="default"/>
        <w:lang w:val="en-US" w:eastAsia="zh-CN" w:bidi="ar-SA"/>
      </w:rPr>
    </w:lvl>
    <w:lvl w:ilvl="7" w:tentative="0">
      <w:start w:val="0"/>
      <w:numFmt w:val="bullet"/>
      <w:lvlText w:val="•"/>
      <w:lvlJc w:val="left"/>
      <w:pPr>
        <w:ind w:left="4410" w:hanging="529"/>
      </w:pPr>
      <w:rPr>
        <w:rFonts w:hint="default"/>
        <w:lang w:val="en-US" w:eastAsia="zh-CN" w:bidi="ar-SA"/>
      </w:rPr>
    </w:lvl>
    <w:lvl w:ilvl="8" w:tentative="0">
      <w:start w:val="0"/>
      <w:numFmt w:val="bullet"/>
      <w:lvlText w:val="•"/>
      <w:lvlJc w:val="left"/>
      <w:pPr>
        <w:ind w:left="4948" w:hanging="529"/>
      </w:pPr>
      <w:rPr>
        <w:rFonts w:hint="default"/>
        <w:lang w:val="en-US" w:eastAsia="zh-CN" w:bidi="ar-SA"/>
      </w:rPr>
    </w:lvl>
  </w:abstractNum>
  <w:abstractNum w:abstractNumId="26">
    <w:nsid w:val="B23A94A9"/>
    <w:multiLevelType w:val="multilevel"/>
    <w:tmpl w:val="B23A94A9"/>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27">
    <w:nsid w:val="B53F3350"/>
    <w:multiLevelType w:val="multilevel"/>
    <w:tmpl w:val="B53F3350"/>
    <w:lvl w:ilvl="0" w:tentative="0">
      <w:start w:val="1"/>
      <w:numFmt w:val="decimal"/>
      <w:lvlText w:val="（%1）"/>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36" w:hanging="539"/>
      </w:pPr>
      <w:rPr>
        <w:rFonts w:hint="default"/>
        <w:lang w:val="en-US" w:eastAsia="zh-CN" w:bidi="ar-SA"/>
      </w:rPr>
    </w:lvl>
    <w:lvl w:ilvl="2" w:tentative="0">
      <w:start w:val="0"/>
      <w:numFmt w:val="bullet"/>
      <w:lvlText w:val="•"/>
      <w:lvlJc w:val="left"/>
      <w:pPr>
        <w:ind w:left="5032" w:hanging="539"/>
      </w:pPr>
      <w:rPr>
        <w:rFonts w:hint="default"/>
        <w:lang w:val="en-US" w:eastAsia="zh-CN" w:bidi="ar-SA"/>
      </w:rPr>
    </w:lvl>
    <w:lvl w:ilvl="3" w:tentative="0">
      <w:start w:val="0"/>
      <w:numFmt w:val="bullet"/>
      <w:lvlText w:val="•"/>
      <w:lvlJc w:val="left"/>
      <w:pPr>
        <w:ind w:left="5629" w:hanging="539"/>
      </w:pPr>
      <w:rPr>
        <w:rFonts w:hint="default"/>
        <w:lang w:val="en-US" w:eastAsia="zh-CN" w:bidi="ar-SA"/>
      </w:rPr>
    </w:lvl>
    <w:lvl w:ilvl="4" w:tentative="0">
      <w:start w:val="0"/>
      <w:numFmt w:val="bullet"/>
      <w:lvlText w:val="•"/>
      <w:lvlJc w:val="left"/>
      <w:pPr>
        <w:ind w:left="6225" w:hanging="539"/>
      </w:pPr>
      <w:rPr>
        <w:rFonts w:hint="default"/>
        <w:lang w:val="en-US" w:eastAsia="zh-CN" w:bidi="ar-SA"/>
      </w:rPr>
    </w:lvl>
    <w:lvl w:ilvl="5" w:tentative="0">
      <w:start w:val="0"/>
      <w:numFmt w:val="bullet"/>
      <w:lvlText w:val="•"/>
      <w:lvlJc w:val="left"/>
      <w:pPr>
        <w:ind w:left="6822" w:hanging="539"/>
      </w:pPr>
      <w:rPr>
        <w:rFonts w:hint="default"/>
        <w:lang w:val="en-US" w:eastAsia="zh-CN" w:bidi="ar-SA"/>
      </w:rPr>
    </w:lvl>
    <w:lvl w:ilvl="6" w:tentative="0">
      <w:start w:val="0"/>
      <w:numFmt w:val="bullet"/>
      <w:lvlText w:val="•"/>
      <w:lvlJc w:val="left"/>
      <w:pPr>
        <w:ind w:left="7418" w:hanging="539"/>
      </w:pPr>
      <w:rPr>
        <w:rFonts w:hint="default"/>
        <w:lang w:val="en-US" w:eastAsia="zh-CN" w:bidi="ar-SA"/>
      </w:rPr>
    </w:lvl>
    <w:lvl w:ilvl="7" w:tentative="0">
      <w:start w:val="0"/>
      <w:numFmt w:val="bullet"/>
      <w:lvlText w:val="•"/>
      <w:lvlJc w:val="left"/>
      <w:pPr>
        <w:ind w:left="8014" w:hanging="539"/>
      </w:pPr>
      <w:rPr>
        <w:rFonts w:hint="default"/>
        <w:lang w:val="en-US" w:eastAsia="zh-CN" w:bidi="ar-SA"/>
      </w:rPr>
    </w:lvl>
    <w:lvl w:ilvl="8" w:tentative="0">
      <w:start w:val="0"/>
      <w:numFmt w:val="bullet"/>
      <w:lvlText w:val="•"/>
      <w:lvlJc w:val="left"/>
      <w:pPr>
        <w:ind w:left="8611" w:hanging="539"/>
      </w:pPr>
      <w:rPr>
        <w:rFonts w:hint="default"/>
        <w:lang w:val="en-US" w:eastAsia="zh-CN" w:bidi="ar-SA"/>
      </w:rPr>
    </w:lvl>
  </w:abstractNum>
  <w:abstractNum w:abstractNumId="28">
    <w:nsid w:val="B5E306ED"/>
    <w:multiLevelType w:val="multilevel"/>
    <w:tmpl w:val="B5E306ED"/>
    <w:lvl w:ilvl="0" w:tentative="0">
      <w:start w:val="0"/>
      <w:numFmt w:val="bullet"/>
      <w:lvlText w:val=""/>
      <w:lvlJc w:val="left"/>
      <w:pPr>
        <w:ind w:left="736"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600" w:hanging="264"/>
      </w:pPr>
      <w:rPr>
        <w:rFonts w:hint="default"/>
        <w:lang w:val="en-US" w:eastAsia="zh-CN" w:bidi="ar-SA"/>
      </w:rPr>
    </w:lvl>
    <w:lvl w:ilvl="2" w:tentative="0">
      <w:start w:val="0"/>
      <w:numFmt w:val="bullet"/>
      <w:lvlText w:val="•"/>
      <w:lvlJc w:val="left"/>
      <w:pPr>
        <w:ind w:left="2460" w:hanging="264"/>
      </w:pPr>
      <w:rPr>
        <w:rFonts w:hint="default"/>
        <w:lang w:val="en-US" w:eastAsia="zh-CN" w:bidi="ar-SA"/>
      </w:rPr>
    </w:lvl>
    <w:lvl w:ilvl="3" w:tentative="0">
      <w:start w:val="0"/>
      <w:numFmt w:val="bullet"/>
      <w:lvlText w:val="•"/>
      <w:lvlJc w:val="left"/>
      <w:pPr>
        <w:ind w:left="3321" w:hanging="264"/>
      </w:pPr>
      <w:rPr>
        <w:rFonts w:hint="default"/>
        <w:lang w:val="en-US" w:eastAsia="zh-CN" w:bidi="ar-SA"/>
      </w:rPr>
    </w:lvl>
    <w:lvl w:ilvl="4" w:tentative="0">
      <w:start w:val="0"/>
      <w:numFmt w:val="bullet"/>
      <w:lvlText w:val="•"/>
      <w:lvlJc w:val="left"/>
      <w:pPr>
        <w:ind w:left="4181" w:hanging="264"/>
      </w:pPr>
      <w:rPr>
        <w:rFonts w:hint="default"/>
        <w:lang w:val="en-US" w:eastAsia="zh-CN" w:bidi="ar-SA"/>
      </w:rPr>
    </w:lvl>
    <w:lvl w:ilvl="5" w:tentative="0">
      <w:start w:val="0"/>
      <w:numFmt w:val="bullet"/>
      <w:lvlText w:val="•"/>
      <w:lvlJc w:val="left"/>
      <w:pPr>
        <w:ind w:left="5042" w:hanging="264"/>
      </w:pPr>
      <w:rPr>
        <w:rFonts w:hint="default"/>
        <w:lang w:val="en-US" w:eastAsia="zh-CN" w:bidi="ar-SA"/>
      </w:rPr>
    </w:lvl>
    <w:lvl w:ilvl="6" w:tentative="0">
      <w:start w:val="0"/>
      <w:numFmt w:val="bullet"/>
      <w:lvlText w:val="•"/>
      <w:lvlJc w:val="left"/>
      <w:pPr>
        <w:ind w:left="5902" w:hanging="264"/>
      </w:pPr>
      <w:rPr>
        <w:rFonts w:hint="default"/>
        <w:lang w:val="en-US" w:eastAsia="zh-CN" w:bidi="ar-SA"/>
      </w:rPr>
    </w:lvl>
    <w:lvl w:ilvl="7" w:tentative="0">
      <w:start w:val="0"/>
      <w:numFmt w:val="bullet"/>
      <w:lvlText w:val="•"/>
      <w:lvlJc w:val="left"/>
      <w:pPr>
        <w:ind w:left="6762" w:hanging="264"/>
      </w:pPr>
      <w:rPr>
        <w:rFonts w:hint="default"/>
        <w:lang w:val="en-US" w:eastAsia="zh-CN" w:bidi="ar-SA"/>
      </w:rPr>
    </w:lvl>
    <w:lvl w:ilvl="8" w:tentative="0">
      <w:start w:val="0"/>
      <w:numFmt w:val="bullet"/>
      <w:lvlText w:val="•"/>
      <w:lvlJc w:val="left"/>
      <w:pPr>
        <w:ind w:left="7623" w:hanging="264"/>
      </w:pPr>
      <w:rPr>
        <w:rFonts w:hint="default"/>
        <w:lang w:val="en-US" w:eastAsia="zh-CN" w:bidi="ar-SA"/>
      </w:rPr>
    </w:lvl>
  </w:abstractNum>
  <w:abstractNum w:abstractNumId="29">
    <w:nsid w:val="B88D21A8"/>
    <w:multiLevelType w:val="multilevel"/>
    <w:tmpl w:val="B88D21A8"/>
    <w:lvl w:ilvl="0" w:tentative="0">
      <w:start w:val="10"/>
      <w:numFmt w:val="decimal"/>
      <w:lvlText w:val="%1"/>
      <w:lvlJc w:val="left"/>
      <w:pPr>
        <w:ind w:left="1338" w:hanging="1004"/>
        <w:jc w:val="left"/>
      </w:pPr>
      <w:rPr>
        <w:rFonts w:hint="default"/>
        <w:lang w:val="en-US" w:eastAsia="zh-CN" w:bidi="ar-SA"/>
      </w:rPr>
    </w:lvl>
    <w:lvl w:ilvl="1" w:tentative="0">
      <w:start w:val="46"/>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1"/>
      <w:numFmt w:val="decimal"/>
      <w:lvlText w:val="（%3）"/>
      <w:lvlJc w:val="left"/>
      <w:pPr>
        <w:ind w:left="3846" w:hanging="539"/>
        <w:jc w:val="left"/>
      </w:pPr>
      <w:rPr>
        <w:rFonts w:hint="default" w:ascii="宋体" w:hAnsi="宋体" w:eastAsia="宋体" w:cs="宋体"/>
        <w:b w:val="0"/>
        <w:bCs w:val="0"/>
        <w:i w:val="0"/>
        <w:iCs w:val="0"/>
        <w:spacing w:val="0"/>
        <w:w w:val="100"/>
        <w:sz w:val="19"/>
        <w:szCs w:val="19"/>
        <w:lang w:val="en-US" w:eastAsia="zh-CN" w:bidi="ar-SA"/>
      </w:rPr>
    </w:lvl>
    <w:lvl w:ilvl="3" w:tentative="0">
      <w:start w:val="0"/>
      <w:numFmt w:val="bullet"/>
      <w:lvlText w:val="•"/>
      <w:lvlJc w:val="left"/>
      <w:pPr>
        <w:ind w:left="3676" w:hanging="539"/>
      </w:pPr>
      <w:rPr>
        <w:rFonts w:hint="default"/>
        <w:lang w:val="en-US" w:eastAsia="zh-CN" w:bidi="ar-SA"/>
      </w:rPr>
    </w:lvl>
    <w:lvl w:ilvl="4" w:tentative="0">
      <w:start w:val="0"/>
      <w:numFmt w:val="bullet"/>
      <w:lvlText w:val="•"/>
      <w:lvlJc w:val="left"/>
      <w:pPr>
        <w:ind w:left="3595" w:hanging="539"/>
      </w:pPr>
      <w:rPr>
        <w:rFonts w:hint="default"/>
        <w:lang w:val="en-US" w:eastAsia="zh-CN" w:bidi="ar-SA"/>
      </w:rPr>
    </w:lvl>
    <w:lvl w:ilvl="5" w:tentative="0">
      <w:start w:val="0"/>
      <w:numFmt w:val="bullet"/>
      <w:lvlText w:val="•"/>
      <w:lvlJc w:val="left"/>
      <w:pPr>
        <w:ind w:left="3513" w:hanging="539"/>
      </w:pPr>
      <w:rPr>
        <w:rFonts w:hint="default"/>
        <w:lang w:val="en-US" w:eastAsia="zh-CN" w:bidi="ar-SA"/>
      </w:rPr>
    </w:lvl>
    <w:lvl w:ilvl="6" w:tentative="0">
      <w:start w:val="0"/>
      <w:numFmt w:val="bullet"/>
      <w:lvlText w:val="•"/>
      <w:lvlJc w:val="left"/>
      <w:pPr>
        <w:ind w:left="3431" w:hanging="539"/>
      </w:pPr>
      <w:rPr>
        <w:rFonts w:hint="default"/>
        <w:lang w:val="en-US" w:eastAsia="zh-CN" w:bidi="ar-SA"/>
      </w:rPr>
    </w:lvl>
    <w:lvl w:ilvl="7" w:tentative="0">
      <w:start w:val="0"/>
      <w:numFmt w:val="bullet"/>
      <w:lvlText w:val="•"/>
      <w:lvlJc w:val="left"/>
      <w:pPr>
        <w:ind w:left="3350" w:hanging="539"/>
      </w:pPr>
      <w:rPr>
        <w:rFonts w:hint="default"/>
        <w:lang w:val="en-US" w:eastAsia="zh-CN" w:bidi="ar-SA"/>
      </w:rPr>
    </w:lvl>
    <w:lvl w:ilvl="8" w:tentative="0">
      <w:start w:val="0"/>
      <w:numFmt w:val="bullet"/>
      <w:lvlText w:val="•"/>
      <w:lvlJc w:val="left"/>
      <w:pPr>
        <w:ind w:left="3268" w:hanging="539"/>
      </w:pPr>
      <w:rPr>
        <w:rFonts w:hint="default"/>
        <w:lang w:val="en-US" w:eastAsia="zh-CN" w:bidi="ar-SA"/>
      </w:rPr>
    </w:lvl>
  </w:abstractNum>
  <w:abstractNum w:abstractNumId="30">
    <w:nsid w:val="B8CEF35B"/>
    <w:multiLevelType w:val="multilevel"/>
    <w:tmpl w:val="B8CEF35B"/>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31">
    <w:nsid w:val="BB64CFA9"/>
    <w:multiLevelType w:val="multilevel"/>
    <w:tmpl w:val="BB64CFA9"/>
    <w:lvl w:ilvl="0" w:tentative="0">
      <w:start w:val="1"/>
      <w:numFmt w:val="decimal"/>
      <w:lvlText w:val="（%1）"/>
      <w:lvlJc w:val="left"/>
      <w:pPr>
        <w:ind w:left="691" w:hanging="529"/>
        <w:jc w:val="left"/>
      </w:pPr>
      <w:rPr>
        <w:rFonts w:hint="default" w:ascii="宋体" w:hAnsi="宋体" w:eastAsia="宋体" w:cs="宋体"/>
        <w:b w:val="0"/>
        <w:bCs w:val="0"/>
        <w:i w:val="0"/>
        <w:iCs w:val="0"/>
        <w:spacing w:val="-1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32">
    <w:nsid w:val="BCECA0B4"/>
    <w:multiLevelType w:val="multilevel"/>
    <w:tmpl w:val="BCECA0B4"/>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0" w:hanging="529"/>
      </w:pPr>
      <w:rPr>
        <w:rFonts w:hint="default"/>
        <w:lang w:val="en-US" w:eastAsia="zh-CN" w:bidi="ar-SA"/>
      </w:rPr>
    </w:lvl>
    <w:lvl w:ilvl="2" w:tentative="0">
      <w:start w:val="0"/>
      <w:numFmt w:val="bullet"/>
      <w:lvlText w:val="•"/>
      <w:lvlJc w:val="left"/>
      <w:pPr>
        <w:ind w:left="1720" w:hanging="529"/>
      </w:pPr>
      <w:rPr>
        <w:rFonts w:hint="default"/>
        <w:lang w:val="en-US" w:eastAsia="zh-CN" w:bidi="ar-SA"/>
      </w:rPr>
    </w:lvl>
    <w:lvl w:ilvl="3" w:tentative="0">
      <w:start w:val="0"/>
      <w:numFmt w:val="bullet"/>
      <w:lvlText w:val="•"/>
      <w:lvlJc w:val="left"/>
      <w:pPr>
        <w:ind w:left="2270" w:hanging="529"/>
      </w:pPr>
      <w:rPr>
        <w:rFonts w:hint="default"/>
        <w:lang w:val="en-US" w:eastAsia="zh-CN" w:bidi="ar-SA"/>
      </w:rPr>
    </w:lvl>
    <w:lvl w:ilvl="4" w:tentative="0">
      <w:start w:val="0"/>
      <w:numFmt w:val="bullet"/>
      <w:lvlText w:val="•"/>
      <w:lvlJc w:val="left"/>
      <w:pPr>
        <w:ind w:left="2820" w:hanging="529"/>
      </w:pPr>
      <w:rPr>
        <w:rFonts w:hint="default"/>
        <w:lang w:val="en-US" w:eastAsia="zh-CN" w:bidi="ar-SA"/>
      </w:rPr>
    </w:lvl>
    <w:lvl w:ilvl="5" w:tentative="0">
      <w:start w:val="0"/>
      <w:numFmt w:val="bullet"/>
      <w:lvlText w:val="•"/>
      <w:lvlJc w:val="left"/>
      <w:pPr>
        <w:ind w:left="3370" w:hanging="529"/>
      </w:pPr>
      <w:rPr>
        <w:rFonts w:hint="default"/>
        <w:lang w:val="en-US" w:eastAsia="zh-CN" w:bidi="ar-SA"/>
      </w:rPr>
    </w:lvl>
    <w:lvl w:ilvl="6" w:tentative="0">
      <w:start w:val="0"/>
      <w:numFmt w:val="bullet"/>
      <w:lvlText w:val="•"/>
      <w:lvlJc w:val="left"/>
      <w:pPr>
        <w:ind w:left="3920" w:hanging="529"/>
      </w:pPr>
      <w:rPr>
        <w:rFonts w:hint="default"/>
        <w:lang w:val="en-US" w:eastAsia="zh-CN" w:bidi="ar-SA"/>
      </w:rPr>
    </w:lvl>
    <w:lvl w:ilvl="7" w:tentative="0">
      <w:start w:val="0"/>
      <w:numFmt w:val="bullet"/>
      <w:lvlText w:val="•"/>
      <w:lvlJc w:val="left"/>
      <w:pPr>
        <w:ind w:left="4470" w:hanging="529"/>
      </w:pPr>
      <w:rPr>
        <w:rFonts w:hint="default"/>
        <w:lang w:val="en-US" w:eastAsia="zh-CN" w:bidi="ar-SA"/>
      </w:rPr>
    </w:lvl>
    <w:lvl w:ilvl="8" w:tentative="0">
      <w:start w:val="0"/>
      <w:numFmt w:val="bullet"/>
      <w:lvlText w:val="•"/>
      <w:lvlJc w:val="left"/>
      <w:pPr>
        <w:ind w:left="5020" w:hanging="529"/>
      </w:pPr>
      <w:rPr>
        <w:rFonts w:hint="default"/>
        <w:lang w:val="en-US" w:eastAsia="zh-CN" w:bidi="ar-SA"/>
      </w:rPr>
    </w:lvl>
  </w:abstractNum>
  <w:abstractNum w:abstractNumId="33">
    <w:nsid w:val="BDA1395C"/>
    <w:multiLevelType w:val="multilevel"/>
    <w:tmpl w:val="BDA1395C"/>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0" w:hanging="529"/>
      </w:pPr>
      <w:rPr>
        <w:rFonts w:hint="default"/>
        <w:lang w:val="en-US" w:eastAsia="zh-CN" w:bidi="ar-SA"/>
      </w:rPr>
    </w:lvl>
    <w:lvl w:ilvl="2" w:tentative="0">
      <w:start w:val="0"/>
      <w:numFmt w:val="bullet"/>
      <w:lvlText w:val="•"/>
      <w:lvlJc w:val="left"/>
      <w:pPr>
        <w:ind w:left="1701" w:hanging="529"/>
      </w:pPr>
      <w:rPr>
        <w:rFonts w:hint="default"/>
        <w:lang w:val="en-US" w:eastAsia="zh-CN" w:bidi="ar-SA"/>
      </w:rPr>
    </w:lvl>
    <w:lvl w:ilvl="3" w:tentative="0">
      <w:start w:val="0"/>
      <w:numFmt w:val="bullet"/>
      <w:lvlText w:val="•"/>
      <w:lvlJc w:val="left"/>
      <w:pPr>
        <w:ind w:left="2242" w:hanging="529"/>
      </w:pPr>
      <w:rPr>
        <w:rFonts w:hint="default"/>
        <w:lang w:val="en-US" w:eastAsia="zh-CN" w:bidi="ar-SA"/>
      </w:rPr>
    </w:lvl>
    <w:lvl w:ilvl="4" w:tentative="0">
      <w:start w:val="0"/>
      <w:numFmt w:val="bullet"/>
      <w:lvlText w:val="•"/>
      <w:lvlJc w:val="left"/>
      <w:pPr>
        <w:ind w:left="2783" w:hanging="529"/>
      </w:pPr>
      <w:rPr>
        <w:rFonts w:hint="default"/>
        <w:lang w:val="en-US" w:eastAsia="zh-CN" w:bidi="ar-SA"/>
      </w:rPr>
    </w:lvl>
    <w:lvl w:ilvl="5" w:tentative="0">
      <w:start w:val="0"/>
      <w:numFmt w:val="bullet"/>
      <w:lvlText w:val="•"/>
      <w:lvlJc w:val="left"/>
      <w:pPr>
        <w:ind w:left="3324" w:hanging="529"/>
      </w:pPr>
      <w:rPr>
        <w:rFonts w:hint="default"/>
        <w:lang w:val="en-US" w:eastAsia="zh-CN" w:bidi="ar-SA"/>
      </w:rPr>
    </w:lvl>
    <w:lvl w:ilvl="6" w:tentative="0">
      <w:start w:val="0"/>
      <w:numFmt w:val="bullet"/>
      <w:lvlText w:val="•"/>
      <w:lvlJc w:val="left"/>
      <w:pPr>
        <w:ind w:left="3864" w:hanging="529"/>
      </w:pPr>
      <w:rPr>
        <w:rFonts w:hint="default"/>
        <w:lang w:val="en-US" w:eastAsia="zh-CN" w:bidi="ar-SA"/>
      </w:rPr>
    </w:lvl>
    <w:lvl w:ilvl="7" w:tentative="0">
      <w:start w:val="0"/>
      <w:numFmt w:val="bullet"/>
      <w:lvlText w:val="•"/>
      <w:lvlJc w:val="left"/>
      <w:pPr>
        <w:ind w:left="4405" w:hanging="529"/>
      </w:pPr>
      <w:rPr>
        <w:rFonts w:hint="default"/>
        <w:lang w:val="en-US" w:eastAsia="zh-CN" w:bidi="ar-SA"/>
      </w:rPr>
    </w:lvl>
    <w:lvl w:ilvl="8" w:tentative="0">
      <w:start w:val="0"/>
      <w:numFmt w:val="bullet"/>
      <w:lvlText w:val="•"/>
      <w:lvlJc w:val="left"/>
      <w:pPr>
        <w:ind w:left="4946" w:hanging="529"/>
      </w:pPr>
      <w:rPr>
        <w:rFonts w:hint="default"/>
        <w:lang w:val="en-US" w:eastAsia="zh-CN" w:bidi="ar-SA"/>
      </w:rPr>
    </w:lvl>
  </w:abstractNum>
  <w:abstractNum w:abstractNumId="34">
    <w:nsid w:val="BE8A4F4C"/>
    <w:multiLevelType w:val="multilevel"/>
    <w:tmpl w:val="BE8A4F4C"/>
    <w:lvl w:ilvl="0" w:tentative="0">
      <w:start w:val="10"/>
      <w:numFmt w:val="decimal"/>
      <w:lvlText w:val="%1"/>
      <w:lvlJc w:val="left"/>
      <w:pPr>
        <w:ind w:left="1338" w:hanging="1004"/>
        <w:jc w:val="left"/>
      </w:pPr>
      <w:rPr>
        <w:rFonts w:hint="default"/>
        <w:lang w:val="en-US" w:eastAsia="zh-CN" w:bidi="ar-SA"/>
      </w:rPr>
    </w:lvl>
    <w:lvl w:ilvl="1" w:tentative="0">
      <w:start w:val="64"/>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1"/>
      <w:numFmt w:val="decimal"/>
      <w:lvlText w:val="（%3）"/>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3" w:tentative="0">
      <w:start w:val="0"/>
      <w:numFmt w:val="bullet"/>
      <w:lvlText w:val="•"/>
      <w:lvlJc w:val="left"/>
      <w:pPr>
        <w:ind w:left="3738" w:hanging="539"/>
      </w:pPr>
      <w:rPr>
        <w:rFonts w:hint="default"/>
        <w:lang w:val="en-US" w:eastAsia="zh-CN" w:bidi="ar-SA"/>
      </w:rPr>
    </w:lvl>
    <w:lvl w:ilvl="4" w:tentative="0">
      <w:start w:val="0"/>
      <w:numFmt w:val="bullet"/>
      <w:lvlText w:val="•"/>
      <w:lvlJc w:val="left"/>
      <w:pPr>
        <w:ind w:left="3637" w:hanging="539"/>
      </w:pPr>
      <w:rPr>
        <w:rFonts w:hint="default"/>
        <w:lang w:val="en-US" w:eastAsia="zh-CN" w:bidi="ar-SA"/>
      </w:rPr>
    </w:lvl>
    <w:lvl w:ilvl="5" w:tentative="0">
      <w:start w:val="0"/>
      <w:numFmt w:val="bullet"/>
      <w:lvlText w:val="•"/>
      <w:lvlJc w:val="left"/>
      <w:pPr>
        <w:ind w:left="3535" w:hanging="539"/>
      </w:pPr>
      <w:rPr>
        <w:rFonts w:hint="default"/>
        <w:lang w:val="en-US" w:eastAsia="zh-CN" w:bidi="ar-SA"/>
      </w:rPr>
    </w:lvl>
    <w:lvl w:ilvl="6" w:tentative="0">
      <w:start w:val="0"/>
      <w:numFmt w:val="bullet"/>
      <w:lvlText w:val="•"/>
      <w:lvlJc w:val="left"/>
      <w:pPr>
        <w:ind w:left="3434" w:hanging="539"/>
      </w:pPr>
      <w:rPr>
        <w:rFonts w:hint="default"/>
        <w:lang w:val="en-US" w:eastAsia="zh-CN" w:bidi="ar-SA"/>
      </w:rPr>
    </w:lvl>
    <w:lvl w:ilvl="7" w:tentative="0">
      <w:start w:val="0"/>
      <w:numFmt w:val="bullet"/>
      <w:lvlText w:val="•"/>
      <w:lvlJc w:val="left"/>
      <w:pPr>
        <w:ind w:left="3332" w:hanging="539"/>
      </w:pPr>
      <w:rPr>
        <w:rFonts w:hint="default"/>
        <w:lang w:val="en-US" w:eastAsia="zh-CN" w:bidi="ar-SA"/>
      </w:rPr>
    </w:lvl>
    <w:lvl w:ilvl="8" w:tentative="0">
      <w:start w:val="0"/>
      <w:numFmt w:val="bullet"/>
      <w:lvlText w:val="•"/>
      <w:lvlJc w:val="left"/>
      <w:pPr>
        <w:ind w:left="3231" w:hanging="539"/>
      </w:pPr>
      <w:rPr>
        <w:rFonts w:hint="default"/>
        <w:lang w:val="en-US" w:eastAsia="zh-CN" w:bidi="ar-SA"/>
      </w:rPr>
    </w:lvl>
  </w:abstractNum>
  <w:abstractNum w:abstractNumId="35">
    <w:nsid w:val="BE923771"/>
    <w:multiLevelType w:val="multilevel"/>
    <w:tmpl w:val="BE923771"/>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4"/>
      <w:numFmt w:val="decimal"/>
      <w:lvlText w:val="（%2）"/>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2" w:tentative="0">
      <w:start w:val="0"/>
      <w:numFmt w:val="bullet"/>
      <w:lvlText w:val="•"/>
      <w:lvlJc w:val="left"/>
      <w:pPr>
        <w:ind w:left="4153" w:hanging="539"/>
      </w:pPr>
      <w:rPr>
        <w:rFonts w:hint="default"/>
        <w:lang w:val="en-US" w:eastAsia="zh-CN" w:bidi="ar-SA"/>
      </w:rPr>
    </w:lvl>
    <w:lvl w:ilvl="3" w:tentative="0">
      <w:start w:val="0"/>
      <w:numFmt w:val="bullet"/>
      <w:lvlText w:val="•"/>
      <w:lvlJc w:val="left"/>
      <w:pPr>
        <w:ind w:left="4466" w:hanging="539"/>
      </w:pPr>
      <w:rPr>
        <w:rFonts w:hint="default"/>
        <w:lang w:val="en-US" w:eastAsia="zh-CN" w:bidi="ar-SA"/>
      </w:rPr>
    </w:lvl>
    <w:lvl w:ilvl="4" w:tentative="0">
      <w:start w:val="0"/>
      <w:numFmt w:val="bullet"/>
      <w:lvlText w:val="•"/>
      <w:lvlJc w:val="left"/>
      <w:pPr>
        <w:ind w:left="4779" w:hanging="539"/>
      </w:pPr>
      <w:rPr>
        <w:rFonts w:hint="default"/>
        <w:lang w:val="en-US" w:eastAsia="zh-CN" w:bidi="ar-SA"/>
      </w:rPr>
    </w:lvl>
    <w:lvl w:ilvl="5" w:tentative="0">
      <w:start w:val="0"/>
      <w:numFmt w:val="bullet"/>
      <w:lvlText w:val="•"/>
      <w:lvlJc w:val="left"/>
      <w:pPr>
        <w:ind w:left="5092" w:hanging="539"/>
      </w:pPr>
      <w:rPr>
        <w:rFonts w:hint="default"/>
        <w:lang w:val="en-US" w:eastAsia="zh-CN" w:bidi="ar-SA"/>
      </w:rPr>
    </w:lvl>
    <w:lvl w:ilvl="6" w:tentative="0">
      <w:start w:val="0"/>
      <w:numFmt w:val="bullet"/>
      <w:lvlText w:val="•"/>
      <w:lvlJc w:val="left"/>
      <w:pPr>
        <w:ind w:left="5406" w:hanging="539"/>
      </w:pPr>
      <w:rPr>
        <w:rFonts w:hint="default"/>
        <w:lang w:val="en-US" w:eastAsia="zh-CN" w:bidi="ar-SA"/>
      </w:rPr>
    </w:lvl>
    <w:lvl w:ilvl="7" w:tentative="0">
      <w:start w:val="0"/>
      <w:numFmt w:val="bullet"/>
      <w:lvlText w:val="•"/>
      <w:lvlJc w:val="left"/>
      <w:pPr>
        <w:ind w:left="5719" w:hanging="539"/>
      </w:pPr>
      <w:rPr>
        <w:rFonts w:hint="default"/>
        <w:lang w:val="en-US" w:eastAsia="zh-CN" w:bidi="ar-SA"/>
      </w:rPr>
    </w:lvl>
    <w:lvl w:ilvl="8" w:tentative="0">
      <w:start w:val="0"/>
      <w:numFmt w:val="bullet"/>
      <w:lvlText w:val="•"/>
      <w:lvlJc w:val="left"/>
      <w:pPr>
        <w:ind w:left="6032" w:hanging="539"/>
      </w:pPr>
      <w:rPr>
        <w:rFonts w:hint="default"/>
        <w:lang w:val="en-US" w:eastAsia="zh-CN" w:bidi="ar-SA"/>
      </w:rPr>
    </w:lvl>
  </w:abstractNum>
  <w:abstractNum w:abstractNumId="36">
    <w:nsid w:val="BF205925"/>
    <w:multiLevelType w:val="multilevel"/>
    <w:tmpl w:val="BF205925"/>
    <w:lvl w:ilvl="0" w:tentative="0">
      <w:start w:val="0"/>
      <w:numFmt w:val="bullet"/>
      <w:lvlText w:val=""/>
      <w:lvlJc w:val="left"/>
      <w:pPr>
        <w:ind w:left="370"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987" w:hanging="264"/>
      </w:pPr>
      <w:rPr>
        <w:rFonts w:hint="default"/>
        <w:lang w:val="en-US" w:eastAsia="zh-CN" w:bidi="ar-SA"/>
      </w:rPr>
    </w:lvl>
    <w:lvl w:ilvl="2" w:tentative="0">
      <w:start w:val="0"/>
      <w:numFmt w:val="bullet"/>
      <w:lvlText w:val="•"/>
      <w:lvlJc w:val="left"/>
      <w:pPr>
        <w:ind w:left="1594" w:hanging="264"/>
      </w:pPr>
      <w:rPr>
        <w:rFonts w:hint="default"/>
        <w:lang w:val="en-US" w:eastAsia="zh-CN" w:bidi="ar-SA"/>
      </w:rPr>
    </w:lvl>
    <w:lvl w:ilvl="3" w:tentative="0">
      <w:start w:val="0"/>
      <w:numFmt w:val="bullet"/>
      <w:lvlText w:val="•"/>
      <w:lvlJc w:val="left"/>
      <w:pPr>
        <w:ind w:left="2202" w:hanging="264"/>
      </w:pPr>
      <w:rPr>
        <w:rFonts w:hint="default"/>
        <w:lang w:val="en-US" w:eastAsia="zh-CN" w:bidi="ar-SA"/>
      </w:rPr>
    </w:lvl>
    <w:lvl w:ilvl="4" w:tentative="0">
      <w:start w:val="0"/>
      <w:numFmt w:val="bullet"/>
      <w:lvlText w:val="•"/>
      <w:lvlJc w:val="left"/>
      <w:pPr>
        <w:ind w:left="2809" w:hanging="264"/>
      </w:pPr>
      <w:rPr>
        <w:rFonts w:hint="default"/>
        <w:lang w:val="en-US" w:eastAsia="zh-CN" w:bidi="ar-SA"/>
      </w:rPr>
    </w:lvl>
    <w:lvl w:ilvl="5" w:tentative="0">
      <w:start w:val="0"/>
      <w:numFmt w:val="bullet"/>
      <w:lvlText w:val="•"/>
      <w:lvlJc w:val="left"/>
      <w:pPr>
        <w:ind w:left="3417" w:hanging="264"/>
      </w:pPr>
      <w:rPr>
        <w:rFonts w:hint="default"/>
        <w:lang w:val="en-US" w:eastAsia="zh-CN" w:bidi="ar-SA"/>
      </w:rPr>
    </w:lvl>
    <w:lvl w:ilvl="6" w:tentative="0">
      <w:start w:val="0"/>
      <w:numFmt w:val="bullet"/>
      <w:lvlText w:val="•"/>
      <w:lvlJc w:val="left"/>
      <w:pPr>
        <w:ind w:left="4024" w:hanging="264"/>
      </w:pPr>
      <w:rPr>
        <w:rFonts w:hint="default"/>
        <w:lang w:val="en-US" w:eastAsia="zh-CN" w:bidi="ar-SA"/>
      </w:rPr>
    </w:lvl>
    <w:lvl w:ilvl="7" w:tentative="0">
      <w:start w:val="0"/>
      <w:numFmt w:val="bullet"/>
      <w:lvlText w:val="•"/>
      <w:lvlJc w:val="left"/>
      <w:pPr>
        <w:ind w:left="4631" w:hanging="264"/>
      </w:pPr>
      <w:rPr>
        <w:rFonts w:hint="default"/>
        <w:lang w:val="en-US" w:eastAsia="zh-CN" w:bidi="ar-SA"/>
      </w:rPr>
    </w:lvl>
    <w:lvl w:ilvl="8" w:tentative="0">
      <w:start w:val="0"/>
      <w:numFmt w:val="bullet"/>
      <w:lvlText w:val="•"/>
      <w:lvlJc w:val="left"/>
      <w:pPr>
        <w:ind w:left="5239" w:hanging="264"/>
      </w:pPr>
      <w:rPr>
        <w:rFonts w:hint="default"/>
        <w:lang w:val="en-US" w:eastAsia="zh-CN" w:bidi="ar-SA"/>
      </w:rPr>
    </w:lvl>
  </w:abstractNum>
  <w:abstractNum w:abstractNumId="37">
    <w:nsid w:val="BF50FE6B"/>
    <w:multiLevelType w:val="multilevel"/>
    <w:tmpl w:val="BF50FE6B"/>
    <w:lvl w:ilvl="0" w:tentative="0">
      <w:start w:val="1"/>
      <w:numFmt w:val="decimal"/>
      <w:lvlText w:val="（%1）"/>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36" w:hanging="539"/>
      </w:pPr>
      <w:rPr>
        <w:rFonts w:hint="default"/>
        <w:lang w:val="en-US" w:eastAsia="zh-CN" w:bidi="ar-SA"/>
      </w:rPr>
    </w:lvl>
    <w:lvl w:ilvl="2" w:tentative="0">
      <w:start w:val="0"/>
      <w:numFmt w:val="bullet"/>
      <w:lvlText w:val="•"/>
      <w:lvlJc w:val="left"/>
      <w:pPr>
        <w:ind w:left="5032" w:hanging="539"/>
      </w:pPr>
      <w:rPr>
        <w:rFonts w:hint="default"/>
        <w:lang w:val="en-US" w:eastAsia="zh-CN" w:bidi="ar-SA"/>
      </w:rPr>
    </w:lvl>
    <w:lvl w:ilvl="3" w:tentative="0">
      <w:start w:val="0"/>
      <w:numFmt w:val="bullet"/>
      <w:lvlText w:val="•"/>
      <w:lvlJc w:val="left"/>
      <w:pPr>
        <w:ind w:left="5629" w:hanging="539"/>
      </w:pPr>
      <w:rPr>
        <w:rFonts w:hint="default"/>
        <w:lang w:val="en-US" w:eastAsia="zh-CN" w:bidi="ar-SA"/>
      </w:rPr>
    </w:lvl>
    <w:lvl w:ilvl="4" w:tentative="0">
      <w:start w:val="0"/>
      <w:numFmt w:val="bullet"/>
      <w:lvlText w:val="•"/>
      <w:lvlJc w:val="left"/>
      <w:pPr>
        <w:ind w:left="6225" w:hanging="539"/>
      </w:pPr>
      <w:rPr>
        <w:rFonts w:hint="default"/>
        <w:lang w:val="en-US" w:eastAsia="zh-CN" w:bidi="ar-SA"/>
      </w:rPr>
    </w:lvl>
    <w:lvl w:ilvl="5" w:tentative="0">
      <w:start w:val="0"/>
      <w:numFmt w:val="bullet"/>
      <w:lvlText w:val="•"/>
      <w:lvlJc w:val="left"/>
      <w:pPr>
        <w:ind w:left="6822" w:hanging="539"/>
      </w:pPr>
      <w:rPr>
        <w:rFonts w:hint="default"/>
        <w:lang w:val="en-US" w:eastAsia="zh-CN" w:bidi="ar-SA"/>
      </w:rPr>
    </w:lvl>
    <w:lvl w:ilvl="6" w:tentative="0">
      <w:start w:val="0"/>
      <w:numFmt w:val="bullet"/>
      <w:lvlText w:val="•"/>
      <w:lvlJc w:val="left"/>
      <w:pPr>
        <w:ind w:left="7418" w:hanging="539"/>
      </w:pPr>
      <w:rPr>
        <w:rFonts w:hint="default"/>
        <w:lang w:val="en-US" w:eastAsia="zh-CN" w:bidi="ar-SA"/>
      </w:rPr>
    </w:lvl>
    <w:lvl w:ilvl="7" w:tentative="0">
      <w:start w:val="0"/>
      <w:numFmt w:val="bullet"/>
      <w:lvlText w:val="•"/>
      <w:lvlJc w:val="left"/>
      <w:pPr>
        <w:ind w:left="8014" w:hanging="539"/>
      </w:pPr>
      <w:rPr>
        <w:rFonts w:hint="default"/>
        <w:lang w:val="en-US" w:eastAsia="zh-CN" w:bidi="ar-SA"/>
      </w:rPr>
    </w:lvl>
    <w:lvl w:ilvl="8" w:tentative="0">
      <w:start w:val="0"/>
      <w:numFmt w:val="bullet"/>
      <w:lvlText w:val="•"/>
      <w:lvlJc w:val="left"/>
      <w:pPr>
        <w:ind w:left="8611" w:hanging="539"/>
      </w:pPr>
      <w:rPr>
        <w:rFonts w:hint="default"/>
        <w:lang w:val="en-US" w:eastAsia="zh-CN" w:bidi="ar-SA"/>
      </w:rPr>
    </w:lvl>
  </w:abstractNum>
  <w:abstractNum w:abstractNumId="38">
    <w:nsid w:val="C0915F4F"/>
    <w:multiLevelType w:val="multilevel"/>
    <w:tmpl w:val="C0915F4F"/>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39">
    <w:nsid w:val="C4E0D24A"/>
    <w:multiLevelType w:val="multilevel"/>
    <w:tmpl w:val="C4E0D24A"/>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40">
    <w:nsid w:val="C8879AEF"/>
    <w:multiLevelType w:val="multilevel"/>
    <w:tmpl w:val="C8879AEF"/>
    <w:lvl w:ilvl="0" w:tentative="0">
      <w:start w:val="7"/>
      <w:numFmt w:val="decimal"/>
      <w:lvlText w:val="%1"/>
      <w:lvlJc w:val="left"/>
      <w:pPr>
        <w:ind w:left="211" w:hanging="212"/>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580"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862" w:hanging="370"/>
      </w:pPr>
      <w:rPr>
        <w:rFonts w:hint="default"/>
        <w:lang w:val="en-US" w:eastAsia="zh-CN" w:bidi="ar-SA"/>
      </w:rPr>
    </w:lvl>
    <w:lvl w:ilvl="3" w:tentative="0">
      <w:start w:val="0"/>
      <w:numFmt w:val="bullet"/>
      <w:lvlText w:val="•"/>
      <w:lvlJc w:val="left"/>
      <w:pPr>
        <w:ind w:left="1144" w:hanging="370"/>
      </w:pPr>
      <w:rPr>
        <w:rFonts w:hint="default"/>
        <w:lang w:val="en-US" w:eastAsia="zh-CN" w:bidi="ar-SA"/>
      </w:rPr>
    </w:lvl>
    <w:lvl w:ilvl="4" w:tentative="0">
      <w:start w:val="0"/>
      <w:numFmt w:val="bullet"/>
      <w:lvlText w:val="•"/>
      <w:lvlJc w:val="left"/>
      <w:pPr>
        <w:ind w:left="1426" w:hanging="370"/>
      </w:pPr>
      <w:rPr>
        <w:rFonts w:hint="default"/>
        <w:lang w:val="en-US" w:eastAsia="zh-CN" w:bidi="ar-SA"/>
      </w:rPr>
    </w:lvl>
    <w:lvl w:ilvl="5" w:tentative="0">
      <w:start w:val="0"/>
      <w:numFmt w:val="bullet"/>
      <w:lvlText w:val="•"/>
      <w:lvlJc w:val="left"/>
      <w:pPr>
        <w:ind w:left="1709" w:hanging="370"/>
      </w:pPr>
      <w:rPr>
        <w:rFonts w:hint="default"/>
        <w:lang w:val="en-US" w:eastAsia="zh-CN" w:bidi="ar-SA"/>
      </w:rPr>
    </w:lvl>
    <w:lvl w:ilvl="6" w:tentative="0">
      <w:start w:val="0"/>
      <w:numFmt w:val="bullet"/>
      <w:lvlText w:val="•"/>
      <w:lvlJc w:val="left"/>
      <w:pPr>
        <w:ind w:left="1991" w:hanging="370"/>
      </w:pPr>
      <w:rPr>
        <w:rFonts w:hint="default"/>
        <w:lang w:val="en-US" w:eastAsia="zh-CN" w:bidi="ar-SA"/>
      </w:rPr>
    </w:lvl>
    <w:lvl w:ilvl="7" w:tentative="0">
      <w:start w:val="0"/>
      <w:numFmt w:val="bullet"/>
      <w:lvlText w:val="•"/>
      <w:lvlJc w:val="left"/>
      <w:pPr>
        <w:ind w:left="2273" w:hanging="370"/>
      </w:pPr>
      <w:rPr>
        <w:rFonts w:hint="default"/>
        <w:lang w:val="en-US" w:eastAsia="zh-CN" w:bidi="ar-SA"/>
      </w:rPr>
    </w:lvl>
    <w:lvl w:ilvl="8" w:tentative="0">
      <w:start w:val="0"/>
      <w:numFmt w:val="bullet"/>
      <w:lvlText w:val="•"/>
      <w:lvlJc w:val="left"/>
      <w:pPr>
        <w:ind w:left="2556" w:hanging="370"/>
      </w:pPr>
      <w:rPr>
        <w:rFonts w:hint="default"/>
        <w:lang w:val="en-US" w:eastAsia="zh-CN" w:bidi="ar-SA"/>
      </w:rPr>
    </w:lvl>
  </w:abstractNum>
  <w:abstractNum w:abstractNumId="41">
    <w:nsid w:val="C90D1B09"/>
    <w:multiLevelType w:val="multilevel"/>
    <w:tmpl w:val="C90D1B09"/>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42">
    <w:nsid w:val="CD699D1D"/>
    <w:multiLevelType w:val="multilevel"/>
    <w:tmpl w:val="CD699D1D"/>
    <w:lvl w:ilvl="0" w:tentative="0">
      <w:start w:val="11"/>
      <w:numFmt w:val="decimal"/>
      <w:lvlText w:val="%1"/>
      <w:lvlJc w:val="left"/>
      <w:pPr>
        <w:ind w:left="1338" w:hanging="1004"/>
        <w:jc w:val="left"/>
      </w:pPr>
      <w:rPr>
        <w:rFonts w:hint="default"/>
        <w:lang w:val="en-US" w:eastAsia="zh-CN" w:bidi="ar-SA"/>
      </w:rPr>
    </w:lvl>
    <w:lvl w:ilvl="1" w:tentative="0">
      <w:start w:val="39"/>
      <w:numFmt w:val="decimal"/>
      <w:lvlText w:val="%1.%2"/>
      <w:lvlJc w:val="left"/>
      <w:pPr>
        <w:ind w:left="1338" w:hanging="1004"/>
        <w:jc w:val="left"/>
      </w:pPr>
      <w:rPr>
        <w:rFonts w:hint="default" w:ascii="Times New Roman" w:hAnsi="Times New Roman" w:eastAsia="Times New Roman" w:cs="Times New Roman"/>
        <w:b w:val="0"/>
        <w:bCs w:val="0"/>
        <w:i w:val="0"/>
        <w:iCs w:val="0"/>
        <w:spacing w:val="-10"/>
        <w:w w:val="100"/>
        <w:position w:val="2"/>
        <w:sz w:val="21"/>
        <w:szCs w:val="21"/>
        <w:lang w:val="en-US" w:eastAsia="zh-CN" w:bidi="ar-SA"/>
      </w:rPr>
    </w:lvl>
    <w:lvl w:ilvl="2" w:tentative="0">
      <w:start w:val="0"/>
      <w:numFmt w:val="bullet"/>
      <w:lvlText w:val="•"/>
      <w:lvlJc w:val="left"/>
      <w:pPr>
        <w:ind w:left="3032" w:hanging="1004"/>
      </w:pPr>
      <w:rPr>
        <w:rFonts w:hint="default"/>
        <w:lang w:val="en-US" w:eastAsia="zh-CN" w:bidi="ar-SA"/>
      </w:rPr>
    </w:lvl>
    <w:lvl w:ilvl="3" w:tentative="0">
      <w:start w:val="0"/>
      <w:numFmt w:val="bullet"/>
      <w:lvlText w:val="•"/>
      <w:lvlJc w:val="left"/>
      <w:pPr>
        <w:ind w:left="3879" w:hanging="1004"/>
      </w:pPr>
      <w:rPr>
        <w:rFonts w:hint="default"/>
        <w:lang w:val="en-US" w:eastAsia="zh-CN" w:bidi="ar-SA"/>
      </w:rPr>
    </w:lvl>
    <w:lvl w:ilvl="4" w:tentative="0">
      <w:start w:val="0"/>
      <w:numFmt w:val="bullet"/>
      <w:lvlText w:val="•"/>
      <w:lvlJc w:val="left"/>
      <w:pPr>
        <w:ind w:left="4725" w:hanging="1004"/>
      </w:pPr>
      <w:rPr>
        <w:rFonts w:hint="default"/>
        <w:lang w:val="en-US" w:eastAsia="zh-CN" w:bidi="ar-SA"/>
      </w:rPr>
    </w:lvl>
    <w:lvl w:ilvl="5" w:tentative="0">
      <w:start w:val="0"/>
      <w:numFmt w:val="bullet"/>
      <w:lvlText w:val="•"/>
      <w:lvlJc w:val="left"/>
      <w:pPr>
        <w:ind w:left="5572" w:hanging="1004"/>
      </w:pPr>
      <w:rPr>
        <w:rFonts w:hint="default"/>
        <w:lang w:val="en-US" w:eastAsia="zh-CN" w:bidi="ar-SA"/>
      </w:rPr>
    </w:lvl>
    <w:lvl w:ilvl="6" w:tentative="0">
      <w:start w:val="0"/>
      <w:numFmt w:val="bullet"/>
      <w:lvlText w:val="•"/>
      <w:lvlJc w:val="left"/>
      <w:pPr>
        <w:ind w:left="6418" w:hanging="1004"/>
      </w:pPr>
      <w:rPr>
        <w:rFonts w:hint="default"/>
        <w:lang w:val="en-US" w:eastAsia="zh-CN" w:bidi="ar-SA"/>
      </w:rPr>
    </w:lvl>
    <w:lvl w:ilvl="7" w:tentative="0">
      <w:start w:val="0"/>
      <w:numFmt w:val="bullet"/>
      <w:lvlText w:val="•"/>
      <w:lvlJc w:val="left"/>
      <w:pPr>
        <w:ind w:left="7264" w:hanging="1004"/>
      </w:pPr>
      <w:rPr>
        <w:rFonts w:hint="default"/>
        <w:lang w:val="en-US" w:eastAsia="zh-CN" w:bidi="ar-SA"/>
      </w:rPr>
    </w:lvl>
    <w:lvl w:ilvl="8" w:tentative="0">
      <w:start w:val="0"/>
      <w:numFmt w:val="bullet"/>
      <w:lvlText w:val="•"/>
      <w:lvlJc w:val="left"/>
      <w:pPr>
        <w:ind w:left="8111" w:hanging="1004"/>
      </w:pPr>
      <w:rPr>
        <w:rFonts w:hint="default"/>
        <w:lang w:val="en-US" w:eastAsia="zh-CN" w:bidi="ar-SA"/>
      </w:rPr>
    </w:lvl>
  </w:abstractNum>
  <w:abstractNum w:abstractNumId="43">
    <w:nsid w:val="CF092B84"/>
    <w:multiLevelType w:val="multilevel"/>
    <w:tmpl w:val="CF092B84"/>
    <w:lvl w:ilvl="0" w:tentative="0">
      <w:start w:val="0"/>
      <w:numFmt w:val="bullet"/>
      <w:lvlText w:val=""/>
      <w:lvlJc w:val="left"/>
      <w:pPr>
        <w:ind w:left="370"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987" w:hanging="264"/>
      </w:pPr>
      <w:rPr>
        <w:rFonts w:hint="default"/>
        <w:lang w:val="en-US" w:eastAsia="zh-CN" w:bidi="ar-SA"/>
      </w:rPr>
    </w:lvl>
    <w:lvl w:ilvl="2" w:tentative="0">
      <w:start w:val="0"/>
      <w:numFmt w:val="bullet"/>
      <w:lvlText w:val="•"/>
      <w:lvlJc w:val="left"/>
      <w:pPr>
        <w:ind w:left="1594" w:hanging="264"/>
      </w:pPr>
      <w:rPr>
        <w:rFonts w:hint="default"/>
        <w:lang w:val="en-US" w:eastAsia="zh-CN" w:bidi="ar-SA"/>
      </w:rPr>
    </w:lvl>
    <w:lvl w:ilvl="3" w:tentative="0">
      <w:start w:val="0"/>
      <w:numFmt w:val="bullet"/>
      <w:lvlText w:val="•"/>
      <w:lvlJc w:val="left"/>
      <w:pPr>
        <w:ind w:left="2202" w:hanging="264"/>
      </w:pPr>
      <w:rPr>
        <w:rFonts w:hint="default"/>
        <w:lang w:val="en-US" w:eastAsia="zh-CN" w:bidi="ar-SA"/>
      </w:rPr>
    </w:lvl>
    <w:lvl w:ilvl="4" w:tentative="0">
      <w:start w:val="0"/>
      <w:numFmt w:val="bullet"/>
      <w:lvlText w:val="•"/>
      <w:lvlJc w:val="left"/>
      <w:pPr>
        <w:ind w:left="2809" w:hanging="264"/>
      </w:pPr>
      <w:rPr>
        <w:rFonts w:hint="default"/>
        <w:lang w:val="en-US" w:eastAsia="zh-CN" w:bidi="ar-SA"/>
      </w:rPr>
    </w:lvl>
    <w:lvl w:ilvl="5" w:tentative="0">
      <w:start w:val="0"/>
      <w:numFmt w:val="bullet"/>
      <w:lvlText w:val="•"/>
      <w:lvlJc w:val="left"/>
      <w:pPr>
        <w:ind w:left="3417" w:hanging="264"/>
      </w:pPr>
      <w:rPr>
        <w:rFonts w:hint="default"/>
        <w:lang w:val="en-US" w:eastAsia="zh-CN" w:bidi="ar-SA"/>
      </w:rPr>
    </w:lvl>
    <w:lvl w:ilvl="6" w:tentative="0">
      <w:start w:val="0"/>
      <w:numFmt w:val="bullet"/>
      <w:lvlText w:val="•"/>
      <w:lvlJc w:val="left"/>
      <w:pPr>
        <w:ind w:left="4024" w:hanging="264"/>
      </w:pPr>
      <w:rPr>
        <w:rFonts w:hint="default"/>
        <w:lang w:val="en-US" w:eastAsia="zh-CN" w:bidi="ar-SA"/>
      </w:rPr>
    </w:lvl>
    <w:lvl w:ilvl="7" w:tentative="0">
      <w:start w:val="0"/>
      <w:numFmt w:val="bullet"/>
      <w:lvlText w:val="•"/>
      <w:lvlJc w:val="left"/>
      <w:pPr>
        <w:ind w:left="4631" w:hanging="264"/>
      </w:pPr>
      <w:rPr>
        <w:rFonts w:hint="default"/>
        <w:lang w:val="en-US" w:eastAsia="zh-CN" w:bidi="ar-SA"/>
      </w:rPr>
    </w:lvl>
    <w:lvl w:ilvl="8" w:tentative="0">
      <w:start w:val="0"/>
      <w:numFmt w:val="bullet"/>
      <w:lvlText w:val="•"/>
      <w:lvlJc w:val="left"/>
      <w:pPr>
        <w:ind w:left="5239" w:hanging="264"/>
      </w:pPr>
      <w:rPr>
        <w:rFonts w:hint="default"/>
        <w:lang w:val="en-US" w:eastAsia="zh-CN" w:bidi="ar-SA"/>
      </w:rPr>
    </w:lvl>
  </w:abstractNum>
  <w:abstractNum w:abstractNumId="44">
    <w:nsid w:val="D1EB1714"/>
    <w:multiLevelType w:val="multilevel"/>
    <w:tmpl w:val="D1EB1714"/>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45">
    <w:nsid w:val="D7D140E4"/>
    <w:multiLevelType w:val="multilevel"/>
    <w:tmpl w:val="D7D140E4"/>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46">
    <w:nsid w:val="D7F9FE59"/>
    <w:multiLevelType w:val="multilevel"/>
    <w:tmpl w:val="D7F9FE59"/>
    <w:lvl w:ilvl="0" w:tentative="0">
      <w:start w:val="1"/>
      <w:numFmt w:val="decimal"/>
      <w:lvlText w:val="（%1）"/>
      <w:lvlJc w:val="left"/>
      <w:pPr>
        <w:ind w:left="3941" w:hanging="634"/>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526" w:hanging="634"/>
      </w:pPr>
      <w:rPr>
        <w:rFonts w:hint="default"/>
        <w:lang w:val="en-US" w:eastAsia="zh-CN" w:bidi="ar-SA"/>
      </w:rPr>
    </w:lvl>
    <w:lvl w:ilvl="2" w:tentative="0">
      <w:start w:val="0"/>
      <w:numFmt w:val="bullet"/>
      <w:lvlText w:val="•"/>
      <w:lvlJc w:val="left"/>
      <w:pPr>
        <w:ind w:left="5112" w:hanging="634"/>
      </w:pPr>
      <w:rPr>
        <w:rFonts w:hint="default"/>
        <w:lang w:val="en-US" w:eastAsia="zh-CN" w:bidi="ar-SA"/>
      </w:rPr>
    </w:lvl>
    <w:lvl w:ilvl="3" w:tentative="0">
      <w:start w:val="0"/>
      <w:numFmt w:val="bullet"/>
      <w:lvlText w:val="•"/>
      <w:lvlJc w:val="left"/>
      <w:pPr>
        <w:ind w:left="5699" w:hanging="634"/>
      </w:pPr>
      <w:rPr>
        <w:rFonts w:hint="default"/>
        <w:lang w:val="en-US" w:eastAsia="zh-CN" w:bidi="ar-SA"/>
      </w:rPr>
    </w:lvl>
    <w:lvl w:ilvl="4" w:tentative="0">
      <w:start w:val="0"/>
      <w:numFmt w:val="bullet"/>
      <w:lvlText w:val="•"/>
      <w:lvlJc w:val="left"/>
      <w:pPr>
        <w:ind w:left="6285" w:hanging="634"/>
      </w:pPr>
      <w:rPr>
        <w:rFonts w:hint="default"/>
        <w:lang w:val="en-US" w:eastAsia="zh-CN" w:bidi="ar-SA"/>
      </w:rPr>
    </w:lvl>
    <w:lvl w:ilvl="5" w:tentative="0">
      <w:start w:val="0"/>
      <w:numFmt w:val="bullet"/>
      <w:lvlText w:val="•"/>
      <w:lvlJc w:val="left"/>
      <w:pPr>
        <w:ind w:left="6872" w:hanging="634"/>
      </w:pPr>
      <w:rPr>
        <w:rFonts w:hint="default"/>
        <w:lang w:val="en-US" w:eastAsia="zh-CN" w:bidi="ar-SA"/>
      </w:rPr>
    </w:lvl>
    <w:lvl w:ilvl="6" w:tentative="0">
      <w:start w:val="0"/>
      <w:numFmt w:val="bullet"/>
      <w:lvlText w:val="•"/>
      <w:lvlJc w:val="left"/>
      <w:pPr>
        <w:ind w:left="7458" w:hanging="634"/>
      </w:pPr>
      <w:rPr>
        <w:rFonts w:hint="default"/>
        <w:lang w:val="en-US" w:eastAsia="zh-CN" w:bidi="ar-SA"/>
      </w:rPr>
    </w:lvl>
    <w:lvl w:ilvl="7" w:tentative="0">
      <w:start w:val="0"/>
      <w:numFmt w:val="bullet"/>
      <w:lvlText w:val="•"/>
      <w:lvlJc w:val="left"/>
      <w:pPr>
        <w:ind w:left="8044" w:hanging="634"/>
      </w:pPr>
      <w:rPr>
        <w:rFonts w:hint="default"/>
        <w:lang w:val="en-US" w:eastAsia="zh-CN" w:bidi="ar-SA"/>
      </w:rPr>
    </w:lvl>
    <w:lvl w:ilvl="8" w:tentative="0">
      <w:start w:val="0"/>
      <w:numFmt w:val="bullet"/>
      <w:lvlText w:val="•"/>
      <w:lvlJc w:val="left"/>
      <w:pPr>
        <w:ind w:left="8631" w:hanging="634"/>
      </w:pPr>
      <w:rPr>
        <w:rFonts w:hint="default"/>
        <w:lang w:val="en-US" w:eastAsia="zh-CN" w:bidi="ar-SA"/>
      </w:rPr>
    </w:lvl>
  </w:abstractNum>
  <w:abstractNum w:abstractNumId="47">
    <w:nsid w:val="DAD3A854"/>
    <w:multiLevelType w:val="multilevel"/>
    <w:tmpl w:val="DAD3A854"/>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3" w:hanging="529"/>
      </w:pPr>
      <w:rPr>
        <w:rFonts w:hint="default"/>
        <w:lang w:val="en-US" w:eastAsia="zh-CN" w:bidi="ar-SA"/>
      </w:rPr>
    </w:lvl>
    <w:lvl w:ilvl="2" w:tentative="0">
      <w:start w:val="0"/>
      <w:numFmt w:val="bullet"/>
      <w:lvlText w:val="•"/>
      <w:lvlJc w:val="left"/>
      <w:pPr>
        <w:ind w:left="1707" w:hanging="529"/>
      </w:pPr>
      <w:rPr>
        <w:rFonts w:hint="default"/>
        <w:lang w:val="en-US" w:eastAsia="zh-CN" w:bidi="ar-SA"/>
      </w:rPr>
    </w:lvl>
    <w:lvl w:ilvl="3" w:tentative="0">
      <w:start w:val="0"/>
      <w:numFmt w:val="bullet"/>
      <w:lvlText w:val="•"/>
      <w:lvlJc w:val="left"/>
      <w:pPr>
        <w:ind w:left="2250" w:hanging="529"/>
      </w:pPr>
      <w:rPr>
        <w:rFonts w:hint="default"/>
        <w:lang w:val="en-US" w:eastAsia="zh-CN" w:bidi="ar-SA"/>
      </w:rPr>
    </w:lvl>
    <w:lvl w:ilvl="4" w:tentative="0">
      <w:start w:val="0"/>
      <w:numFmt w:val="bullet"/>
      <w:lvlText w:val="•"/>
      <w:lvlJc w:val="left"/>
      <w:pPr>
        <w:ind w:left="2794" w:hanging="529"/>
      </w:pPr>
      <w:rPr>
        <w:rFonts w:hint="default"/>
        <w:lang w:val="en-US" w:eastAsia="zh-CN" w:bidi="ar-SA"/>
      </w:rPr>
    </w:lvl>
    <w:lvl w:ilvl="5" w:tentative="0">
      <w:start w:val="0"/>
      <w:numFmt w:val="bullet"/>
      <w:lvlText w:val="•"/>
      <w:lvlJc w:val="left"/>
      <w:pPr>
        <w:ind w:left="3337" w:hanging="529"/>
      </w:pPr>
      <w:rPr>
        <w:rFonts w:hint="default"/>
        <w:lang w:val="en-US" w:eastAsia="zh-CN" w:bidi="ar-SA"/>
      </w:rPr>
    </w:lvl>
    <w:lvl w:ilvl="6" w:tentative="0">
      <w:start w:val="0"/>
      <w:numFmt w:val="bullet"/>
      <w:lvlText w:val="•"/>
      <w:lvlJc w:val="left"/>
      <w:pPr>
        <w:ind w:left="3881" w:hanging="529"/>
      </w:pPr>
      <w:rPr>
        <w:rFonts w:hint="default"/>
        <w:lang w:val="en-US" w:eastAsia="zh-CN" w:bidi="ar-SA"/>
      </w:rPr>
    </w:lvl>
    <w:lvl w:ilvl="7" w:tentative="0">
      <w:start w:val="0"/>
      <w:numFmt w:val="bullet"/>
      <w:lvlText w:val="•"/>
      <w:lvlJc w:val="left"/>
      <w:pPr>
        <w:ind w:left="4424" w:hanging="529"/>
      </w:pPr>
      <w:rPr>
        <w:rFonts w:hint="default"/>
        <w:lang w:val="en-US" w:eastAsia="zh-CN" w:bidi="ar-SA"/>
      </w:rPr>
    </w:lvl>
    <w:lvl w:ilvl="8" w:tentative="0">
      <w:start w:val="0"/>
      <w:numFmt w:val="bullet"/>
      <w:lvlText w:val="•"/>
      <w:lvlJc w:val="left"/>
      <w:pPr>
        <w:ind w:left="4968" w:hanging="529"/>
      </w:pPr>
      <w:rPr>
        <w:rFonts w:hint="default"/>
        <w:lang w:val="en-US" w:eastAsia="zh-CN" w:bidi="ar-SA"/>
      </w:rPr>
    </w:lvl>
  </w:abstractNum>
  <w:abstractNum w:abstractNumId="48">
    <w:nsid w:val="DCBA6B53"/>
    <w:multiLevelType w:val="multilevel"/>
    <w:tmpl w:val="DCBA6B53"/>
    <w:lvl w:ilvl="0" w:tentative="0">
      <w:start w:val="2"/>
      <w:numFmt w:val="decimal"/>
      <w:lvlText w:val="%1"/>
      <w:lvlJc w:val="left"/>
      <w:pPr>
        <w:ind w:left="1338" w:hanging="1004"/>
        <w:jc w:val="left"/>
      </w:pPr>
      <w:rPr>
        <w:rFonts w:hint="default"/>
        <w:lang w:val="en-US" w:eastAsia="zh-CN" w:bidi="ar-SA"/>
      </w:rPr>
    </w:lvl>
    <w:lvl w:ilvl="1" w:tentative="0">
      <w:start w:val="4"/>
      <w:numFmt w:val="decimal"/>
      <w:lvlText w:val="%1.%2"/>
      <w:lvlJc w:val="left"/>
      <w:pPr>
        <w:ind w:left="1338" w:hanging="1004"/>
        <w:jc w:val="left"/>
      </w:pPr>
      <w:rPr>
        <w:rFonts w:hint="default"/>
        <w:lang w:val="en-US" w:eastAsia="zh-CN" w:bidi="ar-SA"/>
      </w:rPr>
    </w:lvl>
    <w:lvl w:ilvl="2" w:tentative="0">
      <w:start w:val="1"/>
      <w:numFmt w:val="decimal"/>
      <w:lvlText w:val="%1.%2.%3"/>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3" w:tentative="0">
      <w:start w:val="1"/>
      <w:numFmt w:val="decimal"/>
      <w:lvlText w:val="（%4）"/>
      <w:lvlJc w:val="left"/>
      <w:pPr>
        <w:ind w:left="3836" w:hanging="529"/>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5828" w:hanging="529"/>
      </w:pPr>
      <w:rPr>
        <w:rFonts w:hint="default"/>
        <w:lang w:val="en-US" w:eastAsia="zh-CN" w:bidi="ar-SA"/>
      </w:rPr>
    </w:lvl>
    <w:lvl w:ilvl="5" w:tentative="0">
      <w:start w:val="0"/>
      <w:numFmt w:val="bullet"/>
      <w:lvlText w:val="•"/>
      <w:lvlJc w:val="left"/>
      <w:pPr>
        <w:ind w:left="6490" w:hanging="529"/>
      </w:pPr>
      <w:rPr>
        <w:rFonts w:hint="default"/>
        <w:lang w:val="en-US" w:eastAsia="zh-CN" w:bidi="ar-SA"/>
      </w:rPr>
    </w:lvl>
    <w:lvl w:ilvl="6" w:tentative="0">
      <w:start w:val="0"/>
      <w:numFmt w:val="bullet"/>
      <w:lvlText w:val="•"/>
      <w:lvlJc w:val="left"/>
      <w:pPr>
        <w:ind w:left="7153" w:hanging="529"/>
      </w:pPr>
      <w:rPr>
        <w:rFonts w:hint="default"/>
        <w:lang w:val="en-US" w:eastAsia="zh-CN" w:bidi="ar-SA"/>
      </w:rPr>
    </w:lvl>
    <w:lvl w:ilvl="7" w:tentative="0">
      <w:start w:val="0"/>
      <w:numFmt w:val="bullet"/>
      <w:lvlText w:val="•"/>
      <w:lvlJc w:val="left"/>
      <w:pPr>
        <w:ind w:left="7816" w:hanging="529"/>
      </w:pPr>
      <w:rPr>
        <w:rFonts w:hint="default"/>
        <w:lang w:val="en-US" w:eastAsia="zh-CN" w:bidi="ar-SA"/>
      </w:rPr>
    </w:lvl>
    <w:lvl w:ilvl="8" w:tentative="0">
      <w:start w:val="0"/>
      <w:numFmt w:val="bullet"/>
      <w:lvlText w:val="•"/>
      <w:lvlJc w:val="left"/>
      <w:pPr>
        <w:ind w:left="8478" w:hanging="529"/>
      </w:pPr>
      <w:rPr>
        <w:rFonts w:hint="default"/>
        <w:lang w:val="en-US" w:eastAsia="zh-CN" w:bidi="ar-SA"/>
      </w:rPr>
    </w:lvl>
  </w:abstractNum>
  <w:abstractNum w:abstractNumId="49">
    <w:nsid w:val="E0294EC7"/>
    <w:multiLevelType w:val="multilevel"/>
    <w:tmpl w:val="E0294EC7"/>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50">
    <w:nsid w:val="E093A4B0"/>
    <w:multiLevelType w:val="multilevel"/>
    <w:tmpl w:val="E093A4B0"/>
    <w:lvl w:ilvl="0" w:tentative="0">
      <w:start w:val="2"/>
      <w:numFmt w:val="decimal"/>
      <w:lvlText w:val="（%1）"/>
      <w:lvlJc w:val="left"/>
      <w:pPr>
        <w:ind w:left="58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21" w:hanging="529"/>
      </w:pPr>
      <w:rPr>
        <w:rFonts w:hint="default"/>
        <w:lang w:val="en-US" w:eastAsia="zh-CN" w:bidi="ar-SA"/>
      </w:rPr>
    </w:lvl>
    <w:lvl w:ilvl="2" w:tentative="0">
      <w:start w:val="0"/>
      <w:numFmt w:val="bullet"/>
      <w:lvlText w:val="•"/>
      <w:lvlJc w:val="left"/>
      <w:pPr>
        <w:ind w:left="1662" w:hanging="529"/>
      </w:pPr>
      <w:rPr>
        <w:rFonts w:hint="default"/>
        <w:lang w:val="en-US" w:eastAsia="zh-CN" w:bidi="ar-SA"/>
      </w:rPr>
    </w:lvl>
    <w:lvl w:ilvl="3" w:tentative="0">
      <w:start w:val="0"/>
      <w:numFmt w:val="bullet"/>
      <w:lvlText w:val="•"/>
      <w:lvlJc w:val="left"/>
      <w:pPr>
        <w:ind w:left="2203" w:hanging="529"/>
      </w:pPr>
      <w:rPr>
        <w:rFonts w:hint="default"/>
        <w:lang w:val="en-US" w:eastAsia="zh-CN" w:bidi="ar-SA"/>
      </w:rPr>
    </w:lvl>
    <w:lvl w:ilvl="4" w:tentative="0">
      <w:start w:val="0"/>
      <w:numFmt w:val="bullet"/>
      <w:lvlText w:val="•"/>
      <w:lvlJc w:val="left"/>
      <w:pPr>
        <w:ind w:left="2744" w:hanging="529"/>
      </w:pPr>
      <w:rPr>
        <w:rFonts w:hint="default"/>
        <w:lang w:val="en-US" w:eastAsia="zh-CN" w:bidi="ar-SA"/>
      </w:rPr>
    </w:lvl>
    <w:lvl w:ilvl="5" w:tentative="0">
      <w:start w:val="0"/>
      <w:numFmt w:val="bullet"/>
      <w:lvlText w:val="•"/>
      <w:lvlJc w:val="left"/>
      <w:pPr>
        <w:ind w:left="3286" w:hanging="529"/>
      </w:pPr>
      <w:rPr>
        <w:rFonts w:hint="default"/>
        <w:lang w:val="en-US" w:eastAsia="zh-CN" w:bidi="ar-SA"/>
      </w:rPr>
    </w:lvl>
    <w:lvl w:ilvl="6" w:tentative="0">
      <w:start w:val="0"/>
      <w:numFmt w:val="bullet"/>
      <w:lvlText w:val="•"/>
      <w:lvlJc w:val="left"/>
      <w:pPr>
        <w:ind w:left="3827" w:hanging="529"/>
      </w:pPr>
      <w:rPr>
        <w:rFonts w:hint="default"/>
        <w:lang w:val="en-US" w:eastAsia="zh-CN" w:bidi="ar-SA"/>
      </w:rPr>
    </w:lvl>
    <w:lvl w:ilvl="7" w:tentative="0">
      <w:start w:val="0"/>
      <w:numFmt w:val="bullet"/>
      <w:lvlText w:val="•"/>
      <w:lvlJc w:val="left"/>
      <w:pPr>
        <w:ind w:left="4368" w:hanging="529"/>
      </w:pPr>
      <w:rPr>
        <w:rFonts w:hint="default"/>
        <w:lang w:val="en-US" w:eastAsia="zh-CN" w:bidi="ar-SA"/>
      </w:rPr>
    </w:lvl>
    <w:lvl w:ilvl="8" w:tentative="0">
      <w:start w:val="0"/>
      <w:numFmt w:val="bullet"/>
      <w:lvlText w:val="•"/>
      <w:lvlJc w:val="left"/>
      <w:pPr>
        <w:ind w:left="4909" w:hanging="529"/>
      </w:pPr>
      <w:rPr>
        <w:rFonts w:hint="default"/>
        <w:lang w:val="en-US" w:eastAsia="zh-CN" w:bidi="ar-SA"/>
      </w:rPr>
    </w:lvl>
  </w:abstractNum>
  <w:abstractNum w:abstractNumId="51">
    <w:nsid w:val="E504947C"/>
    <w:multiLevelType w:val="multilevel"/>
    <w:tmpl w:val="E504947C"/>
    <w:lvl w:ilvl="0" w:tentative="0">
      <w:start w:val="1"/>
      <w:numFmt w:val="decimal"/>
      <w:lvlText w:val="（%1）"/>
      <w:lvlJc w:val="left"/>
      <w:pPr>
        <w:ind w:left="685"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1277" w:hanging="539"/>
      </w:pPr>
      <w:rPr>
        <w:rFonts w:hint="default"/>
        <w:lang w:val="en-US" w:eastAsia="zh-CN" w:bidi="ar-SA"/>
      </w:rPr>
    </w:lvl>
    <w:lvl w:ilvl="2" w:tentative="0">
      <w:start w:val="0"/>
      <w:numFmt w:val="bullet"/>
      <w:lvlText w:val="•"/>
      <w:lvlJc w:val="left"/>
      <w:pPr>
        <w:ind w:left="1875" w:hanging="539"/>
      </w:pPr>
      <w:rPr>
        <w:rFonts w:hint="default"/>
        <w:lang w:val="en-US" w:eastAsia="zh-CN" w:bidi="ar-SA"/>
      </w:rPr>
    </w:lvl>
    <w:lvl w:ilvl="3" w:tentative="0">
      <w:start w:val="0"/>
      <w:numFmt w:val="bullet"/>
      <w:lvlText w:val="•"/>
      <w:lvlJc w:val="left"/>
      <w:pPr>
        <w:ind w:left="2473" w:hanging="539"/>
      </w:pPr>
      <w:rPr>
        <w:rFonts w:hint="default"/>
        <w:lang w:val="en-US" w:eastAsia="zh-CN" w:bidi="ar-SA"/>
      </w:rPr>
    </w:lvl>
    <w:lvl w:ilvl="4" w:tentative="0">
      <w:start w:val="0"/>
      <w:numFmt w:val="bullet"/>
      <w:lvlText w:val="•"/>
      <w:lvlJc w:val="left"/>
      <w:pPr>
        <w:ind w:left="3071" w:hanging="539"/>
      </w:pPr>
      <w:rPr>
        <w:rFonts w:hint="default"/>
        <w:lang w:val="en-US" w:eastAsia="zh-CN" w:bidi="ar-SA"/>
      </w:rPr>
    </w:lvl>
    <w:lvl w:ilvl="5" w:tentative="0">
      <w:start w:val="0"/>
      <w:numFmt w:val="bullet"/>
      <w:lvlText w:val="•"/>
      <w:lvlJc w:val="left"/>
      <w:pPr>
        <w:ind w:left="3669" w:hanging="539"/>
      </w:pPr>
      <w:rPr>
        <w:rFonts w:hint="default"/>
        <w:lang w:val="en-US" w:eastAsia="zh-CN" w:bidi="ar-SA"/>
      </w:rPr>
    </w:lvl>
    <w:lvl w:ilvl="6" w:tentative="0">
      <w:start w:val="0"/>
      <w:numFmt w:val="bullet"/>
      <w:lvlText w:val="•"/>
      <w:lvlJc w:val="left"/>
      <w:pPr>
        <w:ind w:left="4267" w:hanging="539"/>
      </w:pPr>
      <w:rPr>
        <w:rFonts w:hint="default"/>
        <w:lang w:val="en-US" w:eastAsia="zh-CN" w:bidi="ar-SA"/>
      </w:rPr>
    </w:lvl>
    <w:lvl w:ilvl="7" w:tentative="0">
      <w:start w:val="0"/>
      <w:numFmt w:val="bullet"/>
      <w:lvlText w:val="•"/>
      <w:lvlJc w:val="left"/>
      <w:pPr>
        <w:ind w:left="4865" w:hanging="539"/>
      </w:pPr>
      <w:rPr>
        <w:rFonts w:hint="default"/>
        <w:lang w:val="en-US" w:eastAsia="zh-CN" w:bidi="ar-SA"/>
      </w:rPr>
    </w:lvl>
    <w:lvl w:ilvl="8" w:tentative="0">
      <w:start w:val="0"/>
      <w:numFmt w:val="bullet"/>
      <w:lvlText w:val="•"/>
      <w:lvlJc w:val="left"/>
      <w:pPr>
        <w:ind w:left="5463" w:hanging="539"/>
      </w:pPr>
      <w:rPr>
        <w:rFonts w:hint="default"/>
        <w:lang w:val="en-US" w:eastAsia="zh-CN" w:bidi="ar-SA"/>
      </w:rPr>
    </w:lvl>
  </w:abstractNum>
  <w:abstractNum w:abstractNumId="52">
    <w:nsid w:val="E7B27C5B"/>
    <w:multiLevelType w:val="multilevel"/>
    <w:tmpl w:val="E7B27C5B"/>
    <w:lvl w:ilvl="0" w:tentative="0">
      <w:start w:val="1"/>
      <w:numFmt w:val="decimal"/>
      <w:lvlText w:val="（%1）"/>
      <w:lvlJc w:val="left"/>
      <w:pPr>
        <w:ind w:left="685" w:hanging="529"/>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7" w:hanging="529"/>
      </w:pPr>
      <w:rPr>
        <w:rFonts w:hint="default"/>
        <w:lang w:val="en-US" w:eastAsia="zh-CN" w:bidi="ar-SA"/>
      </w:rPr>
    </w:lvl>
    <w:lvl w:ilvl="2" w:tentative="0">
      <w:start w:val="0"/>
      <w:numFmt w:val="bullet"/>
      <w:lvlText w:val="•"/>
      <w:lvlJc w:val="left"/>
      <w:pPr>
        <w:ind w:left="1875" w:hanging="529"/>
      </w:pPr>
      <w:rPr>
        <w:rFonts w:hint="default"/>
        <w:lang w:val="en-US" w:eastAsia="zh-CN" w:bidi="ar-SA"/>
      </w:rPr>
    </w:lvl>
    <w:lvl w:ilvl="3" w:tentative="0">
      <w:start w:val="0"/>
      <w:numFmt w:val="bullet"/>
      <w:lvlText w:val="•"/>
      <w:lvlJc w:val="left"/>
      <w:pPr>
        <w:ind w:left="2473" w:hanging="529"/>
      </w:pPr>
      <w:rPr>
        <w:rFonts w:hint="default"/>
        <w:lang w:val="en-US" w:eastAsia="zh-CN" w:bidi="ar-SA"/>
      </w:rPr>
    </w:lvl>
    <w:lvl w:ilvl="4" w:tentative="0">
      <w:start w:val="0"/>
      <w:numFmt w:val="bullet"/>
      <w:lvlText w:val="•"/>
      <w:lvlJc w:val="left"/>
      <w:pPr>
        <w:ind w:left="3071" w:hanging="529"/>
      </w:pPr>
      <w:rPr>
        <w:rFonts w:hint="default"/>
        <w:lang w:val="en-US" w:eastAsia="zh-CN" w:bidi="ar-SA"/>
      </w:rPr>
    </w:lvl>
    <w:lvl w:ilvl="5" w:tentative="0">
      <w:start w:val="0"/>
      <w:numFmt w:val="bullet"/>
      <w:lvlText w:val="•"/>
      <w:lvlJc w:val="left"/>
      <w:pPr>
        <w:ind w:left="3669" w:hanging="529"/>
      </w:pPr>
      <w:rPr>
        <w:rFonts w:hint="default"/>
        <w:lang w:val="en-US" w:eastAsia="zh-CN" w:bidi="ar-SA"/>
      </w:rPr>
    </w:lvl>
    <w:lvl w:ilvl="6" w:tentative="0">
      <w:start w:val="0"/>
      <w:numFmt w:val="bullet"/>
      <w:lvlText w:val="•"/>
      <w:lvlJc w:val="left"/>
      <w:pPr>
        <w:ind w:left="4267" w:hanging="529"/>
      </w:pPr>
      <w:rPr>
        <w:rFonts w:hint="default"/>
        <w:lang w:val="en-US" w:eastAsia="zh-CN" w:bidi="ar-SA"/>
      </w:rPr>
    </w:lvl>
    <w:lvl w:ilvl="7" w:tentative="0">
      <w:start w:val="0"/>
      <w:numFmt w:val="bullet"/>
      <w:lvlText w:val="•"/>
      <w:lvlJc w:val="left"/>
      <w:pPr>
        <w:ind w:left="4865" w:hanging="529"/>
      </w:pPr>
      <w:rPr>
        <w:rFonts w:hint="default"/>
        <w:lang w:val="en-US" w:eastAsia="zh-CN" w:bidi="ar-SA"/>
      </w:rPr>
    </w:lvl>
    <w:lvl w:ilvl="8" w:tentative="0">
      <w:start w:val="0"/>
      <w:numFmt w:val="bullet"/>
      <w:lvlText w:val="•"/>
      <w:lvlJc w:val="left"/>
      <w:pPr>
        <w:ind w:left="5463" w:hanging="529"/>
      </w:pPr>
      <w:rPr>
        <w:rFonts w:hint="default"/>
        <w:lang w:val="en-US" w:eastAsia="zh-CN" w:bidi="ar-SA"/>
      </w:rPr>
    </w:lvl>
  </w:abstractNum>
  <w:abstractNum w:abstractNumId="53">
    <w:nsid w:val="F0E89278"/>
    <w:multiLevelType w:val="multilevel"/>
    <w:tmpl w:val="F0E89278"/>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54">
    <w:nsid w:val="F3A33954"/>
    <w:multiLevelType w:val="multilevel"/>
    <w:tmpl w:val="F3A33954"/>
    <w:lvl w:ilvl="0" w:tentative="0">
      <w:start w:val="5"/>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0" w:hanging="529"/>
      </w:pPr>
      <w:rPr>
        <w:rFonts w:hint="default"/>
        <w:lang w:val="en-US" w:eastAsia="zh-CN" w:bidi="ar-SA"/>
      </w:rPr>
    </w:lvl>
    <w:lvl w:ilvl="2" w:tentative="0">
      <w:start w:val="0"/>
      <w:numFmt w:val="bullet"/>
      <w:lvlText w:val="•"/>
      <w:lvlJc w:val="left"/>
      <w:pPr>
        <w:ind w:left="1701" w:hanging="529"/>
      </w:pPr>
      <w:rPr>
        <w:rFonts w:hint="default"/>
        <w:lang w:val="en-US" w:eastAsia="zh-CN" w:bidi="ar-SA"/>
      </w:rPr>
    </w:lvl>
    <w:lvl w:ilvl="3" w:tentative="0">
      <w:start w:val="0"/>
      <w:numFmt w:val="bullet"/>
      <w:lvlText w:val="•"/>
      <w:lvlJc w:val="left"/>
      <w:pPr>
        <w:ind w:left="2241" w:hanging="529"/>
      </w:pPr>
      <w:rPr>
        <w:rFonts w:hint="default"/>
        <w:lang w:val="en-US" w:eastAsia="zh-CN" w:bidi="ar-SA"/>
      </w:rPr>
    </w:lvl>
    <w:lvl w:ilvl="4" w:tentative="0">
      <w:start w:val="0"/>
      <w:numFmt w:val="bullet"/>
      <w:lvlText w:val="•"/>
      <w:lvlJc w:val="left"/>
      <w:pPr>
        <w:ind w:left="2782" w:hanging="529"/>
      </w:pPr>
      <w:rPr>
        <w:rFonts w:hint="default"/>
        <w:lang w:val="en-US" w:eastAsia="zh-CN" w:bidi="ar-SA"/>
      </w:rPr>
    </w:lvl>
    <w:lvl w:ilvl="5" w:tentative="0">
      <w:start w:val="0"/>
      <w:numFmt w:val="bullet"/>
      <w:lvlText w:val="•"/>
      <w:lvlJc w:val="left"/>
      <w:pPr>
        <w:ind w:left="3323" w:hanging="529"/>
      </w:pPr>
      <w:rPr>
        <w:rFonts w:hint="default"/>
        <w:lang w:val="en-US" w:eastAsia="zh-CN" w:bidi="ar-SA"/>
      </w:rPr>
    </w:lvl>
    <w:lvl w:ilvl="6" w:tentative="0">
      <w:start w:val="0"/>
      <w:numFmt w:val="bullet"/>
      <w:lvlText w:val="•"/>
      <w:lvlJc w:val="left"/>
      <w:pPr>
        <w:ind w:left="3863" w:hanging="529"/>
      </w:pPr>
      <w:rPr>
        <w:rFonts w:hint="default"/>
        <w:lang w:val="en-US" w:eastAsia="zh-CN" w:bidi="ar-SA"/>
      </w:rPr>
    </w:lvl>
    <w:lvl w:ilvl="7" w:tentative="0">
      <w:start w:val="0"/>
      <w:numFmt w:val="bullet"/>
      <w:lvlText w:val="•"/>
      <w:lvlJc w:val="left"/>
      <w:pPr>
        <w:ind w:left="4404" w:hanging="529"/>
      </w:pPr>
      <w:rPr>
        <w:rFonts w:hint="default"/>
        <w:lang w:val="en-US" w:eastAsia="zh-CN" w:bidi="ar-SA"/>
      </w:rPr>
    </w:lvl>
    <w:lvl w:ilvl="8" w:tentative="0">
      <w:start w:val="0"/>
      <w:numFmt w:val="bullet"/>
      <w:lvlText w:val="•"/>
      <w:lvlJc w:val="left"/>
      <w:pPr>
        <w:ind w:left="4944" w:hanging="529"/>
      </w:pPr>
      <w:rPr>
        <w:rFonts w:hint="default"/>
        <w:lang w:val="en-US" w:eastAsia="zh-CN" w:bidi="ar-SA"/>
      </w:rPr>
    </w:lvl>
  </w:abstractNum>
  <w:abstractNum w:abstractNumId="55">
    <w:nsid w:val="F4A942FE"/>
    <w:multiLevelType w:val="multilevel"/>
    <w:tmpl w:val="F4A942FE"/>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56">
    <w:nsid w:val="F4B5D9F5"/>
    <w:multiLevelType w:val="multilevel"/>
    <w:tmpl w:val="F4B5D9F5"/>
    <w:lvl w:ilvl="0" w:tentative="0">
      <w:start w:val="1"/>
      <w:numFmt w:val="decimal"/>
      <w:lvlText w:val="（%1）"/>
      <w:lvlJc w:val="left"/>
      <w:pPr>
        <w:ind w:left="3830" w:hanging="529"/>
        <w:jc w:val="left"/>
      </w:pPr>
      <w:rPr>
        <w:rFonts w:hint="default" w:ascii="宋体" w:hAnsi="宋体" w:eastAsia="宋体" w:cs="宋体"/>
        <w:b w:val="0"/>
        <w:bCs w:val="0"/>
        <w:i w:val="0"/>
        <w:iCs w:val="0"/>
        <w:spacing w:val="-1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57">
    <w:nsid w:val="F585BF25"/>
    <w:multiLevelType w:val="multilevel"/>
    <w:tmpl w:val="F585BF25"/>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0" w:hanging="529"/>
      </w:pPr>
      <w:rPr>
        <w:rFonts w:hint="default"/>
        <w:lang w:val="en-US" w:eastAsia="zh-CN" w:bidi="ar-SA"/>
      </w:rPr>
    </w:lvl>
    <w:lvl w:ilvl="2" w:tentative="0">
      <w:start w:val="0"/>
      <w:numFmt w:val="bullet"/>
      <w:lvlText w:val="•"/>
      <w:lvlJc w:val="left"/>
      <w:pPr>
        <w:ind w:left="1720" w:hanging="529"/>
      </w:pPr>
      <w:rPr>
        <w:rFonts w:hint="default"/>
        <w:lang w:val="en-US" w:eastAsia="zh-CN" w:bidi="ar-SA"/>
      </w:rPr>
    </w:lvl>
    <w:lvl w:ilvl="3" w:tentative="0">
      <w:start w:val="0"/>
      <w:numFmt w:val="bullet"/>
      <w:lvlText w:val="•"/>
      <w:lvlJc w:val="left"/>
      <w:pPr>
        <w:ind w:left="2270" w:hanging="529"/>
      </w:pPr>
      <w:rPr>
        <w:rFonts w:hint="default"/>
        <w:lang w:val="en-US" w:eastAsia="zh-CN" w:bidi="ar-SA"/>
      </w:rPr>
    </w:lvl>
    <w:lvl w:ilvl="4" w:tentative="0">
      <w:start w:val="0"/>
      <w:numFmt w:val="bullet"/>
      <w:lvlText w:val="•"/>
      <w:lvlJc w:val="left"/>
      <w:pPr>
        <w:ind w:left="2820" w:hanging="529"/>
      </w:pPr>
      <w:rPr>
        <w:rFonts w:hint="default"/>
        <w:lang w:val="en-US" w:eastAsia="zh-CN" w:bidi="ar-SA"/>
      </w:rPr>
    </w:lvl>
    <w:lvl w:ilvl="5" w:tentative="0">
      <w:start w:val="0"/>
      <w:numFmt w:val="bullet"/>
      <w:lvlText w:val="•"/>
      <w:lvlJc w:val="left"/>
      <w:pPr>
        <w:ind w:left="3370" w:hanging="529"/>
      </w:pPr>
      <w:rPr>
        <w:rFonts w:hint="default"/>
        <w:lang w:val="en-US" w:eastAsia="zh-CN" w:bidi="ar-SA"/>
      </w:rPr>
    </w:lvl>
    <w:lvl w:ilvl="6" w:tentative="0">
      <w:start w:val="0"/>
      <w:numFmt w:val="bullet"/>
      <w:lvlText w:val="•"/>
      <w:lvlJc w:val="left"/>
      <w:pPr>
        <w:ind w:left="3920" w:hanging="529"/>
      </w:pPr>
      <w:rPr>
        <w:rFonts w:hint="default"/>
        <w:lang w:val="en-US" w:eastAsia="zh-CN" w:bidi="ar-SA"/>
      </w:rPr>
    </w:lvl>
    <w:lvl w:ilvl="7" w:tentative="0">
      <w:start w:val="0"/>
      <w:numFmt w:val="bullet"/>
      <w:lvlText w:val="•"/>
      <w:lvlJc w:val="left"/>
      <w:pPr>
        <w:ind w:left="4470" w:hanging="529"/>
      </w:pPr>
      <w:rPr>
        <w:rFonts w:hint="default"/>
        <w:lang w:val="en-US" w:eastAsia="zh-CN" w:bidi="ar-SA"/>
      </w:rPr>
    </w:lvl>
    <w:lvl w:ilvl="8" w:tentative="0">
      <w:start w:val="0"/>
      <w:numFmt w:val="bullet"/>
      <w:lvlText w:val="•"/>
      <w:lvlJc w:val="left"/>
      <w:pPr>
        <w:ind w:left="5020" w:hanging="529"/>
      </w:pPr>
      <w:rPr>
        <w:rFonts w:hint="default"/>
        <w:lang w:val="en-US" w:eastAsia="zh-CN" w:bidi="ar-SA"/>
      </w:rPr>
    </w:lvl>
  </w:abstractNum>
  <w:abstractNum w:abstractNumId="58">
    <w:nsid w:val="F689643B"/>
    <w:multiLevelType w:val="multilevel"/>
    <w:tmpl w:val="F689643B"/>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59">
    <w:nsid w:val="F7735DC9"/>
    <w:multiLevelType w:val="multilevel"/>
    <w:tmpl w:val="F7735DC9"/>
    <w:lvl w:ilvl="0" w:tentative="0">
      <w:start w:val="1"/>
      <w:numFmt w:val="decimal"/>
      <w:lvlText w:val="（%1）"/>
      <w:lvlJc w:val="left"/>
      <w:pPr>
        <w:ind w:left="685" w:hanging="529"/>
        <w:jc w:val="left"/>
      </w:pPr>
      <w:rPr>
        <w:rFonts w:hint="default" w:ascii="宋体" w:hAnsi="宋体" w:eastAsia="宋体" w:cs="宋体"/>
        <w:b w:val="0"/>
        <w:bCs w:val="0"/>
        <w:i w:val="0"/>
        <w:iCs w:val="0"/>
        <w:spacing w:val="-5"/>
        <w:w w:val="100"/>
        <w:sz w:val="19"/>
        <w:szCs w:val="19"/>
        <w:lang w:val="en-US" w:eastAsia="zh-CN" w:bidi="ar-SA"/>
      </w:rPr>
    </w:lvl>
    <w:lvl w:ilvl="1" w:tentative="0">
      <w:start w:val="0"/>
      <w:numFmt w:val="bullet"/>
      <w:lvlText w:val="•"/>
      <w:lvlJc w:val="left"/>
      <w:pPr>
        <w:ind w:left="1277" w:hanging="529"/>
      </w:pPr>
      <w:rPr>
        <w:rFonts w:hint="default"/>
        <w:lang w:val="en-US" w:eastAsia="zh-CN" w:bidi="ar-SA"/>
      </w:rPr>
    </w:lvl>
    <w:lvl w:ilvl="2" w:tentative="0">
      <w:start w:val="0"/>
      <w:numFmt w:val="bullet"/>
      <w:lvlText w:val="•"/>
      <w:lvlJc w:val="left"/>
      <w:pPr>
        <w:ind w:left="1875" w:hanging="529"/>
      </w:pPr>
      <w:rPr>
        <w:rFonts w:hint="default"/>
        <w:lang w:val="en-US" w:eastAsia="zh-CN" w:bidi="ar-SA"/>
      </w:rPr>
    </w:lvl>
    <w:lvl w:ilvl="3" w:tentative="0">
      <w:start w:val="0"/>
      <w:numFmt w:val="bullet"/>
      <w:lvlText w:val="•"/>
      <w:lvlJc w:val="left"/>
      <w:pPr>
        <w:ind w:left="2473" w:hanging="529"/>
      </w:pPr>
      <w:rPr>
        <w:rFonts w:hint="default"/>
        <w:lang w:val="en-US" w:eastAsia="zh-CN" w:bidi="ar-SA"/>
      </w:rPr>
    </w:lvl>
    <w:lvl w:ilvl="4" w:tentative="0">
      <w:start w:val="0"/>
      <w:numFmt w:val="bullet"/>
      <w:lvlText w:val="•"/>
      <w:lvlJc w:val="left"/>
      <w:pPr>
        <w:ind w:left="3071" w:hanging="529"/>
      </w:pPr>
      <w:rPr>
        <w:rFonts w:hint="default"/>
        <w:lang w:val="en-US" w:eastAsia="zh-CN" w:bidi="ar-SA"/>
      </w:rPr>
    </w:lvl>
    <w:lvl w:ilvl="5" w:tentative="0">
      <w:start w:val="0"/>
      <w:numFmt w:val="bullet"/>
      <w:lvlText w:val="•"/>
      <w:lvlJc w:val="left"/>
      <w:pPr>
        <w:ind w:left="3669" w:hanging="529"/>
      </w:pPr>
      <w:rPr>
        <w:rFonts w:hint="default"/>
        <w:lang w:val="en-US" w:eastAsia="zh-CN" w:bidi="ar-SA"/>
      </w:rPr>
    </w:lvl>
    <w:lvl w:ilvl="6" w:tentative="0">
      <w:start w:val="0"/>
      <w:numFmt w:val="bullet"/>
      <w:lvlText w:val="•"/>
      <w:lvlJc w:val="left"/>
      <w:pPr>
        <w:ind w:left="4267" w:hanging="529"/>
      </w:pPr>
      <w:rPr>
        <w:rFonts w:hint="default"/>
        <w:lang w:val="en-US" w:eastAsia="zh-CN" w:bidi="ar-SA"/>
      </w:rPr>
    </w:lvl>
    <w:lvl w:ilvl="7" w:tentative="0">
      <w:start w:val="0"/>
      <w:numFmt w:val="bullet"/>
      <w:lvlText w:val="•"/>
      <w:lvlJc w:val="left"/>
      <w:pPr>
        <w:ind w:left="4865" w:hanging="529"/>
      </w:pPr>
      <w:rPr>
        <w:rFonts w:hint="default"/>
        <w:lang w:val="en-US" w:eastAsia="zh-CN" w:bidi="ar-SA"/>
      </w:rPr>
    </w:lvl>
    <w:lvl w:ilvl="8" w:tentative="0">
      <w:start w:val="0"/>
      <w:numFmt w:val="bullet"/>
      <w:lvlText w:val="•"/>
      <w:lvlJc w:val="left"/>
      <w:pPr>
        <w:ind w:left="5463" w:hanging="529"/>
      </w:pPr>
      <w:rPr>
        <w:rFonts w:hint="default"/>
        <w:lang w:val="en-US" w:eastAsia="zh-CN" w:bidi="ar-SA"/>
      </w:rPr>
    </w:lvl>
  </w:abstractNum>
  <w:abstractNum w:abstractNumId="60">
    <w:nsid w:val="FEC2EA36"/>
    <w:multiLevelType w:val="multilevel"/>
    <w:tmpl w:val="FEC2EA36"/>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61">
    <w:nsid w:val="0053208E"/>
    <w:multiLevelType w:val="multilevel"/>
    <w:tmpl w:val="0053208E"/>
    <w:lvl w:ilvl="0" w:tentative="0">
      <w:start w:val="0"/>
      <w:numFmt w:val="bullet"/>
      <w:lvlText w:val=""/>
      <w:lvlJc w:val="left"/>
      <w:pPr>
        <w:ind w:left="370"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987" w:hanging="264"/>
      </w:pPr>
      <w:rPr>
        <w:rFonts w:hint="default"/>
        <w:lang w:val="en-US" w:eastAsia="zh-CN" w:bidi="ar-SA"/>
      </w:rPr>
    </w:lvl>
    <w:lvl w:ilvl="2" w:tentative="0">
      <w:start w:val="0"/>
      <w:numFmt w:val="bullet"/>
      <w:lvlText w:val="•"/>
      <w:lvlJc w:val="left"/>
      <w:pPr>
        <w:ind w:left="1594" w:hanging="264"/>
      </w:pPr>
      <w:rPr>
        <w:rFonts w:hint="default"/>
        <w:lang w:val="en-US" w:eastAsia="zh-CN" w:bidi="ar-SA"/>
      </w:rPr>
    </w:lvl>
    <w:lvl w:ilvl="3" w:tentative="0">
      <w:start w:val="0"/>
      <w:numFmt w:val="bullet"/>
      <w:lvlText w:val="•"/>
      <w:lvlJc w:val="left"/>
      <w:pPr>
        <w:ind w:left="2202" w:hanging="264"/>
      </w:pPr>
      <w:rPr>
        <w:rFonts w:hint="default"/>
        <w:lang w:val="en-US" w:eastAsia="zh-CN" w:bidi="ar-SA"/>
      </w:rPr>
    </w:lvl>
    <w:lvl w:ilvl="4" w:tentative="0">
      <w:start w:val="0"/>
      <w:numFmt w:val="bullet"/>
      <w:lvlText w:val="•"/>
      <w:lvlJc w:val="left"/>
      <w:pPr>
        <w:ind w:left="2809" w:hanging="264"/>
      </w:pPr>
      <w:rPr>
        <w:rFonts w:hint="default"/>
        <w:lang w:val="en-US" w:eastAsia="zh-CN" w:bidi="ar-SA"/>
      </w:rPr>
    </w:lvl>
    <w:lvl w:ilvl="5" w:tentative="0">
      <w:start w:val="0"/>
      <w:numFmt w:val="bullet"/>
      <w:lvlText w:val="•"/>
      <w:lvlJc w:val="left"/>
      <w:pPr>
        <w:ind w:left="3417" w:hanging="264"/>
      </w:pPr>
      <w:rPr>
        <w:rFonts w:hint="default"/>
        <w:lang w:val="en-US" w:eastAsia="zh-CN" w:bidi="ar-SA"/>
      </w:rPr>
    </w:lvl>
    <w:lvl w:ilvl="6" w:tentative="0">
      <w:start w:val="0"/>
      <w:numFmt w:val="bullet"/>
      <w:lvlText w:val="•"/>
      <w:lvlJc w:val="left"/>
      <w:pPr>
        <w:ind w:left="4024" w:hanging="264"/>
      </w:pPr>
      <w:rPr>
        <w:rFonts w:hint="default"/>
        <w:lang w:val="en-US" w:eastAsia="zh-CN" w:bidi="ar-SA"/>
      </w:rPr>
    </w:lvl>
    <w:lvl w:ilvl="7" w:tentative="0">
      <w:start w:val="0"/>
      <w:numFmt w:val="bullet"/>
      <w:lvlText w:val="•"/>
      <w:lvlJc w:val="left"/>
      <w:pPr>
        <w:ind w:left="4631" w:hanging="264"/>
      </w:pPr>
      <w:rPr>
        <w:rFonts w:hint="default"/>
        <w:lang w:val="en-US" w:eastAsia="zh-CN" w:bidi="ar-SA"/>
      </w:rPr>
    </w:lvl>
    <w:lvl w:ilvl="8" w:tentative="0">
      <w:start w:val="0"/>
      <w:numFmt w:val="bullet"/>
      <w:lvlText w:val="•"/>
      <w:lvlJc w:val="left"/>
      <w:pPr>
        <w:ind w:left="5239" w:hanging="264"/>
      </w:pPr>
      <w:rPr>
        <w:rFonts w:hint="default"/>
        <w:lang w:val="en-US" w:eastAsia="zh-CN" w:bidi="ar-SA"/>
      </w:rPr>
    </w:lvl>
  </w:abstractNum>
  <w:abstractNum w:abstractNumId="62">
    <w:nsid w:val="01836A6D"/>
    <w:multiLevelType w:val="multilevel"/>
    <w:tmpl w:val="01836A6D"/>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63">
    <w:nsid w:val="0248C179"/>
    <w:multiLevelType w:val="multilevel"/>
    <w:tmpl w:val="0248C179"/>
    <w:lvl w:ilvl="0" w:tentative="0">
      <w:start w:val="0"/>
      <w:numFmt w:val="bullet"/>
      <w:lvlText w:val=""/>
      <w:lvlJc w:val="left"/>
      <w:pPr>
        <w:ind w:left="736"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264" w:hanging="264"/>
      </w:pPr>
      <w:rPr>
        <w:rFonts w:hint="default"/>
        <w:lang w:val="en-US" w:eastAsia="zh-CN" w:bidi="ar-SA"/>
      </w:rPr>
    </w:lvl>
    <w:lvl w:ilvl="2" w:tentative="0">
      <w:start w:val="0"/>
      <w:numFmt w:val="bullet"/>
      <w:lvlText w:val="•"/>
      <w:lvlJc w:val="left"/>
      <w:pPr>
        <w:ind w:left="1789" w:hanging="264"/>
      </w:pPr>
      <w:rPr>
        <w:rFonts w:hint="default"/>
        <w:lang w:val="en-US" w:eastAsia="zh-CN" w:bidi="ar-SA"/>
      </w:rPr>
    </w:lvl>
    <w:lvl w:ilvl="3" w:tentative="0">
      <w:start w:val="0"/>
      <w:numFmt w:val="bullet"/>
      <w:lvlText w:val="•"/>
      <w:lvlJc w:val="left"/>
      <w:pPr>
        <w:ind w:left="2314" w:hanging="264"/>
      </w:pPr>
      <w:rPr>
        <w:rFonts w:hint="default"/>
        <w:lang w:val="en-US" w:eastAsia="zh-CN" w:bidi="ar-SA"/>
      </w:rPr>
    </w:lvl>
    <w:lvl w:ilvl="4" w:tentative="0">
      <w:start w:val="0"/>
      <w:numFmt w:val="bullet"/>
      <w:lvlText w:val="•"/>
      <w:lvlJc w:val="left"/>
      <w:pPr>
        <w:ind w:left="2839" w:hanging="264"/>
      </w:pPr>
      <w:rPr>
        <w:rFonts w:hint="default"/>
        <w:lang w:val="en-US" w:eastAsia="zh-CN" w:bidi="ar-SA"/>
      </w:rPr>
    </w:lvl>
    <w:lvl w:ilvl="5" w:tentative="0">
      <w:start w:val="0"/>
      <w:numFmt w:val="bullet"/>
      <w:lvlText w:val="•"/>
      <w:lvlJc w:val="left"/>
      <w:pPr>
        <w:ind w:left="3364" w:hanging="264"/>
      </w:pPr>
      <w:rPr>
        <w:rFonts w:hint="default"/>
        <w:lang w:val="en-US" w:eastAsia="zh-CN" w:bidi="ar-SA"/>
      </w:rPr>
    </w:lvl>
    <w:lvl w:ilvl="6" w:tentative="0">
      <w:start w:val="0"/>
      <w:numFmt w:val="bullet"/>
      <w:lvlText w:val="•"/>
      <w:lvlJc w:val="left"/>
      <w:pPr>
        <w:ind w:left="3889" w:hanging="264"/>
      </w:pPr>
      <w:rPr>
        <w:rFonts w:hint="default"/>
        <w:lang w:val="en-US" w:eastAsia="zh-CN" w:bidi="ar-SA"/>
      </w:rPr>
    </w:lvl>
    <w:lvl w:ilvl="7" w:tentative="0">
      <w:start w:val="0"/>
      <w:numFmt w:val="bullet"/>
      <w:lvlText w:val="•"/>
      <w:lvlJc w:val="left"/>
      <w:pPr>
        <w:ind w:left="4414" w:hanging="264"/>
      </w:pPr>
      <w:rPr>
        <w:rFonts w:hint="default"/>
        <w:lang w:val="en-US" w:eastAsia="zh-CN" w:bidi="ar-SA"/>
      </w:rPr>
    </w:lvl>
    <w:lvl w:ilvl="8" w:tentative="0">
      <w:start w:val="0"/>
      <w:numFmt w:val="bullet"/>
      <w:lvlText w:val="•"/>
      <w:lvlJc w:val="left"/>
      <w:pPr>
        <w:ind w:left="4939" w:hanging="264"/>
      </w:pPr>
      <w:rPr>
        <w:rFonts w:hint="default"/>
        <w:lang w:val="en-US" w:eastAsia="zh-CN" w:bidi="ar-SA"/>
      </w:rPr>
    </w:lvl>
  </w:abstractNum>
  <w:abstractNum w:abstractNumId="64">
    <w:nsid w:val="03A63A41"/>
    <w:multiLevelType w:val="multilevel"/>
    <w:tmpl w:val="03A63A41"/>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65">
    <w:nsid w:val="03C240C0"/>
    <w:multiLevelType w:val="multilevel"/>
    <w:tmpl w:val="03C240C0"/>
    <w:lvl w:ilvl="0" w:tentative="0">
      <w:start w:val="1"/>
      <w:numFmt w:val="decimal"/>
      <w:lvlText w:val="（%1）"/>
      <w:lvlJc w:val="left"/>
      <w:pPr>
        <w:ind w:left="3836" w:hanging="529"/>
        <w:jc w:val="left"/>
      </w:pPr>
      <w:rPr>
        <w:rFonts w:hint="default" w:ascii="宋体" w:hAnsi="宋体" w:eastAsia="宋体" w:cs="宋体"/>
        <w:b/>
        <w:bCs/>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66">
    <w:nsid w:val="03D62ECE"/>
    <w:multiLevelType w:val="multilevel"/>
    <w:tmpl w:val="03D62ECE"/>
    <w:lvl w:ilvl="0" w:tentative="0">
      <w:start w:val="0"/>
      <w:numFmt w:val="bullet"/>
      <w:lvlText w:val=""/>
      <w:lvlJc w:val="left"/>
      <w:pPr>
        <w:ind w:left="736"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132" w:hanging="264"/>
      </w:pPr>
      <w:rPr>
        <w:rFonts w:hint="default"/>
        <w:lang w:val="en-US" w:eastAsia="zh-CN" w:bidi="ar-SA"/>
      </w:rPr>
    </w:lvl>
    <w:lvl w:ilvl="2" w:tentative="0">
      <w:start w:val="0"/>
      <w:numFmt w:val="bullet"/>
      <w:lvlText w:val="•"/>
      <w:lvlJc w:val="left"/>
      <w:pPr>
        <w:ind w:left="1524" w:hanging="264"/>
      </w:pPr>
      <w:rPr>
        <w:rFonts w:hint="default"/>
        <w:lang w:val="en-US" w:eastAsia="zh-CN" w:bidi="ar-SA"/>
      </w:rPr>
    </w:lvl>
    <w:lvl w:ilvl="3" w:tentative="0">
      <w:start w:val="0"/>
      <w:numFmt w:val="bullet"/>
      <w:lvlText w:val="•"/>
      <w:lvlJc w:val="left"/>
      <w:pPr>
        <w:ind w:left="1916" w:hanging="264"/>
      </w:pPr>
      <w:rPr>
        <w:rFonts w:hint="default"/>
        <w:lang w:val="en-US" w:eastAsia="zh-CN" w:bidi="ar-SA"/>
      </w:rPr>
    </w:lvl>
    <w:lvl w:ilvl="4" w:tentative="0">
      <w:start w:val="0"/>
      <w:numFmt w:val="bullet"/>
      <w:lvlText w:val="•"/>
      <w:lvlJc w:val="left"/>
      <w:pPr>
        <w:ind w:left="2308" w:hanging="264"/>
      </w:pPr>
      <w:rPr>
        <w:rFonts w:hint="default"/>
        <w:lang w:val="en-US" w:eastAsia="zh-CN" w:bidi="ar-SA"/>
      </w:rPr>
    </w:lvl>
    <w:lvl w:ilvl="5" w:tentative="0">
      <w:start w:val="0"/>
      <w:numFmt w:val="bullet"/>
      <w:lvlText w:val="•"/>
      <w:lvlJc w:val="left"/>
      <w:pPr>
        <w:ind w:left="2700" w:hanging="264"/>
      </w:pPr>
      <w:rPr>
        <w:rFonts w:hint="default"/>
        <w:lang w:val="en-US" w:eastAsia="zh-CN" w:bidi="ar-SA"/>
      </w:rPr>
    </w:lvl>
    <w:lvl w:ilvl="6" w:tentative="0">
      <w:start w:val="0"/>
      <w:numFmt w:val="bullet"/>
      <w:lvlText w:val="•"/>
      <w:lvlJc w:val="left"/>
      <w:pPr>
        <w:ind w:left="3092" w:hanging="264"/>
      </w:pPr>
      <w:rPr>
        <w:rFonts w:hint="default"/>
        <w:lang w:val="en-US" w:eastAsia="zh-CN" w:bidi="ar-SA"/>
      </w:rPr>
    </w:lvl>
    <w:lvl w:ilvl="7" w:tentative="0">
      <w:start w:val="0"/>
      <w:numFmt w:val="bullet"/>
      <w:lvlText w:val="•"/>
      <w:lvlJc w:val="left"/>
      <w:pPr>
        <w:ind w:left="3484" w:hanging="264"/>
      </w:pPr>
      <w:rPr>
        <w:rFonts w:hint="default"/>
        <w:lang w:val="en-US" w:eastAsia="zh-CN" w:bidi="ar-SA"/>
      </w:rPr>
    </w:lvl>
    <w:lvl w:ilvl="8" w:tentative="0">
      <w:start w:val="0"/>
      <w:numFmt w:val="bullet"/>
      <w:lvlText w:val="•"/>
      <w:lvlJc w:val="left"/>
      <w:pPr>
        <w:ind w:left="3876" w:hanging="264"/>
      </w:pPr>
      <w:rPr>
        <w:rFonts w:hint="default"/>
        <w:lang w:val="en-US" w:eastAsia="zh-CN" w:bidi="ar-SA"/>
      </w:rPr>
    </w:lvl>
  </w:abstractNum>
  <w:abstractNum w:abstractNumId="67">
    <w:nsid w:val="0709FD3E"/>
    <w:multiLevelType w:val="multilevel"/>
    <w:tmpl w:val="0709FD3E"/>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68">
    <w:nsid w:val="0CEF100B"/>
    <w:multiLevelType w:val="multilevel"/>
    <w:tmpl w:val="0CEF100B"/>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69">
    <w:nsid w:val="0E640482"/>
    <w:multiLevelType w:val="multilevel"/>
    <w:tmpl w:val="0E640482"/>
    <w:lvl w:ilvl="0" w:tentative="0">
      <w:start w:val="1"/>
      <w:numFmt w:val="decimal"/>
      <w:lvlText w:val="（%1）"/>
      <w:lvlJc w:val="left"/>
      <w:pPr>
        <w:ind w:left="3836" w:hanging="529"/>
        <w:jc w:val="left"/>
      </w:pPr>
      <w:rPr>
        <w:rFonts w:hint="default" w:ascii="宋体" w:hAnsi="宋体" w:eastAsia="宋体" w:cs="宋体"/>
        <w:b/>
        <w:bCs/>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70">
    <w:nsid w:val="0F9F9CCA"/>
    <w:multiLevelType w:val="multilevel"/>
    <w:tmpl w:val="0F9F9CCA"/>
    <w:lvl w:ilvl="0" w:tentative="0">
      <w:start w:val="1"/>
      <w:numFmt w:val="decimal"/>
      <w:lvlText w:val="（%1）"/>
      <w:lvlJc w:val="left"/>
      <w:pPr>
        <w:ind w:left="3836" w:hanging="529"/>
        <w:jc w:val="left"/>
      </w:pPr>
      <w:rPr>
        <w:rFonts w:hint="default" w:ascii="宋体" w:hAnsi="宋体" w:eastAsia="宋体" w:cs="宋体"/>
        <w:b/>
        <w:bCs/>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71">
    <w:nsid w:val="10D591E5"/>
    <w:multiLevelType w:val="multilevel"/>
    <w:tmpl w:val="10D591E5"/>
    <w:lvl w:ilvl="0" w:tentative="0">
      <w:start w:val="1"/>
      <w:numFmt w:val="decimal"/>
      <w:lvlText w:val="（%1）"/>
      <w:lvlJc w:val="left"/>
      <w:pPr>
        <w:ind w:left="691" w:hanging="529"/>
        <w:jc w:val="left"/>
      </w:pPr>
      <w:rPr>
        <w:rFonts w:hint="default" w:ascii="宋体" w:hAnsi="宋体" w:eastAsia="宋体" w:cs="宋体"/>
        <w:b w:val="0"/>
        <w:bCs w:val="0"/>
        <w:i w:val="0"/>
        <w:iCs w:val="0"/>
        <w:spacing w:val="-1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72">
    <w:nsid w:val="12EADF99"/>
    <w:multiLevelType w:val="multilevel"/>
    <w:tmpl w:val="12EADF99"/>
    <w:lvl w:ilvl="0" w:tentative="0">
      <w:start w:val="1"/>
      <w:numFmt w:val="decimal"/>
      <w:lvlText w:val="（%1）"/>
      <w:lvlJc w:val="left"/>
      <w:pPr>
        <w:ind w:left="3836" w:hanging="529"/>
        <w:jc w:val="left"/>
      </w:pPr>
      <w:rPr>
        <w:rFonts w:hint="default" w:ascii="宋体" w:hAnsi="宋体" w:eastAsia="宋体" w:cs="宋体"/>
        <w:b w:val="0"/>
        <w:bCs w:val="0"/>
        <w:i w:val="0"/>
        <w:iCs w:val="0"/>
        <w:spacing w:val="-1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73">
    <w:nsid w:val="1450273B"/>
    <w:multiLevelType w:val="multilevel"/>
    <w:tmpl w:val="1450273B"/>
    <w:lvl w:ilvl="0" w:tentative="0">
      <w:start w:val="1"/>
      <w:numFmt w:val="decimal"/>
      <w:lvlText w:val="（%1）"/>
      <w:lvlJc w:val="left"/>
      <w:pPr>
        <w:ind w:left="685"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1277" w:hanging="539"/>
      </w:pPr>
      <w:rPr>
        <w:rFonts w:hint="default"/>
        <w:lang w:val="en-US" w:eastAsia="zh-CN" w:bidi="ar-SA"/>
      </w:rPr>
    </w:lvl>
    <w:lvl w:ilvl="2" w:tentative="0">
      <w:start w:val="0"/>
      <w:numFmt w:val="bullet"/>
      <w:lvlText w:val="•"/>
      <w:lvlJc w:val="left"/>
      <w:pPr>
        <w:ind w:left="1875" w:hanging="539"/>
      </w:pPr>
      <w:rPr>
        <w:rFonts w:hint="default"/>
        <w:lang w:val="en-US" w:eastAsia="zh-CN" w:bidi="ar-SA"/>
      </w:rPr>
    </w:lvl>
    <w:lvl w:ilvl="3" w:tentative="0">
      <w:start w:val="0"/>
      <w:numFmt w:val="bullet"/>
      <w:lvlText w:val="•"/>
      <w:lvlJc w:val="left"/>
      <w:pPr>
        <w:ind w:left="2473" w:hanging="539"/>
      </w:pPr>
      <w:rPr>
        <w:rFonts w:hint="default"/>
        <w:lang w:val="en-US" w:eastAsia="zh-CN" w:bidi="ar-SA"/>
      </w:rPr>
    </w:lvl>
    <w:lvl w:ilvl="4" w:tentative="0">
      <w:start w:val="0"/>
      <w:numFmt w:val="bullet"/>
      <w:lvlText w:val="•"/>
      <w:lvlJc w:val="left"/>
      <w:pPr>
        <w:ind w:left="3071" w:hanging="539"/>
      </w:pPr>
      <w:rPr>
        <w:rFonts w:hint="default"/>
        <w:lang w:val="en-US" w:eastAsia="zh-CN" w:bidi="ar-SA"/>
      </w:rPr>
    </w:lvl>
    <w:lvl w:ilvl="5" w:tentative="0">
      <w:start w:val="0"/>
      <w:numFmt w:val="bullet"/>
      <w:lvlText w:val="•"/>
      <w:lvlJc w:val="left"/>
      <w:pPr>
        <w:ind w:left="3669" w:hanging="539"/>
      </w:pPr>
      <w:rPr>
        <w:rFonts w:hint="default"/>
        <w:lang w:val="en-US" w:eastAsia="zh-CN" w:bidi="ar-SA"/>
      </w:rPr>
    </w:lvl>
    <w:lvl w:ilvl="6" w:tentative="0">
      <w:start w:val="0"/>
      <w:numFmt w:val="bullet"/>
      <w:lvlText w:val="•"/>
      <w:lvlJc w:val="left"/>
      <w:pPr>
        <w:ind w:left="4267" w:hanging="539"/>
      </w:pPr>
      <w:rPr>
        <w:rFonts w:hint="default"/>
        <w:lang w:val="en-US" w:eastAsia="zh-CN" w:bidi="ar-SA"/>
      </w:rPr>
    </w:lvl>
    <w:lvl w:ilvl="7" w:tentative="0">
      <w:start w:val="0"/>
      <w:numFmt w:val="bullet"/>
      <w:lvlText w:val="•"/>
      <w:lvlJc w:val="left"/>
      <w:pPr>
        <w:ind w:left="4865" w:hanging="539"/>
      </w:pPr>
      <w:rPr>
        <w:rFonts w:hint="default"/>
        <w:lang w:val="en-US" w:eastAsia="zh-CN" w:bidi="ar-SA"/>
      </w:rPr>
    </w:lvl>
    <w:lvl w:ilvl="8" w:tentative="0">
      <w:start w:val="0"/>
      <w:numFmt w:val="bullet"/>
      <w:lvlText w:val="•"/>
      <w:lvlJc w:val="left"/>
      <w:pPr>
        <w:ind w:left="5463" w:hanging="539"/>
      </w:pPr>
      <w:rPr>
        <w:rFonts w:hint="default"/>
        <w:lang w:val="en-US" w:eastAsia="zh-CN" w:bidi="ar-SA"/>
      </w:rPr>
    </w:lvl>
  </w:abstractNum>
  <w:abstractNum w:abstractNumId="74">
    <w:nsid w:val="18F74015"/>
    <w:multiLevelType w:val="multilevel"/>
    <w:tmpl w:val="18F74015"/>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75">
    <w:nsid w:val="1ACDE60F"/>
    <w:multiLevelType w:val="multilevel"/>
    <w:tmpl w:val="1ACDE60F"/>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76">
    <w:nsid w:val="1AD50295"/>
    <w:multiLevelType w:val="multilevel"/>
    <w:tmpl w:val="1AD50295"/>
    <w:lvl w:ilvl="0" w:tentative="0">
      <w:start w:val="1"/>
      <w:numFmt w:val="decimal"/>
      <w:lvlText w:val="（%1）"/>
      <w:lvlJc w:val="left"/>
      <w:pPr>
        <w:ind w:left="3846"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36" w:hanging="539"/>
      </w:pPr>
      <w:rPr>
        <w:rFonts w:hint="default"/>
        <w:lang w:val="en-US" w:eastAsia="zh-CN" w:bidi="ar-SA"/>
      </w:rPr>
    </w:lvl>
    <w:lvl w:ilvl="2" w:tentative="0">
      <w:start w:val="0"/>
      <w:numFmt w:val="bullet"/>
      <w:lvlText w:val="•"/>
      <w:lvlJc w:val="left"/>
      <w:pPr>
        <w:ind w:left="5032" w:hanging="539"/>
      </w:pPr>
      <w:rPr>
        <w:rFonts w:hint="default"/>
        <w:lang w:val="en-US" w:eastAsia="zh-CN" w:bidi="ar-SA"/>
      </w:rPr>
    </w:lvl>
    <w:lvl w:ilvl="3" w:tentative="0">
      <w:start w:val="0"/>
      <w:numFmt w:val="bullet"/>
      <w:lvlText w:val="•"/>
      <w:lvlJc w:val="left"/>
      <w:pPr>
        <w:ind w:left="5629" w:hanging="539"/>
      </w:pPr>
      <w:rPr>
        <w:rFonts w:hint="default"/>
        <w:lang w:val="en-US" w:eastAsia="zh-CN" w:bidi="ar-SA"/>
      </w:rPr>
    </w:lvl>
    <w:lvl w:ilvl="4" w:tentative="0">
      <w:start w:val="0"/>
      <w:numFmt w:val="bullet"/>
      <w:lvlText w:val="•"/>
      <w:lvlJc w:val="left"/>
      <w:pPr>
        <w:ind w:left="6225" w:hanging="539"/>
      </w:pPr>
      <w:rPr>
        <w:rFonts w:hint="default"/>
        <w:lang w:val="en-US" w:eastAsia="zh-CN" w:bidi="ar-SA"/>
      </w:rPr>
    </w:lvl>
    <w:lvl w:ilvl="5" w:tentative="0">
      <w:start w:val="0"/>
      <w:numFmt w:val="bullet"/>
      <w:lvlText w:val="•"/>
      <w:lvlJc w:val="left"/>
      <w:pPr>
        <w:ind w:left="6822" w:hanging="539"/>
      </w:pPr>
      <w:rPr>
        <w:rFonts w:hint="default"/>
        <w:lang w:val="en-US" w:eastAsia="zh-CN" w:bidi="ar-SA"/>
      </w:rPr>
    </w:lvl>
    <w:lvl w:ilvl="6" w:tentative="0">
      <w:start w:val="0"/>
      <w:numFmt w:val="bullet"/>
      <w:lvlText w:val="•"/>
      <w:lvlJc w:val="left"/>
      <w:pPr>
        <w:ind w:left="7418" w:hanging="539"/>
      </w:pPr>
      <w:rPr>
        <w:rFonts w:hint="default"/>
        <w:lang w:val="en-US" w:eastAsia="zh-CN" w:bidi="ar-SA"/>
      </w:rPr>
    </w:lvl>
    <w:lvl w:ilvl="7" w:tentative="0">
      <w:start w:val="0"/>
      <w:numFmt w:val="bullet"/>
      <w:lvlText w:val="•"/>
      <w:lvlJc w:val="left"/>
      <w:pPr>
        <w:ind w:left="8014" w:hanging="539"/>
      </w:pPr>
      <w:rPr>
        <w:rFonts w:hint="default"/>
        <w:lang w:val="en-US" w:eastAsia="zh-CN" w:bidi="ar-SA"/>
      </w:rPr>
    </w:lvl>
    <w:lvl w:ilvl="8" w:tentative="0">
      <w:start w:val="0"/>
      <w:numFmt w:val="bullet"/>
      <w:lvlText w:val="•"/>
      <w:lvlJc w:val="left"/>
      <w:pPr>
        <w:ind w:left="8611" w:hanging="539"/>
      </w:pPr>
      <w:rPr>
        <w:rFonts w:hint="default"/>
        <w:lang w:val="en-US" w:eastAsia="zh-CN" w:bidi="ar-SA"/>
      </w:rPr>
    </w:lvl>
  </w:abstractNum>
  <w:abstractNum w:abstractNumId="77">
    <w:nsid w:val="1BCBBCF0"/>
    <w:multiLevelType w:val="multilevel"/>
    <w:tmpl w:val="1BCBBCF0"/>
    <w:lvl w:ilvl="0" w:tentative="0">
      <w:start w:val="3"/>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3" w:hanging="529"/>
      </w:pPr>
      <w:rPr>
        <w:rFonts w:hint="default"/>
        <w:lang w:val="en-US" w:eastAsia="zh-CN" w:bidi="ar-SA"/>
      </w:rPr>
    </w:lvl>
    <w:lvl w:ilvl="2" w:tentative="0">
      <w:start w:val="0"/>
      <w:numFmt w:val="bullet"/>
      <w:lvlText w:val="•"/>
      <w:lvlJc w:val="left"/>
      <w:pPr>
        <w:ind w:left="1707" w:hanging="529"/>
      </w:pPr>
      <w:rPr>
        <w:rFonts w:hint="default"/>
        <w:lang w:val="en-US" w:eastAsia="zh-CN" w:bidi="ar-SA"/>
      </w:rPr>
    </w:lvl>
    <w:lvl w:ilvl="3" w:tentative="0">
      <w:start w:val="0"/>
      <w:numFmt w:val="bullet"/>
      <w:lvlText w:val="•"/>
      <w:lvlJc w:val="left"/>
      <w:pPr>
        <w:ind w:left="2251" w:hanging="529"/>
      </w:pPr>
      <w:rPr>
        <w:rFonts w:hint="default"/>
        <w:lang w:val="en-US" w:eastAsia="zh-CN" w:bidi="ar-SA"/>
      </w:rPr>
    </w:lvl>
    <w:lvl w:ilvl="4" w:tentative="0">
      <w:start w:val="0"/>
      <w:numFmt w:val="bullet"/>
      <w:lvlText w:val="•"/>
      <w:lvlJc w:val="left"/>
      <w:pPr>
        <w:ind w:left="2795" w:hanging="529"/>
      </w:pPr>
      <w:rPr>
        <w:rFonts w:hint="default"/>
        <w:lang w:val="en-US" w:eastAsia="zh-CN" w:bidi="ar-SA"/>
      </w:rPr>
    </w:lvl>
    <w:lvl w:ilvl="5" w:tentative="0">
      <w:start w:val="0"/>
      <w:numFmt w:val="bullet"/>
      <w:lvlText w:val="•"/>
      <w:lvlJc w:val="left"/>
      <w:pPr>
        <w:ind w:left="3339" w:hanging="529"/>
      </w:pPr>
      <w:rPr>
        <w:rFonts w:hint="default"/>
        <w:lang w:val="en-US" w:eastAsia="zh-CN" w:bidi="ar-SA"/>
      </w:rPr>
    </w:lvl>
    <w:lvl w:ilvl="6" w:tentative="0">
      <w:start w:val="0"/>
      <w:numFmt w:val="bullet"/>
      <w:lvlText w:val="•"/>
      <w:lvlJc w:val="left"/>
      <w:pPr>
        <w:ind w:left="3882" w:hanging="529"/>
      </w:pPr>
      <w:rPr>
        <w:rFonts w:hint="default"/>
        <w:lang w:val="en-US" w:eastAsia="zh-CN" w:bidi="ar-SA"/>
      </w:rPr>
    </w:lvl>
    <w:lvl w:ilvl="7" w:tentative="0">
      <w:start w:val="0"/>
      <w:numFmt w:val="bullet"/>
      <w:lvlText w:val="•"/>
      <w:lvlJc w:val="left"/>
      <w:pPr>
        <w:ind w:left="4426" w:hanging="529"/>
      </w:pPr>
      <w:rPr>
        <w:rFonts w:hint="default"/>
        <w:lang w:val="en-US" w:eastAsia="zh-CN" w:bidi="ar-SA"/>
      </w:rPr>
    </w:lvl>
    <w:lvl w:ilvl="8" w:tentative="0">
      <w:start w:val="0"/>
      <w:numFmt w:val="bullet"/>
      <w:lvlText w:val="•"/>
      <w:lvlJc w:val="left"/>
      <w:pPr>
        <w:ind w:left="4970" w:hanging="529"/>
      </w:pPr>
      <w:rPr>
        <w:rFonts w:hint="default"/>
        <w:lang w:val="en-US" w:eastAsia="zh-CN" w:bidi="ar-SA"/>
      </w:rPr>
    </w:lvl>
  </w:abstractNum>
  <w:abstractNum w:abstractNumId="78">
    <w:nsid w:val="1C257C7B"/>
    <w:multiLevelType w:val="multilevel"/>
    <w:tmpl w:val="1C257C7B"/>
    <w:lvl w:ilvl="0" w:tentative="0">
      <w:start w:val="1"/>
      <w:numFmt w:val="decimal"/>
      <w:lvlText w:val="（%1）"/>
      <w:lvlJc w:val="left"/>
      <w:pPr>
        <w:ind w:left="3835" w:hanging="529"/>
        <w:jc w:val="left"/>
      </w:pPr>
      <w:rPr>
        <w:rFonts w:hint="default" w:ascii="宋体" w:hAnsi="宋体" w:eastAsia="宋体" w:cs="宋体"/>
        <w:b/>
        <w:bCs/>
        <w:i w:val="0"/>
        <w:iCs w:val="0"/>
        <w:spacing w:val="-39"/>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79">
    <w:nsid w:val="21B3B1B1"/>
    <w:multiLevelType w:val="multilevel"/>
    <w:tmpl w:val="21B3B1B1"/>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80">
    <w:nsid w:val="23E97754"/>
    <w:multiLevelType w:val="multilevel"/>
    <w:tmpl w:val="23E97754"/>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81">
    <w:nsid w:val="243FCF68"/>
    <w:multiLevelType w:val="multilevel"/>
    <w:tmpl w:val="243FCF68"/>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82">
    <w:nsid w:val="2470EC97"/>
    <w:multiLevelType w:val="multilevel"/>
    <w:tmpl w:val="2470EC97"/>
    <w:lvl w:ilvl="0" w:tentative="0">
      <w:start w:val="1"/>
      <w:numFmt w:val="decimal"/>
      <w:lvlText w:val="（%1）"/>
      <w:lvlJc w:val="left"/>
      <w:pPr>
        <w:ind w:left="3830" w:hanging="529"/>
        <w:jc w:val="left"/>
      </w:pPr>
      <w:rPr>
        <w:rFonts w:hint="default"/>
        <w:spacing w:val="-5"/>
        <w:w w:val="100"/>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83">
    <w:nsid w:val="25B654F3"/>
    <w:multiLevelType w:val="multilevel"/>
    <w:tmpl w:val="25B654F3"/>
    <w:lvl w:ilvl="0" w:tentative="0">
      <w:start w:val="0"/>
      <w:numFmt w:val="bullet"/>
      <w:lvlText w:val=""/>
      <w:lvlJc w:val="left"/>
      <w:pPr>
        <w:ind w:left="736"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132" w:hanging="264"/>
      </w:pPr>
      <w:rPr>
        <w:rFonts w:hint="default"/>
        <w:lang w:val="en-US" w:eastAsia="zh-CN" w:bidi="ar-SA"/>
      </w:rPr>
    </w:lvl>
    <w:lvl w:ilvl="2" w:tentative="0">
      <w:start w:val="0"/>
      <w:numFmt w:val="bullet"/>
      <w:lvlText w:val="•"/>
      <w:lvlJc w:val="left"/>
      <w:pPr>
        <w:ind w:left="1524" w:hanging="264"/>
      </w:pPr>
      <w:rPr>
        <w:rFonts w:hint="default"/>
        <w:lang w:val="en-US" w:eastAsia="zh-CN" w:bidi="ar-SA"/>
      </w:rPr>
    </w:lvl>
    <w:lvl w:ilvl="3" w:tentative="0">
      <w:start w:val="0"/>
      <w:numFmt w:val="bullet"/>
      <w:lvlText w:val="•"/>
      <w:lvlJc w:val="left"/>
      <w:pPr>
        <w:ind w:left="1916" w:hanging="264"/>
      </w:pPr>
      <w:rPr>
        <w:rFonts w:hint="default"/>
        <w:lang w:val="en-US" w:eastAsia="zh-CN" w:bidi="ar-SA"/>
      </w:rPr>
    </w:lvl>
    <w:lvl w:ilvl="4" w:tentative="0">
      <w:start w:val="0"/>
      <w:numFmt w:val="bullet"/>
      <w:lvlText w:val="•"/>
      <w:lvlJc w:val="left"/>
      <w:pPr>
        <w:ind w:left="2308" w:hanging="264"/>
      </w:pPr>
      <w:rPr>
        <w:rFonts w:hint="default"/>
        <w:lang w:val="en-US" w:eastAsia="zh-CN" w:bidi="ar-SA"/>
      </w:rPr>
    </w:lvl>
    <w:lvl w:ilvl="5" w:tentative="0">
      <w:start w:val="0"/>
      <w:numFmt w:val="bullet"/>
      <w:lvlText w:val="•"/>
      <w:lvlJc w:val="left"/>
      <w:pPr>
        <w:ind w:left="2700" w:hanging="264"/>
      </w:pPr>
      <w:rPr>
        <w:rFonts w:hint="default"/>
        <w:lang w:val="en-US" w:eastAsia="zh-CN" w:bidi="ar-SA"/>
      </w:rPr>
    </w:lvl>
    <w:lvl w:ilvl="6" w:tentative="0">
      <w:start w:val="0"/>
      <w:numFmt w:val="bullet"/>
      <w:lvlText w:val="•"/>
      <w:lvlJc w:val="left"/>
      <w:pPr>
        <w:ind w:left="3092" w:hanging="264"/>
      </w:pPr>
      <w:rPr>
        <w:rFonts w:hint="default"/>
        <w:lang w:val="en-US" w:eastAsia="zh-CN" w:bidi="ar-SA"/>
      </w:rPr>
    </w:lvl>
    <w:lvl w:ilvl="7" w:tentative="0">
      <w:start w:val="0"/>
      <w:numFmt w:val="bullet"/>
      <w:lvlText w:val="•"/>
      <w:lvlJc w:val="left"/>
      <w:pPr>
        <w:ind w:left="3484" w:hanging="264"/>
      </w:pPr>
      <w:rPr>
        <w:rFonts w:hint="default"/>
        <w:lang w:val="en-US" w:eastAsia="zh-CN" w:bidi="ar-SA"/>
      </w:rPr>
    </w:lvl>
    <w:lvl w:ilvl="8" w:tentative="0">
      <w:start w:val="0"/>
      <w:numFmt w:val="bullet"/>
      <w:lvlText w:val="•"/>
      <w:lvlJc w:val="left"/>
      <w:pPr>
        <w:ind w:left="3876" w:hanging="264"/>
      </w:pPr>
      <w:rPr>
        <w:rFonts w:hint="default"/>
        <w:lang w:val="en-US" w:eastAsia="zh-CN" w:bidi="ar-SA"/>
      </w:rPr>
    </w:lvl>
  </w:abstractNum>
  <w:abstractNum w:abstractNumId="84">
    <w:nsid w:val="2A8F537B"/>
    <w:multiLevelType w:val="multilevel"/>
    <w:tmpl w:val="2A8F537B"/>
    <w:lvl w:ilvl="0" w:tentative="0">
      <w:start w:val="1"/>
      <w:numFmt w:val="decimal"/>
      <w:lvlText w:val="%1"/>
      <w:lvlJc w:val="left"/>
      <w:pPr>
        <w:ind w:left="211" w:hanging="212"/>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581"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792" w:hanging="370"/>
      </w:pPr>
      <w:rPr>
        <w:rFonts w:hint="default"/>
        <w:lang w:val="en-US" w:eastAsia="zh-CN" w:bidi="ar-SA"/>
      </w:rPr>
    </w:lvl>
    <w:lvl w:ilvl="3" w:tentative="0">
      <w:start w:val="0"/>
      <w:numFmt w:val="bullet"/>
      <w:lvlText w:val="•"/>
      <w:lvlJc w:val="left"/>
      <w:pPr>
        <w:ind w:left="1005" w:hanging="370"/>
      </w:pPr>
      <w:rPr>
        <w:rFonts w:hint="default"/>
        <w:lang w:val="en-US" w:eastAsia="zh-CN" w:bidi="ar-SA"/>
      </w:rPr>
    </w:lvl>
    <w:lvl w:ilvl="4" w:tentative="0">
      <w:start w:val="0"/>
      <w:numFmt w:val="bullet"/>
      <w:lvlText w:val="•"/>
      <w:lvlJc w:val="left"/>
      <w:pPr>
        <w:ind w:left="1217" w:hanging="370"/>
      </w:pPr>
      <w:rPr>
        <w:rFonts w:hint="default"/>
        <w:lang w:val="en-US" w:eastAsia="zh-CN" w:bidi="ar-SA"/>
      </w:rPr>
    </w:lvl>
    <w:lvl w:ilvl="5" w:tentative="0">
      <w:start w:val="0"/>
      <w:numFmt w:val="bullet"/>
      <w:lvlText w:val="•"/>
      <w:lvlJc w:val="left"/>
      <w:pPr>
        <w:ind w:left="1430" w:hanging="370"/>
      </w:pPr>
      <w:rPr>
        <w:rFonts w:hint="default"/>
        <w:lang w:val="en-US" w:eastAsia="zh-CN" w:bidi="ar-SA"/>
      </w:rPr>
    </w:lvl>
    <w:lvl w:ilvl="6" w:tentative="0">
      <w:start w:val="0"/>
      <w:numFmt w:val="bullet"/>
      <w:lvlText w:val="•"/>
      <w:lvlJc w:val="left"/>
      <w:pPr>
        <w:ind w:left="1642" w:hanging="370"/>
      </w:pPr>
      <w:rPr>
        <w:rFonts w:hint="default"/>
        <w:lang w:val="en-US" w:eastAsia="zh-CN" w:bidi="ar-SA"/>
      </w:rPr>
    </w:lvl>
    <w:lvl w:ilvl="7" w:tentative="0">
      <w:start w:val="0"/>
      <w:numFmt w:val="bullet"/>
      <w:lvlText w:val="•"/>
      <w:lvlJc w:val="left"/>
      <w:pPr>
        <w:ind w:left="1855" w:hanging="370"/>
      </w:pPr>
      <w:rPr>
        <w:rFonts w:hint="default"/>
        <w:lang w:val="en-US" w:eastAsia="zh-CN" w:bidi="ar-SA"/>
      </w:rPr>
    </w:lvl>
    <w:lvl w:ilvl="8" w:tentative="0">
      <w:start w:val="0"/>
      <w:numFmt w:val="bullet"/>
      <w:lvlText w:val="•"/>
      <w:lvlJc w:val="left"/>
      <w:pPr>
        <w:ind w:left="2067" w:hanging="370"/>
      </w:pPr>
      <w:rPr>
        <w:rFonts w:hint="default"/>
        <w:lang w:val="en-US" w:eastAsia="zh-CN" w:bidi="ar-SA"/>
      </w:rPr>
    </w:lvl>
  </w:abstractNum>
  <w:abstractNum w:abstractNumId="85">
    <w:nsid w:val="2B3F3F89"/>
    <w:multiLevelType w:val="multilevel"/>
    <w:tmpl w:val="2B3F3F89"/>
    <w:lvl w:ilvl="0" w:tentative="0">
      <w:start w:val="3"/>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1" w:hanging="529"/>
      </w:pPr>
      <w:rPr>
        <w:rFonts w:hint="default"/>
        <w:lang w:val="en-US" w:eastAsia="zh-CN" w:bidi="ar-SA"/>
      </w:rPr>
    </w:lvl>
    <w:lvl w:ilvl="2" w:tentative="0">
      <w:start w:val="0"/>
      <w:numFmt w:val="bullet"/>
      <w:lvlText w:val="•"/>
      <w:lvlJc w:val="left"/>
      <w:pPr>
        <w:ind w:left="1703" w:hanging="529"/>
      </w:pPr>
      <w:rPr>
        <w:rFonts w:hint="default"/>
        <w:lang w:val="en-US" w:eastAsia="zh-CN" w:bidi="ar-SA"/>
      </w:rPr>
    </w:lvl>
    <w:lvl w:ilvl="3" w:tentative="0">
      <w:start w:val="0"/>
      <w:numFmt w:val="bullet"/>
      <w:lvlText w:val="•"/>
      <w:lvlJc w:val="left"/>
      <w:pPr>
        <w:ind w:left="2244" w:hanging="529"/>
      </w:pPr>
      <w:rPr>
        <w:rFonts w:hint="default"/>
        <w:lang w:val="en-US" w:eastAsia="zh-CN" w:bidi="ar-SA"/>
      </w:rPr>
    </w:lvl>
    <w:lvl w:ilvl="4" w:tentative="0">
      <w:start w:val="0"/>
      <w:numFmt w:val="bullet"/>
      <w:lvlText w:val="•"/>
      <w:lvlJc w:val="left"/>
      <w:pPr>
        <w:ind w:left="2786" w:hanging="529"/>
      </w:pPr>
      <w:rPr>
        <w:rFonts w:hint="default"/>
        <w:lang w:val="en-US" w:eastAsia="zh-CN" w:bidi="ar-SA"/>
      </w:rPr>
    </w:lvl>
    <w:lvl w:ilvl="5" w:tentative="0">
      <w:start w:val="0"/>
      <w:numFmt w:val="bullet"/>
      <w:lvlText w:val="•"/>
      <w:lvlJc w:val="left"/>
      <w:pPr>
        <w:ind w:left="3328" w:hanging="529"/>
      </w:pPr>
      <w:rPr>
        <w:rFonts w:hint="default"/>
        <w:lang w:val="en-US" w:eastAsia="zh-CN" w:bidi="ar-SA"/>
      </w:rPr>
    </w:lvl>
    <w:lvl w:ilvl="6" w:tentative="0">
      <w:start w:val="0"/>
      <w:numFmt w:val="bullet"/>
      <w:lvlText w:val="•"/>
      <w:lvlJc w:val="left"/>
      <w:pPr>
        <w:ind w:left="3869" w:hanging="529"/>
      </w:pPr>
      <w:rPr>
        <w:rFonts w:hint="default"/>
        <w:lang w:val="en-US" w:eastAsia="zh-CN" w:bidi="ar-SA"/>
      </w:rPr>
    </w:lvl>
    <w:lvl w:ilvl="7" w:tentative="0">
      <w:start w:val="0"/>
      <w:numFmt w:val="bullet"/>
      <w:lvlText w:val="•"/>
      <w:lvlJc w:val="left"/>
      <w:pPr>
        <w:ind w:left="4411" w:hanging="529"/>
      </w:pPr>
      <w:rPr>
        <w:rFonts w:hint="default"/>
        <w:lang w:val="en-US" w:eastAsia="zh-CN" w:bidi="ar-SA"/>
      </w:rPr>
    </w:lvl>
    <w:lvl w:ilvl="8" w:tentative="0">
      <w:start w:val="0"/>
      <w:numFmt w:val="bullet"/>
      <w:lvlText w:val="•"/>
      <w:lvlJc w:val="left"/>
      <w:pPr>
        <w:ind w:left="4952" w:hanging="529"/>
      </w:pPr>
      <w:rPr>
        <w:rFonts w:hint="default"/>
        <w:lang w:val="en-US" w:eastAsia="zh-CN" w:bidi="ar-SA"/>
      </w:rPr>
    </w:lvl>
  </w:abstractNum>
  <w:abstractNum w:abstractNumId="86">
    <w:nsid w:val="2F2D79CE"/>
    <w:multiLevelType w:val="multilevel"/>
    <w:tmpl w:val="2F2D79CE"/>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87">
    <w:nsid w:val="30A0AC00"/>
    <w:multiLevelType w:val="multilevel"/>
    <w:tmpl w:val="30A0AC00"/>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88">
    <w:nsid w:val="30FC5B15"/>
    <w:multiLevelType w:val="multilevel"/>
    <w:tmpl w:val="30FC5B15"/>
    <w:lvl w:ilvl="0" w:tentative="0">
      <w:start w:val="9"/>
      <w:numFmt w:val="decimal"/>
      <w:lvlText w:val="%1"/>
      <w:lvlJc w:val="left"/>
      <w:pPr>
        <w:ind w:left="1338" w:hanging="1004"/>
        <w:jc w:val="left"/>
      </w:pPr>
      <w:rPr>
        <w:rFonts w:hint="default"/>
        <w:lang w:val="en-US" w:eastAsia="zh-CN" w:bidi="ar-SA"/>
      </w:rPr>
    </w:lvl>
    <w:lvl w:ilvl="1" w:tentative="0">
      <w:start w:val="10"/>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1"/>
      <w:numFmt w:val="decimal"/>
      <w:lvlText w:val="（%3）"/>
      <w:lvlJc w:val="left"/>
      <w:pPr>
        <w:ind w:left="3830" w:hanging="529"/>
        <w:jc w:val="left"/>
      </w:pPr>
      <w:rPr>
        <w:rFonts w:hint="default"/>
        <w:spacing w:val="-10"/>
        <w:w w:val="100"/>
        <w:lang w:val="en-US" w:eastAsia="zh-CN" w:bidi="ar-SA"/>
      </w:rPr>
    </w:lvl>
    <w:lvl w:ilvl="3" w:tentative="0">
      <w:start w:val="0"/>
      <w:numFmt w:val="bullet"/>
      <w:lvlText w:val="•"/>
      <w:lvlJc w:val="left"/>
      <w:pPr>
        <w:ind w:left="5165" w:hanging="529"/>
      </w:pPr>
      <w:rPr>
        <w:rFonts w:hint="default"/>
        <w:lang w:val="en-US" w:eastAsia="zh-CN" w:bidi="ar-SA"/>
      </w:rPr>
    </w:lvl>
    <w:lvl w:ilvl="4" w:tentative="0">
      <w:start w:val="0"/>
      <w:numFmt w:val="bullet"/>
      <w:lvlText w:val="•"/>
      <w:lvlJc w:val="left"/>
      <w:pPr>
        <w:ind w:left="5828" w:hanging="529"/>
      </w:pPr>
      <w:rPr>
        <w:rFonts w:hint="default"/>
        <w:lang w:val="en-US" w:eastAsia="zh-CN" w:bidi="ar-SA"/>
      </w:rPr>
    </w:lvl>
    <w:lvl w:ilvl="5" w:tentative="0">
      <w:start w:val="0"/>
      <w:numFmt w:val="bullet"/>
      <w:lvlText w:val="•"/>
      <w:lvlJc w:val="left"/>
      <w:pPr>
        <w:ind w:left="6490" w:hanging="529"/>
      </w:pPr>
      <w:rPr>
        <w:rFonts w:hint="default"/>
        <w:lang w:val="en-US" w:eastAsia="zh-CN" w:bidi="ar-SA"/>
      </w:rPr>
    </w:lvl>
    <w:lvl w:ilvl="6" w:tentative="0">
      <w:start w:val="0"/>
      <w:numFmt w:val="bullet"/>
      <w:lvlText w:val="•"/>
      <w:lvlJc w:val="left"/>
      <w:pPr>
        <w:ind w:left="7153" w:hanging="529"/>
      </w:pPr>
      <w:rPr>
        <w:rFonts w:hint="default"/>
        <w:lang w:val="en-US" w:eastAsia="zh-CN" w:bidi="ar-SA"/>
      </w:rPr>
    </w:lvl>
    <w:lvl w:ilvl="7" w:tentative="0">
      <w:start w:val="0"/>
      <w:numFmt w:val="bullet"/>
      <w:lvlText w:val="•"/>
      <w:lvlJc w:val="left"/>
      <w:pPr>
        <w:ind w:left="7816" w:hanging="529"/>
      </w:pPr>
      <w:rPr>
        <w:rFonts w:hint="default"/>
        <w:lang w:val="en-US" w:eastAsia="zh-CN" w:bidi="ar-SA"/>
      </w:rPr>
    </w:lvl>
    <w:lvl w:ilvl="8" w:tentative="0">
      <w:start w:val="0"/>
      <w:numFmt w:val="bullet"/>
      <w:lvlText w:val="•"/>
      <w:lvlJc w:val="left"/>
      <w:pPr>
        <w:ind w:left="8478" w:hanging="529"/>
      </w:pPr>
      <w:rPr>
        <w:rFonts w:hint="default"/>
        <w:lang w:val="en-US" w:eastAsia="zh-CN" w:bidi="ar-SA"/>
      </w:rPr>
    </w:lvl>
  </w:abstractNum>
  <w:abstractNum w:abstractNumId="89">
    <w:nsid w:val="322D85CA"/>
    <w:multiLevelType w:val="multilevel"/>
    <w:tmpl w:val="322D85CA"/>
    <w:lvl w:ilvl="0" w:tentative="0">
      <w:start w:val="1"/>
      <w:numFmt w:val="decimal"/>
      <w:lvlText w:val="（%1）"/>
      <w:lvlJc w:val="left"/>
      <w:pPr>
        <w:ind w:left="3836" w:hanging="529"/>
        <w:jc w:val="left"/>
      </w:pPr>
      <w:rPr>
        <w:rFonts w:hint="default" w:ascii="宋体" w:hAnsi="宋体" w:eastAsia="宋体" w:cs="宋体"/>
        <w:b/>
        <w:bCs/>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90">
    <w:nsid w:val="32A7AF2D"/>
    <w:multiLevelType w:val="multilevel"/>
    <w:tmpl w:val="32A7AF2D"/>
    <w:lvl w:ilvl="0" w:tentative="0">
      <w:start w:val="1"/>
      <w:numFmt w:val="decimal"/>
      <w:lvlText w:val="（%1）"/>
      <w:lvlJc w:val="left"/>
      <w:pPr>
        <w:ind w:left="701"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1295" w:hanging="539"/>
      </w:pPr>
      <w:rPr>
        <w:rFonts w:hint="default"/>
        <w:lang w:val="en-US" w:eastAsia="zh-CN" w:bidi="ar-SA"/>
      </w:rPr>
    </w:lvl>
    <w:lvl w:ilvl="2" w:tentative="0">
      <w:start w:val="0"/>
      <w:numFmt w:val="bullet"/>
      <w:lvlText w:val="•"/>
      <w:lvlJc w:val="left"/>
      <w:pPr>
        <w:ind w:left="1891" w:hanging="539"/>
      </w:pPr>
      <w:rPr>
        <w:rFonts w:hint="default"/>
        <w:lang w:val="en-US" w:eastAsia="zh-CN" w:bidi="ar-SA"/>
      </w:rPr>
    </w:lvl>
    <w:lvl w:ilvl="3" w:tentative="0">
      <w:start w:val="0"/>
      <w:numFmt w:val="bullet"/>
      <w:lvlText w:val="•"/>
      <w:lvlJc w:val="left"/>
      <w:pPr>
        <w:ind w:left="2487" w:hanging="539"/>
      </w:pPr>
      <w:rPr>
        <w:rFonts w:hint="default"/>
        <w:lang w:val="en-US" w:eastAsia="zh-CN" w:bidi="ar-SA"/>
      </w:rPr>
    </w:lvl>
    <w:lvl w:ilvl="4" w:tentative="0">
      <w:start w:val="0"/>
      <w:numFmt w:val="bullet"/>
      <w:lvlText w:val="•"/>
      <w:lvlJc w:val="left"/>
      <w:pPr>
        <w:ind w:left="3083" w:hanging="539"/>
      </w:pPr>
      <w:rPr>
        <w:rFonts w:hint="default"/>
        <w:lang w:val="en-US" w:eastAsia="zh-CN" w:bidi="ar-SA"/>
      </w:rPr>
    </w:lvl>
    <w:lvl w:ilvl="5" w:tentative="0">
      <w:start w:val="0"/>
      <w:numFmt w:val="bullet"/>
      <w:lvlText w:val="•"/>
      <w:lvlJc w:val="left"/>
      <w:pPr>
        <w:ind w:left="3679" w:hanging="539"/>
      </w:pPr>
      <w:rPr>
        <w:rFonts w:hint="default"/>
        <w:lang w:val="en-US" w:eastAsia="zh-CN" w:bidi="ar-SA"/>
      </w:rPr>
    </w:lvl>
    <w:lvl w:ilvl="6" w:tentative="0">
      <w:start w:val="0"/>
      <w:numFmt w:val="bullet"/>
      <w:lvlText w:val="•"/>
      <w:lvlJc w:val="left"/>
      <w:pPr>
        <w:ind w:left="4275" w:hanging="539"/>
      </w:pPr>
      <w:rPr>
        <w:rFonts w:hint="default"/>
        <w:lang w:val="en-US" w:eastAsia="zh-CN" w:bidi="ar-SA"/>
      </w:rPr>
    </w:lvl>
    <w:lvl w:ilvl="7" w:tentative="0">
      <w:start w:val="0"/>
      <w:numFmt w:val="bullet"/>
      <w:lvlText w:val="•"/>
      <w:lvlJc w:val="left"/>
      <w:pPr>
        <w:ind w:left="4871" w:hanging="539"/>
      </w:pPr>
      <w:rPr>
        <w:rFonts w:hint="default"/>
        <w:lang w:val="en-US" w:eastAsia="zh-CN" w:bidi="ar-SA"/>
      </w:rPr>
    </w:lvl>
    <w:lvl w:ilvl="8" w:tentative="0">
      <w:start w:val="0"/>
      <w:numFmt w:val="bullet"/>
      <w:lvlText w:val="•"/>
      <w:lvlJc w:val="left"/>
      <w:pPr>
        <w:ind w:left="5467" w:hanging="539"/>
      </w:pPr>
      <w:rPr>
        <w:rFonts w:hint="default"/>
        <w:lang w:val="en-US" w:eastAsia="zh-CN" w:bidi="ar-SA"/>
      </w:rPr>
    </w:lvl>
  </w:abstractNum>
  <w:abstractNum w:abstractNumId="91">
    <w:nsid w:val="35E83B33"/>
    <w:multiLevelType w:val="multilevel"/>
    <w:tmpl w:val="35E83B33"/>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92">
    <w:nsid w:val="39A0D9AC"/>
    <w:multiLevelType w:val="multilevel"/>
    <w:tmpl w:val="39A0D9AC"/>
    <w:lvl w:ilvl="0" w:tentative="0">
      <w:start w:val="1"/>
      <w:numFmt w:val="decimal"/>
      <w:lvlText w:val="（%1）"/>
      <w:lvlJc w:val="left"/>
      <w:pPr>
        <w:ind w:left="63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84" w:hanging="529"/>
      </w:pPr>
      <w:rPr>
        <w:rFonts w:hint="default"/>
        <w:lang w:val="en-US" w:eastAsia="zh-CN" w:bidi="ar-SA"/>
      </w:rPr>
    </w:lvl>
    <w:lvl w:ilvl="2" w:tentative="0">
      <w:start w:val="0"/>
      <w:numFmt w:val="bullet"/>
      <w:lvlText w:val="•"/>
      <w:lvlJc w:val="left"/>
      <w:pPr>
        <w:ind w:left="1728" w:hanging="529"/>
      </w:pPr>
      <w:rPr>
        <w:rFonts w:hint="default"/>
        <w:lang w:val="en-US" w:eastAsia="zh-CN" w:bidi="ar-SA"/>
      </w:rPr>
    </w:lvl>
    <w:lvl w:ilvl="3" w:tentative="0">
      <w:start w:val="0"/>
      <w:numFmt w:val="bullet"/>
      <w:lvlText w:val="•"/>
      <w:lvlJc w:val="left"/>
      <w:pPr>
        <w:ind w:left="2273" w:hanging="529"/>
      </w:pPr>
      <w:rPr>
        <w:rFonts w:hint="default"/>
        <w:lang w:val="en-US" w:eastAsia="zh-CN" w:bidi="ar-SA"/>
      </w:rPr>
    </w:lvl>
    <w:lvl w:ilvl="4" w:tentative="0">
      <w:start w:val="0"/>
      <w:numFmt w:val="bullet"/>
      <w:lvlText w:val="•"/>
      <w:lvlJc w:val="left"/>
      <w:pPr>
        <w:ind w:left="2817" w:hanging="529"/>
      </w:pPr>
      <w:rPr>
        <w:rFonts w:hint="default"/>
        <w:lang w:val="en-US" w:eastAsia="zh-CN" w:bidi="ar-SA"/>
      </w:rPr>
    </w:lvl>
    <w:lvl w:ilvl="5" w:tentative="0">
      <w:start w:val="0"/>
      <w:numFmt w:val="bullet"/>
      <w:lvlText w:val="•"/>
      <w:lvlJc w:val="left"/>
      <w:pPr>
        <w:ind w:left="3362" w:hanging="529"/>
      </w:pPr>
      <w:rPr>
        <w:rFonts w:hint="default"/>
        <w:lang w:val="en-US" w:eastAsia="zh-CN" w:bidi="ar-SA"/>
      </w:rPr>
    </w:lvl>
    <w:lvl w:ilvl="6" w:tentative="0">
      <w:start w:val="0"/>
      <w:numFmt w:val="bullet"/>
      <w:lvlText w:val="•"/>
      <w:lvlJc w:val="left"/>
      <w:pPr>
        <w:ind w:left="3906" w:hanging="529"/>
      </w:pPr>
      <w:rPr>
        <w:rFonts w:hint="default"/>
        <w:lang w:val="en-US" w:eastAsia="zh-CN" w:bidi="ar-SA"/>
      </w:rPr>
    </w:lvl>
    <w:lvl w:ilvl="7" w:tentative="0">
      <w:start w:val="0"/>
      <w:numFmt w:val="bullet"/>
      <w:lvlText w:val="•"/>
      <w:lvlJc w:val="left"/>
      <w:pPr>
        <w:ind w:left="4450" w:hanging="529"/>
      </w:pPr>
      <w:rPr>
        <w:rFonts w:hint="default"/>
        <w:lang w:val="en-US" w:eastAsia="zh-CN" w:bidi="ar-SA"/>
      </w:rPr>
    </w:lvl>
    <w:lvl w:ilvl="8" w:tentative="0">
      <w:start w:val="0"/>
      <w:numFmt w:val="bullet"/>
      <w:lvlText w:val="•"/>
      <w:lvlJc w:val="left"/>
      <w:pPr>
        <w:ind w:left="4995" w:hanging="529"/>
      </w:pPr>
      <w:rPr>
        <w:rFonts w:hint="default"/>
        <w:lang w:val="en-US" w:eastAsia="zh-CN" w:bidi="ar-SA"/>
      </w:rPr>
    </w:lvl>
  </w:abstractNum>
  <w:abstractNum w:abstractNumId="93">
    <w:nsid w:val="3B8127DF"/>
    <w:multiLevelType w:val="multilevel"/>
    <w:tmpl w:val="3B8127DF"/>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94">
    <w:nsid w:val="40B249F9"/>
    <w:multiLevelType w:val="multilevel"/>
    <w:tmpl w:val="40B249F9"/>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95">
    <w:nsid w:val="46A08BB8"/>
    <w:multiLevelType w:val="multilevel"/>
    <w:tmpl w:val="46A08BB8"/>
    <w:lvl w:ilvl="0" w:tentative="0">
      <w:start w:val="1"/>
      <w:numFmt w:val="decimal"/>
      <w:lvlText w:val="（%1）"/>
      <w:lvlJc w:val="left"/>
      <w:pPr>
        <w:ind w:left="700" w:hanging="529"/>
        <w:jc w:val="left"/>
      </w:pPr>
      <w:rPr>
        <w:rFonts w:hint="default" w:ascii="宋体" w:hAnsi="宋体" w:eastAsia="宋体" w:cs="宋体"/>
        <w:b w:val="0"/>
        <w:bCs w:val="0"/>
        <w:i w:val="0"/>
        <w:iCs w:val="0"/>
        <w:w w:val="100"/>
        <w:sz w:val="19"/>
        <w:szCs w:val="19"/>
        <w:lang w:val="en-US" w:eastAsia="zh-CN" w:bidi="ar-SA"/>
      </w:rPr>
    </w:lvl>
    <w:lvl w:ilvl="1" w:tentative="0">
      <w:start w:val="4"/>
      <w:numFmt w:val="decimal"/>
      <w:lvlText w:val="（%2）"/>
      <w:lvlJc w:val="left"/>
      <w:pPr>
        <w:ind w:left="3830" w:hanging="529"/>
        <w:jc w:val="left"/>
      </w:pPr>
      <w:rPr>
        <w:rFonts w:hint="default" w:ascii="宋体" w:hAnsi="宋体" w:eastAsia="宋体" w:cs="宋体"/>
        <w:b w:val="0"/>
        <w:bCs w:val="0"/>
        <w:i w:val="0"/>
        <w:iCs w:val="0"/>
        <w:w w:val="100"/>
        <w:sz w:val="19"/>
        <w:szCs w:val="19"/>
        <w:lang w:val="en-US" w:eastAsia="zh-CN" w:bidi="ar-SA"/>
      </w:rPr>
    </w:lvl>
    <w:lvl w:ilvl="2" w:tentative="0">
      <w:start w:val="0"/>
      <w:numFmt w:val="bullet"/>
      <w:lvlText w:val="•"/>
      <w:lvlJc w:val="left"/>
      <w:pPr>
        <w:ind w:left="4154" w:hanging="529"/>
      </w:pPr>
      <w:rPr>
        <w:rFonts w:hint="default"/>
        <w:lang w:val="en-US" w:eastAsia="zh-CN" w:bidi="ar-SA"/>
      </w:rPr>
    </w:lvl>
    <w:lvl w:ilvl="3" w:tentative="0">
      <w:start w:val="0"/>
      <w:numFmt w:val="bullet"/>
      <w:lvlText w:val="•"/>
      <w:lvlJc w:val="left"/>
      <w:pPr>
        <w:ind w:left="4468" w:hanging="529"/>
      </w:pPr>
      <w:rPr>
        <w:rFonts w:hint="default"/>
        <w:lang w:val="en-US" w:eastAsia="zh-CN" w:bidi="ar-SA"/>
      </w:rPr>
    </w:lvl>
    <w:lvl w:ilvl="4" w:tentative="0">
      <w:start w:val="0"/>
      <w:numFmt w:val="bullet"/>
      <w:lvlText w:val="•"/>
      <w:lvlJc w:val="left"/>
      <w:pPr>
        <w:ind w:left="4782" w:hanging="529"/>
      </w:pPr>
      <w:rPr>
        <w:rFonts w:hint="default"/>
        <w:lang w:val="en-US" w:eastAsia="zh-CN" w:bidi="ar-SA"/>
      </w:rPr>
    </w:lvl>
    <w:lvl w:ilvl="5" w:tentative="0">
      <w:start w:val="0"/>
      <w:numFmt w:val="bullet"/>
      <w:lvlText w:val="•"/>
      <w:lvlJc w:val="left"/>
      <w:pPr>
        <w:ind w:left="5096" w:hanging="529"/>
      </w:pPr>
      <w:rPr>
        <w:rFonts w:hint="default"/>
        <w:lang w:val="en-US" w:eastAsia="zh-CN" w:bidi="ar-SA"/>
      </w:rPr>
    </w:lvl>
    <w:lvl w:ilvl="6" w:tentative="0">
      <w:start w:val="0"/>
      <w:numFmt w:val="bullet"/>
      <w:lvlText w:val="•"/>
      <w:lvlJc w:val="left"/>
      <w:pPr>
        <w:ind w:left="5410" w:hanging="529"/>
      </w:pPr>
      <w:rPr>
        <w:rFonts w:hint="default"/>
        <w:lang w:val="en-US" w:eastAsia="zh-CN" w:bidi="ar-SA"/>
      </w:rPr>
    </w:lvl>
    <w:lvl w:ilvl="7" w:tentative="0">
      <w:start w:val="0"/>
      <w:numFmt w:val="bullet"/>
      <w:lvlText w:val="•"/>
      <w:lvlJc w:val="left"/>
      <w:pPr>
        <w:ind w:left="5725" w:hanging="529"/>
      </w:pPr>
      <w:rPr>
        <w:rFonts w:hint="default"/>
        <w:lang w:val="en-US" w:eastAsia="zh-CN" w:bidi="ar-SA"/>
      </w:rPr>
    </w:lvl>
    <w:lvl w:ilvl="8" w:tentative="0">
      <w:start w:val="0"/>
      <w:numFmt w:val="bullet"/>
      <w:lvlText w:val="•"/>
      <w:lvlJc w:val="left"/>
      <w:pPr>
        <w:ind w:left="6039" w:hanging="529"/>
      </w:pPr>
      <w:rPr>
        <w:rFonts w:hint="default"/>
        <w:lang w:val="en-US" w:eastAsia="zh-CN" w:bidi="ar-SA"/>
      </w:rPr>
    </w:lvl>
  </w:abstractNum>
  <w:abstractNum w:abstractNumId="96">
    <w:nsid w:val="4A51D704"/>
    <w:multiLevelType w:val="multilevel"/>
    <w:tmpl w:val="4A51D704"/>
    <w:lvl w:ilvl="0" w:tentative="0">
      <w:start w:val="1"/>
      <w:numFmt w:val="decimal"/>
      <w:lvlText w:val="（%1）"/>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36" w:hanging="539"/>
      </w:pPr>
      <w:rPr>
        <w:rFonts w:hint="default"/>
        <w:lang w:val="en-US" w:eastAsia="zh-CN" w:bidi="ar-SA"/>
      </w:rPr>
    </w:lvl>
    <w:lvl w:ilvl="2" w:tentative="0">
      <w:start w:val="0"/>
      <w:numFmt w:val="bullet"/>
      <w:lvlText w:val="•"/>
      <w:lvlJc w:val="left"/>
      <w:pPr>
        <w:ind w:left="5032" w:hanging="539"/>
      </w:pPr>
      <w:rPr>
        <w:rFonts w:hint="default"/>
        <w:lang w:val="en-US" w:eastAsia="zh-CN" w:bidi="ar-SA"/>
      </w:rPr>
    </w:lvl>
    <w:lvl w:ilvl="3" w:tentative="0">
      <w:start w:val="0"/>
      <w:numFmt w:val="bullet"/>
      <w:lvlText w:val="•"/>
      <w:lvlJc w:val="left"/>
      <w:pPr>
        <w:ind w:left="5629" w:hanging="539"/>
      </w:pPr>
      <w:rPr>
        <w:rFonts w:hint="default"/>
        <w:lang w:val="en-US" w:eastAsia="zh-CN" w:bidi="ar-SA"/>
      </w:rPr>
    </w:lvl>
    <w:lvl w:ilvl="4" w:tentative="0">
      <w:start w:val="0"/>
      <w:numFmt w:val="bullet"/>
      <w:lvlText w:val="•"/>
      <w:lvlJc w:val="left"/>
      <w:pPr>
        <w:ind w:left="6225" w:hanging="539"/>
      </w:pPr>
      <w:rPr>
        <w:rFonts w:hint="default"/>
        <w:lang w:val="en-US" w:eastAsia="zh-CN" w:bidi="ar-SA"/>
      </w:rPr>
    </w:lvl>
    <w:lvl w:ilvl="5" w:tentative="0">
      <w:start w:val="0"/>
      <w:numFmt w:val="bullet"/>
      <w:lvlText w:val="•"/>
      <w:lvlJc w:val="left"/>
      <w:pPr>
        <w:ind w:left="6822" w:hanging="539"/>
      </w:pPr>
      <w:rPr>
        <w:rFonts w:hint="default"/>
        <w:lang w:val="en-US" w:eastAsia="zh-CN" w:bidi="ar-SA"/>
      </w:rPr>
    </w:lvl>
    <w:lvl w:ilvl="6" w:tentative="0">
      <w:start w:val="0"/>
      <w:numFmt w:val="bullet"/>
      <w:lvlText w:val="•"/>
      <w:lvlJc w:val="left"/>
      <w:pPr>
        <w:ind w:left="7418" w:hanging="539"/>
      </w:pPr>
      <w:rPr>
        <w:rFonts w:hint="default"/>
        <w:lang w:val="en-US" w:eastAsia="zh-CN" w:bidi="ar-SA"/>
      </w:rPr>
    </w:lvl>
    <w:lvl w:ilvl="7" w:tentative="0">
      <w:start w:val="0"/>
      <w:numFmt w:val="bullet"/>
      <w:lvlText w:val="•"/>
      <w:lvlJc w:val="left"/>
      <w:pPr>
        <w:ind w:left="8014" w:hanging="539"/>
      </w:pPr>
      <w:rPr>
        <w:rFonts w:hint="default"/>
        <w:lang w:val="en-US" w:eastAsia="zh-CN" w:bidi="ar-SA"/>
      </w:rPr>
    </w:lvl>
    <w:lvl w:ilvl="8" w:tentative="0">
      <w:start w:val="0"/>
      <w:numFmt w:val="bullet"/>
      <w:lvlText w:val="•"/>
      <w:lvlJc w:val="left"/>
      <w:pPr>
        <w:ind w:left="8611" w:hanging="539"/>
      </w:pPr>
      <w:rPr>
        <w:rFonts w:hint="default"/>
        <w:lang w:val="en-US" w:eastAsia="zh-CN" w:bidi="ar-SA"/>
      </w:rPr>
    </w:lvl>
  </w:abstractNum>
  <w:abstractNum w:abstractNumId="97">
    <w:nsid w:val="4C1BAE26"/>
    <w:multiLevelType w:val="multilevel"/>
    <w:tmpl w:val="4C1BAE26"/>
    <w:lvl w:ilvl="0" w:tentative="0">
      <w:start w:val="1"/>
      <w:numFmt w:val="decimal"/>
      <w:lvlText w:val="（%1）"/>
      <w:lvlJc w:val="left"/>
      <w:pPr>
        <w:ind w:left="685"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1277" w:hanging="539"/>
      </w:pPr>
      <w:rPr>
        <w:rFonts w:hint="default"/>
        <w:lang w:val="en-US" w:eastAsia="zh-CN" w:bidi="ar-SA"/>
      </w:rPr>
    </w:lvl>
    <w:lvl w:ilvl="2" w:tentative="0">
      <w:start w:val="0"/>
      <w:numFmt w:val="bullet"/>
      <w:lvlText w:val="•"/>
      <w:lvlJc w:val="left"/>
      <w:pPr>
        <w:ind w:left="1875" w:hanging="539"/>
      </w:pPr>
      <w:rPr>
        <w:rFonts w:hint="default"/>
        <w:lang w:val="en-US" w:eastAsia="zh-CN" w:bidi="ar-SA"/>
      </w:rPr>
    </w:lvl>
    <w:lvl w:ilvl="3" w:tentative="0">
      <w:start w:val="0"/>
      <w:numFmt w:val="bullet"/>
      <w:lvlText w:val="•"/>
      <w:lvlJc w:val="left"/>
      <w:pPr>
        <w:ind w:left="2473" w:hanging="539"/>
      </w:pPr>
      <w:rPr>
        <w:rFonts w:hint="default"/>
        <w:lang w:val="en-US" w:eastAsia="zh-CN" w:bidi="ar-SA"/>
      </w:rPr>
    </w:lvl>
    <w:lvl w:ilvl="4" w:tentative="0">
      <w:start w:val="0"/>
      <w:numFmt w:val="bullet"/>
      <w:lvlText w:val="•"/>
      <w:lvlJc w:val="left"/>
      <w:pPr>
        <w:ind w:left="3071" w:hanging="539"/>
      </w:pPr>
      <w:rPr>
        <w:rFonts w:hint="default"/>
        <w:lang w:val="en-US" w:eastAsia="zh-CN" w:bidi="ar-SA"/>
      </w:rPr>
    </w:lvl>
    <w:lvl w:ilvl="5" w:tentative="0">
      <w:start w:val="0"/>
      <w:numFmt w:val="bullet"/>
      <w:lvlText w:val="•"/>
      <w:lvlJc w:val="left"/>
      <w:pPr>
        <w:ind w:left="3669" w:hanging="539"/>
      </w:pPr>
      <w:rPr>
        <w:rFonts w:hint="default"/>
        <w:lang w:val="en-US" w:eastAsia="zh-CN" w:bidi="ar-SA"/>
      </w:rPr>
    </w:lvl>
    <w:lvl w:ilvl="6" w:tentative="0">
      <w:start w:val="0"/>
      <w:numFmt w:val="bullet"/>
      <w:lvlText w:val="•"/>
      <w:lvlJc w:val="left"/>
      <w:pPr>
        <w:ind w:left="4267" w:hanging="539"/>
      </w:pPr>
      <w:rPr>
        <w:rFonts w:hint="default"/>
        <w:lang w:val="en-US" w:eastAsia="zh-CN" w:bidi="ar-SA"/>
      </w:rPr>
    </w:lvl>
    <w:lvl w:ilvl="7" w:tentative="0">
      <w:start w:val="0"/>
      <w:numFmt w:val="bullet"/>
      <w:lvlText w:val="•"/>
      <w:lvlJc w:val="left"/>
      <w:pPr>
        <w:ind w:left="4865" w:hanging="539"/>
      </w:pPr>
      <w:rPr>
        <w:rFonts w:hint="default"/>
        <w:lang w:val="en-US" w:eastAsia="zh-CN" w:bidi="ar-SA"/>
      </w:rPr>
    </w:lvl>
    <w:lvl w:ilvl="8" w:tentative="0">
      <w:start w:val="0"/>
      <w:numFmt w:val="bullet"/>
      <w:lvlText w:val="•"/>
      <w:lvlJc w:val="left"/>
      <w:pPr>
        <w:ind w:left="5463" w:hanging="539"/>
      </w:pPr>
      <w:rPr>
        <w:rFonts w:hint="default"/>
        <w:lang w:val="en-US" w:eastAsia="zh-CN" w:bidi="ar-SA"/>
      </w:rPr>
    </w:lvl>
  </w:abstractNum>
  <w:abstractNum w:abstractNumId="98">
    <w:nsid w:val="4C3D7A74"/>
    <w:multiLevelType w:val="multilevel"/>
    <w:tmpl w:val="4C3D7A74"/>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99">
    <w:nsid w:val="4CD1E351"/>
    <w:multiLevelType w:val="multilevel"/>
    <w:tmpl w:val="4CD1E351"/>
    <w:lvl w:ilvl="0" w:tentative="0">
      <w:start w:val="10"/>
      <w:numFmt w:val="decimal"/>
      <w:lvlText w:val="%1"/>
      <w:lvlJc w:val="left"/>
      <w:pPr>
        <w:ind w:left="1338" w:hanging="1004"/>
        <w:jc w:val="left"/>
      </w:pPr>
      <w:rPr>
        <w:rFonts w:hint="default"/>
        <w:lang w:val="en-US" w:eastAsia="zh-CN" w:bidi="ar-SA"/>
      </w:rPr>
    </w:lvl>
    <w:lvl w:ilvl="1" w:tentative="0">
      <w:start w:val="78"/>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1"/>
      <w:numFmt w:val="decimal"/>
      <w:lvlText w:val="（%3）"/>
      <w:lvlJc w:val="left"/>
      <w:pPr>
        <w:ind w:left="3836" w:hanging="529"/>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3676" w:hanging="529"/>
      </w:pPr>
      <w:rPr>
        <w:rFonts w:hint="default"/>
        <w:lang w:val="en-US" w:eastAsia="zh-CN" w:bidi="ar-SA"/>
      </w:rPr>
    </w:lvl>
    <w:lvl w:ilvl="4" w:tentative="0">
      <w:start w:val="0"/>
      <w:numFmt w:val="bullet"/>
      <w:lvlText w:val="•"/>
      <w:lvlJc w:val="left"/>
      <w:pPr>
        <w:ind w:left="3595" w:hanging="529"/>
      </w:pPr>
      <w:rPr>
        <w:rFonts w:hint="default"/>
        <w:lang w:val="en-US" w:eastAsia="zh-CN" w:bidi="ar-SA"/>
      </w:rPr>
    </w:lvl>
    <w:lvl w:ilvl="5" w:tentative="0">
      <w:start w:val="0"/>
      <w:numFmt w:val="bullet"/>
      <w:lvlText w:val="•"/>
      <w:lvlJc w:val="left"/>
      <w:pPr>
        <w:ind w:left="3513" w:hanging="529"/>
      </w:pPr>
      <w:rPr>
        <w:rFonts w:hint="default"/>
        <w:lang w:val="en-US" w:eastAsia="zh-CN" w:bidi="ar-SA"/>
      </w:rPr>
    </w:lvl>
    <w:lvl w:ilvl="6" w:tentative="0">
      <w:start w:val="0"/>
      <w:numFmt w:val="bullet"/>
      <w:lvlText w:val="•"/>
      <w:lvlJc w:val="left"/>
      <w:pPr>
        <w:ind w:left="3431" w:hanging="529"/>
      </w:pPr>
      <w:rPr>
        <w:rFonts w:hint="default"/>
        <w:lang w:val="en-US" w:eastAsia="zh-CN" w:bidi="ar-SA"/>
      </w:rPr>
    </w:lvl>
    <w:lvl w:ilvl="7" w:tentative="0">
      <w:start w:val="0"/>
      <w:numFmt w:val="bullet"/>
      <w:lvlText w:val="•"/>
      <w:lvlJc w:val="left"/>
      <w:pPr>
        <w:ind w:left="3350" w:hanging="529"/>
      </w:pPr>
      <w:rPr>
        <w:rFonts w:hint="default"/>
        <w:lang w:val="en-US" w:eastAsia="zh-CN" w:bidi="ar-SA"/>
      </w:rPr>
    </w:lvl>
    <w:lvl w:ilvl="8" w:tentative="0">
      <w:start w:val="0"/>
      <w:numFmt w:val="bullet"/>
      <w:lvlText w:val="•"/>
      <w:lvlJc w:val="left"/>
      <w:pPr>
        <w:ind w:left="3268" w:hanging="529"/>
      </w:pPr>
      <w:rPr>
        <w:rFonts w:hint="default"/>
        <w:lang w:val="en-US" w:eastAsia="zh-CN" w:bidi="ar-SA"/>
      </w:rPr>
    </w:lvl>
  </w:abstractNum>
  <w:abstractNum w:abstractNumId="100">
    <w:nsid w:val="4D4DC07F"/>
    <w:multiLevelType w:val="multilevel"/>
    <w:tmpl w:val="4D4DC07F"/>
    <w:lvl w:ilvl="0" w:tentative="0">
      <w:start w:val="1"/>
      <w:numFmt w:val="decimal"/>
      <w:lvlText w:val="%1"/>
      <w:lvlJc w:val="left"/>
      <w:pPr>
        <w:ind w:left="1338" w:hanging="1004"/>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1"/>
      <w:numFmt w:val="decimal"/>
      <w:lvlText w:val="（%3）"/>
      <w:lvlJc w:val="left"/>
      <w:pPr>
        <w:ind w:left="3830" w:hanging="539"/>
        <w:jc w:val="left"/>
      </w:pPr>
      <w:rPr>
        <w:rFonts w:hint="default"/>
        <w:spacing w:val="0"/>
        <w:w w:val="100"/>
        <w:lang w:val="en-US" w:eastAsia="zh-CN" w:bidi="ar-SA"/>
      </w:rPr>
    </w:lvl>
    <w:lvl w:ilvl="3" w:tentative="0">
      <w:start w:val="0"/>
      <w:numFmt w:val="bullet"/>
      <w:lvlText w:val="•"/>
      <w:lvlJc w:val="left"/>
      <w:pPr>
        <w:ind w:left="5165" w:hanging="539"/>
      </w:pPr>
      <w:rPr>
        <w:rFonts w:hint="default"/>
        <w:lang w:val="en-US" w:eastAsia="zh-CN" w:bidi="ar-SA"/>
      </w:rPr>
    </w:lvl>
    <w:lvl w:ilvl="4" w:tentative="0">
      <w:start w:val="0"/>
      <w:numFmt w:val="bullet"/>
      <w:lvlText w:val="•"/>
      <w:lvlJc w:val="left"/>
      <w:pPr>
        <w:ind w:left="5828" w:hanging="539"/>
      </w:pPr>
      <w:rPr>
        <w:rFonts w:hint="default"/>
        <w:lang w:val="en-US" w:eastAsia="zh-CN" w:bidi="ar-SA"/>
      </w:rPr>
    </w:lvl>
    <w:lvl w:ilvl="5" w:tentative="0">
      <w:start w:val="0"/>
      <w:numFmt w:val="bullet"/>
      <w:lvlText w:val="•"/>
      <w:lvlJc w:val="left"/>
      <w:pPr>
        <w:ind w:left="6490" w:hanging="539"/>
      </w:pPr>
      <w:rPr>
        <w:rFonts w:hint="default"/>
        <w:lang w:val="en-US" w:eastAsia="zh-CN" w:bidi="ar-SA"/>
      </w:rPr>
    </w:lvl>
    <w:lvl w:ilvl="6" w:tentative="0">
      <w:start w:val="0"/>
      <w:numFmt w:val="bullet"/>
      <w:lvlText w:val="•"/>
      <w:lvlJc w:val="left"/>
      <w:pPr>
        <w:ind w:left="7153" w:hanging="539"/>
      </w:pPr>
      <w:rPr>
        <w:rFonts w:hint="default"/>
        <w:lang w:val="en-US" w:eastAsia="zh-CN" w:bidi="ar-SA"/>
      </w:rPr>
    </w:lvl>
    <w:lvl w:ilvl="7" w:tentative="0">
      <w:start w:val="0"/>
      <w:numFmt w:val="bullet"/>
      <w:lvlText w:val="•"/>
      <w:lvlJc w:val="left"/>
      <w:pPr>
        <w:ind w:left="7816" w:hanging="539"/>
      </w:pPr>
      <w:rPr>
        <w:rFonts w:hint="default"/>
        <w:lang w:val="en-US" w:eastAsia="zh-CN" w:bidi="ar-SA"/>
      </w:rPr>
    </w:lvl>
    <w:lvl w:ilvl="8" w:tentative="0">
      <w:start w:val="0"/>
      <w:numFmt w:val="bullet"/>
      <w:lvlText w:val="•"/>
      <w:lvlJc w:val="left"/>
      <w:pPr>
        <w:ind w:left="8478" w:hanging="539"/>
      </w:pPr>
      <w:rPr>
        <w:rFonts w:hint="default"/>
        <w:lang w:val="en-US" w:eastAsia="zh-CN" w:bidi="ar-SA"/>
      </w:rPr>
    </w:lvl>
  </w:abstractNum>
  <w:abstractNum w:abstractNumId="101">
    <w:nsid w:val="4D94DA66"/>
    <w:multiLevelType w:val="multilevel"/>
    <w:tmpl w:val="4D94DA66"/>
    <w:lvl w:ilvl="0" w:tentative="0">
      <w:start w:val="1"/>
      <w:numFmt w:val="decimal"/>
      <w:lvlText w:val="（%1）"/>
      <w:lvlJc w:val="left"/>
      <w:pPr>
        <w:ind w:left="3830" w:hanging="529"/>
        <w:jc w:val="left"/>
      </w:pPr>
      <w:rPr>
        <w:rFonts w:hint="default" w:ascii="宋体" w:hAnsi="宋体" w:eastAsia="宋体" w:cs="宋体"/>
        <w:b w:val="0"/>
        <w:bCs w:val="0"/>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02">
    <w:nsid w:val="51C4BC33"/>
    <w:multiLevelType w:val="multilevel"/>
    <w:tmpl w:val="51C4BC33"/>
    <w:lvl w:ilvl="0" w:tentative="0">
      <w:start w:val="1"/>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1" w:hanging="529"/>
      </w:pPr>
      <w:rPr>
        <w:rFonts w:hint="default"/>
        <w:lang w:val="en-US" w:eastAsia="zh-CN" w:bidi="ar-SA"/>
      </w:rPr>
    </w:lvl>
    <w:lvl w:ilvl="2" w:tentative="0">
      <w:start w:val="0"/>
      <w:numFmt w:val="bullet"/>
      <w:lvlText w:val="•"/>
      <w:lvlJc w:val="left"/>
      <w:pPr>
        <w:ind w:left="1703" w:hanging="529"/>
      </w:pPr>
      <w:rPr>
        <w:rFonts w:hint="default"/>
        <w:lang w:val="en-US" w:eastAsia="zh-CN" w:bidi="ar-SA"/>
      </w:rPr>
    </w:lvl>
    <w:lvl w:ilvl="3" w:tentative="0">
      <w:start w:val="0"/>
      <w:numFmt w:val="bullet"/>
      <w:lvlText w:val="•"/>
      <w:lvlJc w:val="left"/>
      <w:pPr>
        <w:ind w:left="2244" w:hanging="529"/>
      </w:pPr>
      <w:rPr>
        <w:rFonts w:hint="default"/>
        <w:lang w:val="en-US" w:eastAsia="zh-CN" w:bidi="ar-SA"/>
      </w:rPr>
    </w:lvl>
    <w:lvl w:ilvl="4" w:tentative="0">
      <w:start w:val="0"/>
      <w:numFmt w:val="bullet"/>
      <w:lvlText w:val="•"/>
      <w:lvlJc w:val="left"/>
      <w:pPr>
        <w:ind w:left="2786" w:hanging="529"/>
      </w:pPr>
      <w:rPr>
        <w:rFonts w:hint="default"/>
        <w:lang w:val="en-US" w:eastAsia="zh-CN" w:bidi="ar-SA"/>
      </w:rPr>
    </w:lvl>
    <w:lvl w:ilvl="5" w:tentative="0">
      <w:start w:val="0"/>
      <w:numFmt w:val="bullet"/>
      <w:lvlText w:val="•"/>
      <w:lvlJc w:val="left"/>
      <w:pPr>
        <w:ind w:left="3328" w:hanging="529"/>
      </w:pPr>
      <w:rPr>
        <w:rFonts w:hint="default"/>
        <w:lang w:val="en-US" w:eastAsia="zh-CN" w:bidi="ar-SA"/>
      </w:rPr>
    </w:lvl>
    <w:lvl w:ilvl="6" w:tentative="0">
      <w:start w:val="0"/>
      <w:numFmt w:val="bullet"/>
      <w:lvlText w:val="•"/>
      <w:lvlJc w:val="left"/>
      <w:pPr>
        <w:ind w:left="3869" w:hanging="529"/>
      </w:pPr>
      <w:rPr>
        <w:rFonts w:hint="default"/>
        <w:lang w:val="en-US" w:eastAsia="zh-CN" w:bidi="ar-SA"/>
      </w:rPr>
    </w:lvl>
    <w:lvl w:ilvl="7" w:tentative="0">
      <w:start w:val="0"/>
      <w:numFmt w:val="bullet"/>
      <w:lvlText w:val="•"/>
      <w:lvlJc w:val="left"/>
      <w:pPr>
        <w:ind w:left="4411" w:hanging="529"/>
      </w:pPr>
      <w:rPr>
        <w:rFonts w:hint="default"/>
        <w:lang w:val="en-US" w:eastAsia="zh-CN" w:bidi="ar-SA"/>
      </w:rPr>
    </w:lvl>
    <w:lvl w:ilvl="8" w:tentative="0">
      <w:start w:val="0"/>
      <w:numFmt w:val="bullet"/>
      <w:lvlText w:val="•"/>
      <w:lvlJc w:val="left"/>
      <w:pPr>
        <w:ind w:left="4952" w:hanging="529"/>
      </w:pPr>
      <w:rPr>
        <w:rFonts w:hint="default"/>
        <w:lang w:val="en-US" w:eastAsia="zh-CN" w:bidi="ar-SA"/>
      </w:rPr>
    </w:lvl>
  </w:abstractNum>
  <w:abstractNum w:abstractNumId="103">
    <w:nsid w:val="54701CA1"/>
    <w:multiLevelType w:val="multilevel"/>
    <w:tmpl w:val="54701CA1"/>
    <w:lvl w:ilvl="0" w:tentative="0">
      <w:start w:val="7"/>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04">
    <w:nsid w:val="58765686"/>
    <w:multiLevelType w:val="multilevel"/>
    <w:tmpl w:val="58765686"/>
    <w:lvl w:ilvl="0" w:tentative="0">
      <w:start w:val="8"/>
      <w:numFmt w:val="decimal"/>
      <w:lvlText w:val="%1"/>
      <w:lvlJc w:val="left"/>
      <w:pPr>
        <w:ind w:left="1338" w:hanging="1004"/>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tentative="0">
      <w:start w:val="1"/>
      <w:numFmt w:val="decimal"/>
      <w:lvlText w:val="（%3）"/>
      <w:lvlJc w:val="left"/>
      <w:pPr>
        <w:ind w:left="3830" w:hanging="534"/>
        <w:jc w:val="left"/>
      </w:pPr>
      <w:rPr>
        <w:rFonts w:hint="default"/>
        <w:spacing w:val="0"/>
        <w:w w:val="100"/>
        <w:lang w:val="en-US" w:eastAsia="zh-CN" w:bidi="ar-SA"/>
      </w:rPr>
    </w:lvl>
    <w:lvl w:ilvl="3" w:tentative="0">
      <w:start w:val="0"/>
      <w:numFmt w:val="bullet"/>
      <w:lvlText w:val="•"/>
      <w:lvlJc w:val="left"/>
      <w:pPr>
        <w:ind w:left="3676" w:hanging="534"/>
      </w:pPr>
      <w:rPr>
        <w:rFonts w:hint="default"/>
        <w:lang w:val="en-US" w:eastAsia="zh-CN" w:bidi="ar-SA"/>
      </w:rPr>
    </w:lvl>
    <w:lvl w:ilvl="4" w:tentative="0">
      <w:start w:val="0"/>
      <w:numFmt w:val="bullet"/>
      <w:lvlText w:val="•"/>
      <w:lvlJc w:val="left"/>
      <w:pPr>
        <w:ind w:left="3595" w:hanging="534"/>
      </w:pPr>
      <w:rPr>
        <w:rFonts w:hint="default"/>
        <w:lang w:val="en-US" w:eastAsia="zh-CN" w:bidi="ar-SA"/>
      </w:rPr>
    </w:lvl>
    <w:lvl w:ilvl="5" w:tentative="0">
      <w:start w:val="0"/>
      <w:numFmt w:val="bullet"/>
      <w:lvlText w:val="•"/>
      <w:lvlJc w:val="left"/>
      <w:pPr>
        <w:ind w:left="3513" w:hanging="534"/>
      </w:pPr>
      <w:rPr>
        <w:rFonts w:hint="default"/>
        <w:lang w:val="en-US" w:eastAsia="zh-CN" w:bidi="ar-SA"/>
      </w:rPr>
    </w:lvl>
    <w:lvl w:ilvl="6" w:tentative="0">
      <w:start w:val="0"/>
      <w:numFmt w:val="bullet"/>
      <w:lvlText w:val="•"/>
      <w:lvlJc w:val="left"/>
      <w:pPr>
        <w:ind w:left="3431" w:hanging="534"/>
      </w:pPr>
      <w:rPr>
        <w:rFonts w:hint="default"/>
        <w:lang w:val="en-US" w:eastAsia="zh-CN" w:bidi="ar-SA"/>
      </w:rPr>
    </w:lvl>
    <w:lvl w:ilvl="7" w:tentative="0">
      <w:start w:val="0"/>
      <w:numFmt w:val="bullet"/>
      <w:lvlText w:val="•"/>
      <w:lvlJc w:val="left"/>
      <w:pPr>
        <w:ind w:left="3350" w:hanging="534"/>
      </w:pPr>
      <w:rPr>
        <w:rFonts w:hint="default"/>
        <w:lang w:val="en-US" w:eastAsia="zh-CN" w:bidi="ar-SA"/>
      </w:rPr>
    </w:lvl>
    <w:lvl w:ilvl="8" w:tentative="0">
      <w:start w:val="0"/>
      <w:numFmt w:val="bullet"/>
      <w:lvlText w:val="•"/>
      <w:lvlJc w:val="left"/>
      <w:pPr>
        <w:ind w:left="3268" w:hanging="534"/>
      </w:pPr>
      <w:rPr>
        <w:rFonts w:hint="default"/>
        <w:lang w:val="en-US" w:eastAsia="zh-CN" w:bidi="ar-SA"/>
      </w:rPr>
    </w:lvl>
  </w:abstractNum>
  <w:abstractNum w:abstractNumId="105">
    <w:nsid w:val="59ADCABA"/>
    <w:multiLevelType w:val="multilevel"/>
    <w:tmpl w:val="59ADCABA"/>
    <w:lvl w:ilvl="0" w:tentative="0">
      <w:start w:val="0"/>
      <w:numFmt w:val="bullet"/>
      <w:lvlText w:val=""/>
      <w:lvlJc w:val="left"/>
      <w:pPr>
        <w:ind w:left="370"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987" w:hanging="264"/>
      </w:pPr>
      <w:rPr>
        <w:rFonts w:hint="default"/>
        <w:lang w:val="en-US" w:eastAsia="zh-CN" w:bidi="ar-SA"/>
      </w:rPr>
    </w:lvl>
    <w:lvl w:ilvl="2" w:tentative="0">
      <w:start w:val="0"/>
      <w:numFmt w:val="bullet"/>
      <w:lvlText w:val="•"/>
      <w:lvlJc w:val="left"/>
      <w:pPr>
        <w:ind w:left="1594" w:hanging="264"/>
      </w:pPr>
      <w:rPr>
        <w:rFonts w:hint="default"/>
        <w:lang w:val="en-US" w:eastAsia="zh-CN" w:bidi="ar-SA"/>
      </w:rPr>
    </w:lvl>
    <w:lvl w:ilvl="3" w:tentative="0">
      <w:start w:val="0"/>
      <w:numFmt w:val="bullet"/>
      <w:lvlText w:val="•"/>
      <w:lvlJc w:val="left"/>
      <w:pPr>
        <w:ind w:left="2202" w:hanging="264"/>
      </w:pPr>
      <w:rPr>
        <w:rFonts w:hint="default"/>
        <w:lang w:val="en-US" w:eastAsia="zh-CN" w:bidi="ar-SA"/>
      </w:rPr>
    </w:lvl>
    <w:lvl w:ilvl="4" w:tentative="0">
      <w:start w:val="0"/>
      <w:numFmt w:val="bullet"/>
      <w:lvlText w:val="•"/>
      <w:lvlJc w:val="left"/>
      <w:pPr>
        <w:ind w:left="2809" w:hanging="264"/>
      </w:pPr>
      <w:rPr>
        <w:rFonts w:hint="default"/>
        <w:lang w:val="en-US" w:eastAsia="zh-CN" w:bidi="ar-SA"/>
      </w:rPr>
    </w:lvl>
    <w:lvl w:ilvl="5" w:tentative="0">
      <w:start w:val="0"/>
      <w:numFmt w:val="bullet"/>
      <w:lvlText w:val="•"/>
      <w:lvlJc w:val="left"/>
      <w:pPr>
        <w:ind w:left="3417" w:hanging="264"/>
      </w:pPr>
      <w:rPr>
        <w:rFonts w:hint="default"/>
        <w:lang w:val="en-US" w:eastAsia="zh-CN" w:bidi="ar-SA"/>
      </w:rPr>
    </w:lvl>
    <w:lvl w:ilvl="6" w:tentative="0">
      <w:start w:val="0"/>
      <w:numFmt w:val="bullet"/>
      <w:lvlText w:val="•"/>
      <w:lvlJc w:val="left"/>
      <w:pPr>
        <w:ind w:left="4024" w:hanging="264"/>
      </w:pPr>
      <w:rPr>
        <w:rFonts w:hint="default"/>
        <w:lang w:val="en-US" w:eastAsia="zh-CN" w:bidi="ar-SA"/>
      </w:rPr>
    </w:lvl>
    <w:lvl w:ilvl="7" w:tentative="0">
      <w:start w:val="0"/>
      <w:numFmt w:val="bullet"/>
      <w:lvlText w:val="•"/>
      <w:lvlJc w:val="left"/>
      <w:pPr>
        <w:ind w:left="4631" w:hanging="264"/>
      </w:pPr>
      <w:rPr>
        <w:rFonts w:hint="default"/>
        <w:lang w:val="en-US" w:eastAsia="zh-CN" w:bidi="ar-SA"/>
      </w:rPr>
    </w:lvl>
    <w:lvl w:ilvl="8" w:tentative="0">
      <w:start w:val="0"/>
      <w:numFmt w:val="bullet"/>
      <w:lvlText w:val="•"/>
      <w:lvlJc w:val="left"/>
      <w:pPr>
        <w:ind w:left="5239" w:hanging="264"/>
      </w:pPr>
      <w:rPr>
        <w:rFonts w:hint="default"/>
        <w:lang w:val="en-US" w:eastAsia="zh-CN" w:bidi="ar-SA"/>
      </w:rPr>
    </w:lvl>
  </w:abstractNum>
  <w:abstractNum w:abstractNumId="106">
    <w:nsid w:val="59EEFD2A"/>
    <w:multiLevelType w:val="multilevel"/>
    <w:tmpl w:val="59EEFD2A"/>
    <w:lvl w:ilvl="0" w:tentative="0">
      <w:start w:val="1"/>
      <w:numFmt w:val="decimal"/>
      <w:lvlText w:val="（%1）"/>
      <w:lvlJc w:val="left"/>
      <w:pPr>
        <w:ind w:left="629" w:hanging="529"/>
        <w:jc w:val="left"/>
      </w:pPr>
      <w:rPr>
        <w:rFonts w:hint="default" w:ascii="宋体" w:hAnsi="宋体" w:eastAsia="宋体" w:cs="宋体"/>
        <w:b/>
        <w:bCs/>
        <w:i w:val="0"/>
        <w:iCs w:val="0"/>
        <w:spacing w:val="-5"/>
        <w:w w:val="100"/>
        <w:sz w:val="19"/>
        <w:szCs w:val="19"/>
        <w:lang w:val="en-US" w:eastAsia="zh-CN" w:bidi="ar-SA"/>
      </w:rPr>
    </w:lvl>
    <w:lvl w:ilvl="1" w:tentative="0">
      <w:start w:val="0"/>
      <w:numFmt w:val="bullet"/>
      <w:lvlText w:val="•"/>
      <w:lvlJc w:val="left"/>
      <w:pPr>
        <w:ind w:left="1160" w:hanging="529"/>
      </w:pPr>
      <w:rPr>
        <w:rFonts w:hint="default"/>
        <w:lang w:val="en-US" w:eastAsia="zh-CN" w:bidi="ar-SA"/>
      </w:rPr>
    </w:lvl>
    <w:lvl w:ilvl="2" w:tentative="0">
      <w:start w:val="0"/>
      <w:numFmt w:val="bullet"/>
      <w:lvlText w:val="•"/>
      <w:lvlJc w:val="left"/>
      <w:pPr>
        <w:ind w:left="1701" w:hanging="529"/>
      </w:pPr>
      <w:rPr>
        <w:rFonts w:hint="default"/>
        <w:lang w:val="en-US" w:eastAsia="zh-CN" w:bidi="ar-SA"/>
      </w:rPr>
    </w:lvl>
    <w:lvl w:ilvl="3" w:tentative="0">
      <w:start w:val="0"/>
      <w:numFmt w:val="bullet"/>
      <w:lvlText w:val="•"/>
      <w:lvlJc w:val="left"/>
      <w:pPr>
        <w:ind w:left="2242" w:hanging="529"/>
      </w:pPr>
      <w:rPr>
        <w:rFonts w:hint="default"/>
        <w:lang w:val="en-US" w:eastAsia="zh-CN" w:bidi="ar-SA"/>
      </w:rPr>
    </w:lvl>
    <w:lvl w:ilvl="4" w:tentative="0">
      <w:start w:val="0"/>
      <w:numFmt w:val="bullet"/>
      <w:lvlText w:val="•"/>
      <w:lvlJc w:val="left"/>
      <w:pPr>
        <w:ind w:left="2783" w:hanging="529"/>
      </w:pPr>
      <w:rPr>
        <w:rFonts w:hint="default"/>
        <w:lang w:val="en-US" w:eastAsia="zh-CN" w:bidi="ar-SA"/>
      </w:rPr>
    </w:lvl>
    <w:lvl w:ilvl="5" w:tentative="0">
      <w:start w:val="0"/>
      <w:numFmt w:val="bullet"/>
      <w:lvlText w:val="•"/>
      <w:lvlJc w:val="left"/>
      <w:pPr>
        <w:ind w:left="3324" w:hanging="529"/>
      </w:pPr>
      <w:rPr>
        <w:rFonts w:hint="default"/>
        <w:lang w:val="en-US" w:eastAsia="zh-CN" w:bidi="ar-SA"/>
      </w:rPr>
    </w:lvl>
    <w:lvl w:ilvl="6" w:tentative="0">
      <w:start w:val="0"/>
      <w:numFmt w:val="bullet"/>
      <w:lvlText w:val="•"/>
      <w:lvlJc w:val="left"/>
      <w:pPr>
        <w:ind w:left="3864" w:hanging="529"/>
      </w:pPr>
      <w:rPr>
        <w:rFonts w:hint="default"/>
        <w:lang w:val="en-US" w:eastAsia="zh-CN" w:bidi="ar-SA"/>
      </w:rPr>
    </w:lvl>
    <w:lvl w:ilvl="7" w:tentative="0">
      <w:start w:val="0"/>
      <w:numFmt w:val="bullet"/>
      <w:lvlText w:val="•"/>
      <w:lvlJc w:val="left"/>
      <w:pPr>
        <w:ind w:left="4405" w:hanging="529"/>
      </w:pPr>
      <w:rPr>
        <w:rFonts w:hint="default"/>
        <w:lang w:val="en-US" w:eastAsia="zh-CN" w:bidi="ar-SA"/>
      </w:rPr>
    </w:lvl>
    <w:lvl w:ilvl="8" w:tentative="0">
      <w:start w:val="0"/>
      <w:numFmt w:val="bullet"/>
      <w:lvlText w:val="•"/>
      <w:lvlJc w:val="left"/>
      <w:pPr>
        <w:ind w:left="4946" w:hanging="529"/>
      </w:pPr>
      <w:rPr>
        <w:rFonts w:hint="default"/>
        <w:lang w:val="en-US" w:eastAsia="zh-CN" w:bidi="ar-SA"/>
      </w:rPr>
    </w:lvl>
  </w:abstractNum>
  <w:abstractNum w:abstractNumId="107">
    <w:nsid w:val="5A241D34"/>
    <w:multiLevelType w:val="multilevel"/>
    <w:tmpl w:val="5A241D34"/>
    <w:lvl w:ilvl="0" w:tentative="0">
      <w:start w:val="3"/>
      <w:numFmt w:val="decimal"/>
      <w:lvlText w:val="%1"/>
      <w:lvlJc w:val="left"/>
      <w:pPr>
        <w:ind w:left="581" w:hanging="370"/>
        <w:jc w:val="right"/>
      </w:pPr>
      <w:rPr>
        <w:rFonts w:hint="default"/>
        <w:lang w:val="en-US" w:eastAsia="zh-CN" w:bidi="ar-SA"/>
      </w:rPr>
    </w:lvl>
    <w:lvl w:ilvl="1" w:tentative="0">
      <w:start w:val="1"/>
      <w:numFmt w:val="decimal"/>
      <w:lvlText w:val="%1.%2"/>
      <w:lvlJc w:val="left"/>
      <w:pPr>
        <w:ind w:left="581"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1004" w:hanging="370"/>
      </w:pPr>
      <w:rPr>
        <w:rFonts w:hint="default"/>
        <w:lang w:val="en-US" w:eastAsia="zh-CN" w:bidi="ar-SA"/>
      </w:rPr>
    </w:lvl>
    <w:lvl w:ilvl="3" w:tentative="0">
      <w:start w:val="0"/>
      <w:numFmt w:val="bullet"/>
      <w:lvlText w:val="•"/>
      <w:lvlJc w:val="left"/>
      <w:pPr>
        <w:ind w:left="1217" w:hanging="370"/>
      </w:pPr>
      <w:rPr>
        <w:rFonts w:hint="default"/>
        <w:lang w:val="en-US" w:eastAsia="zh-CN" w:bidi="ar-SA"/>
      </w:rPr>
    </w:lvl>
    <w:lvl w:ilvl="4" w:tentative="0">
      <w:start w:val="0"/>
      <w:numFmt w:val="bullet"/>
      <w:lvlText w:val="•"/>
      <w:lvlJc w:val="left"/>
      <w:pPr>
        <w:ind w:left="1429" w:hanging="370"/>
      </w:pPr>
      <w:rPr>
        <w:rFonts w:hint="default"/>
        <w:lang w:val="en-US" w:eastAsia="zh-CN" w:bidi="ar-SA"/>
      </w:rPr>
    </w:lvl>
    <w:lvl w:ilvl="5" w:tentative="0">
      <w:start w:val="0"/>
      <w:numFmt w:val="bullet"/>
      <w:lvlText w:val="•"/>
      <w:lvlJc w:val="left"/>
      <w:pPr>
        <w:ind w:left="1641" w:hanging="370"/>
      </w:pPr>
      <w:rPr>
        <w:rFonts w:hint="default"/>
        <w:lang w:val="en-US" w:eastAsia="zh-CN" w:bidi="ar-SA"/>
      </w:rPr>
    </w:lvl>
    <w:lvl w:ilvl="6" w:tentative="0">
      <w:start w:val="0"/>
      <w:numFmt w:val="bullet"/>
      <w:lvlText w:val="•"/>
      <w:lvlJc w:val="left"/>
      <w:pPr>
        <w:ind w:left="1854" w:hanging="370"/>
      </w:pPr>
      <w:rPr>
        <w:rFonts w:hint="default"/>
        <w:lang w:val="en-US" w:eastAsia="zh-CN" w:bidi="ar-SA"/>
      </w:rPr>
    </w:lvl>
    <w:lvl w:ilvl="7" w:tentative="0">
      <w:start w:val="0"/>
      <w:numFmt w:val="bullet"/>
      <w:lvlText w:val="•"/>
      <w:lvlJc w:val="left"/>
      <w:pPr>
        <w:ind w:left="2066" w:hanging="370"/>
      </w:pPr>
      <w:rPr>
        <w:rFonts w:hint="default"/>
        <w:lang w:val="en-US" w:eastAsia="zh-CN" w:bidi="ar-SA"/>
      </w:rPr>
    </w:lvl>
    <w:lvl w:ilvl="8" w:tentative="0">
      <w:start w:val="0"/>
      <w:numFmt w:val="bullet"/>
      <w:lvlText w:val="•"/>
      <w:lvlJc w:val="left"/>
      <w:pPr>
        <w:ind w:left="2278" w:hanging="370"/>
      </w:pPr>
      <w:rPr>
        <w:rFonts w:hint="default"/>
        <w:lang w:val="en-US" w:eastAsia="zh-CN" w:bidi="ar-SA"/>
      </w:rPr>
    </w:lvl>
  </w:abstractNum>
  <w:abstractNum w:abstractNumId="108">
    <w:nsid w:val="5E29AB5A"/>
    <w:multiLevelType w:val="multilevel"/>
    <w:tmpl w:val="5E29AB5A"/>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109">
    <w:nsid w:val="5FCE4367"/>
    <w:multiLevelType w:val="multilevel"/>
    <w:tmpl w:val="5FCE4367"/>
    <w:lvl w:ilvl="0" w:tentative="0">
      <w:start w:val="2"/>
      <w:numFmt w:val="decimal"/>
      <w:lvlText w:val="（%1）"/>
      <w:lvlJc w:val="left"/>
      <w:pPr>
        <w:ind w:left="62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60" w:hanging="529"/>
      </w:pPr>
      <w:rPr>
        <w:rFonts w:hint="default"/>
        <w:lang w:val="en-US" w:eastAsia="zh-CN" w:bidi="ar-SA"/>
      </w:rPr>
    </w:lvl>
    <w:lvl w:ilvl="2" w:tentative="0">
      <w:start w:val="0"/>
      <w:numFmt w:val="bullet"/>
      <w:lvlText w:val="•"/>
      <w:lvlJc w:val="left"/>
      <w:pPr>
        <w:ind w:left="1701" w:hanging="529"/>
      </w:pPr>
      <w:rPr>
        <w:rFonts w:hint="default"/>
        <w:lang w:val="en-US" w:eastAsia="zh-CN" w:bidi="ar-SA"/>
      </w:rPr>
    </w:lvl>
    <w:lvl w:ilvl="3" w:tentative="0">
      <w:start w:val="0"/>
      <w:numFmt w:val="bullet"/>
      <w:lvlText w:val="•"/>
      <w:lvlJc w:val="left"/>
      <w:pPr>
        <w:ind w:left="2241" w:hanging="529"/>
      </w:pPr>
      <w:rPr>
        <w:rFonts w:hint="default"/>
        <w:lang w:val="en-US" w:eastAsia="zh-CN" w:bidi="ar-SA"/>
      </w:rPr>
    </w:lvl>
    <w:lvl w:ilvl="4" w:tentative="0">
      <w:start w:val="0"/>
      <w:numFmt w:val="bullet"/>
      <w:lvlText w:val="•"/>
      <w:lvlJc w:val="left"/>
      <w:pPr>
        <w:ind w:left="2782" w:hanging="529"/>
      </w:pPr>
      <w:rPr>
        <w:rFonts w:hint="default"/>
        <w:lang w:val="en-US" w:eastAsia="zh-CN" w:bidi="ar-SA"/>
      </w:rPr>
    </w:lvl>
    <w:lvl w:ilvl="5" w:tentative="0">
      <w:start w:val="0"/>
      <w:numFmt w:val="bullet"/>
      <w:lvlText w:val="•"/>
      <w:lvlJc w:val="left"/>
      <w:pPr>
        <w:ind w:left="3323" w:hanging="529"/>
      </w:pPr>
      <w:rPr>
        <w:rFonts w:hint="default"/>
        <w:lang w:val="en-US" w:eastAsia="zh-CN" w:bidi="ar-SA"/>
      </w:rPr>
    </w:lvl>
    <w:lvl w:ilvl="6" w:tentative="0">
      <w:start w:val="0"/>
      <w:numFmt w:val="bullet"/>
      <w:lvlText w:val="•"/>
      <w:lvlJc w:val="left"/>
      <w:pPr>
        <w:ind w:left="3863" w:hanging="529"/>
      </w:pPr>
      <w:rPr>
        <w:rFonts w:hint="default"/>
        <w:lang w:val="en-US" w:eastAsia="zh-CN" w:bidi="ar-SA"/>
      </w:rPr>
    </w:lvl>
    <w:lvl w:ilvl="7" w:tentative="0">
      <w:start w:val="0"/>
      <w:numFmt w:val="bullet"/>
      <w:lvlText w:val="•"/>
      <w:lvlJc w:val="left"/>
      <w:pPr>
        <w:ind w:left="4404" w:hanging="529"/>
      </w:pPr>
      <w:rPr>
        <w:rFonts w:hint="default"/>
        <w:lang w:val="en-US" w:eastAsia="zh-CN" w:bidi="ar-SA"/>
      </w:rPr>
    </w:lvl>
    <w:lvl w:ilvl="8" w:tentative="0">
      <w:start w:val="0"/>
      <w:numFmt w:val="bullet"/>
      <w:lvlText w:val="•"/>
      <w:lvlJc w:val="left"/>
      <w:pPr>
        <w:ind w:left="4944" w:hanging="529"/>
      </w:pPr>
      <w:rPr>
        <w:rFonts w:hint="default"/>
        <w:lang w:val="en-US" w:eastAsia="zh-CN" w:bidi="ar-SA"/>
      </w:rPr>
    </w:lvl>
  </w:abstractNum>
  <w:abstractNum w:abstractNumId="110">
    <w:nsid w:val="5FFFB1A7"/>
    <w:multiLevelType w:val="multilevel"/>
    <w:tmpl w:val="5FFFB1A7"/>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11">
    <w:nsid w:val="60382F6E"/>
    <w:multiLevelType w:val="multilevel"/>
    <w:tmpl w:val="60382F6E"/>
    <w:lvl w:ilvl="0" w:tentative="0">
      <w:start w:val="2"/>
      <w:numFmt w:val="decimal"/>
      <w:lvlText w:val="%1"/>
      <w:lvlJc w:val="left"/>
      <w:pPr>
        <w:ind w:left="1338" w:hanging="1004"/>
        <w:jc w:val="left"/>
      </w:pPr>
      <w:rPr>
        <w:rFonts w:hint="default"/>
        <w:lang w:val="en-US" w:eastAsia="zh-CN" w:bidi="ar-SA"/>
      </w:rPr>
    </w:lvl>
    <w:lvl w:ilvl="1" w:tentative="0">
      <w:start w:val="5"/>
      <w:numFmt w:val="decimal"/>
      <w:lvlText w:val="%1.%2"/>
      <w:lvlJc w:val="left"/>
      <w:pPr>
        <w:ind w:left="1338" w:hanging="1004"/>
        <w:jc w:val="left"/>
      </w:pPr>
      <w:rPr>
        <w:rFonts w:hint="default"/>
        <w:lang w:val="en-US" w:eastAsia="zh-CN" w:bidi="ar-SA"/>
      </w:rPr>
    </w:lvl>
    <w:lvl w:ilvl="2" w:tentative="0">
      <w:start w:val="1"/>
      <w:numFmt w:val="decimal"/>
      <w:lvlText w:val="%1.%2.%3"/>
      <w:lvlJc w:val="left"/>
      <w:pPr>
        <w:ind w:left="1338" w:hanging="1004"/>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3" w:tentative="0">
      <w:start w:val="0"/>
      <w:numFmt w:val="bullet"/>
      <w:lvlText w:val="•"/>
      <w:lvlJc w:val="left"/>
      <w:pPr>
        <w:ind w:left="3879" w:hanging="1004"/>
      </w:pPr>
      <w:rPr>
        <w:rFonts w:hint="default"/>
        <w:lang w:val="en-US" w:eastAsia="zh-CN" w:bidi="ar-SA"/>
      </w:rPr>
    </w:lvl>
    <w:lvl w:ilvl="4" w:tentative="0">
      <w:start w:val="0"/>
      <w:numFmt w:val="bullet"/>
      <w:lvlText w:val="•"/>
      <w:lvlJc w:val="left"/>
      <w:pPr>
        <w:ind w:left="4725" w:hanging="1004"/>
      </w:pPr>
      <w:rPr>
        <w:rFonts w:hint="default"/>
        <w:lang w:val="en-US" w:eastAsia="zh-CN" w:bidi="ar-SA"/>
      </w:rPr>
    </w:lvl>
    <w:lvl w:ilvl="5" w:tentative="0">
      <w:start w:val="0"/>
      <w:numFmt w:val="bullet"/>
      <w:lvlText w:val="•"/>
      <w:lvlJc w:val="left"/>
      <w:pPr>
        <w:ind w:left="5572" w:hanging="1004"/>
      </w:pPr>
      <w:rPr>
        <w:rFonts w:hint="default"/>
        <w:lang w:val="en-US" w:eastAsia="zh-CN" w:bidi="ar-SA"/>
      </w:rPr>
    </w:lvl>
    <w:lvl w:ilvl="6" w:tentative="0">
      <w:start w:val="0"/>
      <w:numFmt w:val="bullet"/>
      <w:lvlText w:val="•"/>
      <w:lvlJc w:val="left"/>
      <w:pPr>
        <w:ind w:left="6418" w:hanging="1004"/>
      </w:pPr>
      <w:rPr>
        <w:rFonts w:hint="default"/>
        <w:lang w:val="en-US" w:eastAsia="zh-CN" w:bidi="ar-SA"/>
      </w:rPr>
    </w:lvl>
    <w:lvl w:ilvl="7" w:tentative="0">
      <w:start w:val="0"/>
      <w:numFmt w:val="bullet"/>
      <w:lvlText w:val="•"/>
      <w:lvlJc w:val="left"/>
      <w:pPr>
        <w:ind w:left="7264" w:hanging="1004"/>
      </w:pPr>
      <w:rPr>
        <w:rFonts w:hint="default"/>
        <w:lang w:val="en-US" w:eastAsia="zh-CN" w:bidi="ar-SA"/>
      </w:rPr>
    </w:lvl>
    <w:lvl w:ilvl="8" w:tentative="0">
      <w:start w:val="0"/>
      <w:numFmt w:val="bullet"/>
      <w:lvlText w:val="•"/>
      <w:lvlJc w:val="left"/>
      <w:pPr>
        <w:ind w:left="8111" w:hanging="1004"/>
      </w:pPr>
      <w:rPr>
        <w:rFonts w:hint="default"/>
        <w:lang w:val="en-US" w:eastAsia="zh-CN" w:bidi="ar-SA"/>
      </w:rPr>
    </w:lvl>
  </w:abstractNum>
  <w:abstractNum w:abstractNumId="112">
    <w:nsid w:val="610EFE5C"/>
    <w:multiLevelType w:val="multilevel"/>
    <w:tmpl w:val="610EFE5C"/>
    <w:lvl w:ilvl="0" w:tentative="0">
      <w:start w:val="1"/>
      <w:numFmt w:val="decimal"/>
      <w:lvlText w:val="（%1）"/>
      <w:lvlJc w:val="left"/>
      <w:pPr>
        <w:ind w:left="599" w:hanging="529"/>
        <w:jc w:val="left"/>
      </w:pPr>
      <w:rPr>
        <w:rFonts w:hint="default" w:ascii="宋体" w:hAnsi="宋体" w:eastAsia="宋体" w:cs="宋体"/>
        <w:b w:val="0"/>
        <w:bCs w:val="0"/>
        <w:i w:val="0"/>
        <w:iCs w:val="0"/>
        <w:w w:val="100"/>
        <w:sz w:val="19"/>
        <w:szCs w:val="19"/>
        <w:lang w:val="en-US" w:eastAsia="zh-CN" w:bidi="ar-SA"/>
      </w:rPr>
    </w:lvl>
    <w:lvl w:ilvl="1" w:tentative="0">
      <w:start w:val="1"/>
      <w:numFmt w:val="decimal"/>
      <w:lvlText w:val="（%2）"/>
      <w:lvlJc w:val="left"/>
      <w:pPr>
        <w:ind w:left="691" w:hanging="529"/>
        <w:jc w:val="left"/>
      </w:pPr>
      <w:rPr>
        <w:rFonts w:hint="default" w:ascii="宋体" w:hAnsi="宋体" w:eastAsia="宋体" w:cs="宋体"/>
        <w:b w:val="0"/>
        <w:bCs w:val="0"/>
        <w:i w:val="0"/>
        <w:iCs w:val="0"/>
        <w:w w:val="100"/>
        <w:sz w:val="19"/>
        <w:szCs w:val="19"/>
        <w:lang w:val="en-US" w:eastAsia="zh-CN" w:bidi="ar-SA"/>
      </w:rPr>
    </w:lvl>
    <w:lvl w:ilvl="2" w:tentative="0">
      <w:start w:val="0"/>
      <w:numFmt w:val="bullet"/>
      <w:lvlText w:val="•"/>
      <w:lvlJc w:val="left"/>
      <w:pPr>
        <w:ind w:left="1351" w:hanging="529"/>
      </w:pPr>
      <w:rPr>
        <w:rFonts w:hint="default"/>
        <w:lang w:val="en-US" w:eastAsia="zh-CN" w:bidi="ar-SA"/>
      </w:rPr>
    </w:lvl>
    <w:lvl w:ilvl="3" w:tentative="0">
      <w:start w:val="0"/>
      <w:numFmt w:val="bullet"/>
      <w:lvlText w:val="•"/>
      <w:lvlJc w:val="left"/>
      <w:pPr>
        <w:ind w:left="2003" w:hanging="529"/>
      </w:pPr>
      <w:rPr>
        <w:rFonts w:hint="default"/>
        <w:lang w:val="en-US" w:eastAsia="zh-CN" w:bidi="ar-SA"/>
      </w:rPr>
    </w:lvl>
    <w:lvl w:ilvl="4" w:tentative="0">
      <w:start w:val="0"/>
      <w:numFmt w:val="bullet"/>
      <w:lvlText w:val="•"/>
      <w:lvlJc w:val="left"/>
      <w:pPr>
        <w:ind w:left="2655" w:hanging="529"/>
      </w:pPr>
      <w:rPr>
        <w:rFonts w:hint="default"/>
        <w:lang w:val="en-US" w:eastAsia="zh-CN" w:bidi="ar-SA"/>
      </w:rPr>
    </w:lvl>
    <w:lvl w:ilvl="5" w:tentative="0">
      <w:start w:val="0"/>
      <w:numFmt w:val="bullet"/>
      <w:lvlText w:val="•"/>
      <w:lvlJc w:val="left"/>
      <w:pPr>
        <w:ind w:left="3307" w:hanging="529"/>
      </w:pPr>
      <w:rPr>
        <w:rFonts w:hint="default"/>
        <w:lang w:val="en-US" w:eastAsia="zh-CN" w:bidi="ar-SA"/>
      </w:rPr>
    </w:lvl>
    <w:lvl w:ilvl="6" w:tentative="0">
      <w:start w:val="0"/>
      <w:numFmt w:val="bullet"/>
      <w:lvlText w:val="•"/>
      <w:lvlJc w:val="left"/>
      <w:pPr>
        <w:ind w:left="3959" w:hanging="529"/>
      </w:pPr>
      <w:rPr>
        <w:rFonts w:hint="default"/>
        <w:lang w:val="en-US" w:eastAsia="zh-CN" w:bidi="ar-SA"/>
      </w:rPr>
    </w:lvl>
    <w:lvl w:ilvl="7" w:tentative="0">
      <w:start w:val="0"/>
      <w:numFmt w:val="bullet"/>
      <w:lvlText w:val="•"/>
      <w:lvlJc w:val="left"/>
      <w:pPr>
        <w:ind w:left="4611" w:hanging="529"/>
      </w:pPr>
      <w:rPr>
        <w:rFonts w:hint="default"/>
        <w:lang w:val="en-US" w:eastAsia="zh-CN" w:bidi="ar-SA"/>
      </w:rPr>
    </w:lvl>
    <w:lvl w:ilvl="8" w:tentative="0">
      <w:start w:val="0"/>
      <w:numFmt w:val="bullet"/>
      <w:lvlText w:val="•"/>
      <w:lvlJc w:val="left"/>
      <w:pPr>
        <w:ind w:left="5263" w:hanging="529"/>
      </w:pPr>
      <w:rPr>
        <w:rFonts w:hint="default"/>
        <w:lang w:val="en-US" w:eastAsia="zh-CN" w:bidi="ar-SA"/>
      </w:rPr>
    </w:lvl>
  </w:abstractNum>
  <w:abstractNum w:abstractNumId="113">
    <w:nsid w:val="629F7852"/>
    <w:multiLevelType w:val="multilevel"/>
    <w:tmpl w:val="629F7852"/>
    <w:lvl w:ilvl="0" w:tentative="0">
      <w:start w:val="1"/>
      <w:numFmt w:val="decimal"/>
      <w:lvlText w:val="（%1）"/>
      <w:lvlJc w:val="left"/>
      <w:pPr>
        <w:ind w:left="633"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8" w:hanging="529"/>
      </w:pPr>
      <w:rPr>
        <w:rFonts w:hint="default"/>
        <w:lang w:val="en-US" w:eastAsia="zh-CN" w:bidi="ar-SA"/>
      </w:rPr>
    </w:lvl>
    <w:lvl w:ilvl="2" w:tentative="0">
      <w:start w:val="0"/>
      <w:numFmt w:val="bullet"/>
      <w:lvlText w:val="•"/>
      <w:lvlJc w:val="left"/>
      <w:pPr>
        <w:ind w:left="1717" w:hanging="529"/>
      </w:pPr>
      <w:rPr>
        <w:rFonts w:hint="default"/>
        <w:lang w:val="en-US" w:eastAsia="zh-CN" w:bidi="ar-SA"/>
      </w:rPr>
    </w:lvl>
    <w:lvl w:ilvl="3" w:tentative="0">
      <w:start w:val="0"/>
      <w:numFmt w:val="bullet"/>
      <w:lvlText w:val="•"/>
      <w:lvlJc w:val="left"/>
      <w:pPr>
        <w:ind w:left="2256" w:hanging="529"/>
      </w:pPr>
      <w:rPr>
        <w:rFonts w:hint="default"/>
        <w:lang w:val="en-US" w:eastAsia="zh-CN" w:bidi="ar-SA"/>
      </w:rPr>
    </w:lvl>
    <w:lvl w:ilvl="4" w:tentative="0">
      <w:start w:val="0"/>
      <w:numFmt w:val="bullet"/>
      <w:lvlText w:val="•"/>
      <w:lvlJc w:val="left"/>
      <w:pPr>
        <w:ind w:left="2795" w:hanging="529"/>
      </w:pPr>
      <w:rPr>
        <w:rFonts w:hint="default"/>
        <w:lang w:val="en-US" w:eastAsia="zh-CN" w:bidi="ar-SA"/>
      </w:rPr>
    </w:lvl>
    <w:lvl w:ilvl="5" w:tentative="0">
      <w:start w:val="0"/>
      <w:numFmt w:val="bullet"/>
      <w:lvlText w:val="•"/>
      <w:lvlJc w:val="left"/>
      <w:pPr>
        <w:ind w:left="3334" w:hanging="529"/>
      </w:pPr>
      <w:rPr>
        <w:rFonts w:hint="default"/>
        <w:lang w:val="en-US" w:eastAsia="zh-CN" w:bidi="ar-SA"/>
      </w:rPr>
    </w:lvl>
    <w:lvl w:ilvl="6" w:tentative="0">
      <w:start w:val="0"/>
      <w:numFmt w:val="bullet"/>
      <w:lvlText w:val="•"/>
      <w:lvlJc w:val="left"/>
      <w:pPr>
        <w:ind w:left="3872" w:hanging="529"/>
      </w:pPr>
      <w:rPr>
        <w:rFonts w:hint="default"/>
        <w:lang w:val="en-US" w:eastAsia="zh-CN" w:bidi="ar-SA"/>
      </w:rPr>
    </w:lvl>
    <w:lvl w:ilvl="7" w:tentative="0">
      <w:start w:val="0"/>
      <w:numFmt w:val="bullet"/>
      <w:lvlText w:val="•"/>
      <w:lvlJc w:val="left"/>
      <w:pPr>
        <w:ind w:left="4411" w:hanging="529"/>
      </w:pPr>
      <w:rPr>
        <w:rFonts w:hint="default"/>
        <w:lang w:val="en-US" w:eastAsia="zh-CN" w:bidi="ar-SA"/>
      </w:rPr>
    </w:lvl>
    <w:lvl w:ilvl="8" w:tentative="0">
      <w:start w:val="0"/>
      <w:numFmt w:val="bullet"/>
      <w:lvlText w:val="•"/>
      <w:lvlJc w:val="left"/>
      <w:pPr>
        <w:ind w:left="4950" w:hanging="529"/>
      </w:pPr>
      <w:rPr>
        <w:rFonts w:hint="default"/>
        <w:lang w:val="en-US" w:eastAsia="zh-CN" w:bidi="ar-SA"/>
      </w:rPr>
    </w:lvl>
  </w:abstractNum>
  <w:abstractNum w:abstractNumId="114">
    <w:nsid w:val="65CD0074"/>
    <w:multiLevelType w:val="multilevel"/>
    <w:tmpl w:val="65CD0074"/>
    <w:lvl w:ilvl="0" w:tentative="0">
      <w:start w:val="1"/>
      <w:numFmt w:val="decimal"/>
      <w:lvlText w:val="（%1）"/>
      <w:lvlJc w:val="left"/>
      <w:pPr>
        <w:ind w:left="3830" w:hanging="529"/>
        <w:jc w:val="left"/>
      </w:pPr>
      <w:rPr>
        <w:rFonts w:hint="default" w:ascii="宋体" w:hAnsi="宋体" w:eastAsia="宋体" w:cs="宋体"/>
        <w:b w:val="0"/>
        <w:bCs w:val="0"/>
        <w:i w:val="0"/>
        <w:iCs w:val="0"/>
        <w:spacing w:val="-68"/>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15">
    <w:nsid w:val="68B298F7"/>
    <w:multiLevelType w:val="multilevel"/>
    <w:tmpl w:val="68B298F7"/>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16">
    <w:nsid w:val="700FDCEF"/>
    <w:multiLevelType w:val="multilevel"/>
    <w:tmpl w:val="700FDCEF"/>
    <w:lvl w:ilvl="0" w:tentative="0">
      <w:start w:val="1"/>
      <w:numFmt w:val="decimal"/>
      <w:lvlText w:val="（%1）"/>
      <w:lvlJc w:val="left"/>
      <w:pPr>
        <w:ind w:left="3836"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17">
    <w:nsid w:val="72183CF9"/>
    <w:multiLevelType w:val="multilevel"/>
    <w:tmpl w:val="72183CF9"/>
    <w:lvl w:ilvl="0" w:tentative="0">
      <w:start w:val="0"/>
      <w:numFmt w:val="bullet"/>
      <w:lvlText w:val=""/>
      <w:lvlJc w:val="left"/>
      <w:pPr>
        <w:ind w:left="736" w:hanging="264"/>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264" w:hanging="264"/>
      </w:pPr>
      <w:rPr>
        <w:rFonts w:hint="default"/>
        <w:lang w:val="en-US" w:eastAsia="zh-CN" w:bidi="ar-SA"/>
      </w:rPr>
    </w:lvl>
    <w:lvl w:ilvl="2" w:tentative="0">
      <w:start w:val="0"/>
      <w:numFmt w:val="bullet"/>
      <w:lvlText w:val="•"/>
      <w:lvlJc w:val="left"/>
      <w:pPr>
        <w:ind w:left="1789" w:hanging="264"/>
      </w:pPr>
      <w:rPr>
        <w:rFonts w:hint="default"/>
        <w:lang w:val="en-US" w:eastAsia="zh-CN" w:bidi="ar-SA"/>
      </w:rPr>
    </w:lvl>
    <w:lvl w:ilvl="3" w:tentative="0">
      <w:start w:val="0"/>
      <w:numFmt w:val="bullet"/>
      <w:lvlText w:val="•"/>
      <w:lvlJc w:val="left"/>
      <w:pPr>
        <w:ind w:left="2314" w:hanging="264"/>
      </w:pPr>
      <w:rPr>
        <w:rFonts w:hint="default"/>
        <w:lang w:val="en-US" w:eastAsia="zh-CN" w:bidi="ar-SA"/>
      </w:rPr>
    </w:lvl>
    <w:lvl w:ilvl="4" w:tentative="0">
      <w:start w:val="0"/>
      <w:numFmt w:val="bullet"/>
      <w:lvlText w:val="•"/>
      <w:lvlJc w:val="left"/>
      <w:pPr>
        <w:ind w:left="2839" w:hanging="264"/>
      </w:pPr>
      <w:rPr>
        <w:rFonts w:hint="default"/>
        <w:lang w:val="en-US" w:eastAsia="zh-CN" w:bidi="ar-SA"/>
      </w:rPr>
    </w:lvl>
    <w:lvl w:ilvl="5" w:tentative="0">
      <w:start w:val="0"/>
      <w:numFmt w:val="bullet"/>
      <w:lvlText w:val="•"/>
      <w:lvlJc w:val="left"/>
      <w:pPr>
        <w:ind w:left="3364" w:hanging="264"/>
      </w:pPr>
      <w:rPr>
        <w:rFonts w:hint="default"/>
        <w:lang w:val="en-US" w:eastAsia="zh-CN" w:bidi="ar-SA"/>
      </w:rPr>
    </w:lvl>
    <w:lvl w:ilvl="6" w:tentative="0">
      <w:start w:val="0"/>
      <w:numFmt w:val="bullet"/>
      <w:lvlText w:val="•"/>
      <w:lvlJc w:val="left"/>
      <w:pPr>
        <w:ind w:left="3889" w:hanging="264"/>
      </w:pPr>
      <w:rPr>
        <w:rFonts w:hint="default"/>
        <w:lang w:val="en-US" w:eastAsia="zh-CN" w:bidi="ar-SA"/>
      </w:rPr>
    </w:lvl>
    <w:lvl w:ilvl="7" w:tentative="0">
      <w:start w:val="0"/>
      <w:numFmt w:val="bullet"/>
      <w:lvlText w:val="•"/>
      <w:lvlJc w:val="left"/>
      <w:pPr>
        <w:ind w:left="4414" w:hanging="264"/>
      </w:pPr>
      <w:rPr>
        <w:rFonts w:hint="default"/>
        <w:lang w:val="en-US" w:eastAsia="zh-CN" w:bidi="ar-SA"/>
      </w:rPr>
    </w:lvl>
    <w:lvl w:ilvl="8" w:tentative="0">
      <w:start w:val="0"/>
      <w:numFmt w:val="bullet"/>
      <w:lvlText w:val="•"/>
      <w:lvlJc w:val="left"/>
      <w:pPr>
        <w:ind w:left="4939" w:hanging="264"/>
      </w:pPr>
      <w:rPr>
        <w:rFonts w:hint="default"/>
        <w:lang w:val="en-US" w:eastAsia="zh-CN" w:bidi="ar-SA"/>
      </w:rPr>
    </w:lvl>
  </w:abstractNum>
  <w:abstractNum w:abstractNumId="118">
    <w:nsid w:val="74C28B35"/>
    <w:multiLevelType w:val="multilevel"/>
    <w:tmpl w:val="74C28B35"/>
    <w:lvl w:ilvl="0" w:tentative="0">
      <w:start w:val="1"/>
      <w:numFmt w:val="decimal"/>
      <w:lvlText w:val="（%1）"/>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36" w:hanging="539"/>
      </w:pPr>
      <w:rPr>
        <w:rFonts w:hint="default"/>
        <w:lang w:val="en-US" w:eastAsia="zh-CN" w:bidi="ar-SA"/>
      </w:rPr>
    </w:lvl>
    <w:lvl w:ilvl="2" w:tentative="0">
      <w:start w:val="0"/>
      <w:numFmt w:val="bullet"/>
      <w:lvlText w:val="•"/>
      <w:lvlJc w:val="left"/>
      <w:pPr>
        <w:ind w:left="5032" w:hanging="539"/>
      </w:pPr>
      <w:rPr>
        <w:rFonts w:hint="default"/>
        <w:lang w:val="en-US" w:eastAsia="zh-CN" w:bidi="ar-SA"/>
      </w:rPr>
    </w:lvl>
    <w:lvl w:ilvl="3" w:tentative="0">
      <w:start w:val="0"/>
      <w:numFmt w:val="bullet"/>
      <w:lvlText w:val="•"/>
      <w:lvlJc w:val="left"/>
      <w:pPr>
        <w:ind w:left="5629" w:hanging="539"/>
      </w:pPr>
      <w:rPr>
        <w:rFonts w:hint="default"/>
        <w:lang w:val="en-US" w:eastAsia="zh-CN" w:bidi="ar-SA"/>
      </w:rPr>
    </w:lvl>
    <w:lvl w:ilvl="4" w:tentative="0">
      <w:start w:val="0"/>
      <w:numFmt w:val="bullet"/>
      <w:lvlText w:val="•"/>
      <w:lvlJc w:val="left"/>
      <w:pPr>
        <w:ind w:left="6225" w:hanging="539"/>
      </w:pPr>
      <w:rPr>
        <w:rFonts w:hint="default"/>
        <w:lang w:val="en-US" w:eastAsia="zh-CN" w:bidi="ar-SA"/>
      </w:rPr>
    </w:lvl>
    <w:lvl w:ilvl="5" w:tentative="0">
      <w:start w:val="0"/>
      <w:numFmt w:val="bullet"/>
      <w:lvlText w:val="•"/>
      <w:lvlJc w:val="left"/>
      <w:pPr>
        <w:ind w:left="6822" w:hanging="539"/>
      </w:pPr>
      <w:rPr>
        <w:rFonts w:hint="default"/>
        <w:lang w:val="en-US" w:eastAsia="zh-CN" w:bidi="ar-SA"/>
      </w:rPr>
    </w:lvl>
    <w:lvl w:ilvl="6" w:tentative="0">
      <w:start w:val="0"/>
      <w:numFmt w:val="bullet"/>
      <w:lvlText w:val="•"/>
      <w:lvlJc w:val="left"/>
      <w:pPr>
        <w:ind w:left="7418" w:hanging="539"/>
      </w:pPr>
      <w:rPr>
        <w:rFonts w:hint="default"/>
        <w:lang w:val="en-US" w:eastAsia="zh-CN" w:bidi="ar-SA"/>
      </w:rPr>
    </w:lvl>
    <w:lvl w:ilvl="7" w:tentative="0">
      <w:start w:val="0"/>
      <w:numFmt w:val="bullet"/>
      <w:lvlText w:val="•"/>
      <w:lvlJc w:val="left"/>
      <w:pPr>
        <w:ind w:left="8014" w:hanging="539"/>
      </w:pPr>
      <w:rPr>
        <w:rFonts w:hint="default"/>
        <w:lang w:val="en-US" w:eastAsia="zh-CN" w:bidi="ar-SA"/>
      </w:rPr>
    </w:lvl>
    <w:lvl w:ilvl="8" w:tentative="0">
      <w:start w:val="0"/>
      <w:numFmt w:val="bullet"/>
      <w:lvlText w:val="•"/>
      <w:lvlJc w:val="left"/>
      <w:pPr>
        <w:ind w:left="8611" w:hanging="539"/>
      </w:pPr>
      <w:rPr>
        <w:rFonts w:hint="default"/>
        <w:lang w:val="en-US" w:eastAsia="zh-CN" w:bidi="ar-SA"/>
      </w:rPr>
    </w:lvl>
  </w:abstractNum>
  <w:abstractNum w:abstractNumId="119">
    <w:nsid w:val="77633216"/>
    <w:multiLevelType w:val="multilevel"/>
    <w:tmpl w:val="77633216"/>
    <w:lvl w:ilvl="0" w:tentative="0">
      <w:start w:val="1"/>
      <w:numFmt w:val="decimal"/>
      <w:lvlText w:val="（%1）"/>
      <w:lvlJc w:val="left"/>
      <w:pPr>
        <w:ind w:left="69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95" w:hanging="529"/>
      </w:pPr>
      <w:rPr>
        <w:rFonts w:hint="default"/>
        <w:lang w:val="en-US" w:eastAsia="zh-CN" w:bidi="ar-SA"/>
      </w:rPr>
    </w:lvl>
    <w:lvl w:ilvl="2" w:tentative="0">
      <w:start w:val="0"/>
      <w:numFmt w:val="bullet"/>
      <w:lvlText w:val="•"/>
      <w:lvlJc w:val="left"/>
      <w:pPr>
        <w:ind w:left="1891" w:hanging="529"/>
      </w:pPr>
      <w:rPr>
        <w:rFonts w:hint="default"/>
        <w:lang w:val="en-US" w:eastAsia="zh-CN" w:bidi="ar-SA"/>
      </w:rPr>
    </w:lvl>
    <w:lvl w:ilvl="3" w:tentative="0">
      <w:start w:val="0"/>
      <w:numFmt w:val="bullet"/>
      <w:lvlText w:val="•"/>
      <w:lvlJc w:val="left"/>
      <w:pPr>
        <w:ind w:left="2487" w:hanging="529"/>
      </w:pPr>
      <w:rPr>
        <w:rFonts w:hint="default"/>
        <w:lang w:val="en-US" w:eastAsia="zh-CN" w:bidi="ar-SA"/>
      </w:rPr>
    </w:lvl>
    <w:lvl w:ilvl="4" w:tentative="0">
      <w:start w:val="0"/>
      <w:numFmt w:val="bullet"/>
      <w:lvlText w:val="•"/>
      <w:lvlJc w:val="left"/>
      <w:pPr>
        <w:ind w:left="3083" w:hanging="529"/>
      </w:pPr>
      <w:rPr>
        <w:rFonts w:hint="default"/>
        <w:lang w:val="en-US" w:eastAsia="zh-CN" w:bidi="ar-SA"/>
      </w:rPr>
    </w:lvl>
    <w:lvl w:ilvl="5" w:tentative="0">
      <w:start w:val="0"/>
      <w:numFmt w:val="bullet"/>
      <w:lvlText w:val="•"/>
      <w:lvlJc w:val="left"/>
      <w:pPr>
        <w:ind w:left="3679" w:hanging="529"/>
      </w:pPr>
      <w:rPr>
        <w:rFonts w:hint="default"/>
        <w:lang w:val="en-US" w:eastAsia="zh-CN" w:bidi="ar-SA"/>
      </w:rPr>
    </w:lvl>
    <w:lvl w:ilvl="6" w:tentative="0">
      <w:start w:val="0"/>
      <w:numFmt w:val="bullet"/>
      <w:lvlText w:val="•"/>
      <w:lvlJc w:val="left"/>
      <w:pPr>
        <w:ind w:left="4275" w:hanging="529"/>
      </w:pPr>
      <w:rPr>
        <w:rFonts w:hint="default"/>
        <w:lang w:val="en-US" w:eastAsia="zh-CN" w:bidi="ar-SA"/>
      </w:rPr>
    </w:lvl>
    <w:lvl w:ilvl="7" w:tentative="0">
      <w:start w:val="0"/>
      <w:numFmt w:val="bullet"/>
      <w:lvlText w:val="•"/>
      <w:lvlJc w:val="left"/>
      <w:pPr>
        <w:ind w:left="4871" w:hanging="529"/>
      </w:pPr>
      <w:rPr>
        <w:rFonts w:hint="default"/>
        <w:lang w:val="en-US" w:eastAsia="zh-CN" w:bidi="ar-SA"/>
      </w:rPr>
    </w:lvl>
    <w:lvl w:ilvl="8" w:tentative="0">
      <w:start w:val="0"/>
      <w:numFmt w:val="bullet"/>
      <w:lvlText w:val="•"/>
      <w:lvlJc w:val="left"/>
      <w:pPr>
        <w:ind w:left="5467" w:hanging="529"/>
      </w:pPr>
      <w:rPr>
        <w:rFonts w:hint="default"/>
        <w:lang w:val="en-US" w:eastAsia="zh-CN" w:bidi="ar-SA"/>
      </w:rPr>
    </w:lvl>
  </w:abstractNum>
  <w:abstractNum w:abstractNumId="120">
    <w:nsid w:val="77ECEA79"/>
    <w:multiLevelType w:val="multilevel"/>
    <w:tmpl w:val="77ECEA79"/>
    <w:lvl w:ilvl="0" w:tentative="0">
      <w:start w:val="4"/>
      <w:numFmt w:val="decimal"/>
      <w:lvlText w:val="（%1）"/>
      <w:lvlJc w:val="left"/>
      <w:pPr>
        <w:ind w:left="383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21">
    <w:nsid w:val="79AA4FA4"/>
    <w:multiLevelType w:val="multilevel"/>
    <w:tmpl w:val="79AA4FA4"/>
    <w:lvl w:ilvl="0" w:tentative="0">
      <w:start w:val="1"/>
      <w:numFmt w:val="decimal"/>
      <w:lvlText w:val="（%1）"/>
      <w:lvlJc w:val="left"/>
      <w:pPr>
        <w:ind w:left="3830" w:hanging="529"/>
        <w:jc w:val="left"/>
      </w:pPr>
      <w:rPr>
        <w:rFonts w:hint="default" w:ascii="宋体" w:hAnsi="宋体" w:eastAsia="宋体" w:cs="宋体"/>
        <w:b w:val="0"/>
        <w:bCs w:val="0"/>
        <w:i w:val="0"/>
        <w:iCs w:val="0"/>
        <w:spacing w:val="-5"/>
        <w:w w:val="100"/>
        <w:sz w:val="19"/>
        <w:szCs w:val="19"/>
        <w:lang w:val="en-US" w:eastAsia="zh-CN" w:bidi="ar-SA"/>
      </w:rPr>
    </w:lvl>
    <w:lvl w:ilvl="1" w:tentative="0">
      <w:start w:val="0"/>
      <w:numFmt w:val="bullet"/>
      <w:lvlText w:val="•"/>
      <w:lvlJc w:val="left"/>
      <w:pPr>
        <w:ind w:left="4436" w:hanging="529"/>
      </w:pPr>
      <w:rPr>
        <w:rFonts w:hint="default"/>
        <w:lang w:val="en-US" w:eastAsia="zh-CN" w:bidi="ar-SA"/>
      </w:rPr>
    </w:lvl>
    <w:lvl w:ilvl="2" w:tentative="0">
      <w:start w:val="0"/>
      <w:numFmt w:val="bullet"/>
      <w:lvlText w:val="•"/>
      <w:lvlJc w:val="left"/>
      <w:pPr>
        <w:ind w:left="5032" w:hanging="529"/>
      </w:pPr>
      <w:rPr>
        <w:rFonts w:hint="default"/>
        <w:lang w:val="en-US" w:eastAsia="zh-CN" w:bidi="ar-SA"/>
      </w:rPr>
    </w:lvl>
    <w:lvl w:ilvl="3" w:tentative="0">
      <w:start w:val="0"/>
      <w:numFmt w:val="bullet"/>
      <w:lvlText w:val="•"/>
      <w:lvlJc w:val="left"/>
      <w:pPr>
        <w:ind w:left="5629" w:hanging="529"/>
      </w:pPr>
      <w:rPr>
        <w:rFonts w:hint="default"/>
        <w:lang w:val="en-US" w:eastAsia="zh-CN" w:bidi="ar-SA"/>
      </w:rPr>
    </w:lvl>
    <w:lvl w:ilvl="4" w:tentative="0">
      <w:start w:val="0"/>
      <w:numFmt w:val="bullet"/>
      <w:lvlText w:val="•"/>
      <w:lvlJc w:val="left"/>
      <w:pPr>
        <w:ind w:left="6225" w:hanging="529"/>
      </w:pPr>
      <w:rPr>
        <w:rFonts w:hint="default"/>
        <w:lang w:val="en-US" w:eastAsia="zh-CN" w:bidi="ar-SA"/>
      </w:rPr>
    </w:lvl>
    <w:lvl w:ilvl="5" w:tentative="0">
      <w:start w:val="0"/>
      <w:numFmt w:val="bullet"/>
      <w:lvlText w:val="•"/>
      <w:lvlJc w:val="left"/>
      <w:pPr>
        <w:ind w:left="6822" w:hanging="529"/>
      </w:pPr>
      <w:rPr>
        <w:rFonts w:hint="default"/>
        <w:lang w:val="en-US" w:eastAsia="zh-CN" w:bidi="ar-SA"/>
      </w:rPr>
    </w:lvl>
    <w:lvl w:ilvl="6" w:tentative="0">
      <w:start w:val="0"/>
      <w:numFmt w:val="bullet"/>
      <w:lvlText w:val="•"/>
      <w:lvlJc w:val="left"/>
      <w:pPr>
        <w:ind w:left="7418" w:hanging="529"/>
      </w:pPr>
      <w:rPr>
        <w:rFonts w:hint="default"/>
        <w:lang w:val="en-US" w:eastAsia="zh-CN" w:bidi="ar-SA"/>
      </w:rPr>
    </w:lvl>
    <w:lvl w:ilvl="7" w:tentative="0">
      <w:start w:val="0"/>
      <w:numFmt w:val="bullet"/>
      <w:lvlText w:val="•"/>
      <w:lvlJc w:val="left"/>
      <w:pPr>
        <w:ind w:left="8014" w:hanging="529"/>
      </w:pPr>
      <w:rPr>
        <w:rFonts w:hint="default"/>
        <w:lang w:val="en-US" w:eastAsia="zh-CN" w:bidi="ar-SA"/>
      </w:rPr>
    </w:lvl>
    <w:lvl w:ilvl="8" w:tentative="0">
      <w:start w:val="0"/>
      <w:numFmt w:val="bullet"/>
      <w:lvlText w:val="•"/>
      <w:lvlJc w:val="left"/>
      <w:pPr>
        <w:ind w:left="8611" w:hanging="529"/>
      </w:pPr>
      <w:rPr>
        <w:rFonts w:hint="default"/>
        <w:lang w:val="en-US" w:eastAsia="zh-CN" w:bidi="ar-SA"/>
      </w:rPr>
    </w:lvl>
  </w:abstractNum>
  <w:abstractNum w:abstractNumId="122">
    <w:nsid w:val="7C246926"/>
    <w:multiLevelType w:val="multilevel"/>
    <w:tmpl w:val="7C246926"/>
    <w:lvl w:ilvl="0" w:tentative="0">
      <w:start w:val="1"/>
      <w:numFmt w:val="decimal"/>
      <w:lvlText w:val="（%1）"/>
      <w:lvlJc w:val="left"/>
      <w:pPr>
        <w:ind w:left="63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8" w:hanging="529"/>
      </w:pPr>
      <w:rPr>
        <w:rFonts w:hint="default"/>
        <w:lang w:val="en-US" w:eastAsia="zh-CN" w:bidi="ar-SA"/>
      </w:rPr>
    </w:lvl>
    <w:lvl w:ilvl="2" w:tentative="0">
      <w:start w:val="0"/>
      <w:numFmt w:val="bullet"/>
      <w:lvlText w:val="•"/>
      <w:lvlJc w:val="left"/>
      <w:pPr>
        <w:ind w:left="1717" w:hanging="529"/>
      </w:pPr>
      <w:rPr>
        <w:rFonts w:hint="default"/>
        <w:lang w:val="en-US" w:eastAsia="zh-CN" w:bidi="ar-SA"/>
      </w:rPr>
    </w:lvl>
    <w:lvl w:ilvl="3" w:tentative="0">
      <w:start w:val="0"/>
      <w:numFmt w:val="bullet"/>
      <w:lvlText w:val="•"/>
      <w:lvlJc w:val="left"/>
      <w:pPr>
        <w:ind w:left="2255" w:hanging="529"/>
      </w:pPr>
      <w:rPr>
        <w:rFonts w:hint="default"/>
        <w:lang w:val="en-US" w:eastAsia="zh-CN" w:bidi="ar-SA"/>
      </w:rPr>
    </w:lvl>
    <w:lvl w:ilvl="4" w:tentative="0">
      <w:start w:val="0"/>
      <w:numFmt w:val="bullet"/>
      <w:lvlText w:val="•"/>
      <w:lvlJc w:val="left"/>
      <w:pPr>
        <w:ind w:left="2794" w:hanging="529"/>
      </w:pPr>
      <w:rPr>
        <w:rFonts w:hint="default"/>
        <w:lang w:val="en-US" w:eastAsia="zh-CN" w:bidi="ar-SA"/>
      </w:rPr>
    </w:lvl>
    <w:lvl w:ilvl="5" w:tentative="0">
      <w:start w:val="0"/>
      <w:numFmt w:val="bullet"/>
      <w:lvlText w:val="•"/>
      <w:lvlJc w:val="left"/>
      <w:pPr>
        <w:ind w:left="3333" w:hanging="529"/>
      </w:pPr>
      <w:rPr>
        <w:rFonts w:hint="default"/>
        <w:lang w:val="en-US" w:eastAsia="zh-CN" w:bidi="ar-SA"/>
      </w:rPr>
    </w:lvl>
    <w:lvl w:ilvl="6" w:tentative="0">
      <w:start w:val="0"/>
      <w:numFmt w:val="bullet"/>
      <w:lvlText w:val="•"/>
      <w:lvlJc w:val="left"/>
      <w:pPr>
        <w:ind w:left="3871" w:hanging="529"/>
      </w:pPr>
      <w:rPr>
        <w:rFonts w:hint="default"/>
        <w:lang w:val="en-US" w:eastAsia="zh-CN" w:bidi="ar-SA"/>
      </w:rPr>
    </w:lvl>
    <w:lvl w:ilvl="7" w:tentative="0">
      <w:start w:val="0"/>
      <w:numFmt w:val="bullet"/>
      <w:lvlText w:val="•"/>
      <w:lvlJc w:val="left"/>
      <w:pPr>
        <w:ind w:left="4410" w:hanging="529"/>
      </w:pPr>
      <w:rPr>
        <w:rFonts w:hint="default"/>
        <w:lang w:val="en-US" w:eastAsia="zh-CN" w:bidi="ar-SA"/>
      </w:rPr>
    </w:lvl>
    <w:lvl w:ilvl="8" w:tentative="0">
      <w:start w:val="0"/>
      <w:numFmt w:val="bullet"/>
      <w:lvlText w:val="•"/>
      <w:lvlJc w:val="left"/>
      <w:pPr>
        <w:ind w:left="4948" w:hanging="529"/>
      </w:pPr>
      <w:rPr>
        <w:rFonts w:hint="default"/>
        <w:lang w:val="en-US" w:eastAsia="zh-CN" w:bidi="ar-SA"/>
      </w:rPr>
    </w:lvl>
  </w:abstractNum>
  <w:abstractNum w:abstractNumId="123">
    <w:nsid w:val="7DEC2089"/>
    <w:multiLevelType w:val="multilevel"/>
    <w:tmpl w:val="7DEC2089"/>
    <w:lvl w:ilvl="0" w:tentative="0">
      <w:start w:val="1"/>
      <w:numFmt w:val="decimal"/>
      <w:lvlText w:val="（%1）"/>
      <w:lvlJc w:val="left"/>
      <w:pPr>
        <w:ind w:left="3830"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4436" w:hanging="539"/>
      </w:pPr>
      <w:rPr>
        <w:rFonts w:hint="default"/>
        <w:lang w:val="en-US" w:eastAsia="zh-CN" w:bidi="ar-SA"/>
      </w:rPr>
    </w:lvl>
    <w:lvl w:ilvl="2" w:tentative="0">
      <w:start w:val="0"/>
      <w:numFmt w:val="bullet"/>
      <w:lvlText w:val="•"/>
      <w:lvlJc w:val="left"/>
      <w:pPr>
        <w:ind w:left="5032" w:hanging="539"/>
      </w:pPr>
      <w:rPr>
        <w:rFonts w:hint="default"/>
        <w:lang w:val="en-US" w:eastAsia="zh-CN" w:bidi="ar-SA"/>
      </w:rPr>
    </w:lvl>
    <w:lvl w:ilvl="3" w:tentative="0">
      <w:start w:val="0"/>
      <w:numFmt w:val="bullet"/>
      <w:lvlText w:val="•"/>
      <w:lvlJc w:val="left"/>
      <w:pPr>
        <w:ind w:left="5629" w:hanging="539"/>
      </w:pPr>
      <w:rPr>
        <w:rFonts w:hint="default"/>
        <w:lang w:val="en-US" w:eastAsia="zh-CN" w:bidi="ar-SA"/>
      </w:rPr>
    </w:lvl>
    <w:lvl w:ilvl="4" w:tentative="0">
      <w:start w:val="0"/>
      <w:numFmt w:val="bullet"/>
      <w:lvlText w:val="•"/>
      <w:lvlJc w:val="left"/>
      <w:pPr>
        <w:ind w:left="6225" w:hanging="539"/>
      </w:pPr>
      <w:rPr>
        <w:rFonts w:hint="default"/>
        <w:lang w:val="en-US" w:eastAsia="zh-CN" w:bidi="ar-SA"/>
      </w:rPr>
    </w:lvl>
    <w:lvl w:ilvl="5" w:tentative="0">
      <w:start w:val="0"/>
      <w:numFmt w:val="bullet"/>
      <w:lvlText w:val="•"/>
      <w:lvlJc w:val="left"/>
      <w:pPr>
        <w:ind w:left="6822" w:hanging="539"/>
      </w:pPr>
      <w:rPr>
        <w:rFonts w:hint="default"/>
        <w:lang w:val="en-US" w:eastAsia="zh-CN" w:bidi="ar-SA"/>
      </w:rPr>
    </w:lvl>
    <w:lvl w:ilvl="6" w:tentative="0">
      <w:start w:val="0"/>
      <w:numFmt w:val="bullet"/>
      <w:lvlText w:val="•"/>
      <w:lvlJc w:val="left"/>
      <w:pPr>
        <w:ind w:left="7418" w:hanging="539"/>
      </w:pPr>
      <w:rPr>
        <w:rFonts w:hint="default"/>
        <w:lang w:val="en-US" w:eastAsia="zh-CN" w:bidi="ar-SA"/>
      </w:rPr>
    </w:lvl>
    <w:lvl w:ilvl="7" w:tentative="0">
      <w:start w:val="0"/>
      <w:numFmt w:val="bullet"/>
      <w:lvlText w:val="•"/>
      <w:lvlJc w:val="left"/>
      <w:pPr>
        <w:ind w:left="8014" w:hanging="539"/>
      </w:pPr>
      <w:rPr>
        <w:rFonts w:hint="default"/>
        <w:lang w:val="en-US" w:eastAsia="zh-CN" w:bidi="ar-SA"/>
      </w:rPr>
    </w:lvl>
    <w:lvl w:ilvl="8" w:tentative="0">
      <w:start w:val="0"/>
      <w:numFmt w:val="bullet"/>
      <w:lvlText w:val="•"/>
      <w:lvlJc w:val="left"/>
      <w:pPr>
        <w:ind w:left="8611" w:hanging="539"/>
      </w:pPr>
      <w:rPr>
        <w:rFonts w:hint="default"/>
        <w:lang w:val="en-US" w:eastAsia="zh-CN" w:bidi="ar-SA"/>
      </w:rPr>
    </w:lvl>
  </w:abstractNum>
  <w:num w:numId="1">
    <w:abstractNumId w:val="61"/>
  </w:num>
  <w:num w:numId="2">
    <w:abstractNumId w:val="43"/>
  </w:num>
  <w:num w:numId="3">
    <w:abstractNumId w:val="105"/>
  </w:num>
  <w:num w:numId="4">
    <w:abstractNumId w:val="36"/>
  </w:num>
  <w:num w:numId="5">
    <w:abstractNumId w:val="28"/>
  </w:num>
  <w:num w:numId="6">
    <w:abstractNumId w:val="66"/>
  </w:num>
  <w:num w:numId="7">
    <w:abstractNumId w:val="83"/>
  </w:num>
  <w:num w:numId="8">
    <w:abstractNumId w:val="117"/>
  </w:num>
  <w:num w:numId="9">
    <w:abstractNumId w:val="63"/>
  </w:num>
  <w:num w:numId="10">
    <w:abstractNumId w:val="9"/>
  </w:num>
  <w:num w:numId="11">
    <w:abstractNumId w:val="84"/>
  </w:num>
  <w:num w:numId="12">
    <w:abstractNumId w:val="107"/>
  </w:num>
  <w:num w:numId="13">
    <w:abstractNumId w:val="40"/>
  </w:num>
  <w:num w:numId="14">
    <w:abstractNumId w:val="100"/>
  </w:num>
  <w:num w:numId="15">
    <w:abstractNumId w:val="56"/>
  </w:num>
  <w:num w:numId="16">
    <w:abstractNumId w:val="82"/>
  </w:num>
  <w:num w:numId="17">
    <w:abstractNumId w:val="48"/>
  </w:num>
  <w:num w:numId="18">
    <w:abstractNumId w:val="46"/>
  </w:num>
  <w:num w:numId="19">
    <w:abstractNumId w:val="16"/>
  </w:num>
  <w:num w:numId="20">
    <w:abstractNumId w:val="97"/>
  </w:num>
  <w:num w:numId="21">
    <w:abstractNumId w:val="111"/>
  </w:num>
  <w:num w:numId="22">
    <w:abstractNumId w:val="69"/>
  </w:num>
  <w:num w:numId="23">
    <w:abstractNumId w:val="95"/>
  </w:num>
  <w:num w:numId="24">
    <w:abstractNumId w:val="25"/>
  </w:num>
  <w:num w:numId="25">
    <w:abstractNumId w:val="122"/>
  </w:num>
  <w:num w:numId="26">
    <w:abstractNumId w:val="120"/>
  </w:num>
  <w:num w:numId="27">
    <w:abstractNumId w:val="35"/>
  </w:num>
  <w:num w:numId="28">
    <w:abstractNumId w:val="113"/>
  </w:num>
  <w:num w:numId="29">
    <w:abstractNumId w:val="10"/>
  </w:num>
  <w:num w:numId="30">
    <w:abstractNumId w:val="92"/>
  </w:num>
  <w:num w:numId="31">
    <w:abstractNumId w:val="4"/>
  </w:num>
  <w:num w:numId="32">
    <w:abstractNumId w:val="104"/>
  </w:num>
  <w:num w:numId="33">
    <w:abstractNumId w:val="123"/>
  </w:num>
  <w:num w:numId="34">
    <w:abstractNumId w:val="1"/>
  </w:num>
  <w:num w:numId="35">
    <w:abstractNumId w:val="81"/>
  </w:num>
  <w:num w:numId="36">
    <w:abstractNumId w:val="101"/>
  </w:num>
  <w:num w:numId="37">
    <w:abstractNumId w:val="59"/>
  </w:num>
  <w:num w:numId="38">
    <w:abstractNumId w:val="50"/>
  </w:num>
  <w:num w:numId="39">
    <w:abstractNumId w:val="88"/>
  </w:num>
  <w:num w:numId="40">
    <w:abstractNumId w:val="121"/>
  </w:num>
  <w:num w:numId="41">
    <w:abstractNumId w:val="31"/>
  </w:num>
  <w:num w:numId="42">
    <w:abstractNumId w:val="7"/>
  </w:num>
  <w:num w:numId="43">
    <w:abstractNumId w:val="30"/>
  </w:num>
  <w:num w:numId="44">
    <w:abstractNumId w:val="108"/>
  </w:num>
  <w:num w:numId="45">
    <w:abstractNumId w:val="3"/>
  </w:num>
  <w:num w:numId="46">
    <w:abstractNumId w:val="75"/>
  </w:num>
  <w:num w:numId="47">
    <w:abstractNumId w:val="6"/>
  </w:num>
  <w:num w:numId="48">
    <w:abstractNumId w:val="110"/>
  </w:num>
  <w:num w:numId="49">
    <w:abstractNumId w:val="118"/>
  </w:num>
  <w:num w:numId="50">
    <w:abstractNumId w:val="98"/>
  </w:num>
  <w:num w:numId="51">
    <w:abstractNumId w:val="89"/>
  </w:num>
  <w:num w:numId="52">
    <w:abstractNumId w:val="114"/>
  </w:num>
  <w:num w:numId="53">
    <w:abstractNumId w:val="67"/>
  </w:num>
  <w:num w:numId="54">
    <w:abstractNumId w:val="68"/>
  </w:num>
  <w:num w:numId="55">
    <w:abstractNumId w:val="45"/>
  </w:num>
  <w:num w:numId="56">
    <w:abstractNumId w:val="90"/>
  </w:num>
  <w:num w:numId="57">
    <w:abstractNumId w:val="78"/>
  </w:num>
  <w:num w:numId="58">
    <w:abstractNumId w:val="53"/>
  </w:num>
  <w:num w:numId="59">
    <w:abstractNumId w:val="80"/>
  </w:num>
  <w:num w:numId="60">
    <w:abstractNumId w:val="27"/>
  </w:num>
  <w:num w:numId="61">
    <w:abstractNumId w:val="94"/>
  </w:num>
  <w:num w:numId="62">
    <w:abstractNumId w:val="70"/>
  </w:num>
  <w:num w:numId="63">
    <w:abstractNumId w:val="91"/>
  </w:num>
  <w:num w:numId="64">
    <w:abstractNumId w:val="64"/>
  </w:num>
  <w:num w:numId="65">
    <w:abstractNumId w:val="38"/>
  </w:num>
  <w:num w:numId="66">
    <w:abstractNumId w:val="72"/>
  </w:num>
  <w:num w:numId="67">
    <w:abstractNumId w:val="26"/>
  </w:num>
  <w:num w:numId="68">
    <w:abstractNumId w:val="93"/>
  </w:num>
  <w:num w:numId="69">
    <w:abstractNumId w:val="21"/>
  </w:num>
  <w:num w:numId="70">
    <w:abstractNumId w:val="58"/>
  </w:num>
  <w:num w:numId="71">
    <w:abstractNumId w:val="87"/>
  </w:num>
  <w:num w:numId="72">
    <w:abstractNumId w:val="60"/>
  </w:num>
  <w:num w:numId="73">
    <w:abstractNumId w:val="74"/>
  </w:num>
  <w:num w:numId="74">
    <w:abstractNumId w:val="116"/>
  </w:num>
  <w:num w:numId="75">
    <w:abstractNumId w:val="51"/>
  </w:num>
  <w:num w:numId="76">
    <w:abstractNumId w:val="39"/>
  </w:num>
  <w:num w:numId="77">
    <w:abstractNumId w:val="20"/>
  </w:num>
  <w:num w:numId="78">
    <w:abstractNumId w:val="119"/>
  </w:num>
  <w:num w:numId="79">
    <w:abstractNumId w:val="47"/>
  </w:num>
  <w:num w:numId="80">
    <w:abstractNumId w:val="29"/>
  </w:num>
  <w:num w:numId="81">
    <w:abstractNumId w:val="86"/>
  </w:num>
  <w:num w:numId="82">
    <w:abstractNumId w:val="52"/>
  </w:num>
  <w:num w:numId="83">
    <w:abstractNumId w:val="13"/>
  </w:num>
  <w:num w:numId="84">
    <w:abstractNumId w:val="106"/>
  </w:num>
  <w:num w:numId="85">
    <w:abstractNumId w:val="33"/>
  </w:num>
  <w:num w:numId="86">
    <w:abstractNumId w:val="24"/>
  </w:num>
  <w:num w:numId="87">
    <w:abstractNumId w:val="11"/>
  </w:num>
  <w:num w:numId="88">
    <w:abstractNumId w:val="17"/>
  </w:num>
  <w:num w:numId="89">
    <w:abstractNumId w:val="23"/>
  </w:num>
  <w:num w:numId="90">
    <w:abstractNumId w:val="8"/>
  </w:num>
  <w:num w:numId="91">
    <w:abstractNumId w:val="77"/>
  </w:num>
  <w:num w:numId="92">
    <w:abstractNumId w:val="34"/>
  </w:num>
  <w:num w:numId="93">
    <w:abstractNumId w:val="73"/>
  </w:num>
  <w:num w:numId="94">
    <w:abstractNumId w:val="44"/>
  </w:num>
  <w:num w:numId="95">
    <w:abstractNumId w:val="115"/>
  </w:num>
  <w:num w:numId="96">
    <w:abstractNumId w:val="0"/>
  </w:num>
  <w:num w:numId="97">
    <w:abstractNumId w:val="32"/>
  </w:num>
  <w:num w:numId="98">
    <w:abstractNumId w:val="57"/>
  </w:num>
  <w:num w:numId="99">
    <w:abstractNumId w:val="99"/>
  </w:num>
  <w:num w:numId="100">
    <w:abstractNumId w:val="71"/>
  </w:num>
  <w:num w:numId="101">
    <w:abstractNumId w:val="14"/>
  </w:num>
  <w:num w:numId="102">
    <w:abstractNumId w:val="49"/>
  </w:num>
  <w:num w:numId="103">
    <w:abstractNumId w:val="76"/>
  </w:num>
  <w:num w:numId="104">
    <w:abstractNumId w:val="96"/>
  </w:num>
  <w:num w:numId="105">
    <w:abstractNumId w:val="22"/>
  </w:num>
  <w:num w:numId="106">
    <w:abstractNumId w:val="112"/>
  </w:num>
  <w:num w:numId="107">
    <w:abstractNumId w:val="2"/>
  </w:num>
  <w:num w:numId="108">
    <w:abstractNumId w:val="5"/>
  </w:num>
  <w:num w:numId="109">
    <w:abstractNumId w:val="62"/>
  </w:num>
  <w:num w:numId="110">
    <w:abstractNumId w:val="19"/>
  </w:num>
  <w:num w:numId="111">
    <w:abstractNumId w:val="37"/>
  </w:num>
  <w:num w:numId="112">
    <w:abstractNumId w:val="41"/>
  </w:num>
  <w:num w:numId="113">
    <w:abstractNumId w:val="55"/>
  </w:num>
  <w:num w:numId="114">
    <w:abstractNumId w:val="109"/>
  </w:num>
  <w:num w:numId="115">
    <w:abstractNumId w:val="54"/>
  </w:num>
  <w:num w:numId="116">
    <w:abstractNumId w:val="103"/>
  </w:num>
  <w:num w:numId="117">
    <w:abstractNumId w:val="79"/>
  </w:num>
  <w:num w:numId="118">
    <w:abstractNumId w:val="12"/>
  </w:num>
  <w:num w:numId="119">
    <w:abstractNumId w:val="65"/>
  </w:num>
  <w:num w:numId="120">
    <w:abstractNumId w:val="18"/>
  </w:num>
  <w:num w:numId="121">
    <w:abstractNumId w:val="85"/>
  </w:num>
  <w:num w:numId="122">
    <w:abstractNumId w:val="102"/>
  </w:num>
  <w:num w:numId="123">
    <w:abstractNumId w:val="42"/>
  </w:num>
  <w:num w:numId="1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023B5D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338" w:hanging="1005"/>
      <w:outlineLvl w:val="1"/>
    </w:pPr>
    <w:rPr>
      <w:rFonts w:ascii="宋体" w:hAnsi="宋体" w:eastAsia="宋体" w:cs="宋体"/>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ind w:right="38"/>
      <w:jc w:val="center"/>
    </w:pPr>
    <w:rPr>
      <w:rFonts w:ascii="宋体" w:hAnsi="宋体" w:eastAsia="宋体" w:cs="宋体"/>
      <w:b/>
      <w:bCs/>
      <w:sz w:val="32"/>
      <w:szCs w:val="32"/>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338" w:hanging="530"/>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39543</Words>
  <Characters>41558</Characters>
  <TotalTime>2</TotalTime>
  <ScaleCrop>false</ScaleCrop>
  <LinksUpToDate>false</LinksUpToDate>
  <CharactersWithSpaces>42114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2023-06-02T02:38:00Z</dcterms:created>
  <dc:creator>木木</dc:creator>
  <cp:lastModifiedBy>木木</cp:lastModifiedBy>
  <dcterms:modified xsi:type="dcterms:W3CDTF">2023-06-02T02:53:28Z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0D6F5162324D49CFA8C66E3AB9FFECB0_12</vt:lpwstr>
  </property>
</Properties>
</file>